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E70" w:rsidRPr="00F27E70" w:rsidRDefault="00F27E70" w:rsidP="00F27E70">
      <w:pPr>
        <w:spacing w:after="0" w:line="240" w:lineRule="auto"/>
        <w:rPr>
          <w:rFonts w:ascii="Times New Roman" w:eastAsia="Times New Roman" w:hAnsi="Times New Roman" w:cs="Times New Roman"/>
        </w:rPr>
      </w:pPr>
      <w:bookmarkStart w:id="0" w:name="_GoBack"/>
      <w:r w:rsidRPr="00F27E70">
        <w:rPr>
          <w:rFonts w:ascii="Times New Roman" w:eastAsia="Times New Roman" w:hAnsi="Times New Roman" w:cs="Times New Roman"/>
          <w:b/>
          <w:bCs/>
        </w:rPr>
        <w:t>Dodd Frank Act Section 1443</w:t>
      </w:r>
    </w:p>
    <w:bookmarkEnd w:id="0"/>
    <w:p w:rsidR="00F27E70" w:rsidRPr="00F27E70" w:rsidRDefault="00F27E70" w:rsidP="00F27E70">
      <w:pPr>
        <w:spacing w:after="0" w:line="240" w:lineRule="auto"/>
        <w:rPr>
          <w:rFonts w:ascii="Times New Roman" w:eastAsia="Times New Roman" w:hAnsi="Times New Roman" w:cs="Times New Roman"/>
          <w:b/>
          <w:bCs/>
        </w:rPr>
      </w:pPr>
      <w:proofErr w:type="gramStart"/>
      <w:r w:rsidRPr="00F27E70">
        <w:rPr>
          <w:rFonts w:ascii="Times New Roman" w:eastAsia="Times New Roman" w:hAnsi="Times New Roman" w:cs="Times New Roman"/>
          <w:b/>
          <w:bCs/>
        </w:rPr>
        <w:t>SEC. 1443.</w:t>
      </w:r>
      <w:proofErr w:type="gramEnd"/>
      <w:r w:rsidRPr="00F27E70">
        <w:rPr>
          <w:rFonts w:ascii="Times New Roman" w:eastAsia="Times New Roman" w:hAnsi="Times New Roman" w:cs="Times New Roman"/>
          <w:b/>
          <w:bCs/>
        </w:rPr>
        <w:t xml:space="preserve"> </w:t>
      </w:r>
      <w:proofErr w:type="gramStart"/>
      <w:r w:rsidRPr="00F27E70">
        <w:rPr>
          <w:rFonts w:ascii="Times New Roman" w:eastAsia="Times New Roman" w:hAnsi="Times New Roman" w:cs="Times New Roman"/>
          <w:b/>
          <w:bCs/>
        </w:rPr>
        <w:t>COUNSELING PROCEDURES.</w:t>
      </w:r>
      <w:proofErr w:type="gramEnd"/>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(a) IN GENERAL.—Section 106 of the Housing and Urban Development Act of 1968 (12 U.S.C. 1701x) is amended by adding at the end the following new subsection:</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‘‘(g) PROCEDURES AND ACTIVITIES.—</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‘‘(1) COUNSELING PROCEDURES.—</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‘‘(A) IN GENERAL.—The Secretary shall establish, coordinate, and monitor the administration by the Department of Housing and Urban Development of the counseling procedures for homeownership counseling and rental housing counseling provided in connection with any program of the Department, including all requirements, standards, and performance measures that relate to homeownership and rental housing counseling.</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‘‘(B) HOMEOWNERSHIP COUNSELING.—For purposes of this subsection and as used in the provisions referred to in this subparagraph, the term ‘homeownership counseling’ means counseling related to homeownership and residential mortgage loans. Such term includes counseling related to homeownership and residential mortgage loans that is provided pursuant to—</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‘‘(i) section 105(a)(20) of the Housing and Community Development Act of 1974 (42 U.S.C. 5305(a)(20));</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‘‘(ii) in the United States Housing Act of 1937—</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‘‘(I) section 9(e) (42 U.S.C. 1437g(e));</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‘‘(II) section 8(y)(1)(D) (42 U.S.C. 1437f(y)(1)(D));</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‘‘(III) section 18(a)(4)(D) (42 U.S.C. 1437p(a)(4)(D));</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‘‘(IV) section 23(c)(4) (42 U.S.C. 1437u(c)(4));</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‘‘(V) section 32(e)(4) (42 U.S.C. 1437z–4(e)(4));</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‘‘(VI) section 33(d)(2)(B) (42 U.S.C. 1437z– 5(d)(2)(B));</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‘‘(VII) sections 302(b)(6) and 303(b)(7) (42 U.S.C. 1437aaa–1(b)(6), 1437aaa–2(b)(7)); and</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‘‘(VIII) section 304(c)(4) (42 U.S.C. 1437aaa– 3(c)(4));</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‘‘(iii) section 302(a)(4) of the American Homeownership and Economic Opportunity Act of 2000 (42 U.S.C. 1437f note);</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‘‘(iv) sections 233(b)(2) and 258(b) of the Cranston- Gonzalez National Affordable Housing Act (42 U.S.C. 12773(b)(2), 12808(b));</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‘‘(v) this section and section 101(e) of the Housing and Urban Development Act of 1968 (12 U.S.C. 1701x, 1701w(e));</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lastRenderedPageBreak/>
        <w:t>‘‘(vi) section 220(d)(2)(G) of the Low-Income Housing Preservation and Resident Homeownership Act of 1990 (12 U.S.C. 4110(d)(2)(G));</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‘‘(vii) sections 422(b)(6), 423(b)(7), 424(c)(4), 442(b)(6), and 443(b)(6) of the Cranston-Gonzalez National Affordable Housing Act (42 U.S.C. 12872(b)(6), 12873(b)(7), 12874(c)(4), 12892(b)(6), and 12893(b)(6));</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‘‘(viii) section 491(b)(1)(F)(iii) of the McKinney- Vento Homeless Assistance Act (42 U.S.C. 11408(b)(1)(F)(iii));</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‘‘(ix) sections 202(3) and 810(b)(2)(A) of the Native American Housing and Self-Determination Act of 1996 (25 U.S.C. 4132(3), 4229(b)(2)(A));</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‘‘(x) in the National Housing Act—</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‘‘(I) in section 203 (12 U.S.C. 1709), the penultimate undesignated paragraph of paragraph (2)of subsection (b), subsection (c)(2)(A), and subsection (r)(4);</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‘‘(II) subsections (a) and (c)(3) of section 237 (12 U.S.C. 1715z–2); and</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‘‘(III) subsections (d)(2)(B) and (m)(1) of section 255 (12 U.S.C. 1715z–20);</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‘‘(xi) section 502(h)(4)(B) of the Housing Act of 1949 (42 U.S.C. 1472(h)(4)(B));</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‘‘(xii) section 508 of the Housing and Urban Development Act of 1970 (12 U.S.C. 1701z–7); and</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‘‘(xiii) section 106 of the Energy Policy Act of 1992 (42 U.S.C. 12712 note).</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‘‘(C) RENTAL HOUSING COUNSELING.—For purposes of this subsection, the term ‘rental housing counseling’ means counseling related to rental of residential property, which may include counseling regarding future homeownership opportunities and providing referrals for renters and prospective renters to entities providing counseling and shall include counseling related to such topics that is provided pursuant to—</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‘‘(i) section 105(a)(20) of the Housing and Community Development Act of 1974 (42 U.S.C. 5305(a)(20));</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‘‘(ii) in the United States Housing Act of 1937—</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‘‘(I) section 9(e) (42 U.S.C. 1437g(e));</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‘‘(II) section 18(a)(4)(D) (42 U.S.C. 1437p(a)(4)(D));</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‘‘(III) section 23(c)(4) (42 U.S.C. 1437u(c)(4));</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‘‘(IV) section 32(e)(4) (42 U.S.C. 1437z–4(e)(4));</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‘‘(V) section 33(d)(2)(B) (42 U.S.C. 1437z– 5(d)(2)(B)); and</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‘‘(VI) section 302(b)(6) (42 U.S.C. 1437aaa– 1(b)(6));</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lastRenderedPageBreak/>
        <w:t>‘‘(iii) section 233(b)(2) of the Cranston-Gonzalez National Affordable Housing Act (42 U.S.C. 12773(b)(2));</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‘‘(iv) section 106 of the Housing and Urban Development Act of 1968 (12 U.S.C. 1701x);</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‘‘(v) section 422(b)(6) of the Cranston-Gonzalez National Affordable Housing Act (42 U.S.C. 12872(b)(6));</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‘‘(vi) section 491(b)(1)(F)(iii) of the McKinney-Vento Homeless Assistance Act (42 U.S.C. 11408(b)(1)(F)(iii));</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‘‘(vii) sections 202(3) and 810(b)(2)(A) of the Native American Housing and Self-Determination Act of 1996 (25 U.S.C. 4132(3), 4229(b)(2)(A)); and</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‘‘(viii) the rental assistance program under section 8 of the United States Housing Act of 1937 (42 U.S.C. 1437f).</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‘‘(2) STANDARDS FOR MATERIALS.—The Secretary, in consultation with the advisory committee established under subsection (g)(4) of the Department of Housing and Urban Development Act, shall establish standards for materials and forms to be used, as appropriate, by organizations providing homeownership counseling services, including any recipients of assistance pursuant to subsection (a)(4).</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‘‘(3) MORTGAGE SOFTWARE SYSTEMS.—</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 xml:space="preserve">‘‘(A) CERTIFICATION.—The Secretary shall provide for the certification of various computer software programs for consumers to use in evaluating different residential mortgage loan proposals. </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The Secretary shall require, for such certification, that the mortgage software systems take into account—</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‘‘(i) the consumer’s financial situation and the cost of maintaining a home, including insurance, taxes, and utilities;</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‘‘(ii) the amount of time the consumer expects to remain in the home or expected time to maturity of the loan; and</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‘‘(iii) such other factors as the Secretary considers appropriate to assist the consumer in evaluating whether to pay points, to lock in an interest rate, to select an adjustable or fixed rate loan, to select a conventional or government-insured or guaranteed loan and to make other choices during the loan application process.</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If the Secretary determines that available existing software is inadequate to assist consumers during the residential mortgage loan application process, the Secretary shall arrange for the development by private sector software companies of new mortgage software systems that meet the Secretary’s specifications.</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‘‘(B) USE AND INITIAL AVAILABILITY.—</w:t>
      </w:r>
      <w:proofErr w:type="gramStart"/>
      <w:r w:rsidRPr="00F27E70">
        <w:rPr>
          <w:rFonts w:ascii="Times New Roman" w:eastAsia="Times New Roman" w:hAnsi="Times New Roman" w:cs="Times New Roman"/>
          <w:b/>
          <w:bCs/>
        </w:rPr>
        <w:t>Such</w:t>
      </w:r>
      <w:proofErr w:type="gramEnd"/>
      <w:r w:rsidRPr="00F27E70">
        <w:rPr>
          <w:rFonts w:ascii="Times New Roman" w:eastAsia="Times New Roman" w:hAnsi="Times New Roman" w:cs="Times New Roman"/>
          <w:b/>
          <w:bCs/>
        </w:rPr>
        <w:t xml:space="preserve"> certified computer software programs shall be used to supplement, not replace, housing counseling. The Secretary shall provide that such programs are initially used only in connection with the assistance of housing counselors certified </w:t>
      </w:r>
      <w:r w:rsidRPr="00F27E70">
        <w:rPr>
          <w:rFonts w:ascii="Times New Roman" w:eastAsia="Times New Roman" w:hAnsi="Times New Roman" w:cs="Times New Roman"/>
          <w:b/>
          <w:bCs/>
        </w:rPr>
        <w:lastRenderedPageBreak/>
        <w:t>pursuant to subsection (e).</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‘‘(C) AVAILABILITY.—After a period of initial availability under subparagraph (B) as the Secretary considers appropriate, the Secretary shall take reasonable steps to make mortgage software systems certified pursuant to this paragraph widely available through the Internet and at public locations, including public libraries, senior-citizen centers, public housing sites, offices of public housing agencies that administer rental housing assistance vouchers, and housing counseling centers.</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‘‘(D) BUDGET COMPLIANCE.—</w:t>
      </w:r>
      <w:proofErr w:type="gramStart"/>
      <w:r w:rsidRPr="00F27E70">
        <w:rPr>
          <w:rFonts w:ascii="Times New Roman" w:eastAsia="Times New Roman" w:hAnsi="Times New Roman" w:cs="Times New Roman"/>
          <w:b/>
          <w:bCs/>
        </w:rPr>
        <w:t>This</w:t>
      </w:r>
      <w:proofErr w:type="gramEnd"/>
      <w:r w:rsidRPr="00F27E70">
        <w:rPr>
          <w:rFonts w:ascii="Times New Roman" w:eastAsia="Times New Roman" w:hAnsi="Times New Roman" w:cs="Times New Roman"/>
          <w:b/>
          <w:bCs/>
        </w:rPr>
        <w:t xml:space="preserve"> paragraph shall be effective only to the extent that amounts to carry out this paragraph are made available in advance in appropriations Acts.</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‘‘(4) NATIONAL PUBLIC SERVICE MULTIMEDIA CAMPAIGNS TO PROMOTE HOUSING COUNSELING.—</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‘‘(A) IN GENERAL.—The Director of Housing Counseling shall develop, implement, and conduct national public service multimedia campaigns designed to make persons facing mortgage foreclosure, persons considering a subprime mortgage loan to purchase a home, elderly persons, persons who face language barriers, low-income persons, minorities, and other potentially vulnerable consumers aware that it is advisable, before seeking or maintaining a residential mortgage loan, to obtain homeownership counseling from an unbiased and reliable sources and that such homeownership counseling is available, including through programs sponsored by the Secretary of Housing and Urban Development.</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‘‘(B) CONTACT INFORMATION.—Each segment of the multimedia campaign under subparagraph (A) shall publicize the toll-free telephone number and website of the Department of Housing and Urban Development through which persons seeking housing counseling can locate a housing counseling agency in their State that is certified by the Secretary of Housing and Urban Development and can provide advice on buying a home, renting, defaults, foreclosures, credit issues, and reverse mortgages.</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‘‘(C) AUTHORIZATION OF APPROPRIATIONS.—There are authorized to be appropriated to the Secretary, not to exceed $3,000,000 for fiscal years 2009, 2010, and 2011, for the development, implementation, and conduct of national public service multimedia campaigns under this paragraph.</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‘‘(D) FORECLOSURE RESCUE EDUCATION PROGRAMS.—</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 xml:space="preserve">‘‘(i) IN GENERAL.—Ten percent of any funds appropriated pursuant to the authorization under subparagraph (C) shall be used by the Director of Housing Counseling to conduct an education program in areas that have a high density of foreclosure. </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Such program shall involve direct mailings to persons living in such areas describing—</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‘‘(I) tips on avoiding foreclosure rescue scams</w:t>
      </w:r>
      <w:proofErr w:type="gramStart"/>
      <w:r w:rsidRPr="00F27E70">
        <w:rPr>
          <w:rFonts w:ascii="Times New Roman" w:eastAsia="Times New Roman" w:hAnsi="Times New Roman" w:cs="Times New Roman"/>
          <w:b/>
          <w:bCs/>
        </w:rPr>
        <w:t>;</w:t>
      </w:r>
      <w:proofErr w:type="gramEnd"/>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‘‘(II) tips on avoiding predatory lending mortgage agreements;</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‘‘(III) tips on avoiding for-profit foreclosure counseling services; and</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 xml:space="preserve">‘‘(IV) local counseling resources that are approved by the Department of Housing and Urban </w:t>
      </w:r>
      <w:r w:rsidRPr="00F27E70">
        <w:rPr>
          <w:rFonts w:ascii="Times New Roman" w:eastAsia="Times New Roman" w:hAnsi="Times New Roman" w:cs="Times New Roman"/>
          <w:b/>
          <w:bCs/>
        </w:rPr>
        <w:lastRenderedPageBreak/>
        <w:t>Development.</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‘‘(ii) PROGRAM EMPHASIS.—In conducting the education program described under clause (i), the Director of Housing Counseling shall also place an emphasis on serving communities that have a high percentage of retirement communities or a high percentage of low-income minority communities.</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‘‘(iii) TERMS DEFINED.—For purposes of this subparagraph</w:t>
      </w:r>
      <w:proofErr w:type="gramStart"/>
      <w:r w:rsidRPr="00F27E70">
        <w:rPr>
          <w:rFonts w:ascii="Times New Roman" w:eastAsia="Times New Roman" w:hAnsi="Times New Roman" w:cs="Times New Roman"/>
          <w:b/>
          <w:bCs/>
        </w:rPr>
        <w:t>:</w:t>
      </w:r>
      <w:proofErr w:type="gramEnd"/>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‘‘(I) HIGH DENSITY OF FORECLOSURES.—An area has a ‘high density of foreclosures’ if such area is one of the metropolitan statistical areas (as that term is defined by the Director of the Office of</w:t>
      </w:r>
      <w:r w:rsidRPr="00F27E70">
        <w:rPr>
          <w:rFonts w:ascii="Times New Roman" w:eastAsia="Times New Roman" w:hAnsi="Times New Roman" w:cs="Times New Roman"/>
          <w:b/>
          <w:bCs/>
        </w:rPr>
        <w:br/>
        <w:t>Management and Budget) with the highest home foreclosure rates.</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‘‘(II) HIGH PERCENTAGE OF RETIREMENT COMMUNITIES.—</w:t>
      </w:r>
      <w:proofErr w:type="gramStart"/>
      <w:r w:rsidRPr="00F27E70">
        <w:rPr>
          <w:rFonts w:ascii="Times New Roman" w:eastAsia="Times New Roman" w:hAnsi="Times New Roman" w:cs="Times New Roman"/>
          <w:b/>
          <w:bCs/>
        </w:rPr>
        <w:t>An</w:t>
      </w:r>
      <w:proofErr w:type="gramEnd"/>
      <w:r w:rsidRPr="00F27E70">
        <w:rPr>
          <w:rFonts w:ascii="Times New Roman" w:eastAsia="Times New Roman" w:hAnsi="Times New Roman" w:cs="Times New Roman"/>
          <w:b/>
          <w:bCs/>
        </w:rPr>
        <w:t xml:space="preserve"> area has a ‘high percentage of retirement communities’ if such area is one of the metropolitan statistical areas (as that term is defined by the Director of the Office of Management and Budget) with the highest percentage of residents aged 65 or older.</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‘‘(III) HIGH PERCENTAGE OF LOW-INCOME MINORITY COMMUNITIES.—</w:t>
      </w:r>
      <w:proofErr w:type="gramStart"/>
      <w:r w:rsidRPr="00F27E70">
        <w:rPr>
          <w:rFonts w:ascii="Times New Roman" w:eastAsia="Times New Roman" w:hAnsi="Times New Roman" w:cs="Times New Roman"/>
          <w:b/>
          <w:bCs/>
        </w:rPr>
        <w:t>An</w:t>
      </w:r>
      <w:proofErr w:type="gramEnd"/>
      <w:r w:rsidRPr="00F27E70">
        <w:rPr>
          <w:rFonts w:ascii="Times New Roman" w:eastAsia="Times New Roman" w:hAnsi="Times New Roman" w:cs="Times New Roman"/>
          <w:b/>
          <w:bCs/>
        </w:rPr>
        <w:t xml:space="preserve"> area has a ‘high percentage of low-income minority communities’ if such area contains a higher-than-normal percentage of residents who are both minorities and low-income, as defined by the Director of Housing Counseling.</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‘‘(5) EDUCATION PROGRAMS.—The Secretary shall provide advice and technical assistance to States, units of general local government, and nonprofit organizations regarding the establishment and operation of, including assistance with the development of content and materials for, educational programs to inform and educate consumers, particularly those most vulnerable with respect to residential mortgage loans (such as elderly persons, persons facing language barriers, low-income persons, minorities, and other potentially vulnerable consumers), regarding home mortgages, mortgage refinancing, home equity loans, home repair loans, and where appropriate by region, any requirements and costs associated with obtaining flood or other disaster-specific insurance coverage.’’.</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(b) CONFORMING AMENDMENTS TO GRANT PROGRAM FOR HOMEOWNERSHIP COUNSELING ORGANIZATIONS.—Section 106(c)(5)(A)(ii) of the Housing and Urban Development Act of 1968 (12 U.S.C. 1701x(c)(5)(A)(ii)) is amended—</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 xml:space="preserve">(1) in </w:t>
      </w:r>
      <w:proofErr w:type="spellStart"/>
      <w:r w:rsidRPr="00F27E70">
        <w:rPr>
          <w:rFonts w:ascii="Times New Roman" w:eastAsia="Times New Roman" w:hAnsi="Times New Roman" w:cs="Times New Roman"/>
          <w:b/>
          <w:bCs/>
        </w:rPr>
        <w:t>subclause</w:t>
      </w:r>
      <w:proofErr w:type="spellEnd"/>
      <w:r w:rsidRPr="00F27E70">
        <w:rPr>
          <w:rFonts w:ascii="Times New Roman" w:eastAsia="Times New Roman" w:hAnsi="Times New Roman" w:cs="Times New Roman"/>
          <w:b/>
          <w:bCs/>
        </w:rPr>
        <w:t xml:space="preserve"> (III), by striking ‘‘and’’ at the end;</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 xml:space="preserve">(2) in </w:t>
      </w:r>
      <w:proofErr w:type="spellStart"/>
      <w:r w:rsidRPr="00F27E70">
        <w:rPr>
          <w:rFonts w:ascii="Times New Roman" w:eastAsia="Times New Roman" w:hAnsi="Times New Roman" w:cs="Times New Roman"/>
          <w:b/>
          <w:bCs/>
        </w:rPr>
        <w:t>subclause</w:t>
      </w:r>
      <w:proofErr w:type="spellEnd"/>
      <w:r w:rsidRPr="00F27E70">
        <w:rPr>
          <w:rFonts w:ascii="Times New Roman" w:eastAsia="Times New Roman" w:hAnsi="Times New Roman" w:cs="Times New Roman"/>
          <w:b/>
          <w:bCs/>
        </w:rPr>
        <w:t xml:space="preserve"> (IV) by striking the period at the end and inserting ‘‘; and’’; and</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 xml:space="preserve">(3) by inserting after </w:t>
      </w:r>
      <w:proofErr w:type="spellStart"/>
      <w:r w:rsidRPr="00F27E70">
        <w:rPr>
          <w:rFonts w:ascii="Times New Roman" w:eastAsia="Times New Roman" w:hAnsi="Times New Roman" w:cs="Times New Roman"/>
          <w:b/>
          <w:bCs/>
        </w:rPr>
        <w:t>subclause</w:t>
      </w:r>
      <w:proofErr w:type="spellEnd"/>
      <w:r w:rsidRPr="00F27E70">
        <w:rPr>
          <w:rFonts w:ascii="Times New Roman" w:eastAsia="Times New Roman" w:hAnsi="Times New Roman" w:cs="Times New Roman"/>
          <w:b/>
          <w:bCs/>
        </w:rPr>
        <w:t xml:space="preserve"> (IV) the following new </w:t>
      </w:r>
      <w:proofErr w:type="spellStart"/>
      <w:r w:rsidRPr="00F27E70">
        <w:rPr>
          <w:rFonts w:ascii="Times New Roman" w:eastAsia="Times New Roman" w:hAnsi="Times New Roman" w:cs="Times New Roman"/>
          <w:b/>
          <w:bCs/>
        </w:rPr>
        <w:t>subclause</w:t>
      </w:r>
      <w:proofErr w:type="spellEnd"/>
      <w:r w:rsidRPr="00F27E70">
        <w:rPr>
          <w:rFonts w:ascii="Times New Roman" w:eastAsia="Times New Roman" w:hAnsi="Times New Roman" w:cs="Times New Roman"/>
          <w:b/>
          <w:bCs/>
        </w:rPr>
        <w:t>:</w:t>
      </w:r>
      <w:r w:rsidRPr="00F27E70">
        <w:rPr>
          <w:rFonts w:ascii="Times New Roman" w:eastAsia="Times New Roman" w:hAnsi="Times New Roman" w:cs="Times New Roman"/>
          <w:b/>
          <w:bCs/>
        </w:rPr>
        <w:br/>
      </w:r>
      <w:r w:rsidRPr="00F27E70">
        <w:rPr>
          <w:rFonts w:ascii="Times New Roman" w:eastAsia="Times New Roman" w:hAnsi="Times New Roman" w:cs="Times New Roman"/>
          <w:b/>
          <w:bCs/>
        </w:rPr>
        <w:br/>
        <w:t>‘‘(V) notify the housing or mortgage applicant of the availability of mortgage software systems provided pursuant to subsection (g)(3).’’.</w:t>
      </w:r>
    </w:p>
    <w:p w:rsidR="00F27E70" w:rsidRPr="00F27E70" w:rsidRDefault="00F27E70" w:rsidP="00F27E70">
      <w:pPr>
        <w:spacing w:after="0" w:line="240" w:lineRule="auto"/>
        <w:rPr>
          <w:rFonts w:ascii="Times New Roman" w:eastAsia="Times New Roman" w:hAnsi="Times New Roman" w:cs="Times New Roman"/>
          <w:b/>
          <w:bCs/>
        </w:rPr>
      </w:pPr>
      <w:r w:rsidRPr="00F27E70">
        <w:rPr>
          <w:rFonts w:ascii="Times New Roman" w:eastAsia="Times New Roman" w:hAnsi="Times New Roman" w:cs="Times New Roman"/>
          <w:b/>
          <w:bCs/>
        </w:rPr>
        <w:t> </w:t>
      </w:r>
    </w:p>
    <w:p w:rsidR="005578BA" w:rsidRPr="00F27E70" w:rsidRDefault="00F27E70">
      <w:pPr>
        <w:rPr>
          <w:rFonts w:ascii="Times New Roman" w:hAnsi="Times New Roman" w:cs="Times New Roman"/>
        </w:rPr>
      </w:pPr>
    </w:p>
    <w:sectPr w:rsidR="005578BA" w:rsidRPr="00F27E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E70"/>
    <w:rsid w:val="006C008C"/>
    <w:rsid w:val="006E48BB"/>
    <w:rsid w:val="00F27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Address">
    <w:name w:val="HTML Address"/>
    <w:basedOn w:val="Normal"/>
    <w:link w:val="HTMLAddressChar"/>
    <w:uiPriority w:val="99"/>
    <w:semiHidden/>
    <w:unhideWhenUsed/>
    <w:rsid w:val="00F27E70"/>
    <w:pPr>
      <w:spacing w:after="0" w:line="240" w:lineRule="auto"/>
    </w:pPr>
    <w:rPr>
      <w:rFonts w:ascii="Times New Roman" w:eastAsia="Times New Roman" w:hAnsi="Times New Roman" w:cs="Times New Roman"/>
      <w:i/>
      <w:iCs/>
      <w:color w:val="FFFFFF"/>
      <w:sz w:val="24"/>
      <w:szCs w:val="24"/>
    </w:rPr>
  </w:style>
  <w:style w:type="character" w:customStyle="1" w:styleId="HTMLAddressChar">
    <w:name w:val="HTML Address Char"/>
    <w:basedOn w:val="DefaultParagraphFont"/>
    <w:link w:val="HTMLAddress"/>
    <w:uiPriority w:val="99"/>
    <w:semiHidden/>
    <w:rsid w:val="00F27E70"/>
    <w:rPr>
      <w:rFonts w:ascii="Times New Roman" w:eastAsia="Times New Roman" w:hAnsi="Times New Roman" w:cs="Times New Roman"/>
      <w:i/>
      <w:iCs/>
      <w:color w:val="FFFFFF"/>
      <w:sz w:val="24"/>
      <w:szCs w:val="24"/>
    </w:rPr>
  </w:style>
  <w:style w:type="character" w:styleId="Strong">
    <w:name w:val="Strong"/>
    <w:basedOn w:val="DefaultParagraphFont"/>
    <w:uiPriority w:val="22"/>
    <w:qFormat/>
    <w:rsid w:val="00F27E70"/>
    <w:rPr>
      <w:b/>
      <w:bCs/>
    </w:rPr>
  </w:style>
  <w:style w:type="character" w:customStyle="1" w:styleId="style151">
    <w:name w:val="style151"/>
    <w:basedOn w:val="DefaultParagraphFont"/>
    <w:rsid w:val="00F27E70"/>
    <w:rPr>
      <w:color w:val="2517C0"/>
      <w:sz w:val="34"/>
      <w:szCs w:val="3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Address">
    <w:name w:val="HTML Address"/>
    <w:basedOn w:val="Normal"/>
    <w:link w:val="HTMLAddressChar"/>
    <w:uiPriority w:val="99"/>
    <w:semiHidden/>
    <w:unhideWhenUsed/>
    <w:rsid w:val="00F27E70"/>
    <w:pPr>
      <w:spacing w:after="0" w:line="240" w:lineRule="auto"/>
    </w:pPr>
    <w:rPr>
      <w:rFonts w:ascii="Times New Roman" w:eastAsia="Times New Roman" w:hAnsi="Times New Roman" w:cs="Times New Roman"/>
      <w:i/>
      <w:iCs/>
      <w:color w:val="FFFFFF"/>
      <w:sz w:val="24"/>
      <w:szCs w:val="24"/>
    </w:rPr>
  </w:style>
  <w:style w:type="character" w:customStyle="1" w:styleId="HTMLAddressChar">
    <w:name w:val="HTML Address Char"/>
    <w:basedOn w:val="DefaultParagraphFont"/>
    <w:link w:val="HTMLAddress"/>
    <w:uiPriority w:val="99"/>
    <w:semiHidden/>
    <w:rsid w:val="00F27E70"/>
    <w:rPr>
      <w:rFonts w:ascii="Times New Roman" w:eastAsia="Times New Roman" w:hAnsi="Times New Roman" w:cs="Times New Roman"/>
      <w:i/>
      <w:iCs/>
      <w:color w:val="FFFFFF"/>
      <w:sz w:val="24"/>
      <w:szCs w:val="24"/>
    </w:rPr>
  </w:style>
  <w:style w:type="character" w:styleId="Strong">
    <w:name w:val="Strong"/>
    <w:basedOn w:val="DefaultParagraphFont"/>
    <w:uiPriority w:val="22"/>
    <w:qFormat/>
    <w:rsid w:val="00F27E70"/>
    <w:rPr>
      <w:b/>
      <w:bCs/>
    </w:rPr>
  </w:style>
  <w:style w:type="character" w:customStyle="1" w:styleId="style151">
    <w:name w:val="style151"/>
    <w:basedOn w:val="DefaultParagraphFont"/>
    <w:rsid w:val="00F27E70"/>
    <w:rPr>
      <w:color w:val="2517C0"/>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1812</Words>
  <Characters>10332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h16037</dc:creator>
  <cp:lastModifiedBy>h16037</cp:lastModifiedBy>
  <cp:revision>1</cp:revision>
  <dcterms:created xsi:type="dcterms:W3CDTF">2013-06-06T19:38:00Z</dcterms:created>
  <dcterms:modified xsi:type="dcterms:W3CDTF">2013-06-06T19:39:00Z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94733994</vt:i4>
  </property>
  <property fmtid="{D5CDD505-2E9C-101B-9397-08002B2CF9AE}" pid="3" name="_NewReviewCycle">
    <vt:lpwstr/>
  </property>
  <property fmtid="{D5CDD505-2E9C-101B-9397-08002B2CF9AE}" pid="4" name="_EmailSubject">
    <vt:lpwstr>Paperwork Reduction Act Submission</vt:lpwstr>
  </property>
  <property fmtid="{D5CDD505-2E9C-101B-9397-08002B2CF9AE}" pid="5" name="_AuthorEmail">
    <vt:lpwstr>Betsy.M.Cromwell@hud.gov</vt:lpwstr>
  </property>
  <property fmtid="{D5CDD505-2E9C-101B-9397-08002B2CF9AE}" pid="6" name="_AuthorEmailDisplayName">
    <vt:lpwstr>Cromwell, Betsy M</vt:lpwstr>
  </property>
</Properties>
</file>