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05D" w:rsidRPr="002F1795" w:rsidRDefault="0087005D" w:rsidP="0087005D">
      <w:pPr>
        <w:jc w:val="center"/>
        <w:rPr>
          <w:b/>
          <w:bCs/>
        </w:rPr>
      </w:pPr>
      <w:r w:rsidRPr="002F1795">
        <w:rPr>
          <w:b/>
          <w:bCs/>
        </w:rPr>
        <w:t>Supporting Statement for OMB Review under</w:t>
      </w:r>
    </w:p>
    <w:p w:rsidR="0087005D" w:rsidRPr="002F1795" w:rsidRDefault="0087005D" w:rsidP="0087005D">
      <w:pPr>
        <w:jc w:val="center"/>
        <w:rPr>
          <w:b/>
          <w:bCs/>
        </w:rPr>
      </w:pPr>
      <w:proofErr w:type="gramStart"/>
      <w:r w:rsidRPr="002F1795">
        <w:rPr>
          <w:b/>
          <w:bCs/>
        </w:rPr>
        <w:t>the</w:t>
      </w:r>
      <w:proofErr w:type="gramEnd"/>
      <w:r w:rsidRPr="002F1795">
        <w:rPr>
          <w:b/>
          <w:bCs/>
        </w:rPr>
        <w:t xml:space="preserve"> Paperwork Reduction Act</w:t>
      </w:r>
    </w:p>
    <w:p w:rsidR="0087005D" w:rsidRPr="002F1795" w:rsidRDefault="0087005D" w:rsidP="0087005D">
      <w:pPr>
        <w:jc w:val="center"/>
        <w:rPr>
          <w:b/>
          <w:bCs/>
        </w:rPr>
      </w:pPr>
    </w:p>
    <w:p w:rsidR="0087005D" w:rsidRPr="002F1795" w:rsidRDefault="0087005D" w:rsidP="0087005D">
      <w:pPr>
        <w:rPr>
          <w:b/>
          <w:bCs/>
        </w:rPr>
      </w:pPr>
      <w:r w:rsidRPr="002F1795">
        <w:rPr>
          <w:b/>
          <w:bCs/>
        </w:rPr>
        <w:t>1.  IDENTIFICATION OF THE INFORMATION COLLECTION</w:t>
      </w:r>
    </w:p>
    <w:p w:rsidR="0087005D" w:rsidRPr="002F1795" w:rsidRDefault="0087005D" w:rsidP="0087005D">
      <w:pPr>
        <w:rPr>
          <w:b/>
          <w:bCs/>
        </w:rPr>
      </w:pPr>
    </w:p>
    <w:p w:rsidR="0087005D" w:rsidRPr="002F1795" w:rsidRDefault="0087005D" w:rsidP="0087005D">
      <w:pPr>
        <w:ind w:firstLine="720"/>
        <w:rPr>
          <w:b/>
          <w:bCs/>
        </w:rPr>
      </w:pPr>
      <w:proofErr w:type="gramStart"/>
      <w:r w:rsidRPr="002F1795">
        <w:rPr>
          <w:b/>
          <w:bCs/>
        </w:rPr>
        <w:t>l(</w:t>
      </w:r>
      <w:proofErr w:type="gramEnd"/>
      <w:r w:rsidRPr="002F1795">
        <w:rPr>
          <w:b/>
          <w:bCs/>
        </w:rPr>
        <w:t>a)  Title of the Information Collection</w:t>
      </w:r>
    </w:p>
    <w:p w:rsidR="0087005D" w:rsidRPr="002F1795" w:rsidRDefault="0087005D" w:rsidP="0087005D">
      <w:pPr>
        <w:rPr>
          <w:b/>
          <w:bCs/>
        </w:rPr>
      </w:pPr>
    </w:p>
    <w:p w:rsidR="0087005D" w:rsidRPr="002F1795" w:rsidRDefault="0087005D" w:rsidP="0087005D">
      <w:pPr>
        <w:ind w:left="2160" w:hanging="1440"/>
        <w:rPr>
          <w:b/>
          <w:bCs/>
        </w:rPr>
      </w:pPr>
      <w:r w:rsidRPr="002F1795">
        <w:rPr>
          <w:b/>
          <w:bCs/>
        </w:rPr>
        <w:t>TITLE:</w:t>
      </w:r>
      <w:r w:rsidRPr="002F1795">
        <w:rPr>
          <w:b/>
          <w:bCs/>
        </w:rPr>
        <w:tab/>
        <w:t>ICR for Proposed Rule Implementing the Formaldehyde Emissions Standards for Composite Wood Products Act [RIN 2070-AJ92]</w:t>
      </w:r>
    </w:p>
    <w:p w:rsidR="0087005D" w:rsidRPr="002F1795" w:rsidRDefault="0087005D" w:rsidP="0087005D">
      <w:pPr>
        <w:rPr>
          <w:b/>
          <w:bCs/>
        </w:rPr>
      </w:pPr>
    </w:p>
    <w:p w:rsidR="0087005D" w:rsidRPr="002F1795" w:rsidRDefault="0087005D" w:rsidP="0087005D">
      <w:pPr>
        <w:ind w:firstLine="720"/>
        <w:rPr>
          <w:b/>
          <w:bCs/>
          <w:lang w:val="es-ES"/>
        </w:rPr>
      </w:pPr>
      <w:r w:rsidRPr="002F1795">
        <w:rPr>
          <w:b/>
          <w:bCs/>
          <w:lang w:val="es-ES"/>
        </w:rPr>
        <w:t>EPA ICR No.:</w:t>
      </w:r>
      <w:r w:rsidRPr="002F1795">
        <w:rPr>
          <w:b/>
          <w:bCs/>
          <w:lang w:val="es-ES"/>
        </w:rPr>
        <w:tab/>
      </w:r>
      <w:r w:rsidRPr="002F1795">
        <w:rPr>
          <w:b/>
        </w:rPr>
        <w:t>2446.01</w:t>
      </w:r>
    </w:p>
    <w:p w:rsidR="0087005D" w:rsidRPr="002F1795" w:rsidRDefault="0087005D" w:rsidP="0087005D">
      <w:pPr>
        <w:rPr>
          <w:b/>
          <w:bCs/>
          <w:lang w:val="es-ES"/>
        </w:rPr>
      </w:pPr>
    </w:p>
    <w:p w:rsidR="0087005D" w:rsidRPr="002F1795" w:rsidRDefault="0087005D" w:rsidP="0087005D">
      <w:pPr>
        <w:ind w:firstLine="720"/>
        <w:rPr>
          <w:b/>
          <w:bCs/>
          <w:lang w:val="es-ES"/>
        </w:rPr>
      </w:pPr>
      <w:r w:rsidRPr="002F1795">
        <w:rPr>
          <w:b/>
          <w:bCs/>
          <w:lang w:val="es-ES"/>
        </w:rPr>
        <w:t>OMB Control No.:</w:t>
      </w:r>
      <w:r w:rsidRPr="002F1795">
        <w:rPr>
          <w:b/>
          <w:bCs/>
          <w:lang w:val="es-ES"/>
        </w:rPr>
        <w:tab/>
        <w:t>2070-NEW</w:t>
      </w:r>
    </w:p>
    <w:p w:rsidR="0087005D" w:rsidRPr="002F1795" w:rsidRDefault="0087005D" w:rsidP="0087005D">
      <w:pPr>
        <w:rPr>
          <w:b/>
          <w:bCs/>
          <w:lang w:val="es-ES"/>
        </w:rPr>
      </w:pPr>
    </w:p>
    <w:p w:rsidR="0087005D" w:rsidRPr="002F1795" w:rsidRDefault="0087005D" w:rsidP="0087005D">
      <w:pPr>
        <w:ind w:firstLine="720"/>
      </w:pPr>
      <w:r w:rsidRPr="002F1795">
        <w:rPr>
          <w:b/>
          <w:bCs/>
        </w:rPr>
        <w:t>1(b</w:t>
      </w:r>
      <w:proofErr w:type="gramStart"/>
      <w:r w:rsidRPr="002F1795">
        <w:rPr>
          <w:b/>
          <w:bCs/>
        </w:rPr>
        <w:t>)  Short</w:t>
      </w:r>
      <w:proofErr w:type="gramEnd"/>
      <w:r w:rsidRPr="002F1795">
        <w:rPr>
          <w:b/>
          <w:bCs/>
        </w:rPr>
        <w:t xml:space="preserve"> Characterization</w:t>
      </w:r>
    </w:p>
    <w:p w:rsidR="0087005D" w:rsidRPr="002F1795" w:rsidRDefault="0087005D" w:rsidP="0087005D"/>
    <w:p w:rsidR="0087005D" w:rsidRPr="002F1795" w:rsidRDefault="0087005D" w:rsidP="0087005D">
      <w:r w:rsidRPr="002F1795">
        <w:tab/>
        <w:t>The Formaldehyde Standards for Composite Wood Products Act,</w:t>
      </w:r>
      <w:r w:rsidRPr="002F1795">
        <w:rPr>
          <w:color w:val="000000"/>
        </w:rPr>
        <w:t xml:space="preserve"> which established Title VI of the Toxic Substances Control Act (TSCA), set forth formaldehyde emission standards for hardwood plywood, particleboard and medium-density fiberboard and directs EPA to promulgate implementing regulations by January 2013.  </w:t>
      </w:r>
      <w:r w:rsidRPr="002F1795">
        <w:rPr>
          <w:bCs/>
        </w:rPr>
        <w:t xml:space="preserve">TSCA Title VI also directs EPA to promulgate supplementary provisions to ensure compliance with the emissions standards, including testing requirements, laminated product provisions, provisions for products made with no-added formaldehyde (NAF) resins or ultra-low emitting formaldehyde (ULEF) resins, product labeling requirements, chain of custody provisions for product compliance documentation, recordkeeping, product inventory sell-through dates, a product stockpiling prohibition, and product </w:t>
      </w:r>
      <w:r w:rsidRPr="002F1795">
        <w:rPr>
          <w:bCs/>
          <w:iCs/>
        </w:rPr>
        <w:t xml:space="preserve">certification by an accredited third party (third party certifier, or TPC).  </w:t>
      </w:r>
      <w:r w:rsidRPr="002F1795">
        <w:t xml:space="preserve">This ICR covers the recordkeeping and reporting requirements for all aspects of the TSCA Title VI implementing regulations, except those relating to accreditation bodies and third-party certifiers that wish to participate in this third-party certification program.  A separate information collection request covers those recordkeeping and reporting requirements.    </w:t>
      </w:r>
    </w:p>
    <w:p w:rsidR="0087005D" w:rsidRPr="002F1795" w:rsidRDefault="0087005D" w:rsidP="0087005D">
      <w:pPr>
        <w:ind w:firstLine="720"/>
      </w:pPr>
    </w:p>
    <w:p w:rsidR="0087005D" w:rsidRPr="002F1795" w:rsidRDefault="0087005D" w:rsidP="0087005D">
      <w:r w:rsidRPr="002F1795">
        <w:tab/>
        <w:t xml:space="preserve">Some examples of proposed reporting and </w:t>
      </w:r>
      <w:r w:rsidRPr="002F1795">
        <w:rPr>
          <w:iCs/>
        </w:rPr>
        <w:t>third-party reporting</w:t>
      </w:r>
      <w:r w:rsidRPr="002F1795">
        <w:t xml:space="preserve"> requirements covered by this information collection request include:</w:t>
      </w:r>
    </w:p>
    <w:p w:rsidR="0087005D" w:rsidRPr="002F1795" w:rsidRDefault="0087005D" w:rsidP="0087005D"/>
    <w:p w:rsidR="0087005D" w:rsidRPr="002F1795" w:rsidRDefault="0087005D" w:rsidP="0087005D">
      <w:pPr>
        <w:numPr>
          <w:ilvl w:val="0"/>
          <w:numId w:val="45"/>
        </w:numPr>
      </w:pPr>
      <w:r w:rsidRPr="002F1795">
        <w:t>Notifying EPA in the event of a failed quarterly test</w:t>
      </w:r>
    </w:p>
    <w:p w:rsidR="0087005D" w:rsidRPr="002F1795" w:rsidRDefault="0087005D" w:rsidP="0087005D">
      <w:pPr>
        <w:numPr>
          <w:ilvl w:val="0"/>
          <w:numId w:val="45"/>
        </w:numPr>
      </w:pPr>
      <w:r w:rsidRPr="002F1795">
        <w:t>Reporting of the results of quality control tests to third-party certifiers</w:t>
      </w:r>
    </w:p>
    <w:p w:rsidR="0087005D" w:rsidRPr="002F1795" w:rsidRDefault="0087005D" w:rsidP="0087005D">
      <w:pPr>
        <w:numPr>
          <w:ilvl w:val="0"/>
          <w:numId w:val="45"/>
        </w:numPr>
      </w:pPr>
      <w:r w:rsidRPr="002F1795">
        <w:t>Notifying a third-party certifier of a change in quality control manager</w:t>
      </w:r>
    </w:p>
    <w:p w:rsidR="0087005D" w:rsidRPr="002F1795" w:rsidRDefault="0087005D" w:rsidP="0087005D">
      <w:r w:rsidRPr="002F1795">
        <w:tab/>
      </w:r>
    </w:p>
    <w:p w:rsidR="0087005D" w:rsidRPr="002F1795" w:rsidRDefault="0087005D" w:rsidP="0087005D">
      <w:r w:rsidRPr="002F1795">
        <w:tab/>
        <w:t>Examples of proposed recordkeeping requirements include:</w:t>
      </w:r>
    </w:p>
    <w:p w:rsidR="0087005D" w:rsidRPr="002F1795" w:rsidRDefault="0087005D" w:rsidP="0087005D"/>
    <w:p w:rsidR="0087005D" w:rsidRPr="002F1795" w:rsidRDefault="0087005D" w:rsidP="0087005D">
      <w:pPr>
        <w:numPr>
          <w:ilvl w:val="0"/>
          <w:numId w:val="46"/>
        </w:numPr>
      </w:pPr>
      <w:r w:rsidRPr="002F1795">
        <w:t>Records on quarterly test results and quality assurance test results</w:t>
      </w:r>
    </w:p>
    <w:p w:rsidR="0087005D" w:rsidRPr="002F1795" w:rsidRDefault="0087005D" w:rsidP="0087005D">
      <w:pPr>
        <w:numPr>
          <w:ilvl w:val="0"/>
          <w:numId w:val="46"/>
        </w:numPr>
      </w:pPr>
      <w:r w:rsidRPr="002F1795">
        <w:t xml:space="preserve">Records of quality control manuals </w:t>
      </w:r>
    </w:p>
    <w:p w:rsidR="0087005D" w:rsidRPr="002F1795" w:rsidRDefault="0087005D" w:rsidP="0087005D">
      <w:pPr>
        <w:numPr>
          <w:ilvl w:val="0"/>
          <w:numId w:val="46"/>
        </w:numPr>
      </w:pPr>
      <w:r w:rsidRPr="002F1795">
        <w:t>Records on quality control managers</w:t>
      </w:r>
      <w:r w:rsidR="009C46B0" w:rsidRPr="002F1795">
        <w:t xml:space="preserve"> and</w:t>
      </w:r>
      <w:r w:rsidRPr="002F1795">
        <w:t xml:space="preserve"> employees and their qualifications </w:t>
      </w:r>
    </w:p>
    <w:p w:rsidR="0087005D" w:rsidRPr="002F1795" w:rsidRDefault="0087005D" w:rsidP="0087005D">
      <w:pPr>
        <w:numPr>
          <w:ilvl w:val="0"/>
          <w:numId w:val="46"/>
        </w:numPr>
      </w:pPr>
      <w:r w:rsidRPr="002F1795">
        <w:t>Records on the disposition of non-compliant lots</w:t>
      </w:r>
    </w:p>
    <w:p w:rsidR="0087005D" w:rsidRPr="002F1795" w:rsidRDefault="0087005D" w:rsidP="0087005D">
      <w:pPr>
        <w:numPr>
          <w:ilvl w:val="0"/>
          <w:numId w:val="46"/>
        </w:numPr>
      </w:pPr>
      <w:r w:rsidRPr="002F1795">
        <w:t>Chain of custody recordkeeping requirements for importers, fabricators</w:t>
      </w:r>
      <w:r w:rsidR="006441CF" w:rsidRPr="002F1795">
        <w:t>, and laminated products producers</w:t>
      </w:r>
    </w:p>
    <w:p w:rsidR="0087005D" w:rsidRPr="002F1795" w:rsidRDefault="0087005D" w:rsidP="0087005D">
      <w:pPr>
        <w:numPr>
          <w:ilvl w:val="0"/>
          <w:numId w:val="46"/>
        </w:numPr>
      </w:pPr>
      <w:r w:rsidRPr="002F1795">
        <w:lastRenderedPageBreak/>
        <w:t xml:space="preserve">Labeling requirements for manufacturers (including importers), fabricators, distributors, </w:t>
      </w:r>
      <w:r w:rsidR="005054AF" w:rsidRPr="002F1795">
        <w:t xml:space="preserve">and </w:t>
      </w:r>
      <w:r w:rsidRPr="002F1795">
        <w:t>wholesalers</w:t>
      </w:r>
      <w:r w:rsidR="005054AF" w:rsidRPr="002F1795">
        <w:t>.</w:t>
      </w:r>
    </w:p>
    <w:p w:rsidR="0087005D" w:rsidRPr="002F1795" w:rsidRDefault="00734F5E" w:rsidP="001E5EB3">
      <w:pPr>
        <w:pStyle w:val="ListParagraph"/>
        <w:numPr>
          <w:ilvl w:val="0"/>
          <w:numId w:val="46"/>
        </w:numPr>
        <w:rPr>
          <w:rFonts w:ascii="Times New Roman" w:hAnsi="Times New Roman"/>
        </w:rPr>
      </w:pPr>
      <w:r w:rsidRPr="002F1795">
        <w:rPr>
          <w:rFonts w:ascii="Times New Roman" w:hAnsi="Times New Roman"/>
        </w:rPr>
        <w:t xml:space="preserve">Minimized requirements for non-importing distributors and retailers </w:t>
      </w:r>
    </w:p>
    <w:p w:rsidR="001E5EB3" w:rsidRPr="002F1795" w:rsidRDefault="001E5EB3" w:rsidP="0087005D">
      <w:pPr>
        <w:ind w:firstLine="720"/>
      </w:pPr>
    </w:p>
    <w:p w:rsidR="0087005D" w:rsidRPr="002F1795" w:rsidRDefault="0087005D" w:rsidP="0087005D">
      <w:pPr>
        <w:ind w:firstLine="720"/>
      </w:pPr>
      <w:r w:rsidRPr="002F1795">
        <w:t xml:space="preserve">The information collected under this ICR would be used by EPA’s Regional Administrators, the Office of Enforcement and Compliance Assurance (OECA), and/or the Office of Chemical Safety and Pollution Prevention (OCSPP), as appropriate.  Some of the information would also be made available to the public via the internet. This would include the names and address of companies that have products that qualified for reduced testing based on the use of no-added formaldehyde-based resins.  Downstream purchasers may use this information in order to determine that the merchandise is compliant and to avoid purchasing products that are not legally saleable in the United States.  Confidential business information (CBI) submitted to EPA will be maintained by the Agency pursuant to TSCA § 14 and 40 CFR Part 2.  </w:t>
      </w:r>
    </w:p>
    <w:p w:rsidR="0087005D" w:rsidRPr="002F1795" w:rsidRDefault="0087005D" w:rsidP="0087005D"/>
    <w:p w:rsidR="0087005D" w:rsidRPr="002F1795" w:rsidRDefault="0087005D" w:rsidP="0087005D">
      <w:r w:rsidRPr="002F1795">
        <w:rPr>
          <w:b/>
          <w:bCs/>
        </w:rPr>
        <w:t>2.  NEED FOR AND USE OF THE COLLECTION</w:t>
      </w:r>
    </w:p>
    <w:p w:rsidR="0087005D" w:rsidRPr="002F1795" w:rsidRDefault="0087005D" w:rsidP="0087005D"/>
    <w:p w:rsidR="0087005D" w:rsidRPr="002F1795" w:rsidRDefault="0087005D" w:rsidP="0087005D">
      <w:pPr>
        <w:ind w:firstLine="720"/>
      </w:pPr>
      <w:r w:rsidRPr="002F1795">
        <w:rPr>
          <w:b/>
          <w:bCs/>
        </w:rPr>
        <w:t>2(a)</w:t>
      </w:r>
      <w:r w:rsidRPr="002F1795">
        <w:rPr>
          <w:b/>
          <w:bCs/>
        </w:rPr>
        <w:tab/>
        <w:t>Need/Authority for the Collection</w:t>
      </w:r>
    </w:p>
    <w:p w:rsidR="0087005D" w:rsidRPr="002F1795" w:rsidRDefault="0087005D" w:rsidP="0087005D"/>
    <w:p w:rsidR="0087005D" w:rsidRPr="002F1795" w:rsidRDefault="0087005D" w:rsidP="0087005D">
      <w:pPr>
        <w:ind w:firstLine="720"/>
      </w:pPr>
      <w:r w:rsidRPr="002F1795">
        <w:t>The reporting and recordkeeping requirements of this ICR are implemented under the authority of TSCA Title VI.  TSCA Title VI directs EPA to promulgate regulations</w:t>
      </w:r>
      <w:r w:rsidRPr="002F1795">
        <w:rPr>
          <w:bCs/>
        </w:rPr>
        <w:t xml:space="preserve"> to ensure compliance with the emissions standards, including  provisions on testing requirements, laminated products, products made with no-added formaldehyde resins or ultra-low emitting formaldehyde resins, product labeling requirements, chain of custody for product compliance documentation, recordkeeping, product inventory sell-through dates, a product stockpiling prohibition, and product </w:t>
      </w:r>
      <w:r w:rsidRPr="002F1795">
        <w:rPr>
          <w:bCs/>
          <w:iCs/>
        </w:rPr>
        <w:t xml:space="preserve">certification by a TPC.  </w:t>
      </w:r>
      <w:r w:rsidRPr="002F1795">
        <w:t>To meet its statutory obligations, EPA must obtain sufficient information to ensure compliance with the emissions standards; moreover, a reasonable amount of reporting encourages regulated entities to fulfill their obligations under the statute and regulations</w:t>
      </w:r>
      <w:r w:rsidRPr="002F1795">
        <w:rPr>
          <w:color w:val="000000"/>
        </w:rPr>
        <w:t>.</w:t>
      </w:r>
    </w:p>
    <w:p w:rsidR="0087005D" w:rsidRPr="002F1795" w:rsidRDefault="0087005D" w:rsidP="0087005D"/>
    <w:p w:rsidR="0087005D" w:rsidRPr="002F1795" w:rsidRDefault="0087005D" w:rsidP="0087005D">
      <w:pPr>
        <w:ind w:firstLine="720"/>
      </w:pPr>
      <w:r w:rsidRPr="002F1795">
        <w:rPr>
          <w:b/>
          <w:bCs/>
        </w:rPr>
        <w:t>2(b)</w:t>
      </w:r>
      <w:r w:rsidRPr="002F1795">
        <w:rPr>
          <w:b/>
          <w:bCs/>
        </w:rPr>
        <w:tab/>
        <w:t>Use of the Data</w:t>
      </w:r>
    </w:p>
    <w:p w:rsidR="0087005D" w:rsidRPr="002F1795" w:rsidRDefault="0087005D" w:rsidP="0087005D"/>
    <w:p w:rsidR="0087005D" w:rsidRPr="002F1795" w:rsidRDefault="0087005D" w:rsidP="0087005D">
      <w:pPr>
        <w:ind w:firstLine="720"/>
      </w:pPr>
      <w:r w:rsidRPr="002F1795">
        <w:t xml:space="preserve">EPA would use the information collected to evaluate manufacturer and importer compliance with the emissions standards.  The information that is collected and required to be reported to third-party certifiers is necessary to ensure that producers of composite wood panels maintain proper quality assurance and control measures.  Third-party certifiers require access to this information so that they can certify that products are produce in accordance with TSCA Title VI requirements. TSCA Title VI also directs EPA to include labeling provisions.  The information contained in the labels accompanying composite wood panels and finished goods containing such panels will allow downstream purchasers of these products to determine whether the merchandise is compliant; non-compliant merchandise may not be legally sold supplied or offered for sale in the United States.    </w:t>
      </w:r>
    </w:p>
    <w:p w:rsidR="0087005D" w:rsidRPr="002F1795" w:rsidRDefault="0087005D" w:rsidP="0087005D">
      <w:pPr>
        <w:rPr>
          <w:b/>
          <w:bCs/>
        </w:rPr>
      </w:pPr>
    </w:p>
    <w:p w:rsidR="00452741" w:rsidRPr="002F1795" w:rsidRDefault="00452741" w:rsidP="0087005D">
      <w:pPr>
        <w:rPr>
          <w:b/>
          <w:bCs/>
        </w:rPr>
      </w:pPr>
    </w:p>
    <w:p w:rsidR="0087005D" w:rsidRPr="002F1795" w:rsidRDefault="0087005D" w:rsidP="0087005D">
      <w:pPr>
        <w:rPr>
          <w:b/>
          <w:bCs/>
        </w:rPr>
      </w:pPr>
    </w:p>
    <w:p w:rsidR="0087005D" w:rsidRPr="002F1795" w:rsidRDefault="0087005D" w:rsidP="0087005D">
      <w:r w:rsidRPr="002F1795">
        <w:rPr>
          <w:b/>
          <w:bCs/>
        </w:rPr>
        <w:t>3.  NON-DUPLICATION, CONSULTATIONS, AND OTHER COLLECTION CRITERIA</w:t>
      </w:r>
    </w:p>
    <w:p w:rsidR="0087005D" w:rsidRPr="002F1795" w:rsidRDefault="0087005D" w:rsidP="0087005D"/>
    <w:p w:rsidR="0087005D" w:rsidRPr="002F1795" w:rsidRDefault="0087005D" w:rsidP="0087005D">
      <w:pPr>
        <w:ind w:firstLine="720"/>
      </w:pPr>
      <w:r w:rsidRPr="002F1795">
        <w:rPr>
          <w:b/>
          <w:bCs/>
        </w:rPr>
        <w:t>3(a)</w:t>
      </w:r>
      <w:r w:rsidRPr="002F1795">
        <w:rPr>
          <w:b/>
          <w:bCs/>
        </w:rPr>
        <w:tab/>
        <w:t xml:space="preserve">Non-Duplication </w:t>
      </w:r>
    </w:p>
    <w:p w:rsidR="0087005D" w:rsidRPr="002F1795" w:rsidRDefault="0087005D" w:rsidP="0087005D"/>
    <w:p w:rsidR="0087005D" w:rsidRPr="002F1795" w:rsidRDefault="0087005D" w:rsidP="0087005D">
      <w:pPr>
        <w:autoSpaceDE w:val="0"/>
        <w:autoSpaceDN w:val="0"/>
      </w:pPr>
      <w:r w:rsidRPr="002F1795">
        <w:tab/>
        <w:t>TSCA Title VI assigns to the EPA Administrator the responsibility for promulgating regulations that ensure compliance with the statutory emissions standards for formaldehyde from composite wood products. The information collection requirements addressed in this ICR are not duplicative of any other Federal requirement. There are no federal regulations on formaldehyde emissions from pressed wood products other than those of the Department of Housing and Urban Development (HUD) that are applicable to particleboard and plywood used in manufactured housing. In contrast with the HUD emissions standards which are only applicable to particleboard and plywood used in manufactured housing, the emissions standards in TSCA Title VI apply to hardwood plywood, medium-density fiberboard, and particleboard sold, supplied, offered for sale, or manufactured (defined by statute to include import)  in the United States.</w:t>
      </w:r>
    </w:p>
    <w:p w:rsidR="0087005D" w:rsidRPr="002F1795" w:rsidRDefault="0087005D" w:rsidP="0087005D">
      <w:pPr>
        <w:ind w:firstLine="720"/>
      </w:pPr>
    </w:p>
    <w:p w:rsidR="0087005D" w:rsidRPr="002F1795" w:rsidRDefault="0087005D" w:rsidP="0087005D">
      <w:pPr>
        <w:ind w:firstLine="720"/>
      </w:pPr>
      <w:r w:rsidRPr="002F1795">
        <w:t xml:space="preserve">Because the proposed regulatory requirements are necessarily tailored to the unique TSCA Title VI requirements, these records and reports are the sole source of information for EPA to rely on to ensure compliance with the emissions standards.  </w:t>
      </w:r>
    </w:p>
    <w:p w:rsidR="0087005D" w:rsidRPr="002F1795" w:rsidRDefault="0087005D" w:rsidP="0087005D"/>
    <w:p w:rsidR="0087005D" w:rsidRPr="002F1795" w:rsidRDefault="0087005D" w:rsidP="0087005D">
      <w:pPr>
        <w:ind w:firstLine="720"/>
      </w:pPr>
      <w:r w:rsidRPr="002F1795">
        <w:rPr>
          <w:b/>
          <w:bCs/>
        </w:rPr>
        <w:t>3(b)</w:t>
      </w:r>
      <w:r w:rsidRPr="002F1795">
        <w:rPr>
          <w:b/>
          <w:bCs/>
        </w:rPr>
        <w:tab/>
        <w:t>Public Notice Required Prior to ICR Submission to OMB</w:t>
      </w:r>
    </w:p>
    <w:p w:rsidR="0087005D" w:rsidRPr="002F1795" w:rsidRDefault="0087005D" w:rsidP="0087005D"/>
    <w:p w:rsidR="0087005D" w:rsidRPr="002F1795" w:rsidRDefault="0087005D" w:rsidP="0087005D">
      <w:pPr>
        <w:autoSpaceDE w:val="0"/>
        <w:autoSpaceDN w:val="0"/>
        <w:ind w:firstLine="720"/>
        <w:rPr>
          <w:rFonts w:eastAsia="Calibri"/>
        </w:rPr>
      </w:pPr>
      <w:r w:rsidRPr="002F1795">
        <w:rPr>
          <w:rFonts w:eastAsia="Calibri"/>
        </w:rPr>
        <w:t xml:space="preserve">The proposed rulemaking serves as the public notice for this ICR. Interested parties should submit comments referencing Docket ID No. </w:t>
      </w:r>
      <w:r w:rsidRPr="002F1795">
        <w:t xml:space="preserve">EPA-HQ-OPPT-2011-0380 </w:t>
      </w:r>
      <w:r w:rsidRPr="002F1795">
        <w:rPr>
          <w:rFonts w:eastAsia="Calibri"/>
        </w:rPr>
        <w:t>to the address listed at the end of this document. Responses will be taken into account in developing the final rulemaking.</w:t>
      </w:r>
    </w:p>
    <w:p w:rsidR="0087005D" w:rsidRPr="002F1795" w:rsidRDefault="0087005D" w:rsidP="0087005D">
      <w:pPr>
        <w:autoSpaceDE w:val="0"/>
        <w:autoSpaceDN w:val="0"/>
        <w:ind w:firstLine="720"/>
        <w:rPr>
          <w:rFonts w:cs="TimesNewRoman"/>
        </w:rPr>
      </w:pPr>
    </w:p>
    <w:p w:rsidR="0087005D" w:rsidRPr="002F1795" w:rsidRDefault="0087005D" w:rsidP="00870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2F1795">
        <w:rPr>
          <w:b/>
          <w:bCs/>
        </w:rPr>
        <w:t>3(c)</w:t>
      </w:r>
      <w:r w:rsidRPr="002F1795">
        <w:rPr>
          <w:b/>
          <w:bCs/>
        </w:rPr>
        <w:tab/>
        <w:t>Consultations</w:t>
      </w:r>
    </w:p>
    <w:p w:rsidR="0087005D" w:rsidRPr="002F1795" w:rsidRDefault="0087005D" w:rsidP="0087005D"/>
    <w:p w:rsidR="0087005D" w:rsidRPr="002F1795" w:rsidRDefault="0087005D" w:rsidP="0087005D">
      <w:pPr>
        <w:ind w:firstLine="720"/>
      </w:pPr>
      <w:r w:rsidRPr="002F1795">
        <w:t xml:space="preserve">On numerous occasions during the course of developing the proposed regulation, the Agency has consulted with the regulated community and the public.  These consultations have been held directly with industry officials and, on an ongoing basis, with owners and operators of regulated facilities. EPA has also consulted with the California Air Resources Board (CARB), which operates a similar third-party certification program for formaldehyde standards for composite wood products that are sold, supplied or offered for sale in the State of California. </w:t>
      </w:r>
    </w:p>
    <w:p w:rsidR="0087005D" w:rsidRPr="002F1795" w:rsidRDefault="0087005D" w:rsidP="0087005D">
      <w:pPr>
        <w:ind w:firstLine="720"/>
      </w:pPr>
      <w:r w:rsidRPr="002F1795">
        <w:t xml:space="preserve"> </w:t>
      </w:r>
    </w:p>
    <w:p w:rsidR="0087005D" w:rsidRPr="002F1795" w:rsidRDefault="0087005D" w:rsidP="0087005D">
      <w:pPr>
        <w:ind w:firstLine="720"/>
      </w:pPr>
      <w:r w:rsidRPr="002F1795">
        <w:t xml:space="preserve">Since EPA began its regulatory investigation into formaldehyde emissions from pressed wood products with an Advanced Notice of Proposed Rulemaking (ANPR) published in 2008, EPA has met on numerous occasions with the composite wood panel and related industries.  These meetings have been in the form of presentations at trade shows and industry association conferences, and meetings with the Composite Panel Association (CPA), the Hardwood Plywood and Veneer Association (HPVA), the Kitchen Cabinet Manufacturing Association (KCMA), the American Home Furnishings Alliance (AHFA), the Business and Institutional Furniture Manufacturer’s Association (BIFMA), and individual companies.  EPA </w:t>
      </w:r>
      <w:proofErr w:type="gramStart"/>
      <w:r w:rsidRPr="002F1795">
        <w:t>staff have</w:t>
      </w:r>
      <w:proofErr w:type="gramEnd"/>
      <w:r w:rsidRPr="002F1795">
        <w:t xml:space="preserve">, at the invitation of potentially regulated manufacturers, conducted factory tours and site visits.  </w:t>
      </w:r>
    </w:p>
    <w:p w:rsidR="0087005D" w:rsidRPr="002F1795" w:rsidRDefault="0087005D" w:rsidP="0087005D">
      <w:pPr>
        <w:ind w:firstLine="720"/>
      </w:pPr>
    </w:p>
    <w:p w:rsidR="0087005D" w:rsidRPr="002F1795" w:rsidRDefault="0087005D" w:rsidP="0087005D">
      <w:pPr>
        <w:ind w:firstLine="720"/>
        <w:rPr>
          <w:color w:val="000000"/>
        </w:rPr>
      </w:pPr>
      <w:r w:rsidRPr="002F1795">
        <w:t xml:space="preserve">EPA convened a Small Business Advocacy Review Panel </w:t>
      </w:r>
      <w:r w:rsidRPr="002F1795">
        <w:rPr>
          <w:color w:val="000000"/>
        </w:rPr>
        <w:t xml:space="preserve">and hosted two panel outreach meetings with small entity representatives (SER). Prior to each meeting, EPA distributed </w:t>
      </w:r>
      <w:r w:rsidRPr="002F1795">
        <w:rPr>
          <w:color w:val="000000"/>
        </w:rPr>
        <w:lastRenderedPageBreak/>
        <w:t xml:space="preserve">outreach materials to the SERs, and after each meeting the SERs were asked to provide written feedback on how EPA might reduce regulatory burden on small entities. </w:t>
      </w:r>
      <w:r w:rsidRPr="002F1795">
        <w:t>The Panel received written comments from the SERs in response to the discussions at the meetings and the outreach materials. The Panel summarized written and oral comments from the SERs and developed Panel recommendations in its Panel Report. (</w:t>
      </w:r>
      <w:r w:rsidRPr="002F1795">
        <w:rPr>
          <w:i/>
        </w:rPr>
        <w:t xml:space="preserve">See </w:t>
      </w:r>
      <w:r w:rsidRPr="002F1795">
        <w:rPr>
          <w:bCs/>
          <w:color w:val="000000"/>
        </w:rPr>
        <w:t xml:space="preserve">Panel Report of the Small Business Advocacy Review Panel on EPA’s Planned Proposed Rule </w:t>
      </w:r>
      <w:r w:rsidRPr="002F1795">
        <w:rPr>
          <w:color w:val="000000"/>
        </w:rPr>
        <w:t>Implementing the Formaldehyde Standards for Composite Wood Products Act (TSCA Title VI), April 4, 2011).</w:t>
      </w:r>
    </w:p>
    <w:p w:rsidR="0087005D" w:rsidRPr="002F1795" w:rsidRDefault="0087005D" w:rsidP="0087005D">
      <w:pPr>
        <w:autoSpaceDE w:val="0"/>
        <w:autoSpaceDN w:val="0"/>
        <w:rPr>
          <w:bCs/>
          <w:color w:val="000000"/>
        </w:rPr>
      </w:pPr>
    </w:p>
    <w:p w:rsidR="0087005D" w:rsidRPr="002F1795" w:rsidRDefault="0087005D" w:rsidP="0087005D">
      <w:pPr>
        <w:autoSpaceDE w:val="0"/>
        <w:autoSpaceDN w:val="0"/>
        <w:rPr>
          <w:bCs/>
          <w:color w:val="000000"/>
        </w:rPr>
      </w:pPr>
      <w:r w:rsidRPr="002F1795">
        <w:rPr>
          <w:bCs/>
          <w:color w:val="000000"/>
        </w:rPr>
        <w:tab/>
        <w:t xml:space="preserve">EPA intends to carry out further consultations and outreach with potentially regulated entities concurrent with the public comment period. These comments will be used to update the Supporting Statement as needed.  </w:t>
      </w:r>
    </w:p>
    <w:p w:rsidR="0087005D" w:rsidRPr="002F1795" w:rsidRDefault="0087005D" w:rsidP="0087005D"/>
    <w:p w:rsidR="0087005D" w:rsidRPr="002F1795" w:rsidRDefault="0087005D" w:rsidP="0087005D">
      <w:pPr>
        <w:ind w:firstLine="720"/>
      </w:pPr>
      <w:r w:rsidRPr="002F1795">
        <w:rPr>
          <w:b/>
          <w:bCs/>
        </w:rPr>
        <w:t>3(d)</w:t>
      </w:r>
      <w:r w:rsidRPr="002F1795">
        <w:rPr>
          <w:b/>
          <w:bCs/>
        </w:rPr>
        <w:tab/>
        <w:t>Effects of Less Frequent Collection</w:t>
      </w:r>
    </w:p>
    <w:p w:rsidR="0087005D" w:rsidRPr="002F1795" w:rsidRDefault="0087005D" w:rsidP="0087005D"/>
    <w:p w:rsidR="0087005D" w:rsidRPr="002F1795" w:rsidRDefault="0087005D" w:rsidP="0087005D">
      <w:r w:rsidRPr="002F1795">
        <w:tab/>
        <w:t xml:space="preserve">EPA has judged that the reporting and recordkeeping requirements of the ICR are the minimum amount necessary to fulfill its statutory mandate to promulgate regulations that ensure compliance with the emissions standards. The reports and records in this ICR would allow </w:t>
      </w:r>
      <w:r w:rsidRPr="002F1795">
        <w:rPr>
          <w:bCs/>
        </w:rPr>
        <w:t>EPA carry out its statutorily-delegated roles in program design, enforcement, and oversight</w:t>
      </w:r>
      <w:r w:rsidRPr="002F1795">
        <w:t xml:space="preserve">. EPA believes that less frequent reporting and failure to require notice of significant events could result in uncertified and noncompliant products being distributed in commerce in violation of the statute. For example, panel producers must provide their third-party certifier with monthly product data reports for each production facility, production line, and product type. These reports will include production information and quality control test results, and will allow the third-party certifier to monitor quality control testing and ensure that production at the facility remains in compliance with the statutory emission standards. </w:t>
      </w:r>
    </w:p>
    <w:p w:rsidR="0087005D" w:rsidRPr="002F1795" w:rsidRDefault="0087005D" w:rsidP="0087005D">
      <w:pPr>
        <w:ind w:firstLine="720"/>
        <w:rPr>
          <w:szCs w:val="20"/>
        </w:rPr>
      </w:pPr>
    </w:p>
    <w:p w:rsidR="0087005D" w:rsidRPr="002F1795" w:rsidRDefault="0087005D" w:rsidP="0087005D">
      <w:pPr>
        <w:ind w:firstLine="720"/>
      </w:pPr>
      <w:r w:rsidRPr="002F1795">
        <w:rPr>
          <w:b/>
          <w:bCs/>
        </w:rPr>
        <w:t>3(e)</w:t>
      </w:r>
      <w:r w:rsidRPr="002F1795">
        <w:rPr>
          <w:b/>
          <w:bCs/>
        </w:rPr>
        <w:tab/>
        <w:t>General Guidelines</w:t>
      </w:r>
    </w:p>
    <w:p w:rsidR="0087005D" w:rsidRPr="002F1795" w:rsidRDefault="0087005D" w:rsidP="0087005D"/>
    <w:p w:rsidR="0087005D" w:rsidRPr="002F1795" w:rsidRDefault="0087005D" w:rsidP="0087005D">
      <w:pPr>
        <w:ind w:firstLine="720"/>
      </w:pPr>
      <w:r w:rsidRPr="002F1795">
        <w:t>In general, this information collection complies with the guidelines at 5 CFR 1320.5(d</w:t>
      </w:r>
      <w:proofErr w:type="gramStart"/>
      <w:r w:rsidRPr="002F1795">
        <w:t>)(</w:t>
      </w:r>
      <w:proofErr w:type="gramEnd"/>
      <w:r w:rsidRPr="002F1795">
        <w:t>2).  The exceptions to OMB’s Paperwork Reduction Act Guidelines, and the explanation of why such characteristics are needed to fulfill the statutory requirements, are described below:</w:t>
      </w:r>
    </w:p>
    <w:p w:rsidR="0087005D" w:rsidRPr="002F1795" w:rsidRDefault="0087005D" w:rsidP="0087005D">
      <w:pPr>
        <w:ind w:firstLine="720"/>
      </w:pPr>
    </w:p>
    <w:p w:rsidR="0087005D" w:rsidRPr="002F1795" w:rsidRDefault="0087005D" w:rsidP="0087005D">
      <w:pPr>
        <w:autoSpaceDE w:val="0"/>
        <w:autoSpaceDN w:val="0"/>
        <w:ind w:firstLine="720"/>
        <w:rPr>
          <w:i/>
          <w:iCs/>
          <w:color w:val="000000"/>
        </w:rPr>
      </w:pPr>
      <w:r w:rsidRPr="002F1795">
        <w:rPr>
          <w:color w:val="000000"/>
        </w:rPr>
        <w:t xml:space="preserve">Record retention for </w:t>
      </w:r>
      <w:r w:rsidR="00EE7E8C" w:rsidRPr="002F1795">
        <w:rPr>
          <w:color w:val="000000"/>
        </w:rPr>
        <w:t xml:space="preserve">3 </w:t>
      </w:r>
      <w:r w:rsidRPr="002F1795">
        <w:rPr>
          <w:color w:val="000000"/>
        </w:rPr>
        <w:t xml:space="preserve">years is especially critical because these regulated products (composite wood panels, component parts, and finished goods) may be in commerce for </w:t>
      </w:r>
      <w:r w:rsidR="00EE7E8C" w:rsidRPr="002F1795">
        <w:rPr>
          <w:color w:val="000000"/>
        </w:rPr>
        <w:t>3</w:t>
      </w:r>
      <w:r w:rsidRPr="002F1795">
        <w:rPr>
          <w:color w:val="000000"/>
        </w:rPr>
        <w:t xml:space="preserve"> years or even longer. Composite wood products are regulated beginning with the manufacture (including import) of panels through their incorporation into component parts and finished goods, the distribution of those </w:t>
      </w:r>
      <w:r w:rsidR="006441CF" w:rsidRPr="002F1795">
        <w:rPr>
          <w:color w:val="000000"/>
        </w:rPr>
        <w:t xml:space="preserve">products, </w:t>
      </w:r>
      <w:r w:rsidRPr="002F1795">
        <w:rPr>
          <w:color w:val="000000"/>
        </w:rPr>
        <w:t xml:space="preserve">and the retail sale of those products.  This is a lengthy process and the amount of time composite wood panels are held in inventory and the amount of time before they are incorporated into a finished </w:t>
      </w:r>
      <w:proofErr w:type="gramStart"/>
      <w:r w:rsidRPr="002F1795">
        <w:rPr>
          <w:color w:val="000000"/>
        </w:rPr>
        <w:t>good</w:t>
      </w:r>
      <w:proofErr w:type="gramEnd"/>
      <w:r w:rsidRPr="002F1795">
        <w:rPr>
          <w:color w:val="000000"/>
        </w:rPr>
        <w:t xml:space="preserve"> are variable.  This point was illustrated by the fact that the State of California had to twice extend its “sell-through date” when it enacted an Airborne Toxic Control Measure (ATCM) establishing formaldehyde emissions standards for composite wood products. The California Air Resources Board found that these extensions were necessary because the recession increased the amount of time manufacturers needed to clear preexisting inventory. (</w:t>
      </w:r>
      <w:r w:rsidRPr="002F1795">
        <w:rPr>
          <w:i/>
          <w:iCs/>
          <w:color w:val="000000"/>
        </w:rPr>
        <w:t xml:space="preserve">See, e.g., </w:t>
      </w:r>
      <w:r w:rsidRPr="002F1795">
        <w:rPr>
          <w:color w:val="000000"/>
        </w:rPr>
        <w:t xml:space="preserve"> Composite Wood Products Regulation Advisory: 11-01, Extension of Sell-Through Dates for: Distributors, Importers, Fabricators, and Retailers of </w:t>
      </w:r>
      <w:r w:rsidRPr="002F1795">
        <w:rPr>
          <w:color w:val="000000"/>
        </w:rPr>
        <w:lastRenderedPageBreak/>
        <w:t xml:space="preserve">Finished Goods Containing Phase 1 Hardwood Plywood- Veneer Core and Distributors of Phase 1 Particleboard and Medium Density Fiberboard Panels, </w:t>
      </w:r>
      <w:r w:rsidRPr="002F1795">
        <w:rPr>
          <w:i/>
          <w:iCs/>
          <w:color w:val="000000"/>
        </w:rPr>
        <w:t xml:space="preserve">available at </w:t>
      </w:r>
      <w:hyperlink r:id="rId7" w:history="1">
        <w:r w:rsidRPr="002F1795">
          <w:rPr>
            <w:color w:val="0000FF"/>
            <w:u w:val="single"/>
          </w:rPr>
          <w:t>http://www.arb.ca.gov/toxics/compwood/outreach/11_01_advisory.pdf</w:t>
        </w:r>
      </w:hyperlink>
      <w:r w:rsidRPr="002F1795">
        <w:rPr>
          <w:iCs/>
          <w:color w:val="000000"/>
        </w:rPr>
        <w:t xml:space="preserve">). </w:t>
      </w:r>
      <w:r w:rsidRPr="002F1795">
        <w:rPr>
          <w:color w:val="000000"/>
        </w:rPr>
        <w:t xml:space="preserve">It is essential that proper chain-of-custody documentation be retained for this entire period of time so that both EPA and interested downstream consumers can be assured that a finished good containing regulated composite wood product was made from compliant composite wood panels.  </w:t>
      </w:r>
    </w:p>
    <w:p w:rsidR="0087005D" w:rsidRPr="002F1795" w:rsidRDefault="0087005D" w:rsidP="0087005D">
      <w:pPr>
        <w:autoSpaceDE w:val="0"/>
        <w:autoSpaceDN w:val="0"/>
        <w:ind w:firstLine="720"/>
      </w:pPr>
    </w:p>
    <w:p w:rsidR="0087005D" w:rsidRPr="002F1795" w:rsidRDefault="0087005D" w:rsidP="0087005D">
      <w:r w:rsidRPr="002F1795">
        <w:tab/>
        <w:t>A number of provisions require reporting only upon the occurrence of a specific event.  For example, a panel producer must notify its third-party certifier immediately if it makes production changes that are likely to have an impact on formaldehyde emissions from its products.  These reporting requirements are not triggered by the calendar (</w:t>
      </w:r>
      <w:r w:rsidRPr="002F1795">
        <w:rPr>
          <w:i/>
        </w:rPr>
        <w:t>i.e.</w:t>
      </w:r>
      <w:r w:rsidRPr="002F1795">
        <w:t xml:space="preserve">, they are not required quarterly or at more frequent intervals). Therefore, the Agency does not believe that these provisions need special justification. Moreover, EPA believes that unless these notifications are provided within the intervals prescribed in the proposed rule, a change in circumstances could result in non-compliant products being distributed in commerce. Not only is this a violation of the statute, but it greatly increases the cost associated of segregating, treating and retesting these products. </w:t>
      </w:r>
    </w:p>
    <w:p w:rsidR="0087005D" w:rsidRPr="002F1795" w:rsidRDefault="0087005D" w:rsidP="0087005D"/>
    <w:p w:rsidR="0087005D" w:rsidRPr="002F1795" w:rsidRDefault="0087005D" w:rsidP="0087005D">
      <w:pPr>
        <w:ind w:firstLine="720"/>
      </w:pPr>
      <w:r w:rsidRPr="002F1795">
        <w:rPr>
          <w:b/>
          <w:bCs/>
        </w:rPr>
        <w:t>3(f)</w:t>
      </w:r>
      <w:r w:rsidRPr="002F1795">
        <w:rPr>
          <w:b/>
          <w:bCs/>
        </w:rPr>
        <w:tab/>
        <w:t>Confidentiality</w:t>
      </w:r>
    </w:p>
    <w:p w:rsidR="0087005D" w:rsidRPr="002F1795" w:rsidRDefault="0087005D" w:rsidP="0087005D"/>
    <w:p w:rsidR="0087005D" w:rsidRPr="002F1795" w:rsidRDefault="0087005D" w:rsidP="0087005D">
      <w:pPr>
        <w:ind w:firstLine="720"/>
      </w:pPr>
      <w:r w:rsidRPr="002F1795">
        <w:t>Regulated entities may claim all or part of any information given to EPA as confidential business information (CBI).  EPA handles claims of confidentiality pursuant to established CBI procedures, as found at Section 14 of TSCA, 40 CFR Part 2, and the Agency’s TSCA CBI Manual.  CBI is also protected under the Freedom of Information Act (5 USC Section 525).  Much of the information requested in the reporting requirements of these collections is not of a confidential nature.</w:t>
      </w:r>
    </w:p>
    <w:p w:rsidR="0087005D" w:rsidRPr="002F1795" w:rsidRDefault="0087005D" w:rsidP="0087005D"/>
    <w:p w:rsidR="0087005D" w:rsidRPr="002F1795" w:rsidRDefault="0087005D" w:rsidP="0087005D">
      <w:pPr>
        <w:ind w:firstLine="720"/>
      </w:pPr>
      <w:r w:rsidRPr="002F1795">
        <w:rPr>
          <w:b/>
          <w:bCs/>
        </w:rPr>
        <w:t>3(g)</w:t>
      </w:r>
      <w:r w:rsidRPr="002F1795">
        <w:rPr>
          <w:b/>
          <w:bCs/>
        </w:rPr>
        <w:tab/>
        <w:t>Sensitive Questions</w:t>
      </w:r>
    </w:p>
    <w:p w:rsidR="0087005D" w:rsidRPr="002F1795" w:rsidRDefault="0087005D" w:rsidP="0087005D"/>
    <w:p w:rsidR="0087005D" w:rsidRPr="002F1795" w:rsidRDefault="0087005D" w:rsidP="0087005D">
      <w:pPr>
        <w:ind w:firstLine="720"/>
      </w:pPr>
      <w:r w:rsidRPr="002F1795">
        <w:t>EPA asks no questions of a sensitive nature.</w:t>
      </w:r>
    </w:p>
    <w:p w:rsidR="0087005D" w:rsidRPr="002F1795" w:rsidRDefault="0087005D" w:rsidP="0087005D"/>
    <w:p w:rsidR="0087005D" w:rsidRPr="002F1795" w:rsidRDefault="0087005D" w:rsidP="0087005D">
      <w:r w:rsidRPr="002F1795">
        <w:rPr>
          <w:b/>
          <w:bCs/>
        </w:rPr>
        <w:t>4.  THE RESPONDENTS AND THE INFORMATION REQUESTED</w:t>
      </w:r>
    </w:p>
    <w:p w:rsidR="0087005D" w:rsidRPr="002F1795" w:rsidRDefault="0087005D" w:rsidP="0087005D"/>
    <w:p w:rsidR="0087005D" w:rsidRPr="002F1795" w:rsidRDefault="0087005D" w:rsidP="0087005D">
      <w:pPr>
        <w:ind w:firstLine="720"/>
      </w:pPr>
      <w:r w:rsidRPr="002F1795">
        <w:rPr>
          <w:b/>
          <w:bCs/>
        </w:rPr>
        <w:t>4(a)</w:t>
      </w:r>
      <w:r w:rsidRPr="002F1795">
        <w:rPr>
          <w:b/>
          <w:bCs/>
        </w:rPr>
        <w:tab/>
        <w:t xml:space="preserve">Respondents/NAICS Codes </w:t>
      </w:r>
    </w:p>
    <w:p w:rsidR="0087005D" w:rsidRPr="002F1795" w:rsidRDefault="0087005D" w:rsidP="0087005D"/>
    <w:p w:rsidR="0087005D" w:rsidRPr="002F1795" w:rsidRDefault="0087005D" w:rsidP="0087005D">
      <w:r w:rsidRPr="002F1795">
        <w:tab/>
        <w:t xml:space="preserve">The primary respondents would be manufactures, distributors, importers, retailers of regulated composite wood products and finished goods containing regulated composite wood products. </w:t>
      </w:r>
    </w:p>
    <w:p w:rsidR="0087005D" w:rsidRPr="002F1795" w:rsidRDefault="0087005D" w:rsidP="0087005D"/>
    <w:p w:rsidR="0087005D" w:rsidRPr="002F1795" w:rsidRDefault="0087005D" w:rsidP="0087005D">
      <w:r w:rsidRPr="002F1795">
        <w:t xml:space="preserve">The following NAICS codes may be affected: </w:t>
      </w:r>
    </w:p>
    <w:p w:rsidR="0087005D" w:rsidRPr="002F1795" w:rsidRDefault="0087005D" w:rsidP="0087005D"/>
    <w:p w:rsidR="0087005D" w:rsidRPr="002F1795" w:rsidRDefault="0087005D" w:rsidP="0087005D">
      <w:pPr>
        <w:numPr>
          <w:ilvl w:val="0"/>
          <w:numId w:val="47"/>
        </w:numPr>
        <w:contextualSpacing/>
      </w:pPr>
      <w:r w:rsidRPr="002F1795">
        <w:t>Hardwood Veneer and Plywood Manufacturing (NAICS code 321211);</w:t>
      </w:r>
    </w:p>
    <w:p w:rsidR="0087005D" w:rsidRPr="002F1795" w:rsidRDefault="0087005D" w:rsidP="0087005D">
      <w:pPr>
        <w:numPr>
          <w:ilvl w:val="0"/>
          <w:numId w:val="47"/>
        </w:numPr>
        <w:contextualSpacing/>
      </w:pPr>
      <w:r w:rsidRPr="002F1795">
        <w:t>Reconstituted Wood Product Manufacturing (NAICS code 321219);</w:t>
      </w:r>
    </w:p>
    <w:p w:rsidR="0087005D" w:rsidRPr="002F1795" w:rsidRDefault="0087005D" w:rsidP="0087005D">
      <w:pPr>
        <w:numPr>
          <w:ilvl w:val="0"/>
          <w:numId w:val="47"/>
        </w:numPr>
        <w:contextualSpacing/>
      </w:pPr>
      <w:r w:rsidRPr="002F1795">
        <w:t>All Other Miscellaneous Wood Product Manufacturing (NAICS code 321999);</w:t>
      </w:r>
    </w:p>
    <w:p w:rsidR="0087005D" w:rsidRPr="002F1795" w:rsidRDefault="0087005D" w:rsidP="0087005D">
      <w:pPr>
        <w:numPr>
          <w:ilvl w:val="0"/>
          <w:numId w:val="47"/>
        </w:numPr>
        <w:contextualSpacing/>
      </w:pPr>
      <w:r w:rsidRPr="002F1795">
        <w:t>Furniture and Related Product Manufacturing (NAICS code 337);</w:t>
      </w:r>
    </w:p>
    <w:p w:rsidR="0087005D" w:rsidRPr="002F1795" w:rsidRDefault="0087005D" w:rsidP="0087005D">
      <w:pPr>
        <w:numPr>
          <w:ilvl w:val="0"/>
          <w:numId w:val="47"/>
        </w:numPr>
        <w:contextualSpacing/>
      </w:pPr>
      <w:r w:rsidRPr="002F1795">
        <w:t>Miscellaneous Manufacturing (NAICS code 339);</w:t>
      </w:r>
    </w:p>
    <w:p w:rsidR="0087005D" w:rsidRPr="002F1795" w:rsidRDefault="0087005D" w:rsidP="0087005D">
      <w:pPr>
        <w:numPr>
          <w:ilvl w:val="0"/>
          <w:numId w:val="47"/>
        </w:numPr>
        <w:contextualSpacing/>
      </w:pPr>
      <w:r w:rsidRPr="002F1795">
        <w:lastRenderedPageBreak/>
        <w:t>Merchant Wholesalers, Durable Goods (NAICS code 423);</w:t>
      </w:r>
    </w:p>
    <w:p w:rsidR="0087005D" w:rsidRPr="002F1795" w:rsidRDefault="0087005D" w:rsidP="0087005D">
      <w:pPr>
        <w:numPr>
          <w:ilvl w:val="0"/>
          <w:numId w:val="47"/>
        </w:numPr>
        <w:contextualSpacing/>
      </w:pPr>
      <w:r w:rsidRPr="002F1795">
        <w:t>Merchant Wholesalers, Nondurable Goods (NAICS code 424); and</w:t>
      </w:r>
    </w:p>
    <w:p w:rsidR="0087005D" w:rsidRPr="002F1795" w:rsidRDefault="0087005D" w:rsidP="0087005D">
      <w:pPr>
        <w:numPr>
          <w:ilvl w:val="0"/>
          <w:numId w:val="47"/>
        </w:numPr>
        <w:contextualSpacing/>
      </w:pPr>
      <w:r w:rsidRPr="002F1795">
        <w:t>Retail Trade (NAICS Sector 44 and 45).</w:t>
      </w:r>
    </w:p>
    <w:p w:rsidR="0087005D" w:rsidRPr="002F1795" w:rsidRDefault="0087005D" w:rsidP="0087005D">
      <w:pPr>
        <w:autoSpaceDE w:val="0"/>
        <w:autoSpaceDN w:val="0"/>
        <w:ind w:left="360"/>
        <w:contextualSpacing/>
      </w:pPr>
    </w:p>
    <w:p w:rsidR="0087005D" w:rsidRPr="002F1795" w:rsidRDefault="0087005D" w:rsidP="0087005D">
      <w:pPr>
        <w:ind w:firstLine="720"/>
      </w:pPr>
      <w:r w:rsidRPr="002F1795">
        <w:rPr>
          <w:b/>
          <w:bCs/>
        </w:rPr>
        <w:t>4(b)</w:t>
      </w:r>
      <w:r w:rsidRPr="002F1795">
        <w:rPr>
          <w:b/>
          <w:bCs/>
        </w:rPr>
        <w:tab/>
        <w:t>Information Requested</w:t>
      </w:r>
    </w:p>
    <w:p w:rsidR="0087005D" w:rsidRPr="002F1795" w:rsidRDefault="0087005D" w:rsidP="0087005D"/>
    <w:p w:rsidR="0087005D" w:rsidRPr="002F1795" w:rsidRDefault="0087005D" w:rsidP="0087005D">
      <w:pPr>
        <w:ind w:firstLine="720"/>
      </w:pPr>
      <w:r w:rsidRPr="002F1795">
        <w:rPr>
          <w:b/>
          <w:bCs/>
        </w:rPr>
        <w:t>(</w:t>
      </w:r>
      <w:proofErr w:type="spellStart"/>
      <w:r w:rsidRPr="002F1795">
        <w:rPr>
          <w:b/>
          <w:bCs/>
        </w:rPr>
        <w:t>i</w:t>
      </w:r>
      <w:proofErr w:type="spellEnd"/>
      <w:r w:rsidRPr="002F1795">
        <w:rPr>
          <w:b/>
          <w:bCs/>
        </w:rPr>
        <w:t>)  Data Items</w:t>
      </w:r>
    </w:p>
    <w:p w:rsidR="0087005D" w:rsidRPr="002F1795" w:rsidRDefault="0087005D" w:rsidP="0087005D">
      <w:pPr>
        <w:ind w:firstLine="720"/>
      </w:pPr>
    </w:p>
    <w:p w:rsidR="0087005D" w:rsidRPr="002F1795" w:rsidRDefault="0087005D" w:rsidP="0087005D">
      <w:r w:rsidRPr="002F1795">
        <w:t>The proposed recordkeeping requirements and reporting requirements include:</w:t>
      </w:r>
    </w:p>
    <w:p w:rsidR="0087005D" w:rsidRPr="002F1795" w:rsidRDefault="0087005D" w:rsidP="0087005D">
      <w:pPr>
        <w:ind w:firstLine="720"/>
        <w:rPr>
          <w:b/>
          <w:bCs/>
        </w:rPr>
      </w:pPr>
    </w:p>
    <w:p w:rsidR="0087005D" w:rsidRPr="002F1795" w:rsidRDefault="0087005D" w:rsidP="0087005D">
      <w:pPr>
        <w:ind w:firstLine="720"/>
      </w:pPr>
      <w:r w:rsidRPr="002F1795">
        <w:rPr>
          <w:b/>
          <w:bCs/>
        </w:rPr>
        <w:t xml:space="preserve">(A)  </w:t>
      </w:r>
      <w:r w:rsidRPr="002F1795">
        <w:rPr>
          <w:b/>
          <w:bCs/>
          <w:u w:val="single"/>
        </w:rPr>
        <w:t>Notifications/Reports</w:t>
      </w:r>
      <w:r w:rsidRPr="002F1795">
        <w:t xml:space="preserve">.  Respondents are required to submit information to EPA to accomplish the following reporting tasks:  </w:t>
      </w:r>
    </w:p>
    <w:p w:rsidR="0087005D" w:rsidRPr="002F1795" w:rsidRDefault="0087005D" w:rsidP="0087005D">
      <w:pPr>
        <w:ind w:firstLine="720"/>
      </w:pPr>
    </w:p>
    <w:p w:rsidR="0087005D" w:rsidRPr="002F1795" w:rsidRDefault="0087005D" w:rsidP="0087005D">
      <w:pPr>
        <w:numPr>
          <w:ilvl w:val="0"/>
          <w:numId w:val="41"/>
        </w:numPr>
      </w:pPr>
      <w:r w:rsidRPr="002F1795">
        <w:t xml:space="preserve">Imports of regulated composite wood products and finished goods containing regulated composite wood products must be accompanied by a TSCA § 13 import certification. </w:t>
      </w:r>
    </w:p>
    <w:p w:rsidR="0087005D" w:rsidRPr="002F1795" w:rsidRDefault="0087005D" w:rsidP="0087005D"/>
    <w:p w:rsidR="0087005D" w:rsidRPr="002F1795" w:rsidRDefault="0087005D" w:rsidP="0087005D">
      <w:pPr>
        <w:numPr>
          <w:ilvl w:val="0"/>
          <w:numId w:val="41"/>
        </w:numPr>
      </w:pPr>
      <w:r w:rsidRPr="002F1795">
        <w:t xml:space="preserve">Panel producers who wish to qualify for reduced testing and third-party certifier oversight under the no-added formaldehyde-based resin provisions must apply to a third-party certifier and send a copy of the application to EPA. </w:t>
      </w:r>
    </w:p>
    <w:p w:rsidR="0087005D" w:rsidRPr="002F1795" w:rsidRDefault="0087005D" w:rsidP="0087005D">
      <w:pPr>
        <w:ind w:left="720"/>
      </w:pPr>
    </w:p>
    <w:p w:rsidR="0087005D" w:rsidRPr="002F1795" w:rsidRDefault="0087005D" w:rsidP="0087005D">
      <w:pPr>
        <w:numPr>
          <w:ilvl w:val="0"/>
          <w:numId w:val="41"/>
        </w:numPr>
      </w:pPr>
      <w:r w:rsidRPr="002F1795">
        <w:t>Third-party certifiers must notify EPA and the panel producer of a failed quarterly test I in writing within 24 hours.</w:t>
      </w:r>
    </w:p>
    <w:p w:rsidR="0087005D" w:rsidRPr="002F1795" w:rsidRDefault="0087005D" w:rsidP="0087005D">
      <w:pPr>
        <w:ind w:left="720"/>
      </w:pPr>
    </w:p>
    <w:p w:rsidR="0087005D" w:rsidRPr="002F1795" w:rsidRDefault="0087005D" w:rsidP="0087005D">
      <w:pPr>
        <w:ind w:firstLine="720"/>
      </w:pPr>
      <w:r w:rsidRPr="002F1795">
        <w:rPr>
          <w:b/>
          <w:bCs/>
        </w:rPr>
        <w:t xml:space="preserve"> (B) </w:t>
      </w:r>
      <w:r w:rsidRPr="002F1795">
        <w:rPr>
          <w:b/>
          <w:bCs/>
          <w:u w:val="single"/>
        </w:rPr>
        <w:t>Third-Party Notifications/Reports</w:t>
      </w:r>
      <w:r w:rsidRPr="002F1795">
        <w:t>.  Respondents are required to submit information to entities other than EPA as follows:</w:t>
      </w:r>
    </w:p>
    <w:p w:rsidR="0087005D" w:rsidRPr="002F1795" w:rsidRDefault="0087005D" w:rsidP="0087005D">
      <w:pPr>
        <w:ind w:firstLine="720"/>
      </w:pPr>
    </w:p>
    <w:p w:rsidR="0087005D" w:rsidRPr="002F1795" w:rsidRDefault="0087005D" w:rsidP="0087005D">
      <w:pPr>
        <w:numPr>
          <w:ilvl w:val="0"/>
          <w:numId w:val="41"/>
        </w:numPr>
        <w:rPr>
          <w:rFonts w:eastAsia="Calibri"/>
        </w:rPr>
      </w:pPr>
      <w:r w:rsidRPr="002F1795">
        <w:rPr>
          <w:rFonts w:eastAsia="Calibri"/>
        </w:rPr>
        <w:t xml:space="preserve">Composite wood product panel producers must apply for product certification from a third-party certifier. The application must include the panel producer’s name, address, telephone number, and other contact information, including name and contact information for the panel producer’s quality control manager, and an identification of the specific products for which certification is requested, the chemical formulation of the resins, including base resins, catalysts, and other additives used in panel production, and testing results. A copy of the panel producer’s quality control manual must also be provided to the third-party certifier with the application.  Manuals must include information on the organizational structure of the quality control department, a description of the sampling procedures and frequency of testing, a description of procedures used to identify significant production changes, a description of the resin and press time for each product type, and a description of recordkeeping procedures. Changes in manuals must be submitted to and approved by an accredited third-party certifier.  </w:t>
      </w:r>
    </w:p>
    <w:p w:rsidR="0087005D" w:rsidRPr="002F1795" w:rsidRDefault="0087005D" w:rsidP="0087005D">
      <w:pPr>
        <w:ind w:left="720"/>
        <w:rPr>
          <w:rFonts w:eastAsia="Calibri"/>
        </w:rPr>
      </w:pPr>
      <w:r w:rsidRPr="002F1795">
        <w:rPr>
          <w:rFonts w:eastAsia="Calibri"/>
        </w:rPr>
        <w:t xml:space="preserve"> </w:t>
      </w:r>
    </w:p>
    <w:p w:rsidR="0087005D" w:rsidRPr="002F1795" w:rsidRDefault="0087005D" w:rsidP="0087005D">
      <w:pPr>
        <w:numPr>
          <w:ilvl w:val="0"/>
          <w:numId w:val="41"/>
        </w:numPr>
        <w:rPr>
          <w:rFonts w:eastAsia="Calibri"/>
        </w:rPr>
      </w:pPr>
      <w:r w:rsidRPr="002F1795">
        <w:rPr>
          <w:rFonts w:eastAsia="Calibri"/>
        </w:rPr>
        <w:t>Composite wood product panel producers must provide information on the</w:t>
      </w:r>
      <w:r w:rsidR="009C46B0" w:rsidRPr="002F1795">
        <w:rPr>
          <w:rFonts w:eastAsia="Calibri"/>
        </w:rPr>
        <w:t xml:space="preserve"> qualifications of their quality control manager and quality control employees </w:t>
      </w:r>
      <w:r w:rsidRPr="002F1795">
        <w:rPr>
          <w:rFonts w:eastAsia="Calibri"/>
        </w:rPr>
        <w:t xml:space="preserve">to the third-party certifier.  </w:t>
      </w:r>
    </w:p>
    <w:p w:rsidR="0087005D" w:rsidRPr="002F1795" w:rsidRDefault="0087005D" w:rsidP="0087005D">
      <w:pPr>
        <w:ind w:left="720"/>
        <w:rPr>
          <w:rFonts w:eastAsia="Calibri"/>
        </w:rPr>
      </w:pPr>
      <w:r w:rsidRPr="002F1795">
        <w:rPr>
          <w:rFonts w:eastAsia="Calibri"/>
        </w:rPr>
        <w:t xml:space="preserve">  </w:t>
      </w:r>
    </w:p>
    <w:p w:rsidR="0087005D" w:rsidRPr="002F1795" w:rsidRDefault="0087005D" w:rsidP="0087005D">
      <w:pPr>
        <w:numPr>
          <w:ilvl w:val="0"/>
          <w:numId w:val="41"/>
        </w:numPr>
        <w:rPr>
          <w:rFonts w:eastAsia="Calibri"/>
        </w:rPr>
      </w:pPr>
      <w:r w:rsidRPr="002F1795">
        <w:rPr>
          <w:rFonts w:eastAsia="Calibri"/>
        </w:rPr>
        <w:t xml:space="preserve">Composite wood product panel producers must provide their third-party certifier with a monthly product data reports that include production information and quality control test results for each </w:t>
      </w:r>
      <w:r w:rsidRPr="002F1795">
        <w:t>production facility, pro</w:t>
      </w:r>
      <w:r w:rsidRPr="002F1795">
        <w:rPr>
          <w:rFonts w:eastAsia="Calibri"/>
        </w:rPr>
        <w:t xml:space="preserve">duction line, and product type. </w:t>
      </w:r>
    </w:p>
    <w:p w:rsidR="0087005D" w:rsidRPr="002F1795" w:rsidRDefault="0087005D" w:rsidP="0087005D">
      <w:pPr>
        <w:ind w:left="720"/>
        <w:rPr>
          <w:rFonts w:eastAsia="Calibri"/>
        </w:rPr>
      </w:pPr>
    </w:p>
    <w:p w:rsidR="0087005D" w:rsidRPr="002F1795" w:rsidRDefault="0087005D" w:rsidP="0087005D">
      <w:pPr>
        <w:numPr>
          <w:ilvl w:val="0"/>
          <w:numId w:val="41"/>
        </w:numPr>
      </w:pPr>
      <w:r w:rsidRPr="002F1795">
        <w:t xml:space="preserve">Composite wood product panel producers must notify their third-party certifiers if they change quality control managers. This notification must occur within 10 days of the change.  </w:t>
      </w:r>
    </w:p>
    <w:p w:rsidR="0087005D" w:rsidRPr="002F1795" w:rsidRDefault="0087005D" w:rsidP="0087005D"/>
    <w:p w:rsidR="0087005D" w:rsidRPr="002F1795" w:rsidRDefault="0087005D" w:rsidP="0087005D">
      <w:pPr>
        <w:numPr>
          <w:ilvl w:val="0"/>
          <w:numId w:val="41"/>
        </w:numPr>
        <w:rPr>
          <w:bCs/>
        </w:rPr>
      </w:pPr>
      <w:r w:rsidRPr="002F1795">
        <w:t>Composite wood product panel producers wishing to take advantage of reduced testing and third-party certification requirements for products made with no-added formaldehyde resins must apply to an accredited third-party certifier.</w:t>
      </w:r>
      <w:r w:rsidRPr="002F1795">
        <w:rPr>
          <w:bCs/>
        </w:rPr>
        <w:t xml:space="preserve"> The application must include the panel producer’s name and contact information as well as an identification of the specific product and the chemical formulation of the resins, including base resins, catalysts, and other additives as used in manufacturing. Testing results must also be part of the application. If the application is granted, every two years thereafter, the panel producer must have one test performed by an accredited third-party certifier that demonstrates continued compliance with the reduced formaldehyde emission standards for each product type.</w:t>
      </w:r>
    </w:p>
    <w:p w:rsidR="0087005D" w:rsidRPr="002F1795" w:rsidRDefault="0087005D" w:rsidP="0087005D">
      <w:pPr>
        <w:rPr>
          <w:bCs/>
        </w:rPr>
      </w:pPr>
    </w:p>
    <w:p w:rsidR="0087005D" w:rsidRPr="002F1795" w:rsidRDefault="0087005D" w:rsidP="0087005D">
      <w:pPr>
        <w:numPr>
          <w:ilvl w:val="0"/>
          <w:numId w:val="41"/>
        </w:numPr>
        <w:rPr>
          <w:iCs/>
        </w:rPr>
      </w:pPr>
      <w:r w:rsidRPr="002F1795">
        <w:rPr>
          <w:iCs/>
        </w:rPr>
        <w:t>Panels or bundles of regulated composite wood products must be labeled with the producer’s name (or number), lot or batch number, the number of the accredited third-party certifier, and markings indicating that the product complies with the TSCA Title VI emission standards. Products that qualify for reduced testing and third-party certification requirements based on the use of</w:t>
      </w:r>
      <w:r w:rsidR="00EE7E8C" w:rsidRPr="002F1795">
        <w:rPr>
          <w:iCs/>
        </w:rPr>
        <w:t xml:space="preserve"> ultra-low formaldehyde or</w:t>
      </w:r>
      <w:r w:rsidRPr="002F1795">
        <w:rPr>
          <w:iCs/>
        </w:rPr>
        <w:t xml:space="preserve"> no-added formaldehyde resins must also be marked with indications that they were produced using</w:t>
      </w:r>
      <w:r w:rsidR="00EE7E8C" w:rsidRPr="002F1795">
        <w:rPr>
          <w:iCs/>
        </w:rPr>
        <w:t xml:space="preserve"> ultra-low formaldehyde or</w:t>
      </w:r>
      <w:r w:rsidRPr="002F1795">
        <w:rPr>
          <w:iCs/>
        </w:rPr>
        <w:t xml:space="preserve"> no-added formaldehyde resins.  Boards that are shipped into the United States for testing purposes must also be labeled as such.</w:t>
      </w:r>
    </w:p>
    <w:p w:rsidR="0087005D" w:rsidRPr="002F1795" w:rsidRDefault="0087005D" w:rsidP="0087005D">
      <w:pPr>
        <w:ind w:left="720"/>
        <w:rPr>
          <w:iCs/>
        </w:rPr>
      </w:pPr>
      <w:r w:rsidRPr="002F1795">
        <w:rPr>
          <w:iCs/>
        </w:rPr>
        <w:t xml:space="preserve">  </w:t>
      </w:r>
    </w:p>
    <w:p w:rsidR="0087005D" w:rsidRPr="002F1795" w:rsidRDefault="0087005D" w:rsidP="0087005D">
      <w:pPr>
        <w:numPr>
          <w:ilvl w:val="0"/>
          <w:numId w:val="41"/>
        </w:numPr>
        <w:rPr>
          <w:iCs/>
        </w:rPr>
      </w:pPr>
      <w:r w:rsidRPr="002F1795">
        <w:rPr>
          <w:iCs/>
        </w:rPr>
        <w:t xml:space="preserve">Fabricators of finished goods containing composite wood products are required to label every finished good they produce, or every box containing finished goods.  The label could be applied as a stamp, tag, sticker, or bar code and must include the fabricator’s name, the date the finished good was produced and a marking to denote that the product was made in compliance with TSCA Title VI.    </w:t>
      </w:r>
    </w:p>
    <w:p w:rsidR="0087005D" w:rsidRPr="002F1795" w:rsidRDefault="0087005D" w:rsidP="0087005D"/>
    <w:p w:rsidR="0087005D" w:rsidRPr="002F1795" w:rsidRDefault="0087005D" w:rsidP="0087005D">
      <w:pPr>
        <w:ind w:firstLine="720"/>
      </w:pPr>
      <w:r w:rsidRPr="002F1795">
        <w:rPr>
          <w:b/>
          <w:bCs/>
        </w:rPr>
        <w:t xml:space="preserve">(C)  </w:t>
      </w:r>
      <w:r w:rsidRPr="002F1795">
        <w:rPr>
          <w:b/>
          <w:bCs/>
          <w:u w:val="single"/>
        </w:rPr>
        <w:t>Records</w:t>
      </w:r>
      <w:r w:rsidRPr="002F1795">
        <w:t>.  Respondents are required to maintain records as follows:</w:t>
      </w:r>
    </w:p>
    <w:p w:rsidR="0087005D" w:rsidRPr="002F1795" w:rsidRDefault="0087005D" w:rsidP="0087005D">
      <w:pPr>
        <w:ind w:firstLine="720"/>
      </w:pPr>
    </w:p>
    <w:p w:rsidR="0087005D" w:rsidRPr="002F1795" w:rsidRDefault="0087005D" w:rsidP="0087005D">
      <w:pPr>
        <w:numPr>
          <w:ilvl w:val="0"/>
          <w:numId w:val="42"/>
        </w:numPr>
      </w:pPr>
      <w:r w:rsidRPr="002F1795">
        <w:t xml:space="preserve">Panel producers must maintain the following records for at least </w:t>
      </w:r>
      <w:r w:rsidR="00EE7E8C" w:rsidRPr="002F1795">
        <w:t xml:space="preserve">three </w:t>
      </w:r>
      <w:r w:rsidRPr="002F1795">
        <w:t>years and make them available upon request to EPA, their third-party certifiers, and to purchasers of their composite wood products:</w:t>
      </w:r>
    </w:p>
    <w:p w:rsidR="007F22C7" w:rsidRPr="002F1795" w:rsidRDefault="007F22C7" w:rsidP="007F22C7">
      <w:pPr>
        <w:pStyle w:val="NoSpacing"/>
        <w:numPr>
          <w:ilvl w:val="1"/>
          <w:numId w:val="42"/>
        </w:numPr>
      </w:pPr>
      <w:r w:rsidRPr="002F1795">
        <w:t xml:space="preserve">Records of all quarterly emission testing and all ongoing quality control testing that identify the TPC conducting or overseeing the testing and the laboratory or quality control facility actually performing the testing.  These records must also include the date, the product type tested, the lot or batch number that the tested material represents, the test method used, and the test results.  </w:t>
      </w:r>
    </w:p>
    <w:p w:rsidR="007F22C7" w:rsidRPr="002F1795" w:rsidRDefault="007F22C7" w:rsidP="007F22C7">
      <w:pPr>
        <w:pStyle w:val="NoSpacing"/>
        <w:numPr>
          <w:ilvl w:val="1"/>
          <w:numId w:val="42"/>
        </w:numPr>
      </w:pPr>
      <w:r w:rsidRPr="002F1795">
        <w:t>Production records, including a description of the composite wood product(s), the date of manufacture, lot or batch numbers, and tracking information allowing each product to be traced to a specific lot number or batch produced.</w:t>
      </w:r>
    </w:p>
    <w:p w:rsidR="007F22C7" w:rsidRPr="002F1795" w:rsidRDefault="007F22C7" w:rsidP="007F22C7">
      <w:pPr>
        <w:pStyle w:val="NoSpacing"/>
        <w:numPr>
          <w:ilvl w:val="1"/>
          <w:numId w:val="42"/>
        </w:numPr>
      </w:pPr>
      <w:r w:rsidRPr="002F1795">
        <w:t xml:space="preserve">Records of changes in production, including changes of more than 10% in the resin use percentage, changes in resin composition that result in a higher ratio of </w:t>
      </w:r>
      <w:r w:rsidRPr="002F1795">
        <w:lastRenderedPageBreak/>
        <w:t xml:space="preserve">formaldehyde to other resin components, and changes in the process, such as changes in press time by more than 20 percent.   </w:t>
      </w:r>
    </w:p>
    <w:p w:rsidR="007F22C7" w:rsidRPr="002F1795" w:rsidRDefault="007F22C7" w:rsidP="007F22C7">
      <w:pPr>
        <w:pStyle w:val="NoSpacing"/>
        <w:numPr>
          <w:ilvl w:val="1"/>
          <w:numId w:val="42"/>
        </w:numPr>
      </w:pPr>
      <w:r w:rsidRPr="002F1795">
        <w:t xml:space="preserve">Records demonstrating initial and continued eligibility for the reduced testing provisions in 40 CFR § 770.17, if applicable.  </w:t>
      </w:r>
    </w:p>
    <w:p w:rsidR="007F22C7" w:rsidRPr="002F1795" w:rsidRDefault="007F22C7" w:rsidP="007F22C7">
      <w:pPr>
        <w:pStyle w:val="NoSpacing"/>
        <w:numPr>
          <w:ilvl w:val="1"/>
          <w:numId w:val="42"/>
        </w:numPr>
      </w:pPr>
      <w:r w:rsidRPr="002F1795">
        <w:t>Purchaser information for each composite wood product, if applicable, including the name, contact person, address, phone number, e-mail address if available, purchase order or invoice number, and amount purchased.</w:t>
      </w:r>
    </w:p>
    <w:p w:rsidR="007F22C7" w:rsidRPr="002F1795" w:rsidRDefault="007F22C7" w:rsidP="007F22C7">
      <w:pPr>
        <w:pStyle w:val="NoSpacing"/>
        <w:numPr>
          <w:ilvl w:val="1"/>
          <w:numId w:val="42"/>
        </w:numPr>
      </w:pPr>
      <w:r w:rsidRPr="002F1795">
        <w:t xml:space="preserve">Transporter information for each composite wood product, if applicable, including name, contact person, address, phone number, e-mail address if available, and shipping invoice number.  </w:t>
      </w:r>
    </w:p>
    <w:p w:rsidR="007F22C7" w:rsidRPr="002F1795" w:rsidRDefault="007F22C7" w:rsidP="007F22C7">
      <w:pPr>
        <w:pStyle w:val="NoSpacing"/>
        <w:numPr>
          <w:ilvl w:val="1"/>
          <w:numId w:val="42"/>
        </w:numPr>
      </w:pPr>
      <w:r w:rsidRPr="002F1795">
        <w:t xml:space="preserve">Information on the disposition of non-complying lots, including product type and amount of composite wood products affected, lot or batch numbers, mitigation measures used, results of retesting, and final disposition.  </w:t>
      </w:r>
    </w:p>
    <w:p w:rsidR="007F22C7" w:rsidRPr="002F1795" w:rsidRDefault="007F22C7" w:rsidP="007F22C7">
      <w:pPr>
        <w:pStyle w:val="NoSpacing"/>
        <w:numPr>
          <w:ilvl w:val="1"/>
          <w:numId w:val="42"/>
        </w:numPr>
      </w:pPr>
      <w:r w:rsidRPr="002F1795">
        <w:t xml:space="preserve">Copies of labels used.  </w:t>
      </w:r>
    </w:p>
    <w:p w:rsidR="0087005D" w:rsidRPr="002F1795" w:rsidRDefault="0087005D" w:rsidP="0087005D">
      <w:pPr>
        <w:ind w:left="720"/>
      </w:pPr>
    </w:p>
    <w:p w:rsidR="0087005D" w:rsidRPr="002F1795" w:rsidRDefault="0087005D" w:rsidP="0087005D">
      <w:pPr>
        <w:numPr>
          <w:ilvl w:val="0"/>
          <w:numId w:val="42"/>
        </w:numPr>
      </w:pPr>
      <w:r w:rsidRPr="002F1795">
        <w:t>Panel producers are required to maintain an up-to-date quality control manual on their premises.</w:t>
      </w:r>
    </w:p>
    <w:p w:rsidR="0087005D" w:rsidRPr="002F1795" w:rsidRDefault="0087005D" w:rsidP="0087005D">
      <w:pPr>
        <w:ind w:left="720"/>
      </w:pPr>
    </w:p>
    <w:p w:rsidR="0087005D" w:rsidRPr="002F1795" w:rsidRDefault="0087005D" w:rsidP="0087005D">
      <w:pPr>
        <w:numPr>
          <w:ilvl w:val="0"/>
          <w:numId w:val="42"/>
        </w:numPr>
      </w:pPr>
      <w:r w:rsidRPr="002F1795">
        <w:t>Panel producers are required to maintain the credentials of their quality control managers and quality control employees for as long as employees are serving in a quality control capacity.</w:t>
      </w:r>
    </w:p>
    <w:p w:rsidR="0087005D" w:rsidRPr="002F1795" w:rsidRDefault="0087005D" w:rsidP="0087005D">
      <w:pPr>
        <w:ind w:left="720"/>
        <w:contextualSpacing/>
        <w:rPr>
          <w:rFonts w:ascii="Calibri" w:hAnsi="Calibri"/>
        </w:rPr>
      </w:pPr>
    </w:p>
    <w:p w:rsidR="0087005D" w:rsidRPr="002F1795" w:rsidRDefault="0087005D" w:rsidP="0087005D">
      <w:pPr>
        <w:numPr>
          <w:ilvl w:val="0"/>
          <w:numId w:val="42"/>
        </w:numPr>
      </w:pPr>
      <w:r w:rsidRPr="002F1795">
        <w:t xml:space="preserve">Producers of exempt laminated products are required to maintain records demonstrating that they are using compliant platforms and NAF resins.  These records would include records of purchases of NAF resins and of compliant, certified platforms, or, if the resins or platforms are made in-house, records demonstrating that the platforms have been certified by an accredited TPC and records demonstrating the production of NAF resins.   </w:t>
      </w:r>
    </w:p>
    <w:p w:rsidR="0087005D" w:rsidRPr="002F1795" w:rsidRDefault="0087005D" w:rsidP="0087005D"/>
    <w:p w:rsidR="0087005D" w:rsidRPr="002F1795" w:rsidRDefault="0087005D" w:rsidP="0087005D">
      <w:pPr>
        <w:numPr>
          <w:ilvl w:val="0"/>
          <w:numId w:val="42"/>
        </w:numPr>
      </w:pPr>
      <w:r w:rsidRPr="002F1795">
        <w:rPr>
          <w:bCs/>
        </w:rPr>
        <w:t>Importers, fabricators of finished goods that incorporate composite wood products, laminated product producers whose products are exempt from the definition of hardwood plywood</w:t>
      </w:r>
      <w:r w:rsidR="003C031A" w:rsidRPr="002F1795">
        <w:rPr>
          <w:bCs/>
        </w:rPr>
        <w:t xml:space="preserve"> </w:t>
      </w:r>
      <w:r w:rsidRPr="002F1795">
        <w:rPr>
          <w:bCs/>
        </w:rPr>
        <w:t xml:space="preserve">must </w:t>
      </w:r>
      <w:r w:rsidR="003C031A" w:rsidRPr="002F1795">
        <w:rPr>
          <w:bCs/>
        </w:rPr>
        <w:t xml:space="preserve">maintain </w:t>
      </w:r>
      <w:r w:rsidRPr="002F1795">
        <w:rPr>
          <w:bCs/>
        </w:rPr>
        <w:t>records identifying the panel producer, the date the composite wood products were produced,</w:t>
      </w:r>
      <w:r w:rsidR="003C031A" w:rsidRPr="002F1795">
        <w:rPr>
          <w:bCs/>
        </w:rPr>
        <w:t xml:space="preserve"> </w:t>
      </w:r>
      <w:r w:rsidRPr="002F1795">
        <w:rPr>
          <w:bCs/>
        </w:rPr>
        <w:t>the date the composite wood products were purchased</w:t>
      </w:r>
      <w:r w:rsidR="003C031A" w:rsidRPr="002F1795">
        <w:rPr>
          <w:bCs/>
        </w:rPr>
        <w:t>, and bills of lading or invoices that include a written affirmation from the supplier that the composite wood products are compliant</w:t>
      </w:r>
      <w:r w:rsidRPr="002F1795">
        <w:rPr>
          <w:bCs/>
        </w:rPr>
        <w:t xml:space="preserve">.  </w:t>
      </w:r>
    </w:p>
    <w:p w:rsidR="00357A90" w:rsidRPr="002F1795" w:rsidRDefault="00357A90">
      <w:pPr>
        <w:pStyle w:val="ListParagraph"/>
      </w:pPr>
    </w:p>
    <w:p w:rsidR="00357A90" w:rsidRPr="002F1795" w:rsidRDefault="00734F5E">
      <w:pPr>
        <w:pStyle w:val="NoSpacing"/>
        <w:numPr>
          <w:ilvl w:val="0"/>
          <w:numId w:val="42"/>
        </w:numPr>
      </w:pPr>
      <w:r w:rsidRPr="002F1795">
        <w:t>Non-importing d</w:t>
      </w:r>
      <w:r w:rsidR="003C031A" w:rsidRPr="002F1795">
        <w:t xml:space="preserve">istributors and retailers must retain invoices and bills of lading and copies of labels used.  </w:t>
      </w:r>
    </w:p>
    <w:p w:rsidR="0087005D" w:rsidRPr="002F1795" w:rsidRDefault="0087005D" w:rsidP="0087005D"/>
    <w:p w:rsidR="0087005D" w:rsidRPr="002F1795" w:rsidRDefault="0087005D" w:rsidP="0087005D">
      <w:pPr>
        <w:ind w:firstLine="720"/>
      </w:pPr>
      <w:r w:rsidRPr="002F1795">
        <w:rPr>
          <w:b/>
          <w:bCs/>
        </w:rPr>
        <w:t>(ii)  Respondent Activities</w:t>
      </w:r>
    </w:p>
    <w:p w:rsidR="0087005D" w:rsidRPr="002F1795" w:rsidRDefault="0087005D" w:rsidP="0087005D"/>
    <w:p w:rsidR="0087005D" w:rsidRPr="002F1795" w:rsidRDefault="0087005D" w:rsidP="0087005D">
      <w:pPr>
        <w:ind w:firstLine="720"/>
      </w:pPr>
      <w:r w:rsidRPr="002F1795">
        <w:t xml:space="preserve">All respondents would need to read the rule and determine which provisions would be applicable to their operations; plan and modify their procedures to come into compliance with the rule; provide training to appropriate staff; process, compile, and review information for accuracy and appropriateness; and record, disclose, and/or report the required information.  </w:t>
      </w:r>
    </w:p>
    <w:p w:rsidR="0087005D" w:rsidRPr="002F1795" w:rsidRDefault="0087005D" w:rsidP="0087005D">
      <w:r w:rsidRPr="002F1795">
        <w:rPr>
          <w:b/>
          <w:bCs/>
        </w:rPr>
        <w:t>5.  THE INFORMATION COLLECTION — AGENCY ACTIVITIES, COLLECTION METHODOLOGY, AND INFORMATION MANAGEMENT</w:t>
      </w:r>
    </w:p>
    <w:p w:rsidR="0087005D" w:rsidRPr="002F1795" w:rsidRDefault="0087005D" w:rsidP="0087005D"/>
    <w:p w:rsidR="0087005D" w:rsidRPr="002F1795" w:rsidRDefault="0087005D" w:rsidP="0087005D">
      <w:pPr>
        <w:ind w:firstLine="720"/>
      </w:pPr>
      <w:r w:rsidRPr="002F1795">
        <w:rPr>
          <w:b/>
          <w:bCs/>
        </w:rPr>
        <w:t>5(a)</w:t>
      </w:r>
      <w:r w:rsidRPr="002F1795">
        <w:rPr>
          <w:b/>
          <w:bCs/>
        </w:rPr>
        <w:tab/>
        <w:t>Agency Activities</w:t>
      </w:r>
    </w:p>
    <w:p w:rsidR="0087005D" w:rsidRPr="002F1795" w:rsidRDefault="0087005D" w:rsidP="0087005D"/>
    <w:p w:rsidR="0087005D" w:rsidRPr="002F1795" w:rsidRDefault="0087005D" w:rsidP="0087005D">
      <w:pPr>
        <w:ind w:firstLine="720"/>
      </w:pPr>
      <w:r w:rsidRPr="002F1795">
        <w:t xml:space="preserve">EPA resources would be devoted to reviewing and analyzing import certifications, auditing and inspecting facilities, producing audit and inspection reports, responding to public inquiries, providing regulatory interpretations and developing rulemakings. </w:t>
      </w:r>
    </w:p>
    <w:p w:rsidR="0087005D" w:rsidRPr="002F1795" w:rsidRDefault="0087005D" w:rsidP="0087005D"/>
    <w:p w:rsidR="0087005D" w:rsidRPr="002F1795" w:rsidRDefault="0087005D" w:rsidP="0087005D">
      <w:pPr>
        <w:ind w:firstLine="720"/>
      </w:pPr>
      <w:r w:rsidRPr="002F1795">
        <w:rPr>
          <w:b/>
          <w:bCs/>
        </w:rPr>
        <w:t>5(b)</w:t>
      </w:r>
      <w:r w:rsidRPr="002F1795">
        <w:rPr>
          <w:b/>
          <w:bCs/>
        </w:rPr>
        <w:tab/>
        <w:t>Collection Methodology and Management</w:t>
      </w:r>
    </w:p>
    <w:p w:rsidR="0087005D" w:rsidRDefault="0087005D" w:rsidP="0087005D"/>
    <w:p w:rsidR="003D7B69" w:rsidRDefault="003D7B69" w:rsidP="0087005D">
      <w:r>
        <w:tab/>
      </w:r>
      <w:r w:rsidRPr="00074656">
        <w:t xml:space="preserve">At this time, the majority of the information requirements would not require the use of a specific form or format, except that failed test results must be reported in writing. </w:t>
      </w:r>
      <w:r>
        <w:t xml:space="preserve"> </w:t>
      </w:r>
      <w:r w:rsidRPr="00074656">
        <w:t>By a</w:t>
      </w:r>
      <w:r>
        <w:t>nd</w:t>
      </w:r>
      <w:r w:rsidRPr="00074656">
        <w:t xml:space="preserve"> large the reporting requirements of this rule </w:t>
      </w:r>
      <w:r>
        <w:t xml:space="preserve">are </w:t>
      </w:r>
      <w:r w:rsidRPr="00074656">
        <w:t>third-party reporting requirements, in that panel producers are required to submit information to TPCs. EPA wishes to give maximum latitude to TPCs and panel producers as they choose how to most expediently structure their communications.</w:t>
      </w:r>
    </w:p>
    <w:p w:rsidR="003D7B69" w:rsidRPr="002F1795" w:rsidRDefault="003D7B69" w:rsidP="0087005D"/>
    <w:p w:rsidR="0087005D" w:rsidRPr="002F1795" w:rsidRDefault="0087005D" w:rsidP="0087005D">
      <w:pPr>
        <w:ind w:firstLine="720"/>
      </w:pPr>
      <w:proofErr w:type="gramStart"/>
      <w:r w:rsidRPr="002F1795">
        <w:rPr>
          <w:b/>
          <w:bCs/>
        </w:rPr>
        <w:t>5(c)</w:t>
      </w:r>
      <w:r w:rsidRPr="002F1795">
        <w:rPr>
          <w:b/>
          <w:bCs/>
        </w:rPr>
        <w:tab/>
        <w:t>Small Entity Flexibility</w:t>
      </w:r>
      <w:proofErr w:type="gramEnd"/>
    </w:p>
    <w:p w:rsidR="0087005D" w:rsidRPr="002F1795" w:rsidRDefault="0087005D" w:rsidP="0087005D"/>
    <w:p w:rsidR="0087005D" w:rsidRPr="002F1795" w:rsidRDefault="0087005D" w:rsidP="0087005D">
      <w:pPr>
        <w:ind w:firstLine="720"/>
      </w:pPr>
      <w:r w:rsidRPr="002F1795">
        <w:t xml:space="preserve">Small businesses are not exempt from the requirements of TSCA Title VI. The information collections would apply to all entities that manufacture (including import), sell, supply, or offer for sale regulated composite wood products in the United States regardless of size. They would also apply to entities that manufacture regulated composite products, including finished goods, for import into the U.S. and to third-party certifiers that wish to participate in the program.  During the Small Business Advocacy Review Panel process, the Panel recommended regulatory flexibility alternatives to alleviate burden on small business.  EPA seeks to implement those recommendations in its proposal.  For example, EPA’s proposal would allow labeling by bundle, as opposed to individual boards.  EPA is also requiring quality control tests for hardwood plywood based on production volume, allowing low volume producers to conduct fewer tests.  </w:t>
      </w:r>
    </w:p>
    <w:p w:rsidR="0087005D" w:rsidRPr="002F1795" w:rsidRDefault="0087005D" w:rsidP="0087005D"/>
    <w:p w:rsidR="0087005D" w:rsidRPr="002F1795" w:rsidRDefault="0087005D" w:rsidP="0087005D">
      <w:pPr>
        <w:ind w:firstLine="720"/>
      </w:pPr>
      <w:r w:rsidRPr="002F1795">
        <w:rPr>
          <w:b/>
          <w:bCs/>
        </w:rPr>
        <w:t>5(d)</w:t>
      </w:r>
      <w:r w:rsidRPr="002F1795">
        <w:rPr>
          <w:b/>
          <w:bCs/>
        </w:rPr>
        <w:tab/>
        <w:t>Collection Schedule</w:t>
      </w:r>
    </w:p>
    <w:p w:rsidR="0087005D" w:rsidRPr="002F1795" w:rsidRDefault="0087005D" w:rsidP="0087005D"/>
    <w:p w:rsidR="0087005D" w:rsidRPr="002F1795" w:rsidRDefault="0087005D" w:rsidP="002E7C13">
      <w:pPr>
        <w:ind w:firstLine="720"/>
      </w:pPr>
      <w:r w:rsidRPr="002F1795">
        <w:t>Panel producers must provide their third-party certifiers with monthly product data reports.  The rest of the reporting activities are triggered by specific events or on an as needed basis rather than by specific dates.</w:t>
      </w:r>
    </w:p>
    <w:p w:rsidR="00A83DDA" w:rsidRPr="002F1795" w:rsidRDefault="00A83DDA" w:rsidP="00A83DDA">
      <w:pPr>
        <w:rPr>
          <w:b/>
          <w:bCs/>
        </w:rPr>
      </w:pPr>
    </w:p>
    <w:p w:rsidR="00A83DDA" w:rsidRPr="002F1795" w:rsidRDefault="00A83DDA" w:rsidP="003D7B69">
      <w:r w:rsidRPr="002F1795">
        <w:rPr>
          <w:b/>
          <w:bCs/>
        </w:rPr>
        <w:t>6.</w:t>
      </w:r>
      <w:r w:rsidRPr="002F1795">
        <w:rPr>
          <w:b/>
          <w:bCs/>
        </w:rPr>
        <w:tab/>
        <w:t>ESTIMATING BURDEN AND COST OF THE COLLECTION</w:t>
      </w:r>
    </w:p>
    <w:p w:rsidR="003D7B69" w:rsidRDefault="003D7B69" w:rsidP="00A83DDA">
      <w:pPr>
        <w:keepNext/>
        <w:numPr>
          <w:ilvl w:val="12"/>
          <w:numId w:val="0"/>
        </w:numPr>
      </w:pPr>
    </w:p>
    <w:p w:rsidR="00A83DDA" w:rsidRPr="002F1795" w:rsidRDefault="00A83DDA" w:rsidP="00A83DDA">
      <w:pPr>
        <w:keepNext/>
        <w:numPr>
          <w:ilvl w:val="12"/>
          <w:numId w:val="0"/>
        </w:numPr>
      </w:pPr>
      <w:r w:rsidRPr="002F1795">
        <w:tab/>
        <w:t xml:space="preserve">This section estimates the burden and associated costs for both the respondents and the Agency associated with the recordkeeping and reporting requirements of the proposed TSCA Title VI Implementation Rule.  This supporting statement provides average annual burden and cost estimates for the next three years of the program.  All costs are presented in year 2010 dollars.  </w:t>
      </w:r>
    </w:p>
    <w:p w:rsidR="00A83DDA" w:rsidRPr="002F1795" w:rsidRDefault="00A83DDA" w:rsidP="00A83DDA">
      <w:pPr>
        <w:numPr>
          <w:ilvl w:val="12"/>
          <w:numId w:val="0"/>
        </w:numPr>
      </w:pPr>
    </w:p>
    <w:p w:rsidR="00A83DDA" w:rsidRPr="002F1795" w:rsidRDefault="00A83DDA" w:rsidP="00A83DDA">
      <w:pPr>
        <w:numPr>
          <w:ilvl w:val="12"/>
          <w:numId w:val="0"/>
        </w:numPr>
      </w:pPr>
      <w:r w:rsidRPr="002F1795">
        <w:tab/>
        <w:t xml:space="preserve">This ICR presents the burden and associated costs for the activity types listed below.  Note that not all entities will incur burden or costs from these activities because they may already </w:t>
      </w:r>
      <w:r w:rsidRPr="002F1795">
        <w:lastRenderedPageBreak/>
        <w:t>be meeting the requirements under the CARB ATCM and/or their existing recordkeeping and labeling systems may already be sufficient.</w:t>
      </w:r>
    </w:p>
    <w:p w:rsidR="00A83DDA" w:rsidRPr="002F1795" w:rsidRDefault="00A83DDA" w:rsidP="00A83DDA">
      <w:pPr>
        <w:numPr>
          <w:ilvl w:val="12"/>
          <w:numId w:val="0"/>
        </w:numPr>
      </w:pPr>
    </w:p>
    <w:p w:rsidR="00A83DDA" w:rsidRPr="002F1795" w:rsidRDefault="00A83DDA" w:rsidP="00A83DDA">
      <w:pPr>
        <w:pStyle w:val="ListParagraph"/>
        <w:numPr>
          <w:ilvl w:val="0"/>
          <w:numId w:val="52"/>
        </w:numPr>
        <w:ind w:left="720"/>
        <w:rPr>
          <w:rFonts w:ascii="Times New Roman" w:hAnsi="Times New Roman"/>
        </w:rPr>
      </w:pPr>
      <w:r w:rsidRPr="002F1795">
        <w:rPr>
          <w:rFonts w:ascii="Times New Roman" w:hAnsi="Times New Roman"/>
          <w:b/>
        </w:rPr>
        <w:t xml:space="preserve">Rule Familiarization:  </w:t>
      </w:r>
      <w:r w:rsidRPr="002F1795">
        <w:rPr>
          <w:rFonts w:ascii="Times New Roman" w:hAnsi="Times New Roman"/>
        </w:rPr>
        <w:t xml:space="preserve">All respondents will need to read the rule in order to understand the requirements;  </w:t>
      </w:r>
    </w:p>
    <w:p w:rsidR="00A83DDA" w:rsidRPr="002F1795" w:rsidRDefault="00A83DDA" w:rsidP="00A83DDA">
      <w:pPr>
        <w:pStyle w:val="ListParagraph"/>
        <w:numPr>
          <w:ilvl w:val="0"/>
          <w:numId w:val="52"/>
        </w:numPr>
        <w:ind w:left="720"/>
        <w:rPr>
          <w:rFonts w:ascii="Times New Roman" w:hAnsi="Times New Roman"/>
        </w:rPr>
      </w:pPr>
      <w:r w:rsidRPr="002F1795">
        <w:rPr>
          <w:rFonts w:ascii="Times New Roman" w:hAnsi="Times New Roman"/>
          <w:b/>
        </w:rPr>
        <w:t>Testing and Certification:</w:t>
      </w:r>
      <w:r w:rsidRPr="002F1795">
        <w:rPr>
          <w:rFonts w:ascii="Times New Roman" w:hAnsi="Times New Roman"/>
        </w:rPr>
        <w:t xml:space="preserve">  All composite panel producers will need to perform formaldehyde emission testing on their composite wood products and attain certification from an accredited third-party certifier (TPC).  These entities must undergo qualifying tests at a TPC lab, obtain an on-site audit from a TPC, implement quality control systems, and train quality control employees in order to receive initial certification.  Once certified, a mill is required to conduct on-going small scale quality control testing, submit monthly reports to the certifying TPC, and receive quarterly on-site audits and large chamber testing to maintain its certified status.  Mills that produce products made with </w:t>
      </w:r>
      <w:r w:rsidR="00826E6C" w:rsidRPr="002F1795">
        <w:rPr>
          <w:rFonts w:ascii="Times New Roman" w:hAnsi="Times New Roman"/>
        </w:rPr>
        <w:t xml:space="preserve">ULEF or </w:t>
      </w:r>
      <w:r w:rsidRPr="002F1795">
        <w:rPr>
          <w:rFonts w:ascii="Times New Roman" w:hAnsi="Times New Roman"/>
        </w:rPr>
        <w:t xml:space="preserve">NAF resins that meet more stringent emissions limits may apply for exemptions from some of the on-going testing requirements;   </w:t>
      </w:r>
    </w:p>
    <w:p w:rsidR="00A83DDA" w:rsidRPr="002F1795" w:rsidRDefault="00A83DDA" w:rsidP="00A83DDA">
      <w:pPr>
        <w:pStyle w:val="ListParagraph"/>
        <w:numPr>
          <w:ilvl w:val="0"/>
          <w:numId w:val="52"/>
        </w:numPr>
        <w:ind w:left="720"/>
        <w:rPr>
          <w:rFonts w:ascii="Times New Roman" w:hAnsi="Times New Roman"/>
        </w:rPr>
      </w:pPr>
      <w:r w:rsidRPr="002F1795">
        <w:rPr>
          <w:rFonts w:ascii="Times New Roman" w:hAnsi="Times New Roman"/>
          <w:b/>
        </w:rPr>
        <w:t>Recordkeeping</w:t>
      </w:r>
      <w:r w:rsidRPr="002F1795">
        <w:rPr>
          <w:rFonts w:ascii="Times New Roman" w:hAnsi="Times New Roman"/>
        </w:rPr>
        <w:t xml:space="preserve">: Firms that import, produce, or manufacture composite wood panels, component parts, or finished goods are required to keep records showing the date of purchase of the composite wood product, the supplier, and all precautions taken to ensure that the product meets emissions standards.  Wholesalers and retailers that do not import, produce, or manufacture composite wood panels, component parts, or finished goods are </w:t>
      </w:r>
      <w:r w:rsidR="004A2E2F" w:rsidRPr="002F1795">
        <w:rPr>
          <w:rFonts w:ascii="Times New Roman" w:hAnsi="Times New Roman"/>
        </w:rPr>
        <w:t xml:space="preserve">only </w:t>
      </w:r>
      <w:r w:rsidRPr="002F1795">
        <w:rPr>
          <w:rFonts w:ascii="Times New Roman" w:hAnsi="Times New Roman"/>
        </w:rPr>
        <w:t xml:space="preserve">required to maintain invoices and bills of lading; and </w:t>
      </w:r>
    </w:p>
    <w:p w:rsidR="00A83DDA" w:rsidRPr="002F1795" w:rsidRDefault="00A83DDA" w:rsidP="00A83DDA">
      <w:pPr>
        <w:pStyle w:val="ListParagraph"/>
        <w:numPr>
          <w:ilvl w:val="0"/>
          <w:numId w:val="52"/>
        </w:numPr>
        <w:ind w:left="720"/>
      </w:pPr>
      <w:r w:rsidRPr="002F1795">
        <w:rPr>
          <w:rFonts w:ascii="Times New Roman" w:hAnsi="Times New Roman"/>
          <w:b/>
        </w:rPr>
        <w:t xml:space="preserve">Labeling:  </w:t>
      </w:r>
      <w:r w:rsidR="00D554D6" w:rsidRPr="002F1795">
        <w:rPr>
          <w:rFonts w:ascii="Times New Roman" w:hAnsi="Times New Roman"/>
        </w:rPr>
        <w:t xml:space="preserve">Panel producers, fabricators, and wholesalers </w:t>
      </w:r>
      <w:r w:rsidRPr="002F1795">
        <w:rPr>
          <w:rFonts w:ascii="Times New Roman" w:hAnsi="Times New Roman"/>
        </w:rPr>
        <w:t xml:space="preserve">that package or repackage composite wood products or finished goods containing composite wood products will need to modify their labels to include their name, the date the finished good was produced, and a statement of compliance. </w:t>
      </w:r>
    </w:p>
    <w:p w:rsidR="00A83DDA" w:rsidRPr="002F1795" w:rsidRDefault="00A83DDA" w:rsidP="00A83DDA">
      <w:pPr>
        <w:numPr>
          <w:ilvl w:val="12"/>
          <w:numId w:val="0"/>
        </w:numPr>
      </w:pPr>
    </w:p>
    <w:p w:rsidR="00A83DDA" w:rsidRPr="002F1795" w:rsidRDefault="00452741" w:rsidP="00A83DDA">
      <w:pPr>
        <w:pStyle w:val="BodyText"/>
        <w:rPr>
          <w:sz w:val="24"/>
        </w:rPr>
      </w:pPr>
      <w:r w:rsidRPr="002F1795">
        <w:tab/>
      </w:r>
      <w:fldSimple w:instr=" REF _Ref309214300 \h  \* MERGEFORMAT ">
        <w:r w:rsidR="0036394F" w:rsidRPr="0036394F">
          <w:rPr>
            <w:sz w:val="24"/>
          </w:rPr>
          <w:t>Exhibit 6-1</w:t>
        </w:r>
      </w:fldSimple>
      <w:r w:rsidR="00A83DDA" w:rsidRPr="002F1795">
        <w:rPr>
          <w:sz w:val="24"/>
        </w:rPr>
        <w:t xml:space="preserve"> summarizes the recordkeeping and reporting activities for respondents as a result of the proposed rule:</w:t>
      </w:r>
    </w:p>
    <w:p w:rsidR="001026BC" w:rsidRPr="002F1795" w:rsidRDefault="001026BC" w:rsidP="00A83DDA">
      <w:pPr>
        <w:numPr>
          <w:ilvl w:val="12"/>
          <w:numId w:val="0"/>
        </w:numPr>
        <w:rPr>
          <w:rFonts w:ascii="Arial Bold" w:hAnsi="Arial Bold" w:cs="Arial"/>
          <w:b/>
          <w:sz w:val="20"/>
          <w:szCs w:val="20"/>
        </w:rPr>
      </w:pPr>
    </w:p>
    <w:p w:rsidR="001026BC" w:rsidRPr="002F1795" w:rsidRDefault="001026BC" w:rsidP="001026BC"/>
    <w:tbl>
      <w:tblPr>
        <w:tblW w:w="5000" w:type="pct"/>
        <w:jc w:val="center"/>
        <w:tblLook w:val="04A0"/>
      </w:tblPr>
      <w:tblGrid>
        <w:gridCol w:w="2753"/>
        <w:gridCol w:w="1179"/>
        <w:gridCol w:w="1163"/>
        <w:gridCol w:w="863"/>
        <w:gridCol w:w="1057"/>
        <w:gridCol w:w="836"/>
        <w:gridCol w:w="850"/>
        <w:gridCol w:w="875"/>
      </w:tblGrid>
      <w:tr w:rsidR="001026BC" w:rsidRPr="002F1795" w:rsidTr="001026BC">
        <w:trPr>
          <w:trHeight w:val="67"/>
          <w:jc w:val="center"/>
        </w:trPr>
        <w:tc>
          <w:tcPr>
            <w:tcW w:w="9576" w:type="dxa"/>
            <w:gridSpan w:val="8"/>
            <w:tcBorders>
              <w:top w:val="single" w:sz="8" w:space="0" w:color="auto"/>
              <w:left w:val="single" w:sz="8" w:space="0" w:color="auto"/>
              <w:bottom w:val="single" w:sz="8" w:space="0" w:color="auto"/>
              <w:right w:val="single" w:sz="8" w:space="0" w:color="auto"/>
            </w:tcBorders>
            <w:shd w:val="clear" w:color="000000" w:fill="A6A6A6"/>
            <w:vAlign w:val="center"/>
            <w:hideMark/>
          </w:tcPr>
          <w:p w:rsidR="001026BC" w:rsidRPr="002F1795" w:rsidRDefault="001026BC" w:rsidP="001026BC">
            <w:pPr>
              <w:pStyle w:val="TableTitle"/>
              <w:keepNext/>
              <w:keepLines/>
            </w:pPr>
            <w:bookmarkStart w:id="0" w:name="_Ref309214300"/>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w:t>
            </w:r>
            <w:r w:rsidR="0041046E">
              <w:rPr>
                <w:noProof/>
              </w:rPr>
              <w:fldChar w:fldCharType="end"/>
            </w:r>
            <w:bookmarkEnd w:id="0"/>
            <w:r w:rsidRPr="002F1795">
              <w:t>: Summary of Recordkeeping and Reporting Activities, by Sector and Activity</w:t>
            </w:r>
          </w:p>
        </w:tc>
      </w:tr>
      <w:tr w:rsidR="001026BC" w:rsidRPr="002F1795" w:rsidTr="001026BC">
        <w:trPr>
          <w:trHeight w:val="80"/>
          <w:jc w:val="center"/>
        </w:trPr>
        <w:tc>
          <w:tcPr>
            <w:tcW w:w="2753" w:type="dxa"/>
            <w:vMerge w:val="restart"/>
            <w:tcBorders>
              <w:top w:val="single" w:sz="8" w:space="0" w:color="auto"/>
              <w:left w:val="single" w:sz="8" w:space="0" w:color="auto"/>
              <w:bottom w:val="single" w:sz="8" w:space="0" w:color="auto"/>
              <w:right w:val="single" w:sz="4" w:space="0" w:color="auto"/>
            </w:tcBorders>
            <w:shd w:val="clear" w:color="auto" w:fill="auto"/>
            <w:vAlign w:val="center"/>
            <w:hideMark/>
          </w:tcPr>
          <w:p w:rsidR="001026BC" w:rsidRPr="002F1795" w:rsidRDefault="001026BC" w:rsidP="001026BC">
            <w:pPr>
              <w:pStyle w:val="TableSubtitle"/>
            </w:pPr>
            <w:r w:rsidRPr="002F1795">
              <w:t>Activity</w:t>
            </w:r>
          </w:p>
        </w:tc>
        <w:tc>
          <w:tcPr>
            <w:tcW w:w="3205" w:type="dxa"/>
            <w:gridSpan w:val="3"/>
            <w:tcBorders>
              <w:top w:val="single" w:sz="8" w:space="0" w:color="auto"/>
              <w:left w:val="single" w:sz="4" w:space="0" w:color="auto"/>
              <w:bottom w:val="single" w:sz="8" w:space="0" w:color="auto"/>
              <w:right w:val="single" w:sz="8" w:space="0" w:color="auto"/>
            </w:tcBorders>
            <w:shd w:val="clear" w:color="auto" w:fill="auto"/>
            <w:vAlign w:val="center"/>
            <w:hideMark/>
          </w:tcPr>
          <w:p w:rsidR="001026BC" w:rsidRPr="002F1795" w:rsidRDefault="001026BC" w:rsidP="001026BC">
            <w:pPr>
              <w:pStyle w:val="TableSubtitle"/>
            </w:pPr>
            <w:r w:rsidRPr="002F1795">
              <w:t xml:space="preserve">Composite Panel Producer </w:t>
            </w:r>
            <w:r w:rsidRPr="002F1795">
              <w:rPr>
                <w:vertAlign w:val="superscript"/>
              </w:rPr>
              <w:t>1</w:t>
            </w:r>
          </w:p>
        </w:tc>
        <w:tc>
          <w:tcPr>
            <w:tcW w:w="105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026BC" w:rsidRPr="002F1795" w:rsidRDefault="001026BC" w:rsidP="001026BC">
            <w:pPr>
              <w:pStyle w:val="TableSubtitle"/>
            </w:pPr>
            <w:r w:rsidRPr="002F1795">
              <w:t>Fabricator</w:t>
            </w:r>
          </w:p>
        </w:tc>
        <w:tc>
          <w:tcPr>
            <w:tcW w:w="1686"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026BC" w:rsidRPr="002F1795" w:rsidRDefault="001026BC" w:rsidP="001026BC">
            <w:pPr>
              <w:pStyle w:val="TableSubtitle"/>
            </w:pPr>
            <w:r w:rsidRPr="002F1795">
              <w:t>Wholesaler</w:t>
            </w:r>
          </w:p>
        </w:tc>
        <w:tc>
          <w:tcPr>
            <w:tcW w:w="8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026BC" w:rsidRPr="002F1795" w:rsidRDefault="001026BC" w:rsidP="001026BC">
            <w:pPr>
              <w:pStyle w:val="TableSubtitle"/>
            </w:pPr>
            <w:r w:rsidRPr="002F1795">
              <w:t>Retailer</w:t>
            </w:r>
          </w:p>
        </w:tc>
      </w:tr>
      <w:tr w:rsidR="001026BC" w:rsidRPr="002F1795" w:rsidTr="001026BC">
        <w:trPr>
          <w:trHeight w:val="80"/>
          <w:jc w:val="center"/>
        </w:trPr>
        <w:tc>
          <w:tcPr>
            <w:tcW w:w="2753" w:type="dxa"/>
            <w:vMerge/>
            <w:tcBorders>
              <w:top w:val="single" w:sz="8" w:space="0" w:color="auto"/>
              <w:left w:val="single" w:sz="8" w:space="0" w:color="auto"/>
              <w:bottom w:val="single" w:sz="8" w:space="0" w:color="auto"/>
              <w:right w:val="single" w:sz="4" w:space="0" w:color="auto"/>
            </w:tcBorders>
            <w:vAlign w:val="center"/>
            <w:hideMark/>
          </w:tcPr>
          <w:p w:rsidR="001026BC" w:rsidRPr="002F1795" w:rsidRDefault="001026BC" w:rsidP="001026BC">
            <w:pPr>
              <w:pStyle w:val="TableSubtitle"/>
            </w:pPr>
          </w:p>
        </w:tc>
        <w:tc>
          <w:tcPr>
            <w:tcW w:w="1179"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1026BC" w:rsidRPr="002F1795" w:rsidRDefault="001026BC" w:rsidP="001026BC">
            <w:pPr>
              <w:pStyle w:val="TableSubtitle"/>
              <w:rPr>
                <w:rFonts w:ascii="Tahoma" w:hAnsi="Tahoma" w:cs="Tahoma"/>
              </w:rPr>
            </w:pPr>
            <w:r w:rsidRPr="002F1795">
              <w:t>Standard</w:t>
            </w:r>
          </w:p>
        </w:tc>
        <w:tc>
          <w:tcPr>
            <w:tcW w:w="1163" w:type="dxa"/>
            <w:tcBorders>
              <w:top w:val="single" w:sz="8" w:space="0" w:color="auto"/>
              <w:left w:val="nil"/>
              <w:bottom w:val="single" w:sz="8" w:space="0" w:color="auto"/>
              <w:right w:val="single" w:sz="4" w:space="0" w:color="auto"/>
            </w:tcBorders>
            <w:shd w:val="clear" w:color="auto" w:fill="auto"/>
            <w:vAlign w:val="center"/>
            <w:hideMark/>
          </w:tcPr>
          <w:p w:rsidR="001026BC" w:rsidRPr="002F1795" w:rsidRDefault="001026BC" w:rsidP="001026BC">
            <w:pPr>
              <w:pStyle w:val="TableSubtitle"/>
            </w:pPr>
            <w:r w:rsidRPr="002F1795">
              <w:t>ULEF</w:t>
            </w:r>
          </w:p>
        </w:tc>
        <w:tc>
          <w:tcPr>
            <w:tcW w:w="863" w:type="dxa"/>
            <w:tcBorders>
              <w:top w:val="single" w:sz="8" w:space="0" w:color="auto"/>
              <w:left w:val="nil"/>
              <w:bottom w:val="single" w:sz="8" w:space="0" w:color="auto"/>
              <w:right w:val="single" w:sz="4" w:space="0" w:color="auto"/>
            </w:tcBorders>
            <w:shd w:val="clear" w:color="auto" w:fill="auto"/>
            <w:vAlign w:val="center"/>
            <w:hideMark/>
          </w:tcPr>
          <w:p w:rsidR="001026BC" w:rsidRPr="002F1795" w:rsidRDefault="001026BC" w:rsidP="001026BC">
            <w:pPr>
              <w:pStyle w:val="TableSubtitle"/>
            </w:pPr>
            <w:r w:rsidRPr="002F1795">
              <w:t>NAF</w:t>
            </w:r>
          </w:p>
        </w:tc>
        <w:tc>
          <w:tcPr>
            <w:tcW w:w="1057" w:type="dxa"/>
            <w:vMerge/>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Subtitle"/>
            </w:pPr>
          </w:p>
        </w:tc>
        <w:tc>
          <w:tcPr>
            <w:tcW w:w="836" w:type="dxa"/>
            <w:tcBorders>
              <w:left w:val="nil"/>
              <w:bottom w:val="single" w:sz="8" w:space="0" w:color="auto"/>
              <w:right w:val="single" w:sz="4" w:space="0" w:color="auto"/>
            </w:tcBorders>
            <w:shd w:val="clear" w:color="auto" w:fill="auto"/>
            <w:vAlign w:val="center"/>
            <w:hideMark/>
          </w:tcPr>
          <w:p w:rsidR="001026BC" w:rsidRPr="002F1795" w:rsidRDefault="001026BC" w:rsidP="001026BC">
            <w:pPr>
              <w:jc w:val="center"/>
              <w:rPr>
                <w:b/>
                <w:bCs/>
                <w:color w:val="000000"/>
                <w:sz w:val="18"/>
                <w:szCs w:val="18"/>
              </w:rPr>
            </w:pPr>
            <w:r w:rsidRPr="002F1795">
              <w:rPr>
                <w:b/>
                <w:bCs/>
                <w:color w:val="000000"/>
                <w:sz w:val="18"/>
                <w:szCs w:val="18"/>
              </w:rPr>
              <w:t>Imports</w:t>
            </w:r>
          </w:p>
        </w:tc>
        <w:tc>
          <w:tcPr>
            <w:tcW w:w="850" w:type="dxa"/>
            <w:tcBorders>
              <w:left w:val="nil"/>
              <w:bottom w:val="single" w:sz="8" w:space="0" w:color="auto"/>
              <w:right w:val="single" w:sz="4" w:space="0" w:color="auto"/>
            </w:tcBorders>
            <w:shd w:val="clear" w:color="auto" w:fill="auto"/>
            <w:vAlign w:val="center"/>
          </w:tcPr>
          <w:p w:rsidR="001026BC" w:rsidRPr="002F1795" w:rsidRDefault="001026BC" w:rsidP="001026BC">
            <w:pPr>
              <w:jc w:val="center"/>
              <w:rPr>
                <w:b/>
                <w:bCs/>
                <w:color w:val="000000"/>
                <w:sz w:val="18"/>
                <w:szCs w:val="18"/>
              </w:rPr>
            </w:pPr>
            <w:r w:rsidRPr="002F1795">
              <w:rPr>
                <w:b/>
                <w:bCs/>
                <w:color w:val="000000"/>
                <w:sz w:val="18"/>
                <w:szCs w:val="18"/>
              </w:rPr>
              <w:t>No Imports</w:t>
            </w:r>
          </w:p>
        </w:tc>
        <w:tc>
          <w:tcPr>
            <w:tcW w:w="875" w:type="dxa"/>
            <w:vMerge/>
            <w:tcBorders>
              <w:top w:val="single" w:sz="8" w:space="0" w:color="auto"/>
              <w:left w:val="nil"/>
              <w:bottom w:val="single" w:sz="8" w:space="0" w:color="auto"/>
              <w:right w:val="single" w:sz="8" w:space="0" w:color="auto"/>
            </w:tcBorders>
            <w:shd w:val="clear" w:color="auto" w:fill="auto"/>
            <w:vAlign w:val="center"/>
            <w:hideMark/>
          </w:tcPr>
          <w:p w:rsidR="001026BC" w:rsidRPr="002F1795" w:rsidRDefault="001026BC" w:rsidP="001026BC">
            <w:pPr>
              <w:pStyle w:val="TableSubtitle"/>
            </w:pP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     Rule Familiarization</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1-time</w:t>
            </w:r>
          </w:p>
        </w:tc>
        <w:tc>
          <w:tcPr>
            <w:tcW w:w="1686" w:type="dxa"/>
            <w:gridSpan w:val="2"/>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2.     Certification Fee</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Annual</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3.     Initial On-site Audit</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4.     Develop Quality Control Manual</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5.     Qualifying Test</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0"/>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6.     Qualifying Test Shipment</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7.     Correlation Test</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8.    Recurring On-site Audit</w:t>
            </w:r>
            <w:r w:rsidRPr="002F1795">
              <w:rPr>
                <w:vertAlign w:val="superscript"/>
              </w:rPr>
              <w:t>2</w:t>
            </w:r>
          </w:p>
        </w:tc>
        <w:tc>
          <w:tcPr>
            <w:tcW w:w="1179"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Quarterly</w:t>
            </w:r>
          </w:p>
        </w:tc>
        <w:tc>
          <w:tcPr>
            <w:tcW w:w="2026" w:type="dxa"/>
            <w:gridSpan w:val="2"/>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Annual</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rPr>
                <w:rFonts w:ascii="Tahoma" w:hAnsi="Tahoma" w:cs="Tahoma"/>
                <w:szCs w:val="16"/>
              </w:rPr>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9.  Large Scale Testing Fee</w:t>
            </w:r>
            <w:r w:rsidRPr="002F1795">
              <w:rPr>
                <w:vertAlign w:val="superscript"/>
              </w:rPr>
              <w:t>3</w:t>
            </w:r>
          </w:p>
        </w:tc>
        <w:tc>
          <w:tcPr>
            <w:tcW w:w="2342" w:type="dxa"/>
            <w:gridSpan w:val="2"/>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szCs w:val="16"/>
              </w:rPr>
            </w:pPr>
            <w:r w:rsidRPr="002F1795">
              <w:t>Quarterly</w:t>
            </w:r>
          </w:p>
        </w:tc>
        <w:tc>
          <w:tcPr>
            <w:tcW w:w="863"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Annual</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rPr>
                <w:rFonts w:ascii="Tahoma" w:hAnsi="Tahoma" w:cs="Tahoma"/>
                <w:szCs w:val="16"/>
              </w:rPr>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10.  Large Scale Testing Shipment</w:t>
            </w:r>
            <w:r w:rsidRPr="002F1795">
              <w:rPr>
                <w:vertAlign w:val="superscript"/>
              </w:rPr>
              <w:t>3</w:t>
            </w:r>
          </w:p>
        </w:tc>
        <w:tc>
          <w:tcPr>
            <w:tcW w:w="2342" w:type="dxa"/>
            <w:gridSpan w:val="2"/>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szCs w:val="16"/>
              </w:rPr>
            </w:pPr>
            <w:r w:rsidRPr="002F1795">
              <w:t>Quarterly</w:t>
            </w:r>
          </w:p>
        </w:tc>
        <w:tc>
          <w:tcPr>
            <w:tcW w:w="863"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Annual</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rPr>
                <w:rFonts w:ascii="Tahoma" w:hAnsi="Tahoma" w:cs="Tahoma"/>
                <w:szCs w:val="16"/>
              </w:rPr>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11.  On-site Audit Travel</w:t>
            </w:r>
            <w:r w:rsidRPr="002F1795">
              <w:rPr>
                <w:vertAlign w:val="superscript"/>
              </w:rPr>
              <w:t>4</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Annual</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12.  Desk Audits</w:t>
            </w:r>
            <w:r w:rsidRPr="002F1795">
              <w:rPr>
                <w:vertAlign w:val="superscript"/>
              </w:rPr>
              <w:t>5</w:t>
            </w:r>
          </w:p>
        </w:tc>
        <w:tc>
          <w:tcPr>
            <w:tcW w:w="1179"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8 per year</w:t>
            </w:r>
          </w:p>
        </w:tc>
        <w:tc>
          <w:tcPr>
            <w:tcW w:w="1163" w:type="dxa"/>
            <w:tcBorders>
              <w:top w:val="single" w:sz="8" w:space="0" w:color="auto"/>
              <w:left w:val="nil"/>
              <w:bottom w:val="single" w:sz="8" w:space="0" w:color="auto"/>
              <w:right w:val="single" w:sz="4" w:space="0" w:color="auto"/>
            </w:tcBorders>
            <w:shd w:val="clear" w:color="auto" w:fill="auto"/>
            <w:vAlign w:val="center"/>
            <w:hideMark/>
          </w:tcPr>
          <w:p w:rsidR="001026BC" w:rsidRPr="002F1795" w:rsidRDefault="001026BC" w:rsidP="001026BC">
            <w:pPr>
              <w:pStyle w:val="TableText"/>
              <w:jc w:val="center"/>
              <w:rPr>
                <w:rFonts w:ascii="Tahoma" w:hAnsi="Tahoma" w:cs="Tahoma"/>
                <w:szCs w:val="16"/>
              </w:rPr>
            </w:pPr>
            <w:r w:rsidRPr="002F1795">
              <w:t>-</w:t>
            </w:r>
          </w:p>
        </w:tc>
        <w:tc>
          <w:tcPr>
            <w:tcW w:w="863"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rPr>
                <w:rFonts w:ascii="Tahoma" w:hAnsi="Tahoma" w:cs="Tahoma"/>
                <w:szCs w:val="16"/>
              </w:rPr>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13.  Purchase of Small Chamber Testing Unit</w:t>
            </w:r>
            <w:r w:rsidRPr="002F1795">
              <w:rPr>
                <w:vertAlign w:val="superscript"/>
              </w:rPr>
              <w:t>6</w:t>
            </w:r>
          </w:p>
        </w:tc>
        <w:tc>
          <w:tcPr>
            <w:tcW w:w="1179" w:type="dxa"/>
            <w:tcBorders>
              <w:top w:val="single" w:sz="8" w:space="0" w:color="auto"/>
              <w:left w:val="nil"/>
              <w:bottom w:val="single" w:sz="8" w:space="0" w:color="auto"/>
              <w:right w:val="nil"/>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163" w:type="dxa"/>
            <w:tcBorders>
              <w:top w:val="single" w:sz="8" w:space="0" w:color="auto"/>
              <w:left w:val="single" w:sz="4" w:space="0" w:color="auto"/>
              <w:bottom w:val="single" w:sz="8" w:space="0" w:color="auto"/>
              <w:right w:val="nil"/>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6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1057" w:type="dxa"/>
            <w:tcBorders>
              <w:top w:val="single" w:sz="8" w:space="0" w:color="auto"/>
              <w:left w:val="single" w:sz="4" w:space="0" w:color="auto"/>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rPr>
                <w:rFonts w:ascii="Tahoma" w:hAnsi="Tahoma" w:cs="Tahoma"/>
                <w:szCs w:val="16"/>
              </w:rPr>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14.  Quality Control Testing</w:t>
            </w:r>
            <w:r w:rsidRPr="002F1795">
              <w:rPr>
                <w:vertAlign w:val="superscript"/>
              </w:rPr>
              <w:t>7</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Up to Daily</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15.  Lost Product</w:t>
            </w:r>
            <w:r w:rsidRPr="002F1795">
              <w:rPr>
                <w:vertAlign w:val="superscript"/>
              </w:rPr>
              <w:t>8</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 xml:space="preserve">Up to Daily </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16. Initial Recordkeeping</w:t>
            </w:r>
          </w:p>
        </w:tc>
        <w:tc>
          <w:tcPr>
            <w:tcW w:w="1179"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1163"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863"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rPr>
                <w:rFonts w:ascii="Tahoma" w:hAnsi="Tahoma" w:cs="Tahoma"/>
                <w:szCs w:val="16"/>
              </w:rPr>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17. Recurring Recordkeeping</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Annual</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Annual</w:t>
            </w:r>
          </w:p>
        </w:tc>
        <w:tc>
          <w:tcPr>
            <w:tcW w:w="836" w:type="dxa"/>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Annual</w:t>
            </w:r>
          </w:p>
        </w:tc>
        <w:tc>
          <w:tcPr>
            <w:tcW w:w="850"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rPr>
                <w:rFonts w:ascii="Tahoma" w:hAnsi="Tahoma" w:cs="Tahoma"/>
                <w:szCs w:val="16"/>
              </w:rPr>
              <w:t>-</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67"/>
          <w:jc w:val="center"/>
        </w:trPr>
        <w:tc>
          <w:tcPr>
            <w:tcW w:w="27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026BC" w:rsidRPr="002F1795" w:rsidRDefault="001026BC" w:rsidP="001026BC">
            <w:pPr>
              <w:pStyle w:val="TableText"/>
            </w:pPr>
            <w:r w:rsidRPr="002F1795">
              <w:t>18. Initial Labeling</w:t>
            </w:r>
          </w:p>
        </w:tc>
        <w:tc>
          <w:tcPr>
            <w:tcW w:w="3205" w:type="dxa"/>
            <w:gridSpan w:val="3"/>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1057" w:type="dxa"/>
            <w:tcBorders>
              <w:top w:val="single" w:sz="8" w:space="0" w:color="auto"/>
              <w:left w:val="nil"/>
              <w:bottom w:val="single" w:sz="8" w:space="0" w:color="auto"/>
              <w:right w:val="single" w:sz="4" w:space="0" w:color="auto"/>
            </w:tcBorders>
            <w:shd w:val="clear" w:color="auto" w:fill="auto"/>
            <w:vAlign w:val="center"/>
          </w:tcPr>
          <w:p w:rsidR="001026BC" w:rsidRPr="002F1795" w:rsidRDefault="001026BC" w:rsidP="001026BC">
            <w:pPr>
              <w:pStyle w:val="TableText"/>
              <w:jc w:val="center"/>
              <w:rPr>
                <w:rFonts w:ascii="Tahoma" w:hAnsi="Tahoma" w:cs="Tahoma"/>
                <w:szCs w:val="16"/>
              </w:rPr>
            </w:pPr>
            <w:r w:rsidRPr="002F1795">
              <w:t>1-time</w:t>
            </w:r>
          </w:p>
        </w:tc>
        <w:tc>
          <w:tcPr>
            <w:tcW w:w="1686" w:type="dxa"/>
            <w:gridSpan w:val="2"/>
            <w:tcBorders>
              <w:top w:val="single" w:sz="8" w:space="0" w:color="auto"/>
              <w:left w:val="nil"/>
              <w:bottom w:val="single" w:sz="8" w:space="0" w:color="auto"/>
              <w:right w:val="single" w:sz="4"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1-time</w:t>
            </w:r>
          </w:p>
        </w:tc>
        <w:tc>
          <w:tcPr>
            <w:tcW w:w="875" w:type="dxa"/>
            <w:tcBorders>
              <w:top w:val="single" w:sz="8" w:space="0" w:color="auto"/>
              <w:left w:val="nil"/>
              <w:bottom w:val="single" w:sz="8" w:space="0" w:color="auto"/>
              <w:right w:val="single" w:sz="8" w:space="0" w:color="auto"/>
            </w:tcBorders>
            <w:shd w:val="clear" w:color="auto" w:fill="auto"/>
            <w:noWrap/>
            <w:vAlign w:val="center"/>
            <w:hideMark/>
          </w:tcPr>
          <w:p w:rsidR="001026BC" w:rsidRPr="002F1795" w:rsidRDefault="001026BC" w:rsidP="001026BC">
            <w:pPr>
              <w:pStyle w:val="TableText"/>
              <w:jc w:val="center"/>
              <w:rPr>
                <w:rFonts w:ascii="Tahoma" w:hAnsi="Tahoma" w:cs="Tahoma"/>
                <w:szCs w:val="16"/>
              </w:rPr>
            </w:pPr>
            <w:r w:rsidRPr="002F1795">
              <w:t>-</w:t>
            </w:r>
          </w:p>
        </w:tc>
      </w:tr>
      <w:tr w:rsidR="001026BC" w:rsidRPr="002F1795" w:rsidTr="001026BC">
        <w:trPr>
          <w:trHeight w:val="3473"/>
          <w:jc w:val="center"/>
        </w:trPr>
        <w:tc>
          <w:tcPr>
            <w:tcW w:w="9576" w:type="dxa"/>
            <w:gridSpan w:val="8"/>
            <w:tcBorders>
              <w:top w:val="single" w:sz="8" w:space="0" w:color="auto"/>
              <w:left w:val="single" w:sz="8" w:space="0" w:color="auto"/>
              <w:bottom w:val="single" w:sz="8" w:space="0" w:color="auto"/>
              <w:right w:val="single" w:sz="8" w:space="0" w:color="auto"/>
            </w:tcBorders>
            <w:shd w:val="clear" w:color="auto" w:fill="auto"/>
            <w:hideMark/>
          </w:tcPr>
          <w:p w:rsidR="001026BC" w:rsidRPr="002F1795" w:rsidRDefault="001026BC" w:rsidP="001026BC">
            <w:pPr>
              <w:pStyle w:val="tablefootnote"/>
              <w:keepLines/>
            </w:pPr>
            <w:r w:rsidRPr="002F1795">
              <w:t xml:space="preserve">Notes: </w:t>
            </w:r>
          </w:p>
          <w:p w:rsidR="001026BC" w:rsidRPr="002F1795" w:rsidRDefault="001026BC" w:rsidP="001026BC">
            <w:pPr>
              <w:pStyle w:val="tablefootnote"/>
              <w:keepLines/>
            </w:pPr>
            <w:r w:rsidRPr="002F1795">
              <w:t>1.</w:t>
            </w:r>
            <w:r w:rsidRPr="002F1795">
              <w:rPr>
                <w:szCs w:val="16"/>
              </w:rPr>
              <w:t xml:space="preserve"> This analysis assumes that panel producers with standard (Phase 2), ULEF, or NAF certifications under the CARB ATCM will retain those certifications under the TSCA Title VI rule, but that product lines being newly certified as a result of the TSCA Title VI rule will receive either standard or NAF certifications.   Furthermore, some TPCs may have more stringent requirements than the regulations require.  For example, HPVA requires mills to have on-site audits and large chamber tests annually for NAF-certified products, and quarterly for ULEF-certified products, which is more frequently than the CARB </w:t>
            </w:r>
            <w:r w:rsidR="009F588B" w:rsidRPr="002F1795">
              <w:rPr>
                <w:szCs w:val="16"/>
              </w:rPr>
              <w:t xml:space="preserve">ATCM </w:t>
            </w:r>
            <w:r w:rsidRPr="002F1795">
              <w:rPr>
                <w:szCs w:val="16"/>
              </w:rPr>
              <w:t>requires.  This analysis therefore assumes that TPCs</w:t>
            </w:r>
            <w:r w:rsidR="00FA516B" w:rsidRPr="002F1795">
              <w:rPr>
                <w:szCs w:val="16"/>
              </w:rPr>
              <w:t xml:space="preserve"> test and audit mills with NAF </w:t>
            </w:r>
            <w:r w:rsidRPr="002F1795">
              <w:rPr>
                <w:szCs w:val="16"/>
              </w:rPr>
              <w:t xml:space="preserve">or ULEF-certified product lines more frequently than the CARB ATCM or </w:t>
            </w:r>
            <w:r w:rsidR="00FA516B" w:rsidRPr="002F1795">
              <w:rPr>
                <w:szCs w:val="16"/>
              </w:rPr>
              <w:t xml:space="preserve">the proposed </w:t>
            </w:r>
            <w:r w:rsidRPr="002F1795">
              <w:rPr>
                <w:szCs w:val="16"/>
              </w:rPr>
              <w:t xml:space="preserve">TSCA Title VI </w:t>
            </w:r>
            <w:r w:rsidR="00FA516B" w:rsidRPr="002F1795">
              <w:rPr>
                <w:szCs w:val="16"/>
              </w:rPr>
              <w:t xml:space="preserve">rule </w:t>
            </w:r>
            <w:r w:rsidRPr="002F1795">
              <w:rPr>
                <w:szCs w:val="16"/>
              </w:rPr>
              <w:t>require.</w:t>
            </w:r>
          </w:p>
          <w:p w:rsidR="001026BC" w:rsidRPr="002F1795" w:rsidRDefault="001026BC" w:rsidP="004D6D97">
            <w:pPr>
              <w:pStyle w:val="tablefootnote"/>
              <w:keepLines/>
              <w:rPr>
                <w:rFonts w:ascii="Tahoma" w:hAnsi="Tahoma" w:cs="Tahoma"/>
                <w:szCs w:val="16"/>
              </w:rPr>
            </w:pPr>
            <w:r w:rsidRPr="002F1795">
              <w:t>2. This analysis assumes that producers with new NAF certifications will incur the burden associated with one on-site audit (in addition to the initial audit) in the first year.  The initial on-site audit is assumed to be sufficient for producers with existing ULEF or NAF certifications.  All ULEF or NAF-certified producers will have one on-site audit annually thereafter.</w:t>
            </w:r>
            <w:r w:rsidRPr="002F1795">
              <w:br/>
              <w:t xml:space="preserve">3. Mills are assumed to perform large scale testing quarterly unless all products are certified as NAF.  It is assumed that mills with only NAF-certified products will perform large scale testing annually.  In the first year, mills with added-formaldehyde products will test those products three times in addition to the qualifying testing, and mills with NAF products will test those once at the end of the qualifying process.  </w:t>
            </w:r>
            <w:r w:rsidRPr="002F1795">
              <w:br/>
              <w:t xml:space="preserve">4. It is assumed that travel is only necessary for the annual audits, as other intermediate audits can be performed by contracting inspectors closer to the mill. </w:t>
            </w:r>
            <w:r w:rsidRPr="002F1795">
              <w:br/>
              <w:t xml:space="preserve">5. Desk audits for standard certification are assumed to occur monthly except in months with quarterly on-site audits. The analysis assumes that producers with new NAF certification will incur the burden associated with two desk audits in the first year.  ULEF or NAF-certified producers will not have any desk audits in subsequent years. </w:t>
            </w:r>
            <w:r w:rsidRPr="002F1795">
              <w:br/>
              <w:t xml:space="preserve">6. This analysis assumes that mills with standard certification </w:t>
            </w:r>
            <w:r w:rsidR="004D6D97" w:rsidRPr="002F1795">
              <w:t xml:space="preserve">or a new NAF certification </w:t>
            </w:r>
            <w:r w:rsidRPr="002F1795">
              <w:t xml:space="preserve">will choose to set up and operate a small scale testing facility on-site; although, all particleboard and MDF mills with standard certification are assumed to already have a small scale testing facility on-site.  Mills with </w:t>
            </w:r>
            <w:r w:rsidR="004D6D97" w:rsidRPr="002F1795">
              <w:t xml:space="preserve">an existing ULEF or </w:t>
            </w:r>
            <w:r w:rsidRPr="002F1795">
              <w:t xml:space="preserve">NAF certification </w:t>
            </w:r>
            <w:r w:rsidR="004D6D97" w:rsidRPr="002F1795">
              <w:t>will already have been exempted from quality control testing</w:t>
            </w:r>
            <w:r w:rsidRPr="002F1795">
              <w:t>.</w:t>
            </w:r>
            <w:r w:rsidRPr="002F1795">
              <w:br/>
              <w:t>7. Particleboard and MDF mills are required to test samples at least once per eight or twelve hour shift, but the frequency is reduced to one test per 48 hours if the plant or production line has shown consistent operations with low variability of test results.  The testing frequency for hardwood plywood producers depends on their production volume, ranging from as little as one test per hundred thousand square feet of production to as much as four tests per week.  This analysis makes the simplifying assumption that all panel producers with standard certification will test once per day, which results in a conservative estimate of the burden and cost of quality control testing for hardwood plywood producers.</w:t>
            </w:r>
            <w:r w:rsidRPr="002F1795">
              <w:br/>
              <w:t xml:space="preserve">8. Mills will need to forfeit a number of panels for initial and on-going testing.  Mills are expected to ship five 4’ x 8’ panels per product type for qualifying testing.  All producers </w:t>
            </w:r>
            <w:r w:rsidR="00360DA7" w:rsidRPr="002F1795">
              <w:t xml:space="preserve">of products with a standard certification </w:t>
            </w:r>
            <w:r w:rsidRPr="002F1795">
              <w:t>are assumed to lose one panel per product type each day for quality control testing, which is a conservative estimate for hardwood plywood producers.  In addition, mills are required to send one panel per product type to the TPC for large scale testing each quarter.  However, product lines that are certified as NAF are exempt from routine quality control testing after the three month qualifying period, and need only have large scale testing performed annually.  Product lines that are certified as ULEF are exempt from routine quality control testing after the six month qualifying period, and are assumed to have large scale testing performed quarterly.</w:t>
            </w:r>
          </w:p>
        </w:tc>
      </w:tr>
    </w:tbl>
    <w:p w:rsidR="001026BC" w:rsidRPr="002F1795" w:rsidRDefault="001026BC" w:rsidP="001026BC">
      <w:pPr>
        <w:rPr>
          <w:sz w:val="18"/>
        </w:rPr>
      </w:pPr>
    </w:p>
    <w:p w:rsidR="001026BC" w:rsidRPr="002F1795" w:rsidRDefault="001026BC" w:rsidP="00A83DDA">
      <w:pPr>
        <w:numPr>
          <w:ilvl w:val="12"/>
          <w:numId w:val="0"/>
        </w:numPr>
      </w:pPr>
    </w:p>
    <w:p w:rsidR="00A83DDA" w:rsidRPr="002F1795" w:rsidRDefault="00452741" w:rsidP="00A83DDA">
      <w:pPr>
        <w:pStyle w:val="BodyText"/>
        <w:rPr>
          <w:sz w:val="24"/>
        </w:rPr>
      </w:pPr>
      <w:r w:rsidRPr="002F1795">
        <w:rPr>
          <w:sz w:val="24"/>
        </w:rPr>
        <w:lastRenderedPageBreak/>
        <w:tab/>
      </w:r>
      <w:r w:rsidR="00A83DDA" w:rsidRPr="002F1795">
        <w:rPr>
          <w:sz w:val="24"/>
        </w:rPr>
        <w:t>Note that the TSCA Title VI rule requires importers of articles that are composite wood products, or articles that contain composite wood products, to comply with the TSCA Section 13 import certification regulations for “Chemical Substances in Bulk and As Part of Mixtures and Articles,” as found at 19 CFR 12.118 through 12.127.  Thus, any U.S. importer of composite wood products or articles that contain composite wood products would have to certify that all articles in the shipment either comply with all applicable rules and orders under TSCA or that all the articles in the shipment are not subject to TSCA.  The statement must be on or attached to a commercial invoice or entry document belonging to the imported shipment.  In practice, import certification is fulfilled by checking a box on an invoice or entry document.  It is assumed that this does not generally impose a significant additional burden or cost on the importer.  Any potential burden associated with a submitter’s familiarization with this requirement is assumed to be included in the more general rule familiarization burden discussed below.</w:t>
      </w:r>
    </w:p>
    <w:p w:rsidR="00A83DDA" w:rsidRPr="002F1795" w:rsidRDefault="00A83DDA" w:rsidP="00A83DDA">
      <w:pPr>
        <w:numPr>
          <w:ilvl w:val="12"/>
          <w:numId w:val="0"/>
        </w:numPr>
      </w:pPr>
    </w:p>
    <w:p w:rsidR="00A83DDA" w:rsidRPr="002F1795" w:rsidRDefault="00452741" w:rsidP="00A83DDA">
      <w:pPr>
        <w:pStyle w:val="BodyText"/>
        <w:rPr>
          <w:sz w:val="24"/>
        </w:rPr>
      </w:pPr>
      <w:r w:rsidRPr="002F1795">
        <w:tab/>
      </w:r>
      <w:fldSimple w:instr=" REF _Ref309214319 \h  \* MERGEFORMAT ">
        <w:r w:rsidR="0036394F" w:rsidRPr="0036394F">
          <w:t>Exhibit 6-2</w:t>
        </w:r>
      </w:fldSimple>
      <w:r w:rsidR="00A83DDA" w:rsidRPr="002F1795">
        <w:rPr>
          <w:sz w:val="24"/>
        </w:rPr>
        <w:t xml:space="preserve"> summarizes the activities that have reporting and recordkeeping burden hours (and thus labor costs) associated with them, and those that have non-labor costs (such as purchasing equipment, shipping composite wood samples for testing, TPC fees, etc.).  Burden hour estimates are discussed in section 6(a), while labor and non-labor costs are discussed in section 6(b).  </w:t>
      </w:r>
      <w:fldSimple w:instr=" REF _Ref309214319 \h  \* MERGEFORMAT ">
        <w:r w:rsidR="0036394F" w:rsidRPr="0036394F">
          <w:t>Exhibit 6-2</w:t>
        </w:r>
      </w:fldSimple>
      <w:r w:rsidR="00A83DDA" w:rsidRPr="002F1795">
        <w:rPr>
          <w:sz w:val="24"/>
        </w:rPr>
        <w:t xml:space="preserve"> also summarizes the baseline calculations for this ICR analysis.  Many panel producers are already engaged in these activities because their products are certified under the CARB ATCM.  This analysis estimates the burden and cost of the TSCA Title VI rule’s requirements both with and without accounting for this baseline.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This analysis assumes that mills making product lines that have a standard certification</w:t>
      </w:r>
      <w:r w:rsidR="00A83DDA" w:rsidRPr="002F1795">
        <w:rPr>
          <w:rStyle w:val="FootnoteReference"/>
          <w:sz w:val="24"/>
          <w:vertAlign w:val="superscript"/>
        </w:rPr>
        <w:footnoteReference w:id="1"/>
      </w:r>
      <w:r w:rsidR="00A83DDA" w:rsidRPr="002F1795">
        <w:rPr>
          <w:sz w:val="24"/>
          <w:vertAlign w:val="superscript"/>
        </w:rPr>
        <w:t xml:space="preserve"> </w:t>
      </w:r>
      <w:r w:rsidR="00A83DDA" w:rsidRPr="002F1795">
        <w:rPr>
          <w:sz w:val="24"/>
        </w:rPr>
        <w:t>or a</w:t>
      </w:r>
      <w:r w:rsidR="00361B93" w:rsidRPr="002F1795">
        <w:rPr>
          <w:sz w:val="24"/>
        </w:rPr>
        <w:t xml:space="preserve"> ULEF or</w:t>
      </w:r>
      <w:r w:rsidR="00A83DDA" w:rsidRPr="002F1795">
        <w:rPr>
          <w:sz w:val="24"/>
        </w:rPr>
        <w:t xml:space="preserve"> NAF certification under the CARB ATCM will not need to submit new data or resubmit existing data to their existing TPC in order to receive the equivalent certification under the TSCA Title VI regulations.   Thus, this ICR does not include burdens and costs for these reporting and recordkeeping activities where it is assumed the activities were already performed to comply with the CARB ATCM and will not need to be performed again.  This is consistent with the methodology used in the Economic Analysis for the proposed rule.</w:t>
      </w:r>
    </w:p>
    <w:p w:rsidR="00A83DDA" w:rsidRPr="002F1795" w:rsidRDefault="00A83DDA" w:rsidP="00A83DDA">
      <w:pPr>
        <w:pStyle w:val="BodyText"/>
        <w:rPr>
          <w:color w:val="FF0000"/>
        </w:rPr>
      </w:pPr>
    </w:p>
    <w:p w:rsidR="00A83DDA" w:rsidRPr="002F1795" w:rsidRDefault="00452741" w:rsidP="00A83DDA">
      <w:pPr>
        <w:pStyle w:val="BodyText"/>
        <w:rPr>
          <w:sz w:val="24"/>
        </w:rPr>
      </w:pPr>
      <w:r w:rsidRPr="002F1795">
        <w:rPr>
          <w:sz w:val="24"/>
        </w:rPr>
        <w:tab/>
      </w:r>
      <w:r w:rsidR="00A83DDA" w:rsidRPr="002F1795">
        <w:rPr>
          <w:sz w:val="24"/>
        </w:rPr>
        <w:t>However, this ICR does include the burdens and costs of required activities that will continue to be performed under the TSCA Title VI rule, even if those activities would be performed regardless of the TSCA rule (i.e., to comply with the CARB ATCM).  This is different from the methodology in the Economic Analysis for the proposed rule, where the baseline included activities performed to comply with the CARB ATCM.  As a result, the Economic Analysis excluded the costs of activities that would be performed even without the TSCA rule.</w:t>
      </w:r>
    </w:p>
    <w:p w:rsidR="00A83DDA" w:rsidRPr="002F1795" w:rsidRDefault="00A83DDA" w:rsidP="00A83DDA"/>
    <w:tbl>
      <w:tblPr>
        <w:tblW w:w="5000" w:type="pct"/>
        <w:tblLayout w:type="fixed"/>
        <w:tblLook w:val="04A0"/>
      </w:tblPr>
      <w:tblGrid>
        <w:gridCol w:w="2800"/>
        <w:gridCol w:w="830"/>
        <w:gridCol w:w="933"/>
        <w:gridCol w:w="1575"/>
        <w:gridCol w:w="1170"/>
        <w:gridCol w:w="1080"/>
        <w:gridCol w:w="1188"/>
      </w:tblGrid>
      <w:tr w:rsidR="00A83DDA" w:rsidRPr="002F1795" w:rsidTr="006565F1">
        <w:trPr>
          <w:cantSplit/>
          <w:trHeight w:val="67"/>
        </w:trPr>
        <w:tc>
          <w:tcPr>
            <w:tcW w:w="9576"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A920FD">
            <w:pPr>
              <w:pStyle w:val="TableTitle"/>
              <w:keepNext/>
              <w:keepLines/>
            </w:pPr>
            <w:bookmarkStart w:id="1" w:name="_Ref309214319"/>
            <w:r w:rsidRPr="002F1795">
              <w:rPr>
                <w:rStyle w:val="TableTitleChar"/>
              </w:rPr>
              <w:lastRenderedPageBreak/>
              <w:t>Exhibit 6-</w:t>
            </w:r>
            <w:r w:rsidR="0041046E" w:rsidRPr="002F1795">
              <w:rPr>
                <w:rStyle w:val="TableTitleChar"/>
                <w:b/>
              </w:rPr>
              <w:fldChar w:fldCharType="begin"/>
            </w:r>
            <w:r w:rsidRPr="002F1795">
              <w:rPr>
                <w:rStyle w:val="TableTitleChar"/>
              </w:rPr>
              <w:instrText xml:space="preserve"> SEQ Exhibit_6- \* ARABIC </w:instrText>
            </w:r>
            <w:r w:rsidR="0041046E" w:rsidRPr="002F1795">
              <w:rPr>
                <w:rStyle w:val="TableTitleChar"/>
                <w:b/>
              </w:rPr>
              <w:fldChar w:fldCharType="separate"/>
            </w:r>
            <w:r w:rsidR="0036394F">
              <w:rPr>
                <w:rStyle w:val="TableTitleChar"/>
                <w:noProof/>
              </w:rPr>
              <w:t>2</w:t>
            </w:r>
            <w:r w:rsidR="0041046E" w:rsidRPr="002F1795">
              <w:rPr>
                <w:rStyle w:val="TableTitleChar"/>
                <w:b/>
              </w:rPr>
              <w:fldChar w:fldCharType="end"/>
            </w:r>
            <w:bookmarkEnd w:id="1"/>
            <w:r w:rsidRPr="002F1795">
              <w:rPr>
                <w:rStyle w:val="TableTitleChar"/>
              </w:rPr>
              <w:t>: Summary of</w:t>
            </w:r>
            <w:r w:rsidRPr="002F1795">
              <w:t xml:space="preserve"> Recordkeeping and Reporting Activities, by Activity</w:t>
            </w:r>
          </w:p>
        </w:tc>
      </w:tr>
      <w:tr w:rsidR="00A920FD" w:rsidRPr="002F1795" w:rsidTr="00BA5D3D">
        <w:trPr>
          <w:cantSplit/>
          <w:trHeight w:val="621"/>
        </w:trPr>
        <w:tc>
          <w:tcPr>
            <w:tcW w:w="2800" w:type="dxa"/>
            <w:vMerge w:val="restart"/>
            <w:tcBorders>
              <w:top w:val="single" w:sz="4" w:space="0" w:color="auto"/>
              <w:left w:val="single" w:sz="8" w:space="0" w:color="auto"/>
              <w:bottom w:val="nil"/>
              <w:right w:val="single" w:sz="4" w:space="0" w:color="auto"/>
            </w:tcBorders>
            <w:shd w:val="clear" w:color="000000" w:fill="FFFFFF"/>
            <w:vAlign w:val="center"/>
            <w:hideMark/>
          </w:tcPr>
          <w:p w:rsidR="00A920FD" w:rsidRPr="002F1795" w:rsidRDefault="00A920FD" w:rsidP="006565F1">
            <w:pPr>
              <w:pStyle w:val="TableSubtitle"/>
            </w:pPr>
            <w:r w:rsidRPr="002F1795">
              <w:t>Activity</w:t>
            </w:r>
          </w:p>
        </w:tc>
        <w:tc>
          <w:tcPr>
            <w:tcW w:w="830" w:type="dxa"/>
            <w:vMerge w:val="restart"/>
            <w:tcBorders>
              <w:top w:val="single" w:sz="4" w:space="0" w:color="auto"/>
              <w:left w:val="nil"/>
              <w:bottom w:val="nil"/>
              <w:right w:val="single" w:sz="4" w:space="0" w:color="auto"/>
            </w:tcBorders>
            <w:shd w:val="clear" w:color="000000" w:fill="FFFFFF"/>
            <w:vAlign w:val="center"/>
            <w:hideMark/>
          </w:tcPr>
          <w:p w:rsidR="00A920FD" w:rsidRPr="002F1795" w:rsidRDefault="00A920FD" w:rsidP="006565F1">
            <w:pPr>
              <w:pStyle w:val="TableSubtitle"/>
            </w:pPr>
            <w:r w:rsidRPr="002F1795">
              <w:t>Labor Costs</w:t>
            </w:r>
          </w:p>
          <w:p w:rsidR="00A920FD" w:rsidRPr="002F1795" w:rsidRDefault="00A920FD" w:rsidP="006565F1">
            <w:pPr>
              <w:pStyle w:val="TableSubtitle"/>
            </w:pPr>
          </w:p>
          <w:p w:rsidR="00A920FD" w:rsidRPr="002F1795" w:rsidRDefault="00A920FD" w:rsidP="006565F1">
            <w:pPr>
              <w:pStyle w:val="TableSubtitle"/>
            </w:pPr>
            <w:r w:rsidRPr="002F1795">
              <w:t>(see Section 6(a))</w:t>
            </w:r>
          </w:p>
        </w:tc>
        <w:tc>
          <w:tcPr>
            <w:tcW w:w="933" w:type="dxa"/>
            <w:vMerge w:val="restart"/>
            <w:tcBorders>
              <w:top w:val="single" w:sz="4" w:space="0" w:color="auto"/>
              <w:left w:val="nil"/>
              <w:bottom w:val="nil"/>
              <w:right w:val="single" w:sz="4" w:space="0" w:color="auto"/>
            </w:tcBorders>
            <w:shd w:val="clear" w:color="000000" w:fill="FFFFFF"/>
            <w:vAlign w:val="center"/>
            <w:hideMark/>
          </w:tcPr>
          <w:p w:rsidR="00A920FD" w:rsidRPr="002F1795" w:rsidRDefault="00A920FD" w:rsidP="006565F1">
            <w:pPr>
              <w:pStyle w:val="TableSubtitle"/>
            </w:pPr>
            <w:r w:rsidRPr="002F1795">
              <w:t>Non-Labor Costs</w:t>
            </w:r>
          </w:p>
          <w:p w:rsidR="00A920FD" w:rsidRPr="002F1795" w:rsidRDefault="00A920FD" w:rsidP="006565F1">
            <w:pPr>
              <w:pStyle w:val="TableSubtitle"/>
            </w:pPr>
          </w:p>
          <w:p w:rsidR="00A920FD" w:rsidRPr="002F1795" w:rsidRDefault="00A920FD" w:rsidP="006565F1">
            <w:pPr>
              <w:pStyle w:val="TableSubtitle"/>
            </w:pPr>
            <w:r w:rsidRPr="002F1795">
              <w:t>(see Section 6(b))</w:t>
            </w:r>
          </w:p>
        </w:tc>
        <w:tc>
          <w:tcPr>
            <w:tcW w:w="2745" w:type="dxa"/>
            <w:gridSpan w:val="2"/>
            <w:tcBorders>
              <w:top w:val="single" w:sz="4" w:space="0" w:color="auto"/>
              <w:left w:val="nil"/>
              <w:bottom w:val="single" w:sz="4" w:space="0" w:color="auto"/>
              <w:right w:val="single" w:sz="4" w:space="0" w:color="auto"/>
            </w:tcBorders>
            <w:shd w:val="clear" w:color="000000" w:fill="FFFFFF"/>
            <w:vAlign w:val="center"/>
            <w:hideMark/>
          </w:tcPr>
          <w:p w:rsidR="00A920FD" w:rsidRPr="002F1795" w:rsidRDefault="00A920FD" w:rsidP="006565F1">
            <w:pPr>
              <w:jc w:val="center"/>
            </w:pPr>
            <w:r w:rsidRPr="002F1795">
              <w:rPr>
                <w:b/>
                <w:bCs/>
                <w:color w:val="000000"/>
                <w:sz w:val="18"/>
                <w:szCs w:val="18"/>
              </w:rPr>
              <w:t>Burden/Cost Included for Incremental Estimate, by firm type</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FFFF"/>
            <w:vAlign w:val="center"/>
          </w:tcPr>
          <w:p w:rsidR="00A920FD" w:rsidRPr="002F1795" w:rsidRDefault="00A920FD" w:rsidP="006565F1">
            <w:pPr>
              <w:pStyle w:val="TableSubtitle"/>
            </w:pPr>
            <w:r w:rsidRPr="002F1795">
              <w:t>Burden/Cost Included for Total Estimate, by firm type</w:t>
            </w:r>
          </w:p>
        </w:tc>
      </w:tr>
      <w:tr w:rsidR="00A920FD" w:rsidRPr="002F1795" w:rsidTr="006565F1">
        <w:trPr>
          <w:cantSplit/>
          <w:trHeight w:val="77"/>
        </w:trPr>
        <w:tc>
          <w:tcPr>
            <w:tcW w:w="2800" w:type="dxa"/>
            <w:vMerge/>
            <w:tcBorders>
              <w:left w:val="single" w:sz="8" w:space="0" w:color="auto"/>
              <w:bottom w:val="single" w:sz="4" w:space="0" w:color="auto"/>
              <w:right w:val="single" w:sz="4" w:space="0" w:color="auto"/>
            </w:tcBorders>
            <w:shd w:val="clear" w:color="000000" w:fill="FFFFFF"/>
            <w:noWrap/>
            <w:vAlign w:val="center"/>
          </w:tcPr>
          <w:p w:rsidR="00A920FD" w:rsidRPr="002F1795" w:rsidRDefault="00A920FD" w:rsidP="006565F1">
            <w:pPr>
              <w:pStyle w:val="TableText"/>
              <w:ind w:left="180"/>
            </w:pPr>
          </w:p>
        </w:tc>
        <w:tc>
          <w:tcPr>
            <w:tcW w:w="830" w:type="dxa"/>
            <w:vMerge/>
            <w:tcBorders>
              <w:left w:val="nil"/>
              <w:bottom w:val="single" w:sz="4" w:space="0" w:color="auto"/>
              <w:right w:val="single" w:sz="4" w:space="0" w:color="auto"/>
            </w:tcBorders>
            <w:shd w:val="clear" w:color="000000" w:fill="FFFFFF"/>
            <w:noWrap/>
            <w:vAlign w:val="center"/>
          </w:tcPr>
          <w:p w:rsidR="00A920FD" w:rsidRPr="002F1795" w:rsidRDefault="00A920FD" w:rsidP="006565F1">
            <w:pPr>
              <w:pStyle w:val="TableText"/>
              <w:jc w:val="center"/>
            </w:pPr>
          </w:p>
        </w:tc>
        <w:tc>
          <w:tcPr>
            <w:tcW w:w="933" w:type="dxa"/>
            <w:vMerge/>
            <w:tcBorders>
              <w:left w:val="nil"/>
              <w:bottom w:val="single" w:sz="4" w:space="0" w:color="auto"/>
              <w:right w:val="single" w:sz="4" w:space="0" w:color="auto"/>
            </w:tcBorders>
            <w:shd w:val="clear" w:color="000000" w:fill="FFFFFF"/>
            <w:noWrap/>
            <w:vAlign w:val="center"/>
          </w:tcPr>
          <w:p w:rsidR="00A920FD" w:rsidRPr="002F1795" w:rsidRDefault="00A920FD" w:rsidP="006565F1">
            <w:pPr>
              <w:pStyle w:val="TableText"/>
              <w:jc w:val="center"/>
            </w:pPr>
          </w:p>
        </w:tc>
        <w:tc>
          <w:tcPr>
            <w:tcW w:w="1575" w:type="dxa"/>
            <w:tcBorders>
              <w:top w:val="single" w:sz="4" w:space="0" w:color="auto"/>
              <w:left w:val="nil"/>
              <w:bottom w:val="single" w:sz="4" w:space="0" w:color="auto"/>
              <w:right w:val="single" w:sz="4" w:space="0" w:color="auto"/>
            </w:tcBorders>
            <w:shd w:val="clear" w:color="000000" w:fill="FFFFFF"/>
            <w:noWrap/>
            <w:vAlign w:val="center"/>
          </w:tcPr>
          <w:p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Baseline CARB-Compliant</w:t>
            </w:r>
          </w:p>
        </w:tc>
        <w:tc>
          <w:tcPr>
            <w:tcW w:w="1170" w:type="dxa"/>
            <w:tcBorders>
              <w:top w:val="single" w:sz="4" w:space="0" w:color="auto"/>
              <w:left w:val="nil"/>
              <w:bottom w:val="single" w:sz="4" w:space="0" w:color="auto"/>
              <w:right w:val="single" w:sz="4" w:space="0" w:color="auto"/>
            </w:tcBorders>
            <w:shd w:val="clear" w:color="000000" w:fill="FFFFFF"/>
            <w:tcMar>
              <w:left w:w="14" w:type="dxa"/>
              <w:right w:w="14" w:type="dxa"/>
            </w:tcMar>
            <w:vAlign w:val="center"/>
          </w:tcPr>
          <w:p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Not Baseline CARB-Compliant</w:t>
            </w:r>
          </w:p>
        </w:tc>
        <w:tc>
          <w:tcPr>
            <w:tcW w:w="1080" w:type="dxa"/>
            <w:tcBorders>
              <w:top w:val="nil"/>
              <w:left w:val="nil"/>
              <w:bottom w:val="single" w:sz="4" w:space="0" w:color="auto"/>
              <w:right w:val="single" w:sz="8" w:space="0" w:color="auto"/>
            </w:tcBorders>
            <w:shd w:val="clear" w:color="000000" w:fill="FFFFFF"/>
            <w:noWrap/>
            <w:tcMar>
              <w:left w:w="14" w:type="dxa"/>
              <w:right w:w="14" w:type="dxa"/>
            </w:tcMar>
            <w:vAlign w:val="center"/>
          </w:tcPr>
          <w:p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Baseline CARB-Compliant</w:t>
            </w:r>
          </w:p>
        </w:tc>
        <w:tc>
          <w:tcPr>
            <w:tcW w:w="1188" w:type="dxa"/>
            <w:tcBorders>
              <w:top w:val="nil"/>
              <w:left w:val="nil"/>
              <w:bottom w:val="single" w:sz="4" w:space="0" w:color="auto"/>
              <w:right w:val="single" w:sz="8" w:space="0" w:color="auto"/>
            </w:tcBorders>
            <w:shd w:val="clear" w:color="000000" w:fill="FFFFFF"/>
            <w:vAlign w:val="center"/>
          </w:tcPr>
          <w:p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 xml:space="preserve">Not Baseline CARB-Compliant </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w:t>
            </w:r>
            <w:r w:rsidRPr="002F1795">
              <w:rPr>
                <w:sz w:val="14"/>
                <w:szCs w:val="14"/>
              </w:rPr>
              <w:t>     </w:t>
            </w:r>
            <w:r w:rsidRPr="002F1795">
              <w:t>Rule Familiarization</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1575" w:type="dxa"/>
            <w:tcBorders>
              <w:top w:val="nil"/>
              <w:left w:val="nil"/>
              <w:bottom w:val="single" w:sz="4" w:space="0" w:color="auto"/>
              <w:right w:val="single" w:sz="4"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70" w:type="dxa"/>
            <w:tcBorders>
              <w:top w:val="nil"/>
              <w:left w:val="nil"/>
              <w:bottom w:val="single" w:sz="4" w:space="0" w:color="auto"/>
              <w:right w:val="single" w:sz="4"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2.</w:t>
            </w:r>
            <w:r w:rsidRPr="002F1795">
              <w:rPr>
                <w:sz w:val="14"/>
                <w:szCs w:val="14"/>
              </w:rPr>
              <w:t xml:space="preserve">     </w:t>
            </w:r>
            <w:r w:rsidRPr="002F1795">
              <w:t>Certification Fee</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4"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3.</w:t>
            </w:r>
            <w:r w:rsidRPr="002F1795">
              <w:rPr>
                <w:sz w:val="14"/>
                <w:szCs w:val="14"/>
              </w:rPr>
              <w:t xml:space="preserve">     </w:t>
            </w:r>
            <w:r w:rsidRPr="002F1795">
              <w:t>Initial On-site Audit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4.</w:t>
            </w:r>
            <w:r w:rsidRPr="002F1795">
              <w:rPr>
                <w:sz w:val="14"/>
                <w:szCs w:val="14"/>
              </w:rPr>
              <w:t xml:space="preserve">     </w:t>
            </w:r>
            <w:r w:rsidRPr="002F1795">
              <w:t>Develop Quality Control Manual</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1575"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5.</w:t>
            </w:r>
            <w:r w:rsidRPr="002F1795">
              <w:rPr>
                <w:sz w:val="14"/>
                <w:szCs w:val="14"/>
              </w:rPr>
              <w:t xml:space="preserve">     </w:t>
            </w:r>
            <w:r w:rsidRPr="002F1795">
              <w:t>Qualifying Test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6.</w:t>
            </w:r>
            <w:r w:rsidRPr="002F1795">
              <w:rPr>
                <w:sz w:val="14"/>
                <w:szCs w:val="14"/>
              </w:rPr>
              <w:t xml:space="preserve">     </w:t>
            </w:r>
            <w:r w:rsidRPr="002F1795">
              <w:t>Qualifying Test Shipment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7.</w:t>
            </w:r>
            <w:r w:rsidRPr="002F1795">
              <w:rPr>
                <w:sz w:val="14"/>
                <w:szCs w:val="14"/>
              </w:rPr>
              <w:t xml:space="preserve">     </w:t>
            </w:r>
            <w:r w:rsidRPr="002F1795">
              <w:t>Correlation Test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8.</w:t>
            </w:r>
            <w:r w:rsidRPr="002F1795">
              <w:rPr>
                <w:sz w:val="14"/>
                <w:szCs w:val="14"/>
              </w:rPr>
              <w:t xml:space="preserve">     </w:t>
            </w:r>
            <w:r w:rsidRPr="002F1795">
              <w:t>Recurring On-site Audit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125"/>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9.</w:t>
            </w:r>
            <w:r w:rsidRPr="002F1795">
              <w:rPr>
                <w:sz w:val="14"/>
                <w:szCs w:val="14"/>
              </w:rPr>
              <w:t xml:space="preserve">  </w:t>
            </w:r>
            <w:r w:rsidRPr="002F1795">
              <w:t>Large Scale Testing Fee</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10.</w:t>
            </w:r>
            <w:r w:rsidRPr="002F1795">
              <w:rPr>
                <w:sz w:val="14"/>
                <w:szCs w:val="14"/>
              </w:rPr>
              <w:t xml:space="preserve">  </w:t>
            </w:r>
            <w:r w:rsidRPr="002F1795">
              <w:t>Large Scale Testing Shipment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11.</w:t>
            </w:r>
            <w:r w:rsidRPr="002F1795">
              <w:rPr>
                <w:sz w:val="14"/>
                <w:szCs w:val="14"/>
              </w:rPr>
              <w:t xml:space="preserve">  </w:t>
            </w:r>
            <w:r w:rsidRPr="002F1795">
              <w:t>On-site Audit Travel</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12.</w:t>
            </w:r>
            <w:r w:rsidRPr="002F1795">
              <w:rPr>
                <w:sz w:val="14"/>
                <w:szCs w:val="14"/>
              </w:rPr>
              <w:t xml:space="preserve">  </w:t>
            </w:r>
            <w:r w:rsidRPr="002F1795">
              <w:t>Desk Audits</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300"/>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13.</w:t>
            </w:r>
            <w:r w:rsidRPr="002F1795">
              <w:rPr>
                <w:sz w:val="14"/>
                <w:szCs w:val="14"/>
              </w:rPr>
              <w:t xml:space="preserve">  </w:t>
            </w:r>
            <w:r w:rsidRPr="002F1795">
              <w:t>Purchase of Small Chamber Testing Unit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14.</w:t>
            </w:r>
            <w:r w:rsidRPr="002F1795">
              <w:rPr>
                <w:sz w:val="14"/>
                <w:szCs w:val="14"/>
              </w:rPr>
              <w:t xml:space="preserve">  </w:t>
            </w:r>
            <w:r w:rsidRPr="002F1795">
              <w:t>Quality Control Testing</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15.</w:t>
            </w:r>
            <w:r w:rsidRPr="002F1795">
              <w:rPr>
                <w:sz w:val="14"/>
                <w:szCs w:val="14"/>
              </w:rPr>
              <w:t xml:space="preserve">  </w:t>
            </w:r>
            <w:r w:rsidRPr="002F1795">
              <w:t>Lost Product</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16. Initial Recordkeeping</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17. Recurring Recordkeeping</w:t>
            </w:r>
          </w:p>
        </w:tc>
        <w:tc>
          <w:tcPr>
            <w:tcW w:w="830"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Text"/>
              <w:jc w:val="center"/>
            </w:pPr>
          </w:p>
        </w:tc>
        <w:tc>
          <w:tcPr>
            <w:tcW w:w="1575" w:type="dxa"/>
            <w:tcBorders>
              <w:top w:val="nil"/>
              <w:left w:val="nil"/>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hideMark/>
          </w:tcPr>
          <w:p w:rsidR="00A83DDA" w:rsidRPr="002F1795" w:rsidRDefault="00A83DDA" w:rsidP="006565F1">
            <w:pPr>
              <w:pStyle w:val="TableText"/>
              <w:ind w:left="180"/>
            </w:pPr>
            <w:r w:rsidRPr="002F1795">
              <w:t>18. Initial Labeling</w:t>
            </w:r>
          </w:p>
        </w:tc>
        <w:tc>
          <w:tcPr>
            <w:tcW w:w="830" w:type="dxa"/>
            <w:tcBorders>
              <w:top w:val="nil"/>
              <w:left w:val="nil"/>
              <w:bottom w:val="single" w:sz="8"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933" w:type="dxa"/>
            <w:tcBorders>
              <w:top w:val="nil"/>
              <w:left w:val="nil"/>
              <w:bottom w:val="single" w:sz="8" w:space="0" w:color="auto"/>
              <w:right w:val="single" w:sz="4"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575" w:type="dxa"/>
            <w:tcBorders>
              <w:top w:val="nil"/>
              <w:left w:val="nil"/>
              <w:bottom w:val="single" w:sz="8" w:space="0" w:color="auto"/>
              <w:right w:val="single" w:sz="8" w:space="0" w:color="auto"/>
            </w:tcBorders>
            <w:shd w:val="clear" w:color="000000" w:fill="FFFFFF"/>
            <w:noWrap/>
            <w:vAlign w:val="center"/>
            <w:hideMark/>
          </w:tcPr>
          <w:p w:rsidR="00A83DDA" w:rsidRPr="002F1795" w:rsidRDefault="00A83DDA" w:rsidP="006565F1">
            <w:pPr>
              <w:pStyle w:val="TableText"/>
              <w:jc w:val="center"/>
            </w:pPr>
            <w:r w:rsidRPr="002F1795">
              <w:t>Yes</w:t>
            </w:r>
          </w:p>
        </w:tc>
        <w:tc>
          <w:tcPr>
            <w:tcW w:w="1170" w:type="dxa"/>
            <w:tcBorders>
              <w:top w:val="nil"/>
              <w:left w:val="nil"/>
              <w:bottom w:val="single" w:sz="8"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c>
          <w:tcPr>
            <w:tcW w:w="1080" w:type="dxa"/>
            <w:tcBorders>
              <w:top w:val="nil"/>
              <w:left w:val="single" w:sz="4" w:space="0" w:color="auto"/>
              <w:bottom w:val="single" w:sz="8" w:space="0" w:color="auto"/>
              <w:right w:val="single" w:sz="8" w:space="0" w:color="auto"/>
            </w:tcBorders>
            <w:shd w:val="clear" w:color="000000" w:fill="FFFFFF"/>
            <w:noWrap/>
            <w:vAlign w:val="center"/>
          </w:tcPr>
          <w:p w:rsidR="00A83DDA" w:rsidRPr="002F1795" w:rsidRDefault="00A83DDA" w:rsidP="006565F1">
            <w:pPr>
              <w:pStyle w:val="TableText"/>
              <w:jc w:val="center"/>
            </w:pPr>
            <w:r w:rsidRPr="002F1795">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rsidR="00A83DDA" w:rsidRPr="002F1795" w:rsidRDefault="00A83DDA" w:rsidP="006565F1">
            <w:pPr>
              <w:pStyle w:val="TableText"/>
              <w:jc w:val="center"/>
            </w:pPr>
            <w:r w:rsidRPr="002F1795">
              <w:t>Yes</w:t>
            </w:r>
          </w:p>
        </w:tc>
      </w:tr>
      <w:tr w:rsidR="00A83DDA" w:rsidRPr="002F1795" w:rsidTr="006565F1">
        <w:trPr>
          <w:cantSplit/>
          <w:trHeight w:val="77"/>
        </w:trPr>
        <w:tc>
          <w:tcPr>
            <w:tcW w:w="9576" w:type="dxa"/>
            <w:gridSpan w:val="7"/>
            <w:tcBorders>
              <w:top w:val="single" w:sz="8" w:space="0" w:color="auto"/>
              <w:left w:val="single" w:sz="8" w:space="0" w:color="auto"/>
              <w:bottom w:val="single" w:sz="4" w:space="0" w:color="auto"/>
              <w:right w:val="single" w:sz="8" w:space="0" w:color="auto"/>
            </w:tcBorders>
            <w:shd w:val="clear" w:color="000000" w:fill="FFFFFF"/>
            <w:noWrap/>
            <w:vAlign w:val="center"/>
          </w:tcPr>
          <w:p w:rsidR="00A83DDA" w:rsidRPr="002F1795" w:rsidRDefault="00A83DDA" w:rsidP="006565F1">
            <w:pPr>
              <w:pStyle w:val="TableText"/>
              <w:rPr>
                <w:sz w:val="20"/>
              </w:rPr>
            </w:pPr>
            <w:r w:rsidRPr="002F1795">
              <w:rPr>
                <w:szCs w:val="22"/>
              </w:rPr>
              <w:t xml:space="preserve"> T</w:t>
            </w:r>
            <w:r w:rsidRPr="002F1795">
              <w:t xml:space="preserve">his </w:t>
            </w:r>
            <w:r w:rsidRPr="002F1795">
              <w:rPr>
                <w:szCs w:val="22"/>
              </w:rPr>
              <w:t xml:space="preserve">ICR </w:t>
            </w:r>
            <w:r w:rsidRPr="002F1795">
              <w:t xml:space="preserve">uses two sets of baseline calculations because it calculates both the incremental and the total burden </w:t>
            </w:r>
            <w:r w:rsidRPr="002F1795">
              <w:rPr>
                <w:szCs w:val="22"/>
              </w:rPr>
              <w:t>and cost</w:t>
            </w:r>
            <w:r w:rsidRPr="002F1795">
              <w:t xml:space="preserve"> of the TSCA Title VI rule.  The </w:t>
            </w:r>
            <w:r w:rsidRPr="002F1795">
              <w:rPr>
                <w:szCs w:val="22"/>
              </w:rPr>
              <w:t xml:space="preserve">incremental </w:t>
            </w:r>
            <w:r w:rsidRPr="002F1795">
              <w:t xml:space="preserve">burden and </w:t>
            </w:r>
            <w:r w:rsidRPr="002F1795">
              <w:rPr>
                <w:szCs w:val="22"/>
              </w:rPr>
              <w:t>cost</w:t>
            </w:r>
            <w:r w:rsidRPr="002F1795">
              <w:t xml:space="preserve"> </w:t>
            </w:r>
            <w:r w:rsidRPr="002F1795">
              <w:rPr>
                <w:szCs w:val="22"/>
              </w:rPr>
              <w:t>exclud</w:t>
            </w:r>
            <w:r w:rsidRPr="002F1795">
              <w:t xml:space="preserve">es future </w:t>
            </w:r>
            <w:r w:rsidRPr="002F1795">
              <w:rPr>
                <w:szCs w:val="22"/>
              </w:rPr>
              <w:t xml:space="preserve">activities </w:t>
            </w:r>
            <w:r w:rsidRPr="002F1795">
              <w:t xml:space="preserve">that will be </w:t>
            </w:r>
            <w:r w:rsidRPr="002F1795">
              <w:rPr>
                <w:szCs w:val="22"/>
              </w:rPr>
              <w:t xml:space="preserve">performed </w:t>
            </w:r>
            <w:r w:rsidRPr="002F1795">
              <w:t xml:space="preserve">to comply with the </w:t>
            </w:r>
            <w:r w:rsidRPr="002F1795">
              <w:rPr>
                <w:szCs w:val="22"/>
              </w:rPr>
              <w:t xml:space="preserve">CARB </w:t>
            </w:r>
            <w:r w:rsidRPr="002F1795">
              <w:t xml:space="preserve">ATCM in the baseline.  The total burden and cost includes future </w:t>
            </w:r>
            <w:r w:rsidRPr="002F1795">
              <w:rPr>
                <w:szCs w:val="22"/>
              </w:rPr>
              <w:t xml:space="preserve">activities that </w:t>
            </w:r>
            <w:r w:rsidRPr="002F1795">
              <w:t xml:space="preserve">will be </w:t>
            </w:r>
            <w:r w:rsidRPr="002F1795">
              <w:rPr>
                <w:szCs w:val="22"/>
              </w:rPr>
              <w:t xml:space="preserve">performed to comply with the CARB ATCM in the baseline.  Neither </w:t>
            </w:r>
            <w:r w:rsidRPr="002F1795">
              <w:t xml:space="preserve">includes activities </w:t>
            </w:r>
            <w:r w:rsidRPr="002F1795">
              <w:rPr>
                <w:szCs w:val="22"/>
              </w:rPr>
              <w:t xml:space="preserve">that </w:t>
            </w:r>
            <w:r w:rsidRPr="002F1795">
              <w:t xml:space="preserve">CARB compliant firms </w:t>
            </w:r>
            <w:r w:rsidRPr="002F1795">
              <w:rPr>
                <w:szCs w:val="22"/>
              </w:rPr>
              <w:t xml:space="preserve">already performed </w:t>
            </w:r>
            <w:r w:rsidRPr="002F1795">
              <w:t xml:space="preserve">in the past </w:t>
            </w:r>
            <w:r w:rsidRPr="002F1795">
              <w:rPr>
                <w:szCs w:val="22"/>
              </w:rPr>
              <w:t xml:space="preserve">to meet the ATCM requirements and </w:t>
            </w:r>
            <w:r w:rsidRPr="002F1795">
              <w:t xml:space="preserve">that are assumed </w:t>
            </w:r>
            <w:r w:rsidRPr="002F1795">
              <w:rPr>
                <w:szCs w:val="22"/>
              </w:rPr>
              <w:t xml:space="preserve">not to be </w:t>
            </w:r>
            <w:r w:rsidRPr="002F1795">
              <w:t xml:space="preserve">repeated in order </w:t>
            </w:r>
            <w:r w:rsidRPr="002F1795">
              <w:rPr>
                <w:szCs w:val="22"/>
              </w:rPr>
              <w:t xml:space="preserve">to comply with the TSCA Title VI requirements.  </w:t>
            </w:r>
          </w:p>
        </w:tc>
      </w:tr>
    </w:tbl>
    <w:p w:rsidR="00A83DDA" w:rsidRPr="002F1795" w:rsidRDefault="00A83DDA" w:rsidP="00A83DDA">
      <w:pPr>
        <w:pStyle w:val="Caption"/>
      </w:pPr>
    </w:p>
    <w:p w:rsidR="00A83DDA" w:rsidRPr="002F1795" w:rsidRDefault="00A83DDA" w:rsidP="00A83DDA">
      <w:pPr>
        <w:numPr>
          <w:ilvl w:val="12"/>
          <w:numId w:val="0"/>
        </w:numPr>
        <w:tabs>
          <w:tab w:val="left" w:pos="720"/>
          <w:tab w:val="left" w:pos="1440"/>
        </w:tabs>
        <w:ind w:left="1440" w:hanging="1440"/>
      </w:pPr>
      <w:r w:rsidRPr="002F1795">
        <w:rPr>
          <w:b/>
          <w:bCs/>
        </w:rPr>
        <w:tab/>
        <w:t>6(a)</w:t>
      </w:r>
      <w:r w:rsidRPr="002F1795">
        <w:rPr>
          <w:b/>
          <w:bCs/>
        </w:rPr>
        <w:tab/>
        <w:t>Estimating Respondent Burden</w:t>
      </w:r>
    </w:p>
    <w:p w:rsidR="00A83DDA" w:rsidRPr="002F1795" w:rsidRDefault="00A83DDA" w:rsidP="00A83DDA">
      <w:pPr>
        <w:numPr>
          <w:ilvl w:val="12"/>
          <w:numId w:val="0"/>
        </w:numPr>
      </w:pPr>
    </w:p>
    <w:p w:rsidR="00A83DDA" w:rsidRPr="002F1795" w:rsidRDefault="00A83DDA" w:rsidP="00A83DDA">
      <w:pPr>
        <w:keepNext/>
        <w:numPr>
          <w:ilvl w:val="12"/>
          <w:numId w:val="0"/>
        </w:numPr>
        <w:rPr>
          <w:b/>
          <w:u w:val="single"/>
        </w:rPr>
      </w:pPr>
      <w:r w:rsidRPr="002F1795">
        <w:rPr>
          <w:b/>
        </w:rPr>
        <w:t>(</w:t>
      </w:r>
      <w:proofErr w:type="spellStart"/>
      <w:proofErr w:type="gramStart"/>
      <w:r w:rsidRPr="002F1795">
        <w:rPr>
          <w:b/>
        </w:rPr>
        <w:t>i</w:t>
      </w:r>
      <w:proofErr w:type="spellEnd"/>
      <w:proofErr w:type="gramEnd"/>
      <w:r w:rsidRPr="002F1795">
        <w:rPr>
          <w:b/>
        </w:rPr>
        <w:t>)  Number of Respondents</w:t>
      </w:r>
    </w:p>
    <w:p w:rsidR="00A83DDA" w:rsidRPr="002F1795" w:rsidRDefault="00A83DDA" w:rsidP="00A83DDA">
      <w:pPr>
        <w:numPr>
          <w:ilvl w:val="12"/>
          <w:numId w:val="0"/>
        </w:numPr>
        <w:ind w:left="720"/>
      </w:pPr>
    </w:p>
    <w:p w:rsidR="00A83DDA" w:rsidRPr="002F1795" w:rsidRDefault="00A83DDA" w:rsidP="00A83DDA">
      <w:pPr>
        <w:numPr>
          <w:ilvl w:val="12"/>
          <w:numId w:val="0"/>
        </w:numPr>
      </w:pPr>
      <w:r w:rsidRPr="002F1795">
        <w:tab/>
        <w:t>Since the rule applies to products imported into the U.S., the certification, testing, recordkeeping, and reporting requirements also apply to entities outside the U.S.  Therefore, this analysis estimates both domestic and foreign entities.</w:t>
      </w:r>
      <w:r w:rsidRPr="002F1795">
        <w:rPr>
          <w:rStyle w:val="FootnoteReference"/>
          <w:vertAlign w:val="superscript"/>
        </w:rPr>
        <w:footnoteReference w:id="2"/>
      </w:r>
      <w:r w:rsidRPr="002F1795">
        <w:rPr>
          <w:vertAlign w:val="superscript"/>
        </w:rPr>
        <w:t xml:space="preserve"> </w:t>
      </w:r>
      <w:r w:rsidRPr="002F1795">
        <w:t xml:space="preserve"> The number of respondents is estimated separately by sector (i.e., panel producers, fabricators, wholesalers, and retailers).</w:t>
      </w:r>
    </w:p>
    <w:p w:rsidR="00A83DDA" w:rsidRPr="002F1795" w:rsidRDefault="00A83DDA" w:rsidP="00A83DDA">
      <w:pPr>
        <w:numPr>
          <w:ilvl w:val="12"/>
          <w:numId w:val="0"/>
        </w:numPr>
      </w:pPr>
    </w:p>
    <w:p w:rsidR="00A83DDA" w:rsidRPr="002F1795" w:rsidRDefault="00A83DDA" w:rsidP="00A83DDA">
      <w:pPr>
        <w:numPr>
          <w:ilvl w:val="12"/>
          <w:numId w:val="0"/>
        </w:numPr>
      </w:pPr>
      <w:r w:rsidRPr="002F1795">
        <w:tab/>
        <w:t>The number of domestic stock panel producers (41 stock hardwood plywood mills, 30 particleboard mills, and 22 MDF mills) is taken from EPA’s Economic Analysis for the rulemaking, and is described in more detail there.  The estimate of foreign stock panel mills exporting to the U.S. is based on the number of foreign mills on the CARB list of certified mills.</w:t>
      </w:r>
      <w:r w:rsidRPr="002F1795">
        <w:rPr>
          <w:rStyle w:val="FootnoteReference"/>
          <w:vertAlign w:val="superscript"/>
        </w:rPr>
        <w:footnoteReference w:id="3"/>
      </w:r>
      <w:r w:rsidRPr="002F1795">
        <w:rPr>
          <w:vertAlign w:val="superscript"/>
        </w:rPr>
        <w:t xml:space="preserve"> </w:t>
      </w:r>
      <w:r w:rsidRPr="002F1795">
        <w:t xml:space="preserve"> To remain consistent with the Economic Analysis, which estimates that the share of imports that is not CARB certified is larger compared to the share of domestic production that is not certified, </w:t>
      </w:r>
      <w:r w:rsidRPr="002F1795">
        <w:lastRenderedPageBreak/>
        <w:t xml:space="preserve">the analysis assumes the number of foreign mills that are not currently certified under the CARB ATCM but will seek certification under the Title VI rule as 20 percent of the total number of foreign mills certified under the CARB ATCM. </w:t>
      </w:r>
    </w:p>
    <w:p w:rsidR="00A83DDA" w:rsidRPr="002F1795" w:rsidRDefault="00A83DDA" w:rsidP="00A83DDA">
      <w:pPr>
        <w:numPr>
          <w:ilvl w:val="12"/>
          <w:numId w:val="0"/>
        </w:numPr>
      </w:pPr>
    </w:p>
    <w:p w:rsidR="00A83DDA" w:rsidRPr="002F1795" w:rsidRDefault="00452741" w:rsidP="00A83DDA">
      <w:pPr>
        <w:pStyle w:val="BodyText"/>
        <w:rPr>
          <w:sz w:val="24"/>
        </w:rPr>
      </w:pPr>
      <w:r w:rsidRPr="002F1795">
        <w:rPr>
          <w:sz w:val="24"/>
        </w:rPr>
        <w:tab/>
      </w:r>
      <w:r w:rsidR="00A83DDA" w:rsidRPr="002F1795">
        <w:rPr>
          <w:sz w:val="24"/>
        </w:rPr>
        <w:t>The Economic Analysis for the rule estimated there are 7,486 to 13,875 domestic entities making wood veneer laminated products. The high end estimate (13,875) is used here.  Under the rule, wood veneer laminated products are exempted from the definition of hardwood plywood if they are made with compliant platforms and NAF resins.  The Economic Analysis estimates that most domestic laminators not already using NAF resins will switch to them so that their products will be exempted from the definition of hardwood plywood.  However, two percent of wood veneer laminated product producers (278 entities) are assumed to continue to use added formaldehyde resins and therefore will make products defined as hardwood plywood.  The remaining wood veneer laminated product producers (13,597 entities) make products that will not be defined as hardwood plywood, so these entities will be considered fabricators under the rule.  The process used to estimate the number of wood veneer laminated product producers is described in greater detail in the Economic Analysis.</w:t>
      </w:r>
    </w:p>
    <w:p w:rsidR="00A83DDA" w:rsidRPr="002F1795" w:rsidRDefault="00A83DDA" w:rsidP="00A83DDA">
      <w:pPr>
        <w:pStyle w:val="BodyText"/>
      </w:pPr>
      <w:r w:rsidRPr="002F1795">
        <w:rPr>
          <w:sz w:val="24"/>
        </w:rPr>
        <w:t xml:space="preserve">  </w:t>
      </w:r>
    </w:p>
    <w:p w:rsidR="00A83DDA" w:rsidRPr="002F1795" w:rsidRDefault="00452741" w:rsidP="00A83DDA">
      <w:pPr>
        <w:pStyle w:val="BodyText"/>
        <w:rPr>
          <w:sz w:val="24"/>
        </w:rPr>
      </w:pPr>
      <w:r w:rsidRPr="002F1795">
        <w:rPr>
          <w:sz w:val="24"/>
        </w:rPr>
        <w:tab/>
      </w:r>
      <w:r w:rsidR="00A83DDA" w:rsidRPr="002F1795">
        <w:rPr>
          <w:sz w:val="24"/>
        </w:rPr>
        <w:t xml:space="preserve">As described in the Economic Analysis for the rule, the number of domestic wholesale and retail trade firms was estimated using employer and </w:t>
      </w:r>
      <w:proofErr w:type="spellStart"/>
      <w:r w:rsidR="00A83DDA" w:rsidRPr="002F1795">
        <w:rPr>
          <w:sz w:val="24"/>
        </w:rPr>
        <w:t>nonemployer</w:t>
      </w:r>
      <w:proofErr w:type="spellEnd"/>
      <w:r w:rsidR="00A83DDA" w:rsidRPr="002F1795">
        <w:rPr>
          <w:sz w:val="24"/>
        </w:rPr>
        <w:t xml:space="preserve"> data from the Census.</w:t>
      </w:r>
      <w:r w:rsidR="00A83DDA" w:rsidRPr="002F1795">
        <w:rPr>
          <w:rStyle w:val="FootnoteReference"/>
          <w:sz w:val="24"/>
          <w:vertAlign w:val="superscript"/>
        </w:rPr>
        <w:footnoteReference w:id="4"/>
      </w:r>
      <w:r w:rsidR="00A83DDA" w:rsidRPr="002F1795">
        <w:rPr>
          <w:sz w:val="24"/>
        </w:rPr>
        <w:t xml:space="preserve">  These totals were adjusted to account for that fact that not all firms are expected to sell composite wood products.  For example, some retail stores in the Floor Covering Stores industry (NAICS 442210) might only sell carpet and rugs, and therefore would not be affected by the proposed TSCA Title VI rule’s requirements.  Data from the 2007 Economic Census’ Product Lines Subject Series were used to estimate the percentage of wholesalers and retailers that sell composite wood products in affected industries.</w:t>
      </w:r>
      <w:r w:rsidR="00A83DDA" w:rsidRPr="002F1795">
        <w:rPr>
          <w:rStyle w:val="FootnoteReference"/>
          <w:sz w:val="24"/>
          <w:vertAlign w:val="superscript"/>
        </w:rPr>
        <w:footnoteReference w:id="5"/>
      </w:r>
      <w:r w:rsidR="00A83DDA" w:rsidRPr="002F1795">
        <w:rPr>
          <w:sz w:val="24"/>
        </w:rPr>
        <w:t xml:space="preserve">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The numbers of foreign fabricators and wholesalers were estimated by 1) calculating the ratio of the total customs value of imports for the affected fabricator NAICS to the total domestic value of shipments for these NAICS and 2) applying it to the number of domestic firms in each sector.  In addition, the percentage of domestic wholesalers that import composite wood products or articles that contain composite wood products was estimated as ratio of the customs value of imports to the sum of the customs value of imports and the total domestic value of shipments.  </w:t>
      </w:r>
      <w:fldSimple w:instr=" REF _Ref315359131 \h  \* MERGEFORMAT ">
        <w:r w:rsidR="0036394F" w:rsidRPr="002F1795">
          <w:t>Exhibit 6-</w:t>
        </w:r>
        <w:r w:rsidR="0036394F">
          <w:t>3</w:t>
        </w:r>
      </w:fldSimple>
      <w:r w:rsidR="00A83DDA" w:rsidRPr="002F1795">
        <w:rPr>
          <w:sz w:val="24"/>
        </w:rPr>
        <w:t xml:space="preserve"> presents the customs value of imports and the domestic value of shipments for the affected industries.</w:t>
      </w:r>
    </w:p>
    <w:p w:rsidR="00A83DDA" w:rsidRPr="002F1795" w:rsidRDefault="00A83DDA" w:rsidP="00A83DDA">
      <w:pPr>
        <w:pStyle w:val="BodyText"/>
        <w:rPr>
          <w:sz w:val="24"/>
        </w:rPr>
      </w:pPr>
    </w:p>
    <w:tbl>
      <w:tblPr>
        <w:tblW w:w="5000" w:type="pct"/>
        <w:jc w:val="center"/>
        <w:tblLayout w:type="fixed"/>
        <w:tblLook w:val="04A0"/>
      </w:tblPr>
      <w:tblGrid>
        <w:gridCol w:w="913"/>
        <w:gridCol w:w="5322"/>
        <w:gridCol w:w="1080"/>
        <w:gridCol w:w="1080"/>
        <w:gridCol w:w="1195"/>
      </w:tblGrid>
      <w:tr w:rsidR="00A83DDA" w:rsidRPr="002F1795" w:rsidTr="006565F1">
        <w:trPr>
          <w:trHeight w:val="67"/>
          <w:jc w:val="center"/>
        </w:trPr>
        <w:tc>
          <w:tcPr>
            <w:tcW w:w="9590" w:type="dxa"/>
            <w:gridSpan w:val="5"/>
            <w:tcBorders>
              <w:top w:val="single" w:sz="8" w:space="0" w:color="auto"/>
              <w:left w:val="single" w:sz="8" w:space="0" w:color="auto"/>
              <w:bottom w:val="single" w:sz="4" w:space="0" w:color="auto"/>
              <w:right w:val="single" w:sz="8" w:space="0" w:color="000000"/>
            </w:tcBorders>
            <w:shd w:val="clear" w:color="auto" w:fill="A6A6A6" w:themeFill="background1" w:themeFillShade="A6"/>
            <w:noWrap/>
            <w:tcMar>
              <w:left w:w="115" w:type="dxa"/>
              <w:right w:w="115" w:type="dxa"/>
            </w:tcMar>
            <w:hideMark/>
          </w:tcPr>
          <w:p w:rsidR="00A83DDA" w:rsidRPr="002F1795" w:rsidRDefault="00A83DDA" w:rsidP="006565F1">
            <w:pPr>
              <w:pStyle w:val="TableTitle5"/>
            </w:pPr>
            <w:bookmarkStart w:id="2" w:name="_Ref315359131"/>
            <w:bookmarkStart w:id="3" w:name="_Ref314812908"/>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3</w:t>
            </w:r>
            <w:r w:rsidR="0041046E">
              <w:rPr>
                <w:noProof/>
              </w:rPr>
              <w:fldChar w:fldCharType="end"/>
            </w:r>
            <w:bookmarkEnd w:id="2"/>
            <w:r w:rsidRPr="002F1795">
              <w:t>: Customs Value of Imports and Domestic Value of Shipments, by NAICS (millions, 2010$)</w:t>
            </w:r>
            <w:bookmarkEnd w:id="3"/>
          </w:p>
        </w:tc>
      </w:tr>
      <w:tr w:rsidR="00A83DDA" w:rsidRPr="002F1795" w:rsidTr="006565F1">
        <w:trPr>
          <w:trHeight w:val="413"/>
          <w:jc w:val="center"/>
        </w:trPr>
        <w:tc>
          <w:tcPr>
            <w:tcW w:w="91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rPr>
                <w:sz w:val="20"/>
              </w:rPr>
            </w:pPr>
            <w:r w:rsidRPr="002F1795">
              <w:rPr>
                <w:rFonts w:eastAsia="Times New Roman"/>
                <w:b/>
                <w:bCs/>
                <w:color w:val="000000"/>
                <w:sz w:val="20"/>
              </w:rPr>
              <w:t>NAICS</w:t>
            </w:r>
          </w:p>
        </w:tc>
        <w:tc>
          <w:tcPr>
            <w:tcW w:w="5322" w:type="dxa"/>
            <w:tcBorders>
              <w:top w:val="single" w:sz="4" w:space="0" w:color="auto"/>
              <w:left w:val="nil"/>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rPr>
                <w:sz w:val="20"/>
              </w:rPr>
            </w:pPr>
            <w:r w:rsidRPr="002F1795">
              <w:rPr>
                <w:rFonts w:eastAsia="Times New Roman"/>
                <w:b/>
                <w:bCs/>
                <w:color w:val="000000"/>
                <w:sz w:val="20"/>
              </w:rPr>
              <w:t>Description</w:t>
            </w:r>
          </w:p>
        </w:tc>
        <w:tc>
          <w:tcPr>
            <w:tcW w:w="1080" w:type="dxa"/>
            <w:tcBorders>
              <w:top w:val="single" w:sz="4" w:space="0" w:color="auto"/>
              <w:left w:val="nil"/>
              <w:bottom w:val="single" w:sz="4" w:space="0" w:color="auto"/>
              <w:right w:val="single" w:sz="4" w:space="0" w:color="auto"/>
            </w:tcBorders>
            <w:shd w:val="clear" w:color="auto" w:fill="auto"/>
            <w:tcMar>
              <w:left w:w="14" w:type="dxa"/>
              <w:right w:w="14" w:type="dxa"/>
            </w:tcMar>
            <w:vAlign w:val="center"/>
            <w:hideMark/>
          </w:tcPr>
          <w:p w:rsidR="00A83DDA" w:rsidRPr="002F1795" w:rsidRDefault="00A83DDA" w:rsidP="006565F1">
            <w:pPr>
              <w:pStyle w:val="TableText"/>
              <w:jc w:val="center"/>
              <w:rPr>
                <w:sz w:val="20"/>
              </w:rPr>
            </w:pPr>
            <w:r w:rsidRPr="002F1795">
              <w:rPr>
                <w:rFonts w:eastAsia="Times New Roman"/>
                <w:b/>
                <w:bCs/>
                <w:color w:val="000000"/>
                <w:sz w:val="20"/>
              </w:rPr>
              <w:t>Customs Value of Imports</w:t>
            </w:r>
          </w:p>
        </w:tc>
        <w:tc>
          <w:tcPr>
            <w:tcW w:w="1080" w:type="dxa"/>
            <w:tcBorders>
              <w:top w:val="single" w:sz="4" w:space="0" w:color="auto"/>
              <w:left w:val="nil"/>
              <w:bottom w:val="single" w:sz="4" w:space="0" w:color="auto"/>
              <w:right w:val="single" w:sz="8" w:space="0" w:color="auto"/>
            </w:tcBorders>
            <w:shd w:val="clear" w:color="auto" w:fill="auto"/>
            <w:tcMar>
              <w:left w:w="14" w:type="dxa"/>
              <w:right w:w="14" w:type="dxa"/>
            </w:tcMar>
            <w:vAlign w:val="center"/>
            <w:hideMark/>
          </w:tcPr>
          <w:p w:rsidR="00A83DDA" w:rsidRPr="002F1795" w:rsidRDefault="00A83DDA" w:rsidP="006565F1">
            <w:pPr>
              <w:pStyle w:val="TableText"/>
              <w:jc w:val="center"/>
              <w:rPr>
                <w:sz w:val="20"/>
              </w:rPr>
            </w:pPr>
            <w:r w:rsidRPr="002F1795">
              <w:rPr>
                <w:rFonts w:eastAsia="Times New Roman"/>
                <w:b/>
                <w:bCs/>
                <w:color w:val="000000"/>
                <w:sz w:val="20"/>
              </w:rPr>
              <w:t>Domestic Value of Shipments</w:t>
            </w:r>
          </w:p>
        </w:tc>
        <w:tc>
          <w:tcPr>
            <w:tcW w:w="1195" w:type="dxa"/>
            <w:tcBorders>
              <w:top w:val="single" w:sz="4" w:space="0" w:color="auto"/>
              <w:left w:val="nil"/>
              <w:bottom w:val="single" w:sz="4" w:space="0" w:color="auto"/>
              <w:right w:val="single" w:sz="8" w:space="0" w:color="auto"/>
            </w:tcBorders>
            <w:shd w:val="clear" w:color="auto" w:fill="auto"/>
            <w:tcMar>
              <w:left w:w="14" w:type="dxa"/>
              <w:right w:w="14" w:type="dxa"/>
            </w:tcMar>
            <w:vAlign w:val="center"/>
          </w:tcPr>
          <w:p w:rsidR="00A83DDA" w:rsidRPr="002F1795" w:rsidRDefault="00A83DDA" w:rsidP="006565F1">
            <w:pPr>
              <w:pStyle w:val="TableText"/>
              <w:jc w:val="center"/>
              <w:rPr>
                <w:sz w:val="20"/>
              </w:rPr>
            </w:pPr>
            <w:r w:rsidRPr="002F1795">
              <w:rPr>
                <w:rFonts w:eastAsia="Times New Roman"/>
                <w:b/>
                <w:bCs/>
                <w:color w:val="000000"/>
                <w:sz w:val="20"/>
              </w:rPr>
              <w:t>Sum of Imports and Domestic Shipments</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321211</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Hardwood veneer and plywood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$1,516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$3,327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$4,843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321219</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Reconstituted wood product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$1,502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$6,721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$8,223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321911</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Wood window and door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$491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$14,161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$14,653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321918</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Other millwork (including flooring)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$770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$7,483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$8,254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321991</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Manufactured home (mobile home)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$2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$6,086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$6,089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321992</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Prefabricated wood building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$50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$4,215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$4,265 </w:t>
            </w:r>
          </w:p>
        </w:tc>
      </w:tr>
      <w:tr w:rsidR="00A83DDA" w:rsidRPr="002F1795" w:rsidTr="006565F1">
        <w:trPr>
          <w:trHeight w:val="224"/>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321999</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All other miscellaneous wood product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$1,927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$6,058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$7,984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336213</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Motor home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$117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$5,779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$5,896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336214</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Travel trailer and camper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$537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$10,641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$11,178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337110</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Wood kitchen cabinet and countertop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$491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$18,658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$19,149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337121</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Upholstered household furniture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$2,898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$11,269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$14,166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337122</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proofErr w:type="spellStart"/>
            <w:r w:rsidRPr="002F1795">
              <w:rPr>
                <w:color w:val="000000"/>
                <w:sz w:val="18"/>
                <w:szCs w:val="18"/>
              </w:rPr>
              <w:t>Nonupholstered</w:t>
            </w:r>
            <w:proofErr w:type="spellEnd"/>
            <w:r w:rsidRPr="002F1795">
              <w:rPr>
                <w:color w:val="000000"/>
                <w:sz w:val="18"/>
                <w:szCs w:val="18"/>
              </w:rPr>
              <w:t xml:space="preserve"> wood household furniture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center"/>
              <w:rPr>
                <w:color w:val="000000"/>
                <w:sz w:val="18"/>
                <w:szCs w:val="18"/>
              </w:rPr>
            </w:pPr>
            <w:r w:rsidRPr="002F1795">
              <w:rPr>
                <w:color w:val="000000"/>
                <w:sz w:val="18"/>
                <w:szCs w:val="18"/>
              </w:rPr>
              <w:t>-</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center"/>
              <w:rPr>
                <w:color w:val="000000"/>
                <w:sz w:val="18"/>
                <w:szCs w:val="18"/>
              </w:rPr>
            </w:pPr>
            <w:r w:rsidRPr="002F1795">
              <w:rPr>
                <w:color w:val="000000"/>
                <w:sz w:val="18"/>
                <w:szCs w:val="18"/>
              </w:rPr>
              <w:t>-</w:t>
            </w:r>
          </w:p>
        </w:tc>
        <w:tc>
          <w:tcPr>
            <w:tcW w:w="1195" w:type="dxa"/>
            <w:tcBorders>
              <w:top w:val="nil"/>
              <w:left w:val="nil"/>
              <w:bottom w:val="single" w:sz="4" w:space="0" w:color="auto"/>
              <w:right w:val="single" w:sz="8" w:space="0" w:color="auto"/>
            </w:tcBorders>
            <w:shd w:val="clear" w:color="auto" w:fill="auto"/>
            <w:vAlign w:val="center"/>
          </w:tcPr>
          <w:p w:rsidR="00A83DDA" w:rsidRPr="002F1795" w:rsidRDefault="00A83DDA" w:rsidP="006565F1">
            <w:pPr>
              <w:jc w:val="center"/>
              <w:rPr>
                <w:color w:val="000000"/>
                <w:sz w:val="18"/>
                <w:szCs w:val="18"/>
              </w:rPr>
            </w:pPr>
            <w:r w:rsidRPr="002F1795">
              <w:rPr>
                <w:color w:val="000000"/>
                <w:sz w:val="18"/>
                <w:szCs w:val="18"/>
              </w:rPr>
              <w:t>-</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337124</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Metal household furniture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$2,708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$2,393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$5,101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337127</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Institutional furniture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$12,133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$5,799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$17,932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337129</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Wood television, radio, and sewing machine cabinet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$4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$407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$411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337211</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Wood office furniture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$697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$2,904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$3,601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337212</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Custom architectural woodwork and millwork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center"/>
              <w:rPr>
                <w:color w:val="000000"/>
                <w:sz w:val="18"/>
                <w:szCs w:val="18"/>
              </w:rPr>
            </w:pPr>
            <w:r w:rsidRPr="002F1795">
              <w:rPr>
                <w:color w:val="000000"/>
                <w:sz w:val="18"/>
                <w:szCs w:val="18"/>
              </w:rPr>
              <w:t>-</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center"/>
              <w:rPr>
                <w:color w:val="000000"/>
                <w:sz w:val="18"/>
                <w:szCs w:val="18"/>
              </w:rPr>
            </w:pPr>
            <w:r w:rsidRPr="002F1795">
              <w:rPr>
                <w:color w:val="000000"/>
                <w:sz w:val="18"/>
                <w:szCs w:val="18"/>
              </w:rPr>
              <w:t>-</w:t>
            </w:r>
          </w:p>
        </w:tc>
        <w:tc>
          <w:tcPr>
            <w:tcW w:w="1195" w:type="dxa"/>
            <w:tcBorders>
              <w:top w:val="nil"/>
              <w:left w:val="nil"/>
              <w:bottom w:val="single" w:sz="4" w:space="0" w:color="auto"/>
              <w:right w:val="single" w:sz="8" w:space="0" w:color="auto"/>
            </w:tcBorders>
            <w:shd w:val="clear" w:color="auto" w:fill="auto"/>
            <w:vAlign w:val="center"/>
          </w:tcPr>
          <w:p w:rsidR="00A83DDA" w:rsidRPr="002F1795" w:rsidRDefault="00A83DDA" w:rsidP="006565F1">
            <w:pPr>
              <w:jc w:val="center"/>
              <w:rPr>
                <w:color w:val="000000"/>
                <w:sz w:val="18"/>
                <w:szCs w:val="18"/>
              </w:rPr>
            </w:pPr>
            <w:r w:rsidRPr="002F1795">
              <w:rPr>
                <w:color w:val="000000"/>
                <w:sz w:val="18"/>
                <w:szCs w:val="18"/>
              </w:rPr>
              <w:t>-</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337214</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Office furniture (except wood)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$410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$8,978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$9,388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337215</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Showcase, partition, shelving, and locker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$4,283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$7,873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$12,156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339920</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Sporting and athletic goods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$6,260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$12,510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$18,770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339932</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Game, toy, and children's vehicle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$21,428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$2,712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$24,140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339950</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Sign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$184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$13,003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$13,187 </w:t>
            </w:r>
          </w:p>
        </w:tc>
      </w:tr>
      <w:tr w:rsidR="00A83DDA" w:rsidRPr="002F1795" w:rsidTr="006565F1">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keepNext/>
              <w:keepLines/>
              <w:jc w:val="center"/>
              <w:rPr>
                <w:color w:val="000000"/>
                <w:sz w:val="18"/>
                <w:szCs w:val="18"/>
              </w:rPr>
            </w:pPr>
            <w:r w:rsidRPr="002F1795">
              <w:rPr>
                <w:color w:val="000000"/>
                <w:sz w:val="18"/>
                <w:szCs w:val="18"/>
              </w:rPr>
              <w:t>339992</w:t>
            </w:r>
          </w:p>
        </w:tc>
        <w:tc>
          <w:tcPr>
            <w:tcW w:w="5322" w:type="dxa"/>
            <w:tcBorders>
              <w:top w:val="nil"/>
              <w:left w:val="nil"/>
              <w:bottom w:val="single" w:sz="4" w:space="0" w:color="auto"/>
              <w:right w:val="single" w:sz="4" w:space="0" w:color="auto"/>
            </w:tcBorders>
            <w:shd w:val="clear" w:color="auto" w:fill="auto"/>
            <w:hideMark/>
          </w:tcPr>
          <w:p w:rsidR="00A83DDA" w:rsidRPr="002F1795" w:rsidRDefault="00A83DDA" w:rsidP="006565F1">
            <w:pPr>
              <w:keepNext/>
              <w:keepLines/>
              <w:rPr>
                <w:color w:val="000000"/>
                <w:sz w:val="18"/>
                <w:szCs w:val="18"/>
              </w:rPr>
            </w:pPr>
            <w:r w:rsidRPr="002F1795">
              <w:rPr>
                <w:color w:val="000000"/>
                <w:sz w:val="18"/>
                <w:szCs w:val="18"/>
              </w:rPr>
              <w:t>Musical instrument manufacturing</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$1,190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$1,796 </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jc w:val="right"/>
              <w:rPr>
                <w:color w:val="000000"/>
                <w:sz w:val="18"/>
                <w:szCs w:val="18"/>
              </w:rPr>
            </w:pPr>
            <w:r w:rsidRPr="002F1795">
              <w:rPr>
                <w:color w:val="000000"/>
                <w:sz w:val="18"/>
                <w:szCs w:val="18"/>
              </w:rPr>
              <w:t xml:space="preserve">$2,986 </w:t>
            </w:r>
          </w:p>
        </w:tc>
      </w:tr>
      <w:tr w:rsidR="00A83DDA" w:rsidRPr="002F1795" w:rsidTr="006565F1">
        <w:trPr>
          <w:trHeight w:val="77"/>
          <w:jc w:val="center"/>
        </w:trPr>
        <w:tc>
          <w:tcPr>
            <w:tcW w:w="62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keepNext/>
              <w:keepLines/>
              <w:jc w:val="center"/>
              <w:rPr>
                <w:b/>
                <w:bCs/>
                <w:color w:val="000000"/>
                <w:sz w:val="18"/>
                <w:szCs w:val="18"/>
              </w:rPr>
            </w:pPr>
            <w:r w:rsidRPr="002F1795">
              <w:rPr>
                <w:b/>
                <w:bCs/>
                <w:color w:val="000000"/>
                <w:sz w:val="18"/>
                <w:szCs w:val="18"/>
              </w:rPr>
              <w:t>Total</w:t>
            </w:r>
          </w:p>
        </w:tc>
        <w:tc>
          <w:tcPr>
            <w:tcW w:w="1080"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$59,598 </w:t>
            </w:r>
          </w:p>
        </w:tc>
        <w:tc>
          <w:tcPr>
            <w:tcW w:w="1080" w:type="dxa"/>
            <w:tcBorders>
              <w:top w:val="nil"/>
              <w:left w:val="nil"/>
              <w:bottom w:val="single" w:sz="4" w:space="0" w:color="auto"/>
              <w:right w:val="single" w:sz="8" w:space="0" w:color="auto"/>
            </w:tcBorders>
            <w:shd w:val="clear" w:color="auto" w:fill="auto"/>
            <w:noWrap/>
            <w:vAlign w:val="center"/>
          </w:tcPr>
          <w:p w:rsidR="00A83DDA" w:rsidRPr="002F1795" w:rsidRDefault="00A83DDA" w:rsidP="006565F1">
            <w:pPr>
              <w:jc w:val="right"/>
              <w:rPr>
                <w:color w:val="000000"/>
                <w:sz w:val="18"/>
                <w:szCs w:val="18"/>
              </w:rPr>
            </w:pPr>
            <w:r w:rsidRPr="002F1795">
              <w:rPr>
                <w:color w:val="000000"/>
                <w:sz w:val="18"/>
                <w:szCs w:val="18"/>
              </w:rPr>
              <w:t xml:space="preserve">$152,772 </w:t>
            </w:r>
          </w:p>
        </w:tc>
        <w:tc>
          <w:tcPr>
            <w:tcW w:w="1195" w:type="dxa"/>
            <w:tcBorders>
              <w:top w:val="nil"/>
              <w:left w:val="nil"/>
              <w:bottom w:val="single" w:sz="4" w:space="0" w:color="auto"/>
              <w:right w:val="single" w:sz="8" w:space="0" w:color="auto"/>
            </w:tcBorders>
            <w:shd w:val="clear" w:color="auto" w:fill="auto"/>
            <w:vAlign w:val="center"/>
          </w:tcPr>
          <w:p w:rsidR="00A83DDA" w:rsidRPr="002F1795" w:rsidRDefault="00A83DDA" w:rsidP="006565F1">
            <w:pPr>
              <w:jc w:val="right"/>
              <w:rPr>
                <w:color w:val="000000"/>
                <w:sz w:val="18"/>
                <w:szCs w:val="18"/>
              </w:rPr>
            </w:pPr>
            <w:r w:rsidRPr="002F1795">
              <w:rPr>
                <w:color w:val="000000"/>
                <w:sz w:val="18"/>
                <w:szCs w:val="18"/>
              </w:rPr>
              <w:t xml:space="preserve">$212,370 </w:t>
            </w:r>
          </w:p>
        </w:tc>
      </w:tr>
      <w:tr w:rsidR="00A83DDA" w:rsidRPr="002F1795" w:rsidTr="006565F1">
        <w:trPr>
          <w:trHeight w:val="255"/>
          <w:jc w:val="center"/>
        </w:trPr>
        <w:tc>
          <w:tcPr>
            <w:tcW w:w="7315" w:type="dxa"/>
            <w:gridSpan w:val="3"/>
            <w:tcBorders>
              <w:top w:val="single" w:sz="4" w:space="0" w:color="auto"/>
              <w:left w:val="single" w:sz="8" w:space="0" w:color="auto"/>
              <w:bottom w:val="single" w:sz="4" w:space="0" w:color="auto"/>
              <w:right w:val="single" w:sz="8" w:space="0" w:color="auto"/>
            </w:tcBorders>
            <w:shd w:val="clear" w:color="auto" w:fill="auto"/>
            <w:noWrap/>
          </w:tcPr>
          <w:p w:rsidR="00A83DDA" w:rsidRPr="002F1795" w:rsidRDefault="00A83DDA" w:rsidP="006565F1">
            <w:pPr>
              <w:pStyle w:val="TableText"/>
              <w:rPr>
                <w:b/>
              </w:rPr>
            </w:pPr>
            <w:r w:rsidRPr="002F1795">
              <w:rPr>
                <w:b/>
              </w:rPr>
              <w:t>Ratio of Customs Value of Imports Domestic Shipments</w:t>
            </w:r>
          </w:p>
        </w:tc>
        <w:tc>
          <w:tcPr>
            <w:tcW w:w="1080" w:type="dxa"/>
            <w:tcBorders>
              <w:top w:val="single" w:sz="4" w:space="0" w:color="auto"/>
              <w:left w:val="single" w:sz="8" w:space="0" w:color="auto"/>
              <w:bottom w:val="single" w:sz="4" w:space="0" w:color="auto"/>
              <w:right w:val="single" w:sz="8" w:space="0" w:color="auto"/>
            </w:tcBorders>
            <w:shd w:val="clear" w:color="auto" w:fill="auto"/>
          </w:tcPr>
          <w:p w:rsidR="00A83DDA" w:rsidRPr="002F1795" w:rsidRDefault="00A83DDA" w:rsidP="006565F1">
            <w:pPr>
              <w:pStyle w:val="TableText"/>
              <w:jc w:val="center"/>
              <w:rPr>
                <w:rFonts w:ascii="Tahoma" w:hAnsi="Tahoma" w:cs="Tahoma"/>
                <w:b/>
                <w:szCs w:val="16"/>
              </w:rPr>
            </w:pPr>
            <w:r w:rsidRPr="002F1795">
              <w:rPr>
                <w:b/>
              </w:rPr>
              <w:t>39%</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pStyle w:val="TableText"/>
              <w:jc w:val="center"/>
              <w:rPr>
                <w:b/>
              </w:rPr>
            </w:pPr>
          </w:p>
        </w:tc>
      </w:tr>
      <w:tr w:rsidR="00A83DDA" w:rsidRPr="002F1795" w:rsidTr="006565F1">
        <w:trPr>
          <w:trHeight w:val="255"/>
          <w:jc w:val="center"/>
        </w:trPr>
        <w:tc>
          <w:tcPr>
            <w:tcW w:w="8395" w:type="dxa"/>
            <w:gridSpan w:val="4"/>
            <w:tcBorders>
              <w:top w:val="single" w:sz="4" w:space="0" w:color="auto"/>
              <w:left w:val="single" w:sz="8" w:space="0" w:color="auto"/>
              <w:bottom w:val="single" w:sz="4" w:space="0" w:color="auto"/>
              <w:right w:val="single" w:sz="8" w:space="0" w:color="auto"/>
            </w:tcBorders>
            <w:shd w:val="clear" w:color="auto" w:fill="auto"/>
            <w:noWrap/>
            <w:hideMark/>
          </w:tcPr>
          <w:p w:rsidR="00A83DDA" w:rsidRPr="002F1795" w:rsidRDefault="00A83DDA" w:rsidP="006565F1">
            <w:pPr>
              <w:pStyle w:val="TableText"/>
            </w:pPr>
            <w:r w:rsidRPr="002F1795">
              <w:rPr>
                <w:b/>
              </w:rPr>
              <w:t>Ratio of Customs Value of Imports to Sum of Imports and Domestic Shipments</w:t>
            </w:r>
          </w:p>
        </w:tc>
        <w:tc>
          <w:tcPr>
            <w:tcW w:w="1195" w:type="dxa"/>
            <w:tcBorders>
              <w:top w:val="nil"/>
              <w:left w:val="nil"/>
              <w:bottom w:val="single" w:sz="4" w:space="0" w:color="auto"/>
              <w:right w:val="single" w:sz="8" w:space="0" w:color="auto"/>
            </w:tcBorders>
            <w:shd w:val="clear" w:color="auto" w:fill="auto"/>
            <w:vAlign w:val="bottom"/>
          </w:tcPr>
          <w:p w:rsidR="00A83DDA" w:rsidRPr="002F1795" w:rsidRDefault="00A83DDA" w:rsidP="006565F1">
            <w:pPr>
              <w:pStyle w:val="TableText"/>
              <w:jc w:val="center"/>
            </w:pPr>
            <w:r w:rsidRPr="002F1795">
              <w:rPr>
                <w:b/>
              </w:rPr>
              <w:t>28%</w:t>
            </w:r>
          </w:p>
        </w:tc>
      </w:tr>
      <w:tr w:rsidR="00A83DDA" w:rsidRPr="002F1795" w:rsidTr="006565F1">
        <w:trPr>
          <w:trHeight w:val="77"/>
          <w:jc w:val="center"/>
        </w:trPr>
        <w:tc>
          <w:tcPr>
            <w:tcW w:w="9590" w:type="dxa"/>
            <w:gridSpan w:val="5"/>
            <w:tcBorders>
              <w:top w:val="single" w:sz="4" w:space="0" w:color="auto"/>
              <w:left w:val="single" w:sz="8" w:space="0" w:color="auto"/>
              <w:bottom w:val="single" w:sz="8" w:space="0" w:color="auto"/>
              <w:right w:val="single" w:sz="8" w:space="0" w:color="000000"/>
            </w:tcBorders>
            <w:shd w:val="clear" w:color="auto" w:fill="auto"/>
            <w:hideMark/>
          </w:tcPr>
          <w:p w:rsidR="00A83DDA" w:rsidRPr="002F1795" w:rsidRDefault="00A83DDA" w:rsidP="006565F1">
            <w:pPr>
              <w:pStyle w:val="TableSource"/>
            </w:pPr>
            <w:r w:rsidRPr="002F1795">
              <w:t xml:space="preserve">Sources: </w:t>
            </w:r>
            <w:r w:rsidR="0041046E" w:rsidRPr="002F1795">
              <w:fldChar w:fldCharType="begin"/>
            </w:r>
            <w:r w:rsidRPr="002F1795">
              <w:instrText xml:space="preserve"> ADDIN EN.CITE &lt;EndNote&gt;&lt;Cite&gt;&lt;Author&gt;U.S. Census Bureau&lt;/Author&gt;&lt;Year&gt;2010&lt;/Year&gt;&lt;RecNum&gt;97&lt;/RecNum&gt;&lt;DisplayText&gt;U.S. Census Bureau 2010b, U.S. International Trade Commission 2011&lt;/DisplayText&gt;&lt;record&gt;&lt;rec-number&gt;97&lt;/rec-number&gt;&lt;foreign-keys&gt;&lt;key app="EN" db-id="asafvtwziw9fd8erv0k5pse2555zxesr9ape"&gt;97&lt;/key&gt;&lt;/foreign-keys&gt;&lt;ref-type name="Government Document"&gt;46&lt;/ref-type&gt;&lt;contributors&gt;&lt;authors&gt;&lt;author&gt;U.S. Census Bureau,&lt;/author&gt;&lt;/authors&gt;&lt;/contributors&gt;&lt;titles&gt;&lt;title&gt;Sector 31: EC0731SG3: Manufacturing: Summary Series: General Summary: Industry Statistics for Subsectors and Industries by Employment Size: 2007.&lt;/title&gt;&lt;/titles&gt;&lt;dates&gt;&lt;year&gt;2010&lt;/year&gt;&lt;/dates&gt;&lt;urls&gt;&lt;related-urls&gt;&lt;url&gt;http://factfinder.census.gov/servlet/IBQTable?_bm=y&amp;amp;-geo_id=&amp;amp;-ds_name=EC0731SG3&amp;amp;-_lang=en&lt;/url&gt;&lt;/related-urls&gt;&lt;/urls&gt;&lt;/record&gt;&lt;/Cite&gt;&lt;Cite&gt;&lt;Author&gt;U.S. International Trade Commission&lt;/Author&gt;&lt;Year&gt;2011&lt;/Year&gt;&lt;RecNum&gt;52&lt;/RecNum&gt;&lt;record&gt;&lt;rec-number&gt;52&lt;/rec-number&gt;&lt;foreign-keys&gt;&lt;key app="EN" db-id="asafvtwziw9fd8erv0k5pse2555zxesr9ape"&gt;52&lt;/key&gt;&lt;/foreign-keys&gt;&lt;ref-type name="Government Document"&gt;46&lt;/ref-type&gt;&lt;contributors&gt;&lt;authors&gt;&lt;author&gt;U.S. International Trade Commission,&lt;/author&gt;&lt;/authors&gt;&lt;/contributors&gt;&lt;titles&gt;&lt;title&gt;U.S. Interactive Tariff and Trade Dataweb&lt;/title&gt;&lt;/titles&gt;&lt;dates&gt;&lt;year&gt;2011&lt;/year&gt;&lt;/dates&gt;&lt;urls&gt;&lt;/urls&gt;&lt;/record&gt;&lt;/Cite&gt;&lt;/EndNote&gt;</w:instrText>
            </w:r>
            <w:r w:rsidR="0041046E" w:rsidRPr="002F1795">
              <w:fldChar w:fldCharType="separate"/>
            </w:r>
            <w:hyperlink w:anchor="_ENREF_12" w:tooltip="U.S. Census Bureau, 2010 #97" w:history="1">
              <w:r w:rsidRPr="002F1795">
                <w:rPr>
                  <w:noProof/>
                </w:rPr>
                <w:t>U.S. Census Bureau 2010b</w:t>
              </w:r>
            </w:hyperlink>
            <w:r w:rsidRPr="002F1795">
              <w:rPr>
                <w:noProof/>
              </w:rPr>
              <w:t xml:space="preserve">, </w:t>
            </w:r>
            <w:hyperlink w:anchor="_ENREF_25" w:tooltip="U.S. International Trade Commission, 2011 #52" w:history="1">
              <w:r w:rsidRPr="002F1795">
                <w:rPr>
                  <w:noProof/>
                </w:rPr>
                <w:t>U.S. International Trade Commission 2011</w:t>
              </w:r>
            </w:hyperlink>
            <w:r w:rsidR="0041046E" w:rsidRPr="002F1795">
              <w:fldChar w:fldCharType="end"/>
            </w:r>
          </w:p>
        </w:tc>
      </w:tr>
    </w:tbl>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As indicated in </w:t>
      </w:r>
      <w:fldSimple w:instr=" REF _Ref315359131 \h  \* MERGEFORMAT ">
        <w:r w:rsidR="0036394F" w:rsidRPr="002F1795">
          <w:t>Exhibit 6-</w:t>
        </w:r>
        <w:r w:rsidR="0036394F">
          <w:t>3</w:t>
        </w:r>
      </w:fldSimple>
      <w:r w:rsidR="00A83DDA" w:rsidRPr="002F1795">
        <w:rPr>
          <w:sz w:val="24"/>
        </w:rPr>
        <w:t xml:space="preserve">. </w:t>
      </w:r>
      <w:proofErr w:type="gramStart"/>
      <w:r w:rsidR="00A83DDA" w:rsidRPr="002F1795">
        <w:rPr>
          <w:sz w:val="24"/>
        </w:rPr>
        <w:t>imports</w:t>
      </w:r>
      <w:proofErr w:type="gramEnd"/>
      <w:r w:rsidR="00A83DDA" w:rsidRPr="002F1795">
        <w:rPr>
          <w:sz w:val="24"/>
        </w:rPr>
        <w:t xml:space="preserve"> are 39.0 percent of the U.S. value of shipments for these goods.  Therefore, as shown in </w:t>
      </w:r>
      <w:fldSimple w:instr=" REF _Ref304465010 \h  \* MERGEFORMAT ">
        <w:r w:rsidR="0036394F" w:rsidRPr="0036394F">
          <w:rPr>
            <w:sz w:val="24"/>
          </w:rPr>
          <w:t>Exhibit 6-4</w:t>
        </w:r>
      </w:fldSimple>
      <w:r w:rsidR="00A83DDA" w:rsidRPr="002F1795">
        <w:rPr>
          <w:sz w:val="24"/>
        </w:rPr>
        <w:t xml:space="preserve">, it is assumed that there are 39.0 percent as many foreign fabricators that export products to the U.S. as there are domestic fabricators (31,083 foreign fabricators compared to 79,701 domestic fabricators).  Similarly, it is assumed that there are 39 percent as many foreign wholesalers that export composite wood products or goods containing composite wood products to the U.S. as there are domestic wholesalers that are subject to the rule (33,368 foreign wholesalers compared to 85,560 domestic wholesalers).  The analysis assumes that composite wood products and goods containing composite wood products are generally exported to the United States by panel producers, fabricators, or wholesalers.  Few foreign retailers are assumed to export composite wood products directly to the U.S., so the analysis does not estimate that number.  </w:t>
      </w:r>
      <w:r w:rsidR="00A83DDA" w:rsidRPr="002F1795">
        <w:t xml:space="preserve"> </w:t>
      </w:r>
    </w:p>
    <w:p w:rsidR="00A83DDA" w:rsidRPr="002F1795" w:rsidRDefault="00A83DDA" w:rsidP="00A83DDA">
      <w:pPr>
        <w:pStyle w:val="BodyText"/>
        <w:rPr>
          <w:sz w:val="24"/>
        </w:rPr>
      </w:pPr>
    </w:p>
    <w:p w:rsidR="00A83DDA" w:rsidRPr="002F1795" w:rsidRDefault="00A83DDA" w:rsidP="00A83DDA">
      <w:r w:rsidRPr="002F1795">
        <w:tab/>
        <w:t xml:space="preserve">The number of wholesalers that import composite wood products is assumed to be proportional to the ratio of the value of imports of composite wood products to the sum of the total import and domestic shipment values.  As shown in </w:t>
      </w:r>
      <w:fldSimple w:instr=" REF _Ref315359131 \h  \* MERGEFORMAT ">
        <w:r w:rsidR="0036394F" w:rsidRPr="002F1795">
          <w:t>Exhibit 6-</w:t>
        </w:r>
        <w:r w:rsidR="0036394F">
          <w:t>3</w:t>
        </w:r>
      </w:fldSimple>
      <w:r w:rsidRPr="002F1795">
        <w:t xml:space="preserve"> imports represent 28 percent of the value of imports and domestic shipments.  Thus, it is estimated that 28 percent of wholesalers are importers of composite wood products.  This results in an estimate that 23,957 of the 85,560 domestic wholesalers import composite wood products.  Since the number of </w:t>
      </w:r>
      <w:r w:rsidRPr="002F1795">
        <w:lastRenderedPageBreak/>
        <w:t xml:space="preserve">wholesalers that import products is estimated using the total customs value of imports (which reflects imports by all sectors), to the extent that some products are imported directly by retailers, the number of such retailers (and their recordkeeping burden) would be reflected in the wholesaler estimate.  And to the extent that some fabricators import composite wood products directly, the estimated total recordkeeping burden may be overstated (since the recordkeeping burden for fabricators is estimated separately). </w:t>
      </w:r>
    </w:p>
    <w:p w:rsidR="00A83DDA" w:rsidRPr="002F1795" w:rsidRDefault="00A83DDA" w:rsidP="00A83DDA">
      <w:pPr>
        <w:pStyle w:val="BodyText"/>
        <w:rPr>
          <w:sz w:val="24"/>
        </w:rPr>
      </w:pPr>
    </w:p>
    <w:tbl>
      <w:tblPr>
        <w:tblW w:w="4196" w:type="pct"/>
        <w:jc w:val="center"/>
        <w:tblLook w:val="04A0"/>
      </w:tblPr>
      <w:tblGrid>
        <w:gridCol w:w="4126"/>
        <w:gridCol w:w="1238"/>
        <w:gridCol w:w="1287"/>
        <w:gridCol w:w="1386"/>
      </w:tblGrid>
      <w:tr w:rsidR="00A83DDA" w:rsidRPr="002F1795" w:rsidTr="006565F1">
        <w:trPr>
          <w:trHeight w:val="67"/>
          <w:jc w:val="center"/>
        </w:trPr>
        <w:tc>
          <w:tcPr>
            <w:tcW w:w="8037" w:type="dxa"/>
            <w:gridSpan w:val="4"/>
            <w:tcBorders>
              <w:top w:val="single" w:sz="8" w:space="0" w:color="auto"/>
              <w:left w:val="single" w:sz="8" w:space="0" w:color="auto"/>
              <w:bottom w:val="single" w:sz="4" w:space="0" w:color="auto"/>
              <w:right w:val="single" w:sz="8" w:space="0" w:color="000000"/>
            </w:tcBorders>
            <w:shd w:val="pct25" w:color="auto" w:fill="auto"/>
            <w:hideMark/>
          </w:tcPr>
          <w:p w:rsidR="00A83DDA" w:rsidRPr="002F1795" w:rsidRDefault="00A83DDA" w:rsidP="006565F1">
            <w:pPr>
              <w:pStyle w:val="TableTitle"/>
              <w:keepNext/>
              <w:keepLines/>
            </w:pPr>
            <w:r w:rsidRPr="002F1795">
              <w:rPr>
                <w:sz w:val="24"/>
              </w:rPr>
              <w:t xml:space="preserve"> </w:t>
            </w:r>
            <w:bookmarkStart w:id="4" w:name="_Ref304465010"/>
            <w:r w:rsidRPr="002F1795">
              <w:t>Exhibit 6-</w:t>
            </w:r>
            <w:r w:rsidR="0041046E">
              <w:fldChar w:fldCharType="begin"/>
            </w:r>
            <w:r w:rsidR="00441B0C">
              <w:instrText xml:space="preserve"> SEQ Exhibit_6- \* ARABIC </w:instrText>
            </w:r>
            <w:r w:rsidR="0041046E">
              <w:fldChar w:fldCharType="separate"/>
            </w:r>
            <w:r w:rsidR="0036394F">
              <w:rPr>
                <w:noProof/>
              </w:rPr>
              <w:t>4</w:t>
            </w:r>
            <w:r w:rsidR="0041046E">
              <w:rPr>
                <w:noProof/>
              </w:rPr>
              <w:fldChar w:fldCharType="end"/>
            </w:r>
            <w:bookmarkEnd w:id="4"/>
            <w:r w:rsidRPr="002F1795">
              <w:t>: Summary of Respondents, by Sector and Geographic Location</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Sector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Domestic Respondents</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Foreign Respondents</w:t>
            </w:r>
            <w:r w:rsidRPr="002F1795">
              <w:rPr>
                <w:rFonts w:ascii="Times New Roman Bold" w:hAnsi="Times New Roman Bold"/>
                <w:vertAlign w:val="superscript"/>
              </w:rPr>
              <w:t>1</w:t>
            </w:r>
          </w:p>
        </w:tc>
        <w:tc>
          <w:tcPr>
            <w:tcW w:w="1386" w:type="dxa"/>
            <w:tcBorders>
              <w:top w:val="nil"/>
              <w:left w:val="single" w:sz="4" w:space="0" w:color="auto"/>
              <w:bottom w:val="single" w:sz="4" w:space="0" w:color="auto"/>
              <w:right w:val="single" w:sz="8" w:space="0" w:color="auto"/>
            </w:tcBorders>
            <w:shd w:val="clear" w:color="auto" w:fill="auto"/>
            <w:vAlign w:val="center"/>
            <w:hideMark/>
          </w:tcPr>
          <w:p w:rsidR="00A83DDA" w:rsidRPr="002F1795" w:rsidRDefault="00A83DDA" w:rsidP="006565F1">
            <w:pPr>
              <w:pStyle w:val="TableSubtitle"/>
            </w:pPr>
            <w:r w:rsidRPr="002F1795">
              <w:t>Total Respondents</w:t>
            </w:r>
          </w:p>
        </w:tc>
      </w:tr>
      <w:tr w:rsidR="00A83DDA" w:rsidRPr="002F1795" w:rsidTr="006565F1">
        <w:trPr>
          <w:trHeight w:val="77"/>
          <w:jc w:val="center"/>
        </w:trPr>
        <w:tc>
          <w:tcPr>
            <w:tcW w:w="8037" w:type="dxa"/>
            <w:gridSpan w:val="4"/>
            <w:tcBorders>
              <w:top w:val="nil"/>
              <w:left w:val="single" w:sz="8" w:space="0" w:color="auto"/>
              <w:bottom w:val="single" w:sz="4" w:space="0" w:color="auto"/>
              <w:right w:val="single" w:sz="8" w:space="0" w:color="auto"/>
            </w:tcBorders>
            <w:shd w:val="clear" w:color="auto" w:fill="auto"/>
            <w:noWrap/>
            <w:vAlign w:val="bottom"/>
            <w:hideMark/>
          </w:tcPr>
          <w:p w:rsidR="00A83DDA" w:rsidRPr="002F1795" w:rsidRDefault="00A83DDA" w:rsidP="006565F1">
            <w:pPr>
              <w:pStyle w:val="TableText"/>
            </w:pPr>
            <w:r w:rsidRPr="002F1795">
              <w:t>Composite Panel Producers (Mills)</w:t>
            </w:r>
          </w:p>
        </w:tc>
      </w:tr>
      <w:tr w:rsidR="00A83DDA" w:rsidRPr="002F1795" w:rsidTr="006565F1">
        <w:trPr>
          <w:trHeight w:val="77"/>
          <w:jc w:val="center"/>
        </w:trPr>
        <w:tc>
          <w:tcPr>
            <w:tcW w:w="8037" w:type="dxa"/>
            <w:gridSpan w:val="4"/>
            <w:tcBorders>
              <w:top w:val="nil"/>
              <w:left w:val="single" w:sz="8" w:space="0" w:color="auto"/>
              <w:bottom w:val="single" w:sz="4" w:space="0" w:color="auto"/>
              <w:right w:val="single" w:sz="8" w:space="0" w:color="auto"/>
            </w:tcBorders>
            <w:shd w:val="clear" w:color="auto" w:fill="auto"/>
            <w:noWrap/>
            <w:vAlign w:val="bottom"/>
            <w:hideMark/>
          </w:tcPr>
          <w:p w:rsidR="00A83DDA" w:rsidRPr="002F1795" w:rsidRDefault="00A83DDA" w:rsidP="006565F1">
            <w:pPr>
              <w:pStyle w:val="TableText"/>
              <w:ind w:left="274"/>
            </w:pPr>
            <w:r w:rsidRPr="002F1795">
              <w:rPr>
                <w:i/>
                <w:iCs/>
              </w:rPr>
              <w:t>Stock Panel Mills</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ind w:left="504"/>
              <w:rPr>
                <w:i/>
                <w:iCs/>
              </w:rPr>
            </w:pPr>
            <w:r w:rsidRPr="002F1795">
              <w:rPr>
                <w:i/>
                <w:iCs/>
              </w:rPr>
              <w:t>Stock Hardwood Plywood</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41</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538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579</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ind w:left="504"/>
              <w:rPr>
                <w:i/>
                <w:iCs/>
              </w:rPr>
            </w:pPr>
            <w:r w:rsidRPr="002F1795">
              <w:rPr>
                <w:i/>
                <w:iCs/>
              </w:rPr>
              <w:t>Particleboard</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30</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209</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239</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ind w:left="504"/>
              <w:rPr>
                <w:i/>
                <w:iCs/>
              </w:rPr>
            </w:pPr>
            <w:r w:rsidRPr="002F1795">
              <w:rPr>
                <w:i/>
                <w:iCs/>
              </w:rPr>
              <w:t>MDF</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22</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274</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296</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ind w:left="274"/>
              <w:rPr>
                <w:i/>
                <w:iCs/>
              </w:rPr>
            </w:pPr>
            <w:r w:rsidRPr="002F1795">
              <w:rPr>
                <w:i/>
                <w:iCs/>
              </w:rPr>
              <w:t>Wood Veneer Laminated Product Producers (Classified as making Hardwood Plywood)</w:t>
            </w:r>
            <w:r w:rsidRPr="002F1795">
              <w:rPr>
                <w:i/>
                <w:iCs/>
                <w:vertAlign w:val="superscript"/>
              </w:rPr>
              <w:t>2</w:t>
            </w:r>
          </w:p>
        </w:tc>
        <w:tc>
          <w:tcPr>
            <w:tcW w:w="1238" w:type="dxa"/>
            <w:tcBorders>
              <w:top w:val="nil"/>
              <w:left w:val="single" w:sz="4" w:space="0" w:color="auto"/>
              <w:bottom w:val="single" w:sz="4" w:space="0" w:color="auto"/>
              <w:right w:val="single" w:sz="4" w:space="0" w:color="auto"/>
            </w:tcBorders>
            <w:shd w:val="clear" w:color="auto" w:fill="auto"/>
            <w:noWrap/>
            <w:vAlign w:val="center"/>
          </w:tcPr>
          <w:p w:rsidR="00A83DDA" w:rsidRPr="002F1795" w:rsidRDefault="00A83DDA" w:rsidP="006565F1">
            <w:pPr>
              <w:pStyle w:val="TableText"/>
              <w:jc w:val="right"/>
            </w:pPr>
            <w:r w:rsidRPr="002F1795">
              <w:t>277</w:t>
            </w:r>
          </w:p>
        </w:tc>
        <w:tc>
          <w:tcPr>
            <w:tcW w:w="1287"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pStyle w:val="TableText"/>
              <w:jc w:val="right"/>
            </w:pPr>
            <w:r w:rsidRPr="002F1795">
              <w:t>108</w:t>
            </w:r>
          </w:p>
        </w:tc>
        <w:tc>
          <w:tcPr>
            <w:tcW w:w="1386" w:type="dxa"/>
            <w:tcBorders>
              <w:top w:val="nil"/>
              <w:left w:val="single" w:sz="4" w:space="0" w:color="auto"/>
              <w:bottom w:val="single" w:sz="4" w:space="0" w:color="auto"/>
              <w:right w:val="single" w:sz="8" w:space="0" w:color="auto"/>
            </w:tcBorders>
            <w:shd w:val="clear" w:color="auto" w:fill="auto"/>
            <w:noWrap/>
            <w:vAlign w:val="center"/>
          </w:tcPr>
          <w:p w:rsidR="00A83DDA" w:rsidRPr="002F1795" w:rsidRDefault="00A83DDA" w:rsidP="006565F1">
            <w:pPr>
              <w:pStyle w:val="TableText"/>
              <w:jc w:val="right"/>
            </w:pPr>
            <w:r w:rsidRPr="002F1795">
              <w:t>385</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pPr>
            <w:r w:rsidRPr="002F1795">
              <w:rPr>
                <w:iCs/>
              </w:rPr>
              <w:t xml:space="preserve">Total </w:t>
            </w:r>
            <w:r w:rsidRPr="002F1795">
              <w:t>Composite Panel Producers</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370</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1,129</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1,499</w:t>
            </w:r>
          </w:p>
        </w:tc>
      </w:tr>
      <w:tr w:rsidR="00A83DDA" w:rsidRPr="002F1795" w:rsidTr="006565F1">
        <w:trPr>
          <w:trHeight w:val="77"/>
          <w:jc w:val="center"/>
        </w:trPr>
        <w:tc>
          <w:tcPr>
            <w:tcW w:w="8037" w:type="dxa"/>
            <w:gridSpan w:val="4"/>
            <w:tcBorders>
              <w:top w:val="nil"/>
              <w:left w:val="single" w:sz="8" w:space="0" w:color="auto"/>
              <w:bottom w:val="single" w:sz="4" w:space="0" w:color="auto"/>
              <w:right w:val="single" w:sz="8" w:space="0" w:color="auto"/>
            </w:tcBorders>
            <w:shd w:val="clear" w:color="auto" w:fill="auto"/>
            <w:noWrap/>
            <w:vAlign w:val="bottom"/>
            <w:hideMark/>
          </w:tcPr>
          <w:p w:rsidR="00A83DDA" w:rsidRPr="002F1795" w:rsidRDefault="00A83DDA" w:rsidP="006565F1">
            <w:pPr>
              <w:pStyle w:val="TableText"/>
            </w:pPr>
            <w:r w:rsidRPr="002F1795">
              <w:t>Fabricators (Firms)</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ind w:left="319"/>
              <w:rPr>
                <w:rFonts w:ascii="Tahoma" w:hAnsi="Tahoma" w:cs="Tahoma"/>
                <w:szCs w:val="16"/>
              </w:rPr>
            </w:pPr>
            <w:r w:rsidRPr="002F1795">
              <w:rPr>
                <w:i/>
                <w:iCs/>
              </w:rPr>
              <w:t>Wood Veneer Laminated Product Producers (Classified as Fabricators)</w:t>
            </w:r>
          </w:p>
        </w:tc>
        <w:tc>
          <w:tcPr>
            <w:tcW w:w="1238" w:type="dxa"/>
            <w:tcBorders>
              <w:top w:val="nil"/>
              <w:left w:val="single" w:sz="4" w:space="0" w:color="auto"/>
              <w:bottom w:val="single" w:sz="4" w:space="0" w:color="auto"/>
              <w:right w:val="single" w:sz="4" w:space="0" w:color="auto"/>
            </w:tcBorders>
            <w:shd w:val="clear" w:color="auto" w:fill="auto"/>
            <w:noWrap/>
            <w:vAlign w:val="center"/>
          </w:tcPr>
          <w:p w:rsidR="00A83DDA" w:rsidRPr="002F1795" w:rsidRDefault="00A83DDA" w:rsidP="006565F1">
            <w:pPr>
              <w:pStyle w:val="TableText"/>
              <w:jc w:val="right"/>
            </w:pPr>
            <w:r w:rsidRPr="002F1795">
              <w:t>13,598</w:t>
            </w:r>
          </w:p>
        </w:tc>
        <w:tc>
          <w:tcPr>
            <w:tcW w:w="1287" w:type="dxa"/>
            <w:tcBorders>
              <w:top w:val="nil"/>
              <w:left w:val="nil"/>
              <w:bottom w:val="single" w:sz="4" w:space="0" w:color="auto"/>
              <w:right w:val="single" w:sz="4" w:space="0" w:color="auto"/>
            </w:tcBorders>
            <w:shd w:val="clear" w:color="auto" w:fill="auto"/>
            <w:noWrap/>
            <w:vAlign w:val="center"/>
          </w:tcPr>
          <w:p w:rsidR="00A83DDA" w:rsidRPr="002F1795" w:rsidRDefault="00A83DDA" w:rsidP="006565F1">
            <w:pPr>
              <w:pStyle w:val="TableText"/>
              <w:jc w:val="right"/>
            </w:pPr>
            <w:r w:rsidRPr="002F1795">
              <w:t>5,303</w:t>
            </w:r>
          </w:p>
        </w:tc>
        <w:tc>
          <w:tcPr>
            <w:tcW w:w="1386" w:type="dxa"/>
            <w:tcBorders>
              <w:top w:val="nil"/>
              <w:left w:val="single" w:sz="4" w:space="0" w:color="auto"/>
              <w:bottom w:val="single" w:sz="4" w:space="0" w:color="auto"/>
              <w:right w:val="single" w:sz="8" w:space="0" w:color="auto"/>
            </w:tcBorders>
            <w:shd w:val="clear" w:color="auto" w:fill="auto"/>
            <w:noWrap/>
            <w:vAlign w:val="center"/>
          </w:tcPr>
          <w:p w:rsidR="00A83DDA" w:rsidRPr="002F1795" w:rsidRDefault="00A83DDA" w:rsidP="006565F1">
            <w:pPr>
              <w:pStyle w:val="TableText"/>
              <w:jc w:val="right"/>
            </w:pPr>
            <w:r w:rsidRPr="002F1795">
              <w:t>18,901</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ind w:left="317"/>
            </w:pPr>
            <w:r w:rsidRPr="002F1795">
              <w:rPr>
                <w:i/>
                <w:iCs/>
              </w:rPr>
              <w:t>Other Fabricators</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66,103</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25,780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91,883</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pPr>
            <w:r w:rsidRPr="002F1795">
              <w:t>Total Fabricators</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79,701</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31,083</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110,784</w:t>
            </w:r>
          </w:p>
        </w:tc>
      </w:tr>
      <w:tr w:rsidR="00A83DDA" w:rsidRPr="002F1795" w:rsidTr="006565F1">
        <w:trPr>
          <w:trHeight w:val="77"/>
          <w:jc w:val="center"/>
        </w:trPr>
        <w:tc>
          <w:tcPr>
            <w:tcW w:w="8037" w:type="dxa"/>
            <w:gridSpan w:val="4"/>
            <w:tcBorders>
              <w:top w:val="nil"/>
              <w:left w:val="single" w:sz="8" w:space="0" w:color="auto"/>
              <w:bottom w:val="single" w:sz="4" w:space="0" w:color="auto"/>
              <w:right w:val="single" w:sz="8" w:space="0" w:color="auto"/>
            </w:tcBorders>
            <w:shd w:val="clear" w:color="auto" w:fill="auto"/>
            <w:noWrap/>
            <w:vAlign w:val="bottom"/>
            <w:hideMark/>
          </w:tcPr>
          <w:p w:rsidR="00A83DDA" w:rsidRPr="002F1795" w:rsidRDefault="00A83DDA" w:rsidP="006565F1">
            <w:pPr>
              <w:pStyle w:val="TableText"/>
            </w:pPr>
            <w:r w:rsidRPr="002F1795">
              <w:t>Wholesalers (Firms)</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ind w:left="317"/>
            </w:pPr>
            <w:r w:rsidRPr="002F1795">
              <w:rPr>
                <w:i/>
                <w:iCs/>
              </w:rPr>
              <w:t>Wholesalers that import</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23,957</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23,957</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ind w:left="317"/>
            </w:pPr>
            <w:r w:rsidRPr="002F1795">
              <w:rPr>
                <w:i/>
                <w:iCs/>
              </w:rPr>
              <w:t>Wholesalers that do not import</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61,603</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61,603</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pPr>
            <w:r w:rsidRPr="002F1795">
              <w:t>Total Wholesalers</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85,560</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33,368</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118,928</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pPr>
            <w:r w:rsidRPr="002F1795">
              <w:t>Retailers(Firms)</w:t>
            </w:r>
            <w:r w:rsidRPr="002F1795">
              <w:rPr>
                <w:vertAlign w:val="superscript"/>
              </w:rPr>
              <w:t>3</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759,048</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759,048</w:t>
            </w:r>
          </w:p>
        </w:tc>
      </w:tr>
      <w:tr w:rsidR="00A83DDA" w:rsidRPr="002F1795" w:rsidTr="006565F1">
        <w:trPr>
          <w:trHeight w:val="77"/>
          <w:jc w:val="center"/>
        </w:trPr>
        <w:tc>
          <w:tcPr>
            <w:tcW w:w="4126" w:type="dxa"/>
            <w:tcBorders>
              <w:top w:val="nil"/>
              <w:left w:val="single" w:sz="8" w:space="0" w:color="auto"/>
              <w:bottom w:val="single" w:sz="4" w:space="0" w:color="auto"/>
              <w:right w:val="single" w:sz="4" w:space="0" w:color="auto"/>
            </w:tcBorders>
            <w:shd w:val="clear" w:color="auto" w:fill="auto"/>
            <w:noWrap/>
            <w:vAlign w:val="bottom"/>
            <w:hideMark/>
          </w:tcPr>
          <w:p w:rsidR="00A83DDA" w:rsidRPr="002F1795" w:rsidRDefault="00A83DDA" w:rsidP="006565F1">
            <w:pPr>
              <w:pStyle w:val="TableText"/>
              <w:jc w:val="center"/>
              <w:rPr>
                <w:b/>
                <w:bCs/>
              </w:rPr>
            </w:pPr>
            <w:r w:rsidRPr="002F1795">
              <w:rPr>
                <w:b/>
                <w:bCs/>
              </w:rPr>
              <w:t>Total</w:t>
            </w:r>
          </w:p>
        </w:tc>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924,679</w:t>
            </w:r>
          </w:p>
        </w:tc>
        <w:tc>
          <w:tcPr>
            <w:tcW w:w="1287"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right"/>
            </w:pPr>
            <w:r w:rsidRPr="002F1795">
              <w:t>65,580</w:t>
            </w:r>
          </w:p>
        </w:tc>
        <w:tc>
          <w:tcPr>
            <w:tcW w:w="1386" w:type="dxa"/>
            <w:tcBorders>
              <w:top w:val="nil"/>
              <w:left w:val="single" w:sz="4" w:space="0" w:color="auto"/>
              <w:bottom w:val="single" w:sz="4" w:space="0" w:color="auto"/>
              <w:right w:val="single" w:sz="8" w:space="0" w:color="auto"/>
            </w:tcBorders>
            <w:shd w:val="clear" w:color="auto" w:fill="auto"/>
            <w:noWrap/>
            <w:vAlign w:val="center"/>
            <w:hideMark/>
          </w:tcPr>
          <w:p w:rsidR="00A83DDA" w:rsidRPr="002F1795" w:rsidRDefault="00A83DDA" w:rsidP="006565F1">
            <w:pPr>
              <w:pStyle w:val="TableText"/>
              <w:jc w:val="right"/>
            </w:pPr>
            <w:r w:rsidRPr="002F1795">
              <w:t>990,259</w:t>
            </w:r>
          </w:p>
        </w:tc>
      </w:tr>
      <w:tr w:rsidR="00A83DDA" w:rsidRPr="002F1795" w:rsidTr="006565F1">
        <w:trPr>
          <w:trHeight w:val="315"/>
          <w:jc w:val="center"/>
        </w:trPr>
        <w:tc>
          <w:tcPr>
            <w:tcW w:w="8037" w:type="dxa"/>
            <w:gridSpan w:val="4"/>
            <w:tcBorders>
              <w:top w:val="single" w:sz="4" w:space="0" w:color="auto"/>
              <w:left w:val="single" w:sz="8" w:space="0" w:color="auto"/>
              <w:bottom w:val="single" w:sz="8" w:space="0" w:color="auto"/>
              <w:right w:val="single" w:sz="8" w:space="0" w:color="000000"/>
            </w:tcBorders>
            <w:shd w:val="clear" w:color="auto" w:fill="auto"/>
            <w:hideMark/>
          </w:tcPr>
          <w:p w:rsidR="00A83DDA" w:rsidRPr="002F1795" w:rsidRDefault="00A83DDA" w:rsidP="006565F1">
            <w:pPr>
              <w:pStyle w:val="tablefootnote"/>
              <w:keepLines/>
              <w:rPr>
                <w:rFonts w:ascii="Tahoma" w:hAnsi="Tahoma" w:cs="Tahoma"/>
                <w:szCs w:val="16"/>
              </w:rPr>
            </w:pPr>
            <w:r w:rsidRPr="002F1795">
              <w:t xml:space="preserve">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assumes that the number of certified foreign mills </w:t>
            </w:r>
            <w:r w:rsidR="009F588B" w:rsidRPr="002F1795">
              <w:t xml:space="preserve">is </w:t>
            </w:r>
            <w:r w:rsidRPr="002F1795">
              <w:t xml:space="preserve">20 percent of the total number of certified mills. </w:t>
            </w:r>
          </w:p>
          <w:p w:rsidR="00A83DDA" w:rsidRPr="002F1795" w:rsidRDefault="00A83DDA" w:rsidP="006565F1">
            <w:pPr>
              <w:pStyle w:val="tablefootnote"/>
              <w:keepLines/>
              <w:rPr>
                <w:rFonts w:ascii="Tahoma" w:hAnsi="Tahoma" w:cs="Tahoma"/>
                <w:szCs w:val="16"/>
              </w:rPr>
            </w:pPr>
            <w:r w:rsidRPr="002F1795">
              <w:t>2. These are laminators that are assumed to continue using added formaldehyde resins after the rule is implemented.  It is also assumed that all wood veneer laminated product producers are single-establishment firms.</w:t>
            </w:r>
          </w:p>
          <w:p w:rsidR="00A83DDA" w:rsidRPr="002F1795" w:rsidRDefault="00A83DDA" w:rsidP="006565F1">
            <w:pPr>
              <w:pStyle w:val="tablefootnote"/>
              <w:keepLines/>
              <w:rPr>
                <w:rFonts w:ascii="Tahoma" w:hAnsi="Tahoma" w:cs="Tahoma"/>
                <w:sz w:val="18"/>
                <w:szCs w:val="16"/>
                <w:vertAlign w:val="superscript"/>
              </w:rPr>
            </w:pPr>
            <w:r w:rsidRPr="002F1795">
              <w:t xml:space="preserve">3. The analysis assumes that foreign retailers do not typically export composite wood products or goods containing composite wood products into the United States. </w:t>
            </w:r>
          </w:p>
          <w:p w:rsidR="00A83DDA" w:rsidRPr="002F1795" w:rsidRDefault="00A83DDA" w:rsidP="006565F1">
            <w:pPr>
              <w:pStyle w:val="TableSource"/>
              <w:rPr>
                <w:rFonts w:ascii="Tahoma" w:hAnsi="Tahoma" w:cs="Tahoma"/>
                <w:szCs w:val="16"/>
              </w:rPr>
            </w:pPr>
            <w:r w:rsidRPr="002F1795">
              <w:t xml:space="preserve">Sources: </w:t>
            </w:r>
            <w:r w:rsidR="0041046E" w:rsidRPr="002F1795">
              <w:fldChar w:fldCharType="begin">
                <w:fldData xml:space="preserve">PEVuZE5vdGU+PENpdGU+PEF1dGhvcj5DYWxpZm9ybmlhIEFpciBSZXNvdXJjZXMgQm9hcmQ8L0F1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</w:fldData>
              </w:fldChar>
            </w:r>
            <w:r w:rsidRPr="002F1795">
              <w:instrText xml:space="preserve"> ADDIN EN.CITE </w:instrText>
            </w:r>
            <w:r w:rsidR="0041046E" w:rsidRPr="002F1795">
              <w:fldChar w:fldCharType="begin">
                <w:fldData xml:space="preserve">PEVuZE5vdGU+PENpdGU+PEF1dGhvcj5DYWxpZm9ybmlhIEFpciBSZXNvdXJjZXMgQm9hcmQ8L0F1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</w:fldData>
              </w:fldChar>
            </w:r>
            <w:r w:rsidRPr="002F1795">
              <w:instrText xml:space="preserve"> ADDIN EN.CITE.DATA </w:instrText>
            </w:r>
            <w:r w:rsidR="0041046E" w:rsidRPr="002F1795">
              <w:fldChar w:fldCharType="end"/>
            </w:r>
            <w:r w:rsidR="0041046E" w:rsidRPr="002F1795">
              <w:fldChar w:fldCharType="separate"/>
            </w:r>
            <w:hyperlink w:anchor="_ENREF_1" w:tooltip="California Air Resources Board, 2011 #10" w:history="1">
              <w:r w:rsidRPr="002F1795">
                <w:rPr>
                  <w:noProof/>
                </w:rPr>
                <w:t>California Air Resources Board 2011</w:t>
              </w:r>
            </w:hyperlink>
            <w:r w:rsidRPr="002F1795">
              <w:rPr>
                <w:noProof/>
              </w:rPr>
              <w:t xml:space="preserve">, </w:t>
            </w:r>
            <w:hyperlink w:anchor="_ENREF_2" w:tooltip="Composite Panel Association, 2011 #22" w:history="1">
              <w:r w:rsidRPr="002F1795">
                <w:rPr>
                  <w:noProof/>
                </w:rPr>
                <w:t>Composite Panel Association 2011</w:t>
              </w:r>
            </w:hyperlink>
            <w:r w:rsidRPr="002F1795">
              <w:rPr>
                <w:noProof/>
              </w:rPr>
              <w:t xml:space="preserve">, </w:t>
            </w:r>
            <w:hyperlink w:anchor="_ENREF_10" w:tooltip="U.S. Census Bureau, 2009 #15" w:history="1">
              <w:r w:rsidRPr="002F1795">
                <w:rPr>
                  <w:noProof/>
                </w:rPr>
                <w:t>U.S. Census Bureau 2009</w:t>
              </w:r>
            </w:hyperlink>
            <w:r w:rsidRPr="002F1795">
              <w:rPr>
                <w:noProof/>
              </w:rPr>
              <w:t xml:space="preserve">, </w:t>
            </w:r>
            <w:hyperlink w:anchor="_ENREF_11" w:tooltip="U.S. Census Bureau, 2010 #35" w:history="1">
              <w:r w:rsidRPr="002F1795">
                <w:rPr>
                  <w:noProof/>
                </w:rPr>
                <w:t>2010a</w:t>
              </w:r>
            </w:hyperlink>
            <w:r w:rsidRPr="002F1795">
              <w:rPr>
                <w:noProof/>
              </w:rPr>
              <w:t xml:space="preserve">, </w:t>
            </w:r>
            <w:hyperlink w:anchor="_ENREF_12" w:tooltip="U.S. Census Bureau, 2010 #97" w:history="1">
              <w:r w:rsidRPr="002F1795">
                <w:rPr>
                  <w:noProof/>
                </w:rPr>
                <w:t>b</w:t>
              </w:r>
            </w:hyperlink>
            <w:r w:rsidRPr="002F1795">
              <w:rPr>
                <w:noProof/>
              </w:rPr>
              <w:t xml:space="preserve">, </w:t>
            </w:r>
            <w:hyperlink w:anchor="_ENREF_13" w:tooltip="U.S. Census Bureau, 2010 #5" w:history="1">
              <w:r w:rsidRPr="002F1795">
                <w:rPr>
                  <w:noProof/>
                </w:rPr>
                <w:t>c</w:t>
              </w:r>
            </w:hyperlink>
            <w:r w:rsidRPr="002F1795">
              <w:rPr>
                <w:noProof/>
              </w:rPr>
              <w:t xml:space="preserve">, </w:t>
            </w:r>
            <w:hyperlink w:anchor="_ENREF_14" w:tooltip="U.S. Census Bureau, 2010 #18" w:history="1">
              <w:r w:rsidRPr="002F1795">
                <w:rPr>
                  <w:noProof/>
                </w:rPr>
                <w:t>d</w:t>
              </w:r>
            </w:hyperlink>
            <w:r w:rsidRPr="002F1795">
              <w:rPr>
                <w:noProof/>
              </w:rPr>
              <w:t xml:space="preserve">, </w:t>
            </w:r>
            <w:hyperlink w:anchor="_ENREF_15" w:tooltip="U.S. Census Bureau, 2010 #19" w:history="1">
              <w:r w:rsidRPr="002F1795">
                <w:rPr>
                  <w:noProof/>
                </w:rPr>
                <w:t>e</w:t>
              </w:r>
            </w:hyperlink>
            <w:r w:rsidRPr="002F1795">
              <w:rPr>
                <w:noProof/>
              </w:rPr>
              <w:t xml:space="preserve">, </w:t>
            </w:r>
            <w:hyperlink w:anchor="_ENREF_16" w:tooltip="U.S. Census Bureau, 2010 #42" w:history="1">
              <w:r w:rsidRPr="002F1795">
                <w:rPr>
                  <w:noProof/>
                </w:rPr>
                <w:t>f</w:t>
              </w:r>
            </w:hyperlink>
            <w:r w:rsidRPr="002F1795">
              <w:rPr>
                <w:noProof/>
              </w:rPr>
              <w:t xml:space="preserve">, </w:t>
            </w:r>
            <w:hyperlink w:anchor="_ENREF_17" w:tooltip="U.S. Census Bureau, 2010 #43" w:history="1">
              <w:r w:rsidRPr="002F1795">
                <w:rPr>
                  <w:noProof/>
                </w:rPr>
                <w:t>g</w:t>
              </w:r>
            </w:hyperlink>
            <w:r w:rsidRPr="002F1795">
              <w:rPr>
                <w:noProof/>
              </w:rPr>
              <w:t xml:space="preserve">, </w:t>
            </w:r>
            <w:hyperlink w:anchor="_ENREF_18" w:tooltip="U.S. Census Bureau, 2010 #101" w:history="1">
              <w:r w:rsidRPr="002F1795">
                <w:rPr>
                  <w:noProof/>
                </w:rPr>
                <w:t>h</w:t>
              </w:r>
            </w:hyperlink>
            <w:r w:rsidRPr="002F1795">
              <w:rPr>
                <w:noProof/>
              </w:rPr>
              <w:t xml:space="preserve">, </w:t>
            </w:r>
            <w:hyperlink w:anchor="_ENREF_23" w:tooltip="U.S. Census Bureau, 2011 #100" w:history="1">
              <w:r w:rsidRPr="002F1795">
                <w:rPr>
                  <w:noProof/>
                </w:rPr>
                <w:t>2011</w:t>
              </w:r>
            </w:hyperlink>
            <w:r w:rsidRPr="002F1795">
              <w:rPr>
                <w:noProof/>
              </w:rPr>
              <w:t xml:space="preserve">, </w:t>
            </w:r>
            <w:hyperlink w:anchor="_ENREF_25" w:tooltip="U.S. International Trade Commission, 2011 #52" w:history="1">
              <w:r w:rsidRPr="002F1795">
                <w:rPr>
                  <w:noProof/>
                </w:rPr>
                <w:t>U.S. International Trade Commission 2011</w:t>
              </w:r>
            </w:hyperlink>
            <w:r w:rsidR="0041046E" w:rsidRPr="002F1795">
              <w:fldChar w:fldCharType="end"/>
            </w:r>
          </w:p>
        </w:tc>
      </w:tr>
    </w:tbl>
    <w:p w:rsidR="00A83DDA" w:rsidRPr="002F1795" w:rsidRDefault="00A83DDA" w:rsidP="00A83DDA">
      <w:pPr>
        <w:numPr>
          <w:ilvl w:val="12"/>
          <w:numId w:val="0"/>
        </w:numPr>
      </w:pPr>
    </w:p>
    <w:p w:rsidR="00A83DDA" w:rsidRPr="002F1795" w:rsidRDefault="00A83DDA" w:rsidP="00A83DDA">
      <w:pPr>
        <w:numPr>
          <w:ilvl w:val="12"/>
          <w:numId w:val="0"/>
        </w:numPr>
      </w:pPr>
      <w:r w:rsidRPr="002F1795">
        <w:tab/>
        <w:t xml:space="preserve">As indicated in </w:t>
      </w:r>
      <w:fldSimple w:instr=" REF _Ref304465010 \h  \* MERGEFORMAT ">
        <w:r w:rsidR="0036394F" w:rsidRPr="002F1795">
          <w:t>Exhibit 6-</w:t>
        </w:r>
        <w:r w:rsidR="0036394F">
          <w:t>4</w:t>
        </w:r>
      </w:fldSimple>
      <w:r w:rsidRPr="002F1795">
        <w:t xml:space="preserve">, there are an estimated total of 990,259 domestic and foreign respondents.  Domestic respondents account for an estimated 93.4 percent of the total.  Retailers account for the largest proportion of the total respondents (76.7 percent).  Wholesalers, fabricators, and composite panel producers account for approximately 12.0 percent, 11.2 percent, and 0.2 percent of the total number of respondents, respectively.  </w:t>
      </w:r>
    </w:p>
    <w:p w:rsidR="00A83DDA" w:rsidRPr="002F1795" w:rsidRDefault="00A83DDA" w:rsidP="00A83DDA">
      <w:pPr>
        <w:numPr>
          <w:ilvl w:val="12"/>
          <w:numId w:val="0"/>
        </w:numPr>
      </w:pPr>
    </w:p>
    <w:p w:rsidR="00A83DDA" w:rsidRPr="002F1795" w:rsidRDefault="00A83DDA" w:rsidP="00A83DDA">
      <w:pPr>
        <w:numPr>
          <w:ilvl w:val="12"/>
          <w:numId w:val="0"/>
        </w:numPr>
        <w:rPr>
          <w:b/>
        </w:rPr>
      </w:pPr>
      <w:r w:rsidRPr="002F1795">
        <w:rPr>
          <w:b/>
        </w:rPr>
        <w:t xml:space="preserve">(ii) Burden </w:t>
      </w:r>
      <w:proofErr w:type="gramStart"/>
      <w:r w:rsidRPr="002F1795">
        <w:rPr>
          <w:b/>
        </w:rPr>
        <w:t>Per</w:t>
      </w:r>
      <w:proofErr w:type="gramEnd"/>
      <w:r w:rsidRPr="002F1795">
        <w:rPr>
          <w:b/>
        </w:rPr>
        <w:t xml:space="preserve"> Respondent</w:t>
      </w:r>
    </w:p>
    <w:p w:rsidR="00A83DDA" w:rsidRPr="002F1795" w:rsidRDefault="00A83DDA" w:rsidP="00A83DDA">
      <w:pPr>
        <w:numPr>
          <w:ilvl w:val="12"/>
          <w:numId w:val="0"/>
        </w:numPr>
        <w:ind w:firstLine="720"/>
      </w:pPr>
    </w:p>
    <w:p w:rsidR="004A2E2F" w:rsidRPr="002F1795" w:rsidRDefault="002E7C13" w:rsidP="004A2E2F">
      <w:r w:rsidRPr="002F1795">
        <w:tab/>
      </w:r>
      <w:r w:rsidR="00A83DDA" w:rsidRPr="002F1795">
        <w:t xml:space="preserve">This section describes the per-activity recordkeeping and reporting burden for respondents as a result of the proposed TSCA Title VI rule.  </w:t>
      </w:r>
      <w:r w:rsidR="009F588B" w:rsidRPr="002F1795">
        <w:t>Where s</w:t>
      </w:r>
      <w:r w:rsidR="004A2E2F" w:rsidRPr="002F1795">
        <w:t xml:space="preserve">ome TPCs have more stringent requirements than the </w:t>
      </w:r>
      <w:r w:rsidR="009F588B" w:rsidRPr="002F1795">
        <w:t xml:space="preserve">proposed TSCA Title VI rule </w:t>
      </w:r>
      <w:r w:rsidR="004A2E2F" w:rsidRPr="002F1795">
        <w:t>require</w:t>
      </w:r>
      <w:r w:rsidR="009F588B" w:rsidRPr="002F1795">
        <w:t xml:space="preserve">s, the analysis is based on </w:t>
      </w:r>
      <w:r w:rsidR="009F588B" w:rsidRPr="002F1795">
        <w:lastRenderedPageBreak/>
        <w:t>the TPC requirements</w:t>
      </w:r>
      <w:r w:rsidR="004A2E2F" w:rsidRPr="002F1795">
        <w:t xml:space="preserve">.  For example, HPVA requires mills to have on-site audits and large chamber tests annually for NAF-certified products, and quarterly for ULEF-certified products, which is more frequently than the CARB </w:t>
      </w:r>
      <w:r w:rsidR="009F588B" w:rsidRPr="002F1795">
        <w:t xml:space="preserve">ATCM or the proposed TSCA Title VI rule </w:t>
      </w:r>
      <w:r w:rsidR="004A2E2F" w:rsidRPr="002F1795">
        <w:t>require.  T</w:t>
      </w:r>
      <w:r w:rsidR="00360DA7" w:rsidRPr="002F1795">
        <w:t>herefore t</w:t>
      </w:r>
      <w:r w:rsidR="004A2E2F" w:rsidRPr="002F1795">
        <w:t xml:space="preserve">his analysis </w:t>
      </w:r>
      <w:r w:rsidR="00360DA7" w:rsidRPr="002F1795">
        <w:t xml:space="preserve">estimates the burden and cost estimates for mills based on the requirements frequently imposed by TPCs, rather than the requirements in </w:t>
      </w:r>
      <w:r w:rsidR="004A2E2F" w:rsidRPr="002F1795">
        <w:t xml:space="preserve">the CARB ATCM or </w:t>
      </w:r>
      <w:r w:rsidR="00FA516B" w:rsidRPr="002F1795">
        <w:t xml:space="preserve">the proposed </w:t>
      </w:r>
      <w:r w:rsidR="004A2E2F" w:rsidRPr="002F1795">
        <w:t xml:space="preserve">TSCA Title VI </w:t>
      </w:r>
      <w:r w:rsidR="00FA516B" w:rsidRPr="002F1795">
        <w:t>rule</w:t>
      </w:r>
      <w:r w:rsidR="00360DA7" w:rsidRPr="002F1795">
        <w:t>s</w:t>
      </w:r>
      <w:r w:rsidR="004A2E2F" w:rsidRPr="002F1795">
        <w:t>.</w:t>
      </w:r>
      <w:r w:rsidR="002F1795" w:rsidRPr="002F1795">
        <w:t xml:space="preserve">  </w:t>
      </w:r>
      <w:fldSimple w:instr=" REF _Ref352934171 \h  \* MERGEFORMAT ">
        <w:r w:rsidR="0036394F" w:rsidRPr="002F1795">
          <w:t>Exhibit 6-</w:t>
        </w:r>
        <w:r w:rsidR="0036394F">
          <w:t>5</w:t>
        </w:r>
      </w:fldSimple>
      <w:r w:rsidR="002F1795" w:rsidRPr="002F1795">
        <w:t xml:space="preserve"> summarizes the differences between how TPCs are assumed to implement a standard certification and a certification with an NAF or ULEF exemption.</w:t>
      </w:r>
    </w:p>
    <w:p w:rsidR="004A2E2F" w:rsidRPr="002F1795" w:rsidRDefault="004A2E2F" w:rsidP="00B961FA">
      <w:pPr>
        <w:pStyle w:val="TableTitle5"/>
      </w:pPr>
    </w:p>
    <w:tbl>
      <w:tblPr>
        <w:tblW w:w="9168" w:type="dxa"/>
        <w:jc w:val="center"/>
        <w:tblInd w:w="-1165" w:type="dxa"/>
        <w:tblLook w:val="0000"/>
      </w:tblPr>
      <w:tblGrid>
        <w:gridCol w:w="2045"/>
        <w:gridCol w:w="1909"/>
        <w:gridCol w:w="2700"/>
        <w:gridCol w:w="2514"/>
      </w:tblGrid>
      <w:tr w:rsidR="002F1795" w:rsidRPr="002F1795" w:rsidTr="002F1795">
        <w:trPr>
          <w:trHeight w:val="255"/>
          <w:jc w:val="center"/>
        </w:trPr>
        <w:tc>
          <w:tcPr>
            <w:tcW w:w="9168" w:type="dxa"/>
            <w:gridSpan w:val="4"/>
            <w:tcBorders>
              <w:top w:val="single" w:sz="4" w:space="0" w:color="auto"/>
              <w:left w:val="single" w:sz="4" w:space="0" w:color="auto"/>
              <w:bottom w:val="single" w:sz="4" w:space="0" w:color="auto"/>
              <w:right w:val="single" w:sz="4" w:space="0" w:color="auto"/>
            </w:tcBorders>
            <w:shd w:val="pct15" w:color="auto" w:fill="auto"/>
            <w:vAlign w:val="bottom"/>
          </w:tcPr>
          <w:p w:rsidR="002F1795" w:rsidRPr="002F1795" w:rsidRDefault="002F1795" w:rsidP="00B961FA">
            <w:pPr>
              <w:pStyle w:val="TableTitle5"/>
            </w:pPr>
            <w:bookmarkStart w:id="5" w:name="_Ref352934171"/>
            <w:bookmarkStart w:id="6" w:name="_Ref299633564"/>
            <w:r w:rsidRPr="002F1795">
              <w:t>Exhibit 6-</w:t>
            </w:r>
            <w:r w:rsidR="0041046E">
              <w:fldChar w:fldCharType="begin"/>
            </w:r>
            <w:r w:rsidR="00441B0C">
              <w:instrText xml:space="preserve"> SEQ Exhibit_6- \* ARABIC </w:instrText>
            </w:r>
            <w:r w:rsidR="0041046E">
              <w:fldChar w:fldCharType="separate"/>
            </w:r>
            <w:r w:rsidR="0036394F">
              <w:rPr>
                <w:noProof/>
              </w:rPr>
              <w:t>5</w:t>
            </w:r>
            <w:r w:rsidR="0041046E">
              <w:rPr>
                <w:noProof/>
              </w:rPr>
              <w:fldChar w:fldCharType="end"/>
            </w:r>
            <w:bookmarkEnd w:id="5"/>
            <w:r w:rsidRPr="002F1795">
              <w:t xml:space="preserve">: </w:t>
            </w:r>
            <w:bookmarkEnd w:id="6"/>
            <w:r w:rsidRPr="002F1795">
              <w:t>Testing and Certification Frequencies Assumed to be Implemented by TPCs</w:t>
            </w:r>
          </w:p>
        </w:tc>
      </w:tr>
      <w:tr w:rsidR="002F1795" w:rsidRPr="002F1795" w:rsidTr="002F1795">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2F1795" w:rsidRDefault="002F1795" w:rsidP="00B961FA">
            <w:pPr>
              <w:pStyle w:val="TableSubtitle"/>
            </w:pPr>
            <w:r w:rsidRPr="002F1795">
              <w:t>Category</w:t>
            </w:r>
          </w:p>
        </w:tc>
        <w:tc>
          <w:tcPr>
            <w:tcW w:w="1909" w:type="dxa"/>
            <w:tcBorders>
              <w:top w:val="nil"/>
              <w:left w:val="nil"/>
              <w:bottom w:val="single" w:sz="4" w:space="0" w:color="auto"/>
              <w:right w:val="single" w:sz="4" w:space="0" w:color="auto"/>
            </w:tcBorders>
            <w:shd w:val="clear" w:color="auto" w:fill="auto"/>
            <w:vAlign w:val="bottom"/>
          </w:tcPr>
          <w:p w:rsidR="002F1795" w:rsidRPr="002F1795" w:rsidRDefault="002F1795" w:rsidP="00B961FA">
            <w:pPr>
              <w:pStyle w:val="TableSubtitle"/>
            </w:pPr>
            <w:r w:rsidRPr="002F1795">
              <w:t>Standard</w:t>
            </w:r>
          </w:p>
        </w:tc>
        <w:tc>
          <w:tcPr>
            <w:tcW w:w="2700" w:type="dxa"/>
            <w:tcBorders>
              <w:top w:val="nil"/>
              <w:left w:val="nil"/>
              <w:bottom w:val="single" w:sz="4" w:space="0" w:color="auto"/>
              <w:right w:val="single" w:sz="4" w:space="0" w:color="auto"/>
            </w:tcBorders>
            <w:shd w:val="clear" w:color="auto" w:fill="auto"/>
            <w:vAlign w:val="bottom"/>
          </w:tcPr>
          <w:p w:rsidR="002F1795" w:rsidRPr="002F1795" w:rsidRDefault="002F1795" w:rsidP="00B961FA">
            <w:pPr>
              <w:pStyle w:val="TableSubtitle"/>
            </w:pPr>
            <w:r w:rsidRPr="002F1795">
              <w:t>NAF</w:t>
            </w:r>
          </w:p>
        </w:tc>
        <w:tc>
          <w:tcPr>
            <w:tcW w:w="2514" w:type="dxa"/>
            <w:tcBorders>
              <w:top w:val="nil"/>
              <w:left w:val="nil"/>
              <w:bottom w:val="single" w:sz="4" w:space="0" w:color="auto"/>
              <w:right w:val="single" w:sz="4" w:space="0" w:color="auto"/>
            </w:tcBorders>
            <w:shd w:val="clear" w:color="auto" w:fill="auto"/>
            <w:vAlign w:val="bottom"/>
          </w:tcPr>
          <w:p w:rsidR="002F1795" w:rsidRPr="002F1795" w:rsidRDefault="002F1795" w:rsidP="00B961FA">
            <w:pPr>
              <w:pStyle w:val="TableSubtitle"/>
              <w:rPr>
                <w:vertAlign w:val="superscript"/>
              </w:rPr>
            </w:pPr>
            <w:r w:rsidRPr="002F1795">
              <w:t>ULEF</w:t>
            </w:r>
          </w:p>
        </w:tc>
      </w:tr>
      <w:tr w:rsidR="002F1795" w:rsidRPr="002F1795" w:rsidTr="002F1795">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Certification Fee</w:t>
            </w:r>
          </w:p>
        </w:tc>
        <w:tc>
          <w:tcPr>
            <w:tcW w:w="1909"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Annual</w:t>
            </w:r>
          </w:p>
        </w:tc>
        <w:tc>
          <w:tcPr>
            <w:tcW w:w="2700"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Annual (reduced fee after first year)</w:t>
            </w:r>
          </w:p>
        </w:tc>
        <w:tc>
          <w:tcPr>
            <w:tcW w:w="2514"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Annual (reduced fee after first year)</w:t>
            </w:r>
          </w:p>
        </w:tc>
      </w:tr>
      <w:tr w:rsidR="002F1795" w:rsidRPr="002F1795" w:rsidTr="002F1795">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Qualifying Testing</w:t>
            </w:r>
          </w:p>
        </w:tc>
        <w:tc>
          <w:tcPr>
            <w:tcW w:w="1909"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One-time</w:t>
            </w:r>
          </w:p>
        </w:tc>
        <w:tc>
          <w:tcPr>
            <w:tcW w:w="2700"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One-time</w:t>
            </w:r>
          </w:p>
        </w:tc>
        <w:tc>
          <w:tcPr>
            <w:tcW w:w="2514"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One-time</w:t>
            </w:r>
          </w:p>
        </w:tc>
      </w:tr>
      <w:tr w:rsidR="002F1795" w:rsidRPr="002F1795" w:rsidTr="002F1795">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TPC Audit</w:t>
            </w:r>
          </w:p>
        </w:tc>
        <w:tc>
          <w:tcPr>
            <w:tcW w:w="1909"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Quarterly</w:t>
            </w:r>
          </w:p>
        </w:tc>
        <w:tc>
          <w:tcPr>
            <w:tcW w:w="2700"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Twice initially and annually thereafter</w:t>
            </w:r>
          </w:p>
        </w:tc>
        <w:tc>
          <w:tcPr>
            <w:tcW w:w="2514"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Twice initially and annually thereafter</w:t>
            </w:r>
          </w:p>
        </w:tc>
      </w:tr>
      <w:tr w:rsidR="002F1795" w:rsidRPr="002F1795" w:rsidTr="002F1795">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TPC Audit Travel</w:t>
            </w:r>
          </w:p>
        </w:tc>
        <w:tc>
          <w:tcPr>
            <w:tcW w:w="1909"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First audit each year</w:t>
            </w:r>
          </w:p>
        </w:tc>
        <w:tc>
          <w:tcPr>
            <w:tcW w:w="2700"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Annual</w:t>
            </w:r>
          </w:p>
        </w:tc>
        <w:tc>
          <w:tcPr>
            <w:tcW w:w="2514"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Annual</w:t>
            </w:r>
          </w:p>
        </w:tc>
      </w:tr>
      <w:tr w:rsidR="002F1795" w:rsidRPr="002F1795" w:rsidTr="002F1795">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Large Chamber TPC Testing</w:t>
            </w:r>
          </w:p>
        </w:tc>
        <w:tc>
          <w:tcPr>
            <w:tcW w:w="1909"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Quarterly</w:t>
            </w:r>
          </w:p>
        </w:tc>
        <w:tc>
          <w:tcPr>
            <w:tcW w:w="2700"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Once initially and annually thereafter</w:t>
            </w:r>
          </w:p>
        </w:tc>
        <w:tc>
          <w:tcPr>
            <w:tcW w:w="2514"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Once initially and quarterly thereafter</w:t>
            </w:r>
          </w:p>
        </w:tc>
      </w:tr>
      <w:tr w:rsidR="002F1795" w:rsidRPr="002F1795" w:rsidTr="002F1795">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QC Testing</w:t>
            </w:r>
          </w:p>
        </w:tc>
        <w:tc>
          <w:tcPr>
            <w:tcW w:w="1909"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On-going</w:t>
            </w:r>
          </w:p>
        </w:tc>
        <w:tc>
          <w:tcPr>
            <w:tcW w:w="2700"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First 3 months and exempt thereafter</w:t>
            </w:r>
          </w:p>
        </w:tc>
        <w:tc>
          <w:tcPr>
            <w:tcW w:w="2514"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First 6 months and exempt or reduced thereafter</w:t>
            </w:r>
          </w:p>
        </w:tc>
      </w:tr>
      <w:tr w:rsidR="002F1795" w:rsidRPr="002F1795" w:rsidTr="002F1795">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Desk Audit</w:t>
            </w:r>
          </w:p>
        </w:tc>
        <w:tc>
          <w:tcPr>
            <w:tcW w:w="1909"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Monthly (excludes audit months)</w:t>
            </w:r>
          </w:p>
        </w:tc>
        <w:tc>
          <w:tcPr>
            <w:tcW w:w="2700"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First 2 months and exempt thereafter</w:t>
            </w:r>
          </w:p>
        </w:tc>
        <w:tc>
          <w:tcPr>
            <w:tcW w:w="2514" w:type="dxa"/>
            <w:tcBorders>
              <w:top w:val="nil"/>
              <w:left w:val="nil"/>
              <w:bottom w:val="single" w:sz="4" w:space="0" w:color="auto"/>
              <w:right w:val="single" w:sz="4" w:space="0" w:color="auto"/>
            </w:tcBorders>
            <w:shd w:val="clear" w:color="auto" w:fill="auto"/>
            <w:vAlign w:val="bottom"/>
          </w:tcPr>
          <w:p w:rsidR="002F1795" w:rsidRPr="00B961FA" w:rsidRDefault="002F1795" w:rsidP="002F1795">
            <w:pPr>
              <w:pStyle w:val="TableText1"/>
              <w:rPr>
                <w:rFonts w:ascii="Times New Roman" w:hAnsi="Times New Roman" w:cs="Times New Roman"/>
              </w:rPr>
            </w:pPr>
            <w:r w:rsidRPr="00B961FA">
              <w:rPr>
                <w:rFonts w:ascii="Times New Roman" w:hAnsi="Times New Roman" w:cs="Times New Roman"/>
              </w:rPr>
              <w:t>First 4 months and exempt thereafter</w:t>
            </w:r>
          </w:p>
        </w:tc>
      </w:tr>
    </w:tbl>
    <w:p w:rsidR="002F1795" w:rsidRPr="002F1795" w:rsidRDefault="002F1795" w:rsidP="00A83DDA">
      <w:pPr>
        <w:pStyle w:val="BodyText"/>
        <w:rPr>
          <w:sz w:val="24"/>
        </w:rPr>
      </w:pPr>
    </w:p>
    <w:p w:rsidR="00A83DDA" w:rsidRPr="002F1795" w:rsidRDefault="00FA516B" w:rsidP="00A83DDA">
      <w:pPr>
        <w:pStyle w:val="BodyText"/>
        <w:rPr>
          <w:sz w:val="24"/>
        </w:rPr>
      </w:pPr>
      <w:r w:rsidRPr="002F1795">
        <w:rPr>
          <w:sz w:val="24"/>
        </w:rPr>
        <w:tab/>
      </w:r>
      <w:r w:rsidR="00A83DDA" w:rsidRPr="002F1795">
        <w:rPr>
          <w:sz w:val="24"/>
        </w:rPr>
        <w:t xml:space="preserve">Respondent activities are presented separately for each unique combination of (1) responses per respondent and (2) per-response burden that is accounted for in this analysis.  For example, while composite panel producers </w:t>
      </w:r>
      <w:r w:rsidR="00981EC6" w:rsidRPr="002F1795">
        <w:rPr>
          <w:sz w:val="24"/>
        </w:rPr>
        <w:t xml:space="preserve">with a standard certification </w:t>
      </w:r>
      <w:r w:rsidR="00A83DDA" w:rsidRPr="002F1795">
        <w:rPr>
          <w:sz w:val="24"/>
        </w:rPr>
        <w:t>are required to have an on-site audit performed quarterly, those with</w:t>
      </w:r>
      <w:r w:rsidR="00CC4BD6" w:rsidRPr="002F1795">
        <w:rPr>
          <w:sz w:val="24"/>
        </w:rPr>
        <w:t xml:space="preserve"> ULEF </w:t>
      </w:r>
      <w:r w:rsidR="00831B37" w:rsidRPr="002F1795">
        <w:rPr>
          <w:sz w:val="24"/>
        </w:rPr>
        <w:t xml:space="preserve">or </w:t>
      </w:r>
      <w:r w:rsidR="00A83DDA" w:rsidRPr="002F1795">
        <w:rPr>
          <w:sz w:val="24"/>
        </w:rPr>
        <w:t xml:space="preserve">NAF certification </w:t>
      </w:r>
      <w:r w:rsidR="00831B37" w:rsidRPr="002F1795">
        <w:rPr>
          <w:sz w:val="24"/>
        </w:rPr>
        <w:t>receive two audits in the first year and then are audited annually thereafter</w:t>
      </w:r>
      <w:r w:rsidR="00A83DDA" w:rsidRPr="002F1795">
        <w:rPr>
          <w:sz w:val="24"/>
        </w:rPr>
        <w:t>.</w:t>
      </w:r>
      <w:r w:rsidR="00831B37" w:rsidRPr="002F1795">
        <w:rPr>
          <w:rStyle w:val="FootnoteReference"/>
          <w:sz w:val="24"/>
          <w:vertAlign w:val="superscript"/>
        </w:rPr>
        <w:footnoteReference w:id="6"/>
      </w:r>
      <w:r w:rsidR="00A83DDA" w:rsidRPr="002F1795">
        <w:rPr>
          <w:sz w:val="24"/>
        </w:rPr>
        <w:t xml:space="preserve">  As a result, even though these audits are assumed to take the same amount of time for all producers (four managerial-level hours)</w:t>
      </w:r>
      <w:proofErr w:type="gramStart"/>
      <w:r w:rsidR="00A83DDA" w:rsidRPr="002F1795">
        <w:rPr>
          <w:sz w:val="24"/>
        </w:rPr>
        <w:t>,</w:t>
      </w:r>
      <w:proofErr w:type="gramEnd"/>
      <w:r w:rsidR="00A83DDA" w:rsidRPr="002F1795">
        <w:rPr>
          <w:sz w:val="24"/>
        </w:rPr>
        <w:t xml:space="preserve"> they are presented as separate activities because they require a different number of annual responses, depending on the certification type.  The section begins with a description of activities that are common to all respondents, and then separately discusses the activities by category of respondents (composite panel producers, fabricators, wholesalers, and retailers).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This section also describes the process used to estimate the number of respondents in each activity group.  Note that the number of foreign respondents in each activity group is estimated by 1) calculating the sector-specific ratio of domestic respondents by certification type  to the total domestic respondents in that sector; 2) applying the ratio to the estimated number of foreign respondents in the sector; and, 3) taking the sum of the rounded estimates across all affected sectors.  For example, this analysis assumes that </w:t>
      </w:r>
      <w:r w:rsidR="00B8630D" w:rsidRPr="002F1795">
        <w:rPr>
          <w:sz w:val="24"/>
        </w:rPr>
        <w:t>7</w:t>
      </w:r>
      <w:r w:rsidR="00A83DDA" w:rsidRPr="002F1795">
        <w:rPr>
          <w:sz w:val="24"/>
        </w:rPr>
        <w:t xml:space="preserve"> of the </w:t>
      </w:r>
      <w:r w:rsidR="00B8630D" w:rsidRPr="002F1795">
        <w:rPr>
          <w:sz w:val="24"/>
        </w:rPr>
        <w:t>41</w:t>
      </w:r>
      <w:r w:rsidR="00A83DDA" w:rsidRPr="002F1795">
        <w:rPr>
          <w:sz w:val="24"/>
        </w:rPr>
        <w:t xml:space="preserve"> domestic </w:t>
      </w:r>
      <w:r w:rsidR="00B8630D" w:rsidRPr="002F1795">
        <w:rPr>
          <w:sz w:val="24"/>
        </w:rPr>
        <w:t>hardwood plywood</w:t>
      </w:r>
      <w:r w:rsidR="00A83DDA" w:rsidRPr="002F1795">
        <w:rPr>
          <w:sz w:val="24"/>
        </w:rPr>
        <w:t xml:space="preserve"> respondents (or </w:t>
      </w:r>
      <w:r w:rsidR="00B8630D" w:rsidRPr="002F1795">
        <w:rPr>
          <w:sz w:val="24"/>
        </w:rPr>
        <w:t>17</w:t>
      </w:r>
      <w:r w:rsidR="00A83DDA" w:rsidRPr="002F1795">
        <w:rPr>
          <w:sz w:val="24"/>
        </w:rPr>
        <w:t>.</w:t>
      </w:r>
      <w:r w:rsidR="00B8630D" w:rsidRPr="002F1795">
        <w:rPr>
          <w:sz w:val="24"/>
        </w:rPr>
        <w:t>1</w:t>
      </w:r>
      <w:r w:rsidR="00A83DDA" w:rsidRPr="002F1795">
        <w:rPr>
          <w:sz w:val="24"/>
        </w:rPr>
        <w:t xml:space="preserve"> percent) </w:t>
      </w:r>
      <w:r w:rsidR="00B8630D" w:rsidRPr="002F1795">
        <w:rPr>
          <w:sz w:val="24"/>
        </w:rPr>
        <w:t xml:space="preserve">are currently </w:t>
      </w:r>
      <w:r w:rsidR="00953BEC" w:rsidRPr="002F1795">
        <w:rPr>
          <w:sz w:val="24"/>
        </w:rPr>
        <w:t xml:space="preserve">NAF </w:t>
      </w:r>
      <w:r w:rsidR="00B8630D" w:rsidRPr="002F1795">
        <w:rPr>
          <w:sz w:val="24"/>
        </w:rPr>
        <w:t>certified under CARB</w:t>
      </w:r>
      <w:r w:rsidR="00953BEC" w:rsidRPr="002F1795">
        <w:rPr>
          <w:sz w:val="24"/>
        </w:rPr>
        <w:t xml:space="preserve"> and will </w:t>
      </w:r>
      <w:r w:rsidR="00953BEC" w:rsidRPr="002F1795">
        <w:rPr>
          <w:sz w:val="24"/>
        </w:rPr>
        <w:lastRenderedPageBreak/>
        <w:t xml:space="preserve">maintain </w:t>
      </w:r>
      <w:r w:rsidR="00B8630D" w:rsidRPr="002F1795">
        <w:rPr>
          <w:sz w:val="24"/>
        </w:rPr>
        <w:t xml:space="preserve">NAF certification </w:t>
      </w:r>
      <w:r w:rsidR="00953BEC" w:rsidRPr="002F1795">
        <w:rPr>
          <w:sz w:val="24"/>
        </w:rPr>
        <w:t>under</w:t>
      </w:r>
      <w:r w:rsidR="00A83DDA" w:rsidRPr="002F1795">
        <w:rPr>
          <w:sz w:val="24"/>
        </w:rPr>
        <w:t xml:space="preserve"> the TSCA Title VI rule.  As a result, it is assumed that </w:t>
      </w:r>
      <w:r w:rsidR="00953BEC" w:rsidRPr="002F1795">
        <w:rPr>
          <w:sz w:val="24"/>
        </w:rPr>
        <w:t>76</w:t>
      </w:r>
      <w:r w:rsidR="00A83DDA" w:rsidRPr="002F1795">
        <w:rPr>
          <w:sz w:val="24"/>
        </w:rPr>
        <w:t xml:space="preserve"> foreign </w:t>
      </w:r>
      <w:r w:rsidR="00B8630D" w:rsidRPr="002F1795">
        <w:rPr>
          <w:sz w:val="24"/>
        </w:rPr>
        <w:t>hardwood plywood</w:t>
      </w:r>
      <w:r w:rsidR="00A83DDA" w:rsidRPr="002F1795">
        <w:rPr>
          <w:sz w:val="24"/>
        </w:rPr>
        <w:t xml:space="preserve"> respondents (</w:t>
      </w:r>
      <w:r w:rsidR="00B37B7B" w:rsidRPr="002F1795">
        <w:rPr>
          <w:sz w:val="24"/>
        </w:rPr>
        <w:t>17.1</w:t>
      </w:r>
      <w:r w:rsidR="00A83DDA" w:rsidRPr="002F1795">
        <w:rPr>
          <w:sz w:val="24"/>
        </w:rPr>
        <w:t xml:space="preserve"> percent of </w:t>
      </w:r>
      <w:r w:rsidR="00B37B7B" w:rsidRPr="002F1795">
        <w:rPr>
          <w:sz w:val="24"/>
        </w:rPr>
        <w:t>the 448 foreign hardwood plywood mills with current CARB certification</w:t>
      </w:r>
      <w:r w:rsidR="00A83DDA" w:rsidRPr="002F1795">
        <w:rPr>
          <w:sz w:val="24"/>
        </w:rPr>
        <w:t>)</w:t>
      </w:r>
      <w:r w:rsidR="00B37B7B" w:rsidRPr="002F1795">
        <w:rPr>
          <w:sz w:val="24"/>
        </w:rPr>
        <w:t xml:space="preserve"> are currently NAF certified under CARB and will maintain NAF certification under the TSCA Title VI rule</w:t>
      </w:r>
      <w:r w:rsidR="00A83DDA" w:rsidRPr="002F1795">
        <w:rPr>
          <w:sz w:val="24"/>
        </w:rPr>
        <w:t xml:space="preserve">.     </w:t>
      </w:r>
    </w:p>
    <w:p w:rsidR="00A83DDA" w:rsidRPr="002F1795" w:rsidRDefault="00A83DDA" w:rsidP="00A83DDA">
      <w:pPr>
        <w:pStyle w:val="BodyText"/>
        <w:rPr>
          <w:sz w:val="24"/>
        </w:rPr>
      </w:pPr>
    </w:p>
    <w:p w:rsidR="00A83DDA" w:rsidRPr="002F1795" w:rsidRDefault="00A83DDA" w:rsidP="00A83DDA">
      <w:pPr>
        <w:pStyle w:val="BodyText"/>
        <w:rPr>
          <w:sz w:val="24"/>
          <w:u w:val="single"/>
        </w:rPr>
      </w:pPr>
      <w:r w:rsidRPr="002F1795">
        <w:rPr>
          <w:sz w:val="24"/>
          <w:u w:val="single"/>
        </w:rPr>
        <w:t>(A). All Respondents</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The burden associated with rule familiarization is presented first because this activity is common to all respondents.  Composite panel producers are presented separately from the other respondent types because they are subject to testing and certification requirements unique to their sector.  Since wood veneer laminated product producers will be defined as either hardwood plywood manufacturers or fabricators under the proposed rule (depending on the resin they use), they are discussed within the context of these respondent types. </w:t>
      </w:r>
    </w:p>
    <w:p w:rsidR="00A83DDA" w:rsidRPr="002F1795" w:rsidRDefault="00A83DDA" w:rsidP="00A83DDA">
      <w:pPr>
        <w:pStyle w:val="BodyText"/>
        <w:rPr>
          <w:sz w:val="24"/>
        </w:rPr>
      </w:pPr>
    </w:p>
    <w:p w:rsidR="00A83DDA" w:rsidRPr="002F1795" w:rsidRDefault="00A83DDA" w:rsidP="00A83DDA">
      <w:pPr>
        <w:pStyle w:val="BodyText"/>
        <w:rPr>
          <w:i/>
          <w:sz w:val="24"/>
        </w:rPr>
      </w:pPr>
      <w:r w:rsidRPr="002F1795">
        <w:rPr>
          <w:i/>
          <w:sz w:val="24"/>
        </w:rPr>
        <w:t>Rule Familiarization (Activity #1)</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All entities will need to familiarize themselves with the proposed regulation and either ensure that their current systems are sufficient for the requirements or identify necessary changes.  The analysis assumes that all respondents will spend </w:t>
      </w:r>
      <w:r w:rsidR="008D39DF" w:rsidRPr="002F1795">
        <w:rPr>
          <w:sz w:val="24"/>
        </w:rPr>
        <w:t xml:space="preserve">an average of </w:t>
      </w:r>
      <w:r w:rsidR="00A83DDA" w:rsidRPr="002F1795">
        <w:rPr>
          <w:sz w:val="24"/>
        </w:rPr>
        <w:t>4.0 managerial labor hours on rule familiarization.  This one-time burden is incurred during the first year.</w:t>
      </w:r>
    </w:p>
    <w:p w:rsidR="00A83DDA" w:rsidRPr="002F1795" w:rsidRDefault="00A83DDA" w:rsidP="00A920FD">
      <w:pPr>
        <w:pStyle w:val="BodyText"/>
        <w:rPr>
          <w:sz w:val="24"/>
        </w:rPr>
      </w:pPr>
      <w:r w:rsidRPr="002F1795">
        <w:rPr>
          <w:sz w:val="24"/>
        </w:rPr>
        <w:tab/>
      </w:r>
    </w:p>
    <w:p w:rsidR="00A83DDA" w:rsidRPr="002F1795" w:rsidRDefault="00A83DDA" w:rsidP="00A83DDA">
      <w:pPr>
        <w:numPr>
          <w:ilvl w:val="12"/>
          <w:numId w:val="0"/>
        </w:numPr>
        <w:rPr>
          <w:u w:val="single"/>
        </w:rPr>
      </w:pPr>
      <w:r w:rsidRPr="002F1795">
        <w:rPr>
          <w:u w:val="single"/>
        </w:rPr>
        <w:t>(B). Composite Panel Producers</w:t>
      </w:r>
    </w:p>
    <w:p w:rsidR="00A83DDA" w:rsidRPr="002F1795" w:rsidRDefault="00A83DDA" w:rsidP="00A83DDA">
      <w:pPr>
        <w:numPr>
          <w:ilvl w:val="12"/>
          <w:numId w:val="0"/>
        </w:numPr>
        <w:ind w:firstLine="720"/>
        <w:rPr>
          <w:u w:val="single"/>
        </w:rPr>
      </w:pPr>
    </w:p>
    <w:p w:rsidR="00A83DDA" w:rsidRPr="002F1795" w:rsidRDefault="00452741" w:rsidP="00A83DDA">
      <w:pPr>
        <w:pStyle w:val="BodyText"/>
        <w:rPr>
          <w:sz w:val="24"/>
        </w:rPr>
      </w:pPr>
      <w:r w:rsidRPr="002F1795">
        <w:rPr>
          <w:sz w:val="24"/>
        </w:rPr>
        <w:tab/>
      </w:r>
      <w:r w:rsidR="00A83DDA" w:rsidRPr="002F1795">
        <w:rPr>
          <w:sz w:val="24"/>
        </w:rPr>
        <w:t xml:space="preserve">In addition to rule familiarization, composite panel producers will also spend time on testing and certification, recordkeeping, and labeling activities.  This analysis assumes that mills making product lines that </w:t>
      </w:r>
      <w:r w:rsidR="0095064F" w:rsidRPr="002F1795">
        <w:rPr>
          <w:sz w:val="24"/>
        </w:rPr>
        <w:t xml:space="preserve">are certified </w:t>
      </w:r>
      <w:r w:rsidR="00A83DDA" w:rsidRPr="002F1795">
        <w:rPr>
          <w:sz w:val="24"/>
        </w:rPr>
        <w:t xml:space="preserve">under the CARB ATCM will not need to submit new data or resubmit existing data to their existing TPC in order to receive the equivalent certification under the TSCA Title VI regulations.  Thus, this ICR does not include burdens and costs for these reporting and recordkeeping activities where it is assumed the activities were already performed to comply with the CARB ATCM and will not need to be performed again.  This is consistent with the methodology used in the Economic Analysis for the proposed rule.  However, this ICR does include the burdens and costs of required activities that will continue to be performed under the TSCA Title VI rule, even if those activities would be performed regardless of the TSCA rule (i.e., to comply with the CARB ATCM).  This is different from the methodology in the Economic Analysis for the proposed rule, where the baseline included activities performed to comply with the CARB ATCM.  As a result, the Economic Analysis excluded the costs of activities that would be performed even without the TSCA rule.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In addition, this analysis assumes that two percent of wood veneer laminated product producers will continue to use added formaldehyde resins and thus be classified as hardwood plywood producers.  Since laminators are not certified under the CARB ATCM, these producers will incur additional costs due to the TSCA Title VI rule.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TSCA Title VI requires panel producers to perform formaldehyde emission testing on their composite wood products and obtain and maintain certification from an accredited TPC.  Panel producers must undergo qualifying tests at a TPC lab, obtain an on-site audit from a TPC, </w:t>
      </w:r>
      <w:r w:rsidR="00A83DDA" w:rsidRPr="002F1795">
        <w:rPr>
          <w:sz w:val="24"/>
        </w:rPr>
        <w:lastRenderedPageBreak/>
        <w:t>implement quality control systems, and train quality control employees in order to receive initial certification.  Once a TPC certifies a panel producer, that producer is required to conduct on-going small scale quality control testing, submit monthly reports to the TPC, and receive quarterly on-site audits and large scale testing to maintain its certified status.  Panel producers that make products with</w:t>
      </w:r>
      <w:r w:rsidR="00FD113E" w:rsidRPr="002F1795">
        <w:rPr>
          <w:sz w:val="24"/>
        </w:rPr>
        <w:t xml:space="preserve"> ULEF or</w:t>
      </w:r>
      <w:r w:rsidR="00A83DDA" w:rsidRPr="002F1795">
        <w:rPr>
          <w:sz w:val="24"/>
        </w:rPr>
        <w:t xml:space="preserve"> NAF resins and meet more stringent emissions limits may apply for exemptions from some of the on-going testing requirements. </w:t>
      </w:r>
    </w:p>
    <w:p w:rsidR="00A83DDA" w:rsidRPr="002F1795" w:rsidRDefault="00A83DDA" w:rsidP="00A83DDA">
      <w:pPr>
        <w:pStyle w:val="BodyText"/>
      </w:pPr>
    </w:p>
    <w:p w:rsidR="00A83DDA" w:rsidRPr="002F1795" w:rsidRDefault="00452741" w:rsidP="00A83DDA">
      <w:pPr>
        <w:pStyle w:val="BodyText"/>
        <w:rPr>
          <w:sz w:val="24"/>
        </w:rPr>
      </w:pPr>
      <w:r w:rsidRPr="002F1795">
        <w:rPr>
          <w:sz w:val="24"/>
        </w:rPr>
        <w:tab/>
      </w:r>
      <w:r w:rsidR="00A83DDA" w:rsidRPr="002F1795">
        <w:rPr>
          <w:sz w:val="24"/>
        </w:rPr>
        <w:t xml:space="preserve">NAF certification can be achieved by performing three months of routine small scale testing and one quarterly primary or secondary method test at the TPC. </w:t>
      </w:r>
      <w:r w:rsidR="00FD113E" w:rsidRPr="002F1795">
        <w:rPr>
          <w:sz w:val="24"/>
        </w:rPr>
        <w:t>ULEF certification can be achieved by performing six months of routine small scale testing and one quarterly primary or secondary method test at the TPC.</w:t>
      </w:r>
      <w:r w:rsidR="00A83DDA" w:rsidRPr="002F1795">
        <w:rPr>
          <w:sz w:val="24"/>
        </w:rPr>
        <w:t xml:space="preserve"> Product lines approved for </w:t>
      </w:r>
      <w:r w:rsidR="005212F7" w:rsidRPr="002F1795">
        <w:rPr>
          <w:sz w:val="24"/>
        </w:rPr>
        <w:t xml:space="preserve">ULEF or </w:t>
      </w:r>
      <w:r w:rsidR="00A83DDA" w:rsidRPr="002F1795">
        <w:rPr>
          <w:sz w:val="24"/>
        </w:rPr>
        <w:t xml:space="preserve">NAF certification are </w:t>
      </w:r>
      <w:r w:rsidR="001F5626" w:rsidRPr="002F1795">
        <w:rPr>
          <w:sz w:val="24"/>
        </w:rPr>
        <w:t xml:space="preserve">regulatorily </w:t>
      </w:r>
      <w:r w:rsidR="00A83DDA" w:rsidRPr="002F1795">
        <w:rPr>
          <w:sz w:val="24"/>
        </w:rPr>
        <w:t>exempt from routine small scale testing and quarterly primary or secondary method TPC testing for two years, after which point the mill may reapply for</w:t>
      </w:r>
      <w:r w:rsidR="005212F7" w:rsidRPr="002F1795">
        <w:rPr>
          <w:sz w:val="24"/>
        </w:rPr>
        <w:t xml:space="preserve"> a ULEF or</w:t>
      </w:r>
      <w:r w:rsidR="00A83DDA" w:rsidRPr="002F1795">
        <w:rPr>
          <w:sz w:val="24"/>
        </w:rPr>
        <w:t xml:space="preserve"> NAF certification by submitting the results of at least one primary or secondary method test</w:t>
      </w:r>
      <w:r w:rsidR="001F5626" w:rsidRPr="002F1795">
        <w:rPr>
          <w:sz w:val="24"/>
        </w:rPr>
        <w:t>.</w:t>
      </w:r>
      <w:r w:rsidR="00A83DDA" w:rsidRPr="002F1795">
        <w:rPr>
          <w:sz w:val="24"/>
        </w:rPr>
        <w:t xml:space="preserve"> </w:t>
      </w:r>
      <w:r w:rsidR="001F5626" w:rsidRPr="002F1795">
        <w:rPr>
          <w:sz w:val="24"/>
        </w:rPr>
        <w:t xml:space="preserve"> H</w:t>
      </w:r>
      <w:r w:rsidR="00A83DDA" w:rsidRPr="002F1795">
        <w:rPr>
          <w:sz w:val="24"/>
        </w:rPr>
        <w:t xml:space="preserve">owever, </w:t>
      </w:r>
      <w:r w:rsidR="001F5626" w:rsidRPr="002F1795">
        <w:rPr>
          <w:sz w:val="24"/>
        </w:rPr>
        <w:t xml:space="preserve">because some TPC requirements are more stringent than the rule, </w:t>
      </w:r>
      <w:r w:rsidR="00A83DDA" w:rsidRPr="002F1795">
        <w:rPr>
          <w:sz w:val="24"/>
        </w:rPr>
        <w:t xml:space="preserve">this analysis assumes that </w:t>
      </w:r>
      <w:r w:rsidR="000F0DFE" w:rsidRPr="002F1795">
        <w:rPr>
          <w:sz w:val="24"/>
        </w:rPr>
        <w:t>ULEF product</w:t>
      </w:r>
      <w:r w:rsidR="001F5626" w:rsidRPr="002F1795">
        <w:rPr>
          <w:sz w:val="24"/>
        </w:rPr>
        <w:t xml:space="preserve"> line</w:t>
      </w:r>
      <w:r w:rsidR="000F0DFE" w:rsidRPr="002F1795">
        <w:rPr>
          <w:sz w:val="24"/>
        </w:rPr>
        <w:t xml:space="preserve">s will receive quarterly TPC testing, and that ULEF and </w:t>
      </w:r>
      <w:r w:rsidR="00A83DDA" w:rsidRPr="002F1795">
        <w:rPr>
          <w:sz w:val="24"/>
        </w:rPr>
        <w:t xml:space="preserve">NAF-certified mills will undertake a TPC audit annually.  Where the frequency of testing is different for composite panel producers with </w:t>
      </w:r>
      <w:r w:rsidR="005212F7" w:rsidRPr="002F1795">
        <w:rPr>
          <w:sz w:val="24"/>
        </w:rPr>
        <w:t xml:space="preserve">ULEF, </w:t>
      </w:r>
      <w:r w:rsidR="00347DB8" w:rsidRPr="002F1795">
        <w:rPr>
          <w:sz w:val="24"/>
        </w:rPr>
        <w:t xml:space="preserve">NAF </w:t>
      </w:r>
      <w:r w:rsidR="00A83DDA" w:rsidRPr="002F1795">
        <w:rPr>
          <w:sz w:val="24"/>
        </w:rPr>
        <w:t xml:space="preserve">and standard certification, these groups are presented separately. </w:t>
      </w:r>
    </w:p>
    <w:p w:rsidR="00A83DDA" w:rsidRPr="002F1795" w:rsidRDefault="00A83DDA" w:rsidP="00A83DDA">
      <w:pPr>
        <w:pStyle w:val="BodyText"/>
        <w:rPr>
          <w:sz w:val="24"/>
        </w:rPr>
      </w:pPr>
    </w:p>
    <w:p w:rsidR="00A83DDA" w:rsidRPr="002F1795" w:rsidRDefault="00A83DDA" w:rsidP="00A83DDA">
      <w:pPr>
        <w:pStyle w:val="BodyText"/>
        <w:rPr>
          <w:i/>
          <w:sz w:val="24"/>
        </w:rPr>
      </w:pPr>
      <w:r w:rsidRPr="002F1795">
        <w:rPr>
          <w:i/>
          <w:sz w:val="24"/>
        </w:rPr>
        <w:t>Initial On-site Audit (Activity #3)</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Prior to certification, the TPC is expected to make at least one trip to the mill to inspect the mill’s quality control systems and employees.  During the initial visit, the TPC will assist the mill in setting up quality control systems, including the small scale testing facility, if applicable, and methods for selecting samples.  Audits typically do not take more than one day of travel and visitation, though if the mill requires a substantial number of modifications or is unprepared, the duration of the visit may be longer.</w:t>
      </w:r>
      <w:r w:rsidR="00A83DDA" w:rsidRPr="002F1795">
        <w:rPr>
          <w:rStyle w:val="FootnoteReference"/>
          <w:sz w:val="24"/>
          <w:vertAlign w:val="superscript"/>
        </w:rPr>
        <w:footnoteReference w:id="7"/>
      </w:r>
      <w:r w:rsidR="00A83DDA" w:rsidRPr="002F1795">
        <w:rPr>
          <w:sz w:val="24"/>
          <w:vertAlign w:val="superscript"/>
        </w:rPr>
        <w:t xml:space="preserve"> </w:t>
      </w:r>
      <w:r w:rsidR="00A83DDA" w:rsidRPr="002F1795">
        <w:rPr>
          <w:sz w:val="24"/>
        </w:rPr>
        <w:t xml:space="preserve"> This analysis assumes that a managerial-level employee will be present for eight hours during the initial on-site audit of mills.  It is assumed that the initial quality control audit (see below) is sufficient for mills with existing CARB certifications.  </w:t>
      </w:r>
    </w:p>
    <w:p w:rsidR="00A83DDA" w:rsidRPr="002F1795" w:rsidRDefault="00A83DDA" w:rsidP="00A83DDA">
      <w:pPr>
        <w:pStyle w:val="BodyText"/>
        <w:rPr>
          <w:sz w:val="24"/>
        </w:rPr>
      </w:pPr>
    </w:p>
    <w:p w:rsidR="00A83DDA" w:rsidRPr="002F1795" w:rsidRDefault="00A83DDA" w:rsidP="00A83DDA">
      <w:pPr>
        <w:pStyle w:val="BodyText"/>
        <w:rPr>
          <w:i/>
          <w:sz w:val="24"/>
        </w:rPr>
      </w:pPr>
      <w:r w:rsidRPr="002F1795">
        <w:rPr>
          <w:i/>
          <w:sz w:val="24"/>
        </w:rPr>
        <w:t>Quality Control Systems Development (Activity #4)</w:t>
      </w:r>
    </w:p>
    <w:p w:rsidR="00A83DDA" w:rsidRPr="002F1795" w:rsidRDefault="00A83DDA" w:rsidP="00A83DDA">
      <w:pPr>
        <w:pStyle w:val="BodyText"/>
        <w:rPr>
          <w:i/>
          <w:sz w:val="24"/>
        </w:rPr>
      </w:pPr>
    </w:p>
    <w:p w:rsidR="00A83DDA" w:rsidRPr="002F1795" w:rsidRDefault="00452741" w:rsidP="00A83DDA">
      <w:pPr>
        <w:pStyle w:val="BodyText"/>
        <w:rPr>
          <w:sz w:val="24"/>
        </w:rPr>
      </w:pPr>
      <w:r w:rsidRPr="002F1795">
        <w:rPr>
          <w:sz w:val="24"/>
        </w:rPr>
        <w:tab/>
      </w:r>
      <w:r w:rsidR="00A83DDA" w:rsidRPr="002F1795">
        <w:rPr>
          <w:sz w:val="24"/>
        </w:rPr>
        <w:t xml:space="preserve">Mills are required to implement quality control procedures to ensure that all certified products consistently meet the applicable emissions standards.  In addition, mills are required to designate a quality control manager and quality control employees, if needed.  The quality control manager must have adequate training or experience to handle all quality control procedures, including on-site testing and shipping samples for TPC testing.  All quality control procedures and designated quality control personnel must be identified in a quality control manual.  Prior to the mill’s initial certification, the TPC will assist mills in developing and documenting appropriate quality control </w:t>
      </w:r>
      <w:proofErr w:type="gramStart"/>
      <w:r w:rsidR="00A83DDA" w:rsidRPr="002F1795">
        <w:rPr>
          <w:sz w:val="24"/>
        </w:rPr>
        <w:t>procedures.</w:t>
      </w:r>
      <w:proofErr w:type="gramEnd"/>
      <w:r w:rsidR="00A83DDA" w:rsidRPr="002F1795">
        <w:rPr>
          <w:sz w:val="24"/>
        </w:rPr>
        <w:t xml:space="preserve">  In some cases, the mill’s resin supplier will also help to train quality control employees and develop quality control procedures.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Based on conversations with CPA, HPVA, and composite wood manufacturers, it is assumed that  training, implementing quality control systems, and developing the quality control </w:t>
      </w:r>
      <w:r w:rsidR="00A83DDA" w:rsidRPr="002F1795">
        <w:rPr>
          <w:sz w:val="24"/>
        </w:rPr>
        <w:lastRenderedPageBreak/>
        <w:t xml:space="preserve">manual could take between one and five days to complete, depending on the mill’s existing quality control systems.  HPVA and CPA noted that smaller mills often do not have quality control systems in place and that developing these systems can be a time-consuming process.  This analysis assumes that a managerial-level employee will spend forty hours training, becoming familiarized with the testing and certification requirements, writing the quality control manual, and setting up quality control systems and testing procedures.  It also assumes that mills with existing certifications will have quality control systems in place and so will not need to spend time on these activities.  </w:t>
      </w:r>
    </w:p>
    <w:p w:rsidR="00A83DDA" w:rsidRPr="002F1795" w:rsidRDefault="00A83DDA" w:rsidP="00A83DDA">
      <w:pPr>
        <w:pStyle w:val="BodyText"/>
        <w:rPr>
          <w:sz w:val="24"/>
        </w:rPr>
      </w:pPr>
    </w:p>
    <w:p w:rsidR="00A83DDA" w:rsidRPr="002F1795" w:rsidRDefault="00A83DDA" w:rsidP="00A83DDA">
      <w:pPr>
        <w:pStyle w:val="BodyText"/>
        <w:rPr>
          <w:i/>
          <w:sz w:val="24"/>
        </w:rPr>
      </w:pPr>
      <w:r w:rsidRPr="002F1795">
        <w:rPr>
          <w:i/>
          <w:sz w:val="24"/>
        </w:rPr>
        <w:t>Qualifying Test (Activities #5 and #6)</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Composite panel producers are required to obtain five qualifying tests for each product type (e.g., veneer core hardwood plywood) and production line for which certification is sought.  A TPC employee must select and mark the panels to be tested during the initial mill audit, with at least one panel being selected for each test.  After panel selection has occurred, the mill must ship the marked panels to the TPC for large scale testing.</w:t>
      </w:r>
      <w:r w:rsidR="00A83DDA" w:rsidRPr="002F1795">
        <w:rPr>
          <w:rStyle w:val="FootnoteReference"/>
          <w:sz w:val="24"/>
          <w:vertAlign w:val="superscript"/>
        </w:rPr>
        <w:footnoteReference w:id="8"/>
      </w:r>
      <w:r w:rsidR="00A83DDA" w:rsidRPr="002F1795">
        <w:rPr>
          <w:sz w:val="24"/>
        </w:rPr>
        <w:t xml:space="preserve">  Results from the five large chamber tests must not exceed the emission standards for each product type and production line.  Mills are expected to ship at least five 4’ x 8’ panels for each product type via a commercial shipping carrier.  Panels must be dead-stacked (i.e., having no layers between panels), bundled air-tight, wrapped in polyethylene, and protected by cover sheets.  The analysis assumes that it will take a managerial-level employee half an hour to prepare the panels for shipping.</w:t>
      </w:r>
      <w:r w:rsidR="00A83DDA" w:rsidRPr="002F1795" w:rsidDel="00654DE7">
        <w:rPr>
          <w:sz w:val="24"/>
        </w:rPr>
        <w:t xml:space="preserve"> </w:t>
      </w:r>
      <w:r w:rsidR="00A83DDA" w:rsidRPr="002F1795">
        <w:rPr>
          <w:sz w:val="24"/>
        </w:rPr>
        <w:t xml:space="preserve"> Producers that are already CARB compliant and are not expected to adopt a more stringent certification type thus will not incur this burden.</w:t>
      </w:r>
    </w:p>
    <w:p w:rsidR="00A83DDA" w:rsidRPr="002F1795" w:rsidRDefault="00A83DDA" w:rsidP="00A83DDA">
      <w:pPr>
        <w:pStyle w:val="BodyText"/>
        <w:rPr>
          <w:sz w:val="24"/>
        </w:rPr>
      </w:pPr>
    </w:p>
    <w:p w:rsidR="00A83DDA" w:rsidRPr="002F1795" w:rsidRDefault="00A83DDA" w:rsidP="00A83DDA">
      <w:pPr>
        <w:pStyle w:val="BodyText"/>
        <w:rPr>
          <w:i/>
          <w:sz w:val="24"/>
        </w:rPr>
      </w:pPr>
      <w:r w:rsidRPr="002F1795">
        <w:rPr>
          <w:i/>
          <w:sz w:val="24"/>
        </w:rPr>
        <w:t>Quality Control Audits (Activities #8 and #11)</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 After certification has been granted, the TPC is obligated to perform an on-site audit at least once quarterly, unless the mill obtains </w:t>
      </w:r>
      <w:r w:rsidR="00AB5B45" w:rsidRPr="002F1795">
        <w:rPr>
          <w:sz w:val="24"/>
        </w:rPr>
        <w:t xml:space="preserve">ULEF or </w:t>
      </w:r>
      <w:r w:rsidR="00A83DDA" w:rsidRPr="002F1795">
        <w:rPr>
          <w:sz w:val="24"/>
        </w:rPr>
        <w:t xml:space="preserve">NAF certification.  TPCs may also conduct periodic “desk audits,” which are quality control checks performed over the phone in which the mill’s small scale testing procedures and data are reviewed.  Desk audits are assumed to occur monthly, except in months with quarterly on-site audits.  This analysis assumes that a managerial-level employee will be present for four hours for every on-site quality control audit, and one hour for each desk audit.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This analysis assumes that producers with new NAF certifications will incur the burden associated with one on-site audit (in addition to the initial audit) and two desk audits in the first year.  The initial on-site audit is assumed to be sufficient for producers with existing</w:t>
      </w:r>
      <w:r w:rsidR="00D4170A" w:rsidRPr="002F1795">
        <w:rPr>
          <w:sz w:val="24"/>
        </w:rPr>
        <w:t xml:space="preserve"> ULEF and</w:t>
      </w:r>
      <w:r w:rsidR="00A83DDA" w:rsidRPr="002F1795">
        <w:rPr>
          <w:sz w:val="24"/>
        </w:rPr>
        <w:t xml:space="preserve"> NAF certifications.  All</w:t>
      </w:r>
      <w:r w:rsidR="00D4170A" w:rsidRPr="002F1795">
        <w:rPr>
          <w:sz w:val="24"/>
        </w:rPr>
        <w:t xml:space="preserve"> ULEF and</w:t>
      </w:r>
      <w:r w:rsidR="00A83DDA" w:rsidRPr="002F1795">
        <w:rPr>
          <w:sz w:val="24"/>
        </w:rPr>
        <w:t xml:space="preserve"> NAF-certified producers will have one on-site audit annually thereafter.</w:t>
      </w:r>
    </w:p>
    <w:p w:rsidR="00A83DDA" w:rsidRPr="002F1795" w:rsidRDefault="00A83DDA" w:rsidP="00A83DDA">
      <w:pPr>
        <w:pStyle w:val="BodyText"/>
        <w:rPr>
          <w:sz w:val="24"/>
        </w:rPr>
      </w:pPr>
    </w:p>
    <w:p w:rsidR="00A83DDA" w:rsidRPr="002F1795" w:rsidRDefault="00A83DDA" w:rsidP="00A83DDA">
      <w:pPr>
        <w:pStyle w:val="BodyText"/>
        <w:rPr>
          <w:i/>
          <w:sz w:val="24"/>
        </w:rPr>
      </w:pPr>
      <w:r w:rsidRPr="002F1795">
        <w:rPr>
          <w:i/>
          <w:sz w:val="24"/>
        </w:rPr>
        <w:t>Quality Control Testing (Activity #14)</w:t>
      </w:r>
    </w:p>
    <w:p w:rsidR="00A83DDA" w:rsidRPr="002F1795" w:rsidRDefault="00A83DDA" w:rsidP="00A83DDA">
      <w:pPr>
        <w:pStyle w:val="BodyText"/>
        <w:rPr>
          <w:i/>
          <w:sz w:val="24"/>
        </w:rPr>
      </w:pPr>
    </w:p>
    <w:p w:rsidR="00A83DDA" w:rsidRPr="002F1795" w:rsidRDefault="00452741" w:rsidP="00A83DDA">
      <w:pPr>
        <w:pStyle w:val="BodyText"/>
        <w:rPr>
          <w:sz w:val="24"/>
        </w:rPr>
      </w:pPr>
      <w:r w:rsidRPr="002F1795">
        <w:rPr>
          <w:sz w:val="24"/>
        </w:rPr>
        <w:tab/>
      </w:r>
      <w:r w:rsidR="00A83DDA" w:rsidRPr="002F1795">
        <w:rPr>
          <w:sz w:val="24"/>
        </w:rPr>
        <w:t xml:space="preserve">Mills must also perform on-going quality control testing on the applicable products.  </w:t>
      </w:r>
      <w:r w:rsidR="00A83DDA" w:rsidRPr="002F1795">
        <w:rPr>
          <w:sz w:val="24"/>
        </w:rPr>
        <w:lastRenderedPageBreak/>
        <w:t xml:space="preserve">Quality control testing is typically performed using a small chamber test (ASTM D6007) or desiccator test (ASTM D5582).  These tests require smaller test samples and can be conducted at the TPC facility or on-site at a TPC-approved lab at the composite wood mill.  The TPC must develop a statistical correlation between the large scale and small scale test methods using a minimum of five data pairs.  It is assumed that mills will need to obtain all five data pairs during qualifying testing, though it is possible that some mills may be able to use previous test results or data obtained from the resin manufacturer.  Each large chamber test requires results from one small chamber test or three desiccator tests to calculate the correlation.  This analysis assumes that the TPC will perform desiccator testing for half of the mills and small chamber testing for the other half during qualification when small scale testing is performed at the TPC.  Thus, if the TPC performs 5 large chamber tests, it would also perform either 15 desiccator tests or 5 small chamber tests. </w:t>
      </w:r>
    </w:p>
    <w:p w:rsidR="00A83DDA" w:rsidRPr="002F1795" w:rsidRDefault="00A83DDA" w:rsidP="00A83DDA">
      <w:pPr>
        <w:pStyle w:val="BodyText"/>
        <w:rPr>
          <w:sz w:val="24"/>
        </w:rPr>
      </w:pPr>
    </w:p>
    <w:p w:rsidR="00A83DDA" w:rsidRPr="002F1795" w:rsidRDefault="00A83DDA" w:rsidP="00A83DDA">
      <w:pPr>
        <w:pStyle w:val="NormalWeb"/>
        <w:spacing w:before="0" w:beforeAutospacing="0" w:after="0" w:afterAutospacing="0"/>
        <w:ind w:firstLine="720"/>
      </w:pPr>
      <w:r w:rsidRPr="002F1795">
        <w:t xml:space="preserve">Mills have the option of constructing an on-site lab and having it approved by a TPC, or contracting a certified third-party lab to perform small scale quality control testing.  The decision to perform on-site testing is dependent on the relative costs of building and running an on-site lab, and the fees and shipping costs associated with hiring a third-party lab.  According to CPA and HPVA, particleboard and MDF mills already have their own on-site labs to test for formaldehyde (because they have to test their products on a daily basis under the CARB ATCM), while </w:t>
      </w:r>
      <w:proofErr w:type="gramStart"/>
      <w:r w:rsidRPr="002F1795">
        <w:t>most smaller</w:t>
      </w:r>
      <w:proofErr w:type="gramEnd"/>
      <w:r w:rsidRPr="002F1795">
        <w:t xml:space="preserve"> hardwood plywood mills pay their TPC to conduct their quality control testing.  (In part because hardwood plywood mills often use ULEF or NAF resins to qualify for exemptions from some of the on-going testing requirements under the CARB ATCM.) However, the CARB ATCM allows mills to ship panels from certified product lines before test results are available.  By contrast, the proposed TSCA VI rule requires mills to wait until test results indicate that the emissions standards have been met before shipping a lot that has been tested.  It is uncertain how often mills currently ship product from a lot being tested before the test results are available and therefore it is uncertain how mills will choose to comply with this requirement.  It may be the case that some mills normally maintain a level of inventory where they would typically not ship any panels before test results have been determined for that lot, but other mills may ship out panels on the same day they are produced.  This analysis assumes that all mills that have not already done so will opt to set up and operate a quality control testing facility on-site, in order to minimize the time spent waiting for test results, and to maximize their flexibility to ship out panels shortly after they have been produced.  (Assuming that mills conduct on-site testing may overstate the costs of this requirement if some mills find it more cost effective to hold products in inventory until test results have been determined by an outside lab.)  Producers that are already CARB compliant and are not expected to adopt a more stringent certification type (e.g., NAF) will not need to perform correlation testing.</w:t>
      </w:r>
      <w:r w:rsidRPr="002F1795">
        <w:rPr>
          <w:szCs w:val="20"/>
        </w:rPr>
        <w:t xml:space="preserve">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The frequency of small scale testing without </w:t>
      </w:r>
      <w:r w:rsidR="000E5F05" w:rsidRPr="002F1795">
        <w:rPr>
          <w:sz w:val="24"/>
        </w:rPr>
        <w:t xml:space="preserve">ULEF or </w:t>
      </w:r>
      <w:r w:rsidR="00A83DDA" w:rsidRPr="002F1795">
        <w:rPr>
          <w:sz w:val="24"/>
        </w:rPr>
        <w:t>NAF certification depends on the product type and other factors.  For hardwood plywood producers, the frequency of testing depends upon the volume of hardwood plywood produced weekly at each plant.  Plants producing less than 100 thousand square feet (</w:t>
      </w:r>
      <w:proofErr w:type="spellStart"/>
      <w:r w:rsidR="00A83DDA" w:rsidRPr="002F1795">
        <w:rPr>
          <w:sz w:val="24"/>
        </w:rPr>
        <w:t>msf</w:t>
      </w:r>
      <w:proofErr w:type="spellEnd"/>
      <w:r w:rsidR="00A83DDA" w:rsidRPr="002F1795">
        <w:rPr>
          <w:sz w:val="24"/>
        </w:rPr>
        <w:t xml:space="preserve">) per week are required to test once per 100 </w:t>
      </w:r>
      <w:proofErr w:type="spellStart"/>
      <w:r w:rsidR="00A83DDA" w:rsidRPr="002F1795">
        <w:rPr>
          <w:sz w:val="24"/>
        </w:rPr>
        <w:t>msf</w:t>
      </w:r>
      <w:proofErr w:type="spellEnd"/>
      <w:r w:rsidR="00A83DDA" w:rsidRPr="002F1795">
        <w:rPr>
          <w:sz w:val="24"/>
        </w:rPr>
        <w:t xml:space="preserve">.  Plants producing between 100 </w:t>
      </w:r>
      <w:proofErr w:type="spellStart"/>
      <w:r w:rsidR="00A83DDA" w:rsidRPr="002F1795">
        <w:rPr>
          <w:sz w:val="24"/>
        </w:rPr>
        <w:t>msf</w:t>
      </w:r>
      <w:proofErr w:type="spellEnd"/>
      <w:r w:rsidR="00A83DDA" w:rsidRPr="002F1795">
        <w:rPr>
          <w:sz w:val="24"/>
        </w:rPr>
        <w:t xml:space="preserve"> and 200 thousand square feet (</w:t>
      </w:r>
      <w:proofErr w:type="spellStart"/>
      <w:r w:rsidR="00A83DDA" w:rsidRPr="002F1795">
        <w:rPr>
          <w:sz w:val="24"/>
        </w:rPr>
        <w:t>msf</w:t>
      </w:r>
      <w:proofErr w:type="spellEnd"/>
      <w:r w:rsidR="00A83DDA" w:rsidRPr="002F1795">
        <w:rPr>
          <w:sz w:val="24"/>
        </w:rPr>
        <w:t xml:space="preserve">) per week are required to test once, plants producing between 200 </w:t>
      </w:r>
      <w:proofErr w:type="spellStart"/>
      <w:r w:rsidR="00A83DDA" w:rsidRPr="002F1795">
        <w:rPr>
          <w:sz w:val="24"/>
        </w:rPr>
        <w:t>msf</w:t>
      </w:r>
      <w:proofErr w:type="spellEnd"/>
      <w:r w:rsidR="00A83DDA" w:rsidRPr="002F1795">
        <w:rPr>
          <w:sz w:val="24"/>
        </w:rPr>
        <w:t xml:space="preserve"> and 400 </w:t>
      </w:r>
      <w:proofErr w:type="spellStart"/>
      <w:r w:rsidR="00A83DDA" w:rsidRPr="002F1795">
        <w:rPr>
          <w:sz w:val="24"/>
        </w:rPr>
        <w:t>msf</w:t>
      </w:r>
      <w:proofErr w:type="spellEnd"/>
      <w:r w:rsidR="00A83DDA" w:rsidRPr="002F1795">
        <w:rPr>
          <w:sz w:val="24"/>
        </w:rPr>
        <w:t xml:space="preserve"> per week are required to test twice per week, and those producing greater than 400 </w:t>
      </w:r>
      <w:proofErr w:type="spellStart"/>
      <w:r w:rsidR="00A83DDA" w:rsidRPr="002F1795">
        <w:rPr>
          <w:sz w:val="24"/>
        </w:rPr>
        <w:t>msf</w:t>
      </w:r>
      <w:proofErr w:type="spellEnd"/>
      <w:r w:rsidR="00A83DDA" w:rsidRPr="002F1795">
        <w:rPr>
          <w:sz w:val="24"/>
        </w:rPr>
        <w:t xml:space="preserve"> per week are required to test four times per week.  Particleboard and MDF producers must test samples at least once per eight or </w:t>
      </w:r>
      <w:r w:rsidR="00A83DDA" w:rsidRPr="002F1795">
        <w:rPr>
          <w:sz w:val="24"/>
        </w:rPr>
        <w:lastRenderedPageBreak/>
        <w:t xml:space="preserve">twelve hour shift, but this frequency may be reduced to one test per forty-eight hours if the plant or production line has shown consistent operations and low variability of test results.  This analysis makes the simplifying assumption that all producers will test each production line once daily.   This results in a conservative estimate of the burden and cost of quality control testing for hardwood plywood producers.  It is assumed that the quality control manager will spend two hours each day performing routine quality control testing.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As previously stated, composite panel producers need to perform 3 months of routine small scale testing to become NAF certified.  As a result, it is assumed that </w:t>
      </w:r>
      <w:r w:rsidR="008002A7" w:rsidRPr="002F1795">
        <w:rPr>
          <w:sz w:val="24"/>
        </w:rPr>
        <w:t xml:space="preserve">new NAF </w:t>
      </w:r>
      <w:r w:rsidR="00A83DDA" w:rsidRPr="002F1795">
        <w:rPr>
          <w:sz w:val="24"/>
        </w:rPr>
        <w:t>producers will perform 65 daily quality control tests (assuming that the plants are in operation 5 days per week).  It is assumed that producers with existing</w:t>
      </w:r>
      <w:r w:rsidR="000E5F05" w:rsidRPr="002F1795">
        <w:rPr>
          <w:sz w:val="24"/>
        </w:rPr>
        <w:t xml:space="preserve"> ULEF or</w:t>
      </w:r>
      <w:r w:rsidR="00A83DDA" w:rsidRPr="002F1795">
        <w:rPr>
          <w:sz w:val="24"/>
        </w:rPr>
        <w:t xml:space="preserve"> NAF certifications will not incur the burden associated with initial quality control testing.  </w:t>
      </w:r>
      <w:r w:rsidR="000E5F05" w:rsidRPr="002F1795">
        <w:rPr>
          <w:sz w:val="24"/>
        </w:rPr>
        <w:t xml:space="preserve">ULEF and </w:t>
      </w:r>
      <w:r w:rsidR="00A83DDA" w:rsidRPr="002F1795">
        <w:rPr>
          <w:sz w:val="24"/>
        </w:rPr>
        <w:t>NAF certified producers will not incur any additional burden associated with quality control testing in subsequent years.  Note that the numbers of quality control testing responses are presented at the product line level; as a result, the per-response burdens have been modified accordingly.</w:t>
      </w:r>
    </w:p>
    <w:p w:rsidR="00A83DDA" w:rsidRPr="002F1795" w:rsidRDefault="00A83DDA" w:rsidP="00A83DDA">
      <w:pPr>
        <w:numPr>
          <w:ilvl w:val="12"/>
          <w:numId w:val="0"/>
        </w:numPr>
        <w:rPr>
          <w:u w:val="single"/>
        </w:rPr>
      </w:pPr>
    </w:p>
    <w:p w:rsidR="00A83DDA" w:rsidRPr="002F1795" w:rsidRDefault="00A83DDA" w:rsidP="00A83DDA">
      <w:pPr>
        <w:pStyle w:val="BodyText"/>
        <w:rPr>
          <w:i/>
          <w:sz w:val="24"/>
        </w:rPr>
      </w:pPr>
      <w:r w:rsidRPr="002F1795">
        <w:rPr>
          <w:i/>
          <w:sz w:val="24"/>
        </w:rPr>
        <w:t>Recurring Recordkeeping (Activity #17)</w:t>
      </w:r>
    </w:p>
    <w:p w:rsidR="00A83DDA" w:rsidRPr="002F1795" w:rsidRDefault="00A83DDA" w:rsidP="00A83DDA">
      <w:pPr>
        <w:numPr>
          <w:ilvl w:val="12"/>
          <w:numId w:val="0"/>
        </w:numPr>
        <w:rPr>
          <w:u w:val="single"/>
        </w:rPr>
      </w:pPr>
    </w:p>
    <w:p w:rsidR="00A83DDA" w:rsidRPr="002F1795" w:rsidRDefault="00452741" w:rsidP="00A83DDA">
      <w:pPr>
        <w:pStyle w:val="BodyText"/>
        <w:rPr>
          <w:sz w:val="24"/>
        </w:rPr>
      </w:pPr>
      <w:r w:rsidRPr="002F1795">
        <w:rPr>
          <w:sz w:val="24"/>
        </w:rPr>
        <w:tab/>
      </w:r>
      <w:r w:rsidR="00A83DDA" w:rsidRPr="002F1795">
        <w:rPr>
          <w:sz w:val="24"/>
        </w:rPr>
        <w:t xml:space="preserve">Panel producers are assumed to incur an average labor burden of one hour of managerial labor per week (equivalent to $3,710.72 per year) to maintain the following records for </w:t>
      </w:r>
      <w:r w:rsidR="000E5F05" w:rsidRPr="002F1795">
        <w:rPr>
          <w:sz w:val="24"/>
        </w:rPr>
        <w:t>3</w:t>
      </w:r>
      <w:r w:rsidR="00A83DDA" w:rsidRPr="002F1795">
        <w:rPr>
          <w:sz w:val="24"/>
        </w:rPr>
        <w:t xml:space="preserve"> years:</w:t>
      </w:r>
    </w:p>
    <w:p w:rsidR="00A83DDA" w:rsidRPr="002F1795" w:rsidRDefault="00A83DDA" w:rsidP="00A83DDA">
      <w:pPr>
        <w:pStyle w:val="BodyText"/>
        <w:rPr>
          <w:sz w:val="24"/>
        </w:rPr>
      </w:pP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Records of quarterly emission testing and quality control testing that identify the accredited third-party certifier conducting or overseeing the testing and the laboratory or quality control facility actually performing the testing.  These records must also include the date, the product type tested, the lot or batch number that the tested material represents, the test method used, and the test results;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Production records, including a description of the composite wood product(s), the date of manufacture, lot or batch numbers, the amount of resin use by volume and weight, the resin trade name, resin manufacturer and supplier contact information, and tracking information allowing each product to be traced to a specific lot number or batch produced;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Records demonstrating initial and continued eligibility for the reduced testing provisions for products made with </w:t>
      </w:r>
      <w:r w:rsidR="000E5F05" w:rsidRPr="002F1795">
        <w:rPr>
          <w:sz w:val="24"/>
        </w:rPr>
        <w:t xml:space="preserve">ultra-low formaldehyde or </w:t>
      </w:r>
      <w:r w:rsidRPr="002F1795">
        <w:rPr>
          <w:sz w:val="24"/>
        </w:rPr>
        <w:t xml:space="preserve">no-added formaldehyde-based resins, if applicable;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Records of changes in production, including changes in resin use, resin composition, and changes in the process, such as changes in press time;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Purchaser information for each composite wood product, if applicable, including the name, contact person, address, phone number, e-mail address if available, purchase order or invoice number, and amount purchased;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Transporter information for each composite wood product, if applicable, including name, contact person, address, phone number, e-mail address if available, and shipping invoice number;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Information on the disposition of non-complying lots, including product type and amount of composite wood products affected, lot or batch numbers, mitigation measures used, results of retesting, and final disposition;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Copies of labels used;</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lastRenderedPageBreak/>
        <w:t xml:space="preserve">Panel producers are required to maintain an up-to-date quality control manual on their premises; and </w:t>
      </w:r>
    </w:p>
    <w:p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Panel producers are required to maintain the credentials of their quality control managers and quality control employees for as long as employees are serving in a quality control capacity.</w:t>
      </w:r>
    </w:p>
    <w:p w:rsidR="00A83DDA" w:rsidRPr="002F1795" w:rsidRDefault="00A83DDA" w:rsidP="00A83DDA">
      <w:pPr>
        <w:numPr>
          <w:ilvl w:val="12"/>
          <w:numId w:val="0"/>
        </w:numPr>
      </w:pPr>
    </w:p>
    <w:p w:rsidR="00A83DDA" w:rsidRPr="002F1795" w:rsidRDefault="00A83DDA" w:rsidP="00A83DDA">
      <w:pPr>
        <w:pStyle w:val="BodyText"/>
        <w:rPr>
          <w:i/>
          <w:sz w:val="24"/>
        </w:rPr>
      </w:pPr>
      <w:r w:rsidRPr="002F1795">
        <w:rPr>
          <w:i/>
          <w:sz w:val="24"/>
        </w:rPr>
        <w:t>Initial Labeling (Activity #18)</w:t>
      </w:r>
    </w:p>
    <w:p w:rsidR="00A83DDA" w:rsidRPr="002F1795" w:rsidRDefault="00A83DDA" w:rsidP="00A83DDA">
      <w:pPr>
        <w:numPr>
          <w:ilvl w:val="12"/>
          <w:numId w:val="0"/>
        </w:numPr>
      </w:pPr>
    </w:p>
    <w:p w:rsidR="00A83DDA" w:rsidRPr="002F1795" w:rsidRDefault="00452741" w:rsidP="00A83DDA">
      <w:pPr>
        <w:pStyle w:val="BodyText"/>
        <w:rPr>
          <w:sz w:val="24"/>
        </w:rPr>
      </w:pPr>
      <w:r w:rsidRPr="002F1795">
        <w:rPr>
          <w:sz w:val="24"/>
        </w:rPr>
        <w:tab/>
      </w:r>
      <w:r w:rsidR="00A83DDA" w:rsidRPr="002F1795">
        <w:rPr>
          <w:sz w:val="24"/>
        </w:rPr>
        <w:t xml:space="preserve">It is assumed that panel producers, for whom product labeling is a customary business practice, will incur the incremental costs of 6 hours of clerical labor for changing their labels twice.  They may need to change their labels once before the effective date of the rule (to indicate that the panels were produced before that date if they are to be sold after the rule goes into effect) and again after their product lines are certified.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To remain consistent with the Economic Analysis, wood veneer laminated product producers defined as hardwood plywood producers are assumed to incur the same burden as the fabricators who are assumed to incur more substantial initial labeling costs (an average of 100 hours of technical labor) (see below).    </w:t>
      </w:r>
    </w:p>
    <w:p w:rsidR="00A83DDA" w:rsidRPr="002F1795" w:rsidRDefault="00A83DDA" w:rsidP="00A83DDA">
      <w:pPr>
        <w:numPr>
          <w:ilvl w:val="12"/>
          <w:numId w:val="0"/>
        </w:numPr>
        <w:rPr>
          <w:u w:val="single"/>
        </w:rPr>
      </w:pPr>
    </w:p>
    <w:p w:rsidR="00A83DDA" w:rsidRPr="002F1795" w:rsidRDefault="00A83DDA" w:rsidP="00A83DDA">
      <w:pPr>
        <w:numPr>
          <w:ilvl w:val="12"/>
          <w:numId w:val="0"/>
        </w:numPr>
        <w:rPr>
          <w:u w:val="single"/>
        </w:rPr>
      </w:pPr>
      <w:r w:rsidRPr="002F1795">
        <w:rPr>
          <w:u w:val="single"/>
        </w:rPr>
        <w:t>(C) Fabricators</w:t>
      </w:r>
    </w:p>
    <w:p w:rsidR="00A83DDA" w:rsidRPr="002F1795" w:rsidRDefault="00A83DDA" w:rsidP="00A83DDA">
      <w:pPr>
        <w:numPr>
          <w:ilvl w:val="12"/>
          <w:numId w:val="0"/>
        </w:numPr>
        <w:ind w:firstLine="720"/>
        <w:rPr>
          <w:u w:val="single"/>
        </w:rPr>
      </w:pPr>
    </w:p>
    <w:p w:rsidR="00A83DDA" w:rsidRPr="002F1795" w:rsidRDefault="00452741" w:rsidP="00A83DDA">
      <w:pPr>
        <w:pStyle w:val="BodyText"/>
        <w:rPr>
          <w:sz w:val="24"/>
        </w:rPr>
      </w:pPr>
      <w:r w:rsidRPr="002F1795">
        <w:rPr>
          <w:sz w:val="24"/>
        </w:rPr>
        <w:tab/>
      </w:r>
      <w:r w:rsidR="00A83DDA" w:rsidRPr="002F1795">
        <w:rPr>
          <w:sz w:val="24"/>
        </w:rPr>
        <w:t xml:space="preserve">While all fabricators will incur the burden associated with rule familiarization, only a fraction will incur the additional burdens associated with recordkeeping and labeling.  This is because 1) many fabricators are already complying with similar requirements in the CARB ATCM because the products they make are sold in California, and 2) many fabricators’ existing recordkeeping and labeling systems are expected to be sufficient to meet the proposed rule’s requirements without any significant modifications.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All fabricators are required to label their products with their name, the date the finished good was produced, and a statement of compliance.  Fabricators are also required to take “reasonable precautions” to ensure that the composite wood products and finished goods they acquire are in compliance with the applicable emission standards.  This includes keeping records showing the date of purchase, the supplier, as well as all precautions taken to ensure that the product meets emissions standards.  These records must be kept for </w:t>
      </w:r>
      <w:r w:rsidR="00855790" w:rsidRPr="002F1795">
        <w:rPr>
          <w:sz w:val="24"/>
        </w:rPr>
        <w:t xml:space="preserve">three </w:t>
      </w:r>
      <w:r w:rsidR="00A83DDA" w:rsidRPr="002F1795">
        <w:rPr>
          <w:sz w:val="24"/>
        </w:rPr>
        <w:t>years.</w:t>
      </w:r>
    </w:p>
    <w:p w:rsidR="00A83DDA" w:rsidRPr="002F1795" w:rsidRDefault="00A83DDA" w:rsidP="00A83DDA">
      <w:pPr>
        <w:numPr>
          <w:ilvl w:val="12"/>
          <w:numId w:val="0"/>
        </w:numPr>
        <w:ind w:firstLine="720"/>
      </w:pPr>
    </w:p>
    <w:p w:rsidR="00A83DDA" w:rsidRPr="002F1795" w:rsidRDefault="00A83DDA" w:rsidP="00A83DDA">
      <w:pPr>
        <w:pStyle w:val="BodyText"/>
        <w:rPr>
          <w:i/>
          <w:sz w:val="24"/>
        </w:rPr>
      </w:pPr>
      <w:r w:rsidRPr="002F1795">
        <w:rPr>
          <w:i/>
          <w:sz w:val="24"/>
        </w:rPr>
        <w:t xml:space="preserve">Baseline Compliance for Fabricators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The baseline level of compliance for most fabricators was determined based on conversations with industry associations.</w:t>
      </w:r>
      <w:r w:rsidR="00A83DDA" w:rsidRPr="002F1795">
        <w:rPr>
          <w:rStyle w:val="FootnoteReference"/>
          <w:sz w:val="24"/>
          <w:vertAlign w:val="superscript"/>
        </w:rPr>
        <w:footnoteReference w:id="9"/>
      </w:r>
      <w:r w:rsidR="00A83DDA" w:rsidRPr="002F1795">
        <w:rPr>
          <w:sz w:val="24"/>
          <w:vertAlign w:val="superscript"/>
        </w:rPr>
        <w:t xml:space="preserve"> </w:t>
      </w:r>
      <w:r w:rsidR="00A83DDA" w:rsidRPr="002F1795">
        <w:rPr>
          <w:sz w:val="24"/>
        </w:rPr>
        <w:t xml:space="preserve"> However, baseline compliance for some industries was estimated simply as the number of establishments located in California divided by the total number of U.S. establishments in each industry.  </w:t>
      </w:r>
      <w:fldSimple w:instr=" REF _Ref304895680 \h  \* MERGEFORMAT ">
        <w:r w:rsidR="0036394F" w:rsidRPr="0036394F">
          <w:rPr>
            <w:sz w:val="24"/>
          </w:rPr>
          <w:t>Exhibit 6-6</w:t>
        </w:r>
      </w:fldSimple>
      <w:r w:rsidR="00A83DDA" w:rsidRPr="002F1795">
        <w:rPr>
          <w:sz w:val="24"/>
        </w:rPr>
        <w:t xml:space="preserve"> presents the estimated baseline CARB compliance levels for fabricator industries.  The baseline CARB compliance category represents the percent of fabricators estimated to be selling their products in California, and thus using certified panels and complying with the recordkeeping requirements.  Additional details </w:t>
      </w:r>
      <w:r w:rsidR="00A83DDA" w:rsidRPr="002F1795">
        <w:rPr>
          <w:sz w:val="24"/>
        </w:rPr>
        <w:lastRenderedPageBreak/>
        <w:t>are provided in the Economic Analysis for the rulemaking.</w:t>
      </w:r>
    </w:p>
    <w:p w:rsidR="00A83DDA" w:rsidRPr="002F1795" w:rsidRDefault="00A83DDA" w:rsidP="00A83DDA">
      <w:pPr>
        <w:pStyle w:val="BodyText"/>
      </w:pP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
        <w:gridCol w:w="5999"/>
        <w:gridCol w:w="1440"/>
      </w:tblGrid>
      <w:tr w:rsidR="00A83DDA" w:rsidRPr="002F1795" w:rsidTr="006565F1">
        <w:trPr>
          <w:trHeight w:val="77"/>
          <w:tblHeader/>
          <w:jc w:val="center"/>
        </w:trPr>
        <w:tc>
          <w:tcPr>
            <w:tcW w:w="8333" w:type="dxa"/>
            <w:gridSpan w:val="3"/>
            <w:shd w:val="clear" w:color="auto" w:fill="CCCCCC"/>
            <w:vAlign w:val="center"/>
          </w:tcPr>
          <w:p w:rsidR="00A83DDA" w:rsidRPr="002F1795" w:rsidRDefault="00A83DDA" w:rsidP="006565F1">
            <w:pPr>
              <w:pStyle w:val="TableTitle"/>
              <w:keepNext/>
              <w:keepLines/>
              <w:rPr>
                <w:bCs/>
                <w:lang w:eastAsia="zh-CN"/>
              </w:rPr>
            </w:pPr>
            <w:bookmarkStart w:id="7" w:name="_Ref304895680"/>
            <w:bookmarkStart w:id="8" w:name="_Ref287273990"/>
            <w:r w:rsidRPr="002F1795">
              <w:t>Exhibit 6-</w:t>
            </w:r>
            <w:r w:rsidR="0041046E">
              <w:fldChar w:fldCharType="begin"/>
            </w:r>
            <w:r w:rsidR="00441B0C">
              <w:instrText xml:space="preserve"> SEQ Exhibit_6- \* ARABIC </w:instrText>
            </w:r>
            <w:r w:rsidR="0041046E">
              <w:fldChar w:fldCharType="separate"/>
            </w:r>
            <w:r w:rsidR="0036394F">
              <w:rPr>
                <w:noProof/>
              </w:rPr>
              <w:t>6</w:t>
            </w:r>
            <w:r w:rsidR="0041046E">
              <w:rPr>
                <w:noProof/>
              </w:rPr>
              <w:fldChar w:fldCharType="end"/>
            </w:r>
            <w:bookmarkEnd w:id="7"/>
            <w:r w:rsidRPr="002F1795">
              <w:t xml:space="preserve">: </w:t>
            </w:r>
            <w:bookmarkEnd w:id="8"/>
            <w:r w:rsidRPr="002F1795">
              <w:rPr>
                <w:lang w:eastAsia="zh-CN"/>
              </w:rPr>
              <w:t>Baseline CARB Compliance of Fabricator Industries</w:t>
            </w:r>
          </w:p>
        </w:tc>
      </w:tr>
      <w:tr w:rsidR="00A83DDA" w:rsidRPr="002F1795" w:rsidTr="006565F1">
        <w:trPr>
          <w:trHeight w:val="20"/>
          <w:tblHeader/>
          <w:jc w:val="center"/>
        </w:trPr>
        <w:tc>
          <w:tcPr>
            <w:tcW w:w="894" w:type="dxa"/>
            <w:shd w:val="clear" w:color="auto" w:fill="auto"/>
            <w:vAlign w:val="center"/>
          </w:tcPr>
          <w:p w:rsidR="00A83DDA" w:rsidRPr="002F1795" w:rsidRDefault="00A83DDA" w:rsidP="006565F1">
            <w:pPr>
              <w:pStyle w:val="TableSubtitle"/>
              <w:rPr>
                <w:rFonts w:eastAsia="SimSun"/>
                <w:lang w:eastAsia="zh-CN"/>
              </w:rPr>
            </w:pPr>
            <w:r w:rsidRPr="002F1795">
              <w:rPr>
                <w:rFonts w:eastAsia="SimSun"/>
                <w:lang w:eastAsia="zh-CN"/>
              </w:rPr>
              <w:t>NAICS</w:t>
            </w:r>
          </w:p>
        </w:tc>
        <w:tc>
          <w:tcPr>
            <w:tcW w:w="5999" w:type="dxa"/>
            <w:shd w:val="clear" w:color="auto" w:fill="auto"/>
            <w:vAlign w:val="center"/>
          </w:tcPr>
          <w:p w:rsidR="00A83DDA" w:rsidRPr="002F1795" w:rsidRDefault="00A83DDA" w:rsidP="006565F1">
            <w:pPr>
              <w:pStyle w:val="TableSubtitle"/>
              <w:rPr>
                <w:rFonts w:eastAsia="SimSun"/>
                <w:lang w:eastAsia="zh-CN"/>
              </w:rPr>
            </w:pPr>
            <w:r w:rsidRPr="002F1795">
              <w:rPr>
                <w:rFonts w:eastAsia="SimSun"/>
                <w:lang w:eastAsia="zh-CN"/>
              </w:rPr>
              <w:t>NAICS Definition</w:t>
            </w:r>
          </w:p>
        </w:tc>
        <w:tc>
          <w:tcPr>
            <w:tcW w:w="1440" w:type="dxa"/>
            <w:shd w:val="clear" w:color="auto" w:fill="auto"/>
            <w:vAlign w:val="center"/>
          </w:tcPr>
          <w:p w:rsidR="00A83DDA" w:rsidRPr="002F1795" w:rsidRDefault="00A83DDA" w:rsidP="006565F1">
            <w:pPr>
              <w:pStyle w:val="TableSubtitle"/>
              <w:rPr>
                <w:rFonts w:eastAsia="SimSun"/>
                <w:lang w:eastAsia="zh-CN"/>
              </w:rPr>
            </w:pPr>
            <w:r w:rsidRPr="002F1795">
              <w:rPr>
                <w:rFonts w:eastAsia="SimSun"/>
                <w:lang w:eastAsia="zh-CN"/>
              </w:rPr>
              <w:t xml:space="preserve">Baseline CARB </w:t>
            </w:r>
            <w:proofErr w:type="spellStart"/>
            <w:r w:rsidRPr="002F1795">
              <w:rPr>
                <w:rFonts w:eastAsia="SimSun"/>
                <w:lang w:eastAsia="zh-CN"/>
              </w:rPr>
              <w:t>Compliance</w:t>
            </w:r>
            <w:r w:rsidRPr="002F1795">
              <w:rPr>
                <w:rFonts w:ascii="Times New Roman Bold" w:eastAsia="SimSun" w:hAnsi="Times New Roman Bold"/>
                <w:vertAlign w:val="superscript"/>
                <w:lang w:eastAsia="zh-CN"/>
              </w:rPr>
              <w:t>a</w:t>
            </w:r>
            <w:proofErr w:type="spellEnd"/>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321211</w:t>
            </w:r>
            <w:r w:rsidRPr="002F1795">
              <w:rPr>
                <w:szCs w:val="18"/>
                <w:vertAlign w:val="superscript"/>
                <w:lang w:eastAsia="zh-CN"/>
              </w:rPr>
              <w:t>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Hardwood Veneer and Plywood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321219</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Reconstituted Wood Product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337110</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Wood Kitchen Cabinet and Countertop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50%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337129</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Wood Television, Radio, and Sewing Machine Cabinet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50%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321911</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Wood Window and Door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337121</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Upholstered House Furniture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337122</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Non-upholstered Wood Household Furniture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337124</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Metal Household Furniture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337127</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Institutional Furniture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337211</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Wood Office Furniture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337214</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Office Furniture (except Wood)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337215</w:t>
            </w:r>
            <w:r w:rsidRPr="002F1795">
              <w:rPr>
                <w:szCs w:val="18"/>
                <w:vertAlign w:val="superscript"/>
                <w:lang w:eastAsia="zh-CN"/>
              </w:rPr>
              <w:t xml:space="preserve"> b</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Showcase, Partition, Shelving, and Locker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321918</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Other Millwork (including Flooring)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9.23%</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337212</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Custom Architectural Woodwork and Millwork</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9.83%</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321999</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All Other Miscellaneous Wood Product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7.84%</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336213</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Motor Home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336214</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Travel Trailer and Camper</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321991</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Manufactured Home (Mobile Home)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10.90%</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321992</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Prefabricated Building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5.92%</w:t>
            </w:r>
          </w:p>
        </w:tc>
      </w:tr>
      <w:tr w:rsidR="00A83DDA" w:rsidRPr="002F1795" w:rsidTr="006565F1">
        <w:trPr>
          <w:trHeight w:val="20"/>
          <w:jc w:val="center"/>
        </w:trPr>
        <w:tc>
          <w:tcPr>
            <w:tcW w:w="894" w:type="dxa"/>
            <w:shd w:val="clear" w:color="auto" w:fill="auto"/>
            <w:vAlign w:val="center"/>
          </w:tcPr>
          <w:p w:rsidR="00A83DDA" w:rsidRPr="002F1795" w:rsidRDefault="00A83DDA" w:rsidP="006565F1">
            <w:pPr>
              <w:pStyle w:val="TableText"/>
              <w:jc w:val="center"/>
              <w:rPr>
                <w:szCs w:val="18"/>
                <w:lang w:eastAsia="zh-CN"/>
              </w:rPr>
            </w:pPr>
            <w:r w:rsidRPr="002F1795">
              <w:rPr>
                <w:szCs w:val="18"/>
                <w:lang w:eastAsia="zh-CN"/>
              </w:rPr>
              <w:t>339950</w:t>
            </w:r>
            <w:r w:rsidRPr="002F1795">
              <w:rPr>
                <w:szCs w:val="18"/>
                <w:vertAlign w:val="superscript"/>
                <w:lang w:eastAsia="zh-CN"/>
              </w:rPr>
              <w:t>c</w:t>
            </w:r>
          </w:p>
        </w:tc>
        <w:tc>
          <w:tcPr>
            <w:tcW w:w="5999" w:type="dxa"/>
            <w:shd w:val="clear" w:color="auto" w:fill="auto"/>
          </w:tcPr>
          <w:p w:rsidR="00A83DDA" w:rsidRPr="002F1795" w:rsidRDefault="00A83DDA" w:rsidP="006565F1">
            <w:pPr>
              <w:pStyle w:val="TableText"/>
              <w:rPr>
                <w:szCs w:val="18"/>
                <w:lang w:eastAsia="zh-CN"/>
              </w:rPr>
            </w:pPr>
            <w:r w:rsidRPr="002F1795">
              <w:rPr>
                <w:szCs w:val="18"/>
                <w:lang w:eastAsia="zh-CN"/>
              </w:rPr>
              <w:t>Sign Manufacturing</w:t>
            </w:r>
          </w:p>
        </w:tc>
        <w:tc>
          <w:tcPr>
            <w:tcW w:w="1440" w:type="dxa"/>
            <w:shd w:val="clear" w:color="auto" w:fill="auto"/>
            <w:vAlign w:val="center"/>
          </w:tcPr>
          <w:p w:rsidR="00A83DDA" w:rsidRPr="002F1795" w:rsidRDefault="00A83DDA" w:rsidP="006565F1">
            <w:pPr>
              <w:pStyle w:val="TableText"/>
              <w:ind w:right="214"/>
              <w:jc w:val="right"/>
              <w:rPr>
                <w:szCs w:val="18"/>
                <w:lang w:eastAsia="zh-CN"/>
              </w:rPr>
            </w:pPr>
            <w:r w:rsidRPr="002F1795">
              <w:rPr>
                <w:szCs w:val="18"/>
                <w:lang w:eastAsia="zh-CN"/>
              </w:rPr>
              <w:t>10.09%</w:t>
            </w:r>
          </w:p>
        </w:tc>
      </w:tr>
      <w:tr w:rsidR="00A83DDA" w:rsidRPr="002F1795" w:rsidTr="006565F1">
        <w:trPr>
          <w:trHeight w:val="20"/>
          <w:jc w:val="center"/>
        </w:trPr>
        <w:tc>
          <w:tcPr>
            <w:tcW w:w="8333" w:type="dxa"/>
            <w:gridSpan w:val="3"/>
            <w:shd w:val="clear" w:color="auto" w:fill="auto"/>
          </w:tcPr>
          <w:p w:rsidR="00A83DDA" w:rsidRPr="002F1795" w:rsidRDefault="00A83DDA" w:rsidP="006565F1">
            <w:pPr>
              <w:pStyle w:val="tablefootnote"/>
              <w:keepLines/>
              <w:tabs>
                <w:tab w:val="left" w:pos="-55"/>
              </w:tabs>
              <w:rPr>
                <w:lang w:eastAsia="zh-CN"/>
              </w:rPr>
            </w:pPr>
            <w:r w:rsidRPr="002F1795">
              <w:rPr>
                <w:lang w:eastAsia="zh-CN"/>
              </w:rPr>
              <w:t>Notes: a. Baseline CARB compliance represents the percent of fabricators estimated to be selling their products in California, and thus using certified panels and complying with the recordkeeping requirements.</w:t>
            </w:r>
          </w:p>
          <w:p w:rsidR="00A83DDA" w:rsidRPr="002F1795" w:rsidRDefault="00A83DDA" w:rsidP="006565F1">
            <w:pPr>
              <w:pStyle w:val="tablefootnote"/>
              <w:keepLines/>
              <w:tabs>
                <w:tab w:val="left" w:pos="-55"/>
              </w:tabs>
              <w:rPr>
                <w:lang w:eastAsia="zh-CN"/>
              </w:rPr>
            </w:pPr>
            <w:r w:rsidRPr="002F1795">
              <w:rPr>
                <w:lang w:eastAsia="zh-CN"/>
              </w:rPr>
              <w:t>b. Assumptions based on conversations with industry associations.</w:t>
            </w:r>
          </w:p>
          <w:p w:rsidR="00A83DDA" w:rsidRPr="002F1795" w:rsidRDefault="00A83DDA" w:rsidP="006565F1">
            <w:pPr>
              <w:pStyle w:val="tablefootnote"/>
              <w:keepLines/>
              <w:tabs>
                <w:tab w:val="left" w:pos="-55"/>
              </w:tabs>
              <w:rPr>
                <w:lang w:eastAsia="zh-CN"/>
              </w:rPr>
            </w:pPr>
            <w:r w:rsidRPr="002F1795">
              <w:rPr>
                <w:lang w:eastAsia="zh-CN"/>
              </w:rPr>
              <w:t>c. Estimated as the percentage of establishments in CA.</w:t>
            </w:r>
          </w:p>
          <w:p w:rsidR="00A83DDA" w:rsidRPr="002F1795" w:rsidRDefault="00A83DDA" w:rsidP="006565F1">
            <w:pPr>
              <w:pStyle w:val="TableSource0"/>
              <w:keepNext/>
              <w:keepLines/>
              <w:rPr>
                <w:rFonts w:eastAsia="SimSun"/>
                <w:lang w:eastAsia="zh-CN"/>
              </w:rPr>
            </w:pPr>
            <w:r w:rsidRPr="002F1795">
              <w:rPr>
                <w:rFonts w:eastAsia="SimSun"/>
                <w:lang w:eastAsia="zh-CN"/>
              </w:rPr>
              <w:t xml:space="preserve">Sources: </w:t>
            </w:r>
            <w:r w:rsidR="0041046E" w:rsidRPr="002F1795">
              <w:rPr>
                <w:rFonts w:eastAsia="SimSun"/>
                <w:lang w:eastAsia="zh-CN"/>
              </w:rPr>
              <w:fldChar w:fldCharType="begin"/>
            </w:r>
            <w:r w:rsidRPr="002F1795">
              <w:rPr>
                <w:rFonts w:eastAsia="SimSun"/>
                <w:lang w:eastAsia="zh-CN"/>
              </w:rPr>
              <w:instrText xml:space="preserve"> ADDIN EN.CITE &lt;EndNote&gt;&lt;Cite&gt;&lt;Author&gt;U.S. Census Bureau&lt;/Author&gt;&lt;Year&gt;2009&lt;/Year&gt;&lt;RecNum&gt;15&lt;/RecNum&gt;&lt;DisplayText&gt;U.S. Census Bureau 2009, 2010i&lt;/DisplayText&gt;&lt;record&gt;&lt;rec-number&gt;15&lt;/rec-number&gt;&lt;foreign-keys&gt;&lt;key app="EN" db-id="asafvtwziw9fd8erv0k5pse2555zxesr9ape"&gt;15&lt;/key&gt;&lt;/foreign-keys&gt;&lt;ref-type name="Government Document"&gt;46&lt;/ref-type&gt;&lt;contributors&gt;&lt;authors&gt;&lt;author&gt;U.S. Census Bureau,&lt;/author&gt;&lt;/authors&gt;&lt;/contributors&gt;&lt;titles&gt;&lt;title&gt;Sector 42: EC0742I1: Wholesale Trade: Industry Series: Preliminary Summary Statistics for the United States: 2007&lt;/title&gt;&lt;/titles&gt;&lt;dates&gt;&lt;year&gt;2009&lt;/year&gt;&lt;/dates&gt;&lt;urls&gt;&lt;related-urls&gt;&lt;url&gt;http://factfinder.census.gov/servlet/IBQTable?_bm=y&amp;amp;-geo_id=&amp;amp;-ds_name=EC0742I1&amp;amp;-_lang=en&lt;/url&gt;&lt;/related-urls&gt;&lt;/urls&gt;&lt;access-date&gt;January 14, 2011&lt;/access-date&gt;&lt;/record&gt;&lt;/Cite&gt;&lt;Cite&gt;&lt;Author&gt;U.S. Census Bureau&lt;/Author&gt;&lt;Year&gt;2010&lt;/Year&gt;&lt;RecNum&gt;37&lt;/RecNum&gt;&lt;record&gt;&lt;rec-number&gt;37&lt;/rec-number&gt;&lt;foreign-keys&gt;&lt;key app="EN" db-id="asafvtwziw9fd8erv0k5pse2555zxesr9ape"&gt;37&lt;/key&gt;&lt;/foreign-keys&gt;&lt;ref-type name="Government Document"&gt;46&lt;/ref-type&gt;&lt;contributors&gt;&lt;authors&gt;&lt;author&gt;U.S. Census Bureau,&lt;/author&gt;&lt;/authors&gt;&lt;/contributors&gt;&lt;titles&gt;&lt;title&gt;Data Item: Wholesale type of operation.” American FactFinder Help. Census Data Information&lt;/title&gt;&lt;/titles&gt;&lt;dates&gt;&lt;year&gt;2010&lt;/year&gt;&lt;/dates&gt;&lt;urls&gt;&lt;related-urls&gt;&lt;url&gt;http://factfinder.census.gov/servlet/MetadataBrowserServlet?type=dataItem&amp;amp;id=OPTAX&amp;amp;dataset=EC0742SSSZ2&amp;amp;dsspName=ECN_2007&amp;amp;_lang=en&lt;/url&gt;&lt;/related-urls&gt;&lt;/urls&gt;&lt;/record&gt;&lt;/Cite&gt;&lt;/EndNote&gt;</w:instrText>
            </w:r>
            <w:r w:rsidR="0041046E" w:rsidRPr="002F1795">
              <w:rPr>
                <w:rFonts w:eastAsia="SimSun"/>
                <w:lang w:eastAsia="zh-CN"/>
              </w:rPr>
              <w:fldChar w:fldCharType="separate"/>
            </w:r>
            <w:hyperlink w:anchor="_ENREF_10" w:tooltip="U.S. Census Bureau, 2009 #15" w:history="1">
              <w:r w:rsidRPr="002F1795">
                <w:rPr>
                  <w:rFonts w:eastAsia="SimSun"/>
                  <w:noProof/>
                  <w:lang w:eastAsia="zh-CN"/>
                </w:rPr>
                <w:t>U.S. Census Bureau 2009</w:t>
              </w:r>
            </w:hyperlink>
            <w:r w:rsidRPr="002F1795">
              <w:rPr>
                <w:rFonts w:eastAsia="SimSun"/>
                <w:noProof/>
                <w:lang w:eastAsia="zh-CN"/>
              </w:rPr>
              <w:t xml:space="preserve">, </w:t>
            </w:r>
            <w:hyperlink w:anchor="_ENREF_19" w:tooltip="U.S. Census Bureau, 2010 #37" w:history="1">
              <w:r w:rsidRPr="002F1795">
                <w:rPr>
                  <w:rFonts w:eastAsia="SimSun"/>
                  <w:noProof/>
                  <w:lang w:eastAsia="zh-CN"/>
                </w:rPr>
                <w:t>2010i</w:t>
              </w:r>
            </w:hyperlink>
            <w:r w:rsidR="0041046E" w:rsidRPr="002F1795">
              <w:rPr>
                <w:rFonts w:eastAsia="SimSun"/>
                <w:lang w:eastAsia="zh-CN"/>
              </w:rPr>
              <w:fldChar w:fldCharType="end"/>
            </w:r>
          </w:p>
        </w:tc>
      </w:tr>
    </w:tbl>
    <w:p w:rsidR="00A83DDA" w:rsidRPr="002F1795" w:rsidRDefault="00A83DDA" w:rsidP="00A83DDA">
      <w:pPr>
        <w:numPr>
          <w:ilvl w:val="12"/>
          <w:numId w:val="0"/>
        </w:numPr>
        <w:ind w:firstLine="720"/>
      </w:pPr>
    </w:p>
    <w:p w:rsidR="00A83DDA" w:rsidRPr="002F1795" w:rsidRDefault="00A83DDA" w:rsidP="00A83DDA">
      <w:pPr>
        <w:pStyle w:val="BodyText"/>
        <w:rPr>
          <w:i/>
          <w:sz w:val="24"/>
        </w:rPr>
      </w:pPr>
      <w:r w:rsidRPr="002F1795">
        <w:rPr>
          <w:i/>
          <w:sz w:val="24"/>
        </w:rPr>
        <w:t>Fabricators incurring Recordkeeping and Labeling Costs</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The proposed recordkeeping and labeling requirements under the TSCA Title VI rule are similar to the requirements under the CARB ATCM.  As a result, firms that manufacture or sell composite wood products destined for California markets have experience implementing recordkeeping and labeling requirements that are similar to the proposed TSCA Title VI rule.  To learn about the experiences of the firms who are complying with the CARB ATCM requirements, two questionnaires (one for fabricators and one for wholesalers) were administered to fewer than ten respondents per questionnaire.</w:t>
      </w:r>
      <w:r w:rsidR="00A83DDA" w:rsidRPr="002F1795">
        <w:rPr>
          <w:rStyle w:val="FootnoteReference"/>
          <w:sz w:val="24"/>
          <w:vertAlign w:val="superscript"/>
        </w:rPr>
        <w:footnoteReference w:id="10"/>
      </w:r>
      <w:r w:rsidR="00A83DDA" w:rsidRPr="002F1795">
        <w:rPr>
          <w:sz w:val="24"/>
          <w:vertAlign w:val="superscript"/>
        </w:rPr>
        <w:t xml:space="preserve"> </w:t>
      </w:r>
      <w:r w:rsidR="00A83DDA" w:rsidRPr="002F1795">
        <w:rPr>
          <w:sz w:val="24"/>
        </w:rPr>
        <w:t xml:space="preserve"> These questionnaires asked respondents for descriptions of the changes they made and the costs they incurred to implement any changes.  This information is described in detail in the Economic Analysis, and is summarized below.</w:t>
      </w:r>
    </w:p>
    <w:p w:rsidR="00A83DDA" w:rsidRPr="002F1795" w:rsidRDefault="00A83DDA" w:rsidP="00A83DDA">
      <w:pPr>
        <w:numPr>
          <w:ilvl w:val="12"/>
          <w:numId w:val="0"/>
        </w:numPr>
        <w:ind w:firstLine="720"/>
      </w:pPr>
    </w:p>
    <w:p w:rsidR="00A83DDA" w:rsidRPr="002F1795" w:rsidRDefault="00452741" w:rsidP="00A83DDA">
      <w:pPr>
        <w:pStyle w:val="BodyText"/>
        <w:rPr>
          <w:sz w:val="24"/>
        </w:rPr>
      </w:pPr>
      <w:r w:rsidRPr="002F1795">
        <w:rPr>
          <w:sz w:val="24"/>
        </w:rPr>
        <w:tab/>
      </w:r>
      <w:r w:rsidR="00A83DDA" w:rsidRPr="002F1795">
        <w:rPr>
          <w:sz w:val="24"/>
        </w:rPr>
        <w:t xml:space="preserve">Nine fabricator firms were administered telephone questionnaires that asked about the changes that were made and the costs that were incurred in order to achieve compliance with the CARB recordkeeping and labeling requirements. Based on the questionnaire results, most fabricators are not estimated to incur initial costs for recordkeeping, because their existing recordkeeping systems are adequate and do not need to be modified to comply with the TSCA </w:t>
      </w:r>
      <w:r w:rsidR="00A83DDA" w:rsidRPr="002F1795">
        <w:rPr>
          <w:sz w:val="24"/>
        </w:rPr>
        <w:lastRenderedPageBreak/>
        <w:t xml:space="preserve">Title VI requirements.  It is estimated that 11 percent of the fabricators that are not currently complying with the CARB ATCM because their products are not sold in California will incur additional recurring recordkeeping costs.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The fabricator questionnaire respondent that reported incurring recurring recordkeeping costs indicated that their recurring recordkeeping burden associated with the CARB ATCM was about 10 hours per week (equivalent to 520 hours per year), which this analysis estimates to be about $12,917 per year.  However, the burden reported by this fabricator questionnaire respondent seems unlikely to be representative for all the fabricator firms that incur a recurring recordkeeping burden.  This fabricator questionnaire respondent was a firm with employees, but smaller firms, such as </w:t>
      </w:r>
      <w:proofErr w:type="spellStart"/>
      <w:r w:rsidR="00A83DDA" w:rsidRPr="002F1795">
        <w:rPr>
          <w:sz w:val="24"/>
        </w:rPr>
        <w:t>nonemployer</w:t>
      </w:r>
      <w:proofErr w:type="spellEnd"/>
      <w:r w:rsidR="00A83DDA" w:rsidRPr="002F1795">
        <w:rPr>
          <w:sz w:val="24"/>
        </w:rPr>
        <w:t xml:space="preserve"> firms, are likely to need much less time than 10 hours per week (about a quarter of a 40 hour work week) to perform the necessary recordkeeping activities.  Since the recordkeeping requirements entail keeping track of composite wood materials purchased and shipments that contain composite wood products, it is expected that the burden associated with keeping records will typically increase with the volume of a fabricator’s sales.  Thus, to estimate the recurring recordkeeping burden for </w:t>
      </w:r>
      <w:proofErr w:type="spellStart"/>
      <w:r w:rsidR="00A83DDA" w:rsidRPr="002F1795">
        <w:rPr>
          <w:sz w:val="24"/>
        </w:rPr>
        <w:t>nonemployer</w:t>
      </w:r>
      <w:proofErr w:type="spellEnd"/>
      <w:r w:rsidR="00A83DDA" w:rsidRPr="002F1795">
        <w:rPr>
          <w:sz w:val="24"/>
        </w:rPr>
        <w:t xml:space="preserve"> fabricators, the analysis assumes that there is a fixed-cost component of the recurring recordkeeping costs associated with two hours of labor and a variable cost component that is proportional to a firm’s revenue.  It is assumed that fabricators will use clerical staff to perform these activities.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For employer firms, the average recurring recordkeeping burden is estimated as 520 hours per year (based on 2 hours of fixed cost labor, with the remaining hours of variable cost labor).  For </w:t>
      </w:r>
      <w:proofErr w:type="spellStart"/>
      <w:r w:rsidR="00A83DDA" w:rsidRPr="002F1795">
        <w:rPr>
          <w:sz w:val="24"/>
        </w:rPr>
        <w:t>nonemployer</w:t>
      </w:r>
      <w:proofErr w:type="spellEnd"/>
      <w:r w:rsidR="00A83DDA" w:rsidRPr="002F1795">
        <w:rPr>
          <w:sz w:val="24"/>
        </w:rPr>
        <w:t xml:space="preserve"> firms, the variable cost component is calculated by subtracting the two hours of fixed cost labor (at a cost of $49.68) from the total reported cost ($12,917) and then dividing by the estimated average revenue for affected employer fabricators ($4,241,245).  The resulting variable cost component (0.30338 percent of revenue) is multiplied by average </w:t>
      </w:r>
      <w:proofErr w:type="spellStart"/>
      <w:r w:rsidR="00A83DDA" w:rsidRPr="002F1795">
        <w:rPr>
          <w:sz w:val="24"/>
        </w:rPr>
        <w:t>nonemployer</w:t>
      </w:r>
      <w:proofErr w:type="spellEnd"/>
      <w:r w:rsidR="00A83DDA" w:rsidRPr="002F1795">
        <w:rPr>
          <w:sz w:val="24"/>
        </w:rPr>
        <w:t xml:space="preserve"> revenues ($42,690) and results in recurring recordkeeping costs of $179.19, or approximately 7.21 labor hours per year.</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Several of the respondents indicated that they already had labeling systems in place and therefore they did not incur any significant costs associated with CARB’s labeling requirements.  However, this analysis assumes that these firms did in fact incur small costs associated with making small changes to their labels.  One of the firms that did report minor labeling costs reported that it took “a few hours” to change over to using the new labels.  The analysis assumes that “a few hours” is 3 hours for the purpose of estimating costs.  The analysis also assumes that 67 percent of firms that are not already complying with the CARB ATCM, and all firms that are already complying with the CARB ATCM, incur the costs associated with 3 labor hours.</w:t>
      </w:r>
      <w:r w:rsidR="00A83DDA" w:rsidRPr="002F1795">
        <w:rPr>
          <w:rStyle w:val="FootnoteReference"/>
          <w:sz w:val="24"/>
          <w:vertAlign w:val="superscript"/>
        </w:rPr>
        <w:footnoteReference w:id="11"/>
      </w:r>
      <w:r w:rsidR="00A83DDA" w:rsidRPr="002F1795">
        <w:rPr>
          <w:sz w:val="24"/>
          <w:vertAlign w:val="superscript"/>
        </w:rPr>
        <w:t xml:space="preserve"> </w:t>
      </w:r>
      <w:r w:rsidR="00A83DDA" w:rsidRPr="002F1795">
        <w:rPr>
          <w:sz w:val="24"/>
        </w:rPr>
        <w:t xml:space="preserve"> Two other firms that responded to the questionnaire reported more substantial costs associated with setting up their labeling systems and therefore, it is assumed that the remaining 33 percent of firms that are not already complying with the CARB ATCM will incur the average burden reported by these two firms (100 hours).</w:t>
      </w:r>
      <w:r w:rsidR="00A83DDA" w:rsidRPr="002F1795">
        <w:rPr>
          <w:rStyle w:val="FootnoteReference"/>
          <w:sz w:val="24"/>
          <w:vertAlign w:val="superscript"/>
        </w:rPr>
        <w:footnoteReference w:id="12"/>
      </w:r>
      <w:r w:rsidR="00A83DDA" w:rsidRPr="002F1795">
        <w:rPr>
          <w:sz w:val="24"/>
          <w:vertAlign w:val="superscript"/>
        </w:rPr>
        <w:t xml:space="preserve"> </w:t>
      </w:r>
      <w:r w:rsidR="00A83DDA" w:rsidRPr="002F1795">
        <w:rPr>
          <w:sz w:val="24"/>
        </w:rPr>
        <w:t xml:space="preserve"> It is assumed that fabricators will use technical labor to perform these activities.  Since none of the fabricator respondents reported any recurring costs for labeling, no recurring labeling costs are estimated.</w:t>
      </w:r>
      <w:r w:rsidR="00A83DDA" w:rsidRPr="002F1795">
        <w:t xml:space="preserve">  </w:t>
      </w:r>
    </w:p>
    <w:p w:rsidR="00A83DDA" w:rsidRPr="002F1795" w:rsidRDefault="00A83DDA" w:rsidP="00A83DDA">
      <w:pPr>
        <w:pStyle w:val="BodyText"/>
        <w:rPr>
          <w:sz w:val="24"/>
          <w:szCs w:val="24"/>
        </w:rPr>
      </w:pPr>
      <w:r w:rsidRPr="002F1795">
        <w:rPr>
          <w:sz w:val="24"/>
        </w:rPr>
        <w:t xml:space="preserve">  </w:t>
      </w:r>
    </w:p>
    <w:p w:rsidR="00A83DDA" w:rsidRPr="002F1795" w:rsidRDefault="00A83DDA" w:rsidP="00A83DDA">
      <w:pPr>
        <w:numPr>
          <w:ilvl w:val="12"/>
          <w:numId w:val="0"/>
        </w:numPr>
        <w:rPr>
          <w:u w:val="single"/>
        </w:rPr>
      </w:pPr>
      <w:r w:rsidRPr="002F1795">
        <w:rPr>
          <w:u w:val="single"/>
        </w:rPr>
        <w:lastRenderedPageBreak/>
        <w:t>(D). Wholesalers</w:t>
      </w:r>
    </w:p>
    <w:p w:rsidR="00A83DDA" w:rsidRPr="002F1795" w:rsidRDefault="00A83DDA" w:rsidP="00A83DDA">
      <w:pPr>
        <w:numPr>
          <w:ilvl w:val="12"/>
          <w:numId w:val="0"/>
        </w:numPr>
        <w:ind w:firstLine="720"/>
        <w:rPr>
          <w:u w:val="single"/>
        </w:rPr>
      </w:pPr>
    </w:p>
    <w:p w:rsidR="00A83DDA" w:rsidRPr="002F1795" w:rsidRDefault="00452741" w:rsidP="00A83DDA">
      <w:pPr>
        <w:pStyle w:val="BodyText"/>
        <w:rPr>
          <w:sz w:val="24"/>
        </w:rPr>
      </w:pPr>
      <w:r w:rsidRPr="002F1795">
        <w:rPr>
          <w:sz w:val="24"/>
        </w:rPr>
        <w:tab/>
      </w:r>
      <w:r w:rsidR="00A83DDA" w:rsidRPr="002F1795">
        <w:rPr>
          <w:sz w:val="24"/>
        </w:rPr>
        <w:t xml:space="preserve">While all wholesalers will incur the burden associated with rule familiarization, only a fraction will incur incremental burdens associated with recordkeeping and labeling.  As with fabricators, this is because 1) many wholesalers are already complying with the CARB ATCM because they handle products that are ultimately sold in California, and 2) many wholesalers’ existing recordkeeping systems are expected to meet the proposed rule’s requirements without any significant modifications.  Like fabricators, wholesalers who import composite wood products are required to take “reasonable precautions” to ensure that the composite wood products and finished goods they acquire are in compliance with the applicable emission standards.  These records must be kept for </w:t>
      </w:r>
      <w:r w:rsidR="007C0B4C" w:rsidRPr="002F1795">
        <w:rPr>
          <w:sz w:val="24"/>
        </w:rPr>
        <w:t xml:space="preserve">three </w:t>
      </w:r>
      <w:r w:rsidR="00A83DDA" w:rsidRPr="002F1795">
        <w:rPr>
          <w:sz w:val="24"/>
        </w:rPr>
        <w:t>years.</w:t>
      </w:r>
    </w:p>
    <w:p w:rsidR="00A83DDA" w:rsidRPr="002F1795" w:rsidRDefault="00A83DDA" w:rsidP="00A83DDA">
      <w:pPr>
        <w:numPr>
          <w:ilvl w:val="12"/>
          <w:numId w:val="0"/>
        </w:numPr>
        <w:ind w:firstLine="720"/>
      </w:pPr>
    </w:p>
    <w:p w:rsidR="00A83DDA" w:rsidRPr="002F1795" w:rsidRDefault="00452741" w:rsidP="00A83DDA">
      <w:pPr>
        <w:pStyle w:val="BodyText"/>
        <w:rPr>
          <w:sz w:val="24"/>
          <w:szCs w:val="24"/>
        </w:rPr>
      </w:pPr>
      <w:r w:rsidRPr="002F1795">
        <w:rPr>
          <w:sz w:val="24"/>
        </w:rPr>
        <w:tab/>
      </w:r>
      <w:r w:rsidR="00A83DDA" w:rsidRPr="002F1795">
        <w:rPr>
          <w:sz w:val="24"/>
        </w:rPr>
        <w:t xml:space="preserve">Wholesalers that are defined as manufacturers under TSCA (because they import, produce, or manufacture composite wood panels, component parts, or finished goods) must keep records showing the date of purchase, the supplier, and all precautions taken to ensure that the product meets the emissions standards.  Wholesalers that are not defined as manufacturers under TSCA (because they do not import such products) must keep invoices and bills of lading.  </w:t>
      </w:r>
      <w:r w:rsidR="00A83DDA" w:rsidRPr="002F1795">
        <w:rPr>
          <w:sz w:val="24"/>
          <w:szCs w:val="24"/>
        </w:rPr>
        <w:t>Most wholesalers are likely to keep invoices and bills of lading as part of their customary business practices.</w:t>
      </w:r>
      <w:r w:rsidR="00A83DDA" w:rsidRPr="002F1795">
        <w:rPr>
          <w:rStyle w:val="FootnoteReference"/>
          <w:sz w:val="24"/>
          <w:szCs w:val="24"/>
          <w:vertAlign w:val="superscript"/>
        </w:rPr>
        <w:footnoteReference w:id="13"/>
      </w:r>
      <w:r w:rsidR="00A83DDA" w:rsidRPr="002F1795">
        <w:rPr>
          <w:sz w:val="24"/>
          <w:szCs w:val="24"/>
          <w:vertAlign w:val="superscript"/>
        </w:rPr>
        <w:t xml:space="preserve"> </w:t>
      </w:r>
      <w:r w:rsidR="00A83DDA" w:rsidRPr="002F1795">
        <w:rPr>
          <w:sz w:val="24"/>
          <w:szCs w:val="24"/>
        </w:rPr>
        <w:t xml:space="preserve"> Therefore the requirement to keep invoices and bills of lading is not assumed to impose any additional burden on wholesalers that do not import products.</w:t>
      </w:r>
      <w:r w:rsidR="00A83DDA" w:rsidRPr="002F1795">
        <w:rPr>
          <w:rStyle w:val="FootnoteReference"/>
          <w:sz w:val="24"/>
          <w:vertAlign w:val="superscript"/>
        </w:rPr>
        <w:footnoteReference w:id="14"/>
      </w:r>
      <w:r w:rsidR="00A83DDA" w:rsidRPr="002F1795">
        <w:rPr>
          <w:sz w:val="24"/>
          <w:vertAlign w:val="superscript"/>
        </w:rPr>
        <w:t xml:space="preserve"> </w:t>
      </w:r>
      <w:r w:rsidR="00A83DDA" w:rsidRPr="002F1795">
        <w:rPr>
          <w:sz w:val="24"/>
          <w:szCs w:val="24"/>
        </w:rPr>
        <w:t xml:space="preserve">  </w:t>
      </w:r>
    </w:p>
    <w:p w:rsidR="00A83DDA" w:rsidRPr="002F1795" w:rsidRDefault="00A83DDA" w:rsidP="00A83DDA">
      <w:pPr>
        <w:numPr>
          <w:ilvl w:val="12"/>
          <w:numId w:val="0"/>
        </w:numPr>
        <w:ind w:firstLine="720"/>
      </w:pPr>
    </w:p>
    <w:p w:rsidR="00A83DDA" w:rsidRPr="002F1795" w:rsidRDefault="00A83DDA" w:rsidP="00A83DDA">
      <w:pPr>
        <w:numPr>
          <w:ilvl w:val="12"/>
          <w:numId w:val="0"/>
        </w:numPr>
        <w:ind w:firstLine="720"/>
        <w:rPr>
          <w:i/>
        </w:rPr>
      </w:pPr>
      <w:r w:rsidRPr="002F1795">
        <w:rPr>
          <w:i/>
        </w:rPr>
        <w:t>Baseline Compliance for Wholesalers</w:t>
      </w:r>
    </w:p>
    <w:p w:rsidR="00A83DDA" w:rsidRPr="002F1795" w:rsidRDefault="00A83DDA" w:rsidP="00A83DDA">
      <w:pPr>
        <w:numPr>
          <w:ilvl w:val="12"/>
          <w:numId w:val="0"/>
        </w:numPr>
        <w:ind w:firstLine="720"/>
      </w:pPr>
    </w:p>
    <w:p w:rsidR="00A83DDA" w:rsidRPr="002F1795" w:rsidRDefault="00452741" w:rsidP="00A83DDA">
      <w:pPr>
        <w:pStyle w:val="BodyText"/>
        <w:rPr>
          <w:sz w:val="24"/>
        </w:rPr>
      </w:pPr>
      <w:r w:rsidRPr="002F1795">
        <w:rPr>
          <w:sz w:val="24"/>
        </w:rPr>
        <w:tab/>
      </w:r>
      <w:r w:rsidR="00A83DDA" w:rsidRPr="002F1795">
        <w:rPr>
          <w:sz w:val="24"/>
        </w:rPr>
        <w:t>This analysis assumes that wholesale firms with establishments in California are complying with the recordkeeping requirements of the CARB ATCM and therefore would not incur the burden associated with some of the proposed rule’s requirements.  Because data on the number of firms with at least one establishment in California are not available, the following steps must be taken to estimate baseline compliance for each affected industry: (1) use 2007 Economic Census data to identify the number of affected wholesale firms</w:t>
      </w:r>
      <w:r w:rsidR="00A83DDA" w:rsidRPr="002F1795">
        <w:rPr>
          <w:rStyle w:val="FootnoteReference"/>
          <w:sz w:val="24"/>
          <w:vertAlign w:val="superscript"/>
        </w:rPr>
        <w:footnoteReference w:id="15"/>
      </w:r>
      <w:r w:rsidR="00A83DDA" w:rsidRPr="002F1795">
        <w:rPr>
          <w:sz w:val="24"/>
        </w:rPr>
        <w:t xml:space="preserve"> (2) estimate the number of single-unit firms in California; (3) estimate the number of multi-unit firms with at least one establishment in California; and (4) estimate baseline compliance as the percentage of U.S. firms with at least one establishment in California.  Note that this approach may lead to an understatement of the level of baseline compliance among wholesalers because they may sell products in states where they do not have physical locations.  In addition, two wholesale industries -- Furniture Merchant Wholesalers (423210) and Home Furnishing Merchant Wholesalers (423220) -- are assumed to be fully compliant with the CARB ATCM chain of custody requirements in the baseline.</w:t>
      </w:r>
      <w:r w:rsidR="00A83DDA" w:rsidRPr="002F1795">
        <w:rPr>
          <w:sz w:val="24"/>
          <w:vertAlign w:val="superscript"/>
        </w:rPr>
        <w:footnoteReference w:id="16"/>
      </w:r>
      <w:r w:rsidR="00A83DDA" w:rsidRPr="002F1795">
        <w:rPr>
          <w:sz w:val="24"/>
        </w:rPr>
        <w:t xml:space="preserve">  </w:t>
      </w:r>
      <w:fldSimple w:instr=" REF _Ref304899564 \h  \* MERGEFORMAT ">
        <w:r w:rsidR="0036394F" w:rsidRPr="0036394F">
          <w:rPr>
            <w:sz w:val="24"/>
          </w:rPr>
          <w:t>Exhibit 6-7</w:t>
        </w:r>
      </w:fldSimple>
      <w:r w:rsidR="00A83DDA" w:rsidRPr="002F1795">
        <w:rPr>
          <w:sz w:val="24"/>
        </w:rPr>
        <w:t xml:space="preserve"> presents a summary of the baseline compliance estimates for wholesale industries.  The Economic Analysis for the rule provides a detailed description of the baseline calculations.</w:t>
      </w:r>
    </w:p>
    <w:tbl>
      <w:tblPr>
        <w:tblW w:w="4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6"/>
        <w:gridCol w:w="5646"/>
        <w:gridCol w:w="1710"/>
      </w:tblGrid>
      <w:tr w:rsidR="00A83DDA" w:rsidRPr="002F1795" w:rsidTr="006565F1">
        <w:trPr>
          <w:tblHeader/>
          <w:jc w:val="center"/>
        </w:trPr>
        <w:tc>
          <w:tcPr>
            <w:tcW w:w="8182" w:type="dxa"/>
            <w:gridSpan w:val="3"/>
            <w:shd w:val="clear" w:color="auto" w:fill="CCCCCC"/>
            <w:vAlign w:val="bottom"/>
          </w:tcPr>
          <w:p w:rsidR="00A83DDA" w:rsidRPr="002F1795" w:rsidRDefault="00A83DDA" w:rsidP="006565F1">
            <w:pPr>
              <w:pStyle w:val="TableTitle"/>
              <w:keepNext/>
              <w:keepLines/>
            </w:pPr>
            <w:bookmarkStart w:id="9" w:name="_Ref304899564"/>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7</w:t>
            </w:r>
            <w:r w:rsidR="0041046E">
              <w:rPr>
                <w:noProof/>
              </w:rPr>
              <w:fldChar w:fldCharType="end"/>
            </w:r>
            <w:bookmarkEnd w:id="9"/>
            <w:r w:rsidRPr="002F1795">
              <w:t xml:space="preserve">: </w:t>
            </w:r>
            <w:r w:rsidRPr="002F1795">
              <w:rPr>
                <w:lang w:eastAsia="zh-CN"/>
              </w:rPr>
              <w:t>Baseline CARB Compliance of Wholesale Industries</w:t>
            </w:r>
          </w:p>
        </w:tc>
      </w:tr>
      <w:tr w:rsidR="00A83DDA" w:rsidRPr="002F1795" w:rsidTr="006565F1">
        <w:trPr>
          <w:tblHeader/>
          <w:jc w:val="center"/>
        </w:trPr>
        <w:tc>
          <w:tcPr>
            <w:tcW w:w="826" w:type="dxa"/>
            <w:shd w:val="clear" w:color="auto" w:fill="auto"/>
            <w:tcMar>
              <w:left w:w="29" w:type="dxa"/>
              <w:right w:w="29" w:type="dxa"/>
            </w:tcMar>
            <w:vAlign w:val="center"/>
          </w:tcPr>
          <w:p w:rsidR="00A83DDA" w:rsidRPr="002F1795" w:rsidRDefault="00A83DDA" w:rsidP="006565F1">
            <w:pPr>
              <w:pStyle w:val="TableSubtitle"/>
            </w:pPr>
            <w:r w:rsidRPr="002F1795">
              <w:rPr>
                <w:rFonts w:eastAsia="SimSun"/>
                <w:lang w:eastAsia="zh-CN"/>
              </w:rPr>
              <w:t>NAICS</w:t>
            </w:r>
          </w:p>
        </w:tc>
        <w:tc>
          <w:tcPr>
            <w:tcW w:w="5646" w:type="dxa"/>
            <w:shd w:val="clear" w:color="auto" w:fill="auto"/>
            <w:tcMar>
              <w:left w:w="29" w:type="dxa"/>
              <w:right w:w="29" w:type="dxa"/>
            </w:tcMar>
            <w:vAlign w:val="center"/>
          </w:tcPr>
          <w:p w:rsidR="00A83DDA" w:rsidRPr="002F1795" w:rsidRDefault="00A83DDA" w:rsidP="006565F1">
            <w:pPr>
              <w:pStyle w:val="TableSubtitle"/>
            </w:pPr>
            <w:r w:rsidRPr="002F1795">
              <w:rPr>
                <w:rFonts w:eastAsia="SimSun"/>
                <w:lang w:eastAsia="zh-CN"/>
              </w:rPr>
              <w:t>NAICS Description</w:t>
            </w:r>
          </w:p>
        </w:tc>
        <w:tc>
          <w:tcPr>
            <w:tcW w:w="1710" w:type="dxa"/>
            <w:shd w:val="clear" w:color="auto" w:fill="auto"/>
            <w:tcMar>
              <w:left w:w="29" w:type="dxa"/>
              <w:right w:w="29" w:type="dxa"/>
            </w:tcMar>
            <w:vAlign w:val="center"/>
          </w:tcPr>
          <w:p w:rsidR="00A83DDA" w:rsidRPr="002F1795" w:rsidRDefault="00A83DDA" w:rsidP="006565F1">
            <w:pPr>
              <w:pStyle w:val="TableSubtitle"/>
            </w:pPr>
            <w:r w:rsidRPr="002F1795">
              <w:t xml:space="preserve">Baseline </w:t>
            </w:r>
          </w:p>
          <w:p w:rsidR="00A83DDA" w:rsidRPr="002F1795" w:rsidRDefault="00A83DDA" w:rsidP="006565F1">
            <w:pPr>
              <w:pStyle w:val="TableSubtitle"/>
            </w:pPr>
            <w:r w:rsidRPr="002F1795">
              <w:t xml:space="preserve">CARB </w:t>
            </w:r>
            <w:proofErr w:type="spellStart"/>
            <w:r w:rsidRPr="002F1795">
              <w:t>Compliance</w:t>
            </w:r>
            <w:r w:rsidRPr="002F1795">
              <w:rPr>
                <w:rFonts w:ascii="Times New Roman Bold" w:hAnsi="Times New Roman Bold"/>
                <w:vertAlign w:val="superscript"/>
              </w:rPr>
              <w:t>a</w:t>
            </w:r>
            <w:proofErr w:type="spellEnd"/>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rPr>
                <w:vertAlign w:val="superscript"/>
              </w:rPr>
            </w:pPr>
            <w:r w:rsidRPr="002F1795">
              <w:t>423210</w:t>
            </w:r>
            <w:r w:rsidRPr="002F1795">
              <w:rPr>
                <w:vertAlign w:val="superscript"/>
              </w:rPr>
              <w:t>b</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Furniture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100%</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rPr>
                <w:vertAlign w:val="superscript"/>
              </w:rPr>
            </w:pPr>
            <w:r w:rsidRPr="002F1795">
              <w:t>423220</w:t>
            </w:r>
            <w:r w:rsidRPr="002F1795">
              <w:rPr>
                <w:vertAlign w:val="superscript"/>
              </w:rPr>
              <w:t>b</w:t>
            </w:r>
            <w:r w:rsidRPr="002F1795" w:rsidDel="009D522C">
              <w:rPr>
                <w:vertAlign w:val="superscript"/>
              </w:rPr>
              <w:t xml:space="preserve"> </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Home furnishing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100%</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423310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Lumber, plywood, millwork, and wood panel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12.3%</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423320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Brick, stone, and related construction material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14.9%</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423330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Roofing, siding, and insulation material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13.7%</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423390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construction material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14.6%</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423410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Photographic equipment and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24.8%</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423420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Office equipment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18.1%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423430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Computer and software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23.9%</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423440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commercial equipment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13.0%</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423450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Medical equipment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15.9%</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423490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professional equipment and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14.8%</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423510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Metal service centers and other metal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15.1%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423610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Elec. equip. and wiring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19.3%</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423620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Electric appliance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25.2%</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423690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electronic parts and equipment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26.1%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423710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Hardware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19.4%</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423720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Plumbing equip.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18.8%</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423730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HVAC equip.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14.5%</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423740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Refrigeration equipment and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22.2%</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423810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Construction equipment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11.4%</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423820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Farm and garden machinery and equipment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9.5%</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423830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Industrial machinery and equipment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12.3%</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423840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Industrial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16.2%</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423850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Service establishment equipment and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9.9%</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423910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Sporting and recreational goods and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21.1%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423920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Toy and hobby goods and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30.5%</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423930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Recyclable material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13.3%</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423940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Jewelry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19.6%</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423990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miscellaneous durable goods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17.9%</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424110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Printing and writing paper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17.8%</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424120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Stationery and office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15.1%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424130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Industrial and personal service paper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17.2%</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424210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Drugs and druggists' sundries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21.7%</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424310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Piece goods, notions, and other dry goods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29.6%</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424320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Men's and boys' clothing and furnishings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24.6%</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424330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Women's and children's clothing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32.0%</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424340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Footwear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33.1%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424410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General line grocery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19.7%</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424420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Packaged frozen food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19.6%</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424450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Confectionery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15.1%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424460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Fish and seafood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12.3%</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424480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Fresh fruit and vegetable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23.2%</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424490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grocery and related products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18.8%</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424510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Grain and field bean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5.2%</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424610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Plastics materials and basic forms and shapes merchant wholesaler</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18.1%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424690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chemical and allied products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13.6%</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424910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Farm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13.1%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424920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Book, periodical, and newspaper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16.4%</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424930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Flower, nursery stock, &amp; florists'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17.9%</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424940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Tobacco and tobacco product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8.1%</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424950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Paint, varnish, and supplies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18.0%</w:t>
            </w:r>
          </w:p>
        </w:tc>
      </w:tr>
      <w:tr w:rsidR="00A83DDA" w:rsidRPr="002F1795" w:rsidTr="006565F1">
        <w:trPr>
          <w:jc w:val="center"/>
        </w:trPr>
        <w:tc>
          <w:tcPr>
            <w:tcW w:w="826" w:type="dxa"/>
            <w:shd w:val="clear" w:color="auto" w:fill="auto"/>
            <w:tcMar>
              <w:left w:w="29" w:type="dxa"/>
              <w:right w:w="29" w:type="dxa"/>
            </w:tcMar>
            <w:vAlign w:val="center"/>
          </w:tcPr>
          <w:p w:rsidR="00A83DDA" w:rsidRPr="002F1795" w:rsidRDefault="00A83DDA" w:rsidP="006565F1">
            <w:pPr>
              <w:pStyle w:val="TableText"/>
              <w:jc w:val="center"/>
            </w:pPr>
            <w:r w:rsidRPr="002F1795">
              <w:t>424990</w:t>
            </w:r>
          </w:p>
        </w:tc>
        <w:tc>
          <w:tcPr>
            <w:tcW w:w="5646" w:type="dxa"/>
            <w:shd w:val="clear" w:color="auto" w:fill="auto"/>
            <w:tcMar>
              <w:left w:w="29" w:type="dxa"/>
              <w:right w:w="29" w:type="dxa"/>
            </w:tcMar>
            <w:vAlign w:val="bottom"/>
          </w:tcPr>
          <w:p w:rsidR="00A83DDA" w:rsidRPr="002F1795" w:rsidRDefault="00A83DDA" w:rsidP="006565F1">
            <w:pPr>
              <w:pStyle w:val="TableText"/>
            </w:pPr>
            <w:r w:rsidRPr="002F1795">
              <w:t>Other miscellaneous nondurable goods merchant wholesalers</w:t>
            </w:r>
          </w:p>
        </w:tc>
        <w:tc>
          <w:tcPr>
            <w:tcW w:w="1710" w:type="dxa"/>
            <w:shd w:val="clear" w:color="auto" w:fill="auto"/>
            <w:tcMar>
              <w:left w:w="29" w:type="dxa"/>
              <w:right w:w="29" w:type="dxa"/>
            </w:tcMar>
            <w:vAlign w:val="center"/>
          </w:tcPr>
          <w:p w:rsidR="00A83DDA" w:rsidRPr="002F1795" w:rsidRDefault="00A83DDA" w:rsidP="006565F1">
            <w:pPr>
              <w:pStyle w:val="TableText"/>
              <w:ind w:right="502"/>
              <w:jc w:val="right"/>
            </w:pPr>
            <w:r w:rsidRPr="002F1795">
              <w:t>24.4%</w:t>
            </w:r>
          </w:p>
        </w:tc>
      </w:tr>
      <w:tr w:rsidR="00A83DDA" w:rsidRPr="002F1795" w:rsidTr="006565F1">
        <w:trPr>
          <w:jc w:val="center"/>
        </w:trPr>
        <w:tc>
          <w:tcPr>
            <w:tcW w:w="8182" w:type="dxa"/>
            <w:gridSpan w:val="3"/>
            <w:shd w:val="clear" w:color="auto" w:fill="auto"/>
            <w:tcMar>
              <w:left w:w="29" w:type="dxa"/>
              <w:right w:w="29" w:type="dxa"/>
            </w:tcMar>
          </w:tcPr>
          <w:p w:rsidR="00A83DDA" w:rsidRPr="002F1795" w:rsidRDefault="00A83DDA" w:rsidP="006565F1">
            <w:pPr>
              <w:pStyle w:val="tablefootnote"/>
              <w:keepLines/>
              <w:rPr>
                <w:rFonts w:ascii="Tahoma" w:hAnsi="Tahoma" w:cs="Tahoma"/>
                <w:szCs w:val="16"/>
                <w:lang w:eastAsia="zh-CN"/>
              </w:rPr>
            </w:pPr>
            <w:r w:rsidRPr="002F1795">
              <w:t xml:space="preserve">Notes: a. </w:t>
            </w:r>
            <w:r w:rsidRPr="002F1795">
              <w:rPr>
                <w:lang w:eastAsia="zh-CN"/>
              </w:rPr>
              <w:t>Baseline CARB compliance represents the percent of wholesalers estimated to be selling their products in California, and thus complying with the recordkeeping requirements.</w:t>
            </w:r>
          </w:p>
          <w:p w:rsidR="00A83DDA" w:rsidRPr="002F1795" w:rsidRDefault="00A83DDA" w:rsidP="006565F1">
            <w:pPr>
              <w:pStyle w:val="tablefootnote"/>
              <w:keepLines/>
              <w:rPr>
                <w:rFonts w:ascii="Tahoma" w:hAnsi="Tahoma" w:cs="Tahoma"/>
                <w:szCs w:val="16"/>
              </w:rPr>
            </w:pPr>
            <w:r w:rsidRPr="002F1795">
              <w:rPr>
                <w:lang w:eastAsia="zh-CN"/>
              </w:rPr>
              <w:t xml:space="preserve">b. </w:t>
            </w:r>
            <w:r w:rsidRPr="002F1795">
              <w:t xml:space="preserve">Two wholesale industries, Furniture Merchant Wholesalers (423210) and Home Furnishing Merchant Wholesalers </w:t>
            </w:r>
            <w:r w:rsidRPr="002F1795">
              <w:lastRenderedPageBreak/>
              <w:t>(423220) are assumed to be fully compliant with the CARB ATCM chain of custody requirements in the baseline, based on conversation with industry (</w:t>
            </w:r>
            <w:r w:rsidR="0041046E" w:rsidRPr="002F1795">
              <w:fldChar w:fldCharType="begin"/>
            </w:r>
            <w:r w:rsidRPr="002F1795">
              <w:instrText xml:space="preserve"> ADDIN EN.CITE &lt;EndNote&gt;&lt;Cite&gt;&lt;Author&gt;Personal Communication with AHFA&lt;/Author&gt;&lt;Year&gt;2010&lt;/Year&gt;&lt;RecNum&gt;31&lt;/RecNum&gt;&lt;DisplayText&gt;Personal Communication with AHFA 2010, Personal Communication with BIFMA 2010&lt;/DisplayText&gt;&lt;record&gt;&lt;rec-number&gt;31&lt;/rec-number&gt;&lt;foreign-keys&gt;&lt;key app="EN" db-id="asafvtwziw9fd8erv0k5pse2555zxesr9ape"&gt;31&lt;/key&gt;&lt;/foreign-keys&gt;&lt;ref-type name="Personal Communication"&gt;26&lt;/ref-type&gt;&lt;contributors&gt;&lt;authors&gt;&lt;author&gt;Personal Communication with AHFA,&lt;/author&gt;&lt;/authors&gt;&lt;/contributors&gt;&lt;titles&gt;&lt;title&gt;Conversation between Bill Perdue (American Home Furnishings Alliance) and Abt Associates Inc.&lt;/title&gt;&lt;/titles&gt;&lt;dates&gt;&lt;year&gt;2010&lt;/year&gt;&lt;pub-dates&gt;&lt;date&gt;November 3, 2010&lt;/date&gt;&lt;/pub-dates&gt;&lt;/dates&gt;&lt;urls&gt;&lt;/urls&gt;&lt;/record&gt;&lt;/Cite&gt;&lt;Cite&gt;&lt;Author&gt;Personal Communication with BIFMA&lt;/Author&gt;&lt;Year&gt;2010&lt;/Year&gt;&lt;RecNum&gt;29&lt;/RecNum&gt;&lt;record&gt;&lt;rec-number&gt;29&lt;/rec-number&gt;&lt;foreign-keys&gt;&lt;key app="EN" db-id="asafvtwziw9fd8erv0k5pse2555zxesr9ape"&gt;29&lt;/key&gt;&lt;/foreign-keys&gt;&lt;ref-type name="Personal Communication"&gt;26&lt;/ref-type&gt;&lt;contributors&gt;&lt;authors&gt;&lt;author&gt;Personal Communication with BIFMA,&lt;/author&gt;&lt;/authors&gt;&lt;/contributors&gt;&lt;titles&gt;&lt;title&gt;Brad Miller&amp;apos;s (BIFMA) Written Responses to Questions about FSCWPA Impacts on Members&lt;/title&gt;&lt;/titles&gt;&lt;dates&gt;&lt;year&gt;2010&lt;/year&gt;&lt;pub-dates&gt;&lt;date&gt;November 23, 2011&lt;/date&gt;&lt;/pub-dates&gt;&lt;/dates&gt;&lt;urls&gt;&lt;/urls&gt;&lt;/record&gt;&lt;/Cite&gt;&lt;/EndNote&gt;</w:instrText>
            </w:r>
            <w:r w:rsidR="0041046E" w:rsidRPr="002F1795">
              <w:fldChar w:fldCharType="separate"/>
            </w:r>
            <w:hyperlink w:anchor="_ENREF_3" w:tooltip="Personal Communication with AHFA, 2010 #31" w:history="1">
              <w:r w:rsidRPr="002F1795">
                <w:rPr>
                  <w:noProof/>
                </w:rPr>
                <w:t>Personal Communication with AHFA 2010</w:t>
              </w:r>
            </w:hyperlink>
            <w:r w:rsidRPr="002F1795">
              <w:rPr>
                <w:noProof/>
              </w:rPr>
              <w:t xml:space="preserve">, </w:t>
            </w:r>
            <w:hyperlink w:anchor="_ENREF_4" w:tooltip="Personal Communication with BIFMA, 2010 #29" w:history="1">
              <w:r w:rsidRPr="002F1795">
                <w:rPr>
                  <w:noProof/>
                </w:rPr>
                <w:t>Personal Communication with BIFMA 2010</w:t>
              </w:r>
            </w:hyperlink>
            <w:r w:rsidR="0041046E" w:rsidRPr="002F1795">
              <w:fldChar w:fldCharType="end"/>
            </w:r>
            <w:r w:rsidRPr="002F1795">
              <w:t>).</w:t>
            </w:r>
          </w:p>
          <w:p w:rsidR="00A83DDA" w:rsidRPr="002F1795" w:rsidRDefault="00A83DDA" w:rsidP="006565F1">
            <w:pPr>
              <w:pStyle w:val="tablefootnote"/>
              <w:keepLines/>
              <w:rPr>
                <w:i/>
              </w:rPr>
            </w:pPr>
            <w:r w:rsidRPr="002F1795">
              <w:rPr>
                <w:i/>
              </w:rPr>
              <w:t xml:space="preserve">Sources: </w:t>
            </w:r>
            <w:r w:rsidR="0041046E" w:rsidRPr="002F1795">
              <w:rPr>
                <w:i/>
              </w:rPr>
              <w:fldChar w:fldCharType="begin"/>
            </w:r>
            <w:r w:rsidRPr="002F1795">
              <w:rPr>
                <w:i/>
              </w:rPr>
              <w:instrText xml:space="preserve"> ADDIN EN.CITE &lt;EndNote&gt;&lt;Cite&gt;&lt;Author&gt;U.S. Census Bureau&lt;/Author&gt;&lt;Year&gt;2010&lt;/Year&gt;&lt;RecNum&gt;18&lt;/RecNum&gt;&lt;DisplayText&gt;U.S. Census Bureau 2010d, j&lt;/DisplayText&gt;&lt;record&gt;&lt;rec-number&gt;18&lt;/rec-number&gt;&lt;foreign-keys&gt;&lt;key app="EN" db-id="asafvtwziw9fd8erv0k5pse2555zxesr9ape"&gt;18&lt;/key&gt;&lt;/foreign-keys&gt;&lt;ref-type name="Government Document"&gt;46&lt;/ref-type&gt;&lt;contributors&gt;&lt;authors&gt;&lt;author&gt;U.S. Census Bureau,&lt;/author&gt;&lt;/authors&gt;&lt;/contributors&gt;&lt;titles&gt;&lt;title&gt;Sector 42: EC0742A1: Wholesale Trade: Geographic Area Series: Summary Statistics for the United States&lt;/title&gt;&lt;/titles&gt;&lt;dates&gt;&lt;year&gt;2010&lt;/year&gt;&lt;/dates&gt;&lt;urls&gt;&lt;related-urls&gt;&lt;url&gt;http://factfinder.census.gov/servlet/IBQTable?_bm=y&amp;amp;-geo_id=D&amp;amp;-ds_name=EC0742A1&amp;amp;-_lang=en&lt;/url&gt;&lt;/related-urls&gt;&lt;/urls&gt;&lt;/record&gt;&lt;/Cite&gt;&lt;Cite&gt;&lt;Author&gt;U.S. Census Bureau&lt;/Author&gt;&lt;Year&gt;2010&lt;/Year&gt;&lt;RecNum&gt;21&lt;/RecNum&gt;&lt;record&gt;&lt;rec-number&gt;21&lt;/rec-number&gt;&lt;foreign-keys&gt;&lt;key app="EN" db-id="asafvtwziw9fd8erv0k5pse2555zxesr9ape"&gt;21&lt;/key&gt;&lt;/foreign-keys&gt;&lt;ref-type name="Government Document"&gt;46&lt;/ref-type&gt;&lt;contributors&gt;&lt;authors&gt;&lt;author&gt;U.S. Census Bureau,&lt;/author&gt;&lt;/authors&gt;&lt;/contributors&gt;&lt;titles&gt;&lt;title&gt;Sector 42: EC0742SSSZ3: Wholesale Trade: Subject Series - Estab &amp;amp; Firm Size: Summary Statistics for Single Units and Multiunit Firms for the United States: 2007&lt;/title&gt;&lt;/titles&gt;&lt;dates&gt;&lt;year&gt;2010&lt;/year&gt;&lt;/dates&gt;&lt;urls&gt;&lt;related-urls&gt;&lt;url&gt;http://factfinder.census.gov/servlet/IBQTable?_bm=y&amp;amp;-geo_id=&amp;amp;-ds_name=EC0742SSSZ3&amp;amp;-_lang=en&lt;/url&gt;&lt;/related-urls&gt;&lt;/urls&gt;&lt;/record&gt;&lt;/Cite&gt;&lt;/EndNote&gt;</w:instrText>
            </w:r>
            <w:r w:rsidR="0041046E" w:rsidRPr="002F1795">
              <w:rPr>
                <w:i/>
              </w:rPr>
              <w:fldChar w:fldCharType="separate"/>
            </w:r>
            <w:hyperlink w:anchor="_ENREF_14" w:tooltip="U.S. Census Bureau, 2010 #18" w:history="1">
              <w:r w:rsidRPr="002F1795">
                <w:rPr>
                  <w:i/>
                  <w:noProof/>
                </w:rPr>
                <w:t>U.S. Census Bureau 2010d</w:t>
              </w:r>
            </w:hyperlink>
            <w:r w:rsidRPr="002F1795">
              <w:rPr>
                <w:i/>
                <w:noProof/>
              </w:rPr>
              <w:t xml:space="preserve">, </w:t>
            </w:r>
            <w:hyperlink w:anchor="_ENREF_20" w:tooltip="U.S. Census Bureau, 2010 #21" w:history="1">
              <w:r w:rsidRPr="002F1795">
                <w:rPr>
                  <w:i/>
                  <w:noProof/>
                </w:rPr>
                <w:t>j</w:t>
              </w:r>
            </w:hyperlink>
            <w:r w:rsidR="0041046E" w:rsidRPr="002F1795">
              <w:rPr>
                <w:i/>
              </w:rPr>
              <w:fldChar w:fldCharType="end"/>
            </w:r>
          </w:p>
        </w:tc>
      </w:tr>
    </w:tbl>
    <w:p w:rsidR="00A83DDA" w:rsidRPr="002F1795" w:rsidRDefault="00A83DDA" w:rsidP="00A83DDA">
      <w:pPr>
        <w:pStyle w:val="BodyText"/>
        <w:rPr>
          <w:sz w:val="24"/>
        </w:rPr>
      </w:pPr>
    </w:p>
    <w:p w:rsidR="00A83DDA" w:rsidRPr="002F1795" w:rsidRDefault="00A83DDA" w:rsidP="00A83DDA">
      <w:pPr>
        <w:pStyle w:val="BodyText"/>
        <w:rPr>
          <w:i/>
          <w:sz w:val="24"/>
        </w:rPr>
      </w:pPr>
      <w:r w:rsidRPr="002F1795">
        <w:rPr>
          <w:i/>
          <w:sz w:val="24"/>
        </w:rPr>
        <w:t>Wholesalers incurring Recordkeeping and Labeling Costs</w:t>
      </w:r>
    </w:p>
    <w:p w:rsidR="00A83DDA" w:rsidRPr="002F1795" w:rsidRDefault="00A83DDA" w:rsidP="00A83DDA">
      <w:pPr>
        <w:pStyle w:val="BodyText"/>
        <w:rPr>
          <w:sz w:val="24"/>
        </w:rPr>
      </w:pPr>
    </w:p>
    <w:p w:rsidR="00A83DDA" w:rsidRPr="002F1795" w:rsidRDefault="00A83DDA" w:rsidP="00A83DDA">
      <w:pPr>
        <w:numPr>
          <w:ilvl w:val="12"/>
          <w:numId w:val="0"/>
        </w:numPr>
        <w:ind w:firstLine="720"/>
      </w:pPr>
      <w:r w:rsidRPr="002F1795">
        <w:t xml:space="preserve">Seven wholesale firms were administered telephone questionnaires that asked about the changes that were made and the costs that were incurred in order to achieve compliance with the CARB recordkeeping and labeling requirements.  The questionnaire and the calculation of recordkeeping costs are described in detail in the Economic Analysis, and are summarized below.  </w:t>
      </w:r>
    </w:p>
    <w:p w:rsidR="00A83DDA" w:rsidRPr="002F1795" w:rsidRDefault="00A83DDA" w:rsidP="00A83DDA">
      <w:pPr>
        <w:numPr>
          <w:ilvl w:val="12"/>
          <w:numId w:val="0"/>
        </w:numPr>
      </w:pPr>
      <w:r w:rsidRPr="002F1795">
        <w:t xml:space="preserve">         </w:t>
      </w:r>
    </w:p>
    <w:p w:rsidR="00A83DDA" w:rsidRPr="002F1795" w:rsidRDefault="00A83DDA" w:rsidP="00A83DDA">
      <w:pPr>
        <w:numPr>
          <w:ilvl w:val="12"/>
          <w:numId w:val="0"/>
        </w:numPr>
        <w:ind w:firstLine="720"/>
      </w:pPr>
      <w:r w:rsidRPr="002F1795">
        <w:t>Based on the questionnaire responses, this analysis assumes that 57 percent of wholesalers that import composite wood products and/or articles that contain composite wood products will incur initial recordkeeping costs associated with 59.15 labor hours.</w:t>
      </w:r>
      <w:r w:rsidRPr="002F1795">
        <w:rPr>
          <w:rStyle w:val="FootnoteReference"/>
          <w:vertAlign w:val="superscript"/>
        </w:rPr>
        <w:footnoteReference w:id="17"/>
      </w:r>
      <w:r w:rsidRPr="002F1795">
        <w:t xml:space="preserve">  As indicated above, this analysis estimates that 28 percent of domestic wholesalers import composite wood products and/or articles that contain composite wood products.  In addition, the analysis assumes that one percent of wholesalers will repackage their products and so will incur the same burden as the fabricators who are assumed to incur more substantial initial labeling costs (an average of 100 hours).  However, the recurring recordkeeping burden reported by the wholesaler questionnaire respondent (forty five minutes per day) seems unlikely to be representative for all the wholesaler firms that incur this type of burden.  This wholesaler questionnaire respondent was a firm with employees, but smaller firms, such as </w:t>
      </w:r>
      <w:proofErr w:type="spellStart"/>
      <w:r w:rsidRPr="002F1795">
        <w:t>nonemployer</w:t>
      </w:r>
      <w:proofErr w:type="spellEnd"/>
      <w:r w:rsidRPr="002F1795">
        <w:t xml:space="preserve"> firms, are likely to need much less time than 3.75 hours per week (nearly 10% of a 40 hour work week) to perform the necessary recordkeeping activities.  Since the recordkeeping requirements entail keeping track of composite wood materials purchased and shipments that contain composite wood products, it is expected that the burden associated with keeping records will typically increase with the volume of a wholesaler’s sales.  Thus, to estimate the recurring recordkeeping burden for </w:t>
      </w:r>
      <w:proofErr w:type="spellStart"/>
      <w:r w:rsidRPr="002F1795">
        <w:t>nonemployer</w:t>
      </w:r>
      <w:proofErr w:type="spellEnd"/>
      <w:r w:rsidRPr="002F1795">
        <w:t xml:space="preserve"> wholesalers, the analysis assumes that there is a fixed-cost component of the recurring recordkeeping costs associated with two hours of labor and a variable cost component that is proportional to a firm’s revenue.  It is assumed that wholesalers will use clerical labor for recordkeeping activities and technical labor for labeling.</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For employer firms that import composite wood products, the recurring recordkeeping cost is estimated as 195 hours per year (based on 2 hours of fixed cost labor, with the remaining hours of variable cost labor).  For </w:t>
      </w:r>
      <w:proofErr w:type="spellStart"/>
      <w:r w:rsidR="00A83DDA" w:rsidRPr="002F1795">
        <w:rPr>
          <w:sz w:val="24"/>
        </w:rPr>
        <w:t>nonemployer</w:t>
      </w:r>
      <w:proofErr w:type="spellEnd"/>
      <w:r w:rsidR="00A83DDA" w:rsidRPr="002F1795">
        <w:rPr>
          <w:sz w:val="24"/>
        </w:rPr>
        <w:t xml:space="preserve"> firms that import composite wood products, the variable cost component is calculated by subtracting two hours of fixed labor cost (at a cost of $51.08) from the total reported annual cost ($4,980) and then dividing by the estimated average revenue for affected employer wholesalers ($8,308,417).  The resulting variable cost component (0.05933 percent of revenue) is multiplied by average </w:t>
      </w:r>
      <w:proofErr w:type="spellStart"/>
      <w:r w:rsidR="00A83DDA" w:rsidRPr="002F1795">
        <w:rPr>
          <w:sz w:val="24"/>
        </w:rPr>
        <w:t>nonemployer</w:t>
      </w:r>
      <w:proofErr w:type="spellEnd"/>
      <w:r w:rsidR="00A83DDA" w:rsidRPr="002F1795">
        <w:rPr>
          <w:sz w:val="24"/>
        </w:rPr>
        <w:t xml:space="preserve"> revenues ($82,542) and results in costs of $100.05, or 3.92 labor hours per year.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It is assumed that one percent of wholesalers incur labeling burden, either because they are repackaging goods that were originally labeled on the packaging instead of on the individual items, or because they are replacing an original label applied by the panel producer or fabricator with a label listing a different company name.  It is also assumed that these wholesalers incur the same burden as the fabricators who are assumed to incur more substantial initial labeling burden (an average of 100 hours).  </w:t>
      </w:r>
    </w:p>
    <w:p w:rsidR="00A83DDA" w:rsidRPr="002F1795" w:rsidRDefault="00A83DDA" w:rsidP="00A83DDA">
      <w:pPr>
        <w:numPr>
          <w:ilvl w:val="12"/>
          <w:numId w:val="0"/>
        </w:numPr>
        <w:rPr>
          <w:u w:val="single"/>
        </w:rPr>
      </w:pPr>
    </w:p>
    <w:p w:rsidR="00A83DDA" w:rsidRPr="002F1795" w:rsidRDefault="00A83DDA" w:rsidP="00A83DDA">
      <w:pPr>
        <w:numPr>
          <w:ilvl w:val="12"/>
          <w:numId w:val="0"/>
        </w:numPr>
        <w:rPr>
          <w:u w:val="single"/>
        </w:rPr>
      </w:pPr>
      <w:r w:rsidRPr="002F1795">
        <w:rPr>
          <w:u w:val="single"/>
        </w:rPr>
        <w:t>(E). Retailers</w:t>
      </w:r>
    </w:p>
    <w:p w:rsidR="00A83DDA" w:rsidRPr="002F1795" w:rsidRDefault="00A83DDA" w:rsidP="00A83DDA">
      <w:pPr>
        <w:numPr>
          <w:ilvl w:val="12"/>
          <w:numId w:val="0"/>
        </w:numPr>
        <w:ind w:firstLine="720"/>
        <w:rPr>
          <w:u w:val="single"/>
        </w:rPr>
      </w:pPr>
    </w:p>
    <w:p w:rsidR="00A83DDA" w:rsidRPr="002F1795" w:rsidRDefault="00A83DDA" w:rsidP="00A83DDA">
      <w:pPr>
        <w:numPr>
          <w:ilvl w:val="12"/>
          <w:numId w:val="0"/>
        </w:numPr>
        <w:ind w:firstLine="720"/>
      </w:pPr>
      <w:r w:rsidRPr="002F1795">
        <w:t>It is assumed that retailers do not import composite wood products directly (without a wholesaler), and thus are not subject to the rule’s chain of custody requirements</w:t>
      </w:r>
      <w:r w:rsidR="00ED5C44" w:rsidRPr="002F1795">
        <w:t xml:space="preserve"> for importers</w:t>
      </w:r>
      <w:r w:rsidRPr="002F1795">
        <w:t>.</w:t>
      </w:r>
      <w:r w:rsidRPr="002F1795">
        <w:rPr>
          <w:rStyle w:val="FootnoteReference"/>
          <w:vertAlign w:val="superscript"/>
        </w:rPr>
        <w:footnoteReference w:id="18"/>
      </w:r>
      <w:r w:rsidRPr="002F1795">
        <w:t xml:space="preserve">  Retailers that do not import composite wood products must keep invoices and bills of lading.  Retailer’s customary business practices are assumed to be generally sufficient to meet the proposed rule’s recordkeeping requirements.</w:t>
      </w:r>
      <w:r w:rsidRPr="002F1795">
        <w:rPr>
          <w:rStyle w:val="FootnoteReference"/>
          <w:vertAlign w:val="superscript"/>
        </w:rPr>
        <w:footnoteReference w:id="19"/>
      </w:r>
      <w:r w:rsidRPr="002F1795">
        <w:t xml:space="preserve">  Therefore the recordkeeping requirements are not assumed to impose any additional burden on retailers.</w:t>
      </w:r>
      <w:r w:rsidRPr="002F1795">
        <w:rPr>
          <w:rStyle w:val="FootnoteReference"/>
          <w:vertAlign w:val="superscript"/>
        </w:rPr>
        <w:footnoteReference w:id="20"/>
      </w:r>
      <w:r w:rsidRPr="002F1795">
        <w:rPr>
          <w:vertAlign w:val="superscript"/>
        </w:rPr>
        <w:t xml:space="preserve"> </w:t>
      </w:r>
      <w:r w:rsidRPr="002F1795">
        <w:t xml:space="preserve">      </w:t>
      </w:r>
    </w:p>
    <w:p w:rsidR="00A83DDA" w:rsidRPr="002F1795" w:rsidRDefault="00A83DDA" w:rsidP="00A83DDA">
      <w:pPr>
        <w:numPr>
          <w:ilvl w:val="12"/>
          <w:numId w:val="0"/>
        </w:numPr>
        <w:ind w:firstLine="720"/>
        <w:rPr>
          <w:u w:val="single"/>
        </w:rPr>
      </w:pPr>
    </w:p>
    <w:p w:rsidR="00A83DDA" w:rsidRPr="002F1795" w:rsidRDefault="00A83DDA" w:rsidP="00A83DDA">
      <w:pPr>
        <w:numPr>
          <w:ilvl w:val="12"/>
          <w:numId w:val="0"/>
        </w:numPr>
        <w:rPr>
          <w:i/>
        </w:rPr>
      </w:pPr>
      <w:r w:rsidRPr="002F1795">
        <w:rPr>
          <w:i/>
        </w:rPr>
        <w:tab/>
        <w:t>Baseline Compliance for Retailers</w:t>
      </w:r>
    </w:p>
    <w:p w:rsidR="00A83DDA" w:rsidRPr="002F1795" w:rsidRDefault="00A83DDA" w:rsidP="00A83DDA">
      <w:pPr>
        <w:numPr>
          <w:ilvl w:val="12"/>
          <w:numId w:val="0"/>
        </w:numPr>
        <w:ind w:firstLine="720"/>
        <w:rPr>
          <w:u w:val="single"/>
        </w:rPr>
      </w:pPr>
    </w:p>
    <w:p w:rsidR="00A83DDA" w:rsidRPr="002F1795" w:rsidRDefault="00452741" w:rsidP="00A83DDA">
      <w:pPr>
        <w:pStyle w:val="BodyText"/>
        <w:rPr>
          <w:sz w:val="24"/>
        </w:rPr>
      </w:pPr>
      <w:r w:rsidRPr="002F1795">
        <w:tab/>
      </w:r>
      <w:fldSimple w:instr=" REF _Ref304901487 \h  \* MERGEFORMAT ">
        <w:r w:rsidR="0036394F" w:rsidRPr="0036394F">
          <w:rPr>
            <w:sz w:val="24"/>
          </w:rPr>
          <w:t>Exhibit 6-8</w:t>
        </w:r>
      </w:fldSimple>
      <w:r w:rsidR="00A83DDA" w:rsidRPr="002F1795">
        <w:rPr>
          <w:sz w:val="24"/>
        </w:rPr>
        <w:t xml:space="preserve"> presents a summary of the baseline compliance estimates for retail industries.  Baseline CARB compliance was calculated in the same manner as described the wholesale section (i.e., by determining the number of firms with at least one establishment in California).  Additional detail is provided in the Economic Analysis for the rulemaking.</w:t>
      </w:r>
    </w:p>
    <w:p w:rsidR="00A83DDA" w:rsidRPr="002F1795" w:rsidRDefault="00A83DDA" w:rsidP="00A83DDA">
      <w:pPr>
        <w:pStyle w:val="BodyText"/>
        <w:rPr>
          <w:sz w:val="24"/>
        </w:rPr>
      </w:pPr>
    </w:p>
    <w:tbl>
      <w:tblPr>
        <w:tblW w:w="34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2"/>
        <w:gridCol w:w="4418"/>
        <w:gridCol w:w="1305"/>
      </w:tblGrid>
      <w:tr w:rsidR="00A83DDA" w:rsidRPr="002F1795" w:rsidTr="006565F1">
        <w:trPr>
          <w:trHeight w:val="77"/>
          <w:tblHeader/>
          <w:jc w:val="center"/>
        </w:trPr>
        <w:tc>
          <w:tcPr>
            <w:tcW w:w="6554" w:type="dxa"/>
            <w:gridSpan w:val="3"/>
            <w:shd w:val="clear" w:color="auto" w:fill="BFBFBF" w:themeFill="background1" w:themeFillShade="BF"/>
            <w:tcMar>
              <w:left w:w="29" w:type="dxa"/>
              <w:right w:w="29" w:type="dxa"/>
            </w:tcMar>
            <w:vAlign w:val="bottom"/>
          </w:tcPr>
          <w:p w:rsidR="00A83DDA" w:rsidRPr="002F1795" w:rsidRDefault="00A83DDA" w:rsidP="006565F1">
            <w:pPr>
              <w:pStyle w:val="TableTitle"/>
              <w:keepNext/>
              <w:keepLines/>
            </w:pPr>
            <w:bookmarkStart w:id="10" w:name="_Ref304901487"/>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8</w:t>
            </w:r>
            <w:r w:rsidR="0041046E">
              <w:rPr>
                <w:noProof/>
              </w:rPr>
              <w:fldChar w:fldCharType="end"/>
            </w:r>
            <w:bookmarkEnd w:id="10"/>
            <w:r w:rsidRPr="002F1795">
              <w:rPr>
                <w:lang w:eastAsia="zh-CN"/>
              </w:rPr>
              <w:t>:  Baseline CARB Compliance of Retail Industries</w:t>
            </w:r>
          </w:p>
        </w:tc>
      </w:tr>
      <w:tr w:rsidR="00A83DDA" w:rsidRPr="002F1795" w:rsidTr="006565F1">
        <w:trPr>
          <w:tblHeader/>
          <w:jc w:val="center"/>
        </w:trPr>
        <w:tc>
          <w:tcPr>
            <w:tcW w:w="832" w:type="dxa"/>
            <w:shd w:val="clear" w:color="auto" w:fill="auto"/>
            <w:tcMar>
              <w:left w:w="29" w:type="dxa"/>
              <w:right w:w="29" w:type="dxa"/>
            </w:tcMar>
            <w:vAlign w:val="center"/>
          </w:tcPr>
          <w:p w:rsidR="00A83DDA" w:rsidRPr="002F1795" w:rsidRDefault="00A83DDA" w:rsidP="006565F1">
            <w:pPr>
              <w:pStyle w:val="TableSubtitle"/>
            </w:pPr>
            <w:r w:rsidRPr="002F1795">
              <w:rPr>
                <w:rFonts w:eastAsia="SimSun"/>
                <w:lang w:eastAsia="zh-CN"/>
              </w:rPr>
              <w:t>NAICS</w:t>
            </w:r>
          </w:p>
        </w:tc>
        <w:tc>
          <w:tcPr>
            <w:tcW w:w="4417" w:type="dxa"/>
            <w:shd w:val="clear" w:color="auto" w:fill="auto"/>
            <w:tcMar>
              <w:left w:w="29" w:type="dxa"/>
              <w:right w:w="29" w:type="dxa"/>
            </w:tcMar>
            <w:vAlign w:val="center"/>
          </w:tcPr>
          <w:p w:rsidR="00A83DDA" w:rsidRPr="002F1795" w:rsidRDefault="00A83DDA" w:rsidP="006565F1">
            <w:pPr>
              <w:pStyle w:val="TableSubtitle"/>
            </w:pPr>
            <w:r w:rsidRPr="002F1795">
              <w:rPr>
                <w:rFonts w:eastAsia="SimSun"/>
                <w:lang w:eastAsia="zh-CN"/>
              </w:rPr>
              <w:t>NAICS Description</w:t>
            </w:r>
          </w:p>
        </w:tc>
        <w:tc>
          <w:tcPr>
            <w:tcW w:w="1305" w:type="dxa"/>
            <w:shd w:val="clear" w:color="auto" w:fill="auto"/>
            <w:tcMar>
              <w:left w:w="29" w:type="dxa"/>
              <w:right w:w="29" w:type="dxa"/>
            </w:tcMar>
            <w:vAlign w:val="center"/>
          </w:tcPr>
          <w:p w:rsidR="00A83DDA" w:rsidRPr="002F1795" w:rsidRDefault="00A83DDA" w:rsidP="006565F1">
            <w:pPr>
              <w:pStyle w:val="TableSubtitle"/>
            </w:pPr>
            <w:r w:rsidRPr="002F1795">
              <w:t>Baseline CARB Compliance</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441110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New car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11.5%</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441210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Recreational vehicle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11.6%</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441221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Motorcycle, ATV, and personal watercraft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10.7%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441229</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All other motor vehicle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10.6%</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441320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Tire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14.7%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442110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Furniture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442210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Floor covering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442291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Window treatment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15.0%</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442299</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All other home furnishings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15.4%</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443111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Household appliance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10.5%</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443112</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Radio, television, and other electronics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16.8%</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443120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Computer and software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15.1%</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443130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Camera and photographic supplies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17.8%</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444110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Home centers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16.2%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444120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Paint and wallpaper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19.0%</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444130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Hardware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9.7%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444190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Other building material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444210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Outdoor power equipment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5.7%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444220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Nursery, garden center, and farm supply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8.7%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Supermarkets and other grocery (except convenience)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445120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Convenience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445210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Meat markets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10.9%</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445220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Fish and seafood markets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10.3%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445230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Fruit and vegetable markets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10.4%</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445291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Baked goods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12.4%</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445292</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Confectionery and nut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13.9%</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445299</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All other specialty food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445310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Beer, wine, and liquor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446110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Pharmacies and drug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15.5%</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446120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Cosmetics, beauty supplies, and perfume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12.4%</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446130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Optical goods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16.1%</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446191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Food (health) supplement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13.1%</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446199</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All other health and personal care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13.3%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447110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Gasoline stations with convenience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15.0%</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447190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Other gasoline stations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13.1%</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Men's clothing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18.0%</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448120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Women's clothing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17.0%</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448130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Children's and infants' clothing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15.6%</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448140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Family clothing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19.6%</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448150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Clothing accessories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448190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Other clothing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448210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Shoe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19.1%</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448310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Jewelry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14.4%</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448320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Luggage and leather goods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16.1%</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451110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Sporting goods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13.5%</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451120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Hobby, toy, and game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14.2%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451130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Sewing, needlework, and piece goods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13.2%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451140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Musical instrument and supplies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451211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Book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15.6%</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451212</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News dealers and newsstands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11.5%</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451220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Prerecorded tape, compact disc, and record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14.5%</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452111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Department stores (except discount department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70.8%</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452112</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Discount department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74.7%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452910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Warehouse clubs and supercenters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92.0%</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452990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All other general merchandise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9.8%</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453110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Florists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9.2%</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lastRenderedPageBreak/>
              <w:t>453210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Office supplies and stationery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17.6%</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453220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Gift, novelty, and souvenir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12.8%</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453910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Pet and pet supplies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12.9%</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453920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Art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13.7%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453930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Manufactured (mobile) home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7.3%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453991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Tobacco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12.7%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453998</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All other miscellaneous store retailers (except tobacco stores)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11.5%</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454111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Electronic shopping</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10.3%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454113</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Mail-order houses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11.3%</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454210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Vending machine operators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11.0%</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454311</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Heating oil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11.7%</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454312</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Liquefied petroleum gas (bottled gas) dealers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20.4%</w:t>
            </w:r>
          </w:p>
        </w:tc>
      </w:tr>
      <w:tr w:rsidR="00A83DDA" w:rsidRPr="002F1795" w:rsidTr="006565F1">
        <w:trPr>
          <w:jc w:val="center"/>
        </w:trPr>
        <w:tc>
          <w:tcPr>
            <w:tcW w:w="832" w:type="dxa"/>
            <w:shd w:val="clear" w:color="auto" w:fill="auto"/>
            <w:tcMar>
              <w:left w:w="29" w:type="dxa"/>
              <w:right w:w="29" w:type="dxa"/>
            </w:tcMar>
            <w:vAlign w:val="center"/>
          </w:tcPr>
          <w:p w:rsidR="00A83DDA" w:rsidRPr="002F1795" w:rsidRDefault="00A83DDA" w:rsidP="006565F1">
            <w:pPr>
              <w:pStyle w:val="TableText"/>
              <w:jc w:val="center"/>
            </w:pPr>
            <w:r w:rsidRPr="002F1795">
              <w:t>454390</w:t>
            </w:r>
          </w:p>
        </w:tc>
        <w:tc>
          <w:tcPr>
            <w:tcW w:w="4417" w:type="dxa"/>
            <w:shd w:val="clear" w:color="auto" w:fill="auto"/>
            <w:tcMar>
              <w:left w:w="29" w:type="dxa"/>
              <w:right w:w="29" w:type="dxa"/>
            </w:tcMar>
            <w:vAlign w:val="bottom"/>
          </w:tcPr>
          <w:p w:rsidR="00A83DDA" w:rsidRPr="002F1795" w:rsidRDefault="00A83DDA" w:rsidP="006565F1">
            <w:pPr>
              <w:pStyle w:val="TableText"/>
            </w:pPr>
            <w:r w:rsidRPr="002F1795">
              <w:t>Other direct selling establishments</w:t>
            </w:r>
          </w:p>
        </w:tc>
        <w:tc>
          <w:tcPr>
            <w:tcW w:w="1305" w:type="dxa"/>
            <w:shd w:val="clear" w:color="auto" w:fill="auto"/>
            <w:tcMar>
              <w:left w:w="29" w:type="dxa"/>
              <w:right w:w="29" w:type="dxa"/>
            </w:tcMar>
          </w:tcPr>
          <w:p w:rsidR="00A83DDA" w:rsidRPr="002F1795" w:rsidRDefault="00A83DDA" w:rsidP="006565F1">
            <w:pPr>
              <w:pStyle w:val="TableText"/>
              <w:ind w:right="134"/>
              <w:jc w:val="center"/>
            </w:pPr>
            <w:r w:rsidRPr="002F1795">
              <w:t>11.1%</w:t>
            </w:r>
          </w:p>
        </w:tc>
      </w:tr>
      <w:tr w:rsidR="00A83DDA" w:rsidRPr="002F1795" w:rsidTr="006565F1">
        <w:trPr>
          <w:jc w:val="center"/>
        </w:trPr>
        <w:tc>
          <w:tcPr>
            <w:tcW w:w="5249" w:type="dxa"/>
            <w:gridSpan w:val="2"/>
            <w:shd w:val="clear" w:color="auto" w:fill="auto"/>
            <w:tcMar>
              <w:left w:w="29" w:type="dxa"/>
              <w:right w:w="29" w:type="dxa"/>
            </w:tcMar>
            <w:vAlign w:val="bottom"/>
          </w:tcPr>
          <w:p w:rsidR="00A83DDA" w:rsidRPr="002F1795" w:rsidRDefault="00A83DDA" w:rsidP="006565F1">
            <w:pPr>
              <w:pStyle w:val="TableText"/>
              <w:rPr>
                <w:b/>
              </w:rPr>
            </w:pPr>
            <w:r w:rsidRPr="002F1795">
              <w:rPr>
                <w:b/>
              </w:rPr>
              <w:t>Total Retailers</w:t>
            </w:r>
          </w:p>
        </w:tc>
        <w:tc>
          <w:tcPr>
            <w:tcW w:w="1305" w:type="dxa"/>
            <w:shd w:val="clear" w:color="auto" w:fill="auto"/>
            <w:tcMar>
              <w:left w:w="29" w:type="dxa"/>
              <w:right w:w="29" w:type="dxa"/>
            </w:tcMar>
          </w:tcPr>
          <w:p w:rsidR="00A83DDA" w:rsidRPr="002F1795" w:rsidRDefault="00A83DDA" w:rsidP="006565F1">
            <w:pPr>
              <w:pStyle w:val="TableText"/>
              <w:ind w:right="134"/>
              <w:jc w:val="center"/>
              <w:rPr>
                <w:b/>
                <w:bCs/>
              </w:rPr>
            </w:pPr>
            <w:r w:rsidRPr="002F1795">
              <w:rPr>
                <w:b/>
                <w:bCs/>
              </w:rPr>
              <w:t>13.2%</w:t>
            </w:r>
          </w:p>
        </w:tc>
      </w:tr>
      <w:tr w:rsidR="00A83DDA" w:rsidRPr="002F1795" w:rsidTr="006565F1">
        <w:trPr>
          <w:jc w:val="center"/>
        </w:trPr>
        <w:tc>
          <w:tcPr>
            <w:tcW w:w="6554" w:type="dxa"/>
            <w:gridSpan w:val="3"/>
            <w:shd w:val="clear" w:color="auto" w:fill="auto"/>
            <w:tcMar>
              <w:left w:w="29" w:type="dxa"/>
              <w:right w:w="29" w:type="dxa"/>
            </w:tcMar>
          </w:tcPr>
          <w:p w:rsidR="00A83DDA" w:rsidRPr="002F1795" w:rsidRDefault="00A83DDA" w:rsidP="006565F1">
            <w:pPr>
              <w:pStyle w:val="tablefootnote"/>
              <w:keepLines/>
            </w:pPr>
            <w:r w:rsidRPr="002F1795">
              <w:rPr>
                <w:lang w:eastAsia="zh-CN"/>
              </w:rPr>
              <w:t>a. Baseline CARB compliance represents the percent of retailers estimated to be selling their products in California, and therefore not expected to incur supplier notification costs.</w:t>
            </w:r>
          </w:p>
          <w:p w:rsidR="00A83DDA" w:rsidRPr="002F1795" w:rsidRDefault="00A83DDA" w:rsidP="006565F1">
            <w:pPr>
              <w:pStyle w:val="TableSource"/>
              <w:keepNext/>
              <w:keepLines/>
            </w:pPr>
            <w:r w:rsidRPr="002F1795">
              <w:t>Sources:</w:t>
            </w:r>
            <w:r w:rsidR="0041046E" w:rsidRPr="002F1795">
              <w:fldChar w:fldCharType="begin">
                <w:fldData xml:space="preserve">PEVuZE5vdGU+PENpdGU+PEF1dGhvcj5VLlMuIENlbnN1cyBCdXJlYXU8L0F1dGhvcj48WWVhcj4y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</w:fldData>
              </w:fldChar>
            </w:r>
            <w:r w:rsidRPr="002F1795">
              <w:instrText xml:space="preserve"> ADDIN EN.CITE </w:instrText>
            </w:r>
            <w:r w:rsidR="0041046E" w:rsidRPr="002F1795">
              <w:fldChar w:fldCharType="begin">
                <w:fldData xml:space="preserve">PEVuZE5vdGU+PENpdGU+PEF1dGhvcj5VLlMuIENlbnN1cyBCdXJlYXU8L0F1dGhvcj48WWVhcj4y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</w:fldData>
              </w:fldChar>
            </w:r>
            <w:r w:rsidRPr="002F1795">
              <w:instrText xml:space="preserve"> ADDIN EN.CITE.DATA </w:instrText>
            </w:r>
            <w:r w:rsidR="0041046E" w:rsidRPr="002F1795">
              <w:fldChar w:fldCharType="end"/>
            </w:r>
            <w:r w:rsidR="0041046E" w:rsidRPr="002F1795">
              <w:fldChar w:fldCharType="separate"/>
            </w:r>
            <w:hyperlink w:anchor="_ENREF_9" w:tooltip="U.S. Census Bureau, 1997 #1" w:history="1">
              <w:r w:rsidRPr="002F1795">
                <w:rPr>
                  <w:noProof/>
                </w:rPr>
                <w:t>U.S. Census Bureau 1997</w:t>
              </w:r>
            </w:hyperlink>
            <w:r w:rsidRPr="002F1795">
              <w:rPr>
                <w:noProof/>
              </w:rPr>
              <w:t xml:space="preserve">, </w:t>
            </w:r>
            <w:hyperlink w:anchor="_ENREF_17" w:tooltip="U.S. Census Bureau, 2010 #43" w:history="1">
              <w:r w:rsidRPr="002F1795">
                <w:rPr>
                  <w:noProof/>
                </w:rPr>
                <w:t>2010g</w:t>
              </w:r>
            </w:hyperlink>
            <w:r w:rsidRPr="002F1795">
              <w:rPr>
                <w:noProof/>
              </w:rPr>
              <w:t xml:space="preserve">, </w:t>
            </w:r>
            <w:hyperlink w:anchor="_ENREF_21" w:tooltip="U.S. Census Bureau, 2010 #244" w:history="1">
              <w:r w:rsidRPr="002F1795">
                <w:rPr>
                  <w:noProof/>
                </w:rPr>
                <w:t>k</w:t>
              </w:r>
            </w:hyperlink>
            <w:r w:rsidRPr="002F1795">
              <w:rPr>
                <w:noProof/>
              </w:rPr>
              <w:t xml:space="preserve">, </w:t>
            </w:r>
            <w:hyperlink w:anchor="_ENREF_22" w:tooltip="U.S. Census Bureau, 2010 #2" w:history="1">
              <w:r w:rsidRPr="002F1795">
                <w:rPr>
                  <w:noProof/>
                </w:rPr>
                <w:t>l</w:t>
              </w:r>
            </w:hyperlink>
            <w:r w:rsidR="0041046E" w:rsidRPr="002F1795">
              <w:fldChar w:fldCharType="end"/>
            </w:r>
          </w:p>
        </w:tc>
      </w:tr>
    </w:tbl>
    <w:p w:rsidR="00A83DDA" w:rsidRPr="002F1795" w:rsidRDefault="00A83DDA" w:rsidP="00A83DDA">
      <w:pPr>
        <w:numPr>
          <w:ilvl w:val="12"/>
          <w:numId w:val="0"/>
        </w:numPr>
      </w:pPr>
    </w:p>
    <w:p w:rsidR="00A83DDA" w:rsidRPr="002F1795" w:rsidRDefault="00A83DDA" w:rsidP="00A83DDA">
      <w:pPr>
        <w:numPr>
          <w:ilvl w:val="12"/>
          <w:numId w:val="0"/>
        </w:numPr>
        <w:rPr>
          <w:i/>
        </w:rPr>
      </w:pPr>
      <w:r w:rsidRPr="002F1795">
        <w:t xml:space="preserve">(F). </w:t>
      </w:r>
      <w:r w:rsidRPr="002F1795">
        <w:rPr>
          <w:u w:val="single"/>
        </w:rPr>
        <w:t>Summary</w:t>
      </w:r>
    </w:p>
    <w:p w:rsidR="00A83DDA" w:rsidRPr="002F1795" w:rsidRDefault="00A83DDA" w:rsidP="00A83DDA">
      <w:pPr>
        <w:numPr>
          <w:ilvl w:val="12"/>
          <w:numId w:val="0"/>
        </w:numPr>
      </w:pPr>
    </w:p>
    <w:p w:rsidR="00A83DDA" w:rsidRPr="002F1795" w:rsidRDefault="00A83DDA" w:rsidP="00A83DDA">
      <w:pPr>
        <w:pStyle w:val="ICRBodyText"/>
      </w:pPr>
      <w:r w:rsidRPr="002F1795">
        <w:rPr>
          <w:rStyle w:val="ICRBodyTextChar"/>
        </w:rPr>
        <w:t xml:space="preserve"> </w:t>
      </w:r>
      <w:fldSimple w:instr=" REF _Ref309214737 \h  \* MERGEFORMAT ">
        <w:r w:rsidR="0036394F" w:rsidRPr="0036394F">
          <w:rPr>
            <w:rStyle w:val="ICRBodyTextChar"/>
          </w:rPr>
          <w:t>Exhibit 6-9</w:t>
        </w:r>
      </w:fldSimple>
      <w:r w:rsidRPr="002F1795">
        <w:rPr>
          <w:rStyle w:val="ICRBodyTextChar"/>
        </w:rPr>
        <w:t xml:space="preserve"> and </w:t>
      </w:r>
      <w:fldSimple w:instr=" REF _Ref309214739 \h  \* MERGEFORMAT ">
        <w:r w:rsidR="0036394F" w:rsidRPr="0036394F">
          <w:rPr>
            <w:rStyle w:val="ICRBodyTextChar"/>
          </w:rPr>
          <w:t>Exhibit 6-10</w:t>
        </w:r>
      </w:fldSimple>
      <w:r w:rsidRPr="002F1795">
        <w:t xml:space="preserve"> </w:t>
      </w:r>
      <w:r w:rsidRPr="002F1795">
        <w:rPr>
          <w:rStyle w:val="ICRBodyTextChar"/>
        </w:rPr>
        <w:t xml:space="preserve">summarize the total number of respondents, total burden per respondent and total burden for each response activity over the first year, and second and third years of the ICR, respectively.  </w:t>
      </w:r>
      <w:fldSimple w:instr=" REF _Ref309214741 \h  \* MERGEFORMAT ">
        <w:r w:rsidR="0036394F" w:rsidRPr="0036394F">
          <w:rPr>
            <w:rStyle w:val="ICRBodyTextChar"/>
          </w:rPr>
          <w:t>Exhibit 6-11</w:t>
        </w:r>
      </w:fldSimple>
      <w:r w:rsidRPr="002F1795">
        <w:rPr>
          <w:rStyle w:val="ICRBodyTextChar"/>
        </w:rPr>
        <w:t xml:space="preserve"> presents the average total value for those variables over the first three years of the rule (i.e., without accounting for the baseline compliance with the CARB ATCM).  </w:t>
      </w:r>
      <w:fldSimple w:instr=" REF _Ref309214744 \h  \* MERGEFORMAT ">
        <w:r w:rsidR="0036394F" w:rsidRPr="0036394F">
          <w:rPr>
            <w:rStyle w:val="ICRBodyTextChar"/>
          </w:rPr>
          <w:t>Exhibit 6-12</w:t>
        </w:r>
      </w:fldSimple>
      <w:r w:rsidRPr="002F1795">
        <w:rPr>
          <w:rStyle w:val="ICRBodyTextChar"/>
        </w:rPr>
        <w:t xml:space="preserve"> through </w:t>
      </w:r>
      <w:fldSimple w:instr=" REF _Ref309214747 \h  \* MERGEFORMAT ">
        <w:r w:rsidR="0036394F" w:rsidRPr="0036394F">
          <w:rPr>
            <w:rStyle w:val="ICRBodyTextChar"/>
          </w:rPr>
          <w:t>Exhibit 6-14</w:t>
        </w:r>
      </w:fldSimple>
      <w:r w:rsidRPr="002F1795">
        <w:rPr>
          <w:rStyle w:val="ICRBodyTextChar"/>
        </w:rPr>
        <w:t xml:space="preserve"> </w:t>
      </w:r>
      <w:proofErr w:type="gramStart"/>
      <w:r w:rsidRPr="002F1795">
        <w:rPr>
          <w:rStyle w:val="ICRBodyTextChar"/>
        </w:rPr>
        <w:t>mirror</w:t>
      </w:r>
      <w:proofErr w:type="gramEnd"/>
      <w:r w:rsidRPr="002F1795">
        <w:rPr>
          <w:rStyle w:val="ICRBodyTextChar"/>
        </w:rPr>
        <w:t xml:space="preserve"> the previous three tables, except that they account for incremental burdens (excluding baseline burden and cost).  Note that most respondents are incurring burdens for multiple activities listed in these exhibits.  As indicated, the average annual burden over the first three years of the rule is estimated to be approximately </w:t>
      </w:r>
      <w:r w:rsidR="00510BC3" w:rsidRPr="002F1795">
        <w:rPr>
          <w:rStyle w:val="ICRBodyTextChar"/>
        </w:rPr>
        <w:t>7.9</w:t>
      </w:r>
      <w:r w:rsidRPr="002F1795">
        <w:rPr>
          <w:rStyle w:val="ICRBodyTextChar"/>
        </w:rPr>
        <w:t xml:space="preserve"> million hours, while the incremental burden over this time period is estimated at </w:t>
      </w:r>
      <w:r w:rsidR="00510BC3" w:rsidRPr="002F1795">
        <w:rPr>
          <w:rStyle w:val="ICRBodyTextChar"/>
        </w:rPr>
        <w:t>5.8</w:t>
      </w:r>
      <w:r w:rsidRPr="002F1795">
        <w:rPr>
          <w:rStyle w:val="ICRBodyTextChar"/>
        </w:rPr>
        <w:t xml:space="preserve"> million hours. The domestic burden accounts for approximately </w:t>
      </w:r>
      <w:r w:rsidR="00510BC3" w:rsidRPr="002F1795">
        <w:rPr>
          <w:rStyle w:val="ICRBodyTextChar"/>
        </w:rPr>
        <w:t>63.3</w:t>
      </w:r>
      <w:r w:rsidRPr="002F1795">
        <w:rPr>
          <w:rStyle w:val="ICRBodyTextChar"/>
        </w:rPr>
        <w:t xml:space="preserve"> percent and 66.</w:t>
      </w:r>
      <w:r w:rsidR="00510BC3" w:rsidRPr="002F1795">
        <w:rPr>
          <w:rStyle w:val="ICRBodyTextChar"/>
        </w:rPr>
        <w:t>9</w:t>
      </w:r>
      <w:r w:rsidRPr="002F1795">
        <w:rPr>
          <w:rStyle w:val="ICRBodyTextChar"/>
        </w:rPr>
        <w:t xml:space="preserve"> percent of the totals, respectively</w:t>
      </w:r>
      <w:r w:rsidRPr="002F1795">
        <w:t>.</w:t>
      </w:r>
    </w:p>
    <w:p w:rsidR="00A83DDA" w:rsidRPr="002F1795" w:rsidRDefault="00A83DDA" w:rsidP="00A83DDA">
      <w:pPr>
        <w:numPr>
          <w:ilvl w:val="12"/>
          <w:numId w:val="0"/>
        </w:numPr>
        <w:ind w:firstLine="720"/>
        <w:rPr>
          <w:u w:val="single"/>
        </w:rPr>
      </w:pPr>
    </w:p>
    <w:p w:rsidR="00A83DDA" w:rsidRPr="002F1795" w:rsidRDefault="00A83DDA" w:rsidP="00A83DDA">
      <w:pPr>
        <w:numPr>
          <w:ilvl w:val="12"/>
          <w:numId w:val="0"/>
        </w:numPr>
        <w:ind w:firstLine="720"/>
        <w:rPr>
          <w:u w:val="single"/>
        </w:rPr>
      </w:pPr>
    </w:p>
    <w:p w:rsidR="00A83DDA" w:rsidRPr="002F1795" w:rsidRDefault="00A83DDA" w:rsidP="00A83DDA">
      <w:pPr>
        <w:numPr>
          <w:ilvl w:val="12"/>
          <w:numId w:val="0"/>
        </w:numPr>
        <w:ind w:firstLine="720"/>
        <w:rPr>
          <w:u w:val="single"/>
        </w:rPr>
      </w:pPr>
    </w:p>
    <w:p w:rsidR="00A83DDA" w:rsidRPr="002F1795" w:rsidRDefault="00A83DDA" w:rsidP="00A83DDA">
      <w:pPr>
        <w:adjustRightInd/>
        <w:rPr>
          <w:b/>
          <w:bCs/>
          <w:color w:val="000000"/>
        </w:rPr>
        <w:sectPr w:rsidR="00A83DDA" w:rsidRPr="002F1795" w:rsidSect="00A27A6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32" w:gutter="0"/>
          <w:cols w:space="720"/>
          <w:noEndnote/>
          <w:docGrid w:linePitch="326"/>
        </w:sectPr>
      </w:pPr>
    </w:p>
    <w:tbl>
      <w:tblPr>
        <w:tblW w:w="5025" w:type="pct"/>
        <w:jc w:val="center"/>
        <w:tblLayout w:type="fixed"/>
        <w:tblCellMar>
          <w:left w:w="115" w:type="dxa"/>
          <w:right w:w="115" w:type="dxa"/>
        </w:tblCellMar>
        <w:tblLook w:val="04A0"/>
      </w:tblPr>
      <w:tblGrid>
        <w:gridCol w:w="3503"/>
        <w:gridCol w:w="811"/>
        <w:gridCol w:w="945"/>
        <w:gridCol w:w="1016"/>
        <w:gridCol w:w="1080"/>
        <w:gridCol w:w="1259"/>
        <w:gridCol w:w="1259"/>
        <w:gridCol w:w="1092"/>
        <w:gridCol w:w="1121"/>
        <w:gridCol w:w="1170"/>
      </w:tblGrid>
      <w:tr w:rsidR="00A83DDA" w:rsidRPr="002F1795" w:rsidTr="006565F1">
        <w:trPr>
          <w:trHeight w:val="169"/>
          <w:tblHeader/>
          <w:jc w:val="center"/>
        </w:trPr>
        <w:tc>
          <w:tcPr>
            <w:tcW w:w="13256"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keepLines/>
            </w:pPr>
            <w:bookmarkStart w:id="11" w:name="_Ref309214737"/>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9</w:t>
            </w:r>
            <w:r w:rsidR="0041046E">
              <w:rPr>
                <w:noProof/>
              </w:rPr>
              <w:fldChar w:fldCharType="end"/>
            </w:r>
            <w:bookmarkEnd w:id="11"/>
            <w:r w:rsidRPr="002F1795">
              <w:t>: Total (including baseline) First Year Burden Hours, by Activity and Geographic Location</w:t>
            </w:r>
          </w:p>
        </w:tc>
      </w:tr>
      <w:tr w:rsidR="00A83DDA" w:rsidRPr="002F1795" w:rsidTr="006565F1">
        <w:trPr>
          <w:trHeight w:val="77"/>
          <w:tblHeader/>
          <w:jc w:val="center"/>
        </w:trPr>
        <w:tc>
          <w:tcPr>
            <w:tcW w:w="3503"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Activity</w:t>
            </w:r>
          </w:p>
        </w:tc>
        <w:tc>
          <w:tcPr>
            <w:tcW w:w="811" w:type="dxa"/>
            <w:vMerge w:val="restart"/>
            <w:tcBorders>
              <w:top w:val="single" w:sz="4" w:space="0" w:color="auto"/>
              <w:left w:val="single" w:sz="4" w:space="0" w:color="auto"/>
              <w:bottom w:val="single" w:sz="4" w:space="0" w:color="auto"/>
              <w:right w:val="single" w:sz="4" w:space="0" w:color="auto"/>
            </w:tcBorders>
            <w:shd w:val="clear" w:color="000000" w:fill="FFFFFF"/>
            <w:tcMar>
              <w:left w:w="14" w:type="dxa"/>
              <w:right w:w="14" w:type="dxa"/>
            </w:tcMar>
            <w:vAlign w:val="center"/>
            <w:hideMark/>
          </w:tcPr>
          <w:p w:rsidR="00A83DDA" w:rsidRPr="002F1795" w:rsidRDefault="00A83DDA" w:rsidP="006565F1">
            <w:pPr>
              <w:pStyle w:val="TableSubtitle"/>
            </w:pPr>
            <w:r w:rsidRPr="002F1795">
              <w:t>Labor Type</w:t>
            </w:r>
            <w:r w:rsidRPr="002F1795">
              <w:rPr>
                <w:rFonts w:ascii="Thorndale Duospace WT SC" w:eastAsia="Thorndale Duospace WT SC" w:hAnsi="Thorndale Duospace WT SC" w:cs="Thorndale Duospace WT SC" w:hint="eastAsia"/>
                <w:vertAlign w:val="superscript"/>
              </w:rPr>
              <w:t>1</w:t>
            </w:r>
          </w:p>
        </w:tc>
        <w:tc>
          <w:tcPr>
            <w:tcW w:w="304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Number of Entities</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Burden Per Activity (Hours)</w:t>
            </w:r>
          </w:p>
        </w:tc>
        <w:tc>
          <w:tcPr>
            <w:tcW w:w="3383" w:type="dxa"/>
            <w:gridSpan w:val="3"/>
            <w:tcBorders>
              <w:top w:val="single" w:sz="4" w:space="0" w:color="auto"/>
              <w:left w:val="nil"/>
              <w:bottom w:val="single" w:sz="4" w:space="0" w:color="auto"/>
              <w:right w:val="single" w:sz="8" w:space="0" w:color="000000"/>
            </w:tcBorders>
            <w:shd w:val="clear" w:color="000000" w:fill="FFFFFF"/>
            <w:vAlign w:val="center"/>
            <w:hideMark/>
          </w:tcPr>
          <w:p w:rsidR="00A83DDA" w:rsidRPr="002F1795" w:rsidRDefault="00A83DDA" w:rsidP="006565F1">
            <w:pPr>
              <w:pStyle w:val="TableSubtitle"/>
            </w:pPr>
            <w:r w:rsidRPr="002F1795">
              <w:t>Total Burden (Hours)</w:t>
            </w:r>
          </w:p>
        </w:tc>
      </w:tr>
      <w:tr w:rsidR="00A83DDA" w:rsidRPr="002F1795" w:rsidTr="006565F1">
        <w:trPr>
          <w:trHeight w:val="77"/>
          <w:tblHeader/>
          <w:jc w:val="center"/>
        </w:trPr>
        <w:tc>
          <w:tcPr>
            <w:tcW w:w="3503"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811"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4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01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2</w:t>
            </w:r>
          </w:p>
        </w:tc>
        <w:tc>
          <w:tcPr>
            <w:tcW w:w="108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09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121"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170"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Producers</w:t>
            </w:r>
            <w:r w:rsidRPr="002F1795">
              <w:rPr>
                <w:vertAlign w:val="superscript"/>
              </w:rPr>
              <w:t>3</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370</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1,129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1,499</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1,480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4,516</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5,996</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Fabricators</w:t>
            </w:r>
            <w:r w:rsidRPr="002F1795">
              <w:rPr>
                <w:vertAlign w:val="superscript"/>
              </w:rPr>
              <w:t>4</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79,701</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31,083</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110,784</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318,804</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124,332</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443,136</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Wholesalers</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85,560</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33,368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118,928</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342,240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133,472</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475,712</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Retailers</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3,036,192</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3,036,192</w:t>
            </w:r>
          </w:p>
        </w:tc>
      </w:tr>
      <w:tr w:rsidR="00A83DDA" w:rsidRPr="002F1795" w:rsidTr="006565F1">
        <w:trPr>
          <w:trHeight w:val="70"/>
          <w:jc w:val="center"/>
        </w:trPr>
        <w:tc>
          <w:tcPr>
            <w:tcW w:w="3503" w:type="dxa"/>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811"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945"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1016"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1080"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1259"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1259"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1092"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1121"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c>
          <w:tcPr>
            <w:tcW w:w="1170"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With Existing Certifications</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82</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764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846</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4.00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 w:val="16"/>
                <w:szCs w:val="16"/>
              </w:rPr>
            </w:pPr>
            <w:r w:rsidRPr="002F1795">
              <w:t>328</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 w:val="16"/>
                <w:szCs w:val="16"/>
              </w:rPr>
            </w:pPr>
            <w:r w:rsidRPr="002F1795">
              <w:t>3,056</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 w:val="16"/>
                <w:szCs w:val="16"/>
              </w:rPr>
            </w:pPr>
            <w:r w:rsidRPr="002F1795">
              <w:t>3,384</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Without Existing Certifications</w:t>
            </w:r>
            <w:r w:rsidRPr="002F1795">
              <w:rPr>
                <w:vertAlign w:val="superscript"/>
              </w:rPr>
              <w:t>3,5</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2,304</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2,920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5,224</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3</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11,520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14,600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26,120</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811"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945"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1016"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1080"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1259"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1259"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1092"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1121"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c>
          <w:tcPr>
            <w:tcW w:w="1170" w:type="dxa"/>
            <w:tcBorders>
              <w:top w:val="single" w:sz="4" w:space="0" w:color="auto"/>
              <w:left w:val="single" w:sz="8" w:space="0" w:color="auto"/>
              <w:bottom w:val="single" w:sz="4" w:space="0" w:color="auto"/>
              <w:right w:val="single" w:sz="8" w:space="0" w:color="auto"/>
            </w:tcBorders>
            <w:shd w:val="clear" w:color="auto" w:fill="FFFFFF" w:themeFill="background1"/>
            <w:vAlign w:val="bottom"/>
          </w:tcPr>
          <w:p w:rsidR="00A83DDA" w:rsidRPr="002F1795" w:rsidRDefault="00A83DDA" w:rsidP="006565F1">
            <w:pPr>
              <w:pStyle w:val="TableText"/>
            </w:pP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w:t>
            </w:r>
            <w:r w:rsidRPr="002F1795">
              <w:rPr>
                <w:vertAlign w:val="superscript"/>
              </w:rPr>
              <w:t>6</w:t>
            </w:r>
          </w:p>
        </w:tc>
      </w:tr>
      <w:tr w:rsidR="0015718A" w:rsidRPr="002F1795" w:rsidTr="0015718A">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5718A" w:rsidRPr="002F1795" w:rsidRDefault="0015718A" w:rsidP="006565F1">
            <w:pPr>
              <w:pStyle w:val="TableText"/>
              <w:ind w:left="213"/>
            </w:pPr>
            <w:r w:rsidRPr="002F1795">
              <w:t>1 Product</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5718A" w:rsidRPr="002F1795" w:rsidRDefault="0015718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5718A" w:rsidRPr="002F1795" w:rsidRDefault="0015718A">
            <w:pPr>
              <w:jc w:val="right"/>
              <w:rPr>
                <w:color w:val="000000"/>
                <w:sz w:val="18"/>
                <w:szCs w:val="18"/>
              </w:rPr>
            </w:pPr>
            <w:r w:rsidRPr="002F1795">
              <w:rPr>
                <w:color w:val="000000"/>
                <w:sz w:val="18"/>
                <w:szCs w:val="18"/>
              </w:rPr>
              <w:t>5</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5718A" w:rsidRPr="002F1795" w:rsidRDefault="0015718A">
            <w:pPr>
              <w:jc w:val="right"/>
              <w:rPr>
                <w:color w:val="000000"/>
                <w:sz w:val="18"/>
                <w:szCs w:val="18"/>
              </w:rPr>
            </w:pPr>
            <w:r w:rsidRPr="002F1795">
              <w:rPr>
                <w:color w:val="000000"/>
                <w:sz w:val="18"/>
                <w:szCs w:val="18"/>
              </w:rPr>
              <w:t>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5718A" w:rsidRPr="002F1795" w:rsidRDefault="0015718A">
            <w:pPr>
              <w:jc w:val="right"/>
              <w:rPr>
                <w:color w:val="000000"/>
                <w:sz w:val="18"/>
                <w:szCs w:val="18"/>
              </w:rPr>
            </w:pPr>
            <w:r w:rsidRPr="002F1795">
              <w:rPr>
                <w:color w:val="000000"/>
                <w:sz w:val="18"/>
                <w:szCs w:val="18"/>
              </w:rPr>
              <w:t>69</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5718A" w:rsidRPr="002F1795" w:rsidRDefault="0015718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5718A" w:rsidRPr="002F1795" w:rsidRDefault="0015718A" w:rsidP="006565F1">
            <w:pPr>
              <w:pStyle w:val="TableText"/>
              <w:jc w:val="right"/>
            </w:pPr>
            <w:r w:rsidRPr="002F1795">
              <w:t>0.50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5718A" w:rsidRPr="002F1795" w:rsidRDefault="0015718A">
            <w:pPr>
              <w:jc w:val="right"/>
              <w:rPr>
                <w:color w:val="000000"/>
                <w:sz w:val="18"/>
                <w:szCs w:val="18"/>
              </w:rPr>
            </w:pPr>
            <w:r w:rsidRPr="002F1795">
              <w:rPr>
                <w:color w:val="000000"/>
                <w:sz w:val="18"/>
                <w:szCs w:val="18"/>
              </w:rPr>
              <w:t>3</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5718A" w:rsidRPr="002F1795" w:rsidRDefault="0015718A">
            <w:pPr>
              <w:jc w:val="right"/>
              <w:rPr>
                <w:color w:val="000000"/>
                <w:sz w:val="18"/>
                <w:szCs w:val="18"/>
              </w:rPr>
            </w:pPr>
            <w:r w:rsidRPr="002F1795">
              <w:rPr>
                <w:color w:val="000000"/>
                <w:sz w:val="18"/>
                <w:szCs w:val="18"/>
              </w:rPr>
              <w:t>32</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5718A" w:rsidRPr="002F1795" w:rsidRDefault="0015718A">
            <w:pPr>
              <w:jc w:val="right"/>
              <w:rPr>
                <w:color w:val="000000"/>
                <w:sz w:val="18"/>
                <w:szCs w:val="18"/>
              </w:rPr>
            </w:pPr>
            <w:r w:rsidRPr="002F1795">
              <w:rPr>
                <w:color w:val="000000"/>
                <w:sz w:val="18"/>
                <w:szCs w:val="18"/>
              </w:rPr>
              <w:t>35</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2 Products</w:t>
            </w:r>
            <w:r w:rsidRPr="002F1795">
              <w:rPr>
                <w:vertAlign w:val="superscript"/>
              </w:rPr>
              <w:t>3,5</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0.25</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144</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183</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327</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1 Product</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5</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69</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10</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1.00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50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640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690</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2 Products</w:t>
            </w:r>
            <w:r w:rsidRPr="002F1795">
              <w:rPr>
                <w:vertAlign w:val="superscript"/>
              </w:rPr>
              <w:t>3,5</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5,760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7,300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13,060</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7</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Standard</w:t>
            </w:r>
            <w:r w:rsidRPr="002F1795">
              <w:rPr>
                <w:vertAlign w:val="superscript"/>
              </w:rPr>
              <w:t>3,6</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328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599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927</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3</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4.00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3,936</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7,188</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11,124</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NAF (With New Certification)</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222</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4.00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44</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844</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888</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10. Large Scale Testing Shipment</w:t>
            </w:r>
            <w:r w:rsidRPr="002F1795">
              <w:rPr>
                <w:vertAlign w:val="superscript"/>
              </w:rPr>
              <w:t>7</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Standard</w:t>
            </w:r>
            <w:r w:rsidR="00C7107E" w:rsidRPr="002F1795">
              <w:t>/ULEF</w:t>
            </w:r>
            <w:r w:rsidRPr="002F1795">
              <w:t xml:space="preserve"> Certification</w:t>
            </w:r>
            <w:r w:rsidRPr="002F1795">
              <w:rPr>
                <w:vertAlign w:val="superscript"/>
              </w:rPr>
              <w:t>3,5</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345</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778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1,123</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3</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0.50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518</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1,167</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1,685</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NAF (With New Certification)</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222</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0.50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6</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106</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112</w:t>
            </w:r>
          </w:p>
        </w:tc>
      </w:tr>
      <w:tr w:rsidR="00B16947" w:rsidRPr="002F1795" w:rsidTr="00B16947">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B16947" w:rsidRPr="002F1795" w:rsidRDefault="00B16947" w:rsidP="00B16947">
            <w:pPr>
              <w:pStyle w:val="TableText"/>
              <w:ind w:firstLine="213"/>
            </w:pPr>
            <w:r w:rsidRPr="002F1795">
              <w:t>NAF (With Existing Certification)</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6947" w:rsidRPr="002F1795" w:rsidRDefault="00B16947" w:rsidP="006565F1">
            <w:pPr>
              <w:pStyle w:val="TableText"/>
              <w:jc w:val="center"/>
            </w:pPr>
            <w:r w:rsidRPr="002F1795">
              <w:t>M</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16947" w:rsidRPr="002F1795" w:rsidRDefault="00B16947">
            <w:pPr>
              <w:jc w:val="right"/>
              <w:rPr>
                <w:color w:val="000000"/>
                <w:sz w:val="18"/>
                <w:szCs w:val="18"/>
              </w:rPr>
            </w:pPr>
            <w:r w:rsidRPr="002F1795">
              <w:rPr>
                <w:color w:val="000000"/>
                <w:sz w:val="18"/>
                <w:szCs w:val="18"/>
              </w:rPr>
              <w:t>14</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16947" w:rsidRPr="002F1795" w:rsidRDefault="00B16947">
            <w:pPr>
              <w:jc w:val="right"/>
              <w:rPr>
                <w:color w:val="000000"/>
                <w:sz w:val="18"/>
                <w:szCs w:val="18"/>
              </w:rPr>
            </w:pPr>
            <w:r w:rsidRPr="002F1795">
              <w:rPr>
                <w:color w:val="000000"/>
                <w:sz w:val="18"/>
                <w:szCs w:val="18"/>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16947" w:rsidRPr="002F1795" w:rsidRDefault="00B16947">
            <w:pPr>
              <w:jc w:val="right"/>
              <w:rPr>
                <w:color w:val="000000"/>
                <w:sz w:val="18"/>
                <w:szCs w:val="18"/>
              </w:rPr>
            </w:pPr>
            <w:r w:rsidRPr="002F1795">
              <w:rPr>
                <w:color w:val="000000"/>
                <w:sz w:val="18"/>
                <w:szCs w:val="18"/>
              </w:rPr>
              <w:t>154</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16947" w:rsidRPr="002F1795" w:rsidRDefault="00B16947">
            <w:pPr>
              <w:jc w:val="right"/>
              <w:rPr>
                <w:color w:val="000000"/>
                <w:sz w:val="18"/>
                <w:szCs w:val="18"/>
              </w:rPr>
            </w:pPr>
            <w:r w:rsidRPr="002F1795">
              <w:rPr>
                <w:color w:val="000000"/>
                <w:sz w:val="18"/>
                <w:szCs w:val="18"/>
              </w:rPr>
              <w:t>1</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16947" w:rsidRPr="002F1795" w:rsidRDefault="00B16947">
            <w:pPr>
              <w:jc w:val="right"/>
              <w:rPr>
                <w:rFonts w:eastAsiaTheme="minorHAnsi"/>
                <w:sz w:val="18"/>
                <w:szCs w:val="20"/>
              </w:rPr>
            </w:pPr>
            <w:r w:rsidRPr="002F1795">
              <w:rPr>
                <w:rFonts w:eastAsiaTheme="minorHAnsi"/>
                <w:sz w:val="18"/>
                <w:szCs w:val="20"/>
              </w:rPr>
              <w:t>0.50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16947" w:rsidRPr="002F1795" w:rsidRDefault="00B16947">
            <w:pPr>
              <w:jc w:val="right"/>
              <w:rPr>
                <w:color w:val="000000"/>
                <w:sz w:val="18"/>
                <w:szCs w:val="18"/>
              </w:rPr>
            </w:pPr>
            <w:r w:rsidRPr="002F1795">
              <w:rPr>
                <w:color w:val="000000"/>
                <w:sz w:val="18"/>
                <w:szCs w:val="18"/>
              </w:rPr>
              <w:t>7</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16947" w:rsidRPr="002F1795" w:rsidRDefault="00B16947">
            <w:pPr>
              <w:jc w:val="right"/>
              <w:rPr>
                <w:color w:val="000000"/>
                <w:sz w:val="18"/>
                <w:szCs w:val="18"/>
              </w:rPr>
            </w:pPr>
            <w:r w:rsidRPr="002F1795">
              <w:rPr>
                <w:color w:val="000000"/>
                <w:sz w:val="18"/>
                <w:szCs w:val="18"/>
              </w:rPr>
              <w:t>70</w:t>
            </w:r>
          </w:p>
        </w:tc>
        <w:tc>
          <w:tcPr>
            <w:tcW w:w="1170"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B16947" w:rsidRPr="002F1795" w:rsidRDefault="00B16947">
            <w:pPr>
              <w:jc w:val="right"/>
              <w:rPr>
                <w:color w:val="000000"/>
                <w:sz w:val="18"/>
                <w:szCs w:val="18"/>
              </w:rPr>
            </w:pPr>
            <w:r w:rsidRPr="002F1795">
              <w:rPr>
                <w:color w:val="000000"/>
                <w:sz w:val="18"/>
                <w:szCs w:val="18"/>
              </w:rPr>
              <w:t>77</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8</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Standard Certification</w:t>
            </w:r>
            <w:r w:rsidRPr="002F1795">
              <w:rPr>
                <w:vertAlign w:val="superscript"/>
              </w:rPr>
              <w:t>3,5</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328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599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927</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8</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1.00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2,624</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4,792</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7,416</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NAF (With New Certification)</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222</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2</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1.00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22</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422</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444</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r w:rsidRPr="002F1795">
              <w:rPr>
                <w:vertAlign w:val="superscript"/>
              </w:rPr>
              <w:t>9</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10</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Standard Certification</w:t>
            </w:r>
            <w:r w:rsidRPr="002F1795">
              <w:rPr>
                <w:vertAlign w:val="superscript"/>
              </w:rPr>
              <w:t>3,6</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328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599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927</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260</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2.00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170,560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311,480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482,040</w:t>
            </w:r>
          </w:p>
        </w:tc>
      </w:tr>
      <w:tr w:rsidR="003E4F73" w:rsidRPr="002F1795" w:rsidTr="003E4F73">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ind w:left="213"/>
            </w:pPr>
            <w:r w:rsidRPr="002F1795">
              <w:t>New NAF Certification</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rsidP="006565F1">
            <w:pPr>
              <w:pStyle w:val="TableText"/>
              <w:jc w:val="center"/>
            </w:pPr>
            <w:r w:rsidRPr="002F1795">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11</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222</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65</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E4F73" w:rsidRPr="002F1795" w:rsidRDefault="003E4F73" w:rsidP="006565F1">
            <w:pPr>
              <w:pStyle w:val="TableText"/>
              <w:jc w:val="right"/>
            </w:pPr>
            <w:r w:rsidRPr="002F1795">
              <w:t>2.00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1,430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27,430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E4F73" w:rsidRPr="002F1795" w:rsidRDefault="003E4F73">
            <w:pPr>
              <w:jc w:val="right"/>
              <w:rPr>
                <w:color w:val="000000"/>
                <w:sz w:val="18"/>
                <w:szCs w:val="18"/>
              </w:rPr>
            </w:pPr>
            <w:r w:rsidRPr="002F1795">
              <w:rPr>
                <w:color w:val="000000"/>
                <w:sz w:val="18"/>
                <w:szCs w:val="18"/>
              </w:rPr>
              <w:t>28,860</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8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11</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8,576</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11,945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20,521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59.15</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507,270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706,547</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1,213,817</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rPr>
                <w:szCs w:val="18"/>
              </w:rPr>
            </w:pPr>
            <w:r w:rsidRPr="002F1795">
              <w:rPr>
                <w:szCs w:val="18"/>
              </w:rPr>
              <w:t>17. Recurring Recordkeeping</w:t>
            </w:r>
            <w:r w:rsidRPr="002F1795">
              <w:rPr>
                <w:szCs w:val="18"/>
                <w:vertAlign w:val="superscript"/>
              </w:rPr>
              <w:t>12</w:t>
            </w:r>
            <w:r w:rsidRPr="002F1795">
              <w:rPr>
                <w:szCs w:val="18"/>
              </w:rPr>
              <w:t> </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rPr>
                <w:szCs w:val="18"/>
              </w:rPr>
            </w:pPr>
            <w:r w:rsidRPr="002F1795">
              <w:rPr>
                <w:color w:val="000000"/>
                <w:szCs w:val="18"/>
              </w:rPr>
              <w:t>Producers</w:t>
            </w:r>
            <w:r w:rsidRPr="002F1795">
              <w:rPr>
                <w:color w:val="000000"/>
                <w:szCs w:val="18"/>
                <w:vertAlign w:val="superscript"/>
              </w:rPr>
              <w:t>3,5</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M</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370</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1,129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1,499</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52</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19,240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58,708</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77,948</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rPr>
                <w:szCs w:val="18"/>
              </w:rPr>
            </w:pPr>
            <w:r w:rsidRPr="002F1795">
              <w:rPr>
                <w:color w:val="000000"/>
                <w:szCs w:val="18"/>
              </w:rPr>
              <w:lastRenderedPageBreak/>
              <w:t>Fabricators with burden- Employers</w:t>
            </w:r>
            <w:r w:rsidRPr="002F1795">
              <w:rPr>
                <w:color w:val="000000"/>
                <w:szCs w:val="18"/>
                <w:vertAlign w:val="superscript"/>
              </w:rPr>
              <w:t>4</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3,630</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1,422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5,052</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520.00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1,887,600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739,440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2,627,040</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213"/>
              <w:rPr>
                <w:szCs w:val="18"/>
              </w:rPr>
            </w:pPr>
            <w:r w:rsidRPr="002F1795">
              <w:rPr>
                <w:color w:val="000000"/>
                <w:szCs w:val="18"/>
              </w:rPr>
              <w:t>Fabricators with burden - Nonemployers</w:t>
            </w:r>
            <w:r w:rsidRPr="002F1795">
              <w:rPr>
                <w:color w:val="000000"/>
                <w:szCs w:val="18"/>
                <w:vertAlign w:val="superscript"/>
              </w:rPr>
              <w:t>4</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5,137</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1,997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7,134</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7.21</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37,038</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14,398</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51,436</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213"/>
              <w:rPr>
                <w:szCs w:val="18"/>
              </w:rPr>
            </w:pPr>
            <w:r w:rsidRPr="002F1795">
              <w:rPr>
                <w:color w:val="000000"/>
                <w:szCs w:val="18"/>
              </w:rPr>
              <w:t>Fabricators without burden</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szCs w:val="18"/>
              </w:rPr>
              <w:t>70,934</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szCs w:val="18"/>
              </w:rPr>
              <w:t>27,664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szCs w:val="18"/>
              </w:rPr>
              <w:t>98,598</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092"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170" w:type="dxa"/>
            <w:tcBorders>
              <w:top w:val="single" w:sz="4" w:space="0" w:color="auto"/>
              <w:left w:val="nil"/>
              <w:bottom w:val="single" w:sz="4" w:space="0" w:color="auto"/>
              <w:right w:val="single" w:sz="8"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rPr>
                <w:szCs w:val="18"/>
              </w:rPr>
            </w:pPr>
            <w:r w:rsidRPr="002F1795">
              <w:rPr>
                <w:color w:val="000000"/>
                <w:szCs w:val="18"/>
              </w:rPr>
              <w:t>Wholesalers with burden - Employers</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4,208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5,861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10,069</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195.00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820,560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1,142,895</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1,963,455</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213"/>
              <w:rPr>
                <w:szCs w:val="18"/>
              </w:rPr>
            </w:pPr>
            <w:r w:rsidRPr="002F1795">
              <w:rPr>
                <w:color w:val="000000"/>
                <w:szCs w:val="18"/>
              </w:rPr>
              <w:t xml:space="preserve">Wholesalers with burden - </w:t>
            </w:r>
            <w:proofErr w:type="spellStart"/>
            <w:r w:rsidRPr="002F1795">
              <w:rPr>
                <w:color w:val="000000"/>
                <w:szCs w:val="18"/>
              </w:rPr>
              <w:t>Nonemployers</w:t>
            </w:r>
            <w:proofErr w:type="spellEnd"/>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6,094</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8,487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14,581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3.92</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23,888</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33,269</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szCs w:val="18"/>
              </w:rPr>
              <w:t>57,158</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213"/>
              <w:rPr>
                <w:szCs w:val="18"/>
              </w:rPr>
            </w:pPr>
            <w:r w:rsidRPr="002F1795">
              <w:rPr>
                <w:color w:val="000000"/>
                <w:szCs w:val="18"/>
              </w:rPr>
              <w:t>Wholesalers without burden</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szCs w:val="18"/>
              </w:rPr>
              <w:t>75,258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szCs w:val="18"/>
              </w:rPr>
              <w:t>19,020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szCs w:val="18"/>
              </w:rPr>
              <w:t>94,278</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092"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170" w:type="dxa"/>
            <w:tcBorders>
              <w:top w:val="single" w:sz="4" w:space="0" w:color="auto"/>
              <w:left w:val="nil"/>
              <w:bottom w:val="single" w:sz="4" w:space="0" w:color="auto"/>
              <w:right w:val="single" w:sz="8"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213"/>
              <w:rPr>
                <w:szCs w:val="18"/>
              </w:rPr>
            </w:pPr>
            <w:r w:rsidRPr="002F1795">
              <w:rPr>
                <w:color w:val="000000"/>
                <w:szCs w:val="18"/>
              </w:rPr>
              <w:t>Retailers</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szCs w:val="18"/>
              </w:rPr>
              <w:t>759,048</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rFonts w:ascii="Tahoma" w:hAnsi="Tahoma" w:cs="Tahoma"/>
                <w:szCs w:val="18"/>
              </w:rPr>
            </w:pPr>
            <w:r w:rsidRPr="002F1795">
              <w:rPr>
                <w:szCs w:val="18"/>
              </w:rPr>
              <w:t>-</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szCs w:val="18"/>
              </w:rPr>
              <w:t>759,048</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szCs w:val="18"/>
              </w:rPr>
              <w:t>1</w:t>
            </w:r>
          </w:p>
        </w:tc>
        <w:tc>
          <w:tcPr>
            <w:tcW w:w="1259"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092"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c>
          <w:tcPr>
            <w:tcW w:w="1170" w:type="dxa"/>
            <w:tcBorders>
              <w:top w:val="single" w:sz="4" w:space="0" w:color="auto"/>
              <w:left w:val="nil"/>
              <w:bottom w:val="single" w:sz="4" w:space="0" w:color="auto"/>
              <w:right w:val="single" w:sz="8" w:space="0" w:color="auto"/>
            </w:tcBorders>
            <w:shd w:val="clear" w:color="auto" w:fill="FFFFFF" w:themeFill="background1"/>
            <w:noWrap/>
          </w:tcPr>
          <w:p w:rsidR="00A83DDA" w:rsidRPr="002F1795" w:rsidRDefault="00A83DDA" w:rsidP="006565F1">
            <w:pPr>
              <w:jc w:val="center"/>
              <w:rPr>
                <w:sz w:val="18"/>
                <w:szCs w:val="18"/>
              </w:rPr>
            </w:pPr>
            <w:r w:rsidRPr="002F1795">
              <w:rPr>
                <w:sz w:val="18"/>
                <w:szCs w:val="18"/>
              </w:rPr>
              <w:t>-</w:t>
            </w:r>
          </w:p>
        </w:tc>
      </w:tr>
      <w:tr w:rsidR="00A83DDA" w:rsidRPr="002F1795" w:rsidTr="006565F1">
        <w:trPr>
          <w:trHeight w:val="77"/>
          <w:jc w:val="center"/>
        </w:trPr>
        <w:tc>
          <w:tcPr>
            <w:tcW w:w="1325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r w:rsidRPr="002F1795">
              <w:rPr>
                <w:vertAlign w:val="superscript"/>
              </w:rPr>
              <w:t>13</w:t>
            </w:r>
            <w:r w:rsidRPr="002F1795">
              <w:t> </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Minor Changes - Producers</w:t>
            </w:r>
            <w:r w:rsidRPr="002F1795">
              <w:rPr>
                <w:vertAlign w:val="superscript"/>
              </w:rPr>
              <w:t>4,5</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6"/>
              </w:rPr>
            </w:pPr>
            <w:r w:rsidRPr="002F1795">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93</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1,021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1,114</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558</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6,126</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6,684</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Minor Changes - Fabricators</w:t>
            </w:r>
            <w:r w:rsidRPr="002F1795">
              <w:rPr>
                <w:vertAlign w:val="superscript"/>
              </w:rPr>
              <w:t>4</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6"/>
              </w:rPr>
            </w:pPr>
            <w:r w:rsidRPr="002F1795">
              <w:t>T</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64,290</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24,986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89,276</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192,870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74,958</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267,828</w:t>
            </w:r>
          </w:p>
        </w:tc>
      </w:tr>
      <w:tr w:rsidR="00A83DDA" w:rsidRPr="002F1795" w:rsidTr="006565F1">
        <w:trPr>
          <w:trHeight w:val="77"/>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Major Changes - Producers</w:t>
            </w:r>
            <w:r w:rsidRPr="002F1795">
              <w:rPr>
                <w:vertAlign w:val="superscript"/>
              </w:rPr>
              <w:t>3</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6"/>
              </w:rPr>
            </w:pPr>
            <w:r w:rsidRPr="002F1795">
              <w:t>C</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277</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385</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27,700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10,800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38,500</w:t>
            </w:r>
          </w:p>
        </w:tc>
      </w:tr>
      <w:tr w:rsidR="00A83DDA" w:rsidRPr="002F1795" w:rsidTr="006565F1">
        <w:trPr>
          <w:trHeight w:val="296"/>
          <w:jc w:val="center"/>
        </w:trPr>
        <w:tc>
          <w:tcPr>
            <w:tcW w:w="3503"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3"/>
            </w:pPr>
            <w:r w:rsidRPr="002F1795">
              <w:t>Major Changes - Fabricators and Wholesalers</w:t>
            </w:r>
            <w:r w:rsidRPr="002F1795">
              <w:rPr>
                <w:vertAlign w:val="superscript"/>
              </w:rPr>
              <w:t>4</w:t>
            </w:r>
          </w:p>
        </w:tc>
        <w:tc>
          <w:tcPr>
            <w:tcW w:w="8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6"/>
              </w:rPr>
            </w:pPr>
            <w:r w:rsidRPr="002F1795">
              <w:t>T</w:t>
            </w:r>
          </w:p>
        </w:tc>
        <w:tc>
          <w:tcPr>
            <w:tcW w:w="9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16,266</w:t>
            </w:r>
          </w:p>
        </w:tc>
        <w:tc>
          <w:tcPr>
            <w:tcW w:w="10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6,344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22,610</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w:t>
            </w:r>
          </w:p>
        </w:tc>
        <w:tc>
          <w:tcPr>
            <w:tcW w:w="12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100.00</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1,626,600</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634,400</w:t>
            </w:r>
          </w:p>
        </w:tc>
        <w:tc>
          <w:tcPr>
            <w:tcW w:w="117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pPr>
            <w:r w:rsidRPr="002F1795">
              <w:t>2,261,000</w:t>
            </w:r>
          </w:p>
        </w:tc>
      </w:tr>
      <w:tr w:rsidR="00B16947" w:rsidRPr="002F1795" w:rsidTr="003E4F73">
        <w:trPr>
          <w:trHeight w:val="77"/>
          <w:jc w:val="center"/>
        </w:trPr>
        <w:tc>
          <w:tcPr>
            <w:tcW w:w="9873" w:type="dxa"/>
            <w:gridSpan w:val="7"/>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16947" w:rsidRPr="002F1795" w:rsidRDefault="00B16947" w:rsidP="006565F1">
            <w:pPr>
              <w:pStyle w:val="TableText"/>
              <w:jc w:val="center"/>
              <w:rPr>
                <w:b/>
                <w:bCs/>
              </w:rPr>
            </w:pPr>
            <w:r w:rsidRPr="002F1795">
              <w:rPr>
                <w:b/>
                <w:bCs/>
              </w:rPr>
              <w:t>Total - Year 1</w:t>
            </w:r>
          </w:p>
        </w:tc>
        <w:tc>
          <w:tcPr>
            <w:tcW w:w="1092" w:type="dxa"/>
            <w:tcBorders>
              <w:top w:val="nil"/>
              <w:left w:val="nil"/>
              <w:bottom w:val="single" w:sz="4" w:space="0" w:color="auto"/>
              <w:right w:val="single" w:sz="4" w:space="0" w:color="auto"/>
            </w:tcBorders>
            <w:shd w:val="clear" w:color="000000" w:fill="FFFFFF"/>
            <w:noWrap/>
            <w:vAlign w:val="center"/>
            <w:hideMark/>
          </w:tcPr>
          <w:p w:rsidR="00B16947" w:rsidRPr="002F1795" w:rsidRDefault="00B16947">
            <w:pPr>
              <w:jc w:val="right"/>
              <w:rPr>
                <w:b/>
                <w:color w:val="000000"/>
                <w:sz w:val="18"/>
                <w:szCs w:val="18"/>
              </w:rPr>
            </w:pPr>
            <w:r w:rsidRPr="002F1795">
              <w:rPr>
                <w:b/>
                <w:color w:val="000000"/>
                <w:sz w:val="18"/>
                <w:szCs w:val="18"/>
              </w:rPr>
              <w:t>9,041,296</w:t>
            </w:r>
          </w:p>
        </w:tc>
        <w:tc>
          <w:tcPr>
            <w:tcW w:w="1121" w:type="dxa"/>
            <w:tcBorders>
              <w:top w:val="nil"/>
              <w:left w:val="nil"/>
              <w:bottom w:val="single" w:sz="4" w:space="0" w:color="auto"/>
              <w:right w:val="single" w:sz="4" w:space="0" w:color="auto"/>
            </w:tcBorders>
            <w:shd w:val="clear" w:color="000000" w:fill="FFFFFF"/>
            <w:noWrap/>
            <w:vAlign w:val="center"/>
            <w:hideMark/>
          </w:tcPr>
          <w:p w:rsidR="00B16947" w:rsidRPr="002F1795" w:rsidRDefault="00B16947">
            <w:pPr>
              <w:jc w:val="right"/>
              <w:rPr>
                <w:b/>
                <w:color w:val="000000"/>
                <w:sz w:val="18"/>
                <w:szCs w:val="18"/>
              </w:rPr>
            </w:pPr>
            <w:r w:rsidRPr="002F1795">
              <w:rPr>
                <w:b/>
                <w:color w:val="000000"/>
                <w:sz w:val="18"/>
                <w:szCs w:val="18"/>
              </w:rPr>
              <w:t>4,066,091</w:t>
            </w:r>
          </w:p>
        </w:tc>
        <w:tc>
          <w:tcPr>
            <w:tcW w:w="1170" w:type="dxa"/>
            <w:tcBorders>
              <w:top w:val="nil"/>
              <w:left w:val="nil"/>
              <w:bottom w:val="single" w:sz="4" w:space="0" w:color="auto"/>
              <w:right w:val="single" w:sz="8" w:space="0" w:color="auto"/>
            </w:tcBorders>
            <w:shd w:val="clear" w:color="000000" w:fill="FFFFFF"/>
            <w:noWrap/>
            <w:vAlign w:val="center"/>
            <w:hideMark/>
          </w:tcPr>
          <w:p w:rsidR="00B16947" w:rsidRPr="002F1795" w:rsidRDefault="00B16947">
            <w:pPr>
              <w:jc w:val="right"/>
              <w:rPr>
                <w:b/>
                <w:color w:val="000000"/>
                <w:sz w:val="18"/>
                <w:szCs w:val="18"/>
              </w:rPr>
            </w:pPr>
            <w:r w:rsidRPr="002F1795">
              <w:rPr>
                <w:b/>
                <w:color w:val="000000"/>
                <w:sz w:val="18"/>
                <w:szCs w:val="18"/>
              </w:rPr>
              <w:t>13,107,388</w:t>
            </w:r>
          </w:p>
        </w:tc>
      </w:tr>
      <w:tr w:rsidR="00A83DDA" w:rsidRPr="002F1795" w:rsidTr="006565F1">
        <w:trPr>
          <w:trHeight w:val="359"/>
          <w:jc w:val="center"/>
        </w:trPr>
        <w:tc>
          <w:tcPr>
            <w:tcW w:w="13256"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This column indicates the category of labor associated with the activity.  "M", "T", and "C" stand for managerial, technical, and clerical labor, respectively.</w:t>
            </w:r>
          </w:p>
          <w:p w:rsidR="00A83DDA" w:rsidRPr="002F1795" w:rsidRDefault="00A83DDA" w:rsidP="006565F1">
            <w:pPr>
              <w:pStyle w:val="tablefootnote"/>
              <w:keepLines/>
            </w:pPr>
            <w:r w:rsidRPr="002F1795">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Total excludes the estimated 2 percent of wood veneer laminated product producers expected to continue to use added formaldehyde resins.</w:t>
            </w:r>
          </w:p>
          <w:p w:rsidR="00A83DDA" w:rsidRPr="002F1795" w:rsidRDefault="00A83DDA" w:rsidP="006565F1">
            <w:pPr>
              <w:pStyle w:val="tablefootnote"/>
              <w:keepLines/>
            </w:pPr>
            <w:r w:rsidRPr="002F1795">
              <w:t>5.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6. Producers that are already CARB compliant are not assumed to need to perform correlation testing because it is assumed that their previous testing is sufficient.</w:t>
            </w:r>
          </w:p>
          <w:p w:rsidR="00A83DDA" w:rsidRPr="002F1795" w:rsidRDefault="00A83DDA" w:rsidP="006565F1">
            <w:pPr>
              <w:pStyle w:val="tablefootnote"/>
              <w:keepLines/>
            </w:pPr>
            <w:r w:rsidRPr="002F1795">
              <w:t xml:space="preserve">7. On-site audits must be conducted at least once quarterly, unless the mill obtains </w:t>
            </w:r>
            <w:r w:rsidR="00ED5C44"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ED5C44" w:rsidRPr="002F1795">
              <w:t xml:space="preserve">ULEF or </w:t>
            </w:r>
            <w:r w:rsidRPr="002F1795">
              <w:t xml:space="preserve">NAF certifications under the CARB ATCM will only incur the initial on-site audit in the first year.  All producers with </w:t>
            </w:r>
            <w:r w:rsidR="00ED5C44"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8. Desk audits are assumed to occur monthly</w:t>
            </w:r>
            <w:r w:rsidR="00F92F34" w:rsidRPr="002F1795">
              <w:t xml:space="preserve"> for standard certification</w:t>
            </w:r>
            <w:r w:rsidR="007A501C" w:rsidRPr="002F1795">
              <w:t>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F92F34" w:rsidRPr="002F1795">
              <w:t xml:space="preserve">ULEF or </w:t>
            </w:r>
            <w:r w:rsidRPr="002F1795">
              <w:t xml:space="preserve">NAF certification.  </w:t>
            </w:r>
          </w:p>
          <w:p w:rsidR="00A83DDA" w:rsidRPr="002F1795" w:rsidRDefault="00A83DDA" w:rsidP="006565F1">
            <w:pPr>
              <w:pStyle w:val="tablefootnote"/>
              <w:keepLines/>
            </w:pPr>
            <w:r w:rsidRPr="002F1795">
              <w:t>9. Although mills are likely to incur some labor burden while learning how to use the small chamber testing unit, it is not estimated in this analysis.</w:t>
            </w:r>
          </w:p>
          <w:p w:rsidR="00A83DDA" w:rsidRPr="002F1795" w:rsidRDefault="00A83DDA" w:rsidP="006565F1">
            <w:pPr>
              <w:pStyle w:val="tablefootnote"/>
              <w:keepLines/>
            </w:pPr>
            <w:r w:rsidRPr="002F1795">
              <w:t xml:space="preserve">10. This analysis assumes that composite panel producers </w:t>
            </w:r>
            <w:r w:rsidR="00EB4B76" w:rsidRPr="002F1795">
              <w:t xml:space="preserve">with a standard certification or a new NAF certification </w:t>
            </w:r>
            <w:r w:rsidRPr="002F1795">
              <w:t xml:space="preserve">test each production line once daily.  </w:t>
            </w:r>
            <w:r w:rsidR="00EB4B76" w:rsidRPr="002F1795">
              <w:t>Producers with an existing ULEF or NAF certification will already have been exempted from quality control testing</w:t>
            </w:r>
            <w:r w:rsidRPr="002F1795">
              <w:t>.</w:t>
            </w:r>
          </w:p>
          <w:p w:rsidR="00A83DDA" w:rsidRPr="002F1795" w:rsidRDefault="00A83DDA" w:rsidP="006565F1">
            <w:pPr>
              <w:pStyle w:val="tablefootnote"/>
              <w:keepLines/>
            </w:pPr>
            <w:r w:rsidRPr="002F1795">
              <w:t>11.  Recordkeeping costs are incurred by composite panel producers (including the estimated two percent of wood veneer laminated product producers defined as hardwood plywood producers), fabricators, and wholesalers that import composite wood products or articles that contain composite wood products.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are not already complying with the CARB ATCM and will have initial burden to change their recordkeeping systems to comply with the TSCA Title VI rule.</w:t>
            </w:r>
          </w:p>
          <w:p w:rsidR="00A83DDA" w:rsidRPr="002F1795" w:rsidRDefault="00A83DDA" w:rsidP="006565F1">
            <w:pPr>
              <w:pStyle w:val="tablefootnote"/>
              <w:keepLines/>
            </w:pPr>
            <w:r w:rsidRPr="002F1795">
              <w:t xml:space="preserve">12.  While recordkeeping is required for all respondents, not all entities will incur </w:t>
            </w:r>
            <w:r w:rsidR="005B4959" w:rsidRPr="002F1795">
              <w:t xml:space="preserve">additional </w:t>
            </w:r>
            <w:r w:rsidRPr="002F1795">
              <w:t xml:space="preserve">recordkeeping burden and costs.  This analysis assumes that some fabricators and wholesalers have existing </w:t>
            </w:r>
            <w:r w:rsidRPr="002F1795">
              <w:lastRenderedPageBreak/>
              <w:t xml:space="preserve">recordkeeping systems that are sufficient to meet the rule's requirements.  Based on responses to EPA’s questionnaires, it is assumed that that 11 percent of fabricators and 43 percent of wholesalers will have recurring recordkeeping costs.  However, the analysis assumes that only 28 percent of domestic wholesalers import composite wood products or articles that contain composite wood products and thus 43% of that 28% incur recurring recordkeeping burden.  The customary business practices of the remaining fabricators, wholesalers, and all retailers are assumed to be generally sufficient to meet the proposed rule’s recordkeeping requirements.  For fabricators and wholesalers with burden, the analysis assumes that there is a fixed-cost component of the recurring recordkeeping costs associated with two hours of labor and a variable cost component that is proportional to a firm’s revenue.  The variable cost factor is estimated by subtracting the fixed cost from the total reported cost and then dividing by the estimated average revenue for affected employer category.  For fabricators, the fixed cost is $49.68, the total reported cost is $12,916.80, and the average revenue is $4,241,245.  For wholesalers, the fixed cost is $51.08, the total reported cost is $4,890.30, and the average revenue is $8,308,417.  The respective variable cost factors are 0.30338 percent and 0.05933 percent of revenue.  The recurring recordkeeping burdens for employer fabricators and wholesalers are 520 and 195 hours per year, respectively.  For </w:t>
            </w:r>
            <w:proofErr w:type="spellStart"/>
            <w:r w:rsidRPr="002F1795">
              <w:t>nonemployers</w:t>
            </w:r>
            <w:proofErr w:type="spellEnd"/>
            <w:r w:rsidRPr="002F1795">
              <w:t xml:space="preserve">, the average recurring recordkeeping burden is estimated as the sum of the burden associated with the fixed cost (2 hours) and the burden associated with the respective variable costs, which are calculated as 0.30338 percent of average </w:t>
            </w:r>
            <w:proofErr w:type="spellStart"/>
            <w:r w:rsidRPr="002F1795">
              <w:t>nonemployer</w:t>
            </w:r>
            <w:proofErr w:type="spellEnd"/>
            <w:r w:rsidRPr="002F1795">
              <w:t xml:space="preserve"> fabricator revenues ($42,690) and  0.05933 percent of average </w:t>
            </w:r>
            <w:proofErr w:type="spellStart"/>
            <w:r w:rsidRPr="002F1795">
              <w:t>nonemployer</w:t>
            </w:r>
            <w:proofErr w:type="spellEnd"/>
            <w:r w:rsidRPr="002F1795">
              <w:t xml:space="preserve"> wholesaler revenues ($82,542).  The resulting average fabricator and wholesaler </w:t>
            </w:r>
            <w:proofErr w:type="spellStart"/>
            <w:r w:rsidRPr="002F1795">
              <w:t>nonemployer</w:t>
            </w:r>
            <w:proofErr w:type="spellEnd"/>
            <w:r w:rsidRPr="002F1795">
              <w:t xml:space="preserve"> recurring recordkeeping burdens are 7.21 and 3.92 hours per year, respectively.  </w:t>
            </w:r>
          </w:p>
          <w:p w:rsidR="00A83DDA" w:rsidRPr="002F1795" w:rsidRDefault="00A83DDA" w:rsidP="005B4959">
            <w:pPr>
              <w:pStyle w:val="tablefootnote"/>
              <w:keepLines/>
              <w:rPr>
                <w:rFonts w:ascii="Tahoma" w:hAnsi="Tahoma" w:cs="Tahoma"/>
                <w:szCs w:val="16"/>
              </w:rPr>
            </w:pPr>
            <w:r w:rsidRPr="002F1795">
              <w:t xml:space="preserve">13.  </w:t>
            </w:r>
            <w:r w:rsidR="005B4959"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fabricators that are not already complying with the CARB ATCM, and all fabricators that are already complying with the CARB ATCM 33 percent of fabricators, and 1 percent of wholesalers will incur the cost associated with 3 hours of labor for making small changes to their labels.  The remaining fabricators and one percent of wholesalers are assumed to incur the average cost of the two firms that reported initial labeling costs in the fabricator questionnaire (see the Economic Analysis for more details).</w:t>
            </w:r>
          </w:p>
        </w:tc>
      </w:tr>
    </w:tbl>
    <w:p w:rsidR="00A83DDA" w:rsidRPr="002F1795" w:rsidRDefault="00A83DDA" w:rsidP="00A83DDA">
      <w:pPr>
        <w:numPr>
          <w:ilvl w:val="12"/>
          <w:numId w:val="0"/>
        </w:numPr>
        <w:rPr>
          <w:u w:val="single"/>
        </w:rPr>
      </w:pPr>
    </w:p>
    <w:tbl>
      <w:tblPr>
        <w:tblW w:w="5000" w:type="pct"/>
        <w:jc w:val="center"/>
        <w:tblLayout w:type="fixed"/>
        <w:tblCellMar>
          <w:left w:w="115" w:type="dxa"/>
          <w:right w:w="115" w:type="dxa"/>
        </w:tblCellMar>
        <w:tblLook w:val="04A0"/>
      </w:tblPr>
      <w:tblGrid>
        <w:gridCol w:w="2995"/>
        <w:gridCol w:w="900"/>
        <w:gridCol w:w="990"/>
        <w:gridCol w:w="990"/>
        <w:gridCol w:w="1080"/>
        <w:gridCol w:w="1350"/>
        <w:gridCol w:w="1260"/>
        <w:gridCol w:w="1350"/>
        <w:gridCol w:w="1086"/>
        <w:gridCol w:w="1189"/>
      </w:tblGrid>
      <w:tr w:rsidR="00A83DDA" w:rsidRPr="002F1795" w:rsidTr="006565F1">
        <w:trPr>
          <w:trHeight w:val="187"/>
          <w:tblHeader/>
          <w:jc w:val="center"/>
        </w:trPr>
        <w:tc>
          <w:tcPr>
            <w:tcW w:w="13190"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keepLines/>
            </w:pPr>
            <w:bookmarkStart w:id="12" w:name="_Ref309214739"/>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10</w:t>
            </w:r>
            <w:r w:rsidR="0041046E">
              <w:rPr>
                <w:noProof/>
              </w:rPr>
              <w:fldChar w:fldCharType="end"/>
            </w:r>
            <w:bookmarkEnd w:id="12"/>
            <w:r w:rsidRPr="002F1795">
              <w:t>: Total (including baseline) Second and Third Year Burden Hours, by Activity and Geographic Location</w:t>
            </w:r>
          </w:p>
        </w:tc>
      </w:tr>
      <w:tr w:rsidR="00A83DDA" w:rsidRPr="002F1795" w:rsidTr="006565F1">
        <w:trPr>
          <w:trHeight w:val="300"/>
          <w:tblHeader/>
          <w:jc w:val="center"/>
        </w:trPr>
        <w:tc>
          <w:tcPr>
            <w:tcW w:w="299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Activity</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Labor Type</w:t>
            </w:r>
            <w:r w:rsidRPr="002F1795">
              <w:rPr>
                <w:rFonts w:ascii="Thorndale Duospace WT SC" w:eastAsia="Thorndale Duospace WT SC" w:hAnsi="Thorndale Duospace WT SC" w:cs="Thorndale Duospace WT SC" w:hint="eastAsia"/>
                <w:vertAlign w:val="superscript"/>
              </w:rPr>
              <w:t>1</w:t>
            </w:r>
          </w:p>
        </w:tc>
        <w:tc>
          <w:tcPr>
            <w:tcW w:w="3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Number of Entities</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rPr>
                <w:sz w:val="16"/>
                <w:szCs w:val="16"/>
              </w:rPr>
            </w:pPr>
            <w:r w:rsidRPr="002F1795">
              <w:rPr>
                <w:sz w:val="16"/>
                <w:szCs w:val="16"/>
              </w:rPr>
              <w:t>Number of Activities Per Respondent</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Burden Per Activity (Hours)</w:t>
            </w:r>
          </w:p>
        </w:tc>
        <w:tc>
          <w:tcPr>
            <w:tcW w:w="3625" w:type="dxa"/>
            <w:gridSpan w:val="3"/>
            <w:tcBorders>
              <w:top w:val="single" w:sz="4" w:space="0" w:color="auto"/>
              <w:left w:val="nil"/>
              <w:bottom w:val="single" w:sz="4" w:space="0" w:color="auto"/>
              <w:right w:val="single" w:sz="8" w:space="0" w:color="000000"/>
            </w:tcBorders>
            <w:shd w:val="clear" w:color="000000" w:fill="FFFFFF"/>
            <w:vAlign w:val="center"/>
            <w:hideMark/>
          </w:tcPr>
          <w:p w:rsidR="00A83DDA" w:rsidRPr="002F1795" w:rsidRDefault="00A83DDA" w:rsidP="006565F1">
            <w:pPr>
              <w:pStyle w:val="TableSubtitle"/>
            </w:pPr>
            <w:r w:rsidRPr="002F1795">
              <w:t>Total Burden (Hours)</w:t>
            </w:r>
          </w:p>
        </w:tc>
      </w:tr>
      <w:tr w:rsidR="00A83DDA" w:rsidRPr="002F1795" w:rsidTr="006565F1">
        <w:trPr>
          <w:trHeight w:val="77"/>
          <w:tblHeader/>
          <w:jc w:val="center"/>
        </w:trPr>
        <w:tc>
          <w:tcPr>
            <w:tcW w:w="2995"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9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99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2</w:t>
            </w:r>
          </w:p>
        </w:tc>
        <w:tc>
          <w:tcPr>
            <w:tcW w:w="108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35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08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189"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 </w:t>
            </w:r>
          </w:p>
        </w:tc>
      </w:tr>
      <w:tr w:rsidR="00A83DDA" w:rsidRPr="002F1795" w:rsidTr="006565F1">
        <w:trPr>
          <w:trHeight w:val="143"/>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Producers</w:t>
            </w:r>
            <w:r w:rsidRPr="002F1795">
              <w:rPr>
                <w:vertAlign w:val="superscript"/>
              </w:rPr>
              <w:t>3</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Fabricators</w:t>
            </w:r>
            <w:r w:rsidRPr="002F1795">
              <w:rPr>
                <w:vertAlign w:val="superscript"/>
              </w:rPr>
              <w:t>4</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Wholesalers</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Retailers</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 </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 Existing Certifications</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Without Existing Certifications</w:t>
            </w:r>
            <w:r w:rsidRPr="002F1795">
              <w:rPr>
                <w:vertAlign w:val="superscript"/>
              </w:rPr>
              <w:t>3,5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3</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color w:val="000000"/>
                <w:szCs w:val="18"/>
              </w:rPr>
            </w:pPr>
            <w:r w:rsidRPr="002F1795">
              <w:rPr>
                <w:color w:val="000000"/>
                <w:szCs w:val="18"/>
              </w:rPr>
              <w:t>1 Product</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szCs w:val="18"/>
              </w:rPr>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color w:val="000000"/>
                <w:szCs w:val="18"/>
              </w:rPr>
            </w:pPr>
            <w:r w:rsidRPr="002F1795">
              <w:rPr>
                <w:color w:val="000000"/>
                <w:szCs w:val="18"/>
              </w:rPr>
              <w:t>2 Products</w:t>
            </w:r>
            <w:r w:rsidRPr="002F1795">
              <w:rPr>
                <w:color w:val="000000"/>
                <w:szCs w:val="18"/>
                <w:vertAlign w:val="superscript"/>
              </w:rPr>
              <w:t>3,5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szCs w:val="18"/>
              </w:rPr>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rPr>
                <w:szCs w:val="18"/>
              </w:rPr>
            </w:pPr>
            <w:r w:rsidRPr="002F1795">
              <w:rPr>
                <w:szCs w:val="18"/>
              </w:rPr>
              <w:t>7. Correlation Test</w:t>
            </w:r>
            <w:r w:rsidRPr="002F1795">
              <w:rPr>
                <w:szCs w:val="18"/>
                <w:vertAlign w:val="superscript"/>
              </w:rPr>
              <w:t>6</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color w:val="000000"/>
                <w:szCs w:val="18"/>
              </w:rPr>
            </w:pPr>
            <w:r w:rsidRPr="002F1795">
              <w:rPr>
                <w:color w:val="000000"/>
                <w:szCs w:val="18"/>
              </w:rPr>
              <w:t>1 Product</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szCs w:val="18"/>
              </w:rPr>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color w:val="000000"/>
                <w:szCs w:val="18"/>
              </w:rPr>
            </w:pPr>
            <w:r w:rsidRPr="002F1795">
              <w:rPr>
                <w:color w:val="000000"/>
                <w:szCs w:val="18"/>
              </w:rPr>
              <w:t>2 Products</w:t>
            </w:r>
            <w:r w:rsidRPr="002F1795">
              <w:rPr>
                <w:color w:val="000000"/>
                <w:szCs w:val="18"/>
                <w:vertAlign w:val="superscript"/>
              </w:rPr>
              <w:t>3,5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szCs w:val="18"/>
              </w:rPr>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rPr>
                <w:szCs w:val="18"/>
              </w:rPr>
            </w:pPr>
            <w:r w:rsidRPr="002F1795">
              <w:rPr>
                <w:szCs w:val="18"/>
              </w:rPr>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rPr>
                <w:szCs w:val="18"/>
              </w:rPr>
            </w:pPr>
            <w:r w:rsidRPr="002F1795">
              <w:rPr>
                <w:szCs w:val="18"/>
              </w:rPr>
              <w:t>8. Quarterly On-site Audit</w:t>
            </w:r>
            <w:r w:rsidRPr="002F1795">
              <w:rPr>
                <w:szCs w:val="18"/>
                <w:vertAlign w:val="superscript"/>
              </w:rPr>
              <w:t>7</w:t>
            </w:r>
            <w:r w:rsidRPr="002F1795">
              <w:rPr>
                <w:szCs w:val="18"/>
              </w:rPr>
              <w:t> </w:t>
            </w:r>
          </w:p>
        </w:tc>
      </w:tr>
      <w:tr w:rsidR="00164715" w:rsidRPr="002F1795" w:rsidTr="00164715">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80"/>
              <w:rPr>
                <w:szCs w:val="18"/>
              </w:rPr>
            </w:pPr>
            <w:r w:rsidRPr="002F1795">
              <w:rPr>
                <w:szCs w:val="18"/>
              </w:rPr>
              <w:t>Standard</w:t>
            </w:r>
            <w:r w:rsidRPr="002F1795">
              <w:rPr>
                <w:szCs w:val="18"/>
                <w:vertAlign w:val="superscript"/>
              </w:rPr>
              <w:t>3,6</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rPr>
                <w:szCs w:val="18"/>
              </w:rPr>
            </w:pPr>
            <w:r w:rsidRPr="002F1795">
              <w:rPr>
                <w:szCs w:val="18"/>
              </w:rPr>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328</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599</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927</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rPr>
                <w:szCs w:val="18"/>
              </w:rPr>
            </w:pPr>
            <w:r w:rsidRPr="002F1795">
              <w:rPr>
                <w:szCs w:val="18"/>
              </w:rPr>
              <w:t>4</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rPr>
                <w:szCs w:val="18"/>
              </w:rPr>
            </w:pPr>
            <w:r w:rsidRPr="002F1795">
              <w:rPr>
                <w:szCs w:val="18"/>
              </w:rPr>
              <w:t>4.00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5,248</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9,584</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14,832</w:t>
            </w:r>
          </w:p>
        </w:tc>
      </w:tr>
      <w:tr w:rsidR="00164715" w:rsidRPr="002F1795" w:rsidTr="00164715">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80"/>
              <w:rPr>
                <w:szCs w:val="18"/>
              </w:rPr>
            </w:pPr>
            <w:r w:rsidRPr="002F1795">
              <w:rPr>
                <w:szCs w:val="18"/>
              </w:rPr>
              <w:t>NAF (With New Certification)</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rPr>
                <w:szCs w:val="18"/>
              </w:rPr>
            </w:pPr>
            <w:r w:rsidRPr="002F1795">
              <w:rPr>
                <w:szCs w:val="18"/>
              </w:rPr>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211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222</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rPr>
                <w:szCs w:val="18"/>
              </w:rPr>
            </w:pPr>
            <w:r w:rsidRPr="002F1795">
              <w:rPr>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rPr>
                <w:szCs w:val="18"/>
              </w:rPr>
            </w:pPr>
            <w:r w:rsidRPr="002F1795">
              <w:rPr>
                <w:szCs w:val="18"/>
              </w:rPr>
              <w:t>4.00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44</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844</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888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10. Large Scale Testing Shipment</w:t>
            </w:r>
            <w:r w:rsidRPr="002F1795">
              <w:rPr>
                <w:vertAlign w:val="superscript"/>
              </w:rPr>
              <w:t>7</w:t>
            </w:r>
          </w:p>
        </w:tc>
      </w:tr>
      <w:tr w:rsidR="00C7107E" w:rsidRPr="002F1795" w:rsidTr="00164715">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213"/>
            </w:pPr>
            <w:r w:rsidRPr="002F1795">
              <w:t>Standard/ULEF Certification</w:t>
            </w:r>
            <w:r w:rsidRPr="002F1795">
              <w:rPr>
                <w:vertAlign w:val="superscript"/>
              </w:rPr>
              <w:t>3,5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345</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778</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1,123</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4</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0.50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690</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1,556</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2,246</w:t>
            </w:r>
          </w:p>
        </w:tc>
      </w:tr>
      <w:tr w:rsidR="00C7107E" w:rsidRPr="002F1795" w:rsidTr="00164715">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213"/>
            </w:pPr>
            <w:r w:rsidRPr="002F1795">
              <w:t>NAF (With New Certification)</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211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222</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0.50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6</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106</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112</w:t>
            </w:r>
          </w:p>
        </w:tc>
      </w:tr>
      <w:tr w:rsidR="00C7107E"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firstLine="213"/>
            </w:pPr>
            <w:r w:rsidRPr="002F1795">
              <w:t>NAF (With Existing Certification)</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C7107E" w:rsidRPr="002F1795" w:rsidRDefault="00C7107E"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14</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140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154</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0.50</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7</w:t>
            </w:r>
          </w:p>
        </w:tc>
        <w:tc>
          <w:tcPr>
            <w:tcW w:w="1086" w:type="dxa"/>
            <w:tcBorders>
              <w:top w:val="nil"/>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70</w:t>
            </w:r>
          </w:p>
        </w:tc>
        <w:tc>
          <w:tcPr>
            <w:tcW w:w="1189" w:type="dxa"/>
            <w:tcBorders>
              <w:top w:val="nil"/>
              <w:left w:val="nil"/>
              <w:bottom w:val="single" w:sz="4" w:space="0" w:color="auto"/>
              <w:right w:val="single" w:sz="8" w:space="0" w:color="auto"/>
            </w:tcBorders>
            <w:shd w:val="clear" w:color="auto" w:fill="FFFFFF" w:themeFill="background1"/>
            <w:noWrap/>
            <w:vAlign w:val="bottom"/>
            <w:hideMark/>
          </w:tcPr>
          <w:p w:rsidR="00C7107E" w:rsidRPr="002F1795" w:rsidRDefault="00C7107E" w:rsidP="006565F1">
            <w:pPr>
              <w:pStyle w:val="TableText"/>
              <w:jc w:val="right"/>
            </w:pPr>
            <w:r w:rsidRPr="002F1795">
              <w:t>77</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8</w:t>
            </w:r>
          </w:p>
        </w:tc>
      </w:tr>
      <w:tr w:rsidR="00164715" w:rsidRPr="002F1795" w:rsidTr="00164715">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80"/>
            </w:pPr>
            <w:r w:rsidRPr="002F1795">
              <w:t>Standard Certification</w:t>
            </w:r>
            <w:r w:rsidRPr="002F1795">
              <w:rPr>
                <w:vertAlign w:val="superscript"/>
              </w:rPr>
              <w:t>3,5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328</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599</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927</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8</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1.00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2,624</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4,792</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7,416</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NAF (With New Certification)</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r w:rsidRPr="002F1795">
              <w:rPr>
                <w:vertAlign w:val="superscript"/>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10</w:t>
            </w:r>
            <w:r w:rsidRPr="002F1795">
              <w:t> </w:t>
            </w:r>
          </w:p>
        </w:tc>
      </w:tr>
      <w:tr w:rsidR="00164715" w:rsidRPr="002F1795" w:rsidTr="00164715">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80"/>
            </w:pPr>
            <w:r w:rsidRPr="002F1795">
              <w:t>Standard Certification</w:t>
            </w:r>
            <w:r w:rsidRPr="002F1795">
              <w:rPr>
                <w:vertAlign w:val="superscript"/>
              </w:rPr>
              <w:t>3,5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328</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599</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927</w:t>
            </w:r>
          </w:p>
        </w:tc>
        <w:tc>
          <w:tcPr>
            <w:tcW w:w="1350" w:type="dxa"/>
            <w:tcBorders>
              <w:top w:val="nil"/>
              <w:left w:val="nil"/>
              <w:bottom w:val="single" w:sz="4" w:space="0" w:color="auto"/>
              <w:right w:val="single" w:sz="4" w:space="0" w:color="auto"/>
            </w:tcBorders>
            <w:shd w:val="clear" w:color="auto" w:fill="FFFFFF" w:themeFill="background1"/>
            <w:noWrap/>
            <w:hideMark/>
          </w:tcPr>
          <w:p w:rsidR="00164715" w:rsidRPr="002F1795" w:rsidRDefault="00164715" w:rsidP="006565F1">
            <w:pPr>
              <w:pStyle w:val="TableText"/>
              <w:jc w:val="right"/>
            </w:pPr>
            <w:r w:rsidRPr="002F1795">
              <w:t>260</w:t>
            </w:r>
          </w:p>
        </w:tc>
        <w:tc>
          <w:tcPr>
            <w:tcW w:w="1260" w:type="dxa"/>
            <w:tcBorders>
              <w:top w:val="nil"/>
              <w:left w:val="nil"/>
              <w:bottom w:val="single" w:sz="4" w:space="0" w:color="auto"/>
              <w:right w:val="single" w:sz="4" w:space="0" w:color="auto"/>
            </w:tcBorders>
            <w:shd w:val="clear" w:color="auto" w:fill="FFFFFF" w:themeFill="background1"/>
            <w:noWrap/>
            <w:hideMark/>
          </w:tcPr>
          <w:p w:rsidR="00164715" w:rsidRPr="002F1795" w:rsidRDefault="00164715" w:rsidP="006565F1">
            <w:pPr>
              <w:pStyle w:val="TableText"/>
              <w:jc w:val="right"/>
            </w:pPr>
            <w:r w:rsidRPr="002F1795">
              <w:t>2.00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170,560</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311,480</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482,040</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New NAF Certification</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11</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r w:rsidRPr="002F1795">
              <w:rPr>
                <w:vertAlign w:val="superscript"/>
              </w:rPr>
              <w:t>12</w:t>
            </w:r>
            <w:r w:rsidRPr="002F1795">
              <w:t> </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Producers</w:t>
            </w:r>
            <w:r w:rsidRPr="002F1795">
              <w:rPr>
                <w:color w:val="000000"/>
                <w:szCs w:val="18"/>
                <w:vertAlign w:val="superscript"/>
              </w:rPr>
              <w:t>3,5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rPr>
                <w:color w:val="000000"/>
                <w:sz w:val="20"/>
              </w:rPr>
              <w:t>M</w:t>
            </w:r>
          </w:p>
        </w:tc>
        <w:tc>
          <w:tcPr>
            <w:tcW w:w="990"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370</w:t>
            </w:r>
          </w:p>
        </w:tc>
        <w:tc>
          <w:tcPr>
            <w:tcW w:w="990"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1,129</w:t>
            </w:r>
          </w:p>
        </w:tc>
        <w:tc>
          <w:tcPr>
            <w:tcW w:w="1080"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1,499</w:t>
            </w:r>
          </w:p>
        </w:tc>
        <w:tc>
          <w:tcPr>
            <w:tcW w:w="1350"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52.00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19,240</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58,708</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pPr>
            <w:r w:rsidRPr="002F1795">
              <w:t>77,948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lastRenderedPageBreak/>
              <w:t>Fabricators with burden- Employers</w:t>
            </w:r>
            <w:r w:rsidRPr="002F1795">
              <w:rPr>
                <w:color w:val="000000"/>
                <w:szCs w:val="18"/>
                <w:vertAlign w:val="superscript"/>
              </w:rPr>
              <w:t>4</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rPr>
                <w:color w:val="000000"/>
                <w:sz w:val="20"/>
              </w:rPr>
              <w:t>C</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3,630</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1,422</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5,052</w:t>
            </w:r>
          </w:p>
        </w:tc>
        <w:tc>
          <w:tcPr>
            <w:tcW w:w="1350"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520.00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1,887,600</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739,440</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pPr>
            <w:r w:rsidRPr="002F1795">
              <w:t>2,627,040</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 burden - Nonemployers</w:t>
            </w:r>
            <w:r w:rsidRPr="002F1795">
              <w:rPr>
                <w:color w:val="000000"/>
                <w:szCs w:val="18"/>
                <w:vertAlign w:val="superscript"/>
              </w:rPr>
              <w:t>4</w:t>
            </w:r>
          </w:p>
        </w:tc>
        <w:tc>
          <w:tcPr>
            <w:tcW w:w="90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rPr>
                <w:color w:val="000000"/>
                <w:sz w:val="20"/>
              </w:rPr>
              <w:t>C</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5,137</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1,997</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7,134</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7.21</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37,038</w:t>
            </w:r>
          </w:p>
        </w:tc>
        <w:tc>
          <w:tcPr>
            <w:tcW w:w="1086"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14,398</w:t>
            </w:r>
          </w:p>
        </w:tc>
        <w:tc>
          <w:tcPr>
            <w:tcW w:w="1189" w:type="dxa"/>
            <w:tcBorders>
              <w:top w:val="nil"/>
              <w:left w:val="nil"/>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right"/>
            </w:pPr>
            <w:r w:rsidRPr="002F1795">
              <w:t>51,436</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without burden</w:t>
            </w:r>
          </w:p>
        </w:tc>
        <w:tc>
          <w:tcPr>
            <w:tcW w:w="90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rPr>
                <w:color w:val="000000"/>
                <w:sz w:val="20"/>
              </w:rPr>
              <w:t>C</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70,934</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27,664</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98,598</w:t>
            </w:r>
          </w:p>
        </w:tc>
        <w:tc>
          <w:tcPr>
            <w:tcW w:w="135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pStyle w:val="TableText"/>
              <w:jc w:val="center"/>
            </w:pPr>
            <w:r w:rsidRPr="002F1795">
              <w:t>-</w:t>
            </w:r>
          </w:p>
        </w:tc>
        <w:tc>
          <w:tcPr>
            <w:tcW w:w="135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86"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9" w:type="dxa"/>
            <w:tcBorders>
              <w:top w:val="nil"/>
              <w:left w:val="nil"/>
              <w:bottom w:val="single" w:sz="4" w:space="0" w:color="auto"/>
              <w:right w:val="single" w:sz="8" w:space="0" w:color="auto"/>
            </w:tcBorders>
            <w:shd w:val="clear" w:color="auto" w:fill="FFFFFF" w:themeFill="background1"/>
            <w:noWrap/>
          </w:tcPr>
          <w:p w:rsidR="00A83DDA" w:rsidRPr="002F1795" w:rsidRDefault="00A83DDA" w:rsidP="006565F1">
            <w:pPr>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burden - Employers</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rPr>
                <w:color w:val="000000"/>
                <w:sz w:val="20"/>
              </w:rPr>
              <w:t>C</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4,208</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5,861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10,069</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195.00</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820,560</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1,142,895</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Cs w:val="16"/>
              </w:rPr>
            </w:pPr>
            <w:r w:rsidRPr="002F1795">
              <w:t>1,963,455</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 xml:space="preserve">Wholesalers with burden - </w:t>
            </w:r>
            <w:proofErr w:type="spellStart"/>
            <w:r w:rsidRPr="002F1795">
              <w:rPr>
                <w:color w:val="000000"/>
                <w:szCs w:val="18"/>
              </w:rPr>
              <w:t>Nonemployers</w:t>
            </w:r>
            <w:proofErr w:type="spellEnd"/>
          </w:p>
        </w:tc>
        <w:tc>
          <w:tcPr>
            <w:tcW w:w="90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rPr>
                <w:color w:val="000000"/>
                <w:sz w:val="20"/>
              </w:rPr>
              <w:t>C</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6,094</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8,487</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14,581</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3.92</w:t>
            </w:r>
          </w:p>
        </w:tc>
        <w:tc>
          <w:tcPr>
            <w:tcW w:w="135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23,888</w:t>
            </w:r>
          </w:p>
        </w:tc>
        <w:tc>
          <w:tcPr>
            <w:tcW w:w="1086"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33,269</w:t>
            </w:r>
          </w:p>
        </w:tc>
        <w:tc>
          <w:tcPr>
            <w:tcW w:w="1189" w:type="dxa"/>
            <w:tcBorders>
              <w:top w:val="nil"/>
              <w:left w:val="nil"/>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right"/>
              <w:rPr>
                <w:rFonts w:ascii="Tahoma" w:hAnsi="Tahoma" w:cs="Tahoma"/>
                <w:szCs w:val="16"/>
              </w:rPr>
            </w:pPr>
            <w:r w:rsidRPr="002F1795">
              <w:t>57,158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without burden</w:t>
            </w:r>
          </w:p>
        </w:tc>
        <w:tc>
          <w:tcPr>
            <w:tcW w:w="90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rPr>
                <w:color w:val="000000"/>
                <w:sz w:val="20"/>
              </w:rPr>
              <w:t>C</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75,258</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19,020</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pPr>
            <w:r w:rsidRPr="002F1795">
              <w:t>94,278</w:t>
            </w:r>
          </w:p>
        </w:tc>
        <w:tc>
          <w:tcPr>
            <w:tcW w:w="135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pStyle w:val="TableText"/>
              <w:jc w:val="center"/>
            </w:pPr>
            <w:r w:rsidRPr="002F1795">
              <w:t>-</w:t>
            </w:r>
          </w:p>
        </w:tc>
        <w:tc>
          <w:tcPr>
            <w:tcW w:w="135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86"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9" w:type="dxa"/>
            <w:tcBorders>
              <w:top w:val="nil"/>
              <w:left w:val="nil"/>
              <w:bottom w:val="single" w:sz="4" w:space="0" w:color="auto"/>
              <w:right w:val="single" w:sz="8" w:space="0" w:color="auto"/>
            </w:tcBorders>
            <w:shd w:val="clear" w:color="auto" w:fill="FFFFFF" w:themeFill="background1"/>
            <w:noWrap/>
          </w:tcPr>
          <w:p w:rsidR="00A83DDA" w:rsidRPr="002F1795" w:rsidRDefault="00A83DDA" w:rsidP="006565F1">
            <w:pPr>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Retailers</w:t>
            </w:r>
          </w:p>
        </w:tc>
        <w:tc>
          <w:tcPr>
            <w:tcW w:w="90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rPr>
                <w:color w:val="000000"/>
                <w:sz w:val="20"/>
              </w:rPr>
              <w:t>C</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pPr>
            <w:r w:rsidRPr="002F1795">
              <w:t>759,048</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pPr>
            <w:r w:rsidRPr="002F1795">
              <w:t>759,048</w:t>
            </w:r>
          </w:p>
        </w:tc>
        <w:tc>
          <w:tcPr>
            <w:tcW w:w="135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pStyle w:val="TableText"/>
              <w:jc w:val="center"/>
            </w:pPr>
            <w:r w:rsidRPr="002F1795">
              <w:t>-</w:t>
            </w:r>
          </w:p>
        </w:tc>
        <w:tc>
          <w:tcPr>
            <w:tcW w:w="1350"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86" w:type="dxa"/>
            <w:tcBorders>
              <w:top w:val="nil"/>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9" w:type="dxa"/>
            <w:tcBorders>
              <w:top w:val="nil"/>
              <w:left w:val="nil"/>
              <w:bottom w:val="single" w:sz="4" w:space="0" w:color="auto"/>
              <w:right w:val="single" w:sz="8" w:space="0" w:color="auto"/>
            </w:tcBorders>
            <w:shd w:val="clear" w:color="auto" w:fill="FFFFFF" w:themeFill="background1"/>
            <w:noWrap/>
          </w:tcPr>
          <w:p w:rsidR="00A83DDA" w:rsidRPr="002F1795" w:rsidRDefault="00A83DDA" w:rsidP="006565F1">
            <w:pPr>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19. Initial Labeling</w:t>
            </w:r>
            <w:r w:rsidRPr="002F1795">
              <w:rPr>
                <w:vertAlign w:val="superscript"/>
              </w:rPr>
              <w:t>4,13</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Minor Changes - Producers</w:t>
            </w:r>
            <w:r w:rsidRPr="002F1795">
              <w:rPr>
                <w:vertAlign w:val="superscript"/>
              </w:rPr>
              <w:t>4,5</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Minor Changes - Fabricators</w:t>
            </w:r>
            <w:r w:rsidRPr="002F1795">
              <w:rPr>
                <w:vertAlign w:val="superscript"/>
              </w:rPr>
              <w:t>4</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Major Changes - Producers</w:t>
            </w:r>
            <w:r w:rsidRPr="002F1795">
              <w:rPr>
                <w:vertAlign w:val="superscript"/>
              </w:rPr>
              <w:t>3</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Major Changes - Fabricators and Wholesalers</w:t>
            </w:r>
            <w:r w:rsidRPr="002F1795">
              <w:rPr>
                <w:vertAlign w:val="superscript"/>
              </w:rPr>
              <w:t>4</w:t>
            </w:r>
          </w:p>
        </w:tc>
        <w:tc>
          <w:tcPr>
            <w:tcW w:w="90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15718A" w:rsidRPr="002F1795" w:rsidTr="00164715">
        <w:trPr>
          <w:trHeight w:val="77"/>
          <w:jc w:val="center"/>
        </w:trPr>
        <w:tc>
          <w:tcPr>
            <w:tcW w:w="9565" w:type="dxa"/>
            <w:gridSpan w:val="7"/>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15718A" w:rsidRPr="002F1795" w:rsidRDefault="0015718A" w:rsidP="006565F1">
            <w:pPr>
              <w:pStyle w:val="TableText"/>
              <w:jc w:val="center"/>
              <w:rPr>
                <w:b/>
                <w:bCs/>
              </w:rPr>
            </w:pPr>
            <w:r w:rsidRPr="002F1795">
              <w:rPr>
                <w:b/>
                <w:bCs/>
              </w:rPr>
              <w:t>Total - Years 2 and 3</w:t>
            </w:r>
          </w:p>
        </w:tc>
        <w:tc>
          <w:tcPr>
            <w:tcW w:w="1350" w:type="dxa"/>
            <w:tcBorders>
              <w:top w:val="nil"/>
              <w:left w:val="nil"/>
              <w:bottom w:val="single" w:sz="4" w:space="0" w:color="auto"/>
              <w:right w:val="single" w:sz="4" w:space="0" w:color="auto"/>
            </w:tcBorders>
            <w:shd w:val="clear" w:color="auto" w:fill="FFFFFF" w:themeFill="background1"/>
            <w:noWrap/>
            <w:vAlign w:val="center"/>
            <w:hideMark/>
          </w:tcPr>
          <w:p w:rsidR="0015718A" w:rsidRPr="002F1795" w:rsidRDefault="0015718A">
            <w:pPr>
              <w:jc w:val="right"/>
              <w:rPr>
                <w:b/>
                <w:color w:val="000000"/>
                <w:sz w:val="18"/>
                <w:szCs w:val="18"/>
              </w:rPr>
            </w:pPr>
            <w:r w:rsidRPr="002F1795">
              <w:rPr>
                <w:b/>
                <w:color w:val="000000"/>
                <w:sz w:val="18"/>
                <w:szCs w:val="18"/>
              </w:rPr>
              <w:t>2,967,505</w:t>
            </w:r>
          </w:p>
        </w:tc>
        <w:tc>
          <w:tcPr>
            <w:tcW w:w="1086" w:type="dxa"/>
            <w:tcBorders>
              <w:top w:val="nil"/>
              <w:left w:val="nil"/>
              <w:bottom w:val="single" w:sz="4" w:space="0" w:color="auto"/>
              <w:right w:val="single" w:sz="4" w:space="0" w:color="auto"/>
            </w:tcBorders>
            <w:shd w:val="clear" w:color="auto" w:fill="FFFFFF" w:themeFill="background1"/>
            <w:noWrap/>
            <w:vAlign w:val="center"/>
            <w:hideMark/>
          </w:tcPr>
          <w:p w:rsidR="0015718A" w:rsidRPr="002F1795" w:rsidRDefault="0015718A">
            <w:pPr>
              <w:jc w:val="right"/>
              <w:rPr>
                <w:b/>
                <w:color w:val="000000"/>
                <w:sz w:val="18"/>
                <w:szCs w:val="18"/>
              </w:rPr>
            </w:pPr>
            <w:r w:rsidRPr="002F1795">
              <w:rPr>
                <w:b/>
                <w:color w:val="000000"/>
                <w:sz w:val="18"/>
                <w:szCs w:val="18"/>
              </w:rPr>
              <w:t>2,317,142</w:t>
            </w:r>
          </w:p>
        </w:tc>
        <w:tc>
          <w:tcPr>
            <w:tcW w:w="1189" w:type="dxa"/>
            <w:tcBorders>
              <w:top w:val="nil"/>
              <w:left w:val="nil"/>
              <w:bottom w:val="single" w:sz="4" w:space="0" w:color="auto"/>
              <w:right w:val="single" w:sz="8" w:space="0" w:color="auto"/>
            </w:tcBorders>
            <w:shd w:val="clear" w:color="auto" w:fill="FFFFFF" w:themeFill="background1"/>
            <w:noWrap/>
            <w:vAlign w:val="center"/>
            <w:hideMark/>
          </w:tcPr>
          <w:p w:rsidR="0015718A" w:rsidRPr="002F1795" w:rsidRDefault="0015718A">
            <w:pPr>
              <w:jc w:val="right"/>
              <w:rPr>
                <w:b/>
                <w:color w:val="000000"/>
                <w:sz w:val="18"/>
                <w:szCs w:val="18"/>
              </w:rPr>
            </w:pPr>
            <w:r w:rsidRPr="002F1795">
              <w:rPr>
                <w:b/>
                <w:color w:val="000000"/>
                <w:sz w:val="18"/>
                <w:szCs w:val="18"/>
              </w:rPr>
              <w:t>5,284,648</w:t>
            </w:r>
          </w:p>
        </w:tc>
      </w:tr>
      <w:tr w:rsidR="00A83DDA" w:rsidRPr="002F1795" w:rsidTr="006565F1">
        <w:trPr>
          <w:trHeight w:val="89"/>
          <w:jc w:val="center"/>
        </w:trPr>
        <w:tc>
          <w:tcPr>
            <w:tcW w:w="13190"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This column indicates the category of labor associated with the activity.  "M", "T", and "C" stand for managerial, technical, and clerical labor, respectively.</w:t>
            </w:r>
          </w:p>
          <w:p w:rsidR="00A83DDA" w:rsidRPr="002F1795" w:rsidRDefault="00A83DDA" w:rsidP="006565F1">
            <w:pPr>
              <w:pStyle w:val="tablefootnote"/>
              <w:keepLines/>
            </w:pPr>
            <w:r w:rsidRPr="002F1795">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Total excludes the estimated 2 percent of wood veneer laminated product producers expected to continue to use added formaldehyde resins.</w:t>
            </w:r>
          </w:p>
          <w:p w:rsidR="00A83DDA" w:rsidRPr="002F1795" w:rsidRDefault="00A83DDA" w:rsidP="006565F1">
            <w:pPr>
              <w:pStyle w:val="tablefootnote"/>
              <w:keepLines/>
            </w:pPr>
            <w:r w:rsidRPr="002F1795">
              <w:t>5.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6. Producers that are already CARB compliant are not assumed to need to perform correlation testing because it is assumed that their previous testing is sufficient.</w:t>
            </w:r>
          </w:p>
          <w:p w:rsidR="00A83DDA" w:rsidRPr="002F1795" w:rsidRDefault="00A83DDA" w:rsidP="006565F1">
            <w:pPr>
              <w:pStyle w:val="tablefootnote"/>
              <w:keepLines/>
            </w:pPr>
            <w:r w:rsidRPr="002F1795">
              <w:t xml:space="preserve">7. On-site audits must be conducted at least once quarterly, unless the mill obtains </w:t>
            </w:r>
            <w:r w:rsidR="007A501C"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7A501C" w:rsidRPr="002F1795">
              <w:t xml:space="preserve">ULEF or </w:t>
            </w:r>
            <w:r w:rsidRPr="002F1795">
              <w:t xml:space="preserve">NAF certifications under the CARB ATCM will only incur the initial on-site audit in the first year.  All producers with </w:t>
            </w:r>
            <w:r w:rsidR="007A501C"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8. Desk audits are assumed to occur monthly</w:t>
            </w:r>
            <w:r w:rsidR="007A501C"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7A501C" w:rsidRPr="002F1795">
              <w:t xml:space="preserve">ULEF or </w:t>
            </w:r>
            <w:r w:rsidRPr="002F1795">
              <w:t xml:space="preserve">NAF certification.  </w:t>
            </w:r>
          </w:p>
          <w:p w:rsidR="00A83DDA" w:rsidRPr="002F1795" w:rsidRDefault="00A83DDA" w:rsidP="006565F1">
            <w:pPr>
              <w:pStyle w:val="tablefootnote"/>
              <w:keepLines/>
            </w:pPr>
            <w:r w:rsidRPr="002F1795">
              <w:t>9. Although mills are likely to incur some labor burden while learning how to use the small chamber testing unit, it is not estimated in this analysis.</w:t>
            </w:r>
          </w:p>
          <w:p w:rsidR="00A83DDA" w:rsidRPr="002F1795" w:rsidRDefault="00A83DDA" w:rsidP="006565F1">
            <w:pPr>
              <w:pStyle w:val="tablefootnote"/>
              <w:keepLines/>
            </w:pPr>
            <w:r w:rsidRPr="002F1795">
              <w:t xml:space="preserve">10. This analysis assumes that composite panel producers </w:t>
            </w:r>
            <w:r w:rsidR="00EB4B76" w:rsidRPr="002F1795">
              <w:t xml:space="preserve">with s standard certification or a new NAF certification </w:t>
            </w:r>
            <w:r w:rsidRPr="002F1795">
              <w:t xml:space="preserve">test each production line once daily.  </w:t>
            </w:r>
            <w:r w:rsidR="00EB4B76" w:rsidRPr="002F1795">
              <w:t>Producers with an existing ULEF or NAF certification will already have been exempted from quality control testing</w:t>
            </w:r>
            <w:r w:rsidRPr="002F1795">
              <w:t>.</w:t>
            </w:r>
          </w:p>
          <w:p w:rsidR="00A83DDA" w:rsidRPr="002F1795" w:rsidRDefault="00A83DDA" w:rsidP="006565F1">
            <w:pPr>
              <w:pStyle w:val="tablefootnote"/>
              <w:keepLines/>
            </w:pPr>
            <w:r w:rsidRPr="002F1795">
              <w:t xml:space="preserve">11.  Recordkeeping is required for composite panel producers (including the estimated two percent of wood veneer laminated product producers defined as hardwood plywood producers), fabricators, and wholesalers that import composite wood products or articles that contain composite wood products.  However, composite panel producers and fabricators are not expected to need to make any initial </w:t>
            </w:r>
            <w:r w:rsidRPr="002F1795">
              <w:lastRenderedPageBreak/>
              <w:t>changes to their recordkeeping systems.  This analysis assumes that 28 percent of domestic wholesalers import composite wood products or articles that contain composite wood products.  In addition, it is assumed that 57 percent of wholesalers are not already complying with the CARB ATCM and will have initial burden to change their recordkeeping systems to comply with the TSCA Title VI rule.</w:t>
            </w:r>
          </w:p>
          <w:p w:rsidR="00A83DDA" w:rsidRPr="002F1795" w:rsidRDefault="00A83DDA" w:rsidP="006565F1">
            <w:pPr>
              <w:pStyle w:val="tablefootnote"/>
              <w:keepLines/>
            </w:pPr>
            <w:r w:rsidRPr="002F1795">
              <w:t xml:space="preserve">12.  While recordkeeping is required for all respondents, not all entities will incur </w:t>
            </w:r>
            <w:r w:rsidR="00FA3612" w:rsidRPr="002F1795">
              <w:t xml:space="preserve">additional </w:t>
            </w:r>
            <w:r w:rsidRPr="002F1795">
              <w:t xml:space="preserve">recordkeeping burden and costs.  This analysis assumes that some fabricators and wholesalers have existing recordkeeping systems that are sufficient to meet the rule's requirements.  Based on responses to EPA’s questionnaires, it is assumed that that 11 percent of fabricators and 43 percent of wholesalers will have recurring recordkeeping costs.  However, the analysis assumes that only 28 percent of domestic wholesalers import composite wood products or articles that contain composite wood products and thus 43% of that 28% incur recurring recordkeeping burden.  The customary business practices of the remaining fabricators, wholesalers, and all retailers are assumed to be generally sufficient to meet the proposed rule’s recordkeeping requirements.  For fabricators and wholesalers with burden, the analysis assumes that there is a fixed-cost component of the recurring recordkeeping costs associated with two hours of labor and a variable cost component that is proportional to a firm’s revenue.  The variable cost factor is estimated by subtracting the fixed cost from the total reported cost and then dividing by the estimated average revenue for affected employer category.  For fabricators, the fixed cost is $49.68, the total reported cost is $12,916.80, and the average revenue is $4,241,245.  For wholesalers, the fixed cost is $51.08, the total reported cost is $4,890.30, and the average revenue is $8,308,417.  The respective variable cost factors are 0.30338 percent and 0.05933 percent of revenue.  The recurring recordkeeping burdens for employer fabricators and wholesalers are 520 and 195 hours per year, respectively.  For </w:t>
            </w:r>
            <w:proofErr w:type="spellStart"/>
            <w:r w:rsidRPr="002F1795">
              <w:t>nonemployers</w:t>
            </w:r>
            <w:proofErr w:type="spellEnd"/>
            <w:r w:rsidRPr="002F1795">
              <w:t xml:space="preserve">, the average recurring recordkeeping burden is estimated as the sum of the burden associated with the fixed cost (2 hours) and the burden associated with the respective variable costs, which are calculated as 0.30338 percent of average </w:t>
            </w:r>
            <w:proofErr w:type="spellStart"/>
            <w:r w:rsidRPr="002F1795">
              <w:t>nonemployer</w:t>
            </w:r>
            <w:proofErr w:type="spellEnd"/>
            <w:r w:rsidRPr="002F1795">
              <w:t xml:space="preserve"> fabricator revenues ($42,690) and  0.05933 percent of average </w:t>
            </w:r>
            <w:proofErr w:type="spellStart"/>
            <w:r w:rsidRPr="002F1795">
              <w:t>nonemployer</w:t>
            </w:r>
            <w:proofErr w:type="spellEnd"/>
            <w:r w:rsidRPr="002F1795">
              <w:t xml:space="preserve"> wholesaler revenues ($82,542).  The resulting average fabricator and wholesaler </w:t>
            </w:r>
            <w:proofErr w:type="spellStart"/>
            <w:r w:rsidRPr="002F1795">
              <w:t>nonemployer</w:t>
            </w:r>
            <w:proofErr w:type="spellEnd"/>
            <w:r w:rsidRPr="002F1795">
              <w:t xml:space="preserve"> recurring recordkeeping burdens are 7.21 and 3.92 hours per year, respectively.</w:t>
            </w:r>
          </w:p>
          <w:p w:rsidR="00A83DDA" w:rsidRPr="002F1795" w:rsidRDefault="00A83DDA" w:rsidP="00FA3612">
            <w:pPr>
              <w:pStyle w:val="tablefootnote"/>
              <w:keepLines/>
              <w:rPr>
                <w:rFonts w:ascii="Tahoma" w:hAnsi="Tahoma" w:cs="Tahoma"/>
                <w:szCs w:val="16"/>
              </w:rPr>
            </w:pPr>
            <w:r w:rsidRPr="002F1795">
              <w:t xml:space="preserve">13.  </w:t>
            </w:r>
            <w:r w:rsidR="00FA3612"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fabricators that are not already complying with the CARB ATCM, and all fabricators that are already complying with the CARB ATCM 33 percent of fabricators, and 1 percent of wholesalers will incur the cost associated with 3 hours of labor for making small changes to their labels.  The remaining fabricators and one percent of wholesalers are assumed to incur the average cost of the two firms that reported initial labeling costs in the fabricator questionnaire (see the Economic Analysis for more details).</w:t>
            </w:r>
          </w:p>
        </w:tc>
      </w:tr>
    </w:tbl>
    <w:p w:rsidR="00A83DDA" w:rsidRPr="002F1795" w:rsidRDefault="00A83DDA" w:rsidP="00A83DDA">
      <w:pPr>
        <w:numPr>
          <w:ilvl w:val="12"/>
          <w:numId w:val="0"/>
        </w:numPr>
        <w:rPr>
          <w:u w:val="single"/>
        </w:rPr>
      </w:pPr>
    </w:p>
    <w:tbl>
      <w:tblPr>
        <w:tblW w:w="5000" w:type="pct"/>
        <w:jc w:val="center"/>
        <w:tblLayout w:type="fixed"/>
        <w:tblLook w:val="04A0"/>
      </w:tblPr>
      <w:tblGrid>
        <w:gridCol w:w="3866"/>
        <w:gridCol w:w="747"/>
        <w:gridCol w:w="1013"/>
        <w:gridCol w:w="921"/>
        <w:gridCol w:w="819"/>
        <w:gridCol w:w="1298"/>
        <w:gridCol w:w="1289"/>
        <w:gridCol w:w="1105"/>
        <w:gridCol w:w="958"/>
        <w:gridCol w:w="1160"/>
      </w:tblGrid>
      <w:tr w:rsidR="00A83DDA" w:rsidRPr="002F1795" w:rsidTr="006565F1">
        <w:trPr>
          <w:trHeight w:val="67"/>
          <w:tblHeader/>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000000" w:fill="A6A6A6"/>
            <w:hideMark/>
          </w:tcPr>
          <w:p w:rsidR="00A83DDA" w:rsidRPr="002F1795" w:rsidRDefault="00A83DDA" w:rsidP="006565F1">
            <w:pPr>
              <w:pStyle w:val="TableTitle"/>
              <w:keepNext/>
              <w:keepLines/>
            </w:pPr>
            <w:bookmarkStart w:id="13" w:name="_Ref309214741"/>
            <w:r w:rsidRPr="002F1795">
              <w:lastRenderedPageBreak/>
              <w:t>Exhibit 6-</w:t>
            </w:r>
            <w:r w:rsidR="0041046E" w:rsidRPr="002F1795">
              <w:fldChar w:fldCharType="begin"/>
            </w:r>
            <w:r w:rsidR="00EE0D8C" w:rsidRPr="002F1795">
              <w:instrText xml:space="preserve"> SEQ Exhibit_6- \* ARABIC </w:instrText>
            </w:r>
            <w:r w:rsidR="0041046E" w:rsidRPr="002F1795">
              <w:fldChar w:fldCharType="separate"/>
            </w:r>
            <w:r w:rsidR="0036394F">
              <w:rPr>
                <w:noProof/>
              </w:rPr>
              <w:t>11</w:t>
            </w:r>
            <w:r w:rsidR="0041046E" w:rsidRPr="002F1795">
              <w:fldChar w:fldCharType="end"/>
            </w:r>
            <w:bookmarkEnd w:id="13"/>
            <w:r w:rsidRPr="002F1795">
              <w:t>: Three Year Average Burden Hours (including baseline), by Activity and Geographic Location</w:t>
            </w:r>
          </w:p>
        </w:tc>
      </w:tr>
      <w:tr w:rsidR="00A83DDA" w:rsidRPr="002F1795" w:rsidTr="006565F1">
        <w:trPr>
          <w:trHeight w:val="300"/>
          <w:tblHeader/>
          <w:jc w:val="center"/>
        </w:trPr>
        <w:tc>
          <w:tcPr>
            <w:tcW w:w="3866" w:type="dxa"/>
            <w:vMerge w:val="restar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Activity</w:t>
            </w:r>
          </w:p>
        </w:tc>
        <w:tc>
          <w:tcPr>
            <w:tcW w:w="747" w:type="dxa"/>
            <w:vMerge w:val="restart"/>
            <w:tcBorders>
              <w:top w:val="single" w:sz="8" w:space="0" w:color="auto"/>
              <w:left w:val="single" w:sz="4" w:space="0" w:color="auto"/>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Labor Type</w:t>
            </w:r>
            <w:r w:rsidRPr="002F1795">
              <w:rPr>
                <w:rFonts w:ascii="Thorndale Duospace WT SC" w:eastAsia="Thorndale Duospace WT SC" w:hAnsi="Thorndale Duospace WT SC" w:cs="Thorndale Duospace WT SC" w:hint="eastAsia"/>
                <w:vertAlign w:val="superscript"/>
              </w:rPr>
              <w:t>1</w:t>
            </w:r>
          </w:p>
        </w:tc>
        <w:tc>
          <w:tcPr>
            <w:tcW w:w="2753" w:type="dxa"/>
            <w:gridSpan w:val="3"/>
            <w:tcBorders>
              <w:top w:val="single" w:sz="8" w:space="0" w:color="auto"/>
              <w:left w:val="nil"/>
              <w:bottom w:val="single" w:sz="8"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Number of Entities</w:t>
            </w:r>
          </w:p>
        </w:tc>
        <w:tc>
          <w:tcPr>
            <w:tcW w:w="1298" w:type="dxa"/>
            <w:vMerge w:val="restart"/>
            <w:tcBorders>
              <w:top w:val="single" w:sz="8" w:space="0" w:color="auto"/>
              <w:left w:val="single" w:sz="4" w:space="0" w:color="auto"/>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289" w:type="dxa"/>
            <w:vMerge w:val="restart"/>
            <w:tcBorders>
              <w:top w:val="single" w:sz="8" w:space="0" w:color="auto"/>
              <w:left w:val="single" w:sz="4" w:space="0" w:color="auto"/>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Burden Per Activity (Hours)</w:t>
            </w:r>
          </w:p>
        </w:tc>
        <w:tc>
          <w:tcPr>
            <w:tcW w:w="3223" w:type="dxa"/>
            <w:gridSpan w:val="3"/>
            <w:tcBorders>
              <w:top w:val="single" w:sz="8" w:space="0" w:color="auto"/>
              <w:left w:val="nil"/>
              <w:bottom w:val="single" w:sz="8"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 Burden (Hours)</w:t>
            </w:r>
          </w:p>
        </w:tc>
      </w:tr>
      <w:tr w:rsidR="00A83DDA" w:rsidRPr="002F1795" w:rsidTr="006565F1">
        <w:trPr>
          <w:trHeight w:val="315"/>
          <w:tblHeader/>
          <w:jc w:val="center"/>
        </w:trPr>
        <w:tc>
          <w:tcPr>
            <w:tcW w:w="3866" w:type="dxa"/>
            <w:vMerge/>
            <w:tcBorders>
              <w:top w:val="single" w:sz="8" w:space="0" w:color="auto"/>
              <w:left w:val="single" w:sz="8" w:space="0" w:color="auto"/>
              <w:bottom w:val="single" w:sz="8" w:space="0" w:color="auto"/>
              <w:right w:val="single" w:sz="4" w:space="0" w:color="auto"/>
            </w:tcBorders>
            <w:vAlign w:val="center"/>
            <w:hideMark/>
          </w:tcPr>
          <w:p w:rsidR="00A83DDA" w:rsidRPr="002F1795" w:rsidRDefault="00A83DDA" w:rsidP="006565F1">
            <w:pPr>
              <w:pStyle w:val="TableSubtitle"/>
            </w:pPr>
          </w:p>
        </w:tc>
        <w:tc>
          <w:tcPr>
            <w:tcW w:w="747" w:type="dxa"/>
            <w:vMerge/>
            <w:tcBorders>
              <w:top w:val="single" w:sz="8" w:space="0" w:color="auto"/>
              <w:left w:val="single" w:sz="4" w:space="0" w:color="auto"/>
              <w:bottom w:val="single" w:sz="8" w:space="0" w:color="auto"/>
              <w:right w:val="single" w:sz="4" w:space="0" w:color="auto"/>
            </w:tcBorders>
            <w:vAlign w:val="center"/>
            <w:hideMark/>
          </w:tcPr>
          <w:p w:rsidR="00A83DDA" w:rsidRPr="002F1795" w:rsidRDefault="00A83DDA" w:rsidP="006565F1">
            <w:pPr>
              <w:pStyle w:val="TableSubtitle"/>
            </w:pPr>
          </w:p>
        </w:tc>
        <w:tc>
          <w:tcPr>
            <w:tcW w:w="1013" w:type="dxa"/>
            <w:tcBorders>
              <w:top w:val="single" w:sz="8" w:space="0" w:color="auto"/>
              <w:left w:val="nil"/>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921" w:type="dxa"/>
            <w:tcBorders>
              <w:top w:val="single" w:sz="8" w:space="0" w:color="auto"/>
              <w:left w:val="nil"/>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2</w:t>
            </w:r>
          </w:p>
        </w:tc>
        <w:tc>
          <w:tcPr>
            <w:tcW w:w="819" w:type="dxa"/>
            <w:tcBorders>
              <w:top w:val="single" w:sz="8" w:space="0" w:color="auto"/>
              <w:left w:val="nil"/>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298" w:type="dxa"/>
            <w:vMerge/>
            <w:tcBorders>
              <w:top w:val="single" w:sz="8" w:space="0" w:color="auto"/>
              <w:left w:val="single" w:sz="4" w:space="0" w:color="auto"/>
              <w:bottom w:val="single" w:sz="8" w:space="0" w:color="auto"/>
              <w:right w:val="single" w:sz="4" w:space="0" w:color="auto"/>
            </w:tcBorders>
            <w:vAlign w:val="center"/>
            <w:hideMark/>
          </w:tcPr>
          <w:p w:rsidR="00A83DDA" w:rsidRPr="002F1795" w:rsidRDefault="00A83DDA" w:rsidP="006565F1">
            <w:pPr>
              <w:pStyle w:val="TableSubtitle"/>
            </w:pPr>
          </w:p>
        </w:tc>
        <w:tc>
          <w:tcPr>
            <w:tcW w:w="1289" w:type="dxa"/>
            <w:vMerge/>
            <w:tcBorders>
              <w:top w:val="single" w:sz="8" w:space="0" w:color="auto"/>
              <w:left w:val="single" w:sz="4" w:space="0" w:color="auto"/>
              <w:bottom w:val="single" w:sz="8" w:space="0" w:color="auto"/>
              <w:right w:val="single" w:sz="4" w:space="0" w:color="auto"/>
            </w:tcBorders>
            <w:vAlign w:val="center"/>
            <w:hideMark/>
          </w:tcPr>
          <w:p w:rsidR="00A83DDA" w:rsidRPr="002F1795" w:rsidRDefault="00A83DDA" w:rsidP="006565F1">
            <w:pPr>
              <w:pStyle w:val="TableSubtitle"/>
            </w:pPr>
          </w:p>
        </w:tc>
        <w:tc>
          <w:tcPr>
            <w:tcW w:w="1105" w:type="dxa"/>
            <w:tcBorders>
              <w:top w:val="single" w:sz="8" w:space="0" w:color="auto"/>
              <w:left w:val="nil"/>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958" w:type="dxa"/>
            <w:tcBorders>
              <w:top w:val="single" w:sz="8" w:space="0" w:color="auto"/>
              <w:left w:val="nil"/>
              <w:bottom w:val="single" w:sz="8"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160" w:type="dxa"/>
            <w:tcBorders>
              <w:top w:val="single" w:sz="8" w:space="0" w:color="auto"/>
              <w:left w:val="nil"/>
              <w:bottom w:val="single" w:sz="8"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 </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Producers</w:t>
            </w:r>
            <w:r w:rsidRPr="002F1795">
              <w:rPr>
                <w:vertAlign w:val="superscript"/>
              </w:rPr>
              <w:t>3</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370</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1,129</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1,499</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493</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1,505</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1,998</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Fabricators</w:t>
            </w:r>
            <w:r w:rsidRPr="002F1795">
              <w:rPr>
                <w:vertAlign w:val="superscript"/>
              </w:rPr>
              <w:t>4</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79,701</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31,083</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110,784</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106,257</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41,440</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147,697</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Wholesalers</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85,560</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33,368</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118,928</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114,069</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44,486</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158,555</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Retailers</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rPr>
                <w:rFonts w:ascii="Tahoma" w:hAnsi="Tahoma" w:cs="Tahoma"/>
                <w:szCs w:val="16"/>
              </w:rPr>
              <w:t>-</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1,011,963</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rPr>
                <w:rFonts w:ascii="Tahoma" w:hAnsi="Tahoma" w:cs="Tahoma"/>
                <w:szCs w:val="16"/>
              </w:rPr>
              <w:t>-</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1,011,963</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747"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1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9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8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60"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 xml:space="preserve">3. Initial On-site Audit </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With Existing Certifications</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82</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764</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846</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109</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1,019</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1,128</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Without Existing Certifications</w:t>
            </w:r>
            <w:r w:rsidRPr="002F1795">
              <w:rPr>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768</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973</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1,741</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3</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3,840</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4,866</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8,706</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747"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1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9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8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60"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w:t>
            </w:r>
          </w:p>
        </w:tc>
      </w:tr>
      <w:tr w:rsidR="00133C1E" w:rsidRPr="002F1795" w:rsidTr="00133C1E">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133C1E" w:rsidRPr="002F1795" w:rsidRDefault="00133C1E" w:rsidP="006565F1">
            <w:pPr>
              <w:pStyle w:val="TableText"/>
              <w:ind w:left="172"/>
            </w:pPr>
            <w:r w:rsidRPr="002F1795">
              <w:t>1 Product</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33C1E" w:rsidRPr="002F1795" w:rsidRDefault="00133C1E"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5</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64</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69</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0.5000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11</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12</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2 Products</w:t>
            </w:r>
            <w:r w:rsidRPr="002F1795">
              <w:rPr>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0.6667</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0.2500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48</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61</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109</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6 </w:t>
            </w:r>
          </w:p>
        </w:tc>
      </w:tr>
      <w:tr w:rsidR="00164715" w:rsidRPr="002F1795" w:rsidTr="0016471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72"/>
            </w:pPr>
            <w:r w:rsidRPr="002F1795">
              <w:t>1 Product</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5</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64</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69</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3.3333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1.0000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17</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213</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230</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2 Products</w:t>
            </w:r>
            <w:r w:rsidRPr="002F1795">
              <w:rPr>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6.6667</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1,920</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2,433</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4,353</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7</w:t>
            </w:r>
          </w:p>
        </w:tc>
      </w:tr>
      <w:tr w:rsidR="00164715" w:rsidRPr="002F1795" w:rsidTr="0016471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72"/>
            </w:pPr>
            <w:r w:rsidRPr="002F1795">
              <w:t>Standard</w:t>
            </w:r>
            <w:r w:rsidRPr="002F1795">
              <w:rPr>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328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599</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927</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3.6667</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4.0000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4,811</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8,785</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13,596</w:t>
            </w:r>
          </w:p>
        </w:tc>
      </w:tr>
      <w:tr w:rsidR="00164715" w:rsidRPr="002F1795" w:rsidTr="0016471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72"/>
            </w:pPr>
            <w:r w:rsidRPr="002F1795">
              <w:t>NAF (With New Certification)</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11</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211</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222</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4.0000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44</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844</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888</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747"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1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9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8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60"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hideMark/>
          </w:tcPr>
          <w:p w:rsidR="00A83DDA" w:rsidRPr="002F1795" w:rsidRDefault="00A83DDA" w:rsidP="006565F1">
            <w:pPr>
              <w:pStyle w:val="TableText"/>
            </w:pPr>
            <w:r w:rsidRPr="002F1795">
              <w:t>10. Large Scale Testing Shipment</w:t>
            </w:r>
            <w:r w:rsidRPr="002F1795">
              <w:rPr>
                <w:vertAlign w:val="superscript"/>
              </w:rPr>
              <w:t>7</w:t>
            </w:r>
            <w:r w:rsidRPr="002F1795">
              <w:t> </w:t>
            </w:r>
          </w:p>
        </w:tc>
      </w:tr>
      <w:tr w:rsidR="00C7107E" w:rsidRPr="002F1795" w:rsidTr="0016471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213"/>
            </w:pPr>
            <w:r w:rsidRPr="002F1795">
              <w:t>Standard/ULEF Certification</w:t>
            </w:r>
            <w:r w:rsidRPr="002F1795">
              <w:rPr>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345</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778</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1,123</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3.6667</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0.5000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633</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1,426</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2,059</w:t>
            </w:r>
          </w:p>
        </w:tc>
      </w:tr>
      <w:tr w:rsidR="00C7107E" w:rsidRPr="002F1795" w:rsidTr="0016471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213"/>
            </w:pPr>
            <w:r w:rsidRPr="002F1795">
              <w:t>NAF (With New Certification)</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11</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211</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222</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0.5000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6</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106</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112</w:t>
            </w:r>
          </w:p>
        </w:tc>
      </w:tr>
      <w:tr w:rsidR="00C7107E" w:rsidRPr="002F1795" w:rsidTr="00D421B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firstLine="213"/>
            </w:pPr>
            <w:r w:rsidRPr="002F1795">
              <w:t>NAF (With Existing Certification)</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14</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140</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154</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0.5000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70</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77</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747"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1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9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8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60"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8</w:t>
            </w:r>
          </w:p>
        </w:tc>
        <w:tc>
          <w:tcPr>
            <w:tcW w:w="747"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rsidR="00A83DDA" w:rsidRPr="002F1795" w:rsidRDefault="00A83DDA" w:rsidP="006565F1">
            <w:pPr>
              <w:pStyle w:val="TableText"/>
              <w:jc w:val="center"/>
            </w:pPr>
          </w:p>
        </w:tc>
        <w:tc>
          <w:tcPr>
            <w:tcW w:w="1013"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819"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29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 </w:t>
            </w:r>
          </w:p>
        </w:tc>
        <w:tc>
          <w:tcPr>
            <w:tcW w:w="128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 </w:t>
            </w:r>
          </w:p>
        </w:tc>
        <w:tc>
          <w:tcPr>
            <w:tcW w:w="1105"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160" w:type="dxa"/>
            <w:tcBorders>
              <w:top w:val="single" w:sz="8" w:space="0" w:color="auto"/>
              <w:left w:val="single" w:sz="4" w:space="0" w:color="auto"/>
              <w:bottom w:val="single" w:sz="8" w:space="0" w:color="auto"/>
              <w:right w:val="single" w:sz="8" w:space="0" w:color="auto"/>
            </w:tcBorders>
            <w:shd w:val="clear" w:color="auto" w:fill="FFFFFF" w:themeFill="background1"/>
            <w:noWrap/>
            <w:hideMark/>
          </w:tcPr>
          <w:p w:rsidR="00A83DDA" w:rsidRPr="002F1795" w:rsidRDefault="00A83DDA" w:rsidP="006565F1">
            <w:pPr>
              <w:pStyle w:val="TableText"/>
              <w:jc w:val="right"/>
            </w:pPr>
            <w:r w:rsidRPr="002F1795">
              <w:t> </w:t>
            </w:r>
          </w:p>
        </w:tc>
      </w:tr>
      <w:tr w:rsidR="00164715" w:rsidRPr="002F1795" w:rsidTr="0016471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72"/>
            </w:pPr>
            <w:r w:rsidRPr="002F1795">
              <w:t>Standard Certification</w:t>
            </w:r>
            <w:r w:rsidRPr="002F1795">
              <w:rPr>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328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599</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927</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8.0000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1.0000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2,624</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4,792</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7,416</w:t>
            </w:r>
          </w:p>
        </w:tc>
      </w:tr>
      <w:tr w:rsidR="00164715" w:rsidRPr="002F1795" w:rsidTr="00164715">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ind w:left="172"/>
            </w:pPr>
            <w:r w:rsidRPr="002F1795">
              <w:t>NAF (With New Certification)</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11</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211</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222</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0.6667</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164715" w:rsidRPr="002F1795" w:rsidRDefault="00164715" w:rsidP="006565F1">
            <w:pPr>
              <w:pStyle w:val="TableText"/>
              <w:jc w:val="right"/>
            </w:pPr>
            <w:r w:rsidRPr="002F1795">
              <w:t>1.0000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7</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141</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164715" w:rsidRPr="002F1795" w:rsidRDefault="00164715">
            <w:pPr>
              <w:jc w:val="right"/>
              <w:rPr>
                <w:color w:val="000000"/>
                <w:sz w:val="18"/>
                <w:szCs w:val="18"/>
              </w:rPr>
            </w:pPr>
            <w:r w:rsidRPr="002F1795">
              <w:rPr>
                <w:color w:val="000000"/>
                <w:sz w:val="18"/>
                <w:szCs w:val="18"/>
              </w:rPr>
              <w:t>148</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r w:rsidRPr="002F1795">
              <w:rPr>
                <w:vertAlign w:val="superscript"/>
              </w:rPr>
              <w:t>9</w:t>
            </w:r>
          </w:p>
        </w:tc>
        <w:tc>
          <w:tcPr>
            <w:tcW w:w="747"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1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9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8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60"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10</w:t>
            </w:r>
          </w:p>
        </w:tc>
      </w:tr>
      <w:tr w:rsidR="00991AF8" w:rsidRPr="002F1795" w:rsidTr="00991AF8">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991AF8" w:rsidRPr="002F1795" w:rsidRDefault="00991AF8" w:rsidP="006565F1">
            <w:pPr>
              <w:pStyle w:val="TableText"/>
              <w:ind w:left="172"/>
            </w:pPr>
            <w:r w:rsidRPr="002F1795">
              <w:t>Standard Certification</w:t>
            </w:r>
            <w:r w:rsidRPr="002F1795">
              <w:rPr>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328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599</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927</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991AF8" w:rsidRPr="002F1795" w:rsidRDefault="00991AF8" w:rsidP="006565F1">
            <w:pPr>
              <w:pStyle w:val="TableText"/>
              <w:jc w:val="right"/>
            </w:pPr>
            <w:r w:rsidRPr="002F1795">
              <w:t>260.0000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991AF8" w:rsidRPr="002F1795" w:rsidRDefault="00991AF8" w:rsidP="006565F1">
            <w:pPr>
              <w:pStyle w:val="TableText"/>
              <w:jc w:val="right"/>
            </w:pPr>
            <w:r w:rsidRPr="002F1795">
              <w:t>2.0000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170,560</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311,480</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482,040</w:t>
            </w:r>
          </w:p>
        </w:tc>
      </w:tr>
      <w:tr w:rsidR="00991AF8" w:rsidRPr="002F1795" w:rsidTr="00991AF8">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991AF8" w:rsidRPr="002F1795" w:rsidRDefault="00991AF8" w:rsidP="006565F1">
            <w:pPr>
              <w:pStyle w:val="TableText"/>
              <w:ind w:left="172"/>
            </w:pPr>
            <w:r w:rsidRPr="002F1795">
              <w:t>New NAF Certification</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rsidP="006565F1">
            <w:pPr>
              <w:pStyle w:val="TableText"/>
              <w:jc w:val="center"/>
            </w:pPr>
            <w:r w:rsidRPr="002F1795">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11</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211</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222</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991AF8" w:rsidRPr="002F1795" w:rsidRDefault="00991AF8" w:rsidP="006565F1">
            <w:pPr>
              <w:pStyle w:val="TableText"/>
              <w:jc w:val="right"/>
            </w:pPr>
            <w:r w:rsidRPr="002F1795">
              <w:t>21.6667</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991AF8" w:rsidRPr="002F1795" w:rsidRDefault="00991AF8" w:rsidP="006565F1">
            <w:pPr>
              <w:pStyle w:val="TableText"/>
              <w:jc w:val="right"/>
            </w:pPr>
            <w:r w:rsidRPr="002F1795">
              <w:t>2.0000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477</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9,143</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991AF8" w:rsidRPr="002F1795" w:rsidRDefault="00991AF8">
            <w:pPr>
              <w:jc w:val="right"/>
              <w:rPr>
                <w:color w:val="000000"/>
                <w:sz w:val="18"/>
                <w:szCs w:val="18"/>
              </w:rPr>
            </w:pPr>
            <w:r w:rsidRPr="002F1795">
              <w:rPr>
                <w:color w:val="000000"/>
                <w:sz w:val="18"/>
                <w:szCs w:val="18"/>
              </w:rPr>
              <w:t>9,620</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747"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21"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1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9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89"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8" w:space="0" w:color="auto"/>
              <w:left w:val="single" w:sz="4"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60"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11</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8,576</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11,945</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20,521</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59.1500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169,073</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235,492</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404,565</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r w:rsidRPr="002F1795">
              <w:rPr>
                <w:vertAlign w:val="superscript"/>
              </w:rPr>
              <w:t>12</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rPr>
                <w:szCs w:val="18"/>
              </w:rPr>
            </w:pPr>
            <w:r w:rsidRPr="002F1795">
              <w:rPr>
                <w:color w:val="000000"/>
                <w:szCs w:val="18"/>
              </w:rPr>
              <w:t>Producers</w:t>
            </w:r>
            <w:r w:rsidRPr="002F1795">
              <w:rPr>
                <w:color w:val="000000"/>
                <w:szCs w:val="18"/>
                <w:vertAlign w:val="superscript"/>
              </w:rPr>
              <w:t>3,5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M</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370</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1,129</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1,499</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52.0000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19,240</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58,708</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77,948</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8"/>
              </w:rPr>
            </w:pPr>
            <w:r w:rsidRPr="002F1795">
              <w:rPr>
                <w:color w:val="000000"/>
                <w:szCs w:val="18"/>
              </w:rPr>
              <w:lastRenderedPageBreak/>
              <w:t>Fabricators with burden- Employers</w:t>
            </w:r>
            <w:r w:rsidRPr="002F1795">
              <w:rPr>
                <w:color w:val="000000"/>
                <w:szCs w:val="18"/>
                <w:vertAlign w:val="superscript"/>
              </w:rPr>
              <w:t>4</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3,630</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1,422</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5,052</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520.0000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1,887,600</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739,440</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2,627,040</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Fabricators with burden - Nonemployers</w:t>
            </w:r>
            <w:r w:rsidRPr="002F1795">
              <w:rPr>
                <w:color w:val="000000"/>
                <w:szCs w:val="18"/>
                <w:vertAlign w:val="superscript"/>
              </w:rPr>
              <w:t>4</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5,137</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1,997</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7,134</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7.2100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37,038</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14,398</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51,436</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without burden</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70,934</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27,664</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98,598</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105" w:type="dxa"/>
            <w:tcBorders>
              <w:top w:val="single" w:sz="8" w:space="0" w:color="auto"/>
              <w:left w:val="nil"/>
              <w:bottom w:val="single" w:sz="8" w:space="0" w:color="auto"/>
              <w:right w:val="single" w:sz="4"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c>
          <w:tcPr>
            <w:tcW w:w="958" w:type="dxa"/>
            <w:tcBorders>
              <w:top w:val="single" w:sz="8" w:space="0" w:color="auto"/>
              <w:left w:val="nil"/>
              <w:bottom w:val="single" w:sz="8" w:space="0" w:color="auto"/>
              <w:right w:val="single" w:sz="4"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c>
          <w:tcPr>
            <w:tcW w:w="1160" w:type="dxa"/>
            <w:tcBorders>
              <w:top w:val="single" w:sz="8" w:space="0" w:color="auto"/>
              <w:left w:val="nil"/>
              <w:bottom w:val="single" w:sz="8" w:space="0" w:color="auto"/>
              <w:right w:val="single" w:sz="8"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8"/>
              </w:rPr>
            </w:pPr>
            <w:r w:rsidRPr="002F1795">
              <w:rPr>
                <w:color w:val="000000"/>
                <w:szCs w:val="18"/>
              </w:rPr>
              <w:t>Wholesalers with burden - Employers</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4,208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5,861</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10,069</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195.0000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820,560</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1,142,895</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1,963,455</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 xml:space="preserve">Wholesalers with burden - </w:t>
            </w:r>
            <w:proofErr w:type="spellStart"/>
            <w:r w:rsidRPr="002F1795">
              <w:rPr>
                <w:color w:val="000000"/>
                <w:szCs w:val="18"/>
              </w:rPr>
              <w:t>Nonemployers</w:t>
            </w:r>
            <w:proofErr w:type="spellEnd"/>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6,094</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8,487</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14,581</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3.9200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23,888</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33,269</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57,15</w:t>
            </w:r>
            <w:r w:rsidR="00991AF8" w:rsidRPr="002F1795">
              <w:rPr>
                <w:color w:val="000000"/>
                <w:szCs w:val="18"/>
              </w:rPr>
              <w:t>7</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without burden</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75,258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rFonts w:ascii="Tahoma" w:hAnsi="Tahoma" w:cs="Tahoma"/>
                <w:szCs w:val="18"/>
              </w:rPr>
            </w:pPr>
            <w:r w:rsidRPr="002F1795">
              <w:rPr>
                <w:color w:val="000000"/>
                <w:szCs w:val="18"/>
              </w:rPr>
              <w:t>19,020</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94,278</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105" w:type="dxa"/>
            <w:tcBorders>
              <w:top w:val="single" w:sz="8" w:space="0" w:color="auto"/>
              <w:left w:val="nil"/>
              <w:bottom w:val="single" w:sz="8" w:space="0" w:color="auto"/>
              <w:right w:val="single" w:sz="4"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c>
          <w:tcPr>
            <w:tcW w:w="958" w:type="dxa"/>
            <w:tcBorders>
              <w:top w:val="single" w:sz="8" w:space="0" w:color="auto"/>
              <w:left w:val="nil"/>
              <w:bottom w:val="single" w:sz="8" w:space="0" w:color="auto"/>
              <w:right w:val="single" w:sz="4"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c>
          <w:tcPr>
            <w:tcW w:w="1160" w:type="dxa"/>
            <w:tcBorders>
              <w:top w:val="single" w:sz="8" w:space="0" w:color="auto"/>
              <w:left w:val="nil"/>
              <w:bottom w:val="single" w:sz="8" w:space="0" w:color="auto"/>
              <w:right w:val="single" w:sz="8"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Retailers</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759,048</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rFonts w:ascii="Tahoma" w:hAnsi="Tahoma" w:cs="Tahoma"/>
                <w:szCs w:val="18"/>
              </w:rPr>
            </w:pPr>
            <w:r w:rsidRPr="002F1795">
              <w:rPr>
                <w:rFonts w:ascii="Tahoma" w:hAnsi="Tahoma" w:cs="Tahoma"/>
                <w:szCs w:val="18"/>
              </w:rPr>
              <w:t>-</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759,048</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105" w:type="dxa"/>
            <w:tcBorders>
              <w:top w:val="single" w:sz="8" w:space="0" w:color="auto"/>
              <w:left w:val="nil"/>
              <w:bottom w:val="single" w:sz="8" w:space="0" w:color="auto"/>
              <w:right w:val="single" w:sz="4"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c>
          <w:tcPr>
            <w:tcW w:w="958" w:type="dxa"/>
            <w:tcBorders>
              <w:top w:val="single" w:sz="8" w:space="0" w:color="auto"/>
              <w:left w:val="nil"/>
              <w:bottom w:val="single" w:sz="8" w:space="0" w:color="auto"/>
              <w:right w:val="single" w:sz="4"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c>
          <w:tcPr>
            <w:tcW w:w="1160" w:type="dxa"/>
            <w:tcBorders>
              <w:top w:val="single" w:sz="8" w:space="0" w:color="auto"/>
              <w:left w:val="nil"/>
              <w:bottom w:val="single" w:sz="8" w:space="0" w:color="auto"/>
              <w:right w:val="single" w:sz="8" w:space="0" w:color="auto"/>
            </w:tcBorders>
            <w:shd w:val="clear" w:color="auto" w:fill="FFFFFF" w:themeFill="background1"/>
            <w:noWrap/>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rPr>
                <w:szCs w:val="18"/>
              </w:rPr>
            </w:pPr>
            <w:r w:rsidRPr="002F1795">
              <w:rPr>
                <w:szCs w:val="18"/>
              </w:rPr>
              <w:t>18. Initial Labeling</w:t>
            </w:r>
            <w:r w:rsidRPr="002F1795">
              <w:rPr>
                <w:szCs w:val="18"/>
                <w:vertAlign w:val="superscript"/>
              </w:rPr>
              <w:t>4,13</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8"/>
              </w:rPr>
            </w:pPr>
            <w:r w:rsidRPr="002F1795">
              <w:rPr>
                <w:szCs w:val="18"/>
              </w:rPr>
              <w:t>Minor Changes - Producers</w:t>
            </w:r>
            <w:r w:rsidRPr="002F1795">
              <w:rPr>
                <w:szCs w:val="18"/>
                <w:vertAlign w:val="superscript"/>
              </w:rPr>
              <w:t>4,5</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szCs w:val="18"/>
              </w:rPr>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93</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1,021</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1,114</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6.0000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186</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2,042</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szCs w:val="18"/>
              </w:rPr>
              <w:t>2,228</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Fabricators</w:t>
            </w:r>
            <w:r w:rsidRPr="002F1795">
              <w:rPr>
                <w:vertAlign w:val="superscript"/>
              </w:rPr>
              <w:t>4</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64,290</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24,986</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89,276</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64,284</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24,984</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89,26</w:t>
            </w:r>
            <w:r w:rsidR="00991AF8" w:rsidRPr="002F1795">
              <w:t>8</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Producers</w:t>
            </w:r>
            <w:r w:rsidRPr="002F1795">
              <w:rPr>
                <w:vertAlign w:val="superscript"/>
              </w:rPr>
              <w:t>3</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277</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108</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385</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9,232</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3,600</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12,832</w:t>
            </w:r>
          </w:p>
        </w:tc>
      </w:tr>
      <w:tr w:rsidR="00A83DDA" w:rsidRPr="002F1795" w:rsidTr="006565F1">
        <w:trPr>
          <w:trHeight w:val="77"/>
          <w:jc w:val="center"/>
        </w:trPr>
        <w:tc>
          <w:tcPr>
            <w:tcW w:w="3866"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Fabricators and Wholesalers</w:t>
            </w:r>
            <w:r w:rsidRPr="002F1795">
              <w:rPr>
                <w:vertAlign w:val="superscript"/>
              </w:rPr>
              <w:t>4</w:t>
            </w:r>
          </w:p>
        </w:tc>
        <w:tc>
          <w:tcPr>
            <w:tcW w:w="747" w:type="dxa"/>
            <w:tcBorders>
              <w:top w:val="single" w:sz="8" w:space="0" w:color="auto"/>
              <w:left w:val="nil"/>
              <w:bottom w:val="single" w:sz="8"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013"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16,266</w:t>
            </w:r>
          </w:p>
        </w:tc>
        <w:tc>
          <w:tcPr>
            <w:tcW w:w="921"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6,344</w:t>
            </w:r>
          </w:p>
        </w:tc>
        <w:tc>
          <w:tcPr>
            <w:tcW w:w="81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22,610</w:t>
            </w:r>
          </w:p>
        </w:tc>
        <w:tc>
          <w:tcPr>
            <w:tcW w:w="129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89"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100.0000</w:t>
            </w:r>
          </w:p>
        </w:tc>
        <w:tc>
          <w:tcPr>
            <w:tcW w:w="1105"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542,146</w:t>
            </w:r>
          </w:p>
        </w:tc>
        <w:tc>
          <w:tcPr>
            <w:tcW w:w="9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211,446</w:t>
            </w:r>
          </w:p>
        </w:tc>
        <w:tc>
          <w:tcPr>
            <w:tcW w:w="1160" w:type="dxa"/>
            <w:tcBorders>
              <w:top w:val="single" w:sz="8" w:space="0" w:color="auto"/>
              <w:left w:val="nil"/>
              <w:bottom w:val="single" w:sz="8"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753,59</w:t>
            </w:r>
            <w:r w:rsidR="00991AF8" w:rsidRPr="002F1795">
              <w:t>2</w:t>
            </w:r>
          </w:p>
        </w:tc>
      </w:tr>
      <w:tr w:rsidR="00D421B5" w:rsidRPr="002F1795" w:rsidTr="00991AF8">
        <w:trPr>
          <w:trHeight w:val="77"/>
          <w:jc w:val="center"/>
        </w:trPr>
        <w:tc>
          <w:tcPr>
            <w:tcW w:w="9953" w:type="dxa"/>
            <w:gridSpan w:val="7"/>
            <w:tcBorders>
              <w:top w:val="single" w:sz="8" w:space="0" w:color="auto"/>
              <w:left w:val="single" w:sz="8" w:space="0" w:color="auto"/>
              <w:bottom w:val="single" w:sz="8" w:space="0" w:color="auto"/>
              <w:right w:val="single" w:sz="4" w:space="0" w:color="000000"/>
            </w:tcBorders>
            <w:shd w:val="clear" w:color="000000" w:fill="FFFFFF"/>
            <w:noWrap/>
            <w:vAlign w:val="center"/>
            <w:hideMark/>
          </w:tcPr>
          <w:p w:rsidR="00D421B5" w:rsidRPr="002F1795" w:rsidRDefault="00D421B5" w:rsidP="006565F1">
            <w:pPr>
              <w:pStyle w:val="TableText"/>
              <w:jc w:val="center"/>
              <w:rPr>
                <w:b/>
                <w:bCs/>
              </w:rPr>
            </w:pPr>
            <w:r w:rsidRPr="002F1795">
              <w:rPr>
                <w:b/>
                <w:bCs/>
              </w:rPr>
              <w:t>Total - Three Year Average</w:t>
            </w:r>
          </w:p>
        </w:tc>
        <w:tc>
          <w:tcPr>
            <w:tcW w:w="1105" w:type="dxa"/>
            <w:tcBorders>
              <w:top w:val="single" w:sz="8" w:space="0" w:color="auto"/>
              <w:left w:val="nil"/>
              <w:bottom w:val="single" w:sz="8" w:space="0" w:color="auto"/>
              <w:right w:val="single" w:sz="4" w:space="0" w:color="auto"/>
            </w:tcBorders>
            <w:shd w:val="clear" w:color="000000" w:fill="FFFFFF"/>
            <w:noWrap/>
            <w:vAlign w:val="center"/>
            <w:hideMark/>
          </w:tcPr>
          <w:p w:rsidR="00D421B5" w:rsidRPr="002F1795" w:rsidRDefault="00D421B5">
            <w:pPr>
              <w:jc w:val="right"/>
              <w:rPr>
                <w:b/>
                <w:color w:val="000000"/>
                <w:sz w:val="18"/>
                <w:szCs w:val="18"/>
              </w:rPr>
            </w:pPr>
            <w:r w:rsidRPr="002F1795">
              <w:rPr>
                <w:b/>
                <w:color w:val="000000"/>
                <w:sz w:val="18"/>
                <w:szCs w:val="18"/>
              </w:rPr>
              <w:t>4,991,901</w:t>
            </w:r>
          </w:p>
        </w:tc>
        <w:tc>
          <w:tcPr>
            <w:tcW w:w="958" w:type="dxa"/>
            <w:tcBorders>
              <w:top w:val="single" w:sz="8" w:space="0" w:color="auto"/>
              <w:left w:val="nil"/>
              <w:bottom w:val="single" w:sz="8" w:space="0" w:color="auto"/>
              <w:right w:val="single" w:sz="4" w:space="0" w:color="auto"/>
            </w:tcBorders>
            <w:shd w:val="clear" w:color="000000" w:fill="FFFFFF"/>
            <w:noWrap/>
            <w:vAlign w:val="center"/>
            <w:hideMark/>
          </w:tcPr>
          <w:p w:rsidR="00D421B5" w:rsidRPr="002F1795" w:rsidRDefault="00D421B5">
            <w:pPr>
              <w:jc w:val="right"/>
              <w:rPr>
                <w:b/>
                <w:color w:val="000000"/>
                <w:sz w:val="18"/>
                <w:szCs w:val="18"/>
              </w:rPr>
            </w:pPr>
            <w:r w:rsidRPr="002F1795">
              <w:rPr>
                <w:b/>
                <w:color w:val="000000"/>
                <w:sz w:val="18"/>
                <w:szCs w:val="18"/>
              </w:rPr>
              <w:t>2,900,068</w:t>
            </w:r>
          </w:p>
        </w:tc>
        <w:tc>
          <w:tcPr>
            <w:tcW w:w="1160" w:type="dxa"/>
            <w:tcBorders>
              <w:top w:val="single" w:sz="8" w:space="0" w:color="auto"/>
              <w:left w:val="nil"/>
              <w:bottom w:val="single" w:sz="8" w:space="0" w:color="auto"/>
              <w:right w:val="single" w:sz="8" w:space="0" w:color="auto"/>
            </w:tcBorders>
            <w:shd w:val="clear" w:color="000000" w:fill="FFFFFF"/>
            <w:noWrap/>
            <w:vAlign w:val="center"/>
            <w:hideMark/>
          </w:tcPr>
          <w:p w:rsidR="00D421B5" w:rsidRPr="002F1795" w:rsidRDefault="00D421B5">
            <w:pPr>
              <w:jc w:val="right"/>
              <w:rPr>
                <w:b/>
                <w:color w:val="000000"/>
                <w:sz w:val="18"/>
                <w:szCs w:val="18"/>
              </w:rPr>
            </w:pPr>
            <w:r w:rsidRPr="002F1795">
              <w:rPr>
                <w:b/>
                <w:color w:val="000000"/>
                <w:sz w:val="18"/>
                <w:szCs w:val="18"/>
              </w:rPr>
              <w:t>7,891,969</w:t>
            </w:r>
          </w:p>
        </w:tc>
      </w:tr>
      <w:tr w:rsidR="00A83DDA" w:rsidRPr="002F1795" w:rsidTr="006565F1">
        <w:trPr>
          <w:trHeight w:val="529"/>
          <w:jc w:val="center"/>
        </w:trPr>
        <w:tc>
          <w:tcPr>
            <w:tcW w:w="13176" w:type="dxa"/>
            <w:gridSpan w:val="10"/>
            <w:tcBorders>
              <w:top w:val="single" w:sz="8" w:space="0" w:color="auto"/>
              <w:left w:val="single" w:sz="8" w:space="0" w:color="auto"/>
              <w:bottom w:val="single" w:sz="8" w:space="0" w:color="auto"/>
              <w:right w:val="single" w:sz="8" w:space="0" w:color="auto"/>
            </w:tcBorders>
            <w:shd w:val="clear" w:color="000000" w:fill="FFFFFF"/>
            <w:hideMark/>
          </w:tcPr>
          <w:p w:rsidR="00A83DDA" w:rsidRPr="002F1795" w:rsidRDefault="00A83DDA" w:rsidP="006565F1">
            <w:pPr>
              <w:pStyle w:val="tablefootnote"/>
              <w:keepLines/>
            </w:pPr>
            <w:r w:rsidRPr="002F1795">
              <w:t>Notes: 1. This column indicates the category of labor associated with the activity.  "M", "T", and "C" stand for managerial, technical, and clerical labor, respectively.</w:t>
            </w:r>
          </w:p>
          <w:p w:rsidR="00A83DDA" w:rsidRPr="002F1795" w:rsidRDefault="00A83DDA" w:rsidP="006565F1">
            <w:pPr>
              <w:pStyle w:val="tablefootnote"/>
              <w:keepLines/>
            </w:pPr>
            <w:r w:rsidRPr="002F1795">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Total excludes the estimated 2 percent of wood veneer laminated product producers expected to continue to use added formaldehyde resins.</w:t>
            </w:r>
          </w:p>
          <w:p w:rsidR="00A83DDA" w:rsidRPr="002F1795" w:rsidRDefault="00A83DDA" w:rsidP="006565F1">
            <w:pPr>
              <w:pStyle w:val="tablefootnote"/>
              <w:keepLines/>
            </w:pPr>
            <w:r w:rsidRPr="002F1795">
              <w:t>5.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6. Producers that are already CARB compliant are not assumed to need to perform correlation testing because it is assumed that their previous testing is sufficient.</w:t>
            </w:r>
          </w:p>
          <w:p w:rsidR="00A83DDA" w:rsidRPr="002F1795" w:rsidRDefault="00A83DDA" w:rsidP="006565F1">
            <w:pPr>
              <w:pStyle w:val="tablefootnote"/>
              <w:keepLines/>
            </w:pPr>
            <w:r w:rsidRPr="002F1795">
              <w:t xml:space="preserve">7. On-site audits must be conducted at least once quarterly, unless the mill obtains </w:t>
            </w:r>
            <w:r w:rsidR="00FA3612"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FA3612" w:rsidRPr="002F1795">
              <w:t xml:space="preserve">ULEF or </w:t>
            </w:r>
            <w:r w:rsidRPr="002F1795">
              <w:t xml:space="preserve">NAF certifications under the CARB ATCM will only incur the initial on-site audit in the first year.  All producers with </w:t>
            </w:r>
            <w:r w:rsidR="00FA3612"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8. Desk audits are assumed to occur monthly</w:t>
            </w:r>
            <w:r w:rsidR="00FA3612"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FA3612" w:rsidRPr="002F1795">
              <w:t xml:space="preserve">ULEF or </w:t>
            </w:r>
            <w:r w:rsidRPr="002F1795">
              <w:t xml:space="preserve">NAF certification.  </w:t>
            </w:r>
          </w:p>
          <w:p w:rsidR="00A83DDA" w:rsidRPr="002F1795" w:rsidRDefault="00A83DDA" w:rsidP="006565F1">
            <w:pPr>
              <w:pStyle w:val="tablefootnote"/>
              <w:keepLines/>
            </w:pPr>
            <w:r w:rsidRPr="002F1795">
              <w:t>9. Although mills are likely to incur some labor burden while learning how to use the small chamber testing unit, it is not estimated in this analysis.</w:t>
            </w:r>
          </w:p>
          <w:p w:rsidR="00A83DDA" w:rsidRPr="002F1795" w:rsidRDefault="00A83DDA" w:rsidP="006565F1">
            <w:pPr>
              <w:pStyle w:val="tablefootnote"/>
              <w:keepLines/>
            </w:pPr>
            <w:r w:rsidRPr="002F1795">
              <w:t>10. This analysis assumes that composite panel producers</w:t>
            </w:r>
            <w:r w:rsidR="00410FAD" w:rsidRPr="002F1795">
              <w:t xml:space="preserve"> with a standard certification or a new NAF certification</w:t>
            </w:r>
            <w:r w:rsidRPr="002F1795">
              <w:t xml:space="preserve"> test each production line once daily.  </w:t>
            </w:r>
            <w:r w:rsidR="00EB4B76" w:rsidRPr="002F1795">
              <w:t>Producers with an existing ULEF or NAF certification will already have been exempted from quality control testing</w:t>
            </w:r>
            <w:r w:rsidRPr="002F1795">
              <w:t>.</w:t>
            </w:r>
          </w:p>
          <w:p w:rsidR="00A83DDA" w:rsidRPr="002F1795" w:rsidRDefault="00A83DDA" w:rsidP="006565F1">
            <w:pPr>
              <w:pStyle w:val="tablefootnote"/>
              <w:keepLines/>
            </w:pPr>
            <w:r w:rsidRPr="002F1795">
              <w:t>11.  Recordkeeping is required for composite panel producers (including the estimated two percent of wood veneer laminated product producers defined as hardwood plywood producers), fabricators, and wholesalers that import composite wood products or articles that contain composite wood products.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are not already complying with the CARB ATCM and will have initial burden to change their recordkeeping systems to comply with the TSCA Title VI rule.</w:t>
            </w:r>
          </w:p>
          <w:p w:rsidR="00A83DDA" w:rsidRPr="002F1795" w:rsidRDefault="00A83DDA" w:rsidP="006565F1">
            <w:pPr>
              <w:pStyle w:val="tablefootnote"/>
              <w:keepLines/>
            </w:pPr>
            <w:r w:rsidRPr="002F1795">
              <w:t xml:space="preserve">12.  While recordkeeping is required for all respondents, not all entities will incur </w:t>
            </w:r>
            <w:r w:rsidR="00FA3612" w:rsidRPr="002F1795">
              <w:t xml:space="preserve">additional </w:t>
            </w:r>
            <w:r w:rsidRPr="002F1795">
              <w:t xml:space="preserve">recordkeeping burden and costs.  This analysis assumes that some fabricators and wholesalers have existing recordkeeping systems that are sufficient to meet the rule's requirements.  Based on responses to EPA’s questionnaires, it is assumed that that 11 percent of fabricators and 43 percent of wholesalers will </w:t>
            </w:r>
            <w:r w:rsidRPr="002F1795">
              <w:lastRenderedPageBreak/>
              <w:t xml:space="preserve">have recurring recordkeeping costs.  However, the analysis assumes that only 28 percent of domestic wholesalers import composite wood products or articles that contain composite wood products and thus 43% of that 28% incur recurring recordkeeping burden.  The customary business practices of the remaining fabricators, wholesalers, and all retailers are assumed to be generally sufficient to meet the proposed rule’s recordkeeping requirements.  For fabricators and wholesalers with burden, the analysis assumes that there is a fixed-cost component of the recurring recordkeeping costs associated with two hours of labor and a variable cost component that is proportional to a firm’s revenue.  The variable cost factor is estimated by subtracting the fixed cost from the total reported cost and then dividing by the estimated average revenue for affected employer category.  For fabricators, the fixed cost is $49.68, the total reported cost is $12,916.80, and the average revenue is $4,241,245.  For wholesalers, the fixed cost is $51.08, the total reported cost is $4,890.30, and the average revenue is $8,308,417.  The respective variable cost factors are 0.30338 percent and 0.05933 percent of revenue.  The recurring recordkeeping burdens for employer fabricators and wholesalers are 520 and 195 hours per year, respectively.  For </w:t>
            </w:r>
            <w:proofErr w:type="spellStart"/>
            <w:r w:rsidRPr="002F1795">
              <w:t>nonemployers</w:t>
            </w:r>
            <w:proofErr w:type="spellEnd"/>
            <w:r w:rsidRPr="002F1795">
              <w:t xml:space="preserve">, the average recurring recordkeeping burden is estimated as the sum of the burden associated with the fixed cost (2 hours) and the burden associated with the respective variable costs, which are calculated as 0.30338 percent of average </w:t>
            </w:r>
            <w:proofErr w:type="spellStart"/>
            <w:r w:rsidRPr="002F1795">
              <w:t>nonemployer</w:t>
            </w:r>
            <w:proofErr w:type="spellEnd"/>
            <w:r w:rsidRPr="002F1795">
              <w:t xml:space="preserve"> fabricator revenues ($42,690) and  0.05933 percent of average </w:t>
            </w:r>
            <w:proofErr w:type="spellStart"/>
            <w:r w:rsidRPr="002F1795">
              <w:t>nonemployer</w:t>
            </w:r>
            <w:proofErr w:type="spellEnd"/>
            <w:r w:rsidRPr="002F1795">
              <w:t xml:space="preserve"> wholesaler revenues ($82,542).  The resulting average fabricator and wholesaler </w:t>
            </w:r>
            <w:proofErr w:type="spellStart"/>
            <w:r w:rsidRPr="002F1795">
              <w:t>nonemployer</w:t>
            </w:r>
            <w:proofErr w:type="spellEnd"/>
            <w:r w:rsidRPr="002F1795">
              <w:t xml:space="preserve"> recurring recordkeeping burdens are 7.21 and 3.92 hours per year, respectively.</w:t>
            </w:r>
          </w:p>
          <w:p w:rsidR="00A83DDA" w:rsidRPr="002F1795" w:rsidRDefault="00A83DDA" w:rsidP="00FA3612">
            <w:pPr>
              <w:pStyle w:val="tablefootnote"/>
              <w:keepLines/>
              <w:rPr>
                <w:rFonts w:ascii="Tahoma" w:hAnsi="Tahoma" w:cs="Tahoma"/>
                <w:szCs w:val="16"/>
              </w:rPr>
            </w:pPr>
            <w:r w:rsidRPr="002F1795">
              <w:t xml:space="preserve">13.  </w:t>
            </w:r>
            <w:r w:rsidR="00FA3612"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fabricators that are not already complying with the CARB ATCM, and all fabricators that are already complying with the CARB ATCM 33 percent of fabricators, and 1 percent of wholesalers will incur the cost associated with 3 hours of labor for making small changes to their labels.  The remaining fabricators and one percent of wholesalers are assumed to incur the average cost of the two firms that reported initial labeling costs in the fabricator questionnaire (see the Economic Analysis for more details).</w:t>
            </w:r>
          </w:p>
        </w:tc>
      </w:tr>
    </w:tbl>
    <w:p w:rsidR="00A83DDA" w:rsidRPr="002F1795" w:rsidRDefault="00A83DDA" w:rsidP="00A83DDA">
      <w:pPr>
        <w:numPr>
          <w:ilvl w:val="12"/>
          <w:numId w:val="0"/>
        </w:numPr>
        <w:rPr>
          <w:u w:val="single"/>
        </w:rPr>
      </w:pPr>
    </w:p>
    <w:tbl>
      <w:tblPr>
        <w:tblW w:w="5000" w:type="pct"/>
        <w:jc w:val="center"/>
        <w:tblLayout w:type="fixed"/>
        <w:tblCellMar>
          <w:left w:w="115" w:type="dxa"/>
          <w:right w:w="115" w:type="dxa"/>
        </w:tblCellMar>
        <w:tblLook w:val="04A0"/>
      </w:tblPr>
      <w:tblGrid>
        <w:gridCol w:w="3265"/>
        <w:gridCol w:w="720"/>
        <w:gridCol w:w="1170"/>
        <w:gridCol w:w="990"/>
        <w:gridCol w:w="1170"/>
        <w:gridCol w:w="1170"/>
        <w:gridCol w:w="1260"/>
        <w:gridCol w:w="1080"/>
        <w:gridCol w:w="1170"/>
        <w:gridCol w:w="1195"/>
      </w:tblGrid>
      <w:tr w:rsidR="00A83DDA" w:rsidRPr="002F1795" w:rsidTr="006565F1">
        <w:trPr>
          <w:trHeight w:val="255"/>
          <w:tblHeader/>
          <w:jc w:val="center"/>
        </w:trPr>
        <w:tc>
          <w:tcPr>
            <w:tcW w:w="13190" w:type="dxa"/>
            <w:gridSpan w:val="10"/>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keepNext/>
              <w:keepLines/>
            </w:pPr>
            <w:bookmarkStart w:id="14" w:name="_Ref309214744"/>
            <w:r w:rsidRPr="002F1795">
              <w:lastRenderedPageBreak/>
              <w:t>Exhibit 6-</w:t>
            </w:r>
            <w:r w:rsidR="0041046E" w:rsidRPr="002F1795">
              <w:fldChar w:fldCharType="begin"/>
            </w:r>
            <w:r w:rsidR="00EE0D8C" w:rsidRPr="002F1795">
              <w:instrText xml:space="preserve"> SEQ Exhibit_6- \* ARABIC </w:instrText>
            </w:r>
            <w:r w:rsidR="0041046E" w:rsidRPr="002F1795">
              <w:fldChar w:fldCharType="separate"/>
            </w:r>
            <w:r w:rsidR="0036394F">
              <w:rPr>
                <w:noProof/>
              </w:rPr>
              <w:t>12</w:t>
            </w:r>
            <w:r w:rsidR="0041046E" w:rsidRPr="002F1795">
              <w:fldChar w:fldCharType="end"/>
            </w:r>
            <w:bookmarkEnd w:id="14"/>
            <w:r w:rsidRPr="002F1795">
              <w:t>: Incremental First Year Burden Hours, by Activity and Geographic Location</w:t>
            </w:r>
          </w:p>
        </w:tc>
      </w:tr>
      <w:tr w:rsidR="00A83DDA" w:rsidRPr="002F1795" w:rsidTr="006565F1">
        <w:trPr>
          <w:trHeight w:val="255"/>
          <w:tblHeader/>
          <w:jc w:val="center"/>
        </w:trPr>
        <w:tc>
          <w:tcPr>
            <w:tcW w:w="3265" w:type="dxa"/>
            <w:vMerge w:val="restart"/>
            <w:tcBorders>
              <w:top w:val="single" w:sz="4" w:space="0" w:color="auto"/>
              <w:left w:val="single" w:sz="8" w:space="0" w:color="auto"/>
              <w:bottom w:val="single" w:sz="4" w:space="0" w:color="auto"/>
              <w:right w:val="nil"/>
            </w:tcBorders>
            <w:shd w:val="clear" w:color="000000" w:fill="FFFFFF"/>
            <w:tcMar>
              <w:left w:w="0" w:type="dxa"/>
              <w:right w:w="0" w:type="dxa"/>
            </w:tcMar>
            <w:vAlign w:val="center"/>
            <w:hideMark/>
          </w:tcPr>
          <w:p w:rsidR="00A83DDA" w:rsidRPr="002F1795" w:rsidRDefault="00A83DDA" w:rsidP="006565F1">
            <w:pPr>
              <w:pStyle w:val="TableSubtitle"/>
            </w:pPr>
            <w:r w:rsidRPr="002F1795">
              <w:t>Activity</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Labor Type</w:t>
            </w:r>
            <w:r w:rsidRPr="002F1795">
              <w:rPr>
                <w:vertAlign w:val="superscript"/>
              </w:rPr>
              <w:t>1</w:t>
            </w:r>
          </w:p>
        </w:tc>
        <w:tc>
          <w:tcPr>
            <w:tcW w:w="3330" w:type="dxa"/>
            <w:gridSpan w:val="3"/>
            <w:tcBorders>
              <w:top w:val="single" w:sz="4" w:space="0" w:color="auto"/>
              <w:left w:val="nil"/>
              <w:bottom w:val="single" w:sz="4" w:space="0" w:color="auto"/>
              <w:right w:val="single" w:sz="4" w:space="0" w:color="auto"/>
            </w:tcBorders>
            <w:shd w:val="clear" w:color="000000" w:fill="FFFFFF"/>
            <w:noWrap/>
            <w:tcMar>
              <w:left w:w="0" w:type="dxa"/>
              <w:right w:w="0" w:type="dxa"/>
            </w:tcMar>
            <w:vAlign w:val="center"/>
            <w:hideMark/>
          </w:tcPr>
          <w:p w:rsidR="00A83DDA" w:rsidRPr="002F1795" w:rsidRDefault="00A83DDA" w:rsidP="006565F1">
            <w:pPr>
              <w:pStyle w:val="TableSubtitle"/>
            </w:pPr>
            <w:r w:rsidRPr="002F1795">
              <w:t>Number of Entities</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rPr>
                <w:sz w:val="16"/>
                <w:szCs w:val="16"/>
              </w:rPr>
            </w:pPr>
            <w:r w:rsidRPr="002F1795">
              <w:rPr>
                <w:sz w:val="16"/>
                <w:szCs w:val="16"/>
              </w:rPr>
              <w:t>Number of Activities Per Respondent</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Burden Per Activity (Hours)</w:t>
            </w:r>
          </w:p>
        </w:tc>
        <w:tc>
          <w:tcPr>
            <w:tcW w:w="3445" w:type="dxa"/>
            <w:gridSpan w:val="3"/>
            <w:tcBorders>
              <w:top w:val="single" w:sz="4" w:space="0" w:color="auto"/>
              <w:left w:val="nil"/>
              <w:bottom w:val="single" w:sz="4" w:space="0" w:color="auto"/>
              <w:right w:val="single" w:sz="8" w:space="0" w:color="000000"/>
            </w:tcBorders>
            <w:shd w:val="clear" w:color="000000" w:fill="FFFFFF"/>
            <w:tcMar>
              <w:left w:w="0" w:type="dxa"/>
              <w:right w:w="0" w:type="dxa"/>
            </w:tcMar>
            <w:vAlign w:val="center"/>
            <w:hideMark/>
          </w:tcPr>
          <w:p w:rsidR="00A83DDA" w:rsidRPr="002F1795" w:rsidRDefault="00A83DDA" w:rsidP="006565F1">
            <w:pPr>
              <w:pStyle w:val="TableSubtitle"/>
            </w:pPr>
            <w:r w:rsidRPr="002F1795">
              <w:t>Incremental Burden (Hours)</w:t>
            </w:r>
          </w:p>
        </w:tc>
      </w:tr>
      <w:tr w:rsidR="00A83DDA" w:rsidRPr="002F1795" w:rsidTr="006565F1">
        <w:trPr>
          <w:trHeight w:val="77"/>
          <w:tblHeader/>
          <w:jc w:val="center"/>
        </w:trPr>
        <w:tc>
          <w:tcPr>
            <w:tcW w:w="3265" w:type="dxa"/>
            <w:vMerge/>
            <w:tcBorders>
              <w:top w:val="single" w:sz="4" w:space="0" w:color="auto"/>
              <w:left w:val="single" w:sz="8" w:space="0" w:color="auto"/>
              <w:bottom w:val="single" w:sz="4" w:space="0" w:color="auto"/>
              <w:right w:val="nil"/>
            </w:tcBorders>
            <w:tcMar>
              <w:left w:w="0" w:type="dxa"/>
              <w:right w:w="0" w:type="dxa"/>
            </w:tcMar>
            <w:vAlign w:val="center"/>
            <w:hideMark/>
          </w:tcPr>
          <w:p w:rsidR="00A83DDA" w:rsidRPr="002F1795" w:rsidRDefault="00A83DDA" w:rsidP="006565F1">
            <w:pPr>
              <w:pStyle w:val="TableSubtitle"/>
            </w:pPr>
          </w:p>
        </w:tc>
        <w:tc>
          <w:tcPr>
            <w:tcW w:w="72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A83DDA" w:rsidRPr="002F1795" w:rsidRDefault="00A83DDA" w:rsidP="006565F1">
            <w:pPr>
              <w:pStyle w:val="TableSubtitle"/>
            </w:pPr>
          </w:p>
        </w:tc>
        <w:tc>
          <w:tcPr>
            <w:tcW w:w="117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Domestic</w:t>
            </w:r>
          </w:p>
        </w:tc>
        <w:tc>
          <w:tcPr>
            <w:tcW w:w="99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Foreign</w:t>
            </w:r>
            <w:r w:rsidRPr="002F1795">
              <w:rPr>
                <w:vertAlign w:val="superscript"/>
              </w:rPr>
              <w:t>2</w:t>
            </w:r>
          </w:p>
        </w:tc>
        <w:tc>
          <w:tcPr>
            <w:tcW w:w="117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Total</w:t>
            </w:r>
          </w:p>
        </w:tc>
        <w:tc>
          <w:tcPr>
            <w:tcW w:w="117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A83DDA" w:rsidRPr="002F1795" w:rsidRDefault="00A83DDA" w:rsidP="006565F1">
            <w:pPr>
              <w:pStyle w:val="TableSubtitle"/>
            </w:pPr>
          </w:p>
        </w:tc>
        <w:tc>
          <w:tcPr>
            <w:tcW w:w="126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A83DDA" w:rsidRPr="002F1795" w:rsidRDefault="00A83DDA" w:rsidP="006565F1">
            <w:pPr>
              <w:pStyle w:val="TableSubtitle"/>
            </w:pPr>
          </w:p>
        </w:tc>
        <w:tc>
          <w:tcPr>
            <w:tcW w:w="108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Domestic</w:t>
            </w:r>
          </w:p>
        </w:tc>
        <w:tc>
          <w:tcPr>
            <w:tcW w:w="117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Foreign</w:t>
            </w:r>
          </w:p>
        </w:tc>
        <w:tc>
          <w:tcPr>
            <w:tcW w:w="1195" w:type="dxa"/>
            <w:tcBorders>
              <w:top w:val="nil"/>
              <w:left w:val="nil"/>
              <w:bottom w:val="single" w:sz="4" w:space="0" w:color="auto"/>
              <w:right w:val="single" w:sz="8"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 </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Producers</w:t>
            </w:r>
            <w:r w:rsidRPr="002F1795">
              <w:rPr>
                <w:vertAlign w:val="superscript"/>
              </w:rPr>
              <w:t>3</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370</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1,129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1,499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1,480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4,516</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5,996</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Fabricators</w:t>
            </w:r>
            <w:r w:rsidRPr="002F1795">
              <w:rPr>
                <w:vertAlign w:val="superscript"/>
              </w:rPr>
              <w:t>4</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79,701</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31,083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110,784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318,804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124,332</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443,136</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Wholesalers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85,560</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33,368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118,928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342,240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133,472</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475,712</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Retailers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3,036,192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3,036,192</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 </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 Existing Certifications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82</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764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846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328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3,056</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3,384</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Without Existing Certifications</w:t>
            </w:r>
            <w:r w:rsidRPr="002F1795">
              <w:rPr>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2,304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2,920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5,224</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3</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11,520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14,600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26,120</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 </w:t>
            </w:r>
          </w:p>
        </w:tc>
      </w:tr>
      <w:tr w:rsidR="00D840DE" w:rsidRPr="002F1795" w:rsidTr="00D840DE">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D840DE" w:rsidRPr="002F1795" w:rsidRDefault="00D840DE" w:rsidP="006565F1">
            <w:pPr>
              <w:pStyle w:val="TableText"/>
              <w:ind w:left="180"/>
            </w:pPr>
            <w:r w:rsidRPr="002F1795">
              <w:t>1 Product</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D840DE" w:rsidRPr="002F1795" w:rsidRDefault="00D840DE"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D840DE" w:rsidRPr="002F1795" w:rsidRDefault="00D840DE">
            <w:pPr>
              <w:jc w:val="right"/>
              <w:rPr>
                <w:color w:val="000000"/>
                <w:sz w:val="18"/>
                <w:szCs w:val="18"/>
              </w:rPr>
            </w:pPr>
            <w:r w:rsidRPr="002F1795">
              <w:rPr>
                <w:color w:val="000000"/>
                <w:sz w:val="18"/>
                <w:szCs w:val="18"/>
              </w:rPr>
              <w:t>5</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D840DE" w:rsidRPr="002F1795" w:rsidRDefault="00D840DE">
            <w:pPr>
              <w:jc w:val="right"/>
              <w:rPr>
                <w:color w:val="000000"/>
                <w:sz w:val="18"/>
                <w:szCs w:val="18"/>
              </w:rPr>
            </w:pPr>
            <w:r w:rsidRPr="002F1795">
              <w:rPr>
                <w:color w:val="000000"/>
                <w:sz w:val="18"/>
                <w:szCs w:val="18"/>
              </w:rPr>
              <w:t>64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D840DE" w:rsidRPr="002F1795" w:rsidRDefault="00D840DE">
            <w:pPr>
              <w:jc w:val="right"/>
              <w:rPr>
                <w:color w:val="000000"/>
                <w:sz w:val="18"/>
                <w:szCs w:val="18"/>
              </w:rPr>
            </w:pPr>
            <w:r w:rsidRPr="002F1795">
              <w:rPr>
                <w:color w:val="000000"/>
                <w:sz w:val="18"/>
                <w:szCs w:val="18"/>
              </w:rPr>
              <w:t>69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D840DE" w:rsidRPr="002F1795" w:rsidRDefault="00D840DE"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D840DE" w:rsidRPr="002F1795" w:rsidRDefault="00D840DE" w:rsidP="006565F1">
            <w:pPr>
              <w:pStyle w:val="TableText"/>
              <w:jc w:val="right"/>
            </w:pPr>
            <w:r w:rsidRPr="002F1795">
              <w:t>0.50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D840DE" w:rsidRPr="002F1795" w:rsidRDefault="00D840DE">
            <w:pPr>
              <w:jc w:val="right"/>
              <w:rPr>
                <w:color w:val="000000"/>
                <w:sz w:val="18"/>
                <w:szCs w:val="18"/>
              </w:rPr>
            </w:pPr>
            <w:r w:rsidRPr="002F1795">
              <w:rPr>
                <w:color w:val="000000"/>
                <w:sz w:val="18"/>
                <w:szCs w:val="18"/>
              </w:rPr>
              <w:t>3</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D840DE" w:rsidRPr="002F1795" w:rsidRDefault="00D840DE">
            <w:pPr>
              <w:jc w:val="right"/>
              <w:rPr>
                <w:color w:val="000000"/>
                <w:sz w:val="18"/>
                <w:szCs w:val="18"/>
              </w:rPr>
            </w:pPr>
            <w:r w:rsidRPr="002F1795">
              <w:rPr>
                <w:color w:val="000000"/>
                <w:sz w:val="18"/>
                <w:szCs w:val="18"/>
              </w:rPr>
              <w:t>32</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D840DE" w:rsidRPr="002F1795" w:rsidRDefault="00D840DE">
            <w:pPr>
              <w:jc w:val="right"/>
              <w:rPr>
                <w:color w:val="000000"/>
                <w:sz w:val="18"/>
                <w:szCs w:val="18"/>
              </w:rPr>
            </w:pPr>
            <w:r w:rsidRPr="002F1795">
              <w:rPr>
                <w:color w:val="000000"/>
                <w:sz w:val="18"/>
                <w:szCs w:val="18"/>
              </w:rPr>
              <w:t>35</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0.25</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183</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327</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6</w:t>
            </w:r>
          </w:p>
        </w:tc>
      </w:tr>
      <w:tr w:rsidR="005C0920" w:rsidRPr="002F1795" w:rsidTr="005C0920">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ind w:left="180"/>
            </w:pPr>
            <w:r w:rsidRPr="002F1795">
              <w:t>1 Product</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pPr>
              <w:jc w:val="right"/>
              <w:rPr>
                <w:color w:val="000000"/>
                <w:sz w:val="18"/>
                <w:szCs w:val="18"/>
              </w:rPr>
            </w:pPr>
            <w:r w:rsidRPr="002F1795">
              <w:rPr>
                <w:color w:val="000000"/>
                <w:sz w:val="18"/>
                <w:szCs w:val="18"/>
              </w:rPr>
              <w:t>5</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pPr>
              <w:jc w:val="right"/>
              <w:rPr>
                <w:color w:val="000000"/>
                <w:sz w:val="18"/>
                <w:szCs w:val="18"/>
              </w:rPr>
            </w:pPr>
            <w:r w:rsidRPr="002F1795">
              <w:rPr>
                <w:color w:val="000000"/>
                <w:sz w:val="18"/>
                <w:szCs w:val="18"/>
              </w:rPr>
              <w:t>64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pPr>
              <w:jc w:val="right"/>
              <w:rPr>
                <w:color w:val="000000"/>
                <w:sz w:val="18"/>
                <w:szCs w:val="18"/>
              </w:rPr>
            </w:pPr>
            <w:r w:rsidRPr="002F1795">
              <w:rPr>
                <w:color w:val="000000"/>
                <w:sz w:val="18"/>
                <w:szCs w:val="18"/>
              </w:rPr>
              <w:t>69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10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1.00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pPr>
              <w:jc w:val="right"/>
              <w:rPr>
                <w:color w:val="000000"/>
                <w:sz w:val="18"/>
                <w:szCs w:val="18"/>
              </w:rPr>
            </w:pPr>
            <w:r w:rsidRPr="002F1795">
              <w:rPr>
                <w:color w:val="000000"/>
                <w:sz w:val="18"/>
                <w:szCs w:val="18"/>
              </w:rPr>
              <w:t>50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pPr>
              <w:jc w:val="right"/>
              <w:rPr>
                <w:color w:val="000000"/>
                <w:sz w:val="18"/>
                <w:szCs w:val="18"/>
              </w:rPr>
            </w:pPr>
            <w:r w:rsidRPr="002F1795">
              <w:rPr>
                <w:color w:val="000000"/>
                <w:sz w:val="18"/>
                <w:szCs w:val="18"/>
              </w:rPr>
              <w:t>640</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5C0920" w:rsidRPr="002F1795" w:rsidRDefault="005C0920">
            <w:pPr>
              <w:jc w:val="right"/>
              <w:rPr>
                <w:color w:val="000000"/>
                <w:sz w:val="18"/>
                <w:szCs w:val="18"/>
              </w:rPr>
            </w:pPr>
            <w:r w:rsidRPr="002F1795">
              <w:rPr>
                <w:color w:val="000000"/>
                <w:sz w:val="18"/>
                <w:szCs w:val="18"/>
              </w:rPr>
              <w:t>690</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5,760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7,300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13,060</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7</w:t>
            </w:r>
          </w:p>
        </w:tc>
      </w:tr>
      <w:tr w:rsidR="00133C1E" w:rsidRPr="002F1795" w:rsidTr="005C0920">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ind w:left="180"/>
            </w:pPr>
            <w:r w:rsidRPr="002F1795">
              <w:t>Uncertified to Standard</w:t>
            </w:r>
            <w:r w:rsidRPr="002F1795">
              <w:rPr>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277</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154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4.00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3,324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1,848</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5,172</w:t>
            </w:r>
          </w:p>
        </w:tc>
      </w:tr>
      <w:tr w:rsidR="00133C1E" w:rsidRPr="002F1795" w:rsidTr="005C0920">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ind w:left="180"/>
            </w:pPr>
            <w:r w:rsidRPr="002F1795">
              <w:t>NAF (With New Certification)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211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2E1029"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4.00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44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844</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888</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7</w:t>
            </w:r>
            <w:r w:rsidRPr="002F1795">
              <w:t> </w:t>
            </w:r>
          </w:p>
        </w:tc>
      </w:tr>
      <w:tr w:rsidR="008B5BB3" w:rsidRPr="002F1795" w:rsidTr="005C0920">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ind w:left="180"/>
            </w:pPr>
            <w:r w:rsidRPr="002F1795">
              <w:t>Uncertified to Standard</w:t>
            </w:r>
            <w:r w:rsidRPr="002F1795">
              <w:rPr>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277</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154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jc w:val="right"/>
            </w:pPr>
            <w:r w:rsidRPr="002F1795">
              <w:t>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jc w:val="right"/>
            </w:pPr>
            <w:r w:rsidRPr="002F1795">
              <w:t>0.50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416</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231</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647</w:t>
            </w:r>
          </w:p>
        </w:tc>
      </w:tr>
      <w:tr w:rsidR="001F1D1D" w:rsidRPr="002F1795" w:rsidTr="005C0920">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F1D1D" w:rsidRPr="002F1795" w:rsidRDefault="001F1D1D" w:rsidP="005C0920">
            <w:pPr>
              <w:pStyle w:val="TableText"/>
              <w:ind w:left="180"/>
            </w:pPr>
            <w:r w:rsidRPr="002F1795">
              <w:t>NAF (With New Certification)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1F1D1D" w:rsidRPr="002F1795" w:rsidRDefault="001F1D1D"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F1D1D" w:rsidRPr="002F1795" w:rsidRDefault="001F1D1D" w:rsidP="001F1D1D">
            <w:pPr>
              <w:jc w:val="right"/>
              <w:rPr>
                <w:color w:val="000000"/>
                <w:sz w:val="18"/>
                <w:szCs w:val="18"/>
              </w:rPr>
            </w:pPr>
            <w:r w:rsidRPr="002F1795">
              <w:rPr>
                <w:color w:val="000000"/>
                <w:sz w:val="18"/>
                <w:szCs w:val="18"/>
              </w:rPr>
              <w:t>11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F1D1D" w:rsidRPr="002F1795" w:rsidRDefault="001F1D1D" w:rsidP="001F1D1D">
            <w:pPr>
              <w:jc w:val="right"/>
              <w:rPr>
                <w:color w:val="000000"/>
                <w:sz w:val="18"/>
                <w:szCs w:val="18"/>
              </w:rPr>
            </w:pPr>
            <w:r w:rsidRPr="002F1795">
              <w:rPr>
                <w:color w:val="000000"/>
                <w:sz w:val="18"/>
                <w:szCs w:val="18"/>
              </w:rPr>
              <w:t>211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F1D1D" w:rsidRPr="002F1795" w:rsidRDefault="001F1D1D" w:rsidP="001F1D1D">
            <w:pPr>
              <w:jc w:val="right"/>
              <w:rPr>
                <w:color w:val="000000"/>
                <w:sz w:val="18"/>
                <w:szCs w:val="18"/>
              </w:rPr>
            </w:pPr>
            <w:r w:rsidRPr="002F1795">
              <w:rPr>
                <w:color w:val="000000"/>
                <w:sz w:val="18"/>
                <w:szCs w:val="18"/>
              </w:rPr>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1F1D1D" w:rsidRPr="002F1795" w:rsidRDefault="001F1D1D"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F1D1D" w:rsidRPr="002F1795" w:rsidRDefault="001F1D1D" w:rsidP="006565F1">
            <w:pPr>
              <w:pStyle w:val="TableText"/>
              <w:jc w:val="right"/>
            </w:pPr>
            <w:r w:rsidRPr="002F1795">
              <w:t>0.50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F1D1D" w:rsidRPr="002F1795" w:rsidRDefault="001F1D1D">
            <w:pPr>
              <w:jc w:val="right"/>
              <w:rPr>
                <w:color w:val="000000"/>
                <w:sz w:val="18"/>
                <w:szCs w:val="18"/>
              </w:rPr>
            </w:pPr>
            <w:r w:rsidRPr="002F1795">
              <w:rPr>
                <w:color w:val="000000"/>
                <w:sz w:val="18"/>
                <w:szCs w:val="18"/>
              </w:rPr>
              <w:t>6</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F1D1D" w:rsidRPr="002F1795" w:rsidRDefault="001F1D1D">
            <w:pPr>
              <w:jc w:val="right"/>
              <w:rPr>
                <w:color w:val="000000"/>
                <w:sz w:val="18"/>
                <w:szCs w:val="18"/>
              </w:rPr>
            </w:pPr>
            <w:r w:rsidRPr="002F1795">
              <w:rPr>
                <w:color w:val="000000"/>
                <w:sz w:val="18"/>
                <w:szCs w:val="18"/>
              </w:rPr>
              <w:t>106</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1F1D1D" w:rsidRPr="002F1795" w:rsidRDefault="001F1D1D">
            <w:pPr>
              <w:jc w:val="right"/>
              <w:rPr>
                <w:color w:val="000000"/>
                <w:sz w:val="18"/>
                <w:szCs w:val="18"/>
              </w:rPr>
            </w:pPr>
            <w:r w:rsidRPr="002F1795">
              <w:rPr>
                <w:color w:val="000000"/>
                <w:sz w:val="18"/>
                <w:szCs w:val="18"/>
              </w:rPr>
              <w:t>112</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8</w:t>
            </w:r>
            <w:r w:rsidRPr="002F1795">
              <w:t> </w:t>
            </w:r>
          </w:p>
        </w:tc>
      </w:tr>
      <w:tr w:rsidR="00133C1E" w:rsidRPr="002F1795" w:rsidTr="00133C1E">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ind w:left="180"/>
            </w:pPr>
            <w:r w:rsidRPr="002F1795">
              <w:t>Uncertified to Standard</w:t>
            </w:r>
            <w:r w:rsidRPr="002F1795">
              <w:rPr>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277</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154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8</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1.00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2,216</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1,232</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3,448</w:t>
            </w:r>
          </w:p>
        </w:tc>
      </w:tr>
      <w:tr w:rsidR="00133C1E" w:rsidRPr="002F1795" w:rsidTr="00133C1E">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ind w:left="180"/>
            </w:pPr>
            <w:r w:rsidRPr="002F1795">
              <w:t>NAF (With New Certification)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211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2E1029" w:rsidP="006565F1">
            <w:pPr>
              <w:pStyle w:val="TableText"/>
              <w:jc w:val="right"/>
            </w:pPr>
            <w:r w:rsidRPr="002F1795">
              <w:t>2</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1.00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22</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422</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444</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r w:rsidRPr="002F1795">
              <w:rPr>
                <w:vertAlign w:val="superscript"/>
              </w:rPr>
              <w:t>9</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133C1E" w:rsidRPr="002F1795" w:rsidTr="00133C1E">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ind w:left="180"/>
            </w:pPr>
            <w:r w:rsidRPr="002F1795">
              <w:t>Standard Certification</w:t>
            </w:r>
            <w:r w:rsidRPr="002F1795">
              <w:rPr>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277</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154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260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2.00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144,040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80,080</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224,120</w:t>
            </w:r>
          </w:p>
        </w:tc>
      </w:tr>
      <w:tr w:rsidR="00133C1E" w:rsidRPr="002F1795" w:rsidTr="00133C1E">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ind w:left="180"/>
            </w:pPr>
            <w:r w:rsidRPr="002F1795">
              <w:t>New NAF Certification</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rsidP="006565F1">
            <w:pPr>
              <w:pStyle w:val="TableText"/>
              <w:jc w:val="center"/>
            </w:pPr>
            <w:r w:rsidRPr="002F1795">
              <w:t>M</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211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65</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133C1E" w:rsidRPr="002F1795" w:rsidRDefault="00133C1E" w:rsidP="006565F1">
            <w:pPr>
              <w:pStyle w:val="TableText"/>
              <w:jc w:val="right"/>
            </w:pPr>
            <w:r w:rsidRPr="002F1795">
              <w:t>2.00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1,430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27,430</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133C1E" w:rsidRPr="002F1795" w:rsidRDefault="00133C1E">
            <w:pPr>
              <w:jc w:val="right"/>
              <w:rPr>
                <w:color w:val="000000"/>
                <w:sz w:val="18"/>
                <w:szCs w:val="18"/>
              </w:rPr>
            </w:pPr>
            <w:r w:rsidRPr="002F1795">
              <w:rPr>
                <w:color w:val="000000"/>
                <w:sz w:val="18"/>
                <w:szCs w:val="18"/>
              </w:rPr>
              <w:t>28,860</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11</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8,576</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11,945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20,521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59.15</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507,270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706,547</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1,213,817</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r w:rsidRPr="002F1795">
              <w:rPr>
                <w:vertAlign w:val="superscript"/>
              </w:rPr>
              <w:t>12</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Producers</w:t>
            </w:r>
            <w:r w:rsidRPr="002F1795">
              <w:rPr>
                <w:color w:val="000000"/>
                <w:szCs w:val="18"/>
                <w:vertAlign w:val="superscript"/>
              </w:rPr>
              <w:t>3,5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M</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370</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1,129</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1,499</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52.00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19,240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58,708</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77,948</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Fabricators with burden- Employers</w:t>
            </w:r>
            <w:r w:rsidRPr="002F1795">
              <w:rPr>
                <w:color w:val="000000"/>
                <w:szCs w:val="18"/>
                <w:vertAlign w:val="superscript"/>
              </w:rPr>
              <w:t>4</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8"/>
              </w:rPr>
            </w:pPr>
            <w:r w:rsidRPr="002F1795">
              <w:rPr>
                <w:color w:val="000000"/>
                <w:szCs w:val="18"/>
              </w:rPr>
              <w:t>C</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2,176</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848</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3,024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520.00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1,131,520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440,960</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1,572,480</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lastRenderedPageBreak/>
              <w:t>Fabricators with burden - Nonemployers</w:t>
            </w:r>
            <w:r w:rsidRPr="002F1795">
              <w:rPr>
                <w:color w:val="000000"/>
                <w:szCs w:val="18"/>
                <w:vertAlign w:val="superscript"/>
              </w:rPr>
              <w:t>4</w:t>
            </w:r>
          </w:p>
        </w:tc>
        <w:tc>
          <w:tcPr>
            <w:tcW w:w="72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rFonts w:ascii="Tahoma" w:hAnsi="Tahoma" w:cs="Tahoma"/>
                <w:szCs w:val="18"/>
              </w:rPr>
            </w:pPr>
            <w:r w:rsidRPr="002F1795">
              <w:rPr>
                <w:color w:val="000000"/>
                <w:szCs w:val="18"/>
              </w:rPr>
              <w:t>C</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3,054</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1,191</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4,245</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7.21</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22,019</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8,587</w:t>
            </w:r>
          </w:p>
        </w:tc>
        <w:tc>
          <w:tcPr>
            <w:tcW w:w="1195" w:type="dxa"/>
            <w:tcBorders>
              <w:top w:val="nil"/>
              <w:left w:val="nil"/>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30,606</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without burden</w:t>
            </w:r>
          </w:p>
        </w:tc>
        <w:tc>
          <w:tcPr>
            <w:tcW w:w="72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42,310</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16,437</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58,747</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burden - Employers</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8"/>
              </w:rPr>
            </w:pPr>
            <w:r w:rsidRPr="002F1795">
              <w:rPr>
                <w:color w:val="000000"/>
                <w:szCs w:val="18"/>
              </w:rPr>
              <w:t>C</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2,642</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3,680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6,322</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195.00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515,190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717,600</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1,232,790</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 xml:space="preserve">Wholesalers with burden - </w:t>
            </w:r>
            <w:proofErr w:type="spellStart"/>
            <w:r w:rsidRPr="002F1795">
              <w:rPr>
                <w:color w:val="000000"/>
                <w:szCs w:val="18"/>
              </w:rPr>
              <w:t>Nonemployers</w:t>
            </w:r>
            <w:proofErr w:type="spellEnd"/>
          </w:p>
        </w:tc>
        <w:tc>
          <w:tcPr>
            <w:tcW w:w="72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rFonts w:ascii="Tahoma" w:hAnsi="Tahoma" w:cs="Tahoma"/>
                <w:szCs w:val="18"/>
              </w:rPr>
            </w:pPr>
            <w:r w:rsidRPr="002F1795">
              <w:rPr>
                <w:color w:val="000000"/>
                <w:szCs w:val="18"/>
              </w:rPr>
              <w:t>C</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3,826</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5,331</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9,157</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3.92</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14,998</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20,898</w:t>
            </w:r>
          </w:p>
        </w:tc>
        <w:tc>
          <w:tcPr>
            <w:tcW w:w="1195" w:type="dxa"/>
            <w:tcBorders>
              <w:top w:val="nil"/>
              <w:left w:val="nil"/>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35,895</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without burden</w:t>
            </w:r>
          </w:p>
        </w:tc>
        <w:tc>
          <w:tcPr>
            <w:tcW w:w="72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47,263</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rFonts w:ascii="Tahoma" w:hAnsi="Tahoma" w:cs="Tahoma"/>
                <w:szCs w:val="18"/>
              </w:rPr>
            </w:pPr>
            <w:r w:rsidRPr="002F1795">
              <w:rPr>
                <w:color w:val="000000"/>
                <w:szCs w:val="18"/>
              </w:rPr>
              <w:t>11,944</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59,207</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Retailers</w:t>
            </w:r>
          </w:p>
        </w:tc>
        <w:tc>
          <w:tcPr>
            <w:tcW w:w="72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658,150</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rFonts w:ascii="Tahoma" w:hAnsi="Tahoma" w:cs="Tahoma"/>
                <w:szCs w:val="18"/>
              </w:rPr>
            </w:pPr>
            <w:r w:rsidRPr="002F1795">
              <w:rPr>
                <w:color w:val="000000"/>
                <w:szCs w:val="18"/>
              </w:rPr>
              <w:t>-</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658,150</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r w:rsidRPr="002F1795">
              <w:rPr>
                <w:vertAlign w:val="superscript"/>
              </w:rPr>
              <w:t>4,13</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Producers</w:t>
            </w:r>
            <w:r w:rsidRPr="002F1795">
              <w:rPr>
                <w:vertAlign w:val="superscript"/>
              </w:rPr>
              <w:t>4,5</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93</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1,021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1,114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558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6,126</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6,684</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Fabricators</w:t>
            </w:r>
            <w:r w:rsidRPr="002F1795">
              <w:rPr>
                <w:vertAlign w:val="superscript"/>
              </w:rPr>
              <w:t>4</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64,290</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24,986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89,276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3.00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192,870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74,958</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267,828</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Producers</w:t>
            </w:r>
            <w:r w:rsidRPr="002F1795">
              <w:rPr>
                <w:vertAlign w:val="superscript"/>
              </w:rPr>
              <w:t>3</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277</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385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100.00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27,700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10,800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 w:val="16"/>
                <w:szCs w:val="16"/>
              </w:rPr>
            </w:pPr>
            <w:r w:rsidRPr="002F1795">
              <w:t>38,500</w:t>
            </w:r>
          </w:p>
        </w:tc>
      </w:tr>
      <w:tr w:rsidR="00A83DDA" w:rsidRPr="002F1795" w:rsidTr="006565F1">
        <w:trPr>
          <w:trHeight w:val="77"/>
          <w:jc w:val="center"/>
        </w:trPr>
        <w:tc>
          <w:tcPr>
            <w:tcW w:w="326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Fabricators and Wholesalers</w:t>
            </w:r>
            <w:r w:rsidRPr="002F1795">
              <w:rPr>
                <w:vertAlign w:val="superscript"/>
              </w:rPr>
              <w:t>4</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16,266</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6,344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22,610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 w:val="16"/>
                <w:szCs w:val="16"/>
              </w:rPr>
            </w:pPr>
            <w:r w:rsidRPr="002F1795">
              <w:t>100.00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 w:val="16"/>
                <w:szCs w:val="16"/>
              </w:rPr>
            </w:pPr>
            <w:r w:rsidRPr="002F1795">
              <w:t>1,626,600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 w:val="16"/>
                <w:szCs w:val="16"/>
              </w:rPr>
            </w:pPr>
            <w:r w:rsidRPr="002F1795">
              <w:t>634,400</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rPr>
                <w:rFonts w:ascii="Tahoma" w:hAnsi="Tahoma" w:cs="Tahoma"/>
                <w:sz w:val="16"/>
                <w:szCs w:val="16"/>
              </w:rPr>
            </w:pPr>
            <w:r w:rsidRPr="002F1795">
              <w:t>2,261,000</w:t>
            </w:r>
          </w:p>
        </w:tc>
      </w:tr>
      <w:tr w:rsidR="008B5BB3" w:rsidRPr="002F1795" w:rsidTr="00FC159B">
        <w:trPr>
          <w:trHeight w:val="77"/>
          <w:jc w:val="center"/>
        </w:trPr>
        <w:tc>
          <w:tcPr>
            <w:tcW w:w="9745" w:type="dxa"/>
            <w:gridSpan w:val="7"/>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8B5BB3" w:rsidRPr="002F1795" w:rsidRDefault="008B5BB3" w:rsidP="006565F1">
            <w:pPr>
              <w:pStyle w:val="TableText"/>
              <w:jc w:val="center"/>
              <w:rPr>
                <w:b/>
                <w:bCs/>
              </w:rPr>
            </w:pPr>
            <w:r w:rsidRPr="002F1795">
              <w:rPr>
                <w:b/>
                <w:bCs/>
              </w:rPr>
              <w:t>Total - Year 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7,928,288</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3,082,828</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11,011,115</w:t>
            </w:r>
          </w:p>
        </w:tc>
      </w:tr>
      <w:tr w:rsidR="00A83DDA" w:rsidRPr="002F1795" w:rsidTr="006565F1">
        <w:trPr>
          <w:trHeight w:val="89"/>
          <w:jc w:val="center"/>
        </w:trPr>
        <w:tc>
          <w:tcPr>
            <w:tcW w:w="13190"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This column indicates the category of labor associated with the activity.  "M", "T", and "C" stand for managerial, technical, and clerical labor, respectively.</w:t>
            </w:r>
          </w:p>
          <w:p w:rsidR="00A83DDA" w:rsidRPr="002F1795" w:rsidRDefault="00A83DDA" w:rsidP="006565F1">
            <w:pPr>
              <w:pStyle w:val="tablefootnote"/>
              <w:keepLines/>
            </w:pPr>
            <w:r w:rsidRPr="002F1795">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Total excludes the estimated 2 percent of wood veneer laminated product producers expected to continue to use added formaldehyde resins.</w:t>
            </w:r>
          </w:p>
          <w:p w:rsidR="00A83DDA" w:rsidRPr="002F1795" w:rsidRDefault="00A83DDA" w:rsidP="006565F1">
            <w:pPr>
              <w:pStyle w:val="tablefootnote"/>
              <w:keepLines/>
            </w:pPr>
            <w:r w:rsidRPr="002F1795">
              <w:t>5.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6. Producers that are already CARB compliant are not assumed to need to perform correlation testing because it is assumed that their previous testing is sufficient.</w:t>
            </w:r>
          </w:p>
          <w:p w:rsidR="00A83DDA" w:rsidRPr="002F1795" w:rsidRDefault="00A83DDA" w:rsidP="006565F1">
            <w:pPr>
              <w:pStyle w:val="tablefootnote"/>
              <w:keepLines/>
            </w:pPr>
            <w:r w:rsidRPr="002F1795">
              <w:t xml:space="preserve">7. On-site audits must be conducted at least once quarterly, unless the mill obtains </w:t>
            </w:r>
            <w:r w:rsidR="00FA3612"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FA3612" w:rsidRPr="002F1795">
              <w:t xml:space="preserve">ULEF or </w:t>
            </w:r>
            <w:r w:rsidRPr="002F1795">
              <w:t xml:space="preserve">NAF certifications under the CARB ATCM will only incur the initial on-site audit in the first year.  All producers with </w:t>
            </w:r>
            <w:r w:rsidR="00FA3612"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8. Desk audits are assumed to occur monthly</w:t>
            </w:r>
            <w:r w:rsidR="00FA3612"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FA3612" w:rsidRPr="002F1795">
              <w:t xml:space="preserve">ULEF or </w:t>
            </w:r>
            <w:r w:rsidRPr="002F1795">
              <w:t xml:space="preserve">NAF certification.  </w:t>
            </w:r>
          </w:p>
          <w:p w:rsidR="00A83DDA" w:rsidRPr="002F1795" w:rsidRDefault="00A83DDA" w:rsidP="006565F1">
            <w:pPr>
              <w:pStyle w:val="tablefootnote"/>
              <w:keepLines/>
            </w:pPr>
            <w:r w:rsidRPr="002F1795">
              <w:t>9. Although mills are likely to incur some labor burden while learning how to use the small chamber testing unit, it is not estimated in this analysis.</w:t>
            </w:r>
          </w:p>
          <w:p w:rsidR="00A83DDA" w:rsidRPr="002F1795" w:rsidRDefault="00A83DDA" w:rsidP="006565F1">
            <w:pPr>
              <w:pStyle w:val="tablefootnote"/>
              <w:keepLines/>
            </w:pPr>
            <w:r w:rsidRPr="002F1795">
              <w:t xml:space="preserve">10. This analysis assumes that composite panel producers </w:t>
            </w:r>
            <w:r w:rsidR="00410FAD" w:rsidRPr="002F1795">
              <w:t xml:space="preserve">with a standard certification or a new NAF certification </w:t>
            </w:r>
            <w:r w:rsidRPr="002F1795">
              <w:t xml:space="preserve">test each production line once daily.  </w:t>
            </w:r>
            <w:r w:rsidR="00EB4B76" w:rsidRPr="002F1795">
              <w:t>Producers with an existing ULEF or NAF certification will already have been exempted from quality control testing</w:t>
            </w:r>
            <w:r w:rsidRPr="002F1795">
              <w:t>.</w:t>
            </w:r>
          </w:p>
          <w:p w:rsidR="00A83DDA" w:rsidRPr="002F1795" w:rsidRDefault="00A83DDA" w:rsidP="006565F1">
            <w:pPr>
              <w:pStyle w:val="tablefootnote"/>
              <w:keepLines/>
            </w:pPr>
            <w:r w:rsidRPr="002F1795">
              <w:t>11.  Recordkeeping is required for composite panel producers (including the estimated two percent of wood veneer laminated product producers defined as hardwood plywood producers), fabricators, and wholesalers that import composite wood products or articles that contain composite wood products.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are not already complying with the CARB ATCM and will have initial burden to change their recordkeeping systems to comply with the TSCA Title VI rule.</w:t>
            </w:r>
          </w:p>
          <w:p w:rsidR="00A83DDA" w:rsidRPr="002F1795" w:rsidRDefault="00A83DDA" w:rsidP="006565F1">
            <w:pPr>
              <w:pStyle w:val="tablefootnote"/>
              <w:keepLines/>
            </w:pPr>
            <w:r w:rsidRPr="002F1795">
              <w:t xml:space="preserve">12.  While recordkeeping is required for all respondents, not all entities will incur </w:t>
            </w:r>
            <w:r w:rsidR="00B12B06" w:rsidRPr="002F1795">
              <w:t xml:space="preserve">additional </w:t>
            </w:r>
            <w:r w:rsidRPr="002F1795">
              <w:t xml:space="preserve">recordkeeping burden and costs.  This analysis assumes that some fabricators and wholesalers have existing </w:t>
            </w:r>
            <w:r w:rsidRPr="002F1795">
              <w:lastRenderedPageBreak/>
              <w:t xml:space="preserve">recordkeeping systems that are sufficient to meet the rule's requirements.  Based on responses to EPA’s questionnaires, it is assumed that that 11 percent of fabricators and 43 percent of wholesalers will have recurring recordkeeping costs.  However, the analysis assumes that only 28 percent of domestic wholesalers import composite wood products or articles that contain composite wood products and thus 43% of that 28% incur recurring recordkeeping burden.  The customary business practices of the remaining fabricators, wholesalers, and all retailers are assumed to be generally sufficient to meet the proposed rule’s recordkeeping requirements.  For fabricators and wholesalers with burden, the analysis assumes that there is a fixed-cost component of the recurring recordkeeping costs associated with two hours of labor and a variable cost component that is proportional to a firm’s revenue.  The variable cost factor is estimated by subtracting the fixed cost from the total reported cost and then dividing by the estimated average revenue for affected employer category.  For fabricators, the fixed cost is $49.68, the total reported cost is $12,916.80, and the average revenue is $4,241,245.  For wholesalers, the fixed cost is $51.08, the total reported cost is $4,890.30, and the average revenue is $8,308,417.  The respective variable cost factors are 0.30338 percent and 0.05933 percent of revenue.  The recurring recordkeeping burdens for employer fabricators and wholesalers are 520 and 195 hours per year, respectively.  For </w:t>
            </w:r>
            <w:proofErr w:type="spellStart"/>
            <w:r w:rsidRPr="002F1795">
              <w:t>nonemployers</w:t>
            </w:r>
            <w:proofErr w:type="spellEnd"/>
            <w:r w:rsidRPr="002F1795">
              <w:t xml:space="preserve">, the average recurring recordkeeping burden is estimated as the sum of the burden associated with the fixed cost (2 hours) and the burden associated with the respective variable costs, which are calculated as 0.30338 percent of average </w:t>
            </w:r>
            <w:proofErr w:type="spellStart"/>
            <w:r w:rsidRPr="002F1795">
              <w:t>nonemployer</w:t>
            </w:r>
            <w:proofErr w:type="spellEnd"/>
            <w:r w:rsidRPr="002F1795">
              <w:t xml:space="preserve"> fabricator revenues ($42,690) and  0.05933 percent of average </w:t>
            </w:r>
            <w:proofErr w:type="spellStart"/>
            <w:r w:rsidRPr="002F1795">
              <w:t>nonemployer</w:t>
            </w:r>
            <w:proofErr w:type="spellEnd"/>
            <w:r w:rsidRPr="002F1795">
              <w:t xml:space="preserve"> wholesaler revenues ($82,542).  The resulting average fabricator and wholesaler </w:t>
            </w:r>
            <w:proofErr w:type="spellStart"/>
            <w:r w:rsidRPr="002F1795">
              <w:t>nonemployer</w:t>
            </w:r>
            <w:proofErr w:type="spellEnd"/>
            <w:r w:rsidRPr="002F1795">
              <w:t xml:space="preserve"> recurring recordkeeping burdens are 7.21 and 3.92 hours per year, respectively.</w:t>
            </w:r>
            <w:r w:rsidRPr="002F1795">
              <w:rPr>
                <w:szCs w:val="16"/>
              </w:rPr>
              <w:t xml:space="preserve"> </w:t>
            </w:r>
          </w:p>
          <w:p w:rsidR="00A83DDA" w:rsidRPr="002F1795" w:rsidRDefault="00A83DDA" w:rsidP="00B12B06">
            <w:pPr>
              <w:pStyle w:val="tablefootnote"/>
              <w:keepLines/>
              <w:rPr>
                <w:rFonts w:ascii="Tahoma" w:hAnsi="Tahoma" w:cs="Tahoma"/>
                <w:szCs w:val="16"/>
              </w:rPr>
            </w:pPr>
            <w:r w:rsidRPr="002F1795">
              <w:t xml:space="preserve">13.  </w:t>
            </w:r>
            <w:r w:rsidR="00B12B06"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fabricators that are not already complying with the CARB ATCM, and all fabricators that are already complying with the CARB ATCM will incur the cost associated with 3 hours of labor for making small changes to their labels.  The remaining fabricators and one percent of wholesalers are assumed to incur the average cost of the two firms that reported initial labeling costs in the fabricator questionnaire (see the Economic Analysis for more details).</w:t>
            </w:r>
          </w:p>
        </w:tc>
      </w:tr>
    </w:tbl>
    <w:p w:rsidR="00A83DDA" w:rsidRPr="002F1795" w:rsidRDefault="00A83DDA" w:rsidP="00A83DDA">
      <w:pPr>
        <w:numPr>
          <w:ilvl w:val="12"/>
          <w:numId w:val="0"/>
        </w:numPr>
        <w:rPr>
          <w:u w:val="single"/>
        </w:rPr>
      </w:pPr>
    </w:p>
    <w:tbl>
      <w:tblPr>
        <w:tblW w:w="5042" w:type="pct"/>
        <w:jc w:val="center"/>
        <w:tblLayout w:type="fixed"/>
        <w:tblLook w:val="04A0"/>
      </w:tblPr>
      <w:tblGrid>
        <w:gridCol w:w="3948"/>
        <w:gridCol w:w="756"/>
        <w:gridCol w:w="1013"/>
        <w:gridCol w:w="1013"/>
        <w:gridCol w:w="848"/>
        <w:gridCol w:w="1473"/>
        <w:gridCol w:w="1197"/>
        <w:gridCol w:w="1105"/>
        <w:gridCol w:w="958"/>
        <w:gridCol w:w="976"/>
      </w:tblGrid>
      <w:tr w:rsidR="00A83DDA" w:rsidRPr="002F1795" w:rsidTr="006565F1">
        <w:trPr>
          <w:trHeight w:val="255"/>
          <w:tblHeader/>
          <w:jc w:val="center"/>
        </w:trPr>
        <w:tc>
          <w:tcPr>
            <w:tcW w:w="13287" w:type="dxa"/>
            <w:gridSpan w:val="10"/>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keepNext/>
              <w:keepLines/>
            </w:pPr>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13</w:t>
            </w:r>
            <w:r w:rsidR="0041046E">
              <w:rPr>
                <w:noProof/>
              </w:rPr>
              <w:fldChar w:fldCharType="end"/>
            </w:r>
            <w:r w:rsidRPr="002F1795">
              <w:t>: Incremental Second and Third Year Burden Hours, by Activity and Geographic Location</w:t>
            </w:r>
          </w:p>
        </w:tc>
      </w:tr>
      <w:tr w:rsidR="00A83DDA" w:rsidRPr="002F1795" w:rsidTr="006565F1">
        <w:trPr>
          <w:trHeight w:val="255"/>
          <w:tblHeader/>
          <w:jc w:val="center"/>
        </w:trPr>
        <w:tc>
          <w:tcPr>
            <w:tcW w:w="3948" w:type="dxa"/>
            <w:vMerge w:val="restart"/>
            <w:tcBorders>
              <w:top w:val="single" w:sz="4" w:space="0" w:color="auto"/>
              <w:left w:val="single" w:sz="8" w:space="0" w:color="auto"/>
              <w:bottom w:val="single" w:sz="4" w:space="0" w:color="auto"/>
              <w:right w:val="nil"/>
            </w:tcBorders>
            <w:shd w:val="clear" w:color="000000" w:fill="FFFFFF"/>
            <w:vAlign w:val="center"/>
            <w:hideMark/>
          </w:tcPr>
          <w:p w:rsidR="00A83DDA" w:rsidRPr="002F1795" w:rsidRDefault="00A83DDA" w:rsidP="006565F1">
            <w:pPr>
              <w:pStyle w:val="TableSubtitle"/>
            </w:pPr>
            <w:r w:rsidRPr="002F1795">
              <w:t>Activity</w:t>
            </w:r>
          </w:p>
        </w:tc>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Labor Type</w:t>
            </w:r>
            <w:r w:rsidRPr="002F1795">
              <w:rPr>
                <w:vertAlign w:val="superscript"/>
              </w:rPr>
              <w:t>1</w:t>
            </w:r>
          </w:p>
        </w:tc>
        <w:tc>
          <w:tcPr>
            <w:tcW w:w="287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Number of Entities</w:t>
            </w:r>
          </w:p>
        </w:tc>
        <w:tc>
          <w:tcPr>
            <w:tcW w:w="1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Burden Per Activity (Hours)</w:t>
            </w:r>
          </w:p>
        </w:tc>
        <w:tc>
          <w:tcPr>
            <w:tcW w:w="3039" w:type="dxa"/>
            <w:gridSpan w:val="3"/>
            <w:tcBorders>
              <w:top w:val="single" w:sz="4" w:space="0" w:color="auto"/>
              <w:left w:val="nil"/>
              <w:bottom w:val="single" w:sz="4" w:space="0" w:color="auto"/>
              <w:right w:val="single" w:sz="8" w:space="0" w:color="000000"/>
            </w:tcBorders>
            <w:shd w:val="clear" w:color="000000" w:fill="FFFFFF"/>
            <w:vAlign w:val="center"/>
            <w:hideMark/>
          </w:tcPr>
          <w:p w:rsidR="00A83DDA" w:rsidRPr="002F1795" w:rsidRDefault="00A83DDA" w:rsidP="006565F1">
            <w:pPr>
              <w:pStyle w:val="TableSubtitle"/>
            </w:pPr>
            <w:r w:rsidRPr="002F1795">
              <w:t>Incremental Burden (Hours)</w:t>
            </w:r>
          </w:p>
        </w:tc>
      </w:tr>
      <w:tr w:rsidR="00A83DDA" w:rsidRPr="002F1795" w:rsidTr="006565F1">
        <w:trPr>
          <w:trHeight w:val="315"/>
          <w:tblHeader/>
          <w:jc w:val="center"/>
        </w:trPr>
        <w:tc>
          <w:tcPr>
            <w:tcW w:w="3948" w:type="dxa"/>
            <w:vMerge/>
            <w:tcBorders>
              <w:top w:val="single" w:sz="4" w:space="0" w:color="auto"/>
              <w:left w:val="single" w:sz="8" w:space="0" w:color="auto"/>
              <w:bottom w:val="single" w:sz="4" w:space="0" w:color="auto"/>
              <w:right w:val="nil"/>
            </w:tcBorders>
            <w:vAlign w:val="center"/>
            <w:hideMark/>
          </w:tcPr>
          <w:p w:rsidR="00A83DDA" w:rsidRPr="002F1795" w:rsidRDefault="00A83DDA" w:rsidP="006565F1">
            <w:pPr>
              <w:pStyle w:val="TableSubtitle"/>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013"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013"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2</w:t>
            </w:r>
          </w:p>
        </w:tc>
        <w:tc>
          <w:tcPr>
            <w:tcW w:w="848"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10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958"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976"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13287"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Producers</w:t>
            </w:r>
            <w:r w:rsidRPr="002F1795">
              <w:rPr>
                <w:vertAlign w:val="superscript"/>
              </w:rPr>
              <w:t>3</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Fabricators</w:t>
            </w:r>
            <w:r w:rsidRPr="002F1795">
              <w:rPr>
                <w:vertAlign w:val="superscript"/>
              </w:rPr>
              <w:t>4</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Wholesalers</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Retailers</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 Existing Certifications</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Without Existing Certifications</w:t>
            </w:r>
            <w:r w:rsidRPr="002F1795">
              <w:rPr>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3</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Product</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6</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Product</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7</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 </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 </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 </w:t>
            </w:r>
          </w:p>
        </w:tc>
      </w:tr>
      <w:tr w:rsidR="005C0920"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C0920" w:rsidRPr="002F1795" w:rsidRDefault="005C0920" w:rsidP="005C0920">
            <w:pPr>
              <w:pStyle w:val="TableText"/>
              <w:ind w:left="180"/>
            </w:pPr>
            <w:r w:rsidRPr="002F1795">
              <w:t>Uncertified to Standard</w:t>
            </w:r>
            <w:r w:rsidRPr="002F1795">
              <w:rPr>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rsidP="006565F1">
            <w:pPr>
              <w:pStyle w:val="TableText"/>
              <w:jc w:val="center"/>
            </w:pPr>
            <w:r w:rsidRPr="002F1795">
              <w:t>M</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277</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154</w:t>
            </w:r>
          </w:p>
        </w:tc>
        <w:tc>
          <w:tcPr>
            <w:tcW w:w="848"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431</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4</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4.00</w:t>
            </w:r>
          </w:p>
        </w:tc>
        <w:tc>
          <w:tcPr>
            <w:tcW w:w="1105"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4,432</w:t>
            </w:r>
          </w:p>
        </w:tc>
        <w:tc>
          <w:tcPr>
            <w:tcW w:w="958"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2,464</w:t>
            </w:r>
          </w:p>
        </w:tc>
        <w:tc>
          <w:tcPr>
            <w:tcW w:w="976" w:type="dxa"/>
            <w:tcBorders>
              <w:top w:val="nil"/>
              <w:left w:val="nil"/>
              <w:bottom w:val="single" w:sz="4" w:space="0" w:color="auto"/>
              <w:right w:val="single" w:sz="8" w:space="0" w:color="auto"/>
            </w:tcBorders>
            <w:shd w:val="clear" w:color="auto" w:fill="FFFFFF" w:themeFill="background1"/>
            <w:noWrap/>
            <w:vAlign w:val="bottom"/>
            <w:hideMark/>
          </w:tcPr>
          <w:p w:rsidR="005C0920" w:rsidRPr="002F1795" w:rsidRDefault="005C0920" w:rsidP="006565F1">
            <w:pPr>
              <w:pStyle w:val="TableText"/>
              <w:jc w:val="right"/>
            </w:pPr>
            <w:r w:rsidRPr="002F1795">
              <w:t>6,896</w:t>
            </w:r>
          </w:p>
        </w:tc>
      </w:tr>
      <w:tr w:rsidR="00FC159B" w:rsidRPr="002F1795" w:rsidTr="00FC159B">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FC159B" w:rsidRPr="002F1795" w:rsidRDefault="00FC159B" w:rsidP="005C0920">
            <w:pPr>
              <w:pStyle w:val="TableText"/>
              <w:ind w:left="180"/>
            </w:pPr>
            <w:r w:rsidRPr="002F1795">
              <w:t>NAF (With New Certification)</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FC159B" w:rsidRPr="002F1795" w:rsidRDefault="00FC159B" w:rsidP="006565F1">
            <w:pPr>
              <w:pStyle w:val="TableText"/>
              <w:jc w:val="center"/>
            </w:pPr>
            <w:r w:rsidRPr="002F1795">
              <w:t>M</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FC159B" w:rsidRPr="002F1795" w:rsidRDefault="00FC159B">
            <w:pPr>
              <w:jc w:val="right"/>
              <w:rPr>
                <w:color w:val="000000"/>
                <w:sz w:val="18"/>
                <w:szCs w:val="18"/>
              </w:rPr>
            </w:pPr>
            <w:r w:rsidRPr="002F1795">
              <w:rPr>
                <w:color w:val="000000"/>
                <w:sz w:val="18"/>
                <w:szCs w:val="18"/>
              </w:rPr>
              <w:t>11</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FC159B" w:rsidRPr="002F1795" w:rsidRDefault="00FC159B">
            <w:pPr>
              <w:jc w:val="right"/>
              <w:rPr>
                <w:color w:val="000000"/>
                <w:sz w:val="18"/>
                <w:szCs w:val="18"/>
              </w:rPr>
            </w:pPr>
            <w:r w:rsidRPr="002F1795">
              <w:rPr>
                <w:color w:val="000000"/>
                <w:sz w:val="18"/>
                <w:szCs w:val="18"/>
              </w:rPr>
              <w:t>211</w:t>
            </w:r>
          </w:p>
        </w:tc>
        <w:tc>
          <w:tcPr>
            <w:tcW w:w="848" w:type="dxa"/>
            <w:tcBorders>
              <w:top w:val="nil"/>
              <w:left w:val="nil"/>
              <w:bottom w:val="single" w:sz="4" w:space="0" w:color="auto"/>
              <w:right w:val="single" w:sz="4" w:space="0" w:color="auto"/>
            </w:tcBorders>
            <w:shd w:val="clear" w:color="auto" w:fill="FFFFFF" w:themeFill="background1"/>
            <w:noWrap/>
            <w:vAlign w:val="center"/>
            <w:hideMark/>
          </w:tcPr>
          <w:p w:rsidR="00FC159B" w:rsidRPr="002F1795" w:rsidRDefault="00FC159B">
            <w:pPr>
              <w:jc w:val="right"/>
              <w:rPr>
                <w:color w:val="000000"/>
                <w:sz w:val="18"/>
                <w:szCs w:val="18"/>
              </w:rPr>
            </w:pPr>
            <w:r w:rsidRPr="002F1795">
              <w:rPr>
                <w:color w:val="000000"/>
                <w:sz w:val="18"/>
                <w:szCs w:val="18"/>
              </w:rPr>
              <w:t>222</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FC159B" w:rsidRPr="002F1795" w:rsidRDefault="00FC159B" w:rsidP="006565F1">
            <w:pPr>
              <w:pStyle w:val="TableText"/>
              <w:jc w:val="right"/>
            </w:pPr>
            <w:r w:rsidRPr="002F1795">
              <w:t>3</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FC159B" w:rsidRPr="002F1795" w:rsidRDefault="00FC159B" w:rsidP="006565F1">
            <w:pPr>
              <w:pStyle w:val="TableText"/>
              <w:jc w:val="right"/>
            </w:pPr>
            <w:r w:rsidRPr="002F1795">
              <w:t>4.00</w:t>
            </w:r>
          </w:p>
        </w:tc>
        <w:tc>
          <w:tcPr>
            <w:tcW w:w="1105" w:type="dxa"/>
            <w:tcBorders>
              <w:top w:val="nil"/>
              <w:left w:val="nil"/>
              <w:bottom w:val="single" w:sz="4" w:space="0" w:color="auto"/>
              <w:right w:val="single" w:sz="4" w:space="0" w:color="auto"/>
            </w:tcBorders>
            <w:shd w:val="clear" w:color="auto" w:fill="FFFFFF" w:themeFill="background1"/>
            <w:noWrap/>
            <w:vAlign w:val="bottom"/>
            <w:hideMark/>
          </w:tcPr>
          <w:p w:rsidR="00FC159B" w:rsidRPr="002F1795" w:rsidRDefault="00FC159B" w:rsidP="006565F1">
            <w:pPr>
              <w:pStyle w:val="TableText"/>
              <w:jc w:val="right"/>
            </w:pPr>
            <w:r w:rsidRPr="002F1795">
              <w:t>132</w:t>
            </w:r>
          </w:p>
        </w:tc>
        <w:tc>
          <w:tcPr>
            <w:tcW w:w="958" w:type="dxa"/>
            <w:tcBorders>
              <w:top w:val="nil"/>
              <w:left w:val="nil"/>
              <w:bottom w:val="single" w:sz="4" w:space="0" w:color="auto"/>
              <w:right w:val="single" w:sz="4" w:space="0" w:color="auto"/>
            </w:tcBorders>
            <w:shd w:val="clear" w:color="auto" w:fill="FFFFFF" w:themeFill="background1"/>
            <w:noWrap/>
            <w:vAlign w:val="center"/>
            <w:hideMark/>
          </w:tcPr>
          <w:p w:rsidR="00FC159B" w:rsidRPr="002F1795" w:rsidRDefault="00FC159B">
            <w:pPr>
              <w:jc w:val="right"/>
              <w:rPr>
                <w:color w:val="000000"/>
                <w:sz w:val="18"/>
                <w:szCs w:val="18"/>
              </w:rPr>
            </w:pPr>
            <w:r w:rsidRPr="002F1795">
              <w:rPr>
                <w:color w:val="000000"/>
                <w:sz w:val="18"/>
                <w:szCs w:val="18"/>
              </w:rPr>
              <w:t>2,532</w:t>
            </w:r>
          </w:p>
        </w:tc>
        <w:tc>
          <w:tcPr>
            <w:tcW w:w="976" w:type="dxa"/>
            <w:tcBorders>
              <w:top w:val="nil"/>
              <w:left w:val="nil"/>
              <w:bottom w:val="single" w:sz="4" w:space="0" w:color="auto"/>
              <w:right w:val="single" w:sz="8" w:space="0" w:color="auto"/>
            </w:tcBorders>
            <w:shd w:val="clear" w:color="auto" w:fill="FFFFFF" w:themeFill="background1"/>
            <w:noWrap/>
            <w:vAlign w:val="center"/>
            <w:hideMark/>
          </w:tcPr>
          <w:p w:rsidR="00FC159B" w:rsidRPr="002F1795" w:rsidRDefault="00FC159B">
            <w:pPr>
              <w:jc w:val="right"/>
              <w:rPr>
                <w:color w:val="000000"/>
                <w:sz w:val="18"/>
                <w:szCs w:val="18"/>
              </w:rPr>
            </w:pPr>
            <w:r w:rsidRPr="002F1795">
              <w:rPr>
                <w:color w:val="000000"/>
                <w:sz w:val="18"/>
                <w:szCs w:val="18"/>
              </w:rPr>
              <w:t>2,664</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7</w:t>
            </w:r>
          </w:p>
        </w:tc>
      </w:tr>
      <w:tr w:rsidR="008B5BB3" w:rsidRPr="002F1795" w:rsidTr="00FC159B">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ind w:left="180"/>
            </w:pPr>
            <w:r w:rsidRPr="002F1795">
              <w:t>Uncertified to Standard</w:t>
            </w:r>
            <w:r w:rsidRPr="002F1795">
              <w:rPr>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rsidP="006565F1">
            <w:pPr>
              <w:pStyle w:val="TableText"/>
              <w:jc w:val="center"/>
            </w:pPr>
            <w:r w:rsidRPr="002F1795">
              <w:t>M</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277</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154</w:t>
            </w:r>
          </w:p>
        </w:tc>
        <w:tc>
          <w:tcPr>
            <w:tcW w:w="848"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431</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jc w:val="right"/>
            </w:pPr>
            <w:r w:rsidRPr="002F1795">
              <w:t>4</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jc w:val="right"/>
            </w:pPr>
            <w:r w:rsidRPr="002F1795">
              <w:t>0.50</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554</w:t>
            </w:r>
          </w:p>
        </w:tc>
        <w:tc>
          <w:tcPr>
            <w:tcW w:w="958"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308</w:t>
            </w:r>
          </w:p>
        </w:tc>
        <w:tc>
          <w:tcPr>
            <w:tcW w:w="976" w:type="dxa"/>
            <w:tcBorders>
              <w:top w:val="nil"/>
              <w:left w:val="nil"/>
              <w:bottom w:val="single" w:sz="4" w:space="0" w:color="auto"/>
              <w:right w:val="single" w:sz="8"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862</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NAF (With New Certification)</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211</w:t>
            </w:r>
          </w:p>
        </w:tc>
        <w:tc>
          <w:tcPr>
            <w:tcW w:w="84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222</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0.50</w:t>
            </w:r>
          </w:p>
        </w:tc>
        <w:tc>
          <w:tcPr>
            <w:tcW w:w="1105"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w:t>
            </w:r>
          </w:p>
        </w:tc>
        <w:tc>
          <w:tcPr>
            <w:tcW w:w="95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106</w:t>
            </w:r>
          </w:p>
        </w:tc>
        <w:tc>
          <w:tcPr>
            <w:tcW w:w="976"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FC159B">
            <w:pPr>
              <w:pStyle w:val="TableText"/>
              <w:jc w:val="right"/>
            </w:pPr>
            <w:r w:rsidRPr="002F1795">
              <w:t>11</w:t>
            </w:r>
            <w:r w:rsidR="00FC159B" w:rsidRPr="002F1795">
              <w:t>2</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8</w:t>
            </w:r>
          </w:p>
        </w:tc>
      </w:tr>
      <w:tr w:rsidR="002E1029" w:rsidRPr="002F1795" w:rsidTr="00FC159B">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E1029" w:rsidRPr="002F1795" w:rsidRDefault="002E1029" w:rsidP="006565F1">
            <w:pPr>
              <w:pStyle w:val="TableText"/>
              <w:ind w:left="180"/>
            </w:pPr>
            <w:r w:rsidRPr="002F1795">
              <w:t>Uncertified to Standard</w:t>
            </w:r>
            <w:r w:rsidRPr="002F1795">
              <w:rPr>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rsidP="006565F1">
            <w:pPr>
              <w:pStyle w:val="TableText"/>
              <w:jc w:val="center"/>
            </w:pPr>
            <w:r w:rsidRPr="002F1795">
              <w:t>M</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277</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154</w:t>
            </w:r>
          </w:p>
        </w:tc>
        <w:tc>
          <w:tcPr>
            <w:tcW w:w="848"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431</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2E1029" w:rsidRPr="002F1795" w:rsidRDefault="002E1029" w:rsidP="006565F1">
            <w:pPr>
              <w:pStyle w:val="TableText"/>
              <w:jc w:val="right"/>
            </w:pPr>
            <w:r w:rsidRPr="002F1795">
              <w:t>8</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2E1029" w:rsidRPr="002F1795" w:rsidRDefault="002E1029" w:rsidP="006565F1">
            <w:pPr>
              <w:pStyle w:val="TableText"/>
              <w:jc w:val="right"/>
            </w:pPr>
            <w:r w:rsidRPr="002F1795">
              <w:t>1.00</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2,216</w:t>
            </w:r>
          </w:p>
        </w:tc>
        <w:tc>
          <w:tcPr>
            <w:tcW w:w="958"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1,232</w:t>
            </w:r>
          </w:p>
        </w:tc>
        <w:tc>
          <w:tcPr>
            <w:tcW w:w="976" w:type="dxa"/>
            <w:tcBorders>
              <w:top w:val="nil"/>
              <w:left w:val="nil"/>
              <w:bottom w:val="single" w:sz="4" w:space="0" w:color="auto"/>
              <w:right w:val="single" w:sz="8"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3,448</w:t>
            </w:r>
          </w:p>
        </w:tc>
      </w:tr>
      <w:tr w:rsidR="00265267"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65267" w:rsidRPr="002F1795" w:rsidRDefault="00265267" w:rsidP="006565F1">
            <w:pPr>
              <w:pStyle w:val="TableText"/>
              <w:ind w:left="180"/>
            </w:pPr>
            <w:r w:rsidRPr="002F1795">
              <w:t>NAF (With New Certification)</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265267" w:rsidRPr="002F1795" w:rsidRDefault="00265267" w:rsidP="00DD211B">
            <w:pPr>
              <w:pStyle w:val="TableText"/>
              <w:jc w:val="center"/>
            </w:pPr>
            <w:r w:rsidRPr="002F1795">
              <w:t>-</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848" w:type="dxa"/>
            <w:tcBorders>
              <w:top w:val="nil"/>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105" w:type="dxa"/>
            <w:tcBorders>
              <w:top w:val="nil"/>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958" w:type="dxa"/>
            <w:tcBorders>
              <w:top w:val="nil"/>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976" w:type="dxa"/>
            <w:tcBorders>
              <w:top w:val="nil"/>
              <w:left w:val="nil"/>
              <w:bottom w:val="single" w:sz="4" w:space="0" w:color="auto"/>
              <w:right w:val="single" w:sz="8"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r w:rsidRPr="002F1795">
              <w:rPr>
                <w:vertAlign w:val="superscript"/>
              </w:rPr>
              <w:t>9</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10</w:t>
            </w:r>
          </w:p>
        </w:tc>
      </w:tr>
      <w:tr w:rsidR="002E1029" w:rsidRPr="002F1795" w:rsidTr="002E1029">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E1029" w:rsidRPr="002F1795" w:rsidRDefault="002E1029" w:rsidP="006565F1">
            <w:pPr>
              <w:pStyle w:val="TableText"/>
              <w:ind w:left="180"/>
            </w:pPr>
            <w:r w:rsidRPr="002F1795">
              <w:t>Standard Certification</w:t>
            </w:r>
            <w:r w:rsidRPr="002F1795">
              <w:rPr>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rsidP="006565F1">
            <w:pPr>
              <w:pStyle w:val="TableText"/>
              <w:jc w:val="center"/>
            </w:pPr>
            <w:r w:rsidRPr="002F1795">
              <w:t>M</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277</w:t>
            </w:r>
          </w:p>
        </w:tc>
        <w:tc>
          <w:tcPr>
            <w:tcW w:w="1013"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154</w:t>
            </w:r>
          </w:p>
        </w:tc>
        <w:tc>
          <w:tcPr>
            <w:tcW w:w="848"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431</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2E1029" w:rsidRPr="002F1795" w:rsidRDefault="002E1029" w:rsidP="006565F1">
            <w:pPr>
              <w:pStyle w:val="TableText"/>
              <w:jc w:val="right"/>
            </w:pPr>
            <w:r w:rsidRPr="002F1795">
              <w:t>260</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2E1029" w:rsidRPr="002F1795" w:rsidRDefault="002E1029" w:rsidP="006565F1">
            <w:pPr>
              <w:pStyle w:val="TableText"/>
              <w:jc w:val="right"/>
            </w:pPr>
            <w:r w:rsidRPr="002F1795">
              <w:t>2.00</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144,040</w:t>
            </w:r>
          </w:p>
        </w:tc>
        <w:tc>
          <w:tcPr>
            <w:tcW w:w="958" w:type="dxa"/>
            <w:tcBorders>
              <w:top w:val="nil"/>
              <w:left w:val="nil"/>
              <w:bottom w:val="single" w:sz="4" w:space="0" w:color="auto"/>
              <w:right w:val="single" w:sz="4"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80,080</w:t>
            </w:r>
          </w:p>
        </w:tc>
        <w:tc>
          <w:tcPr>
            <w:tcW w:w="976" w:type="dxa"/>
            <w:tcBorders>
              <w:top w:val="nil"/>
              <w:left w:val="nil"/>
              <w:bottom w:val="single" w:sz="4" w:space="0" w:color="auto"/>
              <w:right w:val="single" w:sz="8" w:space="0" w:color="auto"/>
            </w:tcBorders>
            <w:shd w:val="clear" w:color="auto" w:fill="FFFFFF" w:themeFill="background1"/>
            <w:noWrap/>
            <w:vAlign w:val="center"/>
            <w:hideMark/>
          </w:tcPr>
          <w:p w:rsidR="002E1029" w:rsidRPr="002F1795" w:rsidRDefault="002E1029">
            <w:pPr>
              <w:jc w:val="right"/>
              <w:rPr>
                <w:color w:val="000000"/>
                <w:sz w:val="18"/>
                <w:szCs w:val="18"/>
              </w:rPr>
            </w:pPr>
            <w:r w:rsidRPr="002F1795">
              <w:rPr>
                <w:color w:val="000000"/>
                <w:sz w:val="18"/>
                <w:szCs w:val="18"/>
              </w:rPr>
              <w:t>224,120</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New NAF Certification</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7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11</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116"/>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r w:rsidRPr="002F1795">
              <w:rPr>
                <w:vertAlign w:val="superscript"/>
              </w:rPr>
              <w:t>12</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Producers</w:t>
            </w:r>
            <w:r w:rsidRPr="002F1795">
              <w:rPr>
                <w:color w:val="000000"/>
                <w:szCs w:val="18"/>
                <w:vertAlign w:val="superscript"/>
              </w:rPr>
              <w:t>3,5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M</w:t>
            </w:r>
          </w:p>
        </w:tc>
        <w:tc>
          <w:tcPr>
            <w:tcW w:w="1013"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rPr>
                <w:szCs w:val="18"/>
              </w:rPr>
            </w:pPr>
            <w:r w:rsidRPr="002F1795">
              <w:rPr>
                <w:color w:val="000000"/>
                <w:szCs w:val="18"/>
              </w:rPr>
              <w:t>370</w:t>
            </w:r>
          </w:p>
        </w:tc>
        <w:tc>
          <w:tcPr>
            <w:tcW w:w="1013"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rPr>
                <w:szCs w:val="18"/>
              </w:rPr>
            </w:pPr>
            <w:r w:rsidRPr="002F1795">
              <w:rPr>
                <w:color w:val="000000"/>
                <w:szCs w:val="18"/>
              </w:rPr>
              <w:t>1,129</w:t>
            </w:r>
          </w:p>
        </w:tc>
        <w:tc>
          <w:tcPr>
            <w:tcW w:w="848"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rPr>
                <w:szCs w:val="18"/>
              </w:rPr>
            </w:pPr>
            <w:r w:rsidRPr="002F1795">
              <w:rPr>
                <w:color w:val="000000"/>
                <w:szCs w:val="18"/>
              </w:rPr>
              <w:t>1,499</w:t>
            </w:r>
          </w:p>
        </w:tc>
        <w:tc>
          <w:tcPr>
            <w:tcW w:w="1473" w:type="dxa"/>
            <w:tcBorders>
              <w:top w:val="nil"/>
              <w:left w:val="nil"/>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52.00</w:t>
            </w:r>
          </w:p>
        </w:tc>
        <w:tc>
          <w:tcPr>
            <w:tcW w:w="1105"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19,240</w:t>
            </w:r>
          </w:p>
        </w:tc>
        <w:tc>
          <w:tcPr>
            <w:tcW w:w="95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58,708</w:t>
            </w:r>
          </w:p>
        </w:tc>
        <w:tc>
          <w:tcPr>
            <w:tcW w:w="976"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77,948</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Fabricators with burden- Employers</w:t>
            </w:r>
            <w:r w:rsidRPr="002F1795">
              <w:rPr>
                <w:color w:val="000000"/>
                <w:szCs w:val="18"/>
                <w:vertAlign w:val="superscript"/>
              </w:rPr>
              <w:t>4</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2,176</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848</w:t>
            </w:r>
          </w:p>
        </w:tc>
        <w:tc>
          <w:tcPr>
            <w:tcW w:w="84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3,024</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520.00</w:t>
            </w:r>
          </w:p>
        </w:tc>
        <w:tc>
          <w:tcPr>
            <w:tcW w:w="1105"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1,131,520</w:t>
            </w:r>
          </w:p>
        </w:tc>
        <w:tc>
          <w:tcPr>
            <w:tcW w:w="95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440,960</w:t>
            </w:r>
          </w:p>
        </w:tc>
        <w:tc>
          <w:tcPr>
            <w:tcW w:w="976"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1,572,480</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 burden - Nonemployers</w:t>
            </w:r>
            <w:r w:rsidRPr="002F1795">
              <w:rPr>
                <w:color w:val="000000"/>
                <w:szCs w:val="18"/>
                <w:vertAlign w:val="superscript"/>
              </w:rPr>
              <w:t>4</w:t>
            </w:r>
          </w:p>
        </w:tc>
        <w:tc>
          <w:tcPr>
            <w:tcW w:w="756"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3,054</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1,191</w:t>
            </w:r>
          </w:p>
        </w:tc>
        <w:tc>
          <w:tcPr>
            <w:tcW w:w="84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4,245</w:t>
            </w:r>
          </w:p>
        </w:tc>
        <w:tc>
          <w:tcPr>
            <w:tcW w:w="147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7.21</w:t>
            </w:r>
          </w:p>
        </w:tc>
        <w:tc>
          <w:tcPr>
            <w:tcW w:w="1105"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22,019</w:t>
            </w:r>
          </w:p>
        </w:tc>
        <w:tc>
          <w:tcPr>
            <w:tcW w:w="95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8,587</w:t>
            </w:r>
          </w:p>
        </w:tc>
        <w:tc>
          <w:tcPr>
            <w:tcW w:w="976"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30,606</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lastRenderedPageBreak/>
              <w:t>Fabricators without burden</w:t>
            </w:r>
          </w:p>
        </w:tc>
        <w:tc>
          <w:tcPr>
            <w:tcW w:w="756"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42,310</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16,437</w:t>
            </w:r>
          </w:p>
        </w:tc>
        <w:tc>
          <w:tcPr>
            <w:tcW w:w="84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58,747</w:t>
            </w:r>
          </w:p>
        </w:tc>
        <w:tc>
          <w:tcPr>
            <w:tcW w:w="147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105"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95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976"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burden - Employers</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2,642</w:t>
            </w:r>
          </w:p>
        </w:tc>
        <w:tc>
          <w:tcPr>
            <w:tcW w:w="101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3,680</w:t>
            </w:r>
          </w:p>
        </w:tc>
        <w:tc>
          <w:tcPr>
            <w:tcW w:w="84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6,322</w:t>
            </w:r>
          </w:p>
        </w:tc>
        <w:tc>
          <w:tcPr>
            <w:tcW w:w="1473"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195.00</w:t>
            </w:r>
          </w:p>
        </w:tc>
        <w:tc>
          <w:tcPr>
            <w:tcW w:w="1105"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515,190</w:t>
            </w:r>
          </w:p>
        </w:tc>
        <w:tc>
          <w:tcPr>
            <w:tcW w:w="95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717,600</w:t>
            </w:r>
          </w:p>
        </w:tc>
        <w:tc>
          <w:tcPr>
            <w:tcW w:w="976"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1,232,790</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 xml:space="preserve">Wholesalers with burden - </w:t>
            </w:r>
            <w:proofErr w:type="spellStart"/>
            <w:r w:rsidRPr="002F1795">
              <w:rPr>
                <w:color w:val="000000"/>
                <w:szCs w:val="18"/>
              </w:rPr>
              <w:t>Nonemployers</w:t>
            </w:r>
            <w:proofErr w:type="spellEnd"/>
          </w:p>
        </w:tc>
        <w:tc>
          <w:tcPr>
            <w:tcW w:w="756"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3,826</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5,331</w:t>
            </w:r>
          </w:p>
        </w:tc>
        <w:tc>
          <w:tcPr>
            <w:tcW w:w="84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9,157</w:t>
            </w:r>
          </w:p>
        </w:tc>
        <w:tc>
          <w:tcPr>
            <w:tcW w:w="147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3.92</w:t>
            </w:r>
          </w:p>
        </w:tc>
        <w:tc>
          <w:tcPr>
            <w:tcW w:w="1105"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14,998</w:t>
            </w:r>
          </w:p>
        </w:tc>
        <w:tc>
          <w:tcPr>
            <w:tcW w:w="95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20,898</w:t>
            </w:r>
          </w:p>
        </w:tc>
        <w:tc>
          <w:tcPr>
            <w:tcW w:w="976"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35,895</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without burden</w:t>
            </w:r>
          </w:p>
        </w:tc>
        <w:tc>
          <w:tcPr>
            <w:tcW w:w="756"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47,263</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rFonts w:ascii="Tahoma" w:hAnsi="Tahoma" w:cs="Tahoma"/>
                <w:szCs w:val="18"/>
              </w:rPr>
            </w:pPr>
            <w:r w:rsidRPr="002F1795">
              <w:rPr>
                <w:color w:val="000000"/>
                <w:szCs w:val="18"/>
              </w:rPr>
              <w:t>11,944</w:t>
            </w:r>
          </w:p>
        </w:tc>
        <w:tc>
          <w:tcPr>
            <w:tcW w:w="84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59,207</w:t>
            </w:r>
          </w:p>
        </w:tc>
        <w:tc>
          <w:tcPr>
            <w:tcW w:w="147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05"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95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976"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Retailers</w:t>
            </w:r>
          </w:p>
        </w:tc>
        <w:tc>
          <w:tcPr>
            <w:tcW w:w="756"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658,150</w:t>
            </w:r>
          </w:p>
        </w:tc>
        <w:tc>
          <w:tcPr>
            <w:tcW w:w="101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rFonts w:ascii="Tahoma" w:hAnsi="Tahoma" w:cs="Tahoma"/>
                <w:szCs w:val="18"/>
              </w:rPr>
            </w:pPr>
            <w:r w:rsidRPr="002F1795">
              <w:rPr>
                <w:rFonts w:ascii="Tahoma" w:hAnsi="Tahoma" w:cs="Tahoma"/>
                <w:szCs w:val="18"/>
              </w:rPr>
              <w:t>-</w:t>
            </w:r>
          </w:p>
        </w:tc>
        <w:tc>
          <w:tcPr>
            <w:tcW w:w="84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658,150</w:t>
            </w:r>
          </w:p>
        </w:tc>
        <w:tc>
          <w:tcPr>
            <w:tcW w:w="1473"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w:t>
            </w:r>
          </w:p>
        </w:tc>
        <w:tc>
          <w:tcPr>
            <w:tcW w:w="1197"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05"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958"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976"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13287"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r w:rsidRPr="002F1795">
              <w:rPr>
                <w:vertAlign w:val="superscript"/>
              </w:rPr>
              <w:t>4,13</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Minor Changes - Producers</w:t>
            </w:r>
            <w:r w:rsidRPr="002F1795">
              <w:rPr>
                <w:vertAlign w:val="superscript"/>
              </w:rPr>
              <w:t>4,5</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Minor Changes - Fabricators</w:t>
            </w:r>
            <w:r w:rsidRPr="002F1795">
              <w:rPr>
                <w:vertAlign w:val="superscript"/>
              </w:rPr>
              <w:t>4</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Major Changes - Producers</w:t>
            </w:r>
            <w:r w:rsidRPr="002F1795">
              <w:rPr>
                <w:vertAlign w:val="superscript"/>
              </w:rPr>
              <w:t>3</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8B5BB3">
        <w:trPr>
          <w:trHeight w:val="269"/>
          <w:jc w:val="center"/>
        </w:trPr>
        <w:tc>
          <w:tcPr>
            <w:tcW w:w="3948"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Major Changes - Fabricators and Wholesalers</w:t>
            </w:r>
            <w:r w:rsidRPr="002F1795">
              <w:rPr>
                <w:vertAlign w:val="superscript"/>
              </w:rPr>
              <w:t>4</w:t>
            </w:r>
          </w:p>
        </w:tc>
        <w:tc>
          <w:tcPr>
            <w:tcW w:w="75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7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8B5BB3" w:rsidRPr="002F1795" w:rsidTr="00FC159B">
        <w:trPr>
          <w:trHeight w:val="77"/>
          <w:jc w:val="center"/>
        </w:trPr>
        <w:tc>
          <w:tcPr>
            <w:tcW w:w="10248" w:type="dxa"/>
            <w:gridSpan w:val="7"/>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8B5BB3" w:rsidRPr="002F1795" w:rsidRDefault="008B5BB3" w:rsidP="006565F1">
            <w:pPr>
              <w:pStyle w:val="TableText"/>
              <w:jc w:val="center"/>
              <w:rPr>
                <w:b/>
                <w:bCs/>
              </w:rPr>
            </w:pPr>
            <w:r w:rsidRPr="002F1795">
              <w:rPr>
                <w:b/>
                <w:bCs/>
              </w:rPr>
              <w:t>Total - Years 2 and 3</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1,854,347</w:t>
            </w:r>
          </w:p>
        </w:tc>
        <w:tc>
          <w:tcPr>
            <w:tcW w:w="958"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1,333,475</w:t>
            </w:r>
          </w:p>
        </w:tc>
        <w:tc>
          <w:tcPr>
            <w:tcW w:w="976" w:type="dxa"/>
            <w:tcBorders>
              <w:top w:val="nil"/>
              <w:left w:val="nil"/>
              <w:bottom w:val="single" w:sz="4" w:space="0" w:color="auto"/>
              <w:right w:val="single" w:sz="8"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3,187,821</w:t>
            </w:r>
          </w:p>
        </w:tc>
      </w:tr>
      <w:tr w:rsidR="00A83DDA" w:rsidRPr="002F1795" w:rsidTr="006565F1">
        <w:trPr>
          <w:trHeight w:val="315"/>
          <w:jc w:val="center"/>
        </w:trPr>
        <w:tc>
          <w:tcPr>
            <w:tcW w:w="13287"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This column indicates the category of labor associated with the activity.  "M", "T", and "C" stand for managerial, technical, and clerical labor, respectively.</w:t>
            </w:r>
          </w:p>
          <w:p w:rsidR="00A83DDA" w:rsidRPr="002F1795" w:rsidRDefault="00A83DDA" w:rsidP="006565F1">
            <w:pPr>
              <w:pStyle w:val="tablefootnote"/>
              <w:keepLines/>
            </w:pPr>
            <w:r w:rsidRPr="002F1795">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Total excludes the estimated 2 percent of wood veneer laminated product producers expected to continue to use added formaldehyde resins.</w:t>
            </w:r>
          </w:p>
          <w:p w:rsidR="00A83DDA" w:rsidRPr="002F1795" w:rsidRDefault="00A83DDA" w:rsidP="006565F1">
            <w:pPr>
              <w:pStyle w:val="tablefootnote"/>
              <w:keepLines/>
            </w:pPr>
            <w:r w:rsidRPr="002F1795">
              <w:t>5.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6. Producers that are already CARB compliant are not assumed to need to perform correlation testing because it is assumed that their previous testing is sufficient.</w:t>
            </w:r>
          </w:p>
          <w:p w:rsidR="00A83DDA" w:rsidRPr="002F1795" w:rsidRDefault="00A83DDA" w:rsidP="006565F1">
            <w:pPr>
              <w:pStyle w:val="tablefootnote"/>
              <w:keepLines/>
            </w:pPr>
            <w:r w:rsidRPr="002F1795">
              <w:t xml:space="preserve">7. On-site audits must be conducted at least once quarterly, unless the mill obtains </w:t>
            </w:r>
            <w:r w:rsidR="00425794"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425794" w:rsidRPr="002F1795">
              <w:t xml:space="preserve">ULEF or </w:t>
            </w:r>
            <w:r w:rsidRPr="002F1795">
              <w:t xml:space="preserve">NAF certifications under the CARB ATCM will only incur the initial on-site audit in the first year.  All producers with </w:t>
            </w:r>
            <w:r w:rsidR="00425794"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8. Desk audits are assumed to occur monthly</w:t>
            </w:r>
            <w:r w:rsidR="00425794"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425794" w:rsidRPr="002F1795">
              <w:t xml:space="preserve">ULEF or </w:t>
            </w:r>
            <w:r w:rsidRPr="002F1795">
              <w:t xml:space="preserve">NAF certification.  </w:t>
            </w:r>
          </w:p>
          <w:p w:rsidR="00A83DDA" w:rsidRPr="002F1795" w:rsidRDefault="00A83DDA" w:rsidP="006565F1">
            <w:pPr>
              <w:pStyle w:val="tablefootnote"/>
              <w:keepLines/>
            </w:pPr>
            <w:r w:rsidRPr="002F1795">
              <w:t>9. Although mills are likely to incur some labor burden while learning how to use the small chamber testing unit, it is not estimated in this analysis.</w:t>
            </w:r>
          </w:p>
          <w:p w:rsidR="00A83DDA" w:rsidRPr="002F1795" w:rsidRDefault="00A83DDA" w:rsidP="006565F1">
            <w:pPr>
              <w:pStyle w:val="tablefootnote"/>
              <w:keepLines/>
            </w:pPr>
            <w:r w:rsidRPr="002F1795">
              <w:t>10. This analysis assumes that composite panel producers</w:t>
            </w:r>
            <w:r w:rsidR="00410FAD" w:rsidRPr="002F1795">
              <w:t xml:space="preserve"> with a standard certification or a new NAF certification</w:t>
            </w:r>
            <w:r w:rsidRPr="002F1795">
              <w:t xml:space="preserve"> test each production line once daily.  </w:t>
            </w:r>
            <w:r w:rsidR="00EB4B76" w:rsidRPr="002F1795">
              <w:t>Producers with an existing ULEF or NAF certification will already have been exempted from quality control testing</w:t>
            </w:r>
            <w:r w:rsidRPr="002F1795">
              <w:t>.</w:t>
            </w:r>
          </w:p>
          <w:p w:rsidR="00A83DDA" w:rsidRPr="002F1795" w:rsidRDefault="00A83DDA" w:rsidP="006565F1">
            <w:pPr>
              <w:pStyle w:val="tablefootnote"/>
              <w:keepLines/>
            </w:pPr>
            <w:r w:rsidRPr="002F1795">
              <w:t>11.  Recordkeeping is required for composite panel producers (including the estimated two percent of wood veneer laminated product producers defined as hardwood plywood producers), fabricators, and wholesalers that import composite wood products.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are not already complying with the CARB ATCM and will have initial burden to change their recordkeeping systems to comply with the TSCA Title VI rule.</w:t>
            </w:r>
          </w:p>
          <w:p w:rsidR="00A83DDA" w:rsidRPr="002F1795" w:rsidRDefault="00A83DDA" w:rsidP="006565F1">
            <w:pPr>
              <w:pStyle w:val="tablefootnote"/>
              <w:keepLines/>
            </w:pPr>
            <w:r w:rsidRPr="002F1795">
              <w:t xml:space="preserve">12.  While recordkeeping is required for all respondents, not all entities will incur </w:t>
            </w:r>
            <w:r w:rsidR="00425794" w:rsidRPr="002F1795">
              <w:t xml:space="preserve">additional </w:t>
            </w:r>
            <w:r w:rsidRPr="002F1795">
              <w:t xml:space="preserve">recordkeeping burden and costs.  This analysis assumes that some fabricators and wholesalers have existing recordkeeping systems that are sufficient to meet the rule's requirements.  Based on responses to EPA’s questionnaires, it is assumed that that 11 percent of fabricators and 43 percent of wholesalers will have recurring recordkeeping costs.  However, the analysis assumes that only 28 percent of domestic wholesalers import composite wood products or articles that contain composite wood products and thus 43% of that 28% incur recurring recordkeeping burden.  The customary business practices of the remaining fabricators, wholesalers, and all retailers are assumed to be generally sufficient to meet the proposed rule’s recordkeeping requirements.  For fabricators and wholesalers with burden, the analysis assumes that there is a fixed-cost component of the recurring recordkeeping costs associated with </w:t>
            </w:r>
            <w:r w:rsidRPr="002F1795">
              <w:lastRenderedPageBreak/>
              <w:t xml:space="preserve">two hours of labor and a variable cost component that is proportional to a firm’s revenue.  The variable cost factor is estimated by subtracting the fixed cost from the total reported cost and then dividing by the estimated average revenue for affected employer category.  For fabricators, the fixed cost is $49.68, the total reported cost is $12,916.80, and the average revenue is $4,241,245.  For wholesalers, the fixed cost is $51.08, the total reported cost is $4,890.30, and the average revenue is $8,308,417.  The respective variable cost factors are 0.30338 percent and 0.05933 percent of revenue.  The recurring recordkeeping burdens for employer fabricators and wholesalers are 520 and 195 hours per year, respectively.  For </w:t>
            </w:r>
            <w:proofErr w:type="spellStart"/>
            <w:r w:rsidRPr="002F1795">
              <w:t>nonemployers</w:t>
            </w:r>
            <w:proofErr w:type="spellEnd"/>
            <w:r w:rsidRPr="002F1795">
              <w:t xml:space="preserve">, the average recurring recordkeeping burden is estimated as the sum of the burden associated with the fixed cost (2 hours) and the burden associated with the respective variable costs, which are calculated as 0.30338 percent of average </w:t>
            </w:r>
            <w:proofErr w:type="spellStart"/>
            <w:r w:rsidRPr="002F1795">
              <w:t>nonemployer</w:t>
            </w:r>
            <w:proofErr w:type="spellEnd"/>
            <w:r w:rsidRPr="002F1795">
              <w:t xml:space="preserve"> fabricator revenues ($42,690) and  0.05933 percent of average </w:t>
            </w:r>
            <w:proofErr w:type="spellStart"/>
            <w:r w:rsidRPr="002F1795">
              <w:t>nonemployer</w:t>
            </w:r>
            <w:proofErr w:type="spellEnd"/>
            <w:r w:rsidRPr="002F1795">
              <w:t xml:space="preserve"> wholesaler revenues ($82,542).  The resulting average fabricator and wholesaler </w:t>
            </w:r>
            <w:proofErr w:type="spellStart"/>
            <w:r w:rsidRPr="002F1795">
              <w:t>nonemployer</w:t>
            </w:r>
            <w:proofErr w:type="spellEnd"/>
            <w:r w:rsidRPr="002F1795">
              <w:t xml:space="preserve"> recurring recordkeeping burdens are 7.21 and 3.92 hours per year, respectively.</w:t>
            </w:r>
          </w:p>
          <w:p w:rsidR="00A83DDA" w:rsidRPr="002F1795" w:rsidRDefault="00A83DDA" w:rsidP="00425794">
            <w:pPr>
              <w:pStyle w:val="tablefootnote"/>
              <w:keepLines/>
              <w:rPr>
                <w:rFonts w:ascii="Tahoma" w:hAnsi="Tahoma" w:cs="Tahoma"/>
                <w:szCs w:val="16"/>
              </w:rPr>
            </w:pPr>
            <w:r w:rsidRPr="002F1795">
              <w:t xml:space="preserve">13.  </w:t>
            </w:r>
            <w:r w:rsidR="00425794"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fabricators that are not already complying with the CARB ATCM, and all fabricators that are already complying with the CARB ATCM will incur the cost associated with 3 hours of labor for making small changes to their labels.  The remaining fabricators and one percent of wholesalers are assumed to incur the average cost of the two firms that reported initial labeling costs in the fabricator questionnaire (see the Economic Analysis for more details).</w:t>
            </w:r>
          </w:p>
        </w:tc>
      </w:tr>
    </w:tbl>
    <w:p w:rsidR="00A83DDA" w:rsidRPr="002F1795" w:rsidRDefault="00A83DDA" w:rsidP="00A83DDA">
      <w:pPr>
        <w:numPr>
          <w:ilvl w:val="12"/>
          <w:numId w:val="0"/>
        </w:numPr>
        <w:rPr>
          <w:u w:val="single"/>
        </w:rPr>
      </w:pPr>
    </w:p>
    <w:tbl>
      <w:tblPr>
        <w:tblW w:w="5000" w:type="pct"/>
        <w:jc w:val="center"/>
        <w:tblLayout w:type="fixed"/>
        <w:tblCellMar>
          <w:left w:w="115" w:type="dxa"/>
          <w:right w:w="115" w:type="dxa"/>
        </w:tblCellMar>
        <w:tblLook w:val="04A0"/>
      </w:tblPr>
      <w:tblGrid>
        <w:gridCol w:w="2995"/>
        <w:gridCol w:w="810"/>
        <w:gridCol w:w="990"/>
        <w:gridCol w:w="1080"/>
        <w:gridCol w:w="1260"/>
        <w:gridCol w:w="1170"/>
        <w:gridCol w:w="1260"/>
        <w:gridCol w:w="1260"/>
        <w:gridCol w:w="1170"/>
        <w:gridCol w:w="1195"/>
      </w:tblGrid>
      <w:tr w:rsidR="00A83DDA" w:rsidRPr="002F1795" w:rsidTr="006565F1">
        <w:trPr>
          <w:trHeight w:val="255"/>
          <w:tblHeader/>
          <w:jc w:val="center"/>
        </w:trPr>
        <w:tc>
          <w:tcPr>
            <w:tcW w:w="13190" w:type="dxa"/>
            <w:gridSpan w:val="10"/>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keepNext/>
              <w:keepLines/>
            </w:pPr>
            <w:bookmarkStart w:id="15" w:name="_Ref309214747"/>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14</w:t>
            </w:r>
            <w:r w:rsidR="0041046E">
              <w:rPr>
                <w:noProof/>
              </w:rPr>
              <w:fldChar w:fldCharType="end"/>
            </w:r>
            <w:bookmarkEnd w:id="15"/>
            <w:r w:rsidRPr="002F1795">
              <w:t>: Three Year Average Incremental Burden Hours, by Activity and Geographic Location</w:t>
            </w:r>
          </w:p>
        </w:tc>
      </w:tr>
      <w:tr w:rsidR="00A83DDA" w:rsidRPr="002F1795" w:rsidTr="006565F1">
        <w:trPr>
          <w:trHeight w:val="255"/>
          <w:tblHeader/>
          <w:jc w:val="center"/>
        </w:trPr>
        <w:tc>
          <w:tcPr>
            <w:tcW w:w="2995" w:type="dxa"/>
            <w:vMerge w:val="restart"/>
            <w:tcBorders>
              <w:top w:val="single" w:sz="4" w:space="0" w:color="auto"/>
              <w:left w:val="single" w:sz="8" w:space="0" w:color="auto"/>
              <w:bottom w:val="single" w:sz="4" w:space="0" w:color="auto"/>
              <w:right w:val="nil"/>
            </w:tcBorders>
            <w:shd w:val="clear" w:color="000000" w:fill="FFFFFF"/>
            <w:tcMar>
              <w:left w:w="0" w:type="dxa"/>
              <w:right w:w="0" w:type="dxa"/>
            </w:tcMar>
            <w:vAlign w:val="center"/>
            <w:hideMark/>
          </w:tcPr>
          <w:p w:rsidR="00A83DDA" w:rsidRPr="002F1795" w:rsidRDefault="00A83DDA" w:rsidP="006565F1">
            <w:pPr>
              <w:pStyle w:val="TableSubtitle"/>
            </w:pPr>
            <w:r w:rsidRPr="002F1795">
              <w:t>Activity</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Labor Type</w:t>
            </w:r>
            <w:r w:rsidRPr="002F1795">
              <w:rPr>
                <w:vertAlign w:val="superscript"/>
              </w:rPr>
              <w:t>1</w:t>
            </w:r>
          </w:p>
        </w:tc>
        <w:tc>
          <w:tcPr>
            <w:tcW w:w="3330" w:type="dxa"/>
            <w:gridSpan w:val="3"/>
            <w:tcBorders>
              <w:top w:val="single" w:sz="4" w:space="0" w:color="auto"/>
              <w:left w:val="nil"/>
              <w:bottom w:val="single" w:sz="4" w:space="0" w:color="auto"/>
              <w:right w:val="single" w:sz="4" w:space="0" w:color="auto"/>
            </w:tcBorders>
            <w:shd w:val="clear" w:color="000000" w:fill="FFFFFF"/>
            <w:noWrap/>
            <w:tcMar>
              <w:left w:w="0" w:type="dxa"/>
              <w:right w:w="0" w:type="dxa"/>
            </w:tcMar>
            <w:vAlign w:val="center"/>
            <w:hideMark/>
          </w:tcPr>
          <w:p w:rsidR="00A83DDA" w:rsidRPr="002F1795" w:rsidRDefault="00A83DDA" w:rsidP="006565F1">
            <w:pPr>
              <w:pStyle w:val="TableSubtitle"/>
            </w:pPr>
            <w:r w:rsidRPr="002F1795">
              <w:t>Number of Entities</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Number of Activities Per Respondent</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Burden Per Activity (Hours)</w:t>
            </w:r>
          </w:p>
        </w:tc>
        <w:tc>
          <w:tcPr>
            <w:tcW w:w="3625" w:type="dxa"/>
            <w:gridSpan w:val="3"/>
            <w:tcBorders>
              <w:top w:val="single" w:sz="4" w:space="0" w:color="auto"/>
              <w:left w:val="nil"/>
              <w:bottom w:val="single" w:sz="4" w:space="0" w:color="auto"/>
              <w:right w:val="single" w:sz="8" w:space="0" w:color="000000"/>
            </w:tcBorders>
            <w:shd w:val="clear" w:color="000000" w:fill="FFFFFF"/>
            <w:tcMar>
              <w:left w:w="0" w:type="dxa"/>
              <w:right w:w="0" w:type="dxa"/>
            </w:tcMar>
            <w:vAlign w:val="center"/>
            <w:hideMark/>
          </w:tcPr>
          <w:p w:rsidR="00A83DDA" w:rsidRPr="002F1795" w:rsidRDefault="00A83DDA" w:rsidP="006565F1">
            <w:pPr>
              <w:pStyle w:val="TableSubtitle"/>
            </w:pPr>
            <w:r w:rsidRPr="002F1795">
              <w:t>Incremental Burden (Hours)</w:t>
            </w:r>
          </w:p>
        </w:tc>
      </w:tr>
      <w:tr w:rsidR="00A83DDA" w:rsidRPr="002F1795" w:rsidTr="006565F1">
        <w:trPr>
          <w:trHeight w:val="315"/>
          <w:tblHeader/>
          <w:jc w:val="center"/>
        </w:trPr>
        <w:tc>
          <w:tcPr>
            <w:tcW w:w="2995" w:type="dxa"/>
            <w:vMerge/>
            <w:tcBorders>
              <w:top w:val="single" w:sz="4" w:space="0" w:color="auto"/>
              <w:left w:val="single" w:sz="8" w:space="0" w:color="auto"/>
              <w:bottom w:val="single" w:sz="4" w:space="0" w:color="auto"/>
              <w:right w:val="nil"/>
            </w:tcBorders>
            <w:tcMar>
              <w:left w:w="0" w:type="dxa"/>
              <w:right w:w="0" w:type="dxa"/>
            </w:tcMar>
            <w:vAlign w:val="center"/>
            <w:hideMark/>
          </w:tcPr>
          <w:p w:rsidR="00A83DDA" w:rsidRPr="002F1795" w:rsidRDefault="00A83DDA" w:rsidP="006565F1">
            <w:pPr>
              <w:pStyle w:val="TableSubtitle"/>
            </w:pPr>
          </w:p>
        </w:tc>
        <w:tc>
          <w:tcPr>
            <w:tcW w:w="81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A83DDA" w:rsidRPr="002F1795" w:rsidRDefault="00A83DDA" w:rsidP="006565F1">
            <w:pPr>
              <w:pStyle w:val="TableSubtitle"/>
            </w:pPr>
          </w:p>
        </w:tc>
        <w:tc>
          <w:tcPr>
            <w:tcW w:w="99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Domestic</w:t>
            </w:r>
          </w:p>
        </w:tc>
        <w:tc>
          <w:tcPr>
            <w:tcW w:w="108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Foreign</w:t>
            </w:r>
            <w:r w:rsidRPr="002F1795">
              <w:rPr>
                <w:vertAlign w:val="superscript"/>
              </w:rPr>
              <w:t>2</w:t>
            </w:r>
          </w:p>
        </w:tc>
        <w:tc>
          <w:tcPr>
            <w:tcW w:w="126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Total</w:t>
            </w:r>
          </w:p>
        </w:tc>
        <w:tc>
          <w:tcPr>
            <w:tcW w:w="117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A83DDA" w:rsidRPr="002F1795" w:rsidRDefault="00A83DDA" w:rsidP="006565F1">
            <w:pPr>
              <w:pStyle w:val="TableSubtitle"/>
            </w:pPr>
          </w:p>
        </w:tc>
        <w:tc>
          <w:tcPr>
            <w:tcW w:w="126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A83DDA" w:rsidRPr="002F1795" w:rsidRDefault="00A83DDA" w:rsidP="006565F1">
            <w:pPr>
              <w:pStyle w:val="TableSubtitle"/>
            </w:pPr>
          </w:p>
        </w:tc>
        <w:tc>
          <w:tcPr>
            <w:tcW w:w="126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Domestic</w:t>
            </w:r>
          </w:p>
        </w:tc>
        <w:tc>
          <w:tcPr>
            <w:tcW w:w="1170" w:type="dxa"/>
            <w:tcBorders>
              <w:top w:val="nil"/>
              <w:left w:val="nil"/>
              <w:bottom w:val="single" w:sz="4" w:space="0" w:color="auto"/>
              <w:right w:val="single" w:sz="4"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Foreign</w:t>
            </w:r>
          </w:p>
        </w:tc>
        <w:tc>
          <w:tcPr>
            <w:tcW w:w="1195" w:type="dxa"/>
            <w:tcBorders>
              <w:top w:val="nil"/>
              <w:left w:val="nil"/>
              <w:bottom w:val="single" w:sz="4" w:space="0" w:color="auto"/>
              <w:right w:val="single" w:sz="8" w:space="0" w:color="auto"/>
            </w:tcBorders>
            <w:shd w:val="clear" w:color="000000" w:fill="FFFFFF"/>
            <w:tcMar>
              <w:left w:w="0" w:type="dxa"/>
              <w:right w:w="0" w:type="dxa"/>
            </w:tcMar>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 </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Producers</w:t>
            </w:r>
            <w:r w:rsidRPr="002F1795">
              <w:rPr>
                <w:vertAlign w:val="superscript"/>
              </w:rPr>
              <w:t>3</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370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1,129</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1,499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493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1,505</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1,998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Fabricators</w:t>
            </w:r>
            <w:r w:rsidRPr="002F1795">
              <w:rPr>
                <w:vertAlign w:val="superscript"/>
              </w:rPr>
              <w:t>4</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79,701</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31,083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110,784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106,257</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41,440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147,697</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Wholesalers</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85,560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33,368</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118,928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114,069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44,486</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158,555</w:t>
            </w:r>
          </w:p>
        </w:tc>
      </w:tr>
      <w:tr w:rsidR="00A83DDA" w:rsidRPr="002F1795" w:rsidTr="006565F1">
        <w:trPr>
          <w:trHeight w:val="255"/>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Retailers</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rPr>
                <w:rFonts w:ascii="Tahoma" w:hAnsi="Tahoma" w:cs="Tahoma"/>
                <w:szCs w:val="16"/>
              </w:rPr>
              <w:t>-</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759,048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1,011,963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1,011,963</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 </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With Existing Certifications</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82</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764</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846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1,019</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1,128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Without Existing Certifications</w:t>
            </w:r>
            <w:r w:rsidRPr="002F1795">
              <w:rPr>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768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973</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1,741</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3</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40.0000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3,840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4,866</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8,706</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 </w:t>
            </w:r>
          </w:p>
        </w:tc>
      </w:tr>
      <w:tr w:rsidR="009669C2" w:rsidRPr="002F1795" w:rsidTr="009669C2">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ind w:left="170"/>
            </w:pPr>
            <w:r w:rsidRPr="002F1795">
              <w:t>1 Product</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5</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64</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69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jc w:val="right"/>
            </w:pPr>
            <w:r w:rsidRPr="002F1795">
              <w:t>0.5000</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11</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12</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2 Products</w:t>
            </w:r>
            <w:r w:rsidRPr="002F1795">
              <w:rPr>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0.6667</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0.2500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48</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61</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109</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6</w:t>
            </w:r>
            <w:r w:rsidRPr="002F1795">
              <w:t> </w:t>
            </w:r>
          </w:p>
        </w:tc>
      </w:tr>
      <w:tr w:rsidR="009669C2" w:rsidRPr="002F1795" w:rsidTr="009669C2">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ind w:left="170"/>
            </w:pPr>
            <w:r w:rsidRPr="002F1795">
              <w:t>1 Product</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5</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64</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69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jc w:val="right"/>
            </w:pPr>
            <w:r w:rsidRPr="002F1795">
              <w:t>3.3333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jc w:val="right"/>
            </w:pPr>
            <w:r w:rsidRPr="002F1795">
              <w:t>1.0000</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17</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213</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230</w:t>
            </w:r>
          </w:p>
        </w:tc>
      </w:tr>
      <w:tr w:rsidR="00A83DDA" w:rsidRPr="002F1795" w:rsidTr="006565F1">
        <w:trPr>
          <w:trHeight w:val="179"/>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2 Products</w:t>
            </w:r>
            <w:r w:rsidRPr="002F1795">
              <w:rPr>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288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365</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6.6667</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1,920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2,433</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4,353</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7</w:t>
            </w:r>
            <w:r w:rsidRPr="002F1795">
              <w:t> </w:t>
            </w:r>
          </w:p>
        </w:tc>
      </w:tr>
      <w:tr w:rsidR="005C0920"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5C0920" w:rsidRPr="002F1795" w:rsidRDefault="005C0920" w:rsidP="005C0920">
            <w:pPr>
              <w:pStyle w:val="TableText"/>
              <w:ind w:left="180"/>
            </w:pPr>
            <w:r w:rsidRPr="002F1795">
              <w:t>Uncertified to Standard</w:t>
            </w:r>
            <w:r w:rsidRPr="002F1795">
              <w:rPr>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5C0920" w:rsidRPr="002F1795" w:rsidRDefault="005C0920"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277</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154</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3.6667</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4.0000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4,063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5C0920" w:rsidRPr="002F1795" w:rsidRDefault="005C0920" w:rsidP="006565F1">
            <w:pPr>
              <w:pStyle w:val="TableText"/>
              <w:jc w:val="right"/>
            </w:pPr>
            <w:r w:rsidRPr="002F1795">
              <w:t>2,259</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5C0920" w:rsidRPr="002F1795" w:rsidRDefault="005C0920" w:rsidP="006565F1">
            <w:pPr>
              <w:pStyle w:val="TableText"/>
              <w:jc w:val="right"/>
            </w:pPr>
            <w:r w:rsidRPr="002F1795">
              <w:t>6,32</w:t>
            </w:r>
            <w:r w:rsidR="002B2785" w:rsidRPr="002F1795">
              <w:t>2</w:t>
            </w:r>
          </w:p>
        </w:tc>
      </w:tr>
      <w:tr w:rsidR="009669C2" w:rsidRPr="002F1795" w:rsidTr="009669C2">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9669C2" w:rsidRPr="002F1795" w:rsidRDefault="009669C2" w:rsidP="005C0920">
            <w:pPr>
              <w:pStyle w:val="TableText"/>
              <w:ind w:left="180"/>
            </w:pPr>
            <w:r w:rsidRPr="002F1795">
              <w:t>NAF (With New Certification)</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jc w:val="right"/>
            </w:pPr>
            <w:r w:rsidRPr="002F1795">
              <w:t>11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211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9669C2" w:rsidRPr="002F1795" w:rsidRDefault="009669C2" w:rsidP="002B2785">
            <w:pPr>
              <w:pStyle w:val="TableText"/>
              <w:jc w:val="right"/>
            </w:pPr>
            <w:r w:rsidRPr="002F1795">
              <w:t>2.</w:t>
            </w:r>
            <w:r w:rsidR="002B2785" w:rsidRPr="002F1795">
              <w:t>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9669C2" w:rsidRPr="002F1795" w:rsidRDefault="009669C2" w:rsidP="006565F1">
            <w:pPr>
              <w:pStyle w:val="TableText"/>
              <w:jc w:val="right"/>
            </w:pPr>
            <w:r w:rsidRPr="002F1795">
              <w:t>4.0000</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103</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1,969</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9669C2" w:rsidRPr="002F1795" w:rsidRDefault="009669C2">
            <w:pPr>
              <w:jc w:val="right"/>
              <w:rPr>
                <w:color w:val="000000"/>
                <w:sz w:val="18"/>
                <w:szCs w:val="18"/>
              </w:rPr>
            </w:pPr>
            <w:r w:rsidRPr="002F1795">
              <w:rPr>
                <w:color w:val="000000"/>
                <w:sz w:val="18"/>
                <w:szCs w:val="18"/>
              </w:rPr>
              <w:t>2,072</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8</w:t>
            </w:r>
          </w:p>
        </w:tc>
      </w:tr>
      <w:tr w:rsidR="008B5BB3" w:rsidRPr="002F1795" w:rsidTr="009669C2">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ind w:left="170"/>
            </w:pPr>
            <w:r w:rsidRPr="002F1795">
              <w:t>Uncertified to Standard</w:t>
            </w:r>
            <w:r w:rsidRPr="002F1795">
              <w:rPr>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277</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154</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jc w:val="right"/>
            </w:pPr>
            <w:r w:rsidRPr="002F1795">
              <w:t>3.6667</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8B5BB3" w:rsidRPr="002F1795" w:rsidRDefault="008B5BB3" w:rsidP="006565F1">
            <w:pPr>
              <w:pStyle w:val="TableText"/>
              <w:jc w:val="right"/>
            </w:pPr>
            <w:r w:rsidRPr="002F1795">
              <w:t>0.5000</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508</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282</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8B5BB3" w:rsidRPr="002F1795" w:rsidRDefault="008B5BB3">
            <w:pPr>
              <w:jc w:val="right"/>
              <w:rPr>
                <w:color w:val="000000"/>
                <w:sz w:val="18"/>
                <w:szCs w:val="18"/>
              </w:rPr>
            </w:pPr>
            <w:r w:rsidRPr="002F1795">
              <w:rPr>
                <w:color w:val="000000"/>
                <w:sz w:val="18"/>
                <w:szCs w:val="18"/>
              </w:rPr>
              <w:t>790</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NAF (With New Certification)</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211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0.5000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106</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9669C2" w:rsidP="006565F1">
            <w:pPr>
              <w:pStyle w:val="TableText"/>
              <w:jc w:val="right"/>
            </w:pPr>
            <w:r w:rsidRPr="002F1795">
              <w:t>112</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8</w:t>
            </w:r>
            <w:r w:rsidRPr="002F1795">
              <w:t> </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Uncertified to Standard</w:t>
            </w:r>
            <w:r w:rsidRPr="002F1795">
              <w:rPr>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277</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154</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2,216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1,232</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3,448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pPr>
            <w:r w:rsidRPr="002F1795">
              <w:t>NAF (With New Certification)</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211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0.6667</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141</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148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r w:rsidRPr="002F1795">
              <w:rPr>
                <w:vertAlign w:val="superscript"/>
              </w:rPr>
              <w:t>9</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rPr>
                <w:rFonts w:ascii="Tahoma" w:hAnsi="Tahoma" w:cs="Tahoma"/>
                <w:sz w:val="16"/>
                <w:szCs w:val="16"/>
              </w:rPr>
            </w:pPr>
            <w:r w:rsidRPr="002F1795">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10</w:t>
            </w:r>
            <w:r w:rsidRPr="002F1795">
              <w:t> </w:t>
            </w:r>
          </w:p>
        </w:tc>
      </w:tr>
      <w:tr w:rsidR="002B2785" w:rsidRPr="002F1795" w:rsidTr="00CD500E">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B2785" w:rsidRPr="002F1795" w:rsidRDefault="002B2785" w:rsidP="006565F1">
            <w:pPr>
              <w:pStyle w:val="TableText"/>
              <w:ind w:left="170"/>
            </w:pPr>
            <w:r w:rsidRPr="002F1795">
              <w:t>Standard Certification</w:t>
            </w:r>
            <w:r w:rsidRPr="002F1795">
              <w:rPr>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277</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154</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431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2B2785" w:rsidRPr="002F1795" w:rsidRDefault="002B2785" w:rsidP="006565F1">
            <w:pPr>
              <w:pStyle w:val="TableText"/>
              <w:jc w:val="right"/>
            </w:pPr>
            <w:r w:rsidRPr="002F1795">
              <w:t>260.0000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2B2785" w:rsidRPr="002F1795" w:rsidRDefault="002B2785" w:rsidP="006565F1">
            <w:pPr>
              <w:pStyle w:val="TableText"/>
              <w:jc w:val="right"/>
            </w:pPr>
            <w:r w:rsidRPr="002F1795">
              <w:t>2.0000</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144,040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80,080</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224,120</w:t>
            </w:r>
          </w:p>
        </w:tc>
      </w:tr>
      <w:tr w:rsidR="002B2785" w:rsidRPr="002F1795" w:rsidTr="00CD500E">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B2785" w:rsidRPr="002F1795" w:rsidRDefault="002B2785" w:rsidP="006565F1">
            <w:pPr>
              <w:pStyle w:val="TableText"/>
              <w:ind w:left="170"/>
            </w:pPr>
            <w:r w:rsidRPr="002F1795">
              <w:t>New NAF Certification</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rsidP="006565F1">
            <w:pPr>
              <w:pStyle w:val="TableText"/>
              <w:jc w:val="center"/>
            </w:pPr>
            <w:r w:rsidRPr="002F1795">
              <w:t>M</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11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211</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222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2B2785" w:rsidRPr="002F1795" w:rsidRDefault="002B2785" w:rsidP="006565F1">
            <w:pPr>
              <w:pStyle w:val="TableText"/>
              <w:jc w:val="right"/>
            </w:pPr>
            <w:r w:rsidRPr="002F1795">
              <w:t>21.6667</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2B2785" w:rsidRPr="002F1795" w:rsidRDefault="002B2785" w:rsidP="006565F1">
            <w:pPr>
              <w:pStyle w:val="TableText"/>
              <w:jc w:val="right"/>
            </w:pPr>
            <w:r w:rsidRPr="002F1795">
              <w:t>2.0000</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477</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9,143</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2B2785" w:rsidRPr="002F1795" w:rsidRDefault="002B2785">
            <w:pPr>
              <w:jc w:val="right"/>
              <w:rPr>
                <w:color w:val="000000"/>
                <w:sz w:val="18"/>
                <w:szCs w:val="18"/>
              </w:rPr>
            </w:pPr>
            <w:r w:rsidRPr="002F1795">
              <w:rPr>
                <w:color w:val="000000"/>
                <w:sz w:val="18"/>
                <w:szCs w:val="18"/>
              </w:rPr>
              <w:t>9,620</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11</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8,576</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11,945</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20,521</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59.1500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169,073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235,492</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404,565</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r w:rsidRPr="002F1795">
              <w:rPr>
                <w:vertAlign w:val="superscript"/>
              </w:rPr>
              <w:t>12</w:t>
            </w:r>
            <w:r w:rsidRPr="002F1795">
              <w:t> </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0"/>
              <w:rPr>
                <w:szCs w:val="18"/>
              </w:rPr>
            </w:pPr>
            <w:r w:rsidRPr="002F1795">
              <w:rPr>
                <w:color w:val="000000"/>
                <w:szCs w:val="18"/>
              </w:rPr>
              <w:t>Producers</w:t>
            </w:r>
            <w:r w:rsidRPr="002F1795">
              <w:rPr>
                <w:color w:val="000000"/>
                <w:szCs w:val="18"/>
                <w:vertAlign w:val="superscript"/>
              </w:rPr>
              <w:t>3,5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M</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370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1,129</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1,499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52.0000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19,240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58,708</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77,948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8"/>
              </w:rPr>
            </w:pPr>
            <w:r w:rsidRPr="002F1795">
              <w:rPr>
                <w:color w:val="000000"/>
                <w:szCs w:val="18"/>
              </w:rPr>
              <w:lastRenderedPageBreak/>
              <w:t>Fabricators with burden- Employers</w:t>
            </w:r>
            <w:r w:rsidRPr="002F1795">
              <w:rPr>
                <w:color w:val="000000"/>
                <w:szCs w:val="18"/>
                <w:vertAlign w:val="superscript"/>
              </w:rPr>
              <w:t>4</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2,176</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848</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3,024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520.0000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1,131,520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440,960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1,572,480</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Fabricators with burden - Nonemployers</w:t>
            </w:r>
            <w:r w:rsidRPr="002F1795">
              <w:rPr>
                <w:color w:val="000000"/>
                <w:szCs w:val="18"/>
                <w:vertAlign w:val="superscript"/>
              </w:rPr>
              <w:t>4</w:t>
            </w:r>
          </w:p>
        </w:tc>
        <w:tc>
          <w:tcPr>
            <w:tcW w:w="81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3,054</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1,191</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4,245</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7.2100</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22,019</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8,587</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30,606</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without burden</w:t>
            </w:r>
          </w:p>
        </w:tc>
        <w:tc>
          <w:tcPr>
            <w:tcW w:w="81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42,310</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16,437</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58,747</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burden - Employers</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szCs w:val="18"/>
              </w:rPr>
            </w:pPr>
            <w:r w:rsidRPr="002F1795">
              <w:rPr>
                <w:color w:val="000000"/>
                <w:szCs w:val="18"/>
              </w:rPr>
              <w:t>C</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2,642</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3,680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6,322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195.0000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515,190</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8"/>
              </w:rPr>
            </w:pPr>
            <w:r w:rsidRPr="002F1795">
              <w:rPr>
                <w:color w:val="000000"/>
                <w:szCs w:val="18"/>
              </w:rPr>
              <w:t>717,600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8"/>
              </w:rPr>
            </w:pPr>
            <w:r w:rsidRPr="002F1795">
              <w:rPr>
                <w:color w:val="000000"/>
                <w:szCs w:val="18"/>
              </w:rPr>
              <w:t>1,232,790</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 xml:space="preserve">Wholesalers with burden - </w:t>
            </w:r>
            <w:proofErr w:type="spellStart"/>
            <w:r w:rsidRPr="002F1795">
              <w:rPr>
                <w:color w:val="000000"/>
                <w:szCs w:val="18"/>
              </w:rPr>
              <w:t>Nonemployers</w:t>
            </w:r>
            <w:proofErr w:type="spellEnd"/>
          </w:p>
        </w:tc>
        <w:tc>
          <w:tcPr>
            <w:tcW w:w="81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3,826</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5,331</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9,157</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3.9200</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14,998</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color w:val="000000"/>
                <w:szCs w:val="18"/>
              </w:rPr>
              <w:t>20,898</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color w:val="000000"/>
                <w:szCs w:val="18"/>
              </w:rPr>
              <w:t>35,89</w:t>
            </w:r>
            <w:r w:rsidR="002B2785" w:rsidRPr="002F1795">
              <w:rPr>
                <w:color w:val="000000"/>
                <w:szCs w:val="18"/>
              </w:rPr>
              <w:t>6</w:t>
            </w:r>
          </w:p>
        </w:tc>
      </w:tr>
      <w:tr w:rsidR="00A83DDA" w:rsidRPr="002F1795" w:rsidTr="006565F1">
        <w:trPr>
          <w:trHeight w:val="80"/>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without burden</w:t>
            </w:r>
          </w:p>
        </w:tc>
        <w:tc>
          <w:tcPr>
            <w:tcW w:w="81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47,263</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rFonts w:ascii="Tahoma" w:hAnsi="Tahoma" w:cs="Tahoma"/>
                <w:szCs w:val="18"/>
              </w:rPr>
            </w:pPr>
            <w:r w:rsidRPr="002F1795">
              <w:rPr>
                <w:color w:val="000000"/>
                <w:szCs w:val="18"/>
              </w:rPr>
              <w:t>11,944</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59,207</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80"/>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Retailers</w:t>
            </w:r>
          </w:p>
        </w:tc>
        <w:tc>
          <w:tcPr>
            <w:tcW w:w="810" w:type="dxa"/>
            <w:tcBorders>
              <w:top w:val="nil"/>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rPr>
                <w:szCs w:val="18"/>
              </w:rPr>
            </w:pPr>
            <w:r w:rsidRPr="002F1795">
              <w:rPr>
                <w:color w:val="000000"/>
                <w:szCs w:val="18"/>
              </w:rPr>
              <w:t>C</w:t>
            </w:r>
          </w:p>
        </w:tc>
        <w:tc>
          <w:tcPr>
            <w:tcW w:w="99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658,150</w:t>
            </w:r>
          </w:p>
        </w:tc>
        <w:tc>
          <w:tcPr>
            <w:tcW w:w="108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rFonts w:ascii="Tahoma" w:hAnsi="Tahoma" w:cs="Tahoma"/>
                <w:szCs w:val="18"/>
              </w:rPr>
            </w:pPr>
            <w:r w:rsidRPr="002F1795">
              <w:rPr>
                <w:color w:val="000000"/>
                <w:szCs w:val="18"/>
              </w:rPr>
              <w:t>-</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658,150</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1.0000</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rPr>
                <w:szCs w:val="18"/>
              </w:rPr>
            </w:pPr>
            <w:r w:rsidRPr="002F1795">
              <w:rPr>
                <w:color w:val="000000"/>
                <w:szCs w:val="18"/>
              </w:rPr>
              <w:t>-</w:t>
            </w:r>
          </w:p>
        </w:tc>
        <w:tc>
          <w:tcPr>
            <w:tcW w:w="126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c>
          <w:tcPr>
            <w:tcW w:w="1195" w:type="dxa"/>
            <w:tcBorders>
              <w:top w:val="nil"/>
              <w:left w:val="nil"/>
              <w:bottom w:val="single" w:sz="4" w:space="0" w:color="auto"/>
              <w:right w:val="single" w:sz="8" w:space="0" w:color="auto"/>
            </w:tcBorders>
            <w:shd w:val="clear" w:color="auto" w:fill="FFFFFF" w:themeFill="background1"/>
            <w:noWrap/>
            <w:vAlign w:val="bottom"/>
          </w:tcPr>
          <w:p w:rsidR="00A83DDA" w:rsidRPr="002F1795" w:rsidRDefault="00A83DDA" w:rsidP="006565F1">
            <w:pPr>
              <w:jc w:val="center"/>
            </w:pPr>
            <w:r w:rsidRPr="002F1795">
              <w:rPr>
                <w:color w:val="000000"/>
                <w:szCs w:val="18"/>
              </w:rPr>
              <w:t>-</w:t>
            </w:r>
          </w:p>
        </w:tc>
      </w:tr>
      <w:tr w:rsidR="00A83DDA" w:rsidRPr="002F1795" w:rsidTr="006565F1">
        <w:trPr>
          <w:trHeight w:val="77"/>
          <w:jc w:val="center"/>
        </w:trPr>
        <w:tc>
          <w:tcPr>
            <w:tcW w:w="13190" w:type="dxa"/>
            <w:gridSpan w:val="10"/>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r w:rsidRPr="002F1795">
              <w:rPr>
                <w:vertAlign w:val="superscript"/>
              </w:rPr>
              <w:t>4,13</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Producers</w:t>
            </w:r>
            <w:r w:rsidRPr="002F1795">
              <w:rPr>
                <w:vertAlign w:val="superscript"/>
              </w:rPr>
              <w:t>4,5</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93</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1,021</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1,114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186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2,042</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2,228</w:t>
            </w:r>
          </w:p>
        </w:tc>
      </w:tr>
      <w:tr w:rsidR="00A83DDA" w:rsidRPr="002F1795" w:rsidTr="006565F1">
        <w:trPr>
          <w:trHeight w:val="80"/>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Fabricators</w:t>
            </w:r>
            <w:r w:rsidRPr="002F1795">
              <w:rPr>
                <w:vertAlign w:val="superscript"/>
              </w:rPr>
              <w:t>4</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64,290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24,986</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89,276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64,284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24,984</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2B2785">
            <w:pPr>
              <w:pStyle w:val="TableText"/>
              <w:jc w:val="right"/>
            </w:pPr>
            <w:r w:rsidRPr="002F1795">
              <w:t>89,26</w:t>
            </w:r>
            <w:r w:rsidR="002B2785" w:rsidRPr="002F1795">
              <w:t>8</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Producers</w:t>
            </w:r>
            <w:r w:rsidRPr="002F1795">
              <w:rPr>
                <w:vertAlign w:val="superscript"/>
              </w:rPr>
              <w:t>3</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C</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277</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108</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385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100.0000</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9,232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3,600</w:t>
            </w:r>
          </w:p>
        </w:tc>
        <w:tc>
          <w:tcPr>
            <w:tcW w:w="1195"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12,832</w:t>
            </w:r>
          </w:p>
        </w:tc>
      </w:tr>
      <w:tr w:rsidR="00A83DDA" w:rsidRPr="002F1795" w:rsidTr="006565F1">
        <w:trPr>
          <w:trHeight w:val="77"/>
          <w:jc w:val="center"/>
        </w:trPr>
        <w:tc>
          <w:tcPr>
            <w:tcW w:w="2995"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Fabricators and Wholesalers</w:t>
            </w:r>
            <w:r w:rsidRPr="002F1795">
              <w:rPr>
                <w:vertAlign w:val="superscript"/>
              </w:rPr>
              <w:t>4</w:t>
            </w:r>
          </w:p>
        </w:tc>
        <w:tc>
          <w:tcPr>
            <w:tcW w:w="81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16,266</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6,344</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22,610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0.3333</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100.0000</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542,146</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211,446</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A83DDA" w:rsidRPr="002F1795" w:rsidRDefault="00A83DDA" w:rsidP="002B2785">
            <w:pPr>
              <w:pStyle w:val="TableText"/>
              <w:jc w:val="right"/>
            </w:pPr>
            <w:r w:rsidRPr="002F1795">
              <w:t>753,59</w:t>
            </w:r>
            <w:r w:rsidR="002B2785" w:rsidRPr="002F1795">
              <w:t>2</w:t>
            </w:r>
          </w:p>
        </w:tc>
      </w:tr>
      <w:tr w:rsidR="008B5BB3" w:rsidRPr="002F1795" w:rsidTr="00CD500E">
        <w:trPr>
          <w:trHeight w:val="77"/>
          <w:jc w:val="center"/>
        </w:trPr>
        <w:tc>
          <w:tcPr>
            <w:tcW w:w="9565" w:type="dxa"/>
            <w:gridSpan w:val="7"/>
            <w:tcBorders>
              <w:top w:val="single" w:sz="4" w:space="0" w:color="auto"/>
              <w:left w:val="single" w:sz="8" w:space="0" w:color="auto"/>
              <w:bottom w:val="single" w:sz="4" w:space="0" w:color="auto"/>
              <w:right w:val="single" w:sz="4" w:space="0" w:color="000000"/>
            </w:tcBorders>
            <w:shd w:val="clear" w:color="auto" w:fill="FFFFFF" w:themeFill="background1"/>
            <w:noWrap/>
            <w:vAlign w:val="center"/>
            <w:hideMark/>
          </w:tcPr>
          <w:p w:rsidR="008B5BB3" w:rsidRPr="002F1795" w:rsidRDefault="008B5BB3" w:rsidP="006565F1">
            <w:pPr>
              <w:pStyle w:val="TableText"/>
              <w:jc w:val="center"/>
              <w:rPr>
                <w:b/>
                <w:bCs/>
              </w:rPr>
            </w:pPr>
            <w:r w:rsidRPr="002F1795">
              <w:rPr>
                <w:b/>
                <w:bCs/>
              </w:rPr>
              <w:t>Total - Three Year Average</w:t>
            </w:r>
          </w:p>
        </w:tc>
        <w:tc>
          <w:tcPr>
            <w:tcW w:w="126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3,878,793</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1,916,536</w:t>
            </w:r>
          </w:p>
        </w:tc>
        <w:tc>
          <w:tcPr>
            <w:tcW w:w="1195" w:type="dxa"/>
            <w:tcBorders>
              <w:top w:val="nil"/>
              <w:left w:val="nil"/>
              <w:bottom w:val="single" w:sz="4" w:space="0" w:color="auto"/>
              <w:right w:val="single" w:sz="8" w:space="0" w:color="auto"/>
            </w:tcBorders>
            <w:shd w:val="clear" w:color="auto" w:fill="FFFFFF" w:themeFill="background1"/>
            <w:noWrap/>
            <w:vAlign w:val="center"/>
            <w:hideMark/>
          </w:tcPr>
          <w:p w:rsidR="008B5BB3" w:rsidRPr="002F1795" w:rsidRDefault="008B5BB3">
            <w:pPr>
              <w:jc w:val="right"/>
              <w:rPr>
                <w:b/>
                <w:color w:val="000000"/>
                <w:sz w:val="18"/>
                <w:szCs w:val="18"/>
              </w:rPr>
            </w:pPr>
            <w:r w:rsidRPr="002F1795">
              <w:rPr>
                <w:b/>
                <w:color w:val="000000"/>
                <w:sz w:val="18"/>
                <w:szCs w:val="18"/>
              </w:rPr>
              <w:t>5,795,329</w:t>
            </w:r>
          </w:p>
        </w:tc>
      </w:tr>
      <w:tr w:rsidR="00A83DDA" w:rsidRPr="002F1795" w:rsidTr="006565F1">
        <w:trPr>
          <w:trHeight w:val="270"/>
          <w:jc w:val="center"/>
        </w:trPr>
        <w:tc>
          <w:tcPr>
            <w:tcW w:w="13190"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This column indicates the category of labor associated with the activity.  "M", "T", and "C" stand for managerial, technical, and clerical labor, respectively.</w:t>
            </w:r>
          </w:p>
          <w:p w:rsidR="00A83DDA" w:rsidRPr="002F1795" w:rsidRDefault="00A83DDA" w:rsidP="006565F1">
            <w:pPr>
              <w:pStyle w:val="tablefootnote"/>
              <w:keepLines/>
            </w:pPr>
            <w:r w:rsidRPr="002F1795">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Total excludes the estimated 2 percent of wood veneer laminated product producers expected to continue to use added formaldehyde resins.</w:t>
            </w:r>
          </w:p>
          <w:p w:rsidR="00A83DDA" w:rsidRPr="002F1795" w:rsidRDefault="00A83DDA" w:rsidP="006565F1">
            <w:pPr>
              <w:pStyle w:val="tablefootnote"/>
              <w:keepLines/>
            </w:pPr>
            <w:r w:rsidRPr="002F1795">
              <w:t>5.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6. Producers that are already CARB compliant are not assumed to need to perform correlation testing because it is assumed that their previous testing is sufficient.</w:t>
            </w:r>
          </w:p>
          <w:p w:rsidR="00A83DDA" w:rsidRPr="002F1795" w:rsidRDefault="00A83DDA" w:rsidP="006565F1">
            <w:pPr>
              <w:pStyle w:val="tablefootnote"/>
              <w:keepLines/>
            </w:pPr>
            <w:r w:rsidRPr="002F1795">
              <w:t xml:space="preserve">7. On-site audits must be conducted at least once quarterly, unless the mill obtains </w:t>
            </w:r>
            <w:r w:rsidR="00AD2675"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AD2675" w:rsidRPr="002F1795">
              <w:t xml:space="preserve">ULEF or </w:t>
            </w:r>
            <w:r w:rsidRPr="002F1795">
              <w:t xml:space="preserve">NAF certifications under the CARB ATCM will only incur the initial on-site audit in the first year.  All producers with </w:t>
            </w:r>
            <w:r w:rsidR="00AD2675"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8. Desk audits are assumed to occur monthly</w:t>
            </w:r>
            <w:r w:rsidR="00AD2675"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AD2675" w:rsidRPr="002F1795">
              <w:t xml:space="preserve">ULEF or </w:t>
            </w:r>
            <w:r w:rsidRPr="002F1795">
              <w:t xml:space="preserve">NAF certification.  </w:t>
            </w:r>
          </w:p>
          <w:p w:rsidR="00A83DDA" w:rsidRPr="002F1795" w:rsidRDefault="00A83DDA" w:rsidP="006565F1">
            <w:pPr>
              <w:pStyle w:val="tablefootnote"/>
              <w:keepLines/>
            </w:pPr>
            <w:r w:rsidRPr="002F1795">
              <w:t>9. Although mills are likely to incur some labor burden while learning how to use the small chamber testing unit, it is not estimated in this analysis.</w:t>
            </w:r>
          </w:p>
          <w:p w:rsidR="00A83DDA" w:rsidRPr="002F1795" w:rsidRDefault="00A83DDA" w:rsidP="006565F1">
            <w:pPr>
              <w:pStyle w:val="tablefootnote"/>
              <w:keepLines/>
            </w:pPr>
            <w:r w:rsidRPr="002F1795">
              <w:t>10. This analysis assumes that composite panel producers</w:t>
            </w:r>
            <w:r w:rsidR="00410FAD" w:rsidRPr="002F1795">
              <w:t xml:space="preserve"> with a standard certification or a new NAF certification</w:t>
            </w:r>
            <w:r w:rsidRPr="002F1795">
              <w:t xml:space="preserve"> test each production line once daily.  </w:t>
            </w:r>
            <w:r w:rsidR="00EB4B76" w:rsidRPr="002F1795">
              <w:t>Producers with an existing ULEF or NAF certification will already have been exempted from quality control testing</w:t>
            </w:r>
            <w:r w:rsidRPr="002F1795">
              <w:t>.</w:t>
            </w:r>
          </w:p>
          <w:p w:rsidR="00A83DDA" w:rsidRPr="002F1795" w:rsidRDefault="00A83DDA" w:rsidP="006565F1">
            <w:pPr>
              <w:pStyle w:val="tablefootnote"/>
              <w:keepLines/>
            </w:pPr>
            <w:r w:rsidRPr="002F1795">
              <w:t xml:space="preserve">11.  Recordkeeping is required for composite panel producers (including the estimated two percent of wood veneer laminated product producers defined as hardwood plywood producers), fabricators, and wholesalers that import composite wood products or articles that contain composite wood products.  However, composite panel producers and fabricators are not expected to need to make any initial </w:t>
            </w:r>
            <w:r w:rsidRPr="002F1795">
              <w:lastRenderedPageBreak/>
              <w:t>changes to their recordkeeping systems.  This analysis assumes that 28 percent of domestic wholesalers import composite wood products or articles that contain composite wood products.  In addition, it is assumed that 57 percent of wholesalers are not already complying with the CARB ATCM and will have initial burden to change their recordkeeping systems to comply with the TSCA Title VI rule.</w:t>
            </w:r>
          </w:p>
          <w:p w:rsidR="00A83DDA" w:rsidRPr="002F1795" w:rsidRDefault="00A83DDA" w:rsidP="006565F1">
            <w:pPr>
              <w:pStyle w:val="tablefootnote"/>
              <w:keepLines/>
            </w:pPr>
            <w:r w:rsidRPr="002F1795">
              <w:t xml:space="preserve">12.  While recordkeeping is required for all respondents, not all entities will incur </w:t>
            </w:r>
            <w:r w:rsidR="00AD2675" w:rsidRPr="002F1795">
              <w:t xml:space="preserve">additional </w:t>
            </w:r>
            <w:r w:rsidRPr="002F1795">
              <w:t xml:space="preserve">recordkeeping burden and costs.  This analysis assumes that some fabricators and wholesalers have existing recordkeeping systems that are sufficient to meet the rule's requirements.  Based on responses to EPA’s questionnaires, it is assumed that that 11 percent of fabricators and 43 percent of wholesalers will have recurring recordkeeping costs.  However, the analysis assumes that only 28 percent of domestic wholesalers import composite wood products or articles that contain composite wood products and thus 43% of that 28% incur recurring recordkeeping burden.  The customary business practices of the remaining fabricators, wholesalers, and all retailers are assumed to be generally sufficient to meet the proposed rule’s recordkeeping requirements.  For fabricators and wholesalers with burden, the analysis assumes that there is a fixed-cost component of the recurring recordkeeping costs associated with two hours of labor and a variable cost component that is proportional to a firm’s revenue.  The variable cost factor is estimated by subtracting the fixed cost from the total reported cost and then dividing by the estimated average revenue for affected employer category.  For fabricators, the fixed cost is $49.68, the total reported cost is $12,916.80, and the average revenue is $4,241,245.  For wholesalers, the fixed cost is $51.08, the total reported cost is $4,890.30, and the average revenue is $8,308,417.  The respective variable cost factors are 0.30338 percent and 0.05933 percent of revenue.  The recurring recordkeeping burdens for employer fabricators and wholesalers are 520 and 195 hours per year, respectively.  For </w:t>
            </w:r>
            <w:proofErr w:type="spellStart"/>
            <w:r w:rsidRPr="002F1795">
              <w:t>nonemployers</w:t>
            </w:r>
            <w:proofErr w:type="spellEnd"/>
            <w:r w:rsidRPr="002F1795">
              <w:t xml:space="preserve">, the average recurring recordkeeping burden is estimated as the sum of the burden associated with the fixed cost (2 hours) and the burden associated with the respective variable costs, which are calculated as 0.30338 percent of average </w:t>
            </w:r>
            <w:proofErr w:type="spellStart"/>
            <w:r w:rsidRPr="002F1795">
              <w:t>nonemployer</w:t>
            </w:r>
            <w:proofErr w:type="spellEnd"/>
            <w:r w:rsidRPr="002F1795">
              <w:t xml:space="preserve"> fabricator revenues ($42,690) and  0.05933 percent of average </w:t>
            </w:r>
            <w:proofErr w:type="spellStart"/>
            <w:r w:rsidRPr="002F1795">
              <w:t>nonemployer</w:t>
            </w:r>
            <w:proofErr w:type="spellEnd"/>
            <w:r w:rsidRPr="002F1795">
              <w:t xml:space="preserve"> wholesaler revenues ($82,542).  The resulting average fabricator and wholesaler </w:t>
            </w:r>
            <w:proofErr w:type="spellStart"/>
            <w:r w:rsidRPr="002F1795">
              <w:t>nonemployer</w:t>
            </w:r>
            <w:proofErr w:type="spellEnd"/>
            <w:r w:rsidRPr="002F1795">
              <w:t xml:space="preserve"> recurring recordkeeping burdens are 7.21 and 3.92 hours per year, respectively.</w:t>
            </w:r>
          </w:p>
          <w:p w:rsidR="00A83DDA" w:rsidRPr="002F1795" w:rsidRDefault="00A83DDA" w:rsidP="00AD2675">
            <w:pPr>
              <w:pStyle w:val="tablefootnote"/>
              <w:keepLines/>
              <w:rPr>
                <w:rFonts w:ascii="Tahoma" w:hAnsi="Tahoma" w:cs="Tahoma"/>
                <w:szCs w:val="16"/>
              </w:rPr>
            </w:pPr>
            <w:r w:rsidRPr="002F1795">
              <w:t xml:space="preserve">13.  </w:t>
            </w:r>
            <w:r w:rsidR="00AD2675"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fabricators that are not already complying with the CARB ATCM, and all fabricators that are already complying with the CARB ATCM will incur the cost associated with 3 hours of labor for making small changes to their labels.  The remaining fabricators and one percent of wholesalers are assumed to incur the average cost of the two firms that reported initial labeling costs in the fabricator questionnaire (see the Economic Analysis for more details).</w:t>
            </w:r>
          </w:p>
        </w:tc>
      </w:tr>
    </w:tbl>
    <w:p w:rsidR="00A83DDA" w:rsidRPr="002F1795" w:rsidRDefault="00A83DDA" w:rsidP="00A83DDA">
      <w:pPr>
        <w:numPr>
          <w:ilvl w:val="12"/>
          <w:numId w:val="0"/>
        </w:numPr>
        <w:rPr>
          <w:u w:val="single"/>
        </w:rPr>
      </w:pPr>
    </w:p>
    <w:p w:rsidR="00A83DDA" w:rsidRPr="002F1795" w:rsidRDefault="00A83DDA" w:rsidP="00A83DDA">
      <w:pPr>
        <w:numPr>
          <w:ilvl w:val="12"/>
          <w:numId w:val="0"/>
        </w:numPr>
        <w:rPr>
          <w:u w:val="single"/>
        </w:rPr>
      </w:pPr>
    </w:p>
    <w:p w:rsidR="00A83DDA" w:rsidRPr="002F1795" w:rsidRDefault="00A83DDA" w:rsidP="00A83DDA">
      <w:pPr>
        <w:numPr>
          <w:ilvl w:val="12"/>
          <w:numId w:val="0"/>
        </w:numPr>
        <w:rPr>
          <w:u w:val="single"/>
        </w:rPr>
      </w:pPr>
    </w:p>
    <w:p w:rsidR="00A83DDA" w:rsidRPr="002F1795" w:rsidRDefault="00A83DDA" w:rsidP="00A83DDA">
      <w:pPr>
        <w:numPr>
          <w:ilvl w:val="12"/>
          <w:numId w:val="0"/>
        </w:numPr>
        <w:rPr>
          <w:u w:val="single"/>
        </w:rPr>
      </w:pPr>
    </w:p>
    <w:p w:rsidR="00A83DDA" w:rsidRPr="002F1795" w:rsidRDefault="00A83DDA" w:rsidP="00A83DDA">
      <w:pPr>
        <w:numPr>
          <w:ilvl w:val="12"/>
          <w:numId w:val="0"/>
        </w:numPr>
        <w:ind w:firstLine="720"/>
        <w:rPr>
          <w:u w:val="single"/>
        </w:rPr>
        <w:sectPr w:rsidR="00A83DDA" w:rsidRPr="002F1795" w:rsidSect="00A27A67">
          <w:pgSz w:w="15840" w:h="12240" w:orient="landscape"/>
          <w:pgMar w:top="1440" w:right="1440" w:bottom="1440" w:left="1440" w:header="907" w:footer="850" w:gutter="0"/>
          <w:cols w:space="720"/>
          <w:noEndnote/>
          <w:docGrid w:linePitch="326"/>
        </w:sectPr>
      </w:pPr>
    </w:p>
    <w:p w:rsidR="00A83DDA" w:rsidRPr="002F1795" w:rsidRDefault="00A83DDA" w:rsidP="00A83DDA">
      <w:pPr>
        <w:numPr>
          <w:ilvl w:val="12"/>
          <w:numId w:val="0"/>
        </w:numPr>
        <w:ind w:firstLine="720"/>
      </w:pPr>
    </w:p>
    <w:p w:rsidR="00A83DDA" w:rsidRPr="002F1795" w:rsidRDefault="00A83DDA" w:rsidP="00A83DDA">
      <w:pPr>
        <w:keepNext/>
        <w:numPr>
          <w:ilvl w:val="12"/>
          <w:numId w:val="0"/>
        </w:numPr>
        <w:tabs>
          <w:tab w:val="left" w:pos="720"/>
          <w:tab w:val="left" w:pos="1440"/>
        </w:tabs>
        <w:ind w:left="1440" w:hanging="1440"/>
      </w:pPr>
      <w:r w:rsidRPr="002F1795">
        <w:rPr>
          <w:b/>
          <w:bCs/>
        </w:rPr>
        <w:tab/>
        <w:t>6(b)</w:t>
      </w:r>
      <w:r w:rsidRPr="002F1795">
        <w:rPr>
          <w:b/>
          <w:bCs/>
        </w:rPr>
        <w:tab/>
        <w:t>Estimating Respondent Costs</w:t>
      </w:r>
    </w:p>
    <w:p w:rsidR="00A83DDA" w:rsidRPr="002F1795" w:rsidRDefault="00A83DDA" w:rsidP="00A83DDA">
      <w:pPr>
        <w:keepNext/>
        <w:numPr>
          <w:ilvl w:val="12"/>
          <w:numId w:val="0"/>
        </w:numPr>
      </w:pPr>
      <w:r w:rsidRPr="002F1795">
        <w:tab/>
      </w:r>
    </w:p>
    <w:p w:rsidR="00A83DDA" w:rsidRPr="002F1795" w:rsidRDefault="00A83DDA" w:rsidP="00A83DDA">
      <w:pPr>
        <w:numPr>
          <w:ilvl w:val="12"/>
          <w:numId w:val="0"/>
        </w:numPr>
        <w:ind w:firstLine="720"/>
      </w:pPr>
      <w:r w:rsidRPr="002F1795">
        <w:t xml:space="preserve">Respondent costs are estimated by multiplying burden estimates from the previous section with loaded wage rates, and adding in capital/startup costs and operating and maintenance (O&amp;M) costs.  </w:t>
      </w:r>
    </w:p>
    <w:p w:rsidR="00A83DDA" w:rsidRPr="002F1795" w:rsidRDefault="00A83DDA" w:rsidP="00A83DDA">
      <w:pPr>
        <w:numPr>
          <w:ilvl w:val="12"/>
          <w:numId w:val="0"/>
        </w:numPr>
        <w:ind w:firstLine="720"/>
      </w:pPr>
    </w:p>
    <w:p w:rsidR="00A83DDA" w:rsidRPr="002F1795" w:rsidRDefault="00A83DDA" w:rsidP="00A83DDA">
      <w:pPr>
        <w:numPr>
          <w:ilvl w:val="12"/>
          <w:numId w:val="0"/>
        </w:numPr>
        <w:rPr>
          <w:b/>
        </w:rPr>
      </w:pPr>
      <w:r w:rsidRPr="002F1795">
        <w:rPr>
          <w:b/>
        </w:rPr>
        <w:t>(</w:t>
      </w:r>
      <w:proofErr w:type="spellStart"/>
      <w:r w:rsidRPr="002F1795">
        <w:rPr>
          <w:b/>
        </w:rPr>
        <w:t>i</w:t>
      </w:r>
      <w:proofErr w:type="spellEnd"/>
      <w:r w:rsidRPr="002F1795">
        <w:rPr>
          <w:b/>
        </w:rPr>
        <w:t>) Wage Rates</w:t>
      </w:r>
    </w:p>
    <w:p w:rsidR="00A83DDA" w:rsidRPr="002F1795" w:rsidRDefault="00A83DDA" w:rsidP="00A83DDA">
      <w:pPr>
        <w:numPr>
          <w:ilvl w:val="12"/>
          <w:numId w:val="0"/>
        </w:numPr>
        <w:ind w:firstLine="720"/>
      </w:pPr>
    </w:p>
    <w:p w:rsidR="00A83DDA" w:rsidRPr="002F1795" w:rsidRDefault="00452741" w:rsidP="00A83DDA">
      <w:pPr>
        <w:pStyle w:val="BodyText"/>
        <w:rPr>
          <w:sz w:val="24"/>
        </w:rPr>
      </w:pPr>
      <w:r w:rsidRPr="002F1795">
        <w:rPr>
          <w:sz w:val="24"/>
        </w:rPr>
        <w:tab/>
      </w:r>
      <w:r w:rsidR="00A83DDA" w:rsidRPr="002F1795">
        <w:rPr>
          <w:sz w:val="24"/>
        </w:rPr>
        <w:t xml:space="preserve">The fully loaded unit labor cost for managerial, technical, and clerical labor in the regulated industry and for EPA staff is estimated by adding fringe benefits and overhead costs to the hourly wage or annual salary for each category following the method described in </w:t>
      </w:r>
      <w:r w:rsidR="00A83DDA" w:rsidRPr="002F1795">
        <w:rPr>
          <w:i/>
          <w:iCs/>
          <w:sz w:val="24"/>
        </w:rPr>
        <w:t>Wage Rates for Economic Analysis of the Toxics Release Inventory Program</w:t>
      </w:r>
      <w:r w:rsidR="00A83DDA" w:rsidRPr="002F1795">
        <w:rPr>
          <w:sz w:val="24"/>
        </w:rPr>
        <w:t>.  This section describes the method employed to estimate the fully loaded unit labor costs for each labor category and presents the results of the analysis.</w:t>
      </w:r>
    </w:p>
    <w:p w:rsidR="00A83DDA" w:rsidRPr="002F1795" w:rsidRDefault="00A83DDA" w:rsidP="00A83DDA">
      <w:pPr>
        <w:rPr>
          <w:sz w:val="22"/>
        </w:rPr>
      </w:pPr>
    </w:p>
    <w:p w:rsidR="00A83DDA" w:rsidRPr="002F1795" w:rsidRDefault="00452741" w:rsidP="00A83DDA">
      <w:pPr>
        <w:pStyle w:val="BodyText"/>
        <w:rPr>
          <w:sz w:val="24"/>
        </w:rPr>
      </w:pPr>
      <w:bookmarkStart w:id="16" w:name="OLE_LINK2"/>
      <w:r w:rsidRPr="002F1795">
        <w:rPr>
          <w:sz w:val="24"/>
        </w:rPr>
        <w:tab/>
      </w:r>
      <w:r w:rsidR="00A83DDA" w:rsidRPr="002F1795">
        <w:rPr>
          <w:sz w:val="24"/>
        </w:rPr>
        <w:t xml:space="preserve">Wage data used to calculate the labor costs are from the May 2009 National Industry-Specific Occupational Employment and Wage Estimates estimated as part of the Bureau of Labor </w:t>
      </w:r>
      <w:proofErr w:type="gramStart"/>
      <w:r w:rsidR="00A83DDA" w:rsidRPr="002F1795">
        <w:rPr>
          <w:sz w:val="24"/>
        </w:rPr>
        <w:t>Statistics’(</w:t>
      </w:r>
      <w:proofErr w:type="gramEnd"/>
      <w:r w:rsidR="00A83DDA" w:rsidRPr="002F1795">
        <w:rPr>
          <w:sz w:val="24"/>
        </w:rPr>
        <w:t>BLS’) Occupational Employment Statistics Program (OES).</w:t>
      </w:r>
      <w:r w:rsidR="00A83DDA" w:rsidRPr="002F1795">
        <w:rPr>
          <w:rStyle w:val="FootnoteReference"/>
          <w:sz w:val="24"/>
          <w:vertAlign w:val="superscript"/>
        </w:rPr>
        <w:footnoteReference w:id="21"/>
      </w:r>
      <w:r w:rsidR="00A83DDA" w:rsidRPr="002F1795">
        <w:rPr>
          <w:sz w:val="24"/>
          <w:vertAlign w:val="superscript"/>
        </w:rPr>
        <w:t xml:space="preserve"> </w:t>
      </w:r>
      <w:r w:rsidR="00A83DDA" w:rsidRPr="002F1795">
        <w:rPr>
          <w:sz w:val="24"/>
        </w:rPr>
        <w:t xml:space="preserve"> The values were inflated to 2010 dollars using data from the BLS’ Employer Costs for Employee Compensation (ECEC) for all private industry for 2009 and 2010.</w:t>
      </w:r>
      <w:r w:rsidR="00A83DDA" w:rsidRPr="002F1795">
        <w:rPr>
          <w:rStyle w:val="FootnoteReference"/>
          <w:sz w:val="24"/>
          <w:vertAlign w:val="superscript"/>
        </w:rPr>
        <w:footnoteReference w:id="22"/>
      </w:r>
      <w:r w:rsidR="00A83DDA" w:rsidRPr="002F1795">
        <w:rPr>
          <w:sz w:val="24"/>
          <w:vertAlign w:val="superscript"/>
        </w:rPr>
        <w:t xml:space="preserve"> </w:t>
      </w:r>
      <w:r w:rsidR="00A83DDA" w:rsidRPr="002F1795">
        <w:rPr>
          <w:sz w:val="24"/>
        </w:rPr>
        <w:t xml:space="preserve"> Thus, the analysis uses domestic wage rates to estimate the costs for burden incurred by foreign firms.</w:t>
      </w:r>
    </w:p>
    <w:bookmarkEnd w:id="16"/>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The costs of fringe benefits (i.e., paid leave and insurance) were estimated using the same ECEC data for all private industry in 2010, resulting in a fringe benefit rate of 42 percent.  An additional loading factor of 17 percent is applied to wages to account for overhead.  This overhead loading factor is added to the benefits loading factor, and the total (1.59) is then applied to the base wage to derive the fully loaded wage. </w:t>
      </w:r>
    </w:p>
    <w:p w:rsidR="00A83DDA" w:rsidRPr="002F1795" w:rsidRDefault="00A83DDA" w:rsidP="00A83DDA">
      <w:pPr>
        <w:pStyle w:val="BodyText"/>
        <w:rPr>
          <w:sz w:val="24"/>
        </w:rPr>
      </w:pPr>
    </w:p>
    <w:p w:rsidR="00A83DDA" w:rsidRPr="002F1795" w:rsidRDefault="00452741" w:rsidP="00A83DDA">
      <w:pPr>
        <w:pStyle w:val="BodyText"/>
        <w:rPr>
          <w:sz w:val="24"/>
        </w:rPr>
      </w:pPr>
      <w:r w:rsidRPr="002F1795">
        <w:rPr>
          <w:sz w:val="24"/>
        </w:rPr>
        <w:tab/>
      </w:r>
      <w:r w:rsidR="00A83DDA" w:rsidRPr="002F1795">
        <w:rPr>
          <w:sz w:val="24"/>
        </w:rPr>
        <w:t xml:space="preserve">The derivation of the fully loaded costs for managerial, technical, and clerical labor is presented in </w:t>
      </w:r>
      <w:fldSimple w:instr=" REF _Ref304992641 \h  \* MERGEFORMAT ">
        <w:r w:rsidR="0036394F" w:rsidRPr="0036394F">
          <w:rPr>
            <w:sz w:val="24"/>
          </w:rPr>
          <w:t>Exhibit 6-15</w:t>
        </w:r>
      </w:fldSimple>
      <w:r w:rsidR="00A83DDA" w:rsidRPr="002F1795">
        <w:rPr>
          <w:sz w:val="24"/>
        </w:rPr>
        <w:t xml:space="preserve">.  Note </w:t>
      </w:r>
      <w:proofErr w:type="gramStart"/>
      <w:r w:rsidR="00A83DDA" w:rsidRPr="002F1795">
        <w:rPr>
          <w:sz w:val="24"/>
        </w:rPr>
        <w:t>that</w:t>
      </w:r>
      <w:proofErr w:type="gramEnd"/>
      <w:r w:rsidR="00A83DDA" w:rsidRPr="002F1795">
        <w:rPr>
          <w:sz w:val="24"/>
        </w:rPr>
        <w:t xml:space="preserve"> two types of managerial labor costs are calculated – one for rule familiarization (a general managerial labor rate for wood product manufacturing NAICS) and one for testing and certification (a more specific managerial labor rate for composite panel manufacturing NAICS).</w:t>
      </w:r>
    </w:p>
    <w:p w:rsidR="00A83DDA" w:rsidRPr="002F1795" w:rsidRDefault="00A83DDA" w:rsidP="00A83DDA">
      <w:pPr>
        <w:pStyle w:val="BodyText"/>
        <w:rPr>
          <w:sz w:val="24"/>
        </w:rPr>
      </w:pPr>
    </w:p>
    <w:p w:rsidR="00A83DDA" w:rsidRPr="002F1795" w:rsidRDefault="00A83DDA" w:rsidP="00A83DDA">
      <w:pPr>
        <w:pStyle w:val="TableTitle"/>
        <w:sectPr w:rsidR="00A83DDA" w:rsidRPr="002F1795" w:rsidSect="00A27A67">
          <w:pgSz w:w="12240" w:h="15840"/>
          <w:pgMar w:top="1440" w:right="1440" w:bottom="1440" w:left="1440" w:header="720" w:footer="720" w:gutter="0"/>
          <w:cols w:space="720"/>
          <w:docGrid w:linePitch="326"/>
        </w:sectPr>
      </w:pPr>
    </w:p>
    <w:tbl>
      <w:tblPr>
        <w:tblW w:w="5000" w:type="pct"/>
        <w:jc w:val="center"/>
        <w:tblLook w:val="04A0"/>
      </w:tblPr>
      <w:tblGrid>
        <w:gridCol w:w="1109"/>
        <w:gridCol w:w="2639"/>
        <w:gridCol w:w="1434"/>
        <w:gridCol w:w="3843"/>
        <w:gridCol w:w="975"/>
        <w:gridCol w:w="1669"/>
        <w:gridCol w:w="1507"/>
      </w:tblGrid>
      <w:tr w:rsidR="00A83DDA" w:rsidRPr="002F1795" w:rsidTr="006565F1">
        <w:trPr>
          <w:trHeight w:val="67"/>
          <w:jc w:val="center"/>
        </w:trPr>
        <w:tc>
          <w:tcPr>
            <w:tcW w:w="13176" w:type="dxa"/>
            <w:gridSpan w:val="7"/>
            <w:tcBorders>
              <w:top w:val="single" w:sz="8" w:space="0" w:color="auto"/>
              <w:left w:val="single" w:sz="8" w:space="0" w:color="auto"/>
              <w:bottom w:val="single" w:sz="4" w:space="0" w:color="auto"/>
              <w:right w:val="single" w:sz="4" w:space="0" w:color="auto"/>
            </w:tcBorders>
            <w:shd w:val="pct25" w:color="auto" w:fill="auto"/>
            <w:hideMark/>
          </w:tcPr>
          <w:p w:rsidR="00A83DDA" w:rsidRPr="002F1795" w:rsidRDefault="00A83DDA" w:rsidP="006565F1">
            <w:pPr>
              <w:pStyle w:val="TableTitle"/>
              <w:rPr>
                <w:rFonts w:ascii="Calibri" w:hAnsi="Calibri" w:cs="Calibri"/>
                <w:bCs/>
                <w:color w:val="000000"/>
                <w:sz w:val="22"/>
              </w:rPr>
            </w:pPr>
            <w:bookmarkStart w:id="17" w:name="_Ref304992641"/>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15</w:t>
            </w:r>
            <w:r w:rsidR="0041046E">
              <w:rPr>
                <w:noProof/>
              </w:rPr>
              <w:fldChar w:fldCharType="end"/>
            </w:r>
            <w:bookmarkEnd w:id="17"/>
            <w:r w:rsidRPr="002F1795">
              <w:t>: Derivation of Loaded Industry Wage Rates</w:t>
            </w:r>
          </w:p>
        </w:tc>
      </w:tr>
      <w:tr w:rsidR="00A83DDA" w:rsidRPr="002F1795" w:rsidTr="006565F1">
        <w:trPr>
          <w:trHeight w:val="77"/>
          <w:jc w:val="center"/>
        </w:trPr>
        <w:tc>
          <w:tcPr>
            <w:tcW w:w="1109"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Labor Category</w:t>
            </w:r>
          </w:p>
        </w:tc>
        <w:tc>
          <w:tcPr>
            <w:tcW w:w="2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Entity Type</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Burden Type</w:t>
            </w:r>
          </w:p>
        </w:tc>
        <w:tc>
          <w:tcPr>
            <w:tcW w:w="3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Data Source for Wage Information</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Wage ($2010)</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Fringe and Overhead Factor</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Loaded Wages ($2010)</w:t>
            </w:r>
          </w:p>
        </w:tc>
      </w:tr>
      <w:tr w:rsidR="00A83DDA" w:rsidRPr="002F1795" w:rsidTr="006565F1">
        <w:trPr>
          <w:trHeight w:val="77"/>
          <w:jc w:val="center"/>
        </w:trPr>
        <w:tc>
          <w:tcPr>
            <w:tcW w:w="1109"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2639"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3843"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A83DDA" w:rsidRPr="002F1795" w:rsidRDefault="00A83DDA" w:rsidP="006565F1">
            <w:pPr>
              <w:pStyle w:val="TableSubtitle"/>
            </w:pPr>
            <w:r w:rsidRPr="002F1795">
              <w:t>(a)</w:t>
            </w:r>
          </w:p>
        </w:tc>
        <w:tc>
          <w:tcPr>
            <w:tcW w:w="1669" w:type="dxa"/>
            <w:tcBorders>
              <w:top w:val="single" w:sz="4" w:space="0" w:color="auto"/>
              <w:left w:val="nil"/>
              <w:bottom w:val="single" w:sz="4" w:space="0" w:color="auto"/>
              <w:right w:val="single" w:sz="4" w:space="0" w:color="auto"/>
            </w:tcBorders>
            <w:shd w:val="clear" w:color="auto" w:fill="auto"/>
            <w:noWrap/>
            <w:vAlign w:val="bottom"/>
            <w:hideMark/>
          </w:tcPr>
          <w:p w:rsidR="00A83DDA" w:rsidRPr="002F1795" w:rsidRDefault="00A83DDA" w:rsidP="006565F1">
            <w:pPr>
              <w:pStyle w:val="TableSubtitle"/>
            </w:pPr>
            <w:r w:rsidRPr="002F1795">
              <w:t>(b)</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rsidR="00A83DDA" w:rsidRPr="002F1795" w:rsidRDefault="00A83DDA" w:rsidP="006565F1">
            <w:pPr>
              <w:pStyle w:val="TableSubtitle"/>
            </w:pPr>
            <w:r w:rsidRPr="002F1795">
              <w:t>(c) = (a)*(b)</w:t>
            </w:r>
          </w:p>
        </w:tc>
      </w:tr>
      <w:tr w:rsidR="00A83DDA" w:rsidRPr="002F1795" w:rsidTr="006565F1">
        <w:trPr>
          <w:trHeight w:val="77"/>
          <w:jc w:val="center"/>
        </w:trPr>
        <w:tc>
          <w:tcPr>
            <w:tcW w:w="1109"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Managerial</w:t>
            </w: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Composite Panel Producers</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Rule Familiarization</w:t>
            </w:r>
          </w:p>
        </w:tc>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DDA" w:rsidRPr="002F1795" w:rsidRDefault="00A83DDA" w:rsidP="006565F1">
            <w:pPr>
              <w:pStyle w:val="TableText"/>
            </w:pPr>
            <w:r w:rsidRPr="002F1795">
              <w:t xml:space="preserve">BLS </w:t>
            </w:r>
            <w:r w:rsidRPr="002F1795">
              <w:rPr>
                <w:i/>
                <w:iCs/>
              </w:rPr>
              <w:t>OES</w:t>
            </w:r>
            <w:r w:rsidRPr="002F1795">
              <w:t xml:space="preserve">, Managerial Occupations, NAICS 321000 - Wood Product Manufacturing </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r w:rsidRPr="002F1795">
              <w:t>$46.29</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r w:rsidRPr="002F1795">
              <w:t>1.59</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r w:rsidRPr="002F1795">
              <w:t>$73.60</w:t>
            </w:r>
          </w:p>
        </w:tc>
      </w:tr>
      <w:tr w:rsidR="00A83DDA" w:rsidRPr="002F1795" w:rsidTr="006565F1">
        <w:trPr>
          <w:trHeight w:val="75"/>
          <w:jc w:val="center"/>
        </w:trPr>
        <w:tc>
          <w:tcPr>
            <w:tcW w:w="110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Fabricators</w:t>
            </w:r>
          </w:p>
        </w:tc>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3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9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r>
      <w:tr w:rsidR="00A83DDA" w:rsidRPr="002F1795" w:rsidTr="006565F1">
        <w:trPr>
          <w:trHeight w:val="75"/>
          <w:jc w:val="center"/>
        </w:trPr>
        <w:tc>
          <w:tcPr>
            <w:tcW w:w="1109"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Text"/>
            </w:pP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Wholesalers</w:t>
            </w:r>
          </w:p>
        </w:tc>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3843" w:type="dxa"/>
            <w:tcBorders>
              <w:top w:val="single" w:sz="4" w:space="0" w:color="auto"/>
              <w:left w:val="nil"/>
              <w:bottom w:val="single" w:sz="4" w:space="0" w:color="auto"/>
              <w:right w:val="single" w:sz="4" w:space="0" w:color="auto"/>
            </w:tcBorders>
            <w:shd w:val="clear" w:color="auto" w:fill="auto"/>
            <w:hideMark/>
          </w:tcPr>
          <w:p w:rsidR="00A83DDA" w:rsidRPr="002F1795" w:rsidRDefault="00A83DDA" w:rsidP="006565F1">
            <w:pPr>
              <w:pStyle w:val="TableText"/>
            </w:pPr>
            <w:r w:rsidRPr="002F1795">
              <w:t xml:space="preserve">BLS </w:t>
            </w:r>
            <w:r w:rsidRPr="002F1795">
              <w:rPr>
                <w:i/>
              </w:rPr>
              <w:t>OES</w:t>
            </w:r>
            <w:r w:rsidRPr="002F1795">
              <w:t>, Managerial Occupations, Sector 42 - Wholesale Trade</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center"/>
            </w:pPr>
            <w:r w:rsidRPr="002F1795">
              <w:t>$58.67</w:t>
            </w: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center"/>
            </w:pPr>
            <w:r w:rsidRPr="002F1795">
              <w:t>$93.29</w:t>
            </w:r>
          </w:p>
        </w:tc>
      </w:tr>
      <w:tr w:rsidR="00A83DDA" w:rsidRPr="002F1795" w:rsidTr="006565F1">
        <w:trPr>
          <w:trHeight w:val="79"/>
          <w:jc w:val="center"/>
        </w:trPr>
        <w:tc>
          <w:tcPr>
            <w:tcW w:w="110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Retailers</w:t>
            </w:r>
          </w:p>
        </w:tc>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3843" w:type="dxa"/>
            <w:tcBorders>
              <w:top w:val="single" w:sz="4" w:space="0" w:color="auto"/>
              <w:left w:val="nil"/>
              <w:bottom w:val="single" w:sz="4" w:space="0" w:color="auto"/>
              <w:right w:val="single" w:sz="4" w:space="0" w:color="auto"/>
            </w:tcBorders>
            <w:shd w:val="clear" w:color="auto" w:fill="auto"/>
            <w:hideMark/>
          </w:tcPr>
          <w:p w:rsidR="00A83DDA" w:rsidRPr="002F1795" w:rsidRDefault="00A83DDA" w:rsidP="006565F1">
            <w:pPr>
              <w:pStyle w:val="TableText"/>
            </w:pPr>
            <w:r w:rsidRPr="002F1795">
              <w:t>BLS</w:t>
            </w:r>
            <w:r w:rsidRPr="002F1795">
              <w:rPr>
                <w:i/>
              </w:rPr>
              <w:t xml:space="preserve"> OES</w:t>
            </w:r>
            <w:r w:rsidRPr="002F1795">
              <w:t>, Managerial Occupations, 321200 - Veneer, Plywood, and Engineered Wood Product Manufacturing</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center"/>
            </w:pPr>
            <w:r w:rsidRPr="002F1795">
              <w:t>$44.47</w:t>
            </w: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center"/>
            </w:pPr>
            <w:r w:rsidRPr="002F1795">
              <w:t>$70.71</w:t>
            </w:r>
          </w:p>
        </w:tc>
      </w:tr>
      <w:tr w:rsidR="00A83DDA" w:rsidRPr="002F1795" w:rsidTr="006565F1">
        <w:trPr>
          <w:trHeight w:val="67"/>
          <w:jc w:val="center"/>
        </w:trPr>
        <w:tc>
          <w:tcPr>
            <w:tcW w:w="1109"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Text"/>
            </w:pP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Composite Panel Producers</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r w:rsidRPr="002F1795">
              <w:t xml:space="preserve">Testing and Certification, Recordkeeping </w:t>
            </w:r>
          </w:p>
        </w:tc>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A83DDA" w:rsidRPr="002F1795" w:rsidRDefault="00A83DDA" w:rsidP="006565F1">
            <w:pPr>
              <w:pStyle w:val="TableText"/>
            </w:pPr>
            <w:r w:rsidRPr="002F1795">
              <w:t xml:space="preserve">BLS </w:t>
            </w:r>
            <w:r w:rsidRPr="002F1795">
              <w:rPr>
                <w:i/>
              </w:rPr>
              <w:t>OES</w:t>
            </w:r>
            <w:r w:rsidRPr="002F1795">
              <w:t>, Managerial Occupations, 321200 - Veneer, Plywood, and Engineered Wood Product Manufacturing</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r w:rsidRPr="002F1795">
              <w:t>$44.88</w:t>
            </w: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r w:rsidRPr="002F1795">
              <w:t>$71.36</w:t>
            </w:r>
          </w:p>
        </w:tc>
      </w:tr>
      <w:tr w:rsidR="00A83DDA" w:rsidRPr="002F1795" w:rsidTr="006565F1">
        <w:trPr>
          <w:trHeight w:val="67"/>
          <w:jc w:val="center"/>
        </w:trPr>
        <w:tc>
          <w:tcPr>
            <w:tcW w:w="11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A83DDA" w:rsidRPr="002F1795" w:rsidRDefault="00A83DDA" w:rsidP="006565F1">
            <w:pPr>
              <w:pStyle w:val="TableText"/>
            </w:pPr>
            <w:r w:rsidRPr="002F1795">
              <w:t>Technical</w:t>
            </w:r>
          </w:p>
        </w:tc>
        <w:tc>
          <w:tcPr>
            <w:tcW w:w="2639" w:type="dxa"/>
            <w:tcBorders>
              <w:top w:val="single" w:sz="4" w:space="0" w:color="auto"/>
              <w:left w:val="nil"/>
              <w:bottom w:val="single" w:sz="4" w:space="0" w:color="auto"/>
              <w:right w:val="single" w:sz="4" w:space="0" w:color="auto"/>
            </w:tcBorders>
            <w:shd w:val="clear" w:color="auto" w:fill="auto"/>
            <w:noWrap/>
            <w:vAlign w:val="center"/>
          </w:tcPr>
          <w:p w:rsidR="00A83DDA" w:rsidRPr="002F1795" w:rsidRDefault="00A83DDA" w:rsidP="006565F1">
            <w:pPr>
              <w:pStyle w:val="TableText"/>
            </w:pPr>
            <w:r w:rsidRPr="002F1795">
              <w:t>Fabricators / Wholesalers</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DDA" w:rsidRPr="002F1795" w:rsidRDefault="00A83DDA" w:rsidP="006565F1">
            <w:pPr>
              <w:pStyle w:val="TableText"/>
            </w:pPr>
            <w:r w:rsidRPr="002F1795">
              <w:t>Labeling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rsidR="00A83DDA" w:rsidRPr="002F1795" w:rsidRDefault="00A83DDA" w:rsidP="006565F1">
            <w:pPr>
              <w:pStyle w:val="TableText"/>
            </w:pPr>
            <w:r w:rsidRPr="002F1795">
              <w:t xml:space="preserve">BLS </w:t>
            </w:r>
            <w:r w:rsidRPr="002F1795">
              <w:rPr>
                <w:i/>
              </w:rPr>
              <w:t>OES</w:t>
            </w:r>
            <w:r w:rsidRPr="002F1795">
              <w:t>, Computer and Mathematical Science Occupations, 321200 - Veneer, Plywood, and Engineered Wood Product Manufacturing</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A83DDA" w:rsidRPr="002F1795" w:rsidRDefault="00A83DDA" w:rsidP="006565F1">
            <w:pPr>
              <w:pStyle w:val="TableText"/>
              <w:jc w:val="center"/>
            </w:pPr>
            <w:r w:rsidRPr="002F1795">
              <w:t>$27.84</w:t>
            </w: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83DDA" w:rsidRPr="002F1795" w:rsidRDefault="00A83DDA" w:rsidP="006565F1">
            <w:pPr>
              <w:pStyle w:val="TableText"/>
              <w:jc w:val="center"/>
            </w:pP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A83DDA" w:rsidRPr="002F1795" w:rsidRDefault="00A83DDA" w:rsidP="006565F1">
            <w:pPr>
              <w:pStyle w:val="TableText"/>
              <w:jc w:val="center"/>
            </w:pPr>
            <w:r w:rsidRPr="002F1795">
              <w:t>$44.27</w:t>
            </w:r>
          </w:p>
        </w:tc>
      </w:tr>
      <w:tr w:rsidR="00A83DDA" w:rsidRPr="002F1795" w:rsidTr="006565F1">
        <w:trPr>
          <w:trHeight w:val="67"/>
          <w:jc w:val="center"/>
        </w:trPr>
        <w:tc>
          <w:tcPr>
            <w:tcW w:w="1109"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Clerical</w:t>
            </w: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Composite Panel Producers</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Recordkeeping for Fabricators and Wholesalers / Labeling for Producers</w:t>
            </w:r>
          </w:p>
        </w:tc>
        <w:tc>
          <w:tcPr>
            <w:tcW w:w="3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3DDA" w:rsidRPr="002F1795" w:rsidRDefault="00A83DDA" w:rsidP="006565F1">
            <w:pPr>
              <w:pStyle w:val="TableText"/>
            </w:pPr>
            <w:r w:rsidRPr="002F1795">
              <w:t xml:space="preserve">BLS </w:t>
            </w:r>
            <w:r w:rsidRPr="002F1795">
              <w:rPr>
                <w:i/>
              </w:rPr>
              <w:t>OES</w:t>
            </w:r>
            <w:r w:rsidRPr="002F1795">
              <w:t xml:space="preserve">, Office and Administrative Support Occupations, NAICS 321000 - Wood Product Manufacturing </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r w:rsidRPr="002F1795">
              <w:t>$15.62</w:t>
            </w: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r w:rsidRPr="002F1795">
              <w:t>$24.84</w:t>
            </w:r>
          </w:p>
        </w:tc>
      </w:tr>
      <w:tr w:rsidR="00A83DDA" w:rsidRPr="002F1795" w:rsidTr="006565F1">
        <w:trPr>
          <w:trHeight w:val="67"/>
          <w:jc w:val="center"/>
        </w:trPr>
        <w:tc>
          <w:tcPr>
            <w:tcW w:w="110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Fabricators</w:t>
            </w:r>
          </w:p>
        </w:tc>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3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9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5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r>
      <w:tr w:rsidR="00A83DDA" w:rsidRPr="002F1795" w:rsidTr="006565F1">
        <w:trPr>
          <w:trHeight w:val="67"/>
          <w:jc w:val="center"/>
        </w:trPr>
        <w:tc>
          <w:tcPr>
            <w:tcW w:w="1109" w:type="dxa"/>
            <w:vMerge/>
            <w:tcBorders>
              <w:top w:val="single" w:sz="4" w:space="0" w:color="auto"/>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2639"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pPr>
            <w:r w:rsidRPr="002F1795">
              <w:t>Wholesalers</w:t>
            </w:r>
          </w:p>
        </w:tc>
        <w:tc>
          <w:tcPr>
            <w:tcW w:w="14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pPr>
          </w:p>
        </w:tc>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A83DDA" w:rsidRPr="002F1795" w:rsidRDefault="00A83DDA" w:rsidP="006565F1">
            <w:pPr>
              <w:pStyle w:val="TableText"/>
            </w:pPr>
            <w:r w:rsidRPr="002F1795">
              <w:t xml:space="preserve">BLS </w:t>
            </w:r>
            <w:r w:rsidRPr="002F1795">
              <w:rPr>
                <w:i/>
              </w:rPr>
              <w:t>OES</w:t>
            </w:r>
            <w:r w:rsidRPr="002F1795">
              <w:t>, Office and Administrative Support Occupations, Sector 42 - Wholesale Trade</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center"/>
            </w:pPr>
            <w:r w:rsidRPr="002F1795">
              <w:t>$16.06</w:t>
            </w: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Text"/>
              <w:jc w:val="center"/>
            </w:pPr>
          </w:p>
        </w:tc>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Text"/>
              <w:jc w:val="center"/>
            </w:pPr>
            <w:r w:rsidRPr="002F1795">
              <w:t>$25.54</w:t>
            </w:r>
          </w:p>
        </w:tc>
      </w:tr>
    </w:tbl>
    <w:p w:rsidR="00A83DDA" w:rsidRPr="002F1795" w:rsidRDefault="00A83DDA" w:rsidP="00A83DDA">
      <w:pPr>
        <w:pStyle w:val="BodyText"/>
        <w:rPr>
          <w:sz w:val="24"/>
        </w:rPr>
        <w:sectPr w:rsidR="00A83DDA" w:rsidRPr="002F1795" w:rsidSect="00A27A67">
          <w:pgSz w:w="15840" w:h="12240" w:orient="landscape"/>
          <w:pgMar w:top="1440" w:right="1440" w:bottom="1440" w:left="1440" w:header="720" w:footer="720" w:gutter="0"/>
          <w:cols w:space="720"/>
        </w:sectPr>
      </w:pPr>
    </w:p>
    <w:p w:rsidR="00A83DDA" w:rsidRPr="002F1795" w:rsidRDefault="00A83DDA" w:rsidP="00A83DDA">
      <w:pPr>
        <w:pStyle w:val="TableTitle"/>
        <w:rPr>
          <w:rFonts w:ascii="Times New Roman" w:hAnsi="Times New Roman" w:cs="Times New Roman"/>
          <w:u w:val="single"/>
        </w:rPr>
      </w:pPr>
      <w:bookmarkStart w:id="18" w:name="OLE_LINK4"/>
      <w:bookmarkEnd w:id="18"/>
      <w:r w:rsidRPr="002F1795">
        <w:rPr>
          <w:rFonts w:ascii="Times New Roman" w:hAnsi="Times New Roman" w:cs="Times New Roman"/>
          <w:sz w:val="24"/>
        </w:rPr>
        <w:lastRenderedPageBreak/>
        <w:t xml:space="preserve">(ii) Costs </w:t>
      </w:r>
      <w:proofErr w:type="gramStart"/>
      <w:r w:rsidRPr="002F1795">
        <w:rPr>
          <w:rFonts w:ascii="Times New Roman" w:hAnsi="Times New Roman" w:cs="Times New Roman"/>
          <w:sz w:val="24"/>
        </w:rPr>
        <w:t>Per</w:t>
      </w:r>
      <w:proofErr w:type="gramEnd"/>
      <w:r w:rsidRPr="002F1795">
        <w:rPr>
          <w:rFonts w:ascii="Times New Roman" w:hAnsi="Times New Roman" w:cs="Times New Roman"/>
          <w:sz w:val="24"/>
        </w:rPr>
        <w:t xml:space="preserve"> Respondent</w:t>
      </w:r>
    </w:p>
    <w:p w:rsidR="00A83DDA" w:rsidRPr="002F1795" w:rsidRDefault="00A83DDA" w:rsidP="00A83DDA"/>
    <w:p w:rsidR="00A83DDA" w:rsidRPr="002F1795" w:rsidRDefault="00452741" w:rsidP="00A83DDA">
      <w:pPr>
        <w:pStyle w:val="BodyText"/>
        <w:rPr>
          <w:sz w:val="24"/>
        </w:rPr>
      </w:pPr>
      <w:r w:rsidRPr="002F1795">
        <w:rPr>
          <w:sz w:val="24"/>
        </w:rPr>
        <w:tab/>
      </w:r>
      <w:r w:rsidR="00A83DDA" w:rsidRPr="002F1795">
        <w:rPr>
          <w:sz w:val="24"/>
        </w:rPr>
        <w:t xml:space="preserve">This section describes the recordkeeping and reporting costs for each respondent activity as a result of the proposed TSCA Title VI Rule.  The total cost is comprised of labor costs, capital/start-up costs, and operating and maintenance (O&amp;M) costs.  The latter two costs are classified as non-labor costs in this analysis.  Labor costs are presented first since they are based directly on the labor burden and the loaded wage rates summarized above.  Costs are broken out such that each unique combination of (1) the number of responses per respondent and (2) per-response costs is classified as a separate activity. </w:t>
      </w:r>
    </w:p>
    <w:p w:rsidR="00A83DDA" w:rsidRPr="002F1795" w:rsidRDefault="00A83DDA" w:rsidP="00A83DDA">
      <w:pPr>
        <w:pStyle w:val="BodyText"/>
        <w:rPr>
          <w:sz w:val="24"/>
        </w:rPr>
      </w:pPr>
    </w:p>
    <w:p w:rsidR="00A83DDA" w:rsidRPr="002F1795" w:rsidRDefault="00A83DDA" w:rsidP="00A83DDA">
      <w:pPr>
        <w:numPr>
          <w:ilvl w:val="12"/>
          <w:numId w:val="0"/>
        </w:numPr>
        <w:rPr>
          <w:b/>
          <w:i/>
        </w:rPr>
      </w:pPr>
      <w:r w:rsidRPr="002F1795">
        <w:rPr>
          <w:b/>
          <w:i/>
        </w:rPr>
        <w:t>Labor Costs</w:t>
      </w:r>
    </w:p>
    <w:p w:rsidR="00A83DDA" w:rsidRPr="002F1795" w:rsidRDefault="00A83DDA" w:rsidP="00A83DDA">
      <w:pPr>
        <w:numPr>
          <w:ilvl w:val="12"/>
          <w:numId w:val="0"/>
        </w:numPr>
      </w:pPr>
    </w:p>
    <w:p w:rsidR="00A83DDA" w:rsidRPr="002F1795" w:rsidRDefault="0041046E" w:rsidP="00A83DDA">
      <w:pPr>
        <w:numPr>
          <w:ilvl w:val="12"/>
          <w:numId w:val="0"/>
        </w:numPr>
        <w:ind w:firstLine="720"/>
      </w:pPr>
      <w:fldSimple w:instr=" REF _Ref309299045 \h  \* MERGEFORMAT ">
        <w:r w:rsidR="0036394F" w:rsidRPr="002F1795">
          <w:t>Exhibit 6-</w:t>
        </w:r>
        <w:r w:rsidR="0036394F">
          <w:t>16</w:t>
        </w:r>
      </w:fldSimple>
      <w:r w:rsidR="00A83DDA" w:rsidRPr="002F1795">
        <w:t xml:space="preserve"> and </w:t>
      </w:r>
      <w:fldSimple w:instr=" REF _Ref309299047 \h  \* MERGEFORMAT ">
        <w:r w:rsidR="0036394F" w:rsidRPr="002F1795">
          <w:t>Exhibit 6-</w:t>
        </w:r>
        <w:r w:rsidR="0036394F">
          <w:t>17</w:t>
        </w:r>
      </w:fldSimple>
      <w:r w:rsidR="00A83DDA" w:rsidRPr="002F1795">
        <w:t xml:space="preserve"> summarize the total per-activity recordkeeping and reporting labor costs for all respondents over the first year, and second and third years of the rule, respectively.  </w:t>
      </w:r>
      <w:fldSimple w:instr=" REF _Ref309299049 \h  \* MERGEFORMAT ">
        <w:r w:rsidR="0036394F" w:rsidRPr="002F1795">
          <w:t>Exhibit 6-</w:t>
        </w:r>
        <w:r w:rsidR="0036394F">
          <w:t>18</w:t>
        </w:r>
      </w:fldSimple>
      <w:r w:rsidR="00A83DDA" w:rsidRPr="002F1795">
        <w:t xml:space="preserve"> presents the average labor costs over the first three years of the rule, by activity.  </w:t>
      </w:r>
      <w:fldSimple w:instr=" REF _Ref309299050 \h  \* MERGEFORMAT ">
        <w:r w:rsidR="0036394F" w:rsidRPr="002F1795">
          <w:t>Exhibit 6-</w:t>
        </w:r>
        <w:r w:rsidR="0036394F">
          <w:t>19</w:t>
        </w:r>
      </w:fldSimple>
      <w:r w:rsidR="00A83DDA" w:rsidRPr="002F1795">
        <w:t xml:space="preserve"> through </w:t>
      </w:r>
      <w:fldSimple w:instr=" REF _Ref309299054 \h  \* MERGEFORMAT ">
        <w:r w:rsidR="0036394F" w:rsidRPr="002F1795">
          <w:t>Exhibit 6-</w:t>
        </w:r>
        <w:r w:rsidR="0036394F">
          <w:t>21</w:t>
        </w:r>
      </w:fldSimple>
      <w:r w:rsidR="00A83DDA" w:rsidRPr="002F1795">
        <w:t xml:space="preserve"> present the same information as the previous three tables, except for the incremental labor costs.  These labor costs were estimated by multiplying the labor burdens summarized in </w:t>
      </w:r>
      <w:fldSimple w:instr=" REF _Ref309214737 \h  \* MERGEFORMAT ">
        <w:r w:rsidR="0036394F" w:rsidRPr="002F1795">
          <w:t>Exhibit 6-</w:t>
        </w:r>
        <w:r w:rsidR="0036394F">
          <w:t>9</w:t>
        </w:r>
      </w:fldSimple>
      <w:r w:rsidR="00A83DDA" w:rsidRPr="002F1795">
        <w:t xml:space="preserve"> through </w:t>
      </w:r>
      <w:fldSimple w:instr=" REF _Ref309214747 \h  \* MERGEFORMAT ">
        <w:r w:rsidR="0036394F" w:rsidRPr="002F1795">
          <w:t>Exhibit 6-</w:t>
        </w:r>
        <w:r w:rsidR="0036394F">
          <w:t>14</w:t>
        </w:r>
      </w:fldSimple>
      <w:r w:rsidR="00A83DDA" w:rsidRPr="002F1795">
        <w:t xml:space="preserve"> by the loaded wage rates presented in </w:t>
      </w:r>
      <w:fldSimple w:instr=" REF _Ref304992641 \h  \* MERGEFORMAT ">
        <w:r w:rsidR="0036394F" w:rsidRPr="002F1795">
          <w:t>Exhibit 6-</w:t>
        </w:r>
        <w:r w:rsidR="0036394F">
          <w:t>15</w:t>
        </w:r>
      </w:fldSimple>
      <w:r w:rsidR="00A83DDA" w:rsidRPr="002F1795">
        <w:t>.  As indicated, the estimated average annual total labor cost over the first three years of the rule is approximately $</w:t>
      </w:r>
      <w:r w:rsidR="00FD5E1C" w:rsidRPr="002F1795">
        <w:t>307</w:t>
      </w:r>
      <w:r w:rsidR="00A83DDA" w:rsidRPr="002F1795">
        <w:t xml:space="preserve"> million, while the incremental labor costs are $</w:t>
      </w:r>
      <w:r w:rsidR="00FD5E1C" w:rsidRPr="002F1795">
        <w:t>242</w:t>
      </w:r>
      <w:r w:rsidR="00A83DDA" w:rsidRPr="002F1795">
        <w:t xml:space="preserve"> million.  The domestic labor cost accounts for approximately </w:t>
      </w:r>
      <w:r w:rsidR="00FD5E1C" w:rsidRPr="002F1795">
        <w:t>67 percent ($205</w:t>
      </w:r>
      <w:r w:rsidR="00A83DDA" w:rsidRPr="002F1795">
        <w:t xml:space="preserve"> million) and </w:t>
      </w:r>
      <w:r w:rsidR="00FD5E1C" w:rsidRPr="002F1795">
        <w:t>73 percent ($176</w:t>
      </w:r>
      <w:r w:rsidR="00A83DDA" w:rsidRPr="002F1795">
        <w:t xml:space="preserve"> million) of these totals, respectively. </w:t>
      </w:r>
    </w:p>
    <w:p w:rsidR="00A83DDA" w:rsidRPr="002F1795" w:rsidRDefault="00A83DDA" w:rsidP="00A83DDA">
      <w:pPr>
        <w:adjustRightInd/>
        <w:rPr>
          <w:b/>
          <w:bCs/>
          <w:color w:val="000000"/>
        </w:rPr>
        <w:sectPr w:rsidR="00A83DDA" w:rsidRPr="002F1795" w:rsidSect="00A27A67">
          <w:pgSz w:w="12240" w:h="15840"/>
          <w:pgMar w:top="1440" w:right="1440" w:bottom="1440" w:left="1440" w:header="720" w:footer="720" w:gutter="0"/>
          <w:cols w:space="720"/>
          <w:docGrid w:linePitch="360"/>
        </w:sectPr>
      </w:pPr>
    </w:p>
    <w:tbl>
      <w:tblPr>
        <w:tblW w:w="5000" w:type="pct"/>
        <w:jc w:val="center"/>
        <w:tblLayout w:type="fixed"/>
        <w:tblCellMar>
          <w:left w:w="14" w:type="dxa"/>
          <w:right w:w="14" w:type="dxa"/>
        </w:tblCellMar>
        <w:tblLook w:val="04A0"/>
      </w:tblPr>
      <w:tblGrid>
        <w:gridCol w:w="2970"/>
        <w:gridCol w:w="1135"/>
        <w:gridCol w:w="1051"/>
        <w:gridCol w:w="1188"/>
        <w:gridCol w:w="1005"/>
        <w:gridCol w:w="1116"/>
        <w:gridCol w:w="1096"/>
        <w:gridCol w:w="1051"/>
        <w:gridCol w:w="1188"/>
        <w:gridCol w:w="1188"/>
      </w:tblGrid>
      <w:tr w:rsidR="00A83DDA" w:rsidRPr="002F1795" w:rsidTr="006565F1">
        <w:trPr>
          <w:trHeight w:val="67"/>
          <w:tblHeader/>
          <w:jc w:val="center"/>
        </w:trPr>
        <w:tc>
          <w:tcPr>
            <w:tcW w:w="12988"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keepLines/>
            </w:pPr>
            <w:bookmarkStart w:id="19" w:name="_Ref309299045"/>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16</w:t>
            </w:r>
            <w:r w:rsidR="0041046E">
              <w:rPr>
                <w:noProof/>
              </w:rPr>
              <w:fldChar w:fldCharType="end"/>
            </w:r>
            <w:bookmarkEnd w:id="19"/>
            <w:r w:rsidRPr="002F1795">
              <w:t>: Total (including baseline) First Year Labor Costs, by Activity and Geographic Location ($2010)</w:t>
            </w:r>
          </w:p>
        </w:tc>
      </w:tr>
      <w:tr w:rsidR="00A83DDA" w:rsidRPr="002F1795" w:rsidTr="006565F1">
        <w:trPr>
          <w:trHeight w:val="77"/>
          <w:tblHeader/>
          <w:jc w:val="center"/>
        </w:trPr>
        <w:tc>
          <w:tcPr>
            <w:tcW w:w="2970"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37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Domestic</w:t>
            </w:r>
          </w:p>
        </w:tc>
        <w:tc>
          <w:tcPr>
            <w:tcW w:w="321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Foreign</w:t>
            </w:r>
          </w:p>
        </w:tc>
        <w:tc>
          <w:tcPr>
            <w:tcW w:w="3427"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A83DDA" w:rsidRPr="002F1795" w:rsidRDefault="00A83DDA" w:rsidP="006565F1">
            <w:pPr>
              <w:pStyle w:val="TableSubtitle"/>
            </w:pPr>
            <w:r w:rsidRPr="002F1795">
              <w:t>Total</w:t>
            </w:r>
          </w:p>
        </w:tc>
      </w:tr>
      <w:tr w:rsidR="00A83DDA" w:rsidRPr="002F1795" w:rsidTr="006565F1">
        <w:trPr>
          <w:trHeight w:val="77"/>
          <w:tblHeader/>
          <w:jc w:val="center"/>
        </w:trPr>
        <w:tc>
          <w:tcPr>
            <w:tcW w:w="2970"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13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051"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88"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00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1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09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051"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88"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88"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Managerial</w:t>
            </w:r>
          </w:p>
        </w:tc>
      </w:tr>
      <w:tr w:rsidR="00A83DDA" w:rsidRPr="002F1795" w:rsidTr="006565F1">
        <w:trPr>
          <w:trHeight w:val="77"/>
          <w:jc w:val="center"/>
        </w:trPr>
        <w:tc>
          <w:tcPr>
            <w:tcW w:w="12988" w:type="dxa"/>
            <w:gridSpan w:val="10"/>
            <w:tcBorders>
              <w:top w:val="nil"/>
              <w:left w:val="single" w:sz="8" w:space="0" w:color="auto"/>
              <w:bottom w:val="single" w:sz="4" w:space="0" w:color="auto"/>
              <w:right w:val="single" w:sz="8" w:space="0" w:color="auto"/>
            </w:tcBorders>
            <w:shd w:val="clear" w:color="000000" w:fill="FFFFFF"/>
            <w:noWrap/>
            <w:hideMark/>
          </w:tcPr>
          <w:p w:rsidR="00A83DDA" w:rsidRPr="002F1795" w:rsidRDefault="00A83DDA" w:rsidP="006565F1">
            <w:pPr>
              <w:pStyle w:val="TableText"/>
            </w:pPr>
            <w:r w:rsidRPr="002F1795">
              <w:t>1. Rule Familiarization</w:t>
            </w:r>
          </w:p>
        </w:tc>
      </w:tr>
      <w:tr w:rsidR="00A83DDA" w:rsidRPr="002F1795" w:rsidTr="006565F1">
        <w:trPr>
          <w:trHeight w:val="77"/>
          <w:jc w:val="center"/>
        </w:trPr>
        <w:tc>
          <w:tcPr>
            <w:tcW w:w="2970"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ind w:left="172"/>
            </w:pPr>
            <w:r w:rsidRPr="002F1795">
              <w:t>Producers</w:t>
            </w:r>
            <w:r w:rsidRPr="002F1795">
              <w:rPr>
                <w:vertAlign w:val="superscript"/>
              </w:rPr>
              <w:t>1</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right"/>
            </w:pPr>
            <w:r w:rsidRPr="002F1795">
              <w:t>$108,928</w:t>
            </w:r>
          </w:p>
        </w:tc>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096"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right"/>
            </w:pPr>
            <w:r w:rsidRPr="002F1795">
              <w:t>$332,378</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nil"/>
              <w:left w:val="nil"/>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right"/>
            </w:pPr>
            <w:r w:rsidRPr="002F1795">
              <w:t>$441,306</w:t>
            </w:r>
          </w:p>
        </w:tc>
      </w:tr>
      <w:tr w:rsidR="00A83DDA" w:rsidRPr="002F1795" w:rsidTr="006565F1">
        <w:trPr>
          <w:trHeight w:val="77"/>
          <w:jc w:val="center"/>
        </w:trPr>
        <w:tc>
          <w:tcPr>
            <w:tcW w:w="2970"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ind w:left="172"/>
            </w:pPr>
            <w:r w:rsidRPr="002F1795">
              <w:t>Fabricators</w:t>
            </w:r>
            <w:r w:rsidRPr="002F1795">
              <w:rPr>
                <w:vertAlign w:val="superscript"/>
              </w:rPr>
              <w:t>1</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right"/>
            </w:pPr>
            <w:r w:rsidRPr="002F1795">
              <w:t>$23,463,974</w:t>
            </w:r>
          </w:p>
        </w:tc>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096"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right"/>
            </w:pPr>
            <w:r w:rsidRPr="002F1795">
              <w:t>$9,150,835</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88" w:type="dxa"/>
            <w:tcBorders>
              <w:top w:val="nil"/>
              <w:left w:val="nil"/>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right"/>
            </w:pPr>
            <w:r w:rsidRPr="002F1795">
              <w:t>$32,614,810</w:t>
            </w:r>
          </w:p>
        </w:tc>
      </w:tr>
      <w:tr w:rsidR="00A83DDA" w:rsidRPr="002F1795" w:rsidTr="006565F1">
        <w:trPr>
          <w:trHeight w:val="77"/>
          <w:jc w:val="center"/>
        </w:trPr>
        <w:tc>
          <w:tcPr>
            <w:tcW w:w="2970"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ind w:left="172"/>
            </w:pPr>
            <w:r w:rsidRPr="002F1795">
              <w:t>Wholesalers</w:t>
            </w:r>
            <w:r w:rsidRPr="002F1795">
              <w:rPr>
                <w:vertAlign w:val="superscript"/>
              </w:rPr>
              <w:t>2</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right"/>
            </w:pPr>
            <w:r w:rsidRPr="002F1795">
              <w:t>$31,927,570</w:t>
            </w:r>
          </w:p>
        </w:tc>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96"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right"/>
            </w:pPr>
            <w:r w:rsidRPr="002F1795">
              <w:t>$12,451,603</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nil"/>
              <w:left w:val="nil"/>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right"/>
            </w:pPr>
            <w:r w:rsidRPr="002F1795">
              <w:t>$44,379,172</w:t>
            </w:r>
          </w:p>
        </w:tc>
      </w:tr>
      <w:tr w:rsidR="00A83DDA" w:rsidRPr="002F1795" w:rsidTr="006565F1">
        <w:trPr>
          <w:trHeight w:val="77"/>
          <w:jc w:val="center"/>
        </w:trPr>
        <w:tc>
          <w:tcPr>
            <w:tcW w:w="2970"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ind w:left="172"/>
            </w:pPr>
            <w:r w:rsidRPr="002F1795">
              <w:t>Retailers</w:t>
            </w:r>
            <w:r w:rsidRPr="002F1795">
              <w:rPr>
                <w:vertAlign w:val="superscript"/>
              </w:rPr>
              <w:t>3</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right"/>
            </w:pPr>
            <w:r w:rsidRPr="002F1795">
              <w:t>$214,689,136</w:t>
            </w:r>
          </w:p>
        </w:tc>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96" w:type="dxa"/>
            <w:tcBorders>
              <w:top w:val="nil"/>
              <w:left w:val="nil"/>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88" w:type="dxa"/>
            <w:tcBorders>
              <w:top w:val="nil"/>
              <w:left w:val="nil"/>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right"/>
            </w:pPr>
            <w:r w:rsidRPr="002F1795">
              <w:t>$214,689,136</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w:t>
            </w:r>
            <w:r w:rsidRPr="002F1795">
              <w:rPr>
                <w:vertAlign w:val="superscript"/>
              </w:rPr>
              <w:t>4</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With Existing Certifications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$23,406</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$218,076</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rPr>
                <w:rFonts w:ascii="Tahoma" w:hAnsi="Tahoma" w:cs="Tahoma"/>
                <w:szCs w:val="16"/>
              </w:rPr>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$241,482</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Without Existing Certifications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$164,413</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$208,371</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$372,785</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$822,067</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$1,041,856</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$1,863,923</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6. Qualifying Test Shipment</w:t>
            </w:r>
            <w:r w:rsidRPr="002F1795">
              <w:rPr>
                <w:vertAlign w:val="superscript"/>
              </w:rPr>
              <w:t>4</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1 Product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$214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$2,284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$2,498 </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2 Products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$10,276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$13,059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3987" w:rsidRPr="002F1795" w:rsidRDefault="00133987"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$23,335 </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7. Correlation Test</w:t>
            </w:r>
            <w:r w:rsidRPr="002F1795">
              <w:rPr>
                <w:vertAlign w:val="superscript"/>
              </w:rPr>
              <w:t>4</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1 Product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$3,568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$45,670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$49,238 </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2 Products</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$411,034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$520,928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$931,962 </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4</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Standard</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$280,873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$512,936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$793,809 </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NAF (With New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$3,140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right"/>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$60,228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$63,368 </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4</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Standard</w:t>
            </w:r>
            <w:r w:rsidR="00C7107E" w:rsidRPr="002F1795">
              <w:t>/ULEF</w:t>
            </w:r>
            <w:r w:rsidRPr="002F1795">
              <w:t xml:space="preserve">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$36,964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$83,277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$120,242 </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NAF (With New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$428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$7,564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$7,992 </w:t>
            </w:r>
          </w:p>
        </w:tc>
      </w:tr>
      <w:tr w:rsidR="00347DB8"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347DB8" w:rsidRPr="002F1795" w:rsidRDefault="00C7107E" w:rsidP="00347DB8">
            <w:pPr>
              <w:pStyle w:val="TableText"/>
              <w:ind w:left="180"/>
            </w:pPr>
            <w:r w:rsidRPr="002F1795">
              <w:t>NAF</w:t>
            </w:r>
            <w:r w:rsidR="00347DB8" w:rsidRPr="002F1795">
              <w:t xml:space="preserve"> (With Existing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center"/>
              <w:rPr>
                <w:color w:val="000000"/>
                <w:sz w:val="18"/>
                <w:szCs w:val="18"/>
              </w:rPr>
            </w:pPr>
            <w:r w:rsidRPr="002F1795">
              <w:rPr>
                <w:color w:val="000000"/>
                <w:sz w:val="18"/>
                <w:szCs w:val="18"/>
              </w:rPr>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center"/>
              <w:rPr>
                <w:color w:val="000000"/>
                <w:sz w:val="18"/>
                <w:szCs w:val="18"/>
              </w:rPr>
            </w:pPr>
            <w:r w:rsidRPr="002F1795">
              <w:rPr>
                <w:color w:val="000000"/>
                <w:sz w:val="18"/>
                <w:szCs w:val="18"/>
              </w:rPr>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right"/>
              <w:rPr>
                <w:color w:val="000000"/>
                <w:sz w:val="18"/>
                <w:szCs w:val="18"/>
              </w:rPr>
            </w:pPr>
            <w:r w:rsidRPr="002F1795">
              <w:rPr>
                <w:color w:val="000000"/>
                <w:sz w:val="18"/>
                <w:szCs w:val="18"/>
              </w:rPr>
              <w:t xml:space="preserve">$500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center"/>
              <w:rPr>
                <w:color w:val="000000"/>
                <w:sz w:val="18"/>
                <w:szCs w:val="18"/>
              </w:rPr>
            </w:pPr>
            <w:r w:rsidRPr="002F1795">
              <w:rPr>
                <w:color w:val="000000"/>
                <w:sz w:val="18"/>
                <w:szCs w:val="18"/>
              </w:rPr>
              <w:t> </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center"/>
              <w:rPr>
                <w:color w:val="000000"/>
                <w:sz w:val="18"/>
                <w:szCs w:val="18"/>
              </w:rPr>
            </w:pPr>
            <w:r w:rsidRPr="002F1795">
              <w:rPr>
                <w:color w:val="000000"/>
                <w:sz w:val="18"/>
                <w:szCs w:val="18"/>
              </w:rPr>
              <w:t> </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right"/>
              <w:rPr>
                <w:color w:val="000000"/>
                <w:sz w:val="18"/>
                <w:szCs w:val="18"/>
              </w:rPr>
            </w:pPr>
            <w:r w:rsidRPr="002F1795">
              <w:rPr>
                <w:color w:val="000000"/>
                <w:sz w:val="18"/>
                <w:szCs w:val="18"/>
              </w:rPr>
              <w:t xml:space="preserve">$4,995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center"/>
              <w:rPr>
                <w:color w:val="000000"/>
                <w:sz w:val="18"/>
                <w:szCs w:val="18"/>
              </w:rPr>
            </w:pPr>
            <w:r w:rsidRPr="002F1795">
              <w:rPr>
                <w:color w:val="000000"/>
                <w:sz w:val="18"/>
                <w:szCs w:val="18"/>
              </w:rPr>
              <w:t> </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47DB8" w:rsidRPr="002F1795" w:rsidRDefault="00347DB8">
            <w:pPr>
              <w:jc w:val="center"/>
              <w:rPr>
                <w:color w:val="000000"/>
                <w:sz w:val="18"/>
                <w:szCs w:val="18"/>
              </w:rPr>
            </w:pPr>
            <w:r w:rsidRPr="002F1795">
              <w:rPr>
                <w:color w:val="000000"/>
                <w:sz w:val="18"/>
                <w:szCs w:val="18"/>
              </w:rPr>
              <w:t> </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347DB8" w:rsidRPr="002F1795" w:rsidRDefault="00347DB8">
            <w:pPr>
              <w:jc w:val="right"/>
              <w:rPr>
                <w:color w:val="000000"/>
                <w:sz w:val="18"/>
                <w:szCs w:val="18"/>
              </w:rPr>
            </w:pPr>
            <w:r w:rsidRPr="002F1795">
              <w:rPr>
                <w:color w:val="000000"/>
                <w:sz w:val="18"/>
                <w:szCs w:val="18"/>
              </w:rPr>
              <w:t xml:space="preserve">$5,495 </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r w:rsidRPr="002F1795">
              <w:rPr>
                <w:vertAlign w:val="superscript"/>
              </w:rPr>
              <w:t>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4</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Standard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$187,249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rPr>
                <w:rFonts w:ascii="Tahoma" w:hAnsi="Tahoma" w:cs="Tahoma"/>
                <w:szCs w:val="16"/>
              </w:rP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$341,957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$529,206 </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NAF (With New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$1,570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$30,114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$31,684 </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jc w:val="center"/>
            </w:pPr>
            <w:r w:rsidRPr="002F1795">
              <w:t>-</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4</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Standard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$12,171,162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$22,227,213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33987" w:rsidRPr="002F1795" w:rsidRDefault="00133987" w:rsidP="006565F1">
            <w:pPr>
              <w:jc w:val="cente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$34,398,374 </w:t>
            </w:r>
          </w:p>
        </w:tc>
      </w:tr>
      <w:tr w:rsidR="00133987" w:rsidRPr="002F1795" w:rsidTr="00133987">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ind w:left="172"/>
            </w:pPr>
            <w:r w:rsidRPr="002F1795">
              <w:t>New NAF Certification</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$102,045 </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33987" w:rsidRPr="002F1795" w:rsidRDefault="00133987" w:rsidP="006565F1">
            <w:pPr>
              <w:pStyle w:val="TableText"/>
              <w:jc w:val="center"/>
            </w:pPr>
            <w:r w:rsidRPr="002F1795">
              <w:t>-</w:t>
            </w:r>
          </w:p>
        </w:tc>
        <w:tc>
          <w:tcPr>
            <w:tcW w:w="10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$1,957,405 </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33987" w:rsidRPr="002F1795" w:rsidRDefault="00133987" w:rsidP="006565F1">
            <w:pPr>
              <w:pStyle w:val="TableText"/>
              <w:jc w:val="center"/>
              <w:rPr>
                <w:rFonts w:ascii="Tahoma" w:hAnsi="Tahoma" w:cs="Tahoma"/>
                <w:szCs w:val="16"/>
              </w:rPr>
            </w:pPr>
            <w:r w:rsidRPr="002F1795">
              <w:t>-</w:t>
            </w:r>
          </w:p>
        </w:tc>
        <w:tc>
          <w:tcPr>
            <w:tcW w:w="118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33987" w:rsidRPr="002F1795" w:rsidRDefault="00133987">
            <w:pPr>
              <w:jc w:val="right"/>
              <w:rPr>
                <w:color w:val="000000"/>
                <w:sz w:val="18"/>
                <w:szCs w:val="18"/>
              </w:rPr>
            </w:pPr>
            <w:r w:rsidRPr="002F1795">
              <w:rPr>
                <w:color w:val="000000"/>
                <w:sz w:val="18"/>
                <w:szCs w:val="18"/>
              </w:rPr>
              <w:t xml:space="preserve">$2,059,450 </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5</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$12,955,676</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$18,045,210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$31,000,886</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p>
        </w:tc>
      </w:tr>
      <w:tr w:rsidR="00A83DDA" w:rsidRPr="002F1795" w:rsidTr="006565F1">
        <w:trPr>
          <w:trHeight w:val="64"/>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rPr>
                <w:szCs w:val="18"/>
              </w:rPr>
            </w:pPr>
            <w:r w:rsidRPr="002F1795">
              <w:rPr>
                <w:color w:val="000000"/>
                <w:szCs w:val="18"/>
              </w:rPr>
              <w:t>Producers</w:t>
            </w:r>
            <w:r w:rsidRPr="002F1795">
              <w:rPr>
                <w:color w:val="000000"/>
                <w:szCs w:val="18"/>
                <w:vertAlign w:val="superscript"/>
              </w:rPr>
              <w:t>4</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$1,372,966</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$4,189,403</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$5,562,369</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8"/>
              </w:rPr>
            </w:pPr>
            <w:r w:rsidRPr="002F1795">
              <w:rPr>
                <w:color w:val="000000"/>
                <w:szCs w:val="18"/>
              </w:rPr>
              <w:t>Fabricators with  costs - Employers</w:t>
            </w:r>
            <w:r w:rsidRPr="002F1795">
              <w:rPr>
                <w:color w:val="000000"/>
                <w:szCs w:val="18"/>
                <w:vertAlign w:val="superscript"/>
              </w:rPr>
              <w:t>6</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$46,887,984</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8"/>
              </w:rPr>
            </w:pPr>
            <w:r w:rsidRPr="002F1795">
              <w:rPr>
                <w:color w:val="000000"/>
                <w:szCs w:val="18"/>
              </w:rPr>
              <w:t>$18,367,690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8"/>
              </w:rPr>
            </w:pPr>
            <w:r w:rsidRPr="002F1795">
              <w:rPr>
                <w:color w:val="000000"/>
                <w:szCs w:val="18"/>
              </w:rPr>
              <w:t>$65,255,674</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lastRenderedPageBreak/>
              <w:t>Fabricators with costs - Nonemployers</w:t>
            </w:r>
            <w:r w:rsidRPr="002F1795">
              <w:rPr>
                <w:color w:val="000000"/>
                <w:szCs w:val="18"/>
                <w:vertAlign w:val="superscript"/>
              </w:rPr>
              <w:t>6</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$920,024</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$357,646</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$1,277,670</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without costs</w:t>
            </w:r>
          </w:p>
        </w:tc>
        <w:tc>
          <w:tcPr>
            <w:tcW w:w="1135"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costs - Employers</w:t>
            </w:r>
            <w:r w:rsidRPr="002F1795">
              <w:rPr>
                <w:color w:val="000000"/>
                <w:szCs w:val="18"/>
                <w:vertAlign w:val="superscript"/>
              </w:rPr>
              <w:t>5</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$20,957,102</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$29,189,538</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szCs w:val="18"/>
              </w:rPr>
            </w:pPr>
            <w:r w:rsidRPr="002F1795">
              <w:rPr>
                <w:color w:val="000000"/>
                <w:szCs w:val="18"/>
              </w:rPr>
              <w:t>$50,146,641</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 costs - Nonemployers</w:t>
            </w:r>
            <w:r w:rsidRPr="002F1795">
              <w:rPr>
                <w:color w:val="000000"/>
                <w:szCs w:val="18"/>
                <w:vertAlign w:val="superscript"/>
              </w:rPr>
              <w:t>5</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$610,100</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$849,690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right"/>
              <w:rPr>
                <w:szCs w:val="18"/>
              </w:rPr>
            </w:pPr>
            <w:r w:rsidRPr="002F1795">
              <w:rPr>
                <w:color w:val="000000"/>
                <w:szCs w:val="18"/>
              </w:rPr>
              <w:t>$1,459,815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without costs</w:t>
            </w:r>
          </w:p>
        </w:tc>
        <w:tc>
          <w:tcPr>
            <w:tcW w:w="1135"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Retailers</w:t>
            </w:r>
          </w:p>
        </w:tc>
        <w:tc>
          <w:tcPr>
            <w:tcW w:w="1135"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05"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A83DDA" w:rsidRPr="002F1795" w:rsidRDefault="00A83DDA" w:rsidP="006565F1">
            <w:pPr>
              <w:jc w:val="center"/>
            </w:pPr>
            <w:r w:rsidRPr="002F1795">
              <w:t>-</w:t>
            </w:r>
          </w:p>
        </w:tc>
      </w:tr>
      <w:tr w:rsidR="00A83DDA" w:rsidRPr="002F1795" w:rsidTr="006565F1">
        <w:trPr>
          <w:trHeight w:val="77"/>
          <w:jc w:val="center"/>
        </w:trPr>
        <w:tc>
          <w:tcPr>
            <w:tcW w:w="1298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Producers</w:t>
            </w:r>
            <w:r w:rsidRPr="002F1795">
              <w:rPr>
                <w:vertAlign w:val="superscript"/>
              </w:rPr>
              <w:t>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6"/>
              </w:rPr>
            </w:pPr>
            <w:r w:rsidRPr="002F1795">
              <w:t>$13,861</w:t>
            </w:r>
          </w:p>
        </w:tc>
        <w:tc>
          <w:tcPr>
            <w:tcW w:w="1051" w:type="dxa"/>
            <w:tcBorders>
              <w:top w:val="single" w:sz="4" w:space="0" w:color="auto"/>
              <w:left w:val="nil"/>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6"/>
              </w:rPr>
            </w:pPr>
            <w:r w:rsidRPr="002F1795">
              <w:t>$152,170</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$166,031</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Fabricators</w:t>
            </w:r>
            <w:r w:rsidRPr="002F1795">
              <w:rPr>
                <w:vertAlign w:val="superscript"/>
              </w:rPr>
              <w:t>7</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$8,538,355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rFonts w:ascii="Tahoma" w:hAnsi="Tahoma" w:cs="Tahoma"/>
                <w:szCs w:val="16"/>
              </w:rP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$3,318,391</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$11,856,746</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6"/>
              </w:rP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Producers</w:t>
            </w:r>
            <w:r w:rsidRPr="002F1795">
              <w:rPr>
                <w:vertAlign w:val="superscript"/>
              </w:rPr>
              <w:t>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6"/>
              </w:rPr>
            </w:pPr>
            <w:r w:rsidRPr="002F1795">
              <w:t>$688,068</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rPr>
                <w:rFonts w:ascii="Tahoma" w:hAnsi="Tahoma" w:cs="Tahoma"/>
                <w:szCs w:val="16"/>
              </w:rPr>
            </w:pPr>
            <w:r w:rsidRPr="002F1795">
              <w:t>$268,272</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$956,340</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jc w:val="center"/>
            </w:pPr>
            <w:r w:rsidRPr="002F1795">
              <w:t>-</w:t>
            </w:r>
          </w:p>
        </w:tc>
      </w:tr>
      <w:tr w:rsidR="00A83DDA" w:rsidRPr="002F1795" w:rsidTr="006565F1">
        <w:trPr>
          <w:trHeight w:val="77"/>
          <w:jc w:val="center"/>
        </w:trPr>
        <w:tc>
          <w:tcPr>
            <w:tcW w:w="297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Fabricators and Wholesalers</w:t>
            </w:r>
            <w:r w:rsidRPr="002F1795">
              <w:rPr>
                <w:vertAlign w:val="superscript"/>
              </w:rPr>
              <w:t>7</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6"/>
              </w:rPr>
            </w:pPr>
            <w:r w:rsidRPr="002F1795">
              <w:t>-</w:t>
            </w:r>
          </w:p>
        </w:tc>
        <w:tc>
          <w:tcPr>
            <w:tcW w:w="10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$72,009,582</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$28,084,888</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$100,094,470</w:t>
            </w:r>
          </w:p>
        </w:tc>
        <w:tc>
          <w:tcPr>
            <w:tcW w:w="118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rPr>
                <w:rFonts w:ascii="Tahoma" w:hAnsi="Tahoma" w:cs="Tahoma"/>
                <w:szCs w:val="16"/>
              </w:rPr>
            </w:pPr>
            <w:r w:rsidRPr="002F1795">
              <w:t>-</w:t>
            </w:r>
          </w:p>
        </w:tc>
      </w:tr>
      <w:tr w:rsidR="008F4904" w:rsidRPr="002F1795" w:rsidTr="00133987">
        <w:trPr>
          <w:trHeight w:val="64"/>
          <w:jc w:val="center"/>
        </w:trPr>
        <w:tc>
          <w:tcPr>
            <w:tcW w:w="2970" w:type="dxa"/>
            <w:tcBorders>
              <w:top w:val="nil"/>
              <w:left w:val="single" w:sz="8" w:space="0" w:color="auto"/>
              <w:bottom w:val="single" w:sz="4" w:space="0" w:color="auto"/>
              <w:right w:val="single" w:sz="4" w:space="0" w:color="auto"/>
            </w:tcBorders>
            <w:shd w:val="clear" w:color="000000" w:fill="FFFFFF"/>
            <w:noWrap/>
            <w:hideMark/>
          </w:tcPr>
          <w:p w:rsidR="008F4904" w:rsidRPr="002F1795" w:rsidRDefault="008F4904" w:rsidP="006565F1">
            <w:pPr>
              <w:pStyle w:val="TableText"/>
              <w:rPr>
                <w:b/>
                <w:bCs/>
              </w:rPr>
            </w:pPr>
            <w:r w:rsidRPr="002F1795">
              <w:rPr>
                <w:b/>
                <w:bCs/>
              </w:rPr>
              <w:t>Total - Year 1</w:t>
            </w:r>
          </w:p>
        </w:tc>
        <w:tc>
          <w:tcPr>
            <w:tcW w:w="1135"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$84,405,781 </w:t>
            </w:r>
          </w:p>
        </w:tc>
        <w:tc>
          <w:tcPr>
            <w:tcW w:w="1051"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$80,547,937 </w:t>
            </w:r>
          </w:p>
        </w:tc>
        <w:tc>
          <w:tcPr>
            <w:tcW w:w="1188"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$284,408,517 </w:t>
            </w:r>
          </w:p>
        </w:tc>
        <w:tc>
          <w:tcPr>
            <w:tcW w:w="1005"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$71,419,619 </w:t>
            </w:r>
          </w:p>
        </w:tc>
        <w:tc>
          <w:tcPr>
            <w:tcW w:w="1116"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$31,403,279 </w:t>
            </w:r>
          </w:p>
        </w:tc>
        <w:tc>
          <w:tcPr>
            <w:tcW w:w="1096"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$49,210,749 </w:t>
            </w:r>
          </w:p>
        </w:tc>
        <w:tc>
          <w:tcPr>
            <w:tcW w:w="1051"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$155,825,426 </w:t>
            </w:r>
          </w:p>
        </w:tc>
        <w:tc>
          <w:tcPr>
            <w:tcW w:w="1188" w:type="dxa"/>
            <w:tcBorders>
              <w:top w:val="nil"/>
              <w:left w:val="nil"/>
              <w:bottom w:val="single" w:sz="4" w:space="0" w:color="auto"/>
              <w:right w:val="single" w:sz="4"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$111,951,216 </w:t>
            </w:r>
          </w:p>
        </w:tc>
        <w:tc>
          <w:tcPr>
            <w:tcW w:w="1188" w:type="dxa"/>
            <w:tcBorders>
              <w:top w:val="nil"/>
              <w:left w:val="nil"/>
              <w:bottom w:val="single" w:sz="4" w:space="0" w:color="auto"/>
              <w:right w:val="single" w:sz="8" w:space="0" w:color="auto"/>
            </w:tcBorders>
            <w:shd w:val="clear" w:color="000000" w:fill="FFFFFF"/>
            <w:noWrap/>
            <w:vAlign w:val="center"/>
            <w:hideMark/>
          </w:tcPr>
          <w:p w:rsidR="008F4904" w:rsidRPr="002F1795" w:rsidRDefault="008F4904">
            <w:pPr>
              <w:jc w:val="right"/>
              <w:rPr>
                <w:b/>
                <w:bCs/>
                <w:color w:val="000000"/>
                <w:sz w:val="18"/>
                <w:szCs w:val="18"/>
              </w:rPr>
            </w:pPr>
            <w:r w:rsidRPr="002F1795">
              <w:rPr>
                <w:b/>
                <w:bCs/>
                <w:color w:val="000000"/>
                <w:sz w:val="18"/>
                <w:szCs w:val="18"/>
              </w:rPr>
              <w:t xml:space="preserve">$333,619,267 </w:t>
            </w:r>
          </w:p>
        </w:tc>
      </w:tr>
      <w:tr w:rsidR="00A83DDA" w:rsidRPr="002F1795" w:rsidTr="006565F1">
        <w:trPr>
          <w:trHeight w:val="1034"/>
          <w:jc w:val="center"/>
        </w:trPr>
        <w:tc>
          <w:tcPr>
            <w:tcW w:w="12988"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pPr>
            <w:r w:rsidRPr="002F1795">
              <w:t>Notes: 1. The analysis uses a loaded wage rate of $73.60 for rule familiarization for composite panel producers and fabricators.</w:t>
            </w:r>
          </w:p>
          <w:p w:rsidR="00A83DDA" w:rsidRPr="002F1795" w:rsidRDefault="00A83DDA" w:rsidP="006565F1">
            <w:pPr>
              <w:pStyle w:val="tablefootnote"/>
            </w:pPr>
            <w:r w:rsidRPr="002F1795">
              <w:t>2. The analysis uses a loaded wage rate of $93.29 for rule familiarization for wholesalers.</w:t>
            </w:r>
          </w:p>
          <w:p w:rsidR="00A83DDA" w:rsidRPr="002F1795" w:rsidRDefault="00A83DDA" w:rsidP="006565F1">
            <w:pPr>
              <w:pStyle w:val="tablefootnote"/>
            </w:pPr>
            <w:r w:rsidRPr="002F1795">
              <w:t>3. The analysis uses a loaded wage rate of $70.71 for rule familiarization for retailers.</w:t>
            </w:r>
          </w:p>
          <w:p w:rsidR="00A83DDA" w:rsidRPr="002F1795" w:rsidRDefault="00A83DDA" w:rsidP="006565F1">
            <w:pPr>
              <w:pStyle w:val="tablefootnote"/>
            </w:pPr>
            <w:r w:rsidRPr="002F1795">
              <w:t>4. The analysis uses a loaded wage rate of $71.36 for testing and certification and recordkeeping for composite panel producers.</w:t>
            </w:r>
          </w:p>
          <w:p w:rsidR="00A83DDA" w:rsidRPr="002F1795" w:rsidRDefault="00A83DDA" w:rsidP="006565F1">
            <w:pPr>
              <w:pStyle w:val="tablefootnote"/>
            </w:pPr>
            <w:r w:rsidRPr="002F1795">
              <w:t>5. The analysis uses a loaded wage rate of $25.54 for recordkeeping for wholesalers.</w:t>
            </w:r>
          </w:p>
          <w:p w:rsidR="00A83DDA" w:rsidRPr="002F1795" w:rsidRDefault="00A83DDA" w:rsidP="006565F1">
            <w:pPr>
              <w:pStyle w:val="tablefootnote"/>
            </w:pPr>
            <w:r w:rsidRPr="002F1795">
              <w:t>6. The analysis uses a loaded wage rate of $24.84 for recordkeeping for fabricators, and labeling for producers.</w:t>
            </w:r>
          </w:p>
          <w:p w:rsidR="00A83DDA" w:rsidRPr="002F1795" w:rsidRDefault="00A83DDA" w:rsidP="006565F1">
            <w:pPr>
              <w:pStyle w:val="tablefootnote"/>
            </w:pPr>
            <w:r w:rsidRPr="002F1795">
              <w:t>7. The analysis uses a loaded wage rate of $44.27 for labeling for fabricators and wholesalers.</w:t>
            </w:r>
          </w:p>
        </w:tc>
      </w:tr>
    </w:tbl>
    <w:p w:rsidR="00A83DDA" w:rsidRPr="002F1795" w:rsidRDefault="00A83DDA" w:rsidP="00A83DDA">
      <w:pPr>
        <w:numPr>
          <w:ilvl w:val="12"/>
          <w:numId w:val="0"/>
        </w:numPr>
        <w:rPr>
          <w:u w:val="single"/>
        </w:rPr>
      </w:pPr>
    </w:p>
    <w:tbl>
      <w:tblPr>
        <w:tblW w:w="5000" w:type="pct"/>
        <w:jc w:val="center"/>
        <w:tblLayout w:type="fixed"/>
        <w:tblCellMar>
          <w:left w:w="115" w:type="dxa"/>
          <w:right w:w="115" w:type="dxa"/>
        </w:tblCellMar>
        <w:tblLook w:val="04A0"/>
      </w:tblPr>
      <w:tblGrid>
        <w:gridCol w:w="2910"/>
        <w:gridCol w:w="1251"/>
        <w:gridCol w:w="1000"/>
        <w:gridCol w:w="1170"/>
        <w:gridCol w:w="1194"/>
        <w:gridCol w:w="1000"/>
        <w:gridCol w:w="1182"/>
        <w:gridCol w:w="1260"/>
        <w:gridCol w:w="1015"/>
        <w:gridCol w:w="1208"/>
      </w:tblGrid>
      <w:tr w:rsidR="00A83DDA" w:rsidRPr="002F1795" w:rsidTr="006565F1">
        <w:trPr>
          <w:trHeight w:val="70"/>
          <w:tblHeader/>
          <w:jc w:val="center"/>
        </w:trPr>
        <w:tc>
          <w:tcPr>
            <w:tcW w:w="13190"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keepLines/>
            </w:pPr>
            <w:bookmarkStart w:id="20" w:name="_Ref309299047"/>
            <w:r w:rsidRPr="002F1795">
              <w:lastRenderedPageBreak/>
              <w:t>Exhibit 6-</w:t>
            </w:r>
            <w:r w:rsidR="0041046E" w:rsidRPr="002F1795">
              <w:fldChar w:fldCharType="begin"/>
            </w:r>
            <w:r w:rsidR="00EE0D8C" w:rsidRPr="002F1795">
              <w:instrText xml:space="preserve"> SEQ Exhibit_6- \* ARABIC </w:instrText>
            </w:r>
            <w:r w:rsidR="0041046E" w:rsidRPr="002F1795">
              <w:fldChar w:fldCharType="separate"/>
            </w:r>
            <w:r w:rsidR="0036394F">
              <w:rPr>
                <w:noProof/>
              </w:rPr>
              <w:t>17</w:t>
            </w:r>
            <w:r w:rsidR="0041046E" w:rsidRPr="002F1795">
              <w:fldChar w:fldCharType="end"/>
            </w:r>
            <w:bookmarkEnd w:id="20"/>
            <w:r w:rsidRPr="002F1795">
              <w:t>: Total (including baseline) Second and Third Year Costs, by Activity and Geographic Location ($2010)</w:t>
            </w:r>
          </w:p>
        </w:tc>
      </w:tr>
      <w:tr w:rsidR="00A83DDA" w:rsidRPr="002F1795" w:rsidTr="006565F1">
        <w:trPr>
          <w:trHeight w:val="300"/>
          <w:tblHeader/>
          <w:jc w:val="center"/>
        </w:trPr>
        <w:tc>
          <w:tcPr>
            <w:tcW w:w="2910"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4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Domestic</w:t>
            </w:r>
          </w:p>
        </w:tc>
        <w:tc>
          <w:tcPr>
            <w:tcW w:w="337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Foreign</w:t>
            </w:r>
          </w:p>
        </w:tc>
        <w:tc>
          <w:tcPr>
            <w:tcW w:w="3483"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A83DDA" w:rsidRPr="002F1795" w:rsidRDefault="00A83DDA" w:rsidP="006565F1">
            <w:pPr>
              <w:pStyle w:val="TableSubtitle"/>
            </w:pPr>
            <w:r w:rsidRPr="002F1795">
              <w:t>Total</w:t>
            </w:r>
          </w:p>
        </w:tc>
      </w:tr>
      <w:tr w:rsidR="00A83DDA" w:rsidRPr="002F1795" w:rsidTr="006565F1">
        <w:trPr>
          <w:trHeight w:val="255"/>
          <w:tblHeader/>
          <w:jc w:val="center"/>
        </w:trPr>
        <w:tc>
          <w:tcPr>
            <w:tcW w:w="2910"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51"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00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7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194"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00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8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26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01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208"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Managerial</w:t>
            </w:r>
          </w:p>
        </w:tc>
      </w:tr>
      <w:tr w:rsidR="00A83DDA" w:rsidRPr="002F1795" w:rsidTr="006565F1">
        <w:trPr>
          <w:trHeight w:val="215"/>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 </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Producers</w:t>
            </w:r>
            <w:r w:rsidRPr="002F1795">
              <w:rPr>
                <w:vertAlign w:val="superscript"/>
              </w:rPr>
              <w:t>1</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Fabricators</w:t>
            </w:r>
            <w:r w:rsidRPr="002F1795">
              <w:rPr>
                <w:vertAlign w:val="superscript"/>
              </w:rPr>
              <w:t>1</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Wholesalers</w:t>
            </w:r>
            <w:r w:rsidRPr="002F1795">
              <w:rPr>
                <w:vertAlign w:val="superscript"/>
              </w:rPr>
              <w:t>2</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Retailers</w:t>
            </w:r>
            <w:r w:rsidRPr="002F1795">
              <w:rPr>
                <w:vertAlign w:val="superscript"/>
              </w:rPr>
              <w:t>3</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w:t>
            </w:r>
            <w:r w:rsidRPr="002F1795">
              <w:rPr>
                <w:vertAlign w:val="superscript"/>
              </w:rPr>
              <w:t>4</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t>With Existing Certifications</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t>Without Existing Certifications</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w:t>
            </w:r>
            <w:r w:rsidRPr="002F1795">
              <w:rPr>
                <w:vertAlign w:val="superscript"/>
              </w:rPr>
              <w:t>7</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t>1 Product</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t>2 Products</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4</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t>1 Product</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t>2 Products</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4</w:t>
            </w:r>
          </w:p>
        </w:tc>
      </w:tr>
      <w:tr w:rsidR="007D5261" w:rsidRPr="002F1795" w:rsidTr="007D526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D5261" w:rsidRPr="002F1795" w:rsidRDefault="007D5261" w:rsidP="006565F1">
            <w:pPr>
              <w:pStyle w:val="TableText"/>
              <w:ind w:left="191"/>
            </w:pPr>
            <w:r w:rsidRPr="002F1795">
              <w:t>Standard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$374,497</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$683,914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$1,058,412</w:t>
            </w:r>
          </w:p>
        </w:tc>
      </w:tr>
      <w:tr w:rsidR="007D5261" w:rsidRPr="002F1795" w:rsidTr="007D526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D5261" w:rsidRPr="002F1795" w:rsidRDefault="007D5261" w:rsidP="006565F1">
            <w:pPr>
              <w:pStyle w:val="TableText"/>
              <w:ind w:left="191"/>
            </w:pPr>
            <w:r w:rsidRPr="002F1795">
              <w:t>NAF (With New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$3,140</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$60,228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$63,368</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4</w:t>
            </w:r>
          </w:p>
        </w:tc>
      </w:tr>
      <w:tr w:rsidR="00C7107E" w:rsidRPr="002F1795" w:rsidTr="007D526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172"/>
            </w:pPr>
            <w:r w:rsidRPr="002F1795">
              <w:t>Standard/ULEF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$49,238</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$111,036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$160,275</w:t>
            </w:r>
          </w:p>
        </w:tc>
      </w:tr>
      <w:tr w:rsidR="00C7107E" w:rsidRPr="002F1795" w:rsidTr="007D526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172"/>
            </w:pPr>
            <w:r w:rsidRPr="002F1795">
              <w:t>NAF (With New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$428</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$7,564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$7,992</w:t>
            </w:r>
          </w:p>
        </w:tc>
      </w:tr>
      <w:tr w:rsidR="00C7107E"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180"/>
            </w:pPr>
            <w:r w:rsidRPr="002F1795">
              <w:t>NAF (With Existing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$500</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7107E" w:rsidRPr="002F1795" w:rsidRDefault="00C7107E" w:rsidP="006565F1">
            <w:pPr>
              <w:pStyle w:val="TableText"/>
              <w:jc w:val="right"/>
            </w:pPr>
            <w:r w:rsidRPr="002F1795">
              <w:t>$4,995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C7107E" w:rsidRPr="002F1795" w:rsidRDefault="00C7107E" w:rsidP="006565F1">
            <w:pPr>
              <w:pStyle w:val="TableText"/>
              <w:jc w:val="right"/>
            </w:pPr>
            <w:r w:rsidRPr="002F1795">
              <w:t>$5,495</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4</w:t>
            </w:r>
          </w:p>
        </w:tc>
      </w:tr>
      <w:tr w:rsidR="007D5261" w:rsidRPr="002F1795" w:rsidTr="007D526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D5261" w:rsidRPr="002F1795" w:rsidRDefault="007D5261" w:rsidP="006565F1">
            <w:pPr>
              <w:pStyle w:val="TableText"/>
              <w:ind w:left="191"/>
            </w:pPr>
            <w:r w:rsidRPr="002F1795">
              <w:t>Standard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$187,249</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$341,957</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$529,206</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t>NAF (With New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278"/>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4</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right"/>
            </w:pPr>
            <w:r w:rsidRPr="002F1795">
              <w:t> </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jc w:val="right"/>
            </w:pPr>
            <w:r w:rsidRPr="002F1795">
              <w:t> </w:t>
            </w:r>
          </w:p>
        </w:tc>
      </w:tr>
      <w:tr w:rsidR="007D5261" w:rsidRPr="002F1795" w:rsidTr="007D526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D5261" w:rsidRPr="002F1795" w:rsidRDefault="007D5261" w:rsidP="006565F1">
            <w:pPr>
              <w:pStyle w:val="TableText"/>
              <w:ind w:left="191"/>
            </w:pPr>
            <w:r w:rsidRPr="002F1795">
              <w:t>Standard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D5261" w:rsidRPr="002F1795" w:rsidRDefault="007D5261" w:rsidP="006565F1">
            <w:pPr>
              <w:keepNext/>
              <w:keepLines/>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$12,171,162</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$22,227,213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pPr>
              <w:jc w:val="center"/>
              <w:rPr>
                <w:color w:val="000000"/>
                <w:sz w:val="18"/>
                <w:szCs w:val="18"/>
              </w:rPr>
            </w:pPr>
            <w:r w:rsidRPr="002F1795">
              <w:rPr>
                <w:color w:val="000000"/>
                <w:sz w:val="18"/>
                <w:szCs w:val="18"/>
              </w:rPr>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D5261" w:rsidRPr="002F1795" w:rsidRDefault="007D5261">
            <w:pPr>
              <w:jc w:val="right"/>
              <w:rPr>
                <w:color w:val="000000"/>
                <w:sz w:val="18"/>
                <w:szCs w:val="18"/>
              </w:rPr>
            </w:pPr>
            <w:r w:rsidRPr="002F1795">
              <w:rPr>
                <w:color w:val="000000"/>
                <w:sz w:val="18"/>
                <w:szCs w:val="18"/>
              </w:rPr>
              <w:t>$34,398,374</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pPr>
            <w:r w:rsidRPr="002F1795">
              <w:lastRenderedPageBreak/>
              <w:t>New NAF Certification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80"/>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5</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1"/>
              <w:rPr>
                <w:szCs w:val="18"/>
              </w:rPr>
            </w:pPr>
            <w:r w:rsidRPr="002F1795">
              <w:rPr>
                <w:color w:val="000000"/>
                <w:szCs w:val="18"/>
              </w:rPr>
              <w:t>Producers</w:t>
            </w:r>
            <w:r w:rsidRPr="002F1795">
              <w:rPr>
                <w:color w:val="000000"/>
                <w:szCs w:val="18"/>
                <w:vertAlign w:val="superscript"/>
              </w:rPr>
              <w:t>4</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$1,372,966</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color w:val="000000"/>
                <w:szCs w:val="18"/>
              </w:rPr>
            </w:pPr>
            <w:r w:rsidRPr="002F1795">
              <w:rPr>
                <w:color w:val="000000"/>
                <w:szCs w:val="18"/>
              </w:rPr>
              <w:t>$4,189,403</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$5,562,369</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sz w:val="18"/>
                <w:szCs w:val="18"/>
              </w:rPr>
            </w:pPr>
            <w:r w:rsidRPr="002F1795">
              <w:rPr>
                <w:color w:val="000000"/>
                <w:sz w:val="18"/>
                <w:szCs w:val="18"/>
              </w:rPr>
              <w:t> </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sz w:val="18"/>
                <w:szCs w:val="18"/>
              </w:rPr>
            </w:pPr>
            <w:r w:rsidRPr="002F1795">
              <w:rPr>
                <w:color w:val="000000"/>
                <w:sz w:val="18"/>
                <w:szCs w:val="18"/>
              </w:rPr>
              <w:t> </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6"/>
              <w:rPr>
                <w:rFonts w:ascii="Tahoma" w:hAnsi="Tahoma" w:cs="Tahoma"/>
                <w:szCs w:val="18"/>
              </w:rPr>
            </w:pPr>
            <w:r w:rsidRPr="002F1795">
              <w:rPr>
                <w:color w:val="000000"/>
                <w:szCs w:val="18"/>
              </w:rPr>
              <w:t>Fabricators with  costs - Employers</w:t>
            </w:r>
            <w:r w:rsidRPr="002F1795">
              <w:rPr>
                <w:color w:val="000000"/>
                <w:szCs w:val="18"/>
                <w:vertAlign w:val="superscript"/>
              </w:rPr>
              <w:t>6</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$46,887,984</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color w:val="000000"/>
                <w:szCs w:val="18"/>
              </w:rPr>
            </w:pPr>
            <w:r w:rsidRPr="002F1795">
              <w:rPr>
                <w:color w:val="000000"/>
                <w:szCs w:val="18"/>
              </w:rPr>
              <w:t>$18,367,690</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$65,255,674</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96"/>
              <w:rPr>
                <w:rFonts w:ascii="Tahoma" w:hAnsi="Tahoma" w:cs="Tahoma"/>
                <w:szCs w:val="18"/>
              </w:rPr>
            </w:pPr>
            <w:r w:rsidRPr="002F1795">
              <w:rPr>
                <w:color w:val="000000"/>
                <w:szCs w:val="18"/>
              </w:rPr>
              <w:t>Fabricators with costs- Nonemployers</w:t>
            </w:r>
            <w:r w:rsidRPr="002F1795">
              <w:rPr>
                <w:color w:val="000000"/>
                <w:szCs w:val="18"/>
                <w:vertAlign w:val="superscript"/>
              </w:rPr>
              <w:t>6</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$920,024</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color w:val="000000"/>
                <w:szCs w:val="18"/>
              </w:rPr>
            </w:pPr>
            <w:r w:rsidRPr="002F1795">
              <w:rPr>
                <w:color w:val="000000"/>
                <w:szCs w:val="18"/>
              </w:rPr>
              <w:t>$357,646</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$1,277,670</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without costs</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costs - Employers</w:t>
            </w:r>
            <w:r w:rsidRPr="002F1795">
              <w:rPr>
                <w:color w:val="000000"/>
                <w:szCs w:val="18"/>
                <w:vertAlign w:val="superscript"/>
              </w:rPr>
              <w:t>5</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$20,957,102</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$29,189,538</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$50,146,641</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 costs - Nonemployers</w:t>
            </w:r>
            <w:r w:rsidRPr="002F1795">
              <w:rPr>
                <w:color w:val="000000"/>
                <w:szCs w:val="18"/>
                <w:vertAlign w:val="superscript"/>
              </w:rPr>
              <w:t>5</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$610,100</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$849,690</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$1,459,815</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Wholesalers without costs</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Retailers</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6565F1">
        <w:trPr>
          <w:trHeight w:val="107"/>
          <w:jc w:val="center"/>
        </w:trPr>
        <w:tc>
          <w:tcPr>
            <w:tcW w:w="13190"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Producers</w:t>
            </w:r>
            <w:r w:rsidRPr="002F1795">
              <w:rPr>
                <w:vertAlign w:val="superscript"/>
              </w:rPr>
              <w:t>6</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Fabricators</w:t>
            </w:r>
            <w:r w:rsidRPr="002F1795">
              <w:rPr>
                <w:vertAlign w:val="superscript"/>
              </w:rPr>
              <w:t>7</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Producers</w:t>
            </w:r>
            <w:r w:rsidRPr="002F1795">
              <w:rPr>
                <w:vertAlign w:val="superscript"/>
              </w:rPr>
              <w:t>6</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6565F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Fabricators and Wholesalers</w:t>
            </w:r>
            <w:r w:rsidRPr="002F1795">
              <w:rPr>
                <w:vertAlign w:val="superscript"/>
              </w:rPr>
              <w:t>7</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7D5261" w:rsidRPr="002F1795" w:rsidTr="007D5261">
        <w:trPr>
          <w:trHeight w:val="77"/>
          <w:jc w:val="center"/>
        </w:trPr>
        <w:tc>
          <w:tcPr>
            <w:tcW w:w="2910" w:type="dxa"/>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7D5261" w:rsidRPr="002F1795" w:rsidRDefault="007D5261" w:rsidP="006565F1">
            <w:pPr>
              <w:pStyle w:val="TableText"/>
              <w:rPr>
                <w:b/>
                <w:bCs/>
              </w:rPr>
            </w:pPr>
            <w:r w:rsidRPr="002F1795">
              <w:rPr>
                <w:b/>
                <w:bCs/>
              </w:rPr>
              <w:t>Total - Years 2 and 3</w:t>
            </w:r>
          </w:p>
        </w:tc>
        <w:tc>
          <w:tcPr>
            <w:tcW w:w="125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D5261" w:rsidRPr="002F1795" w:rsidRDefault="007D5261" w:rsidP="006565F1">
            <w:pPr>
              <w:pStyle w:val="TableText"/>
              <w:rPr>
                <w:b/>
              </w:rPr>
            </w:pPr>
            <w:r w:rsidRPr="002F1795">
              <w:rPr>
                <w:b/>
              </w:rPr>
              <w:t>$70,748,176</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D5261" w:rsidRPr="002F1795" w:rsidRDefault="007D5261" w:rsidP="006565F1">
            <w:pPr>
              <w:pStyle w:val="TableText"/>
              <w:jc w:val="center"/>
              <w:rPr>
                <w:b/>
              </w:rP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b/>
                <w:bCs/>
                <w:color w:val="000000"/>
                <w:sz w:val="18"/>
                <w:szCs w:val="18"/>
              </w:rPr>
            </w:pPr>
            <w:r w:rsidRPr="002F1795">
              <w:rPr>
                <w:b/>
                <w:bCs/>
                <w:color w:val="000000"/>
                <w:sz w:val="18"/>
                <w:szCs w:val="18"/>
              </w:rPr>
              <w:t>$12,786,214</w:t>
            </w:r>
          </w:p>
        </w:tc>
        <w:tc>
          <w:tcPr>
            <w:tcW w:w="11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b/>
                <w:bCs/>
                <w:color w:val="000000"/>
                <w:sz w:val="18"/>
                <w:szCs w:val="18"/>
              </w:rPr>
            </w:pPr>
            <w:r w:rsidRPr="002F1795">
              <w:rPr>
                <w:b/>
                <w:bCs/>
                <w:color w:val="000000"/>
                <w:sz w:val="18"/>
                <w:szCs w:val="18"/>
              </w:rPr>
              <w:t>$52,953,967</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rsidP="007D5261">
            <w:pPr>
              <w:jc w:val="right"/>
              <w:rPr>
                <w:b/>
                <w:bCs/>
                <w:color w:val="000000"/>
                <w:sz w:val="18"/>
                <w:szCs w:val="18"/>
              </w:rPr>
            </w:pPr>
            <w:r w:rsidRPr="002F1795">
              <w:t>-</w:t>
            </w:r>
          </w:p>
        </w:tc>
        <w:tc>
          <w:tcPr>
            <w:tcW w:w="11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b/>
                <w:bCs/>
                <w:color w:val="000000"/>
                <w:sz w:val="18"/>
                <w:szCs w:val="18"/>
              </w:rPr>
            </w:pPr>
            <w:r w:rsidRPr="002F1795">
              <w:rPr>
                <w:b/>
                <w:bCs/>
                <w:color w:val="000000"/>
                <w:sz w:val="18"/>
                <w:szCs w:val="18"/>
              </w:rPr>
              <w:t>$23,436,907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D5261" w:rsidRPr="002F1795" w:rsidRDefault="007D5261">
            <w:pPr>
              <w:jc w:val="right"/>
              <w:rPr>
                <w:b/>
                <w:bCs/>
                <w:color w:val="000000"/>
                <w:sz w:val="18"/>
                <w:szCs w:val="18"/>
              </w:rPr>
            </w:pPr>
            <w:r w:rsidRPr="002F1795">
              <w:rPr>
                <w:b/>
                <w:bCs/>
                <w:color w:val="000000"/>
                <w:sz w:val="18"/>
                <w:szCs w:val="18"/>
              </w:rPr>
              <w:t>$123,702,169</w:t>
            </w:r>
          </w:p>
        </w:tc>
        <w:tc>
          <w:tcPr>
            <w:tcW w:w="10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D5261" w:rsidRPr="002F1795" w:rsidRDefault="007D5261" w:rsidP="007D5261">
            <w:pPr>
              <w:jc w:val="center"/>
              <w:rPr>
                <w:b/>
                <w:bCs/>
                <w:color w:val="000000"/>
                <w:sz w:val="18"/>
                <w:szCs w:val="18"/>
              </w:rPr>
            </w:pPr>
            <w:r w:rsidRPr="002F1795">
              <w:t>-</w:t>
            </w:r>
          </w:p>
        </w:tc>
        <w:tc>
          <w:tcPr>
            <w:tcW w:w="120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D5261" w:rsidRPr="002F1795" w:rsidRDefault="007D5261">
            <w:pPr>
              <w:jc w:val="right"/>
              <w:rPr>
                <w:b/>
                <w:bCs/>
                <w:color w:val="000000"/>
                <w:sz w:val="18"/>
                <w:szCs w:val="18"/>
              </w:rPr>
            </w:pPr>
            <w:r w:rsidRPr="002F1795">
              <w:rPr>
                <w:b/>
                <w:bCs/>
                <w:color w:val="000000"/>
                <w:sz w:val="18"/>
                <w:szCs w:val="18"/>
              </w:rPr>
              <w:t>$36,223,122</w:t>
            </w:r>
          </w:p>
        </w:tc>
      </w:tr>
      <w:tr w:rsidR="00A83DDA" w:rsidRPr="002F1795" w:rsidTr="006565F1">
        <w:trPr>
          <w:trHeight w:val="270"/>
          <w:jc w:val="center"/>
        </w:trPr>
        <w:tc>
          <w:tcPr>
            <w:tcW w:w="13190"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The analysis uses a loaded wage rate of $73.60 for rule familiarization for composite panel producers and fabricators.</w:t>
            </w:r>
          </w:p>
          <w:p w:rsidR="00A83DDA" w:rsidRPr="002F1795" w:rsidRDefault="00A83DDA" w:rsidP="006565F1">
            <w:pPr>
              <w:pStyle w:val="tablefootnote"/>
              <w:keepLines/>
            </w:pPr>
            <w:r w:rsidRPr="002F1795">
              <w:t>2. The analysis uses a loaded wage rate of $93.29 for rule familiarization for wholesalers.</w:t>
            </w:r>
          </w:p>
          <w:p w:rsidR="00A83DDA" w:rsidRPr="002F1795" w:rsidRDefault="00A83DDA" w:rsidP="006565F1">
            <w:pPr>
              <w:pStyle w:val="tablefootnote"/>
              <w:keepLines/>
            </w:pPr>
            <w:r w:rsidRPr="002F1795">
              <w:t>3. The analysis uses a loaded wage rate of $70.71 for rule familiarization for retailers.</w:t>
            </w:r>
          </w:p>
          <w:p w:rsidR="00A83DDA" w:rsidRPr="002F1795" w:rsidRDefault="00A83DDA" w:rsidP="006565F1">
            <w:pPr>
              <w:pStyle w:val="tablefootnote"/>
              <w:keepLines/>
            </w:pPr>
            <w:r w:rsidRPr="002F1795">
              <w:t>4. The analysis uses a loaded wage rate of $71.36 for testing and certification and recordkeeping for composite panel producers.</w:t>
            </w:r>
          </w:p>
          <w:p w:rsidR="00A83DDA" w:rsidRPr="002F1795" w:rsidRDefault="00A83DDA" w:rsidP="006565F1">
            <w:pPr>
              <w:pStyle w:val="tablefootnote"/>
              <w:keepLines/>
            </w:pPr>
            <w:r w:rsidRPr="002F1795">
              <w:t>5. The analysis uses a loaded wage rate of $25.54 for recordkeeping for wholesalers.</w:t>
            </w:r>
          </w:p>
          <w:p w:rsidR="00A83DDA" w:rsidRPr="002F1795" w:rsidRDefault="00A83DDA" w:rsidP="006565F1">
            <w:pPr>
              <w:pStyle w:val="tablefootnote"/>
              <w:keepLines/>
            </w:pPr>
            <w:r w:rsidRPr="002F1795">
              <w:t>6. The analysis uses a loaded wage rate of $24.84 for recordkeeping for fabricators, and labeling for producers.</w:t>
            </w:r>
          </w:p>
          <w:p w:rsidR="00A83DDA" w:rsidRPr="002F1795" w:rsidRDefault="00A83DDA" w:rsidP="006565F1">
            <w:pPr>
              <w:pStyle w:val="tablefootnote"/>
              <w:keepLines/>
            </w:pPr>
            <w:r w:rsidRPr="002F1795">
              <w:t>7. The analysis uses a loaded wage rate of $44.27 for labeling for fabricators and wholesalers.</w:t>
            </w:r>
          </w:p>
        </w:tc>
      </w:tr>
    </w:tbl>
    <w:p w:rsidR="00A83DDA" w:rsidRPr="002F1795" w:rsidRDefault="00A83DDA" w:rsidP="00A83DDA">
      <w:pPr>
        <w:numPr>
          <w:ilvl w:val="12"/>
          <w:numId w:val="0"/>
        </w:numPr>
        <w:rPr>
          <w:u w:val="single"/>
        </w:rPr>
      </w:pPr>
    </w:p>
    <w:tbl>
      <w:tblPr>
        <w:tblW w:w="5000" w:type="pct"/>
        <w:jc w:val="center"/>
        <w:tblLayout w:type="fixed"/>
        <w:tblCellMar>
          <w:left w:w="58" w:type="dxa"/>
          <w:right w:w="58" w:type="dxa"/>
        </w:tblCellMar>
        <w:tblLook w:val="04A0"/>
      </w:tblPr>
      <w:tblGrid>
        <w:gridCol w:w="2420"/>
        <w:gridCol w:w="1216"/>
        <w:gridCol w:w="1115"/>
        <w:gridCol w:w="1197"/>
        <w:gridCol w:w="1137"/>
        <w:gridCol w:w="1145"/>
        <w:gridCol w:w="1121"/>
        <w:gridCol w:w="1208"/>
        <w:gridCol w:w="1144"/>
        <w:gridCol w:w="1373"/>
      </w:tblGrid>
      <w:tr w:rsidR="00A83DDA" w:rsidRPr="002F1795" w:rsidTr="00CD500E">
        <w:trPr>
          <w:trHeight w:val="67"/>
          <w:tblHeader/>
          <w:jc w:val="center"/>
        </w:trPr>
        <w:tc>
          <w:tcPr>
            <w:tcW w:w="13076"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keepLines/>
            </w:pPr>
            <w:bookmarkStart w:id="21" w:name="_Ref309299049"/>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18</w:t>
            </w:r>
            <w:r w:rsidR="0041046E">
              <w:rPr>
                <w:noProof/>
              </w:rPr>
              <w:fldChar w:fldCharType="end"/>
            </w:r>
            <w:bookmarkEnd w:id="21"/>
            <w:r w:rsidRPr="002F1795">
              <w:t>: Three Year Average Labor Costs (including baseline), by Activity and Geographic Location ($2010)</w:t>
            </w:r>
          </w:p>
        </w:tc>
      </w:tr>
      <w:tr w:rsidR="00A83DDA" w:rsidRPr="002F1795" w:rsidTr="00CD500E">
        <w:trPr>
          <w:trHeight w:val="77"/>
          <w:tblHeader/>
          <w:jc w:val="center"/>
        </w:trPr>
        <w:tc>
          <w:tcPr>
            <w:tcW w:w="2420" w:type="dxa"/>
            <w:vMerge w:val="restart"/>
            <w:tcBorders>
              <w:top w:val="single" w:sz="4" w:space="0" w:color="auto"/>
              <w:left w:val="single" w:sz="8" w:space="0" w:color="auto"/>
              <w:bottom w:val="single" w:sz="4" w:space="0" w:color="000000"/>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5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83DDA" w:rsidRPr="002F1795" w:rsidRDefault="00A83DDA" w:rsidP="006565F1">
            <w:pPr>
              <w:pStyle w:val="TableSubtitle"/>
            </w:pPr>
            <w:r w:rsidRPr="002F1795">
              <w:t>Domestic</w:t>
            </w:r>
          </w:p>
        </w:tc>
        <w:tc>
          <w:tcPr>
            <w:tcW w:w="3403"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A83DDA" w:rsidRPr="002F1795" w:rsidRDefault="00A83DDA" w:rsidP="006565F1">
            <w:pPr>
              <w:pStyle w:val="TableSubtitle"/>
            </w:pPr>
            <w:r w:rsidRPr="002F1795">
              <w:t>Foreign</w:t>
            </w:r>
          </w:p>
        </w:tc>
        <w:tc>
          <w:tcPr>
            <w:tcW w:w="372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A83DDA" w:rsidRPr="002F1795" w:rsidRDefault="00A83DDA" w:rsidP="006565F1">
            <w:pPr>
              <w:pStyle w:val="TableSubtitle"/>
            </w:pPr>
            <w:r w:rsidRPr="002F1795">
              <w:t>Total</w:t>
            </w:r>
          </w:p>
        </w:tc>
      </w:tr>
      <w:tr w:rsidR="00A83DDA" w:rsidRPr="002F1795" w:rsidTr="00CD500E">
        <w:trPr>
          <w:trHeight w:val="255"/>
          <w:tblHeader/>
          <w:jc w:val="center"/>
        </w:trPr>
        <w:tc>
          <w:tcPr>
            <w:tcW w:w="2420" w:type="dxa"/>
            <w:vMerge/>
            <w:tcBorders>
              <w:top w:val="single" w:sz="4" w:space="0" w:color="auto"/>
              <w:left w:val="single" w:sz="8" w:space="0" w:color="auto"/>
              <w:bottom w:val="single" w:sz="4" w:space="0" w:color="000000"/>
              <w:right w:val="single" w:sz="4" w:space="0" w:color="auto"/>
            </w:tcBorders>
            <w:vAlign w:val="center"/>
            <w:hideMark/>
          </w:tcPr>
          <w:p w:rsidR="00A83DDA" w:rsidRPr="002F1795" w:rsidRDefault="00A83DDA" w:rsidP="006565F1">
            <w:pPr>
              <w:pStyle w:val="TableSubtitle"/>
            </w:pPr>
          </w:p>
        </w:tc>
        <w:tc>
          <w:tcPr>
            <w:tcW w:w="1216" w:type="dxa"/>
            <w:tcBorders>
              <w:top w:val="nil"/>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1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97"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137"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4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21"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208"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44"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373"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Managerial</w:t>
            </w:r>
          </w:p>
        </w:tc>
      </w:tr>
      <w:tr w:rsidR="00A83DDA" w:rsidRPr="002F1795" w:rsidTr="00CD500E">
        <w:trPr>
          <w:trHeight w:val="179"/>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Producers</w:t>
            </w:r>
            <w:r w:rsidRPr="002F1795">
              <w:rPr>
                <w:vertAlign w:val="superscript"/>
              </w:rPr>
              <w:t>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$36,309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$110,793</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$147,102</w:t>
            </w:r>
          </w:p>
        </w:tc>
      </w:tr>
      <w:tr w:rsidR="00474017" w:rsidRPr="002F1795" w:rsidTr="00474017">
        <w:trPr>
          <w:trHeight w:val="80"/>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Fabricators</w:t>
            </w:r>
            <w:r w:rsidRPr="002F1795">
              <w:rPr>
                <w:vertAlign w:val="superscript"/>
              </w:rPr>
              <w:t>1</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$7,821,325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$3,050,278</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$10,871,603</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Wholesalers</w:t>
            </w:r>
            <w:r w:rsidRPr="002F1795">
              <w:rPr>
                <w:vertAlign w:val="superscript"/>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$10,642,523</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$4,150,534</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$14,793,057</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Retailers</w:t>
            </w:r>
            <w:r w:rsidRPr="002F1795">
              <w:rPr>
                <w:vertAlign w:val="superscript"/>
              </w:rPr>
              <w:t>3</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$71,563,045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$71,563,045</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jc w:val="center"/>
            </w:pPr>
            <w:r w:rsidRPr="002F1795">
              <w:t>-</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w:t>
            </w:r>
            <w:r w:rsidRPr="002F1795">
              <w:rPr>
                <w:vertAlign w:val="superscript"/>
              </w:rPr>
              <w:t>4</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With Existing Certifications</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pStyle w:val="TableText"/>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pStyle w:val="TableText"/>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$7,802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$72,692</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$80,494</w:t>
            </w:r>
          </w:p>
        </w:tc>
      </w:tr>
      <w:tr w:rsidR="00474017"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Without Existing Certifications</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pStyle w:val="TableText"/>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pStyle w:val="TableText"/>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$54,804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$69,457</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$124,262</w:t>
            </w:r>
          </w:p>
        </w:tc>
      </w:tr>
      <w:tr w:rsidR="00474017"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pPr>
            <w:r w:rsidRPr="002F1795">
              <w:t>4. Develop Quality Control Manual</w:t>
            </w:r>
            <w:r w:rsidRPr="002F1795">
              <w:rPr>
                <w:vertAlign w:val="superscript"/>
              </w:rPr>
              <w:t>4</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pStyle w:val="TableText"/>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pStyle w:val="TableText"/>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$274,022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$347,285</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$621,308</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w:t>
            </w:r>
            <w:r w:rsidRPr="002F1795">
              <w:rPr>
                <w:vertAlign w:val="superscript"/>
              </w:rPr>
              <w:t>4</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1 Product</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$761</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$833</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2 Products</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$3,425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$4,353</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$7,778</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4</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1 Product</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$1,189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$15,223</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$16,413</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2 Products</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$137,011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$173,643</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$310,654</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4</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Standard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$343,289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$626,921</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$970,211</w:t>
            </w:r>
          </w:p>
        </w:tc>
      </w:tr>
      <w:tr w:rsidR="00474017"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NAF (With New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$3,140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$60,228</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$63,368</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4</w:t>
            </w:r>
          </w:p>
        </w:tc>
      </w:tr>
      <w:tr w:rsidR="00DD211B"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D211B" w:rsidRPr="002F1795" w:rsidRDefault="00DD211B" w:rsidP="00DD211B">
            <w:pPr>
              <w:pStyle w:val="TableText"/>
              <w:ind w:left="172"/>
            </w:pPr>
            <w:r w:rsidRPr="002F1795">
              <w:t>Standard/ULEF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D211B" w:rsidRPr="002F1795" w:rsidRDefault="00DD211B"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D211B" w:rsidRPr="002F1795" w:rsidRDefault="00DD211B"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$45,147</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$101,783</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$146,931</w:t>
            </w:r>
          </w:p>
        </w:tc>
      </w:tr>
      <w:tr w:rsidR="00C7107E"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172"/>
            </w:pPr>
            <w:r w:rsidRPr="002F1795">
              <w:t>NAF (With New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7107E" w:rsidRPr="002F1795" w:rsidRDefault="00C7107E"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$428</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$7,564</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$7,992</w:t>
            </w:r>
          </w:p>
        </w:tc>
      </w:tr>
      <w:tr w:rsidR="00C7107E"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7107E" w:rsidRPr="002F1795" w:rsidRDefault="00C7107E" w:rsidP="00DD211B">
            <w:pPr>
              <w:pStyle w:val="TableText"/>
              <w:ind w:left="180"/>
            </w:pPr>
            <w:r w:rsidRPr="002F1795">
              <w:t>NAF (With Existing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$500</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$4,995</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07E" w:rsidRPr="002F1795" w:rsidRDefault="00C7107E">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C7107E" w:rsidRPr="002F1795" w:rsidRDefault="00C7107E">
            <w:pPr>
              <w:jc w:val="right"/>
              <w:rPr>
                <w:color w:val="000000"/>
                <w:sz w:val="18"/>
                <w:szCs w:val="18"/>
              </w:rPr>
            </w:pPr>
            <w:r w:rsidRPr="002F1795">
              <w:rPr>
                <w:color w:val="000000"/>
                <w:sz w:val="18"/>
                <w:szCs w:val="18"/>
              </w:rPr>
              <w:t>$5,495</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4</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Standard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$187,249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$341,957</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$529,206</w:t>
            </w:r>
          </w:p>
        </w:tc>
      </w:tr>
      <w:tr w:rsidR="00474017" w:rsidRPr="002F1795" w:rsidTr="00CD500E">
        <w:trPr>
          <w:trHeight w:val="255"/>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NAF (With New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$523</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$10,038</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$10,561</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 xml:space="preserve">13. Purchase of Small Chamber </w:t>
            </w:r>
            <w:r w:rsidRPr="002F1795">
              <w:lastRenderedPageBreak/>
              <w:t>Testing Unit</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lastRenderedPageBreak/>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lastRenderedPageBreak/>
              <w:t>14. Quality Control Testing</w:t>
            </w:r>
            <w:r w:rsidRPr="002F1795">
              <w:rPr>
                <w:vertAlign w:val="superscript"/>
              </w:rPr>
              <w:t>4</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Standard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$12,171,162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$22,227,213</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$34,398,374</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6"/>
            </w:pPr>
            <w:r w:rsidRPr="002F1795">
              <w:t>New NAF Certification</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$34,015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$652,468</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$686,483</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pPr>
            <w:r w:rsidRPr="002F1795">
              <w:t>16. Initial Recordkeeping</w:t>
            </w:r>
            <w:r w:rsidRPr="002F1795">
              <w:rPr>
                <w:vertAlign w:val="superscript"/>
              </w:rPr>
              <w:t>5</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$4,318,559</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$6,015,070</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$10,333,629</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474017" w:rsidRPr="002F1795" w:rsidRDefault="00474017" w:rsidP="006565F1">
            <w:pPr>
              <w:keepNext/>
              <w:keepLines/>
              <w:jc w:val="center"/>
            </w:pPr>
            <w:r w:rsidRPr="002F1795">
              <w:t>-</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6"/>
              <w:rPr>
                <w:szCs w:val="18"/>
              </w:rPr>
            </w:pPr>
            <w:r w:rsidRPr="002F1795">
              <w:rPr>
                <w:color w:val="000000"/>
                <w:szCs w:val="18"/>
              </w:rPr>
              <w:t>Producers</w:t>
            </w:r>
            <w:r w:rsidRPr="002F1795">
              <w:rPr>
                <w:color w:val="000000"/>
                <w:szCs w:val="18"/>
                <w:vertAlign w:val="superscript"/>
              </w:rPr>
              <w:t>4</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$1,372,966</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$4,189,403</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$5,562,369</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8"/>
              <w:rPr>
                <w:rFonts w:ascii="Tahoma" w:hAnsi="Tahoma" w:cs="Tahoma"/>
                <w:szCs w:val="18"/>
              </w:rPr>
            </w:pPr>
            <w:r w:rsidRPr="002F1795">
              <w:rPr>
                <w:color w:val="000000"/>
                <w:szCs w:val="18"/>
              </w:rPr>
              <w:t>Fabricators with  costs - Employers</w:t>
            </w:r>
            <w:r w:rsidRPr="002F1795">
              <w:rPr>
                <w:color w:val="000000"/>
                <w:szCs w:val="18"/>
                <w:vertAlign w:val="superscript"/>
              </w:rPr>
              <w:t>6</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$46,887,984</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$18,367,690</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$65,255,674</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78"/>
              <w:rPr>
                <w:rFonts w:ascii="Tahoma" w:hAnsi="Tahoma" w:cs="Tahoma"/>
                <w:szCs w:val="18"/>
              </w:rPr>
            </w:pPr>
            <w:r w:rsidRPr="002F1795">
              <w:rPr>
                <w:color w:val="000000"/>
                <w:szCs w:val="18"/>
              </w:rPr>
              <w:t>Fabricators with costs - Nonemployers</w:t>
            </w:r>
            <w:r w:rsidRPr="002F1795">
              <w:rPr>
                <w:color w:val="000000"/>
                <w:szCs w:val="18"/>
                <w:vertAlign w:val="superscript"/>
              </w:rPr>
              <w:t>6</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$920,024</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$357,646</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$1,277,670</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Fabricators without costs</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costs - Employers</w:t>
            </w:r>
            <w:r w:rsidRPr="002F1795">
              <w:rPr>
                <w:color w:val="000000"/>
                <w:szCs w:val="18"/>
                <w:vertAlign w:val="superscript"/>
              </w:rPr>
              <w:t>5</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$20,957,102</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$29,189,538</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$50,146,641</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 costs - Nonemployers</w:t>
            </w:r>
            <w:r w:rsidRPr="002F1795">
              <w:rPr>
                <w:color w:val="000000"/>
                <w:szCs w:val="18"/>
                <w:vertAlign w:val="superscript"/>
              </w:rPr>
              <w:t>5</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$610,100</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$849,690</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$1,459,815</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Wholesalers without costs</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Retailers</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60"/>
              <w:rPr>
                <w:rFonts w:ascii="Tahoma" w:hAnsi="Tahoma" w:cs="Tahoma"/>
                <w:szCs w:val="16"/>
              </w:rPr>
            </w:pPr>
            <w:r w:rsidRPr="002F1795">
              <w:t>Minor Changes – Producers</w:t>
            </w:r>
            <w:r w:rsidRPr="002F1795">
              <w:rPr>
                <w:vertAlign w:val="superscript"/>
              </w:rPr>
              <w:t>6</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$4,620</w:t>
            </w:r>
          </w:p>
        </w:tc>
        <w:tc>
          <w:tcPr>
            <w:tcW w:w="11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$50,723</w:t>
            </w:r>
          </w:p>
        </w:tc>
        <w:tc>
          <w:tcPr>
            <w:tcW w:w="11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$55,344</w:t>
            </w:r>
          </w:p>
        </w:tc>
        <w:tc>
          <w:tcPr>
            <w:tcW w:w="11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r>
      <w:tr w:rsidR="00474017" w:rsidRPr="002F1795" w:rsidTr="00CD500E">
        <w:trPr>
          <w:trHeight w:val="215"/>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60"/>
            </w:pPr>
            <w:r w:rsidRPr="002F1795">
              <w:t>Minor Changes – Fabricators</w:t>
            </w:r>
            <w:r w:rsidRPr="002F1795">
              <w:rPr>
                <w:vertAlign w:val="superscript"/>
              </w:rPr>
              <w:t>7</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$2,846,118</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$1,106,130</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$3,952,249</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r>
      <w:tr w:rsidR="00474017"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60"/>
            </w:pPr>
            <w:r w:rsidRPr="002F1795">
              <w:t>Major Changes – Producers</w:t>
            </w:r>
            <w:r w:rsidRPr="002F1795">
              <w:rPr>
                <w:vertAlign w:val="superscript"/>
              </w:rPr>
              <w:t>6</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$229,356</w:t>
            </w:r>
          </w:p>
        </w:tc>
        <w:tc>
          <w:tcPr>
            <w:tcW w:w="11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$89,424</w:t>
            </w:r>
          </w:p>
        </w:tc>
        <w:tc>
          <w:tcPr>
            <w:tcW w:w="11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$318,780</w:t>
            </w:r>
          </w:p>
        </w:tc>
        <w:tc>
          <w:tcPr>
            <w:tcW w:w="11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r>
      <w:tr w:rsidR="00474017" w:rsidRPr="002F1795" w:rsidTr="00CD500E">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60"/>
            </w:pPr>
            <w:r w:rsidRPr="002F1795">
              <w:t>Major Changes - Fabricators and Wholesalers</w:t>
            </w:r>
            <w:r w:rsidRPr="002F1795">
              <w:rPr>
                <w:vertAlign w:val="superscript"/>
              </w:rPr>
              <w:t>7</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$24,003,194</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$9,361,629</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c>
          <w:tcPr>
            <w:tcW w:w="11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$33,364,823</w:t>
            </w:r>
          </w:p>
        </w:tc>
        <w:tc>
          <w:tcPr>
            <w:tcW w:w="1373"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474017" w:rsidRPr="002F1795" w:rsidRDefault="00474017">
            <w:pPr>
              <w:jc w:val="center"/>
              <w:rPr>
                <w:color w:val="000000"/>
              </w:rPr>
            </w:pPr>
            <w:r w:rsidRPr="002F1795">
              <w:rPr>
                <w:color w:val="000000"/>
              </w:rPr>
              <w:t>-</w:t>
            </w:r>
          </w:p>
        </w:tc>
      </w:tr>
      <w:tr w:rsidR="00DD211B" w:rsidRPr="002F1795" w:rsidTr="00474017">
        <w:trPr>
          <w:trHeight w:val="77"/>
          <w:jc w:val="center"/>
        </w:trPr>
        <w:tc>
          <w:tcPr>
            <w:tcW w:w="2420" w:type="dxa"/>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DD211B" w:rsidRPr="002F1795" w:rsidRDefault="00DD211B" w:rsidP="006565F1">
            <w:pPr>
              <w:pStyle w:val="TableText"/>
              <w:rPr>
                <w:b/>
                <w:bCs/>
              </w:rPr>
            </w:pPr>
            <w:r w:rsidRPr="002F1795">
              <w:rPr>
                <w:b/>
                <w:bCs/>
              </w:rPr>
              <w:t>Total - Three Year Average</w:t>
            </w:r>
          </w:p>
        </w:tc>
        <w:tc>
          <w:tcPr>
            <w:tcW w:w="1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$75,300,711</w:t>
            </w:r>
          </w:p>
        </w:tc>
        <w:tc>
          <w:tcPr>
            <w:tcW w:w="11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$26,849,312</w:t>
            </w:r>
          </w:p>
        </w:tc>
        <w:tc>
          <w:tcPr>
            <w:tcW w:w="119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$103,326,979</w:t>
            </w:r>
          </w:p>
        </w:tc>
        <w:tc>
          <w:tcPr>
            <w:tcW w:w="113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$59,109,184</w:t>
            </w:r>
          </w:p>
        </w:tc>
        <w:tc>
          <w:tcPr>
            <w:tcW w:w="11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$10,467,759</w:t>
            </w:r>
          </w:p>
        </w:tc>
        <w:tc>
          <w:tcPr>
            <w:tcW w:w="11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$32,028,186</w:t>
            </w:r>
          </w:p>
        </w:tc>
        <w:tc>
          <w:tcPr>
            <w:tcW w:w="12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$134,409,922</w:t>
            </w:r>
          </w:p>
        </w:tc>
        <w:tc>
          <w:tcPr>
            <w:tcW w:w="11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$37,317,072</w:t>
            </w:r>
          </w:p>
        </w:tc>
        <w:tc>
          <w:tcPr>
            <w:tcW w:w="137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$135,355,170</w:t>
            </w:r>
          </w:p>
        </w:tc>
      </w:tr>
      <w:tr w:rsidR="00A83DDA" w:rsidRPr="002F1795" w:rsidTr="00CD500E">
        <w:trPr>
          <w:trHeight w:val="1178"/>
          <w:jc w:val="center"/>
        </w:trPr>
        <w:tc>
          <w:tcPr>
            <w:tcW w:w="13076"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The analysis uses a loaded wage rate of $73.60 for rule familiarization for composite panel producers and fabricators.</w:t>
            </w:r>
          </w:p>
          <w:p w:rsidR="00A83DDA" w:rsidRPr="002F1795" w:rsidRDefault="00A83DDA" w:rsidP="006565F1">
            <w:pPr>
              <w:pStyle w:val="tablefootnote"/>
              <w:keepLines/>
            </w:pPr>
            <w:r w:rsidRPr="002F1795">
              <w:t>2. The analysis uses a loaded wage rate of $93.29 for rule familiarization for wholesalers.</w:t>
            </w:r>
          </w:p>
          <w:p w:rsidR="00A83DDA" w:rsidRPr="002F1795" w:rsidRDefault="00A83DDA" w:rsidP="006565F1">
            <w:pPr>
              <w:pStyle w:val="tablefootnote"/>
              <w:keepLines/>
            </w:pPr>
            <w:r w:rsidRPr="002F1795">
              <w:t>3. The analysis uses a loaded wage rate of $70.71 for rule familiarization for retailers.</w:t>
            </w:r>
          </w:p>
          <w:p w:rsidR="00A83DDA" w:rsidRPr="002F1795" w:rsidRDefault="00A83DDA" w:rsidP="006565F1">
            <w:pPr>
              <w:pStyle w:val="tablefootnote"/>
              <w:keepLines/>
            </w:pPr>
            <w:r w:rsidRPr="002F1795">
              <w:t>4. The analysis uses a loaded wage rate of $71.36 for testing and certification and recordkeeping for composite panel producers.</w:t>
            </w:r>
          </w:p>
          <w:p w:rsidR="00A83DDA" w:rsidRPr="002F1795" w:rsidRDefault="00A83DDA" w:rsidP="006565F1">
            <w:pPr>
              <w:pStyle w:val="tablefootnote"/>
              <w:keepLines/>
            </w:pPr>
            <w:r w:rsidRPr="002F1795">
              <w:t>5. The analysis uses a loaded wage rate of $25.54 for recordkeeping for wholesalers.</w:t>
            </w:r>
          </w:p>
          <w:p w:rsidR="00A83DDA" w:rsidRPr="002F1795" w:rsidRDefault="00A83DDA" w:rsidP="006565F1">
            <w:pPr>
              <w:pStyle w:val="tablefootnote"/>
              <w:keepLines/>
            </w:pPr>
            <w:r w:rsidRPr="002F1795">
              <w:t>6. The analysis uses a loaded wage rate of $24.84 for recordkeeping for fabricators, and labeling for producers.</w:t>
            </w:r>
          </w:p>
          <w:p w:rsidR="00A83DDA" w:rsidRPr="002F1795" w:rsidRDefault="00A83DDA" w:rsidP="006565F1">
            <w:pPr>
              <w:pStyle w:val="tablefootnote"/>
              <w:keepLines/>
            </w:pPr>
            <w:r w:rsidRPr="002F1795">
              <w:t>7. The analysis uses a loaded wage rate of $44.27 for labeling for fabricators and wholesalers.</w:t>
            </w:r>
          </w:p>
        </w:tc>
      </w:tr>
    </w:tbl>
    <w:p w:rsidR="00133987" w:rsidRPr="002F1795" w:rsidRDefault="00133987">
      <w:pPr>
        <w:sectPr w:rsidR="00133987" w:rsidRPr="002F1795" w:rsidSect="00A27A67">
          <w:pgSz w:w="15840" w:h="12240" w:orient="landscape"/>
          <w:pgMar w:top="1440" w:right="1440" w:bottom="1170" w:left="1440" w:header="720" w:footer="720" w:gutter="0"/>
          <w:cols w:space="720"/>
          <w:docGrid w:linePitch="360"/>
        </w:sectPr>
      </w:pPr>
    </w:p>
    <w:tbl>
      <w:tblPr>
        <w:tblW w:w="4997" w:type="pct"/>
        <w:jc w:val="center"/>
        <w:tblLayout w:type="fixed"/>
        <w:tblCellMar>
          <w:left w:w="58" w:type="dxa"/>
          <w:right w:w="58" w:type="dxa"/>
        </w:tblCellMar>
        <w:tblLook w:val="04A0"/>
      </w:tblPr>
      <w:tblGrid>
        <w:gridCol w:w="2430"/>
        <w:gridCol w:w="1157"/>
        <w:gridCol w:w="1105"/>
        <w:gridCol w:w="1242"/>
        <w:gridCol w:w="1093"/>
        <w:gridCol w:w="1092"/>
        <w:gridCol w:w="1163"/>
        <w:gridCol w:w="1249"/>
        <w:gridCol w:w="1308"/>
        <w:gridCol w:w="1229"/>
      </w:tblGrid>
      <w:tr w:rsidR="00A83DDA" w:rsidRPr="002F1795" w:rsidTr="00CD500E">
        <w:trPr>
          <w:trHeight w:val="67"/>
          <w:tblHeader/>
          <w:jc w:val="center"/>
        </w:trPr>
        <w:tc>
          <w:tcPr>
            <w:tcW w:w="13068"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keepLines/>
            </w:pPr>
            <w:bookmarkStart w:id="22" w:name="_Ref309299050"/>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19</w:t>
            </w:r>
            <w:r w:rsidR="0041046E">
              <w:rPr>
                <w:noProof/>
              </w:rPr>
              <w:fldChar w:fldCharType="end"/>
            </w:r>
            <w:bookmarkEnd w:id="22"/>
            <w:r w:rsidRPr="002F1795">
              <w:t>: Incremental First Year Labor Costs, by Activity and Geographic Location ($2010)</w:t>
            </w:r>
          </w:p>
        </w:tc>
      </w:tr>
      <w:tr w:rsidR="00A83DDA" w:rsidRPr="002F1795" w:rsidTr="00CD500E">
        <w:trPr>
          <w:trHeight w:val="77"/>
          <w:tblHeader/>
          <w:jc w:val="center"/>
        </w:trPr>
        <w:tc>
          <w:tcPr>
            <w:tcW w:w="2430"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50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Domestic</w:t>
            </w:r>
          </w:p>
        </w:tc>
        <w:tc>
          <w:tcPr>
            <w:tcW w:w="334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Foreign</w:t>
            </w:r>
          </w:p>
        </w:tc>
        <w:tc>
          <w:tcPr>
            <w:tcW w:w="378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A83DDA" w:rsidRPr="002F1795" w:rsidRDefault="00A83DDA" w:rsidP="006565F1">
            <w:pPr>
              <w:pStyle w:val="TableSubtitle"/>
            </w:pPr>
            <w:r w:rsidRPr="002F1795">
              <w:t>Total</w:t>
            </w:r>
          </w:p>
        </w:tc>
      </w:tr>
      <w:tr w:rsidR="00A83DDA" w:rsidRPr="002F1795" w:rsidTr="00CD500E">
        <w:trPr>
          <w:trHeight w:val="255"/>
          <w:tblHeader/>
          <w:jc w:val="center"/>
        </w:trPr>
        <w:tc>
          <w:tcPr>
            <w:tcW w:w="2430"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157"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0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24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093"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09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63"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24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308"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229"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Managerial</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Producers</w:t>
            </w:r>
            <w:r w:rsidRPr="002F1795">
              <w:rPr>
                <w:vertAlign w:val="superscript"/>
              </w:rPr>
              <w:t>1</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$108,928</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$332,378</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$441,306</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Fabricators</w:t>
            </w:r>
            <w:r w:rsidRPr="002F1795">
              <w:rPr>
                <w:vertAlign w:val="superscript"/>
              </w:rPr>
              <w:t>1</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$23,463,974</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$9,150,835</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$32,614,810</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Wholesalers</w:t>
            </w:r>
            <w:r w:rsidRPr="002F1795">
              <w:rPr>
                <w:vertAlign w:val="superscript"/>
              </w:rPr>
              <w:t>2</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$31,927,570</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$12,451,603</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$44,379,172</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Retailers</w:t>
            </w:r>
            <w:r w:rsidRPr="002F1795">
              <w:rPr>
                <w:vertAlign w:val="superscript"/>
              </w:rPr>
              <w:t>3</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$214,689,136</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$214,689,136</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w:t>
            </w:r>
            <w:r w:rsidRPr="002F1795">
              <w:rPr>
                <w:vertAlign w:val="superscript"/>
              </w:rPr>
              <w:t>4</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With Existing Certifications</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$23,406</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$218,076</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$241,482</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Without Existing Certifications</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$164,413</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$208,371</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pPr>
            <w:r w:rsidRPr="002F1795">
              <w:t>$372,785</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4</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$822,067</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$1,041,856</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pPr>
            <w:r w:rsidRPr="002F1795">
              <w:t>$1,863,923</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pStyle w:val="TableText"/>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jc w:val="center"/>
            </w:pPr>
            <w:r w:rsidRPr="002F1795">
              <w:t>-</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6. Qualifying Test Shipment</w:t>
            </w:r>
            <w:r w:rsidRPr="002F1795">
              <w:rPr>
                <w:vertAlign w:val="superscript"/>
              </w:rPr>
              <w:t>4</w:t>
            </w:r>
          </w:p>
        </w:tc>
      </w:tr>
      <w:tr w:rsidR="00474017" w:rsidRPr="002F1795" w:rsidTr="00474017">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7"/>
            </w:pPr>
            <w:r w:rsidRPr="002F1795">
              <w:t>1 Product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$214</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$2,284</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$2,498</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2 Products</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$10,276</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$13,059</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$23,335</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7. Correlation Test</w:t>
            </w:r>
            <w:r w:rsidRPr="002F1795">
              <w:rPr>
                <w:vertAlign w:val="superscript"/>
              </w:rPr>
              <w:t>4</w:t>
            </w:r>
          </w:p>
        </w:tc>
      </w:tr>
      <w:tr w:rsidR="00474017" w:rsidRPr="002F1795" w:rsidTr="00474017">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74017" w:rsidRPr="002F1795" w:rsidRDefault="00474017" w:rsidP="006565F1">
            <w:pPr>
              <w:pStyle w:val="TableText"/>
              <w:ind w:left="177"/>
            </w:pPr>
            <w:r w:rsidRPr="002F1795">
              <w:t>1 Product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474017" w:rsidRPr="002F1795" w:rsidRDefault="00474017"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$3,568</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$45,670</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74017" w:rsidRPr="002F1795" w:rsidRDefault="00474017">
            <w:pPr>
              <w:jc w:val="center"/>
              <w:rPr>
                <w:color w:val="000000"/>
                <w:sz w:val="18"/>
                <w:szCs w:val="18"/>
              </w:rPr>
            </w:pPr>
            <w:r w:rsidRPr="002F1795">
              <w:rPr>
                <w:color w:val="000000"/>
                <w:sz w:val="18"/>
                <w:szCs w:val="18"/>
              </w:rPr>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74017" w:rsidRPr="002F1795" w:rsidRDefault="00474017">
            <w:pPr>
              <w:jc w:val="right"/>
              <w:rPr>
                <w:color w:val="000000"/>
                <w:sz w:val="18"/>
                <w:szCs w:val="18"/>
              </w:rPr>
            </w:pPr>
            <w:r w:rsidRPr="002F1795">
              <w:rPr>
                <w:color w:val="000000"/>
                <w:sz w:val="18"/>
                <w:szCs w:val="18"/>
              </w:rPr>
              <w:t>$49,238</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2 Products</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 w:val="20"/>
              </w:rPr>
              <w:t>$411,034</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 w:val="20"/>
              </w:rPr>
              <w:t>$520,928</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 w:val="20"/>
              </w:rPr>
              <w:t>$931,962</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4</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Uncertified to Standard</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$237,201</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$131,873</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$369,074</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NAF (With New Certification)</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$3,140</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$60,228</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right"/>
            </w:pPr>
            <w:r w:rsidRPr="002F1795">
              <w:t>$63,368</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4</w:t>
            </w:r>
          </w:p>
        </w:tc>
      </w:tr>
      <w:tr w:rsidR="00DD211B" w:rsidRPr="002F1795" w:rsidTr="00C25C38">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D211B" w:rsidRPr="002F1795" w:rsidRDefault="00DD211B" w:rsidP="006565F1">
            <w:pPr>
              <w:pStyle w:val="TableText"/>
              <w:ind w:left="177"/>
            </w:pPr>
            <w:r w:rsidRPr="002F1795">
              <w:t>Uncertified to Standard</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D211B" w:rsidRPr="002F1795" w:rsidRDefault="00DD211B"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D211B" w:rsidRPr="002F1795" w:rsidRDefault="00DD211B"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$29,686</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$16,484</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$46,170</w:t>
            </w:r>
          </w:p>
        </w:tc>
      </w:tr>
      <w:tr w:rsidR="00322DBE" w:rsidRPr="002F1795" w:rsidTr="00C25C38">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22DBE" w:rsidRPr="002F1795" w:rsidRDefault="00322DBE" w:rsidP="006565F1">
            <w:pPr>
              <w:pStyle w:val="TableText"/>
              <w:ind w:left="177"/>
            </w:pPr>
            <w:r w:rsidRPr="002F1795">
              <w:t>NAF (With New Certification)</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$428</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$7,564</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$7,992</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4</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Uncertified to Standard</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$158,134</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$87,916</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$246,049</w:t>
            </w:r>
          </w:p>
        </w:tc>
      </w:tr>
      <w:tr w:rsidR="00322DBE" w:rsidRPr="002F1795" w:rsidTr="00C25C38">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22DBE" w:rsidRPr="002F1795" w:rsidRDefault="00322DBE" w:rsidP="006565F1">
            <w:pPr>
              <w:pStyle w:val="TableText"/>
              <w:ind w:left="177"/>
            </w:pPr>
            <w:r w:rsidRPr="002F1795">
              <w:t>NAF (With New Certification)</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22DBE" w:rsidRPr="002F1795" w:rsidRDefault="00322DBE"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22DBE" w:rsidRPr="002F1795" w:rsidRDefault="00322DBE"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$1,570</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$30,114</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$31,684</w:t>
            </w:r>
          </w:p>
        </w:tc>
      </w:tr>
      <w:tr w:rsidR="00A83DDA" w:rsidRPr="002F1795" w:rsidTr="00CD500E">
        <w:trPr>
          <w:trHeight w:val="255"/>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4</w:t>
            </w:r>
          </w:p>
        </w:tc>
      </w:tr>
      <w:tr w:rsidR="00322DBE" w:rsidRPr="002F1795" w:rsidTr="00C25C38">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22DBE" w:rsidRPr="002F1795" w:rsidRDefault="00322DBE" w:rsidP="006565F1">
            <w:pPr>
              <w:pStyle w:val="TableText"/>
              <w:ind w:left="177"/>
            </w:pPr>
            <w:r w:rsidRPr="002F1795">
              <w:lastRenderedPageBreak/>
              <w:t>Standard Certification</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22DBE" w:rsidRPr="002F1795" w:rsidRDefault="00322DBE"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22DBE" w:rsidRPr="002F1795" w:rsidRDefault="00322DBE"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$10,278,694</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$5,714,509</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$15,993,203</w:t>
            </w:r>
          </w:p>
        </w:tc>
      </w:tr>
      <w:tr w:rsidR="00322DBE" w:rsidRPr="002F1795" w:rsidTr="00C25C38">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22DBE" w:rsidRPr="002F1795" w:rsidRDefault="00322DBE" w:rsidP="006565F1">
            <w:pPr>
              <w:pStyle w:val="TableText"/>
              <w:ind w:left="177"/>
            </w:pPr>
            <w:r w:rsidRPr="002F1795">
              <w:t>New NAF Certification</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22DBE" w:rsidRPr="002F1795" w:rsidRDefault="00322DBE"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22DBE" w:rsidRPr="002F1795" w:rsidRDefault="00322DBE" w:rsidP="006565F1">
            <w:pPr>
              <w:keepNext/>
              <w:keepLines/>
              <w:jc w:val="center"/>
            </w:pPr>
            <w:r w:rsidRPr="002F1795">
              <w:t>-</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$102,045</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$1,957,405</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22DBE" w:rsidRPr="002F1795" w:rsidRDefault="00322DBE">
            <w:pPr>
              <w:jc w:val="center"/>
              <w:rPr>
                <w:color w:val="000000"/>
                <w:sz w:val="18"/>
                <w:szCs w:val="18"/>
              </w:rPr>
            </w:pPr>
            <w:r w:rsidRPr="002F1795">
              <w:rPr>
                <w:color w:val="000000"/>
                <w:sz w:val="18"/>
                <w:szCs w:val="18"/>
              </w:rPr>
              <w:t>-</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22DBE" w:rsidRPr="002F1795" w:rsidRDefault="00322DBE">
            <w:pPr>
              <w:jc w:val="right"/>
              <w:rPr>
                <w:color w:val="000000"/>
                <w:sz w:val="18"/>
                <w:szCs w:val="18"/>
              </w:rPr>
            </w:pPr>
            <w:r w:rsidRPr="002F1795">
              <w:rPr>
                <w:color w:val="000000"/>
                <w:sz w:val="18"/>
                <w:szCs w:val="18"/>
              </w:rPr>
              <w:t>$2,059,450</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5</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$12,955,676</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$18,045,210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$31,000,886</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rPr>
                <w:szCs w:val="18"/>
              </w:rPr>
            </w:pPr>
            <w:r w:rsidRPr="002F1795">
              <w:rPr>
                <w:color w:val="000000"/>
                <w:szCs w:val="18"/>
              </w:rPr>
              <w:t>Producers</w:t>
            </w:r>
            <w:r w:rsidRPr="002F1795">
              <w:rPr>
                <w:color w:val="000000"/>
                <w:szCs w:val="18"/>
                <w:vertAlign w:val="superscript"/>
              </w:rPr>
              <w:t>4</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$1,372,966</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$4,189,403</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$5,562,369</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99"/>
              <w:rPr>
                <w:rFonts w:ascii="Tahoma" w:hAnsi="Tahoma" w:cs="Tahoma"/>
                <w:szCs w:val="18"/>
              </w:rPr>
            </w:pPr>
            <w:r w:rsidRPr="002F1795">
              <w:rPr>
                <w:color w:val="000000"/>
                <w:szCs w:val="18"/>
              </w:rPr>
              <w:t>Fabricators with  costs - Employers</w:t>
            </w:r>
            <w:r w:rsidRPr="002F1795">
              <w:rPr>
                <w:color w:val="000000"/>
                <w:szCs w:val="18"/>
                <w:vertAlign w:val="superscript"/>
              </w:rPr>
              <w:t>6</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$28,106,957</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$10,953,446</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$39,060,403</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99"/>
              <w:rPr>
                <w:szCs w:val="18"/>
              </w:rPr>
            </w:pPr>
            <w:r w:rsidRPr="002F1795">
              <w:rPr>
                <w:color w:val="000000"/>
                <w:szCs w:val="18"/>
              </w:rPr>
              <w:t>Fabricators with costs - Nonemployers</w:t>
            </w:r>
            <w:r w:rsidRPr="002F1795">
              <w:rPr>
                <w:color w:val="000000"/>
                <w:szCs w:val="18"/>
                <w:vertAlign w:val="superscript"/>
              </w:rPr>
              <w:t>6</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$546,952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$213,301</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$760,253</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79"/>
              <w:rPr>
                <w:szCs w:val="18"/>
              </w:rPr>
            </w:pPr>
            <w:r w:rsidRPr="002F1795">
              <w:rPr>
                <w:color w:val="000000"/>
                <w:szCs w:val="18"/>
              </w:rPr>
              <w:t>Fabricators without costs</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9"/>
              <w:rPr>
                <w:szCs w:val="18"/>
              </w:rPr>
            </w:pPr>
            <w:r w:rsidRPr="002F1795">
              <w:rPr>
                <w:color w:val="000000"/>
                <w:szCs w:val="18"/>
              </w:rPr>
              <w:t>Wholesalers with costs - Employers</w:t>
            </w:r>
            <w:r w:rsidRPr="002F1795">
              <w:rPr>
                <w:color w:val="000000"/>
                <w:szCs w:val="18"/>
                <w:vertAlign w:val="superscript"/>
              </w:rPr>
              <w:t>5</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$13,157,953</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$18,327,504</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$31,485,457</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79"/>
              <w:rPr>
                <w:szCs w:val="18"/>
              </w:rPr>
            </w:pPr>
            <w:r w:rsidRPr="002F1795">
              <w:rPr>
                <w:color w:val="000000"/>
                <w:szCs w:val="18"/>
              </w:rPr>
              <w:t>Wholesalers with costs - Nonemployers</w:t>
            </w:r>
            <w:r w:rsidRPr="002F1795">
              <w:rPr>
                <w:color w:val="000000"/>
                <w:szCs w:val="18"/>
                <w:vertAlign w:val="superscript"/>
              </w:rPr>
              <w:t>5</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$383,049</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$533,735</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$916,758</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79"/>
              <w:rPr>
                <w:rFonts w:ascii="Tahoma" w:hAnsi="Tahoma" w:cs="Tahoma"/>
                <w:szCs w:val="18"/>
              </w:rPr>
            </w:pPr>
            <w:r w:rsidRPr="002F1795">
              <w:rPr>
                <w:color w:val="000000"/>
                <w:szCs w:val="18"/>
              </w:rPr>
              <w:t>Wholesalers without costs</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79"/>
              <w:rPr>
                <w:rFonts w:ascii="Tahoma" w:hAnsi="Tahoma" w:cs="Tahoma"/>
                <w:szCs w:val="18"/>
              </w:rPr>
            </w:pPr>
            <w:r w:rsidRPr="002F1795">
              <w:rPr>
                <w:color w:val="000000"/>
                <w:szCs w:val="18"/>
              </w:rPr>
              <w:t>Retailers</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keepNext/>
              <w:keepLines/>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keepNext/>
              <w:keepLines/>
              <w:jc w:val="center"/>
            </w:pPr>
            <w:r w:rsidRPr="002F1795">
              <w:t>-</w:t>
            </w:r>
          </w:p>
        </w:tc>
      </w:tr>
      <w:tr w:rsidR="00A83DDA" w:rsidRPr="002F1795" w:rsidTr="00CD500E">
        <w:trPr>
          <w:trHeight w:val="197"/>
          <w:jc w:val="center"/>
        </w:trPr>
        <w:tc>
          <w:tcPr>
            <w:tcW w:w="13068"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60"/>
            </w:pPr>
            <w:r w:rsidRPr="002F1795">
              <w:t>Minor Changes - Producers</w:t>
            </w:r>
            <w:r w:rsidRPr="002F1795">
              <w:rPr>
                <w:vertAlign w:val="superscript"/>
              </w:rPr>
              <w:t>6</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$13,861</w:t>
            </w:r>
          </w:p>
        </w:tc>
        <w:tc>
          <w:tcPr>
            <w:tcW w:w="1105" w:type="dxa"/>
            <w:tcBorders>
              <w:top w:val="single" w:sz="4" w:space="0" w:color="auto"/>
              <w:left w:val="nil"/>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$152,170</w:t>
            </w:r>
          </w:p>
        </w:tc>
        <w:tc>
          <w:tcPr>
            <w:tcW w:w="1092" w:type="dxa"/>
            <w:tcBorders>
              <w:top w:val="single" w:sz="4" w:space="0" w:color="auto"/>
              <w:left w:val="nil"/>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$166,031</w:t>
            </w:r>
          </w:p>
        </w:tc>
        <w:tc>
          <w:tcPr>
            <w:tcW w:w="13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60"/>
            </w:pPr>
            <w:r w:rsidRPr="002F1795">
              <w:t>Minor Changes – Fabricators</w:t>
            </w:r>
            <w:r w:rsidRPr="002F1795">
              <w:rPr>
                <w:vertAlign w:val="superscript"/>
              </w:rPr>
              <w:t>7</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w:t>
            </w:r>
          </w:p>
        </w:tc>
        <w:tc>
          <w:tcPr>
            <w:tcW w:w="11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$8,538,355</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$3,318,391</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c>
          <w:tcPr>
            <w:tcW w:w="13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$11,856,746</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right"/>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60"/>
            </w:pPr>
            <w:r w:rsidRPr="002F1795">
              <w:t>Major Changes – Producers</w:t>
            </w:r>
            <w:r w:rsidRPr="002F1795">
              <w:rPr>
                <w:vertAlign w:val="superscript"/>
              </w:rPr>
              <w:t>6</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$688,068</w:t>
            </w:r>
          </w:p>
        </w:tc>
        <w:tc>
          <w:tcPr>
            <w:tcW w:w="11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$268,272</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$956,340</w:t>
            </w:r>
          </w:p>
        </w:tc>
        <w:tc>
          <w:tcPr>
            <w:tcW w:w="13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A83DDA" w:rsidRPr="002F1795" w:rsidTr="00CD500E">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60"/>
            </w:pPr>
            <w:r w:rsidRPr="002F1795">
              <w:t>Major Changes - Fabricators and Wholesalers</w:t>
            </w:r>
            <w:r w:rsidRPr="002F1795">
              <w:rPr>
                <w:vertAlign w:val="superscript"/>
              </w:rPr>
              <w:t>7</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$72,009,582</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$28,084,888</w:t>
            </w: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jc w:val="center"/>
            </w:pPr>
            <w:r w:rsidRPr="002F1795">
              <w:t>-</w:t>
            </w:r>
          </w:p>
        </w:tc>
        <w:tc>
          <w:tcPr>
            <w:tcW w:w="13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r w:rsidRPr="002F1795">
              <w:t>$100,094,470</w:t>
            </w:r>
          </w:p>
        </w:tc>
        <w:tc>
          <w:tcPr>
            <w:tcW w:w="122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keepNext/>
              <w:keepLines/>
              <w:jc w:val="center"/>
            </w:pPr>
            <w:r w:rsidRPr="002F1795">
              <w:t>-</w:t>
            </w:r>
          </w:p>
        </w:tc>
      </w:tr>
      <w:tr w:rsidR="00DD211B" w:rsidRPr="002F1795" w:rsidTr="00C25C38">
        <w:trPr>
          <w:trHeight w:val="77"/>
          <w:jc w:val="center"/>
        </w:trPr>
        <w:tc>
          <w:tcPr>
            <w:tcW w:w="2430"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D211B" w:rsidRPr="002F1795" w:rsidRDefault="00DD211B" w:rsidP="006565F1">
            <w:pPr>
              <w:pStyle w:val="TableText"/>
              <w:rPr>
                <w:b/>
                <w:bCs/>
              </w:rPr>
            </w:pPr>
            <w:r w:rsidRPr="002F1795">
              <w:rPr>
                <w:b/>
                <w:bCs/>
              </w:rPr>
              <w:t>Total - Year 1</w:t>
            </w:r>
          </w:p>
        </w:tc>
        <w:tc>
          <w:tcPr>
            <w:tcW w:w="11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$57,225,482</w:t>
            </w:r>
          </w:p>
        </w:tc>
        <w:tc>
          <w:tcPr>
            <w:tcW w:w="11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$80,547,937</w:t>
            </w:r>
          </w:p>
        </w:tc>
        <w:tc>
          <w:tcPr>
            <w:tcW w:w="124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$282,435,484</w:t>
            </w:r>
          </w:p>
        </w:tc>
        <w:tc>
          <w:tcPr>
            <w:tcW w:w="10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$52,683,041</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$31,403,279</w:t>
            </w:r>
          </w:p>
        </w:tc>
        <w:tc>
          <w:tcPr>
            <w:tcW w:w="116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$31,991,153</w:t>
            </w:r>
          </w:p>
        </w:tc>
        <w:tc>
          <w:tcPr>
            <w:tcW w:w="12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$109,908,497</w:t>
            </w:r>
          </w:p>
        </w:tc>
        <w:tc>
          <w:tcPr>
            <w:tcW w:w="13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$111,951,216</w:t>
            </w:r>
          </w:p>
        </w:tc>
        <w:tc>
          <w:tcPr>
            <w:tcW w:w="122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D211B" w:rsidRPr="002F1795" w:rsidRDefault="00DD211B">
            <w:pPr>
              <w:jc w:val="right"/>
              <w:rPr>
                <w:b/>
                <w:bCs/>
                <w:color w:val="000000"/>
                <w:sz w:val="18"/>
                <w:szCs w:val="18"/>
              </w:rPr>
            </w:pPr>
            <w:r w:rsidRPr="002F1795">
              <w:rPr>
                <w:b/>
                <w:bCs/>
                <w:color w:val="000000"/>
                <w:sz w:val="18"/>
                <w:szCs w:val="18"/>
              </w:rPr>
              <w:t>$314,426,637</w:t>
            </w:r>
          </w:p>
        </w:tc>
      </w:tr>
      <w:tr w:rsidR="00A83DDA" w:rsidRPr="002F1795" w:rsidTr="00CD500E">
        <w:trPr>
          <w:trHeight w:val="1241"/>
          <w:jc w:val="center"/>
        </w:trPr>
        <w:tc>
          <w:tcPr>
            <w:tcW w:w="13068"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The analysis uses a loaded wage rate of $73.60 for rule familiarization for composite panel producers and fabricators.</w:t>
            </w:r>
          </w:p>
          <w:p w:rsidR="00A83DDA" w:rsidRPr="002F1795" w:rsidRDefault="00A83DDA" w:rsidP="006565F1">
            <w:pPr>
              <w:pStyle w:val="tablefootnote"/>
              <w:keepLines/>
            </w:pPr>
            <w:r w:rsidRPr="002F1795">
              <w:t>2. The analysis uses a loaded wage rate of $93.29 for rule familiarization for wholesalers.</w:t>
            </w:r>
          </w:p>
          <w:p w:rsidR="00A83DDA" w:rsidRPr="002F1795" w:rsidRDefault="00A83DDA" w:rsidP="006565F1">
            <w:pPr>
              <w:pStyle w:val="tablefootnote"/>
              <w:keepLines/>
            </w:pPr>
            <w:r w:rsidRPr="002F1795">
              <w:t>3. The analysis uses a loaded wage rate of $70.71 for rule familiarization for retailers.</w:t>
            </w:r>
          </w:p>
          <w:p w:rsidR="00A83DDA" w:rsidRPr="002F1795" w:rsidRDefault="00A83DDA" w:rsidP="006565F1">
            <w:pPr>
              <w:pStyle w:val="tablefootnote"/>
              <w:keepLines/>
            </w:pPr>
            <w:r w:rsidRPr="002F1795">
              <w:t>4. The analysis uses a loaded wage rate of $71.36 for testing and certification and recordkeeping for composite panel producers.</w:t>
            </w:r>
          </w:p>
          <w:p w:rsidR="00A83DDA" w:rsidRPr="002F1795" w:rsidRDefault="00A83DDA" w:rsidP="006565F1">
            <w:pPr>
              <w:pStyle w:val="tablefootnote"/>
              <w:keepLines/>
            </w:pPr>
            <w:r w:rsidRPr="002F1795">
              <w:t>5. The analysis uses a loaded wage rate of $25.54 for recordkeeping for wholesalers.</w:t>
            </w:r>
          </w:p>
          <w:p w:rsidR="00A83DDA" w:rsidRPr="002F1795" w:rsidRDefault="00A83DDA" w:rsidP="006565F1">
            <w:pPr>
              <w:pStyle w:val="tablefootnote"/>
              <w:keepLines/>
            </w:pPr>
            <w:r w:rsidRPr="002F1795">
              <w:t>6. The analysis uses a loaded wage rate of $24.84 for recordkeeping for fabricators and labeling for producers.</w:t>
            </w:r>
          </w:p>
          <w:p w:rsidR="00A83DDA" w:rsidRPr="002F1795" w:rsidRDefault="00A83DDA" w:rsidP="006565F1">
            <w:pPr>
              <w:pStyle w:val="tablefootnote"/>
              <w:keepLines/>
            </w:pPr>
            <w:r w:rsidRPr="002F1795">
              <w:t>7. The analysis uses a loaded wage rate of $44.27 for labeling for fabricators and wholesalers.</w:t>
            </w:r>
          </w:p>
        </w:tc>
      </w:tr>
    </w:tbl>
    <w:p w:rsidR="00A83DDA" w:rsidRPr="002F1795" w:rsidRDefault="00A83DDA" w:rsidP="00A83DDA">
      <w:pPr>
        <w:numPr>
          <w:ilvl w:val="12"/>
          <w:numId w:val="0"/>
        </w:numPr>
        <w:rPr>
          <w:u w:val="single"/>
        </w:rPr>
      </w:pPr>
    </w:p>
    <w:tbl>
      <w:tblPr>
        <w:tblW w:w="5000" w:type="pct"/>
        <w:jc w:val="center"/>
        <w:tblLook w:val="04A0"/>
      </w:tblPr>
      <w:tblGrid>
        <w:gridCol w:w="2926"/>
        <w:gridCol w:w="1116"/>
        <w:gridCol w:w="1039"/>
        <w:gridCol w:w="1135"/>
        <w:gridCol w:w="1116"/>
        <w:gridCol w:w="966"/>
        <w:gridCol w:w="1243"/>
        <w:gridCol w:w="1187"/>
        <w:gridCol w:w="1332"/>
        <w:gridCol w:w="1116"/>
      </w:tblGrid>
      <w:tr w:rsidR="00A83DDA" w:rsidRPr="002F1795" w:rsidTr="006565F1">
        <w:trPr>
          <w:trHeight w:val="67"/>
          <w:tblHeader/>
          <w:jc w:val="center"/>
        </w:trPr>
        <w:tc>
          <w:tcPr>
            <w:tcW w:w="13176"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pPr>
            <w:bookmarkStart w:id="23" w:name="_Ref309299053"/>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20</w:t>
            </w:r>
            <w:r w:rsidR="0041046E">
              <w:rPr>
                <w:noProof/>
              </w:rPr>
              <w:fldChar w:fldCharType="end"/>
            </w:r>
            <w:bookmarkEnd w:id="23"/>
            <w:r w:rsidRPr="002F1795">
              <w:t>: Incremental Second and Third Year Labor Costs, by Activity and Geographic Location ($2010)</w:t>
            </w:r>
          </w:p>
        </w:tc>
      </w:tr>
      <w:tr w:rsidR="00A83DDA" w:rsidRPr="002F1795" w:rsidTr="006565F1">
        <w:trPr>
          <w:trHeight w:val="80"/>
          <w:tblHeader/>
          <w:jc w:val="center"/>
        </w:trPr>
        <w:tc>
          <w:tcPr>
            <w:tcW w:w="2926"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29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Domestic</w:t>
            </w:r>
          </w:p>
        </w:tc>
        <w:tc>
          <w:tcPr>
            <w:tcW w:w="332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Foreign</w:t>
            </w:r>
          </w:p>
        </w:tc>
        <w:tc>
          <w:tcPr>
            <w:tcW w:w="363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A83DDA" w:rsidRPr="002F1795" w:rsidRDefault="00A83DDA" w:rsidP="006565F1">
            <w:pPr>
              <w:pStyle w:val="TableSubtitle"/>
            </w:pPr>
            <w:r w:rsidRPr="002F1795">
              <w:t>Total</w:t>
            </w:r>
          </w:p>
        </w:tc>
      </w:tr>
      <w:tr w:rsidR="00A83DDA" w:rsidRPr="002F1795" w:rsidTr="006565F1">
        <w:trPr>
          <w:trHeight w:val="255"/>
          <w:tblHeader/>
          <w:jc w:val="center"/>
        </w:trPr>
        <w:tc>
          <w:tcPr>
            <w:tcW w:w="2926"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11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03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3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11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96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243"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187"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33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16"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Managerial</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 Rule Familiarization</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Producers</w:t>
            </w:r>
            <w:r w:rsidRPr="002F1795">
              <w:rPr>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Fabricators</w:t>
            </w:r>
            <w:r w:rsidRPr="002F1795">
              <w:rPr>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Wholesalers</w:t>
            </w:r>
            <w:r w:rsidRPr="002F1795">
              <w:rPr>
                <w:vertAlign w:val="superscript"/>
              </w:rPr>
              <w:t>2</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7"/>
            </w:pPr>
            <w:r w:rsidRPr="002F1795">
              <w:t>Retailers</w:t>
            </w:r>
            <w:r w:rsidRPr="002F1795">
              <w:rPr>
                <w:vertAlign w:val="superscript"/>
              </w:rPr>
              <w:t>3</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3. Initial On-site Audit</w:t>
            </w:r>
            <w:r w:rsidRPr="002F1795">
              <w:rPr>
                <w:vertAlign w:val="superscript"/>
              </w:rPr>
              <w:t>4</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With Existing Certifications</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Without Existing Certifications</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r w:rsidRPr="002F1795">
              <w:rPr>
                <w:vertAlign w:val="superscript"/>
              </w:rPr>
              <w:t>4</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125"/>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89"/>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Shipment</w:t>
            </w:r>
            <w:r w:rsidRPr="002F1795">
              <w:rPr>
                <w:vertAlign w:val="superscript"/>
              </w:rPr>
              <w:t>4</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1 Product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2 Products</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4</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1 Product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2 Products</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8. Quarterly On-site Audit</w:t>
            </w:r>
            <w:r w:rsidRPr="002F1795">
              <w:rPr>
                <w:vertAlign w:val="superscript"/>
              </w:rPr>
              <w:t>4</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Uncertified to Standard</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$316,268</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$175,831</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$492,099</w:t>
            </w:r>
          </w:p>
        </w:tc>
      </w:tr>
      <w:tr w:rsidR="00C25C38" w:rsidRPr="002F1795" w:rsidTr="00C25C38">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C25C38" w:rsidRPr="002F1795" w:rsidRDefault="00C25C38" w:rsidP="006565F1">
            <w:pPr>
              <w:pStyle w:val="TableText"/>
              <w:ind w:left="211"/>
            </w:pPr>
            <w:r w:rsidRPr="002F1795">
              <w:t>NAF (With New Certification)</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25C38" w:rsidRPr="002F1795" w:rsidRDefault="00C25C38"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25C38" w:rsidRPr="002F1795" w:rsidRDefault="00C25C38" w:rsidP="006565F1">
            <w:pPr>
              <w:pStyle w:val="TableText"/>
              <w:jc w:val="center"/>
            </w:pPr>
            <w:r w:rsidRPr="002F1795">
              <w:t>-</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25C38" w:rsidRPr="002F1795" w:rsidRDefault="00C25C38">
            <w:pPr>
              <w:jc w:val="right"/>
              <w:rPr>
                <w:color w:val="000000"/>
                <w:sz w:val="18"/>
                <w:szCs w:val="18"/>
              </w:rPr>
            </w:pPr>
            <w:r w:rsidRPr="002F1795">
              <w:rPr>
                <w:color w:val="000000"/>
                <w:sz w:val="18"/>
                <w:szCs w:val="18"/>
              </w:rPr>
              <w:t>$9,420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5C38" w:rsidRPr="002F1795" w:rsidRDefault="00C25C38">
            <w:pPr>
              <w:jc w:val="center"/>
              <w:rPr>
                <w:color w:val="000000"/>
                <w:sz w:val="18"/>
                <w:szCs w:val="18"/>
              </w:rPr>
            </w:pPr>
            <w:r w:rsidRPr="002F1795">
              <w:rPr>
                <w:color w:val="000000"/>
                <w:sz w:val="18"/>
                <w:szCs w:val="18"/>
              </w:rPr>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5C38" w:rsidRPr="002F1795" w:rsidRDefault="00C25C38">
            <w:pPr>
              <w:jc w:val="center"/>
              <w:rPr>
                <w:color w:val="000000"/>
                <w:sz w:val="18"/>
                <w:szCs w:val="18"/>
              </w:rPr>
            </w:pPr>
            <w:r w:rsidRPr="002F1795">
              <w:rPr>
                <w:color w:val="000000"/>
                <w:sz w:val="18"/>
                <w:szCs w:val="18"/>
              </w:rPr>
              <w:t>-</w:t>
            </w:r>
          </w:p>
        </w:tc>
        <w:tc>
          <w:tcPr>
            <w:tcW w:w="12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25C38" w:rsidRPr="002F1795" w:rsidRDefault="00C25C38">
            <w:pPr>
              <w:jc w:val="right"/>
              <w:rPr>
                <w:color w:val="000000"/>
                <w:sz w:val="18"/>
                <w:szCs w:val="18"/>
              </w:rPr>
            </w:pPr>
            <w:r w:rsidRPr="002F1795">
              <w:rPr>
                <w:color w:val="000000"/>
                <w:sz w:val="18"/>
                <w:szCs w:val="18"/>
              </w:rPr>
              <w:t>$180,684</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5C38" w:rsidRPr="002F1795" w:rsidRDefault="00C25C38">
            <w:pPr>
              <w:jc w:val="center"/>
              <w:rPr>
                <w:color w:val="000000"/>
                <w:sz w:val="18"/>
                <w:szCs w:val="18"/>
              </w:rPr>
            </w:pPr>
            <w:r w:rsidRPr="002F1795">
              <w:rPr>
                <w:color w:val="000000"/>
                <w:sz w:val="18"/>
                <w:szCs w:val="18"/>
              </w:rPr>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5C38" w:rsidRPr="002F1795" w:rsidRDefault="00C25C38">
            <w:pPr>
              <w:jc w:val="center"/>
              <w:rPr>
                <w:color w:val="000000"/>
                <w:sz w:val="18"/>
                <w:szCs w:val="18"/>
              </w:rPr>
            </w:pPr>
            <w:r w:rsidRPr="002F1795">
              <w:rPr>
                <w:color w:val="000000"/>
                <w:sz w:val="18"/>
                <w:szCs w:val="18"/>
              </w:rPr>
              <w:t>-</w:t>
            </w:r>
          </w:p>
        </w:tc>
        <w:tc>
          <w:tcPr>
            <w:tcW w:w="1116"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C25C38" w:rsidRPr="002F1795" w:rsidRDefault="00C25C38">
            <w:pPr>
              <w:jc w:val="right"/>
              <w:rPr>
                <w:color w:val="000000"/>
                <w:sz w:val="18"/>
                <w:szCs w:val="18"/>
              </w:rPr>
            </w:pPr>
            <w:r w:rsidRPr="002F1795">
              <w:rPr>
                <w:color w:val="000000"/>
                <w:sz w:val="18"/>
                <w:szCs w:val="18"/>
              </w:rPr>
              <w:t>$190,103</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10.  Large Scale Testing Shipment</w:t>
            </w:r>
            <w:r w:rsidRPr="002F1795">
              <w:rPr>
                <w:vertAlign w:val="superscript"/>
              </w:rPr>
              <w:t>4</w:t>
            </w:r>
          </w:p>
        </w:tc>
      </w:tr>
      <w:tr w:rsidR="00DD211B" w:rsidRPr="002F1795" w:rsidTr="002725E7">
        <w:trPr>
          <w:trHeight w:val="89"/>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D211B" w:rsidRPr="002F1795" w:rsidRDefault="00DD211B" w:rsidP="006565F1">
            <w:pPr>
              <w:pStyle w:val="TableText"/>
              <w:ind w:left="211"/>
            </w:pPr>
            <w:r w:rsidRPr="002F1795">
              <w:t>Uncertified to Standard</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D211B" w:rsidRPr="002F1795" w:rsidRDefault="00DD211B"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D211B" w:rsidRPr="002F1795" w:rsidRDefault="00DD211B" w:rsidP="006565F1">
            <w:pPr>
              <w:pStyle w:val="TableText"/>
              <w:jc w:val="center"/>
            </w:pPr>
            <w:r w:rsidRPr="002F1795">
              <w:t>-</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$39,533</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2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$21,979</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c>
          <w:tcPr>
            <w:tcW w:w="1116"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D211B" w:rsidRPr="002F1795" w:rsidRDefault="00DD211B">
            <w:pPr>
              <w:jc w:val="right"/>
              <w:rPr>
                <w:color w:val="000000"/>
                <w:sz w:val="18"/>
                <w:szCs w:val="18"/>
              </w:rPr>
            </w:pPr>
            <w:r w:rsidRPr="002F1795">
              <w:rPr>
                <w:color w:val="000000"/>
                <w:sz w:val="18"/>
                <w:szCs w:val="18"/>
              </w:rPr>
              <w:t>$61,512</w:t>
            </w:r>
          </w:p>
        </w:tc>
      </w:tr>
      <w:tr w:rsidR="00FA181F" w:rsidRPr="002F1795" w:rsidTr="002725E7">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ind w:left="211"/>
            </w:pPr>
            <w:r w:rsidRPr="002F1795">
              <w:t>NAF (With New Certification)</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right"/>
            </w:pPr>
            <w:r w:rsidRPr="002F1795">
              <w:t>$428</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2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right"/>
            </w:pPr>
            <w:r w:rsidRPr="002F1795">
              <w:t>$7,564</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116"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A181F" w:rsidRPr="002F1795" w:rsidRDefault="00FA181F">
            <w:pPr>
              <w:jc w:val="right"/>
              <w:rPr>
                <w:color w:val="000000"/>
                <w:sz w:val="18"/>
                <w:szCs w:val="18"/>
              </w:rPr>
            </w:pPr>
            <w:r w:rsidRPr="002F1795">
              <w:rPr>
                <w:color w:val="000000"/>
                <w:sz w:val="18"/>
                <w:szCs w:val="18"/>
              </w:rPr>
              <w:t>$7,992</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12. Desk Audits</w:t>
            </w:r>
            <w:r w:rsidRPr="002F1795">
              <w:rPr>
                <w:vertAlign w:val="superscript"/>
              </w:rPr>
              <w:t>4</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Uncertified to Standard</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$158,134</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$87,916</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right"/>
            </w:pPr>
            <w:r w:rsidRPr="002F1795">
              <w:t>$246,049</w:t>
            </w:r>
          </w:p>
        </w:tc>
      </w:tr>
      <w:tr w:rsidR="00FA181F"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ind w:left="211"/>
            </w:pPr>
            <w:r w:rsidRPr="002F1795">
              <w:t>NAF (With New Certification)</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2725E7">
            <w:pPr>
              <w:pStyle w:val="TableText"/>
              <w:jc w:val="right"/>
            </w:pPr>
            <w:r w:rsidRPr="002F1795">
              <w:t>$6,280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2725E7">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2725E7">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2725E7">
            <w:pPr>
              <w:pStyle w:val="TableText"/>
              <w:jc w:val="right"/>
            </w:pPr>
            <w:r w:rsidRPr="002F1795">
              <w:t>$65,080</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2725E7">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2725E7">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FA181F" w:rsidRPr="002F1795" w:rsidRDefault="00FA181F" w:rsidP="002725E7">
            <w:pPr>
              <w:pStyle w:val="TableText"/>
              <w:jc w:val="right"/>
            </w:pPr>
            <w:r w:rsidRPr="002F1795">
              <w:t>$71,360</w:t>
            </w:r>
          </w:p>
        </w:tc>
      </w:tr>
      <w:tr w:rsidR="00A83DDA" w:rsidRPr="002F1795" w:rsidTr="006565F1">
        <w:trPr>
          <w:trHeight w:val="233"/>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13. Purchase of Small Chamber Testing Unit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89"/>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14. Quality Control Testing</w:t>
            </w:r>
            <w:r w:rsidRPr="002F1795">
              <w:rPr>
                <w:vertAlign w:val="superscript"/>
              </w:rPr>
              <w:t>4</w:t>
            </w:r>
          </w:p>
        </w:tc>
      </w:tr>
      <w:tr w:rsidR="00FA181F" w:rsidRPr="002F1795" w:rsidTr="002725E7">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ind w:left="211"/>
            </w:pPr>
            <w:r w:rsidRPr="002F1795">
              <w:t>Standard Certification</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A181F" w:rsidRPr="002F1795" w:rsidRDefault="00FA181F" w:rsidP="006565F1">
            <w:pPr>
              <w:pStyle w:val="TableText"/>
              <w:jc w:val="center"/>
            </w:pPr>
            <w:r w:rsidRPr="002F1795">
              <w:t>-</w:t>
            </w:r>
          </w:p>
        </w:tc>
        <w:tc>
          <w:tcPr>
            <w:tcW w:w="113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A181F" w:rsidRPr="002F1795" w:rsidRDefault="00FA181F">
            <w:pPr>
              <w:jc w:val="right"/>
              <w:rPr>
                <w:color w:val="000000"/>
                <w:sz w:val="18"/>
                <w:szCs w:val="18"/>
              </w:rPr>
            </w:pPr>
            <w:r w:rsidRPr="002F1795">
              <w:rPr>
                <w:color w:val="000000"/>
                <w:sz w:val="18"/>
                <w:szCs w:val="18"/>
              </w:rPr>
              <w:t>$10,278,694</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A181F" w:rsidRPr="002F1795" w:rsidRDefault="00FA181F">
            <w:pPr>
              <w:jc w:val="center"/>
              <w:rPr>
                <w:color w:val="000000"/>
                <w:sz w:val="18"/>
                <w:szCs w:val="18"/>
              </w:rPr>
            </w:pPr>
            <w:r w:rsidRPr="002F1795">
              <w:rPr>
                <w:color w:val="000000"/>
                <w:sz w:val="18"/>
                <w:szCs w:val="18"/>
              </w:rPr>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A181F" w:rsidRPr="002F1795" w:rsidRDefault="00FA181F">
            <w:pPr>
              <w:jc w:val="center"/>
              <w:rPr>
                <w:color w:val="000000"/>
                <w:sz w:val="18"/>
                <w:szCs w:val="18"/>
              </w:rPr>
            </w:pPr>
            <w:r w:rsidRPr="002F1795">
              <w:rPr>
                <w:color w:val="000000"/>
                <w:sz w:val="18"/>
                <w:szCs w:val="18"/>
              </w:rPr>
              <w:t>-</w:t>
            </w:r>
          </w:p>
        </w:tc>
        <w:tc>
          <w:tcPr>
            <w:tcW w:w="12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A181F" w:rsidRPr="002F1795" w:rsidRDefault="00FA181F">
            <w:pPr>
              <w:jc w:val="right"/>
              <w:rPr>
                <w:color w:val="000000"/>
                <w:sz w:val="18"/>
                <w:szCs w:val="18"/>
              </w:rPr>
            </w:pPr>
            <w:r w:rsidRPr="002F1795">
              <w:rPr>
                <w:color w:val="000000"/>
                <w:sz w:val="18"/>
                <w:szCs w:val="18"/>
              </w:rPr>
              <w:t>$5,714,509</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A181F" w:rsidRPr="002F1795" w:rsidRDefault="00FA181F">
            <w:pPr>
              <w:jc w:val="center"/>
              <w:rPr>
                <w:color w:val="000000"/>
                <w:sz w:val="18"/>
                <w:szCs w:val="18"/>
              </w:rPr>
            </w:pPr>
            <w:r w:rsidRPr="002F1795">
              <w:rPr>
                <w:color w:val="000000"/>
                <w:sz w:val="18"/>
                <w:szCs w:val="18"/>
              </w:rPr>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A181F" w:rsidRPr="002F1795" w:rsidRDefault="00FA181F">
            <w:pPr>
              <w:jc w:val="center"/>
              <w:rPr>
                <w:color w:val="000000"/>
                <w:sz w:val="18"/>
                <w:szCs w:val="18"/>
              </w:rPr>
            </w:pPr>
            <w:r w:rsidRPr="002F1795">
              <w:rPr>
                <w:color w:val="000000"/>
                <w:sz w:val="18"/>
                <w:szCs w:val="18"/>
              </w:rPr>
              <w:t>-</w:t>
            </w:r>
          </w:p>
        </w:tc>
        <w:tc>
          <w:tcPr>
            <w:tcW w:w="1116"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A181F" w:rsidRPr="002F1795" w:rsidRDefault="00FA181F">
            <w:pPr>
              <w:jc w:val="right"/>
              <w:rPr>
                <w:color w:val="000000"/>
                <w:sz w:val="18"/>
                <w:szCs w:val="18"/>
              </w:rPr>
            </w:pPr>
            <w:r w:rsidRPr="002F1795">
              <w:rPr>
                <w:color w:val="000000"/>
                <w:sz w:val="18"/>
                <w:szCs w:val="18"/>
              </w:rPr>
              <w:t>$15,993,203</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pPr>
            <w:r w:rsidRPr="002F1795">
              <w:t>New NAF Certification</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116"/>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16. Initial Recordkeeping</w:t>
            </w:r>
            <w:r w:rsidRPr="002F1795">
              <w:rPr>
                <w:vertAlign w:val="superscript"/>
              </w:rPr>
              <w:t>5</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pPr>
            <w:r w:rsidRPr="002F1795">
              <w:t>17. Recurring Recordkeeping</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211"/>
              <w:rPr>
                <w:szCs w:val="18"/>
              </w:rPr>
            </w:pPr>
            <w:r w:rsidRPr="002F1795">
              <w:rPr>
                <w:color w:val="000000"/>
                <w:szCs w:val="18"/>
              </w:rPr>
              <w:t>Producers</w:t>
            </w:r>
            <w:r w:rsidRPr="002F1795">
              <w:rPr>
                <w:color w:val="000000"/>
                <w:szCs w:val="18"/>
                <w:vertAlign w:val="superscript"/>
              </w:rPr>
              <w:t>4</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$1,372,966</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color w:val="000000"/>
                <w:szCs w:val="18"/>
              </w:rPr>
            </w:pPr>
            <w:r w:rsidRPr="002F1795">
              <w:rPr>
                <w:color w:val="000000"/>
                <w:szCs w:val="18"/>
              </w:rPr>
              <w:t>$4,189,403</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$5,562,369</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9"/>
              <w:rPr>
                <w:rFonts w:ascii="Tahoma" w:hAnsi="Tahoma" w:cs="Tahoma"/>
                <w:szCs w:val="18"/>
              </w:rPr>
            </w:pPr>
            <w:r w:rsidRPr="002F1795">
              <w:rPr>
                <w:color w:val="000000"/>
                <w:szCs w:val="18"/>
              </w:rPr>
              <w:t>Fabricators with  costs - Employers</w:t>
            </w:r>
            <w:r w:rsidRPr="002F1795">
              <w:rPr>
                <w:color w:val="000000"/>
                <w:szCs w:val="18"/>
                <w:vertAlign w:val="superscript"/>
              </w:rPr>
              <w:t>6</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$28,106,957</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color w:val="000000"/>
                <w:szCs w:val="18"/>
              </w:rPr>
            </w:pPr>
            <w:r w:rsidRPr="002F1795">
              <w:rPr>
                <w:color w:val="000000"/>
                <w:szCs w:val="18"/>
              </w:rPr>
              <w:t>$10,953,446</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$39,060,403</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79"/>
              <w:rPr>
                <w:rFonts w:ascii="Tahoma" w:hAnsi="Tahoma" w:cs="Tahoma"/>
                <w:szCs w:val="18"/>
              </w:rPr>
            </w:pPr>
            <w:r w:rsidRPr="002F1795">
              <w:rPr>
                <w:color w:val="000000"/>
                <w:szCs w:val="18"/>
              </w:rPr>
              <w:t xml:space="preserve">Fabricators with costs - </w:t>
            </w:r>
            <w:r w:rsidRPr="002F1795">
              <w:rPr>
                <w:color w:val="000000"/>
                <w:szCs w:val="18"/>
              </w:rPr>
              <w:lastRenderedPageBreak/>
              <w:t>Nonemployers</w:t>
            </w:r>
            <w:r w:rsidRPr="002F1795">
              <w:rPr>
                <w:color w:val="000000"/>
                <w:szCs w:val="18"/>
                <w:vertAlign w:val="superscript"/>
              </w:rPr>
              <w:t>6</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lastRenderedPageBreak/>
              <w:t>$546,952</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color w:val="000000"/>
                <w:szCs w:val="18"/>
              </w:rPr>
            </w:pPr>
            <w:r w:rsidRPr="002F1795">
              <w:rPr>
                <w:color w:val="000000"/>
                <w:szCs w:val="18"/>
              </w:rPr>
              <w:t>$213,301</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$760,253</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lastRenderedPageBreak/>
              <w:t>Fabricators without costs</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szCs w:val="18"/>
              </w:rPr>
            </w:pPr>
            <w:r w:rsidRPr="002F1795">
              <w:rPr>
                <w:color w:val="000000"/>
                <w:szCs w:val="18"/>
              </w:rPr>
              <w:t>Wholesalers with costs - Employers</w:t>
            </w:r>
            <w:r w:rsidRPr="002F1795">
              <w:rPr>
                <w:color w:val="000000"/>
                <w:szCs w:val="18"/>
                <w:vertAlign w:val="superscript"/>
              </w:rPr>
              <w:t>5</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$13,157,953</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$18,327,504</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rPr>
                <w:szCs w:val="18"/>
              </w:rPr>
            </w:pPr>
            <w:r w:rsidRPr="002F1795">
              <w:rPr>
                <w:color w:val="000000"/>
                <w:szCs w:val="18"/>
              </w:rPr>
              <w:t>$31,485,457</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szCs w:val="18"/>
              </w:rPr>
            </w:pPr>
            <w:r w:rsidRPr="002F1795">
              <w:rPr>
                <w:color w:val="000000"/>
                <w:szCs w:val="18"/>
              </w:rPr>
              <w:t>Wholesalers with costs - Nonemployers</w:t>
            </w:r>
            <w:r w:rsidRPr="002F1795">
              <w:rPr>
                <w:color w:val="000000"/>
                <w:szCs w:val="18"/>
                <w:vertAlign w:val="superscript"/>
              </w:rPr>
              <w:t>5</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$383,049</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$533,735</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right"/>
              <w:rPr>
                <w:szCs w:val="18"/>
              </w:rPr>
            </w:pPr>
            <w:r w:rsidRPr="002F1795">
              <w:rPr>
                <w:color w:val="000000"/>
                <w:szCs w:val="18"/>
              </w:rPr>
              <w:t>$916,758</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Wholesalers without costs</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ind w:left="180"/>
              <w:rPr>
                <w:rFonts w:ascii="Tahoma" w:hAnsi="Tahoma" w:cs="Tahoma"/>
                <w:szCs w:val="18"/>
              </w:rPr>
            </w:pPr>
            <w:r w:rsidRPr="002F1795">
              <w:rPr>
                <w:color w:val="000000"/>
                <w:szCs w:val="18"/>
              </w:rPr>
              <w:t>Retailers</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116"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187" w:type="dxa"/>
            <w:tcBorders>
              <w:top w:val="single" w:sz="4" w:space="0" w:color="auto"/>
              <w:left w:val="nil"/>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Producers</w:t>
            </w:r>
            <w:r w:rsidRPr="002F1795">
              <w:rPr>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Fabricators</w:t>
            </w:r>
            <w:r w:rsidRPr="002F1795">
              <w:rPr>
                <w:vertAlign w:val="superscript"/>
              </w:rPr>
              <w:t>7</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Major Changes - Producers</w:t>
            </w:r>
            <w:r w:rsidRPr="002F1795">
              <w:rPr>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DD211B" w:rsidRPr="002F1795" w:rsidTr="006565F1">
        <w:trPr>
          <w:trHeight w:val="77"/>
          <w:jc w:val="center"/>
        </w:trPr>
        <w:tc>
          <w:tcPr>
            <w:tcW w:w="2926"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D211B" w:rsidRPr="002F1795" w:rsidRDefault="00DD211B" w:rsidP="006565F1">
            <w:pPr>
              <w:pStyle w:val="TableText"/>
              <w:ind w:left="180"/>
              <w:rPr>
                <w:rFonts w:ascii="Tahoma" w:hAnsi="Tahoma" w:cs="Tahoma"/>
                <w:szCs w:val="16"/>
              </w:rPr>
            </w:pPr>
            <w:r w:rsidRPr="002F1795">
              <w:t>Major Changes - Fabricators and Wholesalers</w:t>
            </w:r>
            <w:r w:rsidRPr="002F1795">
              <w:rPr>
                <w:vertAlign w:val="superscript"/>
              </w:rPr>
              <w:t>7</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13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D211B" w:rsidRPr="002F1795" w:rsidRDefault="00DD211B" w:rsidP="006565F1">
            <w:pPr>
              <w:pStyle w:val="TableText"/>
              <w:jc w:val="center"/>
            </w:pPr>
            <w:r w:rsidRPr="002F1795">
              <w:t>-</w:t>
            </w:r>
          </w:p>
        </w:tc>
        <w:tc>
          <w:tcPr>
            <w:tcW w:w="1116"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DD211B" w:rsidRPr="002F1795" w:rsidRDefault="00DD211B">
            <w:pPr>
              <w:jc w:val="center"/>
              <w:rPr>
                <w:color w:val="000000"/>
                <w:sz w:val="18"/>
                <w:szCs w:val="18"/>
              </w:rPr>
            </w:pPr>
            <w:r w:rsidRPr="002F1795">
              <w:rPr>
                <w:color w:val="000000"/>
                <w:sz w:val="18"/>
                <w:szCs w:val="18"/>
              </w:rPr>
              <w:t>-</w:t>
            </w:r>
          </w:p>
        </w:tc>
      </w:tr>
      <w:tr w:rsidR="00DD211B" w:rsidRPr="002F1795" w:rsidTr="002725E7">
        <w:trPr>
          <w:trHeight w:val="77"/>
          <w:jc w:val="center"/>
        </w:trPr>
        <w:tc>
          <w:tcPr>
            <w:tcW w:w="2926" w:type="dxa"/>
            <w:tcBorders>
              <w:top w:val="nil"/>
              <w:left w:val="single" w:sz="8" w:space="0" w:color="auto"/>
              <w:bottom w:val="single" w:sz="4" w:space="0" w:color="auto"/>
              <w:right w:val="single" w:sz="4" w:space="0" w:color="auto"/>
            </w:tcBorders>
            <w:shd w:val="clear" w:color="000000" w:fill="FFFFFF"/>
            <w:noWrap/>
            <w:hideMark/>
          </w:tcPr>
          <w:p w:rsidR="00DD211B" w:rsidRPr="002F1795" w:rsidRDefault="00DD211B" w:rsidP="006565F1">
            <w:pPr>
              <w:pStyle w:val="TableText"/>
              <w:rPr>
                <w:b/>
                <w:bCs/>
              </w:rPr>
            </w:pPr>
            <w:r w:rsidRPr="002F1795">
              <w:rPr>
                <w:b/>
                <w:bCs/>
              </w:rPr>
              <w:t>Total - Years 2 and 3</w:t>
            </w:r>
          </w:p>
        </w:tc>
        <w:tc>
          <w:tcPr>
            <w:tcW w:w="1116" w:type="dxa"/>
            <w:tcBorders>
              <w:top w:val="nil"/>
              <w:left w:val="nil"/>
              <w:bottom w:val="single" w:sz="4" w:space="0" w:color="auto"/>
              <w:right w:val="single" w:sz="4" w:space="0" w:color="auto"/>
            </w:tcBorders>
            <w:shd w:val="clear" w:color="000000" w:fill="FFFFFF"/>
            <w:noWrap/>
            <w:vAlign w:val="bottom"/>
            <w:hideMark/>
          </w:tcPr>
          <w:p w:rsidR="00DD211B" w:rsidRPr="002F1795" w:rsidRDefault="00DD211B" w:rsidP="006565F1">
            <w:pPr>
              <w:pStyle w:val="TableText"/>
              <w:jc w:val="right"/>
              <w:rPr>
                <w:b/>
              </w:rPr>
            </w:pPr>
            <w:r w:rsidRPr="002F1795">
              <w:rPr>
                <w:b/>
              </w:rPr>
              <w:t>$43,567,877</w:t>
            </w:r>
          </w:p>
        </w:tc>
        <w:tc>
          <w:tcPr>
            <w:tcW w:w="10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211B" w:rsidRPr="002F1795" w:rsidRDefault="00DD211B" w:rsidP="006565F1">
            <w:pPr>
              <w:pStyle w:val="TableText"/>
              <w:jc w:val="center"/>
              <w:rPr>
                <w:b/>
              </w:rPr>
            </w:pPr>
            <w:r w:rsidRPr="002F1795">
              <w:t>-</w:t>
            </w:r>
          </w:p>
        </w:tc>
        <w:tc>
          <w:tcPr>
            <w:tcW w:w="1135" w:type="dxa"/>
            <w:tcBorders>
              <w:top w:val="nil"/>
              <w:left w:val="nil"/>
              <w:bottom w:val="single" w:sz="4" w:space="0" w:color="auto"/>
              <w:right w:val="single" w:sz="4" w:space="0" w:color="auto"/>
            </w:tcBorders>
            <w:shd w:val="clear" w:color="000000" w:fill="FFFFFF"/>
            <w:noWrap/>
            <w:vAlign w:val="center"/>
            <w:hideMark/>
          </w:tcPr>
          <w:p w:rsidR="00DD211B" w:rsidRPr="002F1795" w:rsidRDefault="00DD211B">
            <w:pPr>
              <w:jc w:val="right"/>
              <w:rPr>
                <w:b/>
                <w:bCs/>
                <w:color w:val="000000"/>
                <w:sz w:val="18"/>
                <w:szCs w:val="18"/>
              </w:rPr>
            </w:pPr>
            <w:r w:rsidRPr="002F1795">
              <w:rPr>
                <w:b/>
                <w:bCs/>
                <w:color w:val="000000"/>
                <w:sz w:val="18"/>
                <w:szCs w:val="18"/>
              </w:rPr>
              <w:t>$10,802,477</w:t>
            </w:r>
          </w:p>
        </w:tc>
        <w:tc>
          <w:tcPr>
            <w:tcW w:w="1116" w:type="dxa"/>
            <w:tcBorders>
              <w:top w:val="nil"/>
              <w:left w:val="nil"/>
              <w:bottom w:val="single" w:sz="4" w:space="0" w:color="auto"/>
              <w:right w:val="single" w:sz="4" w:space="0" w:color="auto"/>
            </w:tcBorders>
            <w:shd w:val="clear" w:color="000000" w:fill="FFFFFF"/>
            <w:noWrap/>
            <w:vAlign w:val="center"/>
            <w:hideMark/>
          </w:tcPr>
          <w:p w:rsidR="00DD211B" w:rsidRPr="002F1795" w:rsidRDefault="00DD211B">
            <w:pPr>
              <w:jc w:val="right"/>
              <w:rPr>
                <w:b/>
                <w:bCs/>
                <w:color w:val="000000"/>
                <w:sz w:val="18"/>
                <w:szCs w:val="18"/>
              </w:rPr>
            </w:pPr>
            <w:r w:rsidRPr="002F1795">
              <w:rPr>
                <w:b/>
                <w:bCs/>
                <w:color w:val="000000"/>
                <w:sz w:val="18"/>
                <w:szCs w:val="18"/>
              </w:rPr>
              <w:t>$34,217,389</w:t>
            </w:r>
          </w:p>
        </w:tc>
        <w:tc>
          <w:tcPr>
            <w:tcW w:w="9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211B" w:rsidRPr="002F1795" w:rsidRDefault="00DD211B" w:rsidP="00FA181F">
            <w:pPr>
              <w:jc w:val="center"/>
              <w:rPr>
                <w:b/>
                <w:bCs/>
                <w:color w:val="000000"/>
                <w:sz w:val="18"/>
                <w:szCs w:val="18"/>
              </w:rPr>
            </w:pPr>
            <w:r w:rsidRPr="002F1795">
              <w:t>-</w:t>
            </w:r>
          </w:p>
        </w:tc>
        <w:tc>
          <w:tcPr>
            <w:tcW w:w="1243" w:type="dxa"/>
            <w:tcBorders>
              <w:top w:val="nil"/>
              <w:left w:val="nil"/>
              <w:bottom w:val="single" w:sz="4" w:space="0" w:color="auto"/>
              <w:right w:val="single" w:sz="4" w:space="0" w:color="auto"/>
            </w:tcBorders>
            <w:shd w:val="clear" w:color="000000" w:fill="FFFFFF"/>
            <w:noWrap/>
            <w:vAlign w:val="center"/>
            <w:hideMark/>
          </w:tcPr>
          <w:p w:rsidR="00DD211B" w:rsidRPr="002F1795" w:rsidRDefault="00DD211B">
            <w:pPr>
              <w:jc w:val="right"/>
              <w:rPr>
                <w:b/>
                <w:bCs/>
                <w:color w:val="000000"/>
                <w:sz w:val="18"/>
                <w:szCs w:val="18"/>
              </w:rPr>
            </w:pPr>
            <w:r w:rsidRPr="002F1795">
              <w:rPr>
                <w:b/>
                <w:bCs/>
                <w:color w:val="000000"/>
                <w:sz w:val="18"/>
                <w:szCs w:val="18"/>
              </w:rPr>
              <w:t>$6,188,483</w:t>
            </w:r>
          </w:p>
        </w:tc>
        <w:tc>
          <w:tcPr>
            <w:tcW w:w="1187" w:type="dxa"/>
            <w:tcBorders>
              <w:top w:val="nil"/>
              <w:left w:val="nil"/>
              <w:bottom w:val="single" w:sz="4" w:space="0" w:color="auto"/>
              <w:right w:val="single" w:sz="4" w:space="0" w:color="auto"/>
            </w:tcBorders>
            <w:shd w:val="clear" w:color="000000" w:fill="FFFFFF"/>
            <w:noWrap/>
            <w:vAlign w:val="center"/>
            <w:hideMark/>
          </w:tcPr>
          <w:p w:rsidR="00DD211B" w:rsidRPr="002F1795" w:rsidRDefault="00DD211B">
            <w:pPr>
              <w:jc w:val="right"/>
              <w:rPr>
                <w:b/>
                <w:bCs/>
                <w:color w:val="000000"/>
                <w:sz w:val="18"/>
                <w:szCs w:val="18"/>
              </w:rPr>
            </w:pPr>
            <w:r w:rsidRPr="002F1795">
              <w:rPr>
                <w:b/>
                <w:bCs/>
                <w:color w:val="000000"/>
                <w:sz w:val="18"/>
                <w:szCs w:val="18"/>
              </w:rPr>
              <w:t>$77,785,240</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D211B" w:rsidRPr="002F1795" w:rsidRDefault="00DD211B" w:rsidP="00FA181F">
            <w:pPr>
              <w:jc w:val="center"/>
              <w:rPr>
                <w:b/>
                <w:bCs/>
                <w:color w:val="000000"/>
                <w:sz w:val="18"/>
                <w:szCs w:val="18"/>
              </w:rPr>
            </w:pPr>
            <w:r w:rsidRPr="002F1795">
              <w:t>-</w:t>
            </w:r>
          </w:p>
        </w:tc>
        <w:tc>
          <w:tcPr>
            <w:tcW w:w="1116" w:type="dxa"/>
            <w:tcBorders>
              <w:top w:val="nil"/>
              <w:left w:val="nil"/>
              <w:bottom w:val="single" w:sz="4" w:space="0" w:color="auto"/>
              <w:right w:val="single" w:sz="8" w:space="0" w:color="auto"/>
            </w:tcBorders>
            <w:shd w:val="clear" w:color="000000" w:fill="FFFFFF"/>
            <w:noWrap/>
            <w:vAlign w:val="center"/>
            <w:hideMark/>
          </w:tcPr>
          <w:p w:rsidR="00DD211B" w:rsidRPr="002F1795" w:rsidRDefault="00DD211B">
            <w:pPr>
              <w:jc w:val="right"/>
              <w:rPr>
                <w:b/>
                <w:bCs/>
                <w:color w:val="000000"/>
                <w:sz w:val="18"/>
                <w:szCs w:val="18"/>
              </w:rPr>
            </w:pPr>
            <w:r w:rsidRPr="002F1795">
              <w:rPr>
                <w:b/>
                <w:bCs/>
                <w:color w:val="000000"/>
                <w:sz w:val="18"/>
                <w:szCs w:val="18"/>
              </w:rPr>
              <w:t>$16,990,958</w:t>
            </w:r>
          </w:p>
        </w:tc>
      </w:tr>
      <w:tr w:rsidR="00A83DDA" w:rsidRPr="002F1795" w:rsidTr="006565F1">
        <w:trPr>
          <w:trHeight w:val="270"/>
          <w:jc w:val="center"/>
        </w:trPr>
        <w:tc>
          <w:tcPr>
            <w:tcW w:w="13176"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pPr>
            <w:r w:rsidRPr="002F1795">
              <w:t>Notes: 1. The analysis uses a loaded wage rate of $73.60 for rule familiarization for composite panel producers and fabricators.</w:t>
            </w:r>
          </w:p>
          <w:p w:rsidR="00A83DDA" w:rsidRPr="002F1795" w:rsidRDefault="00A83DDA" w:rsidP="006565F1">
            <w:pPr>
              <w:pStyle w:val="tablefootnote"/>
            </w:pPr>
            <w:r w:rsidRPr="002F1795">
              <w:t>2. The analysis uses a loaded wage rate of $93.29 for rule familiarization for wholesalers.</w:t>
            </w:r>
          </w:p>
          <w:p w:rsidR="00A83DDA" w:rsidRPr="002F1795" w:rsidRDefault="00A83DDA" w:rsidP="006565F1">
            <w:pPr>
              <w:pStyle w:val="tablefootnote"/>
            </w:pPr>
            <w:r w:rsidRPr="002F1795">
              <w:t>3. The analysis uses a loaded wage rate of $70.71 for rule familiarization for retailers.</w:t>
            </w:r>
          </w:p>
          <w:p w:rsidR="00A83DDA" w:rsidRPr="002F1795" w:rsidRDefault="00A83DDA" w:rsidP="006565F1">
            <w:pPr>
              <w:pStyle w:val="tablefootnote"/>
            </w:pPr>
            <w:r w:rsidRPr="002F1795">
              <w:t>4. The analysis uses a loaded wage rate of $71.36 for testing and certification and recordkeeping for composite panel producers.</w:t>
            </w:r>
          </w:p>
          <w:p w:rsidR="00A83DDA" w:rsidRPr="002F1795" w:rsidRDefault="00A83DDA" w:rsidP="006565F1">
            <w:pPr>
              <w:pStyle w:val="tablefootnote"/>
            </w:pPr>
            <w:r w:rsidRPr="002F1795">
              <w:t>5. The analysis uses a loaded wage rate of $25.54 for recordkeeping for wholesalers.</w:t>
            </w:r>
          </w:p>
          <w:p w:rsidR="00A83DDA" w:rsidRPr="002F1795" w:rsidRDefault="00A83DDA" w:rsidP="006565F1">
            <w:pPr>
              <w:pStyle w:val="tablefootnote"/>
            </w:pPr>
            <w:r w:rsidRPr="002F1795">
              <w:t>6. The analysis uses a loaded wage rate of $24.84 for recordkeeping for fabricators and labeling for producers.</w:t>
            </w:r>
          </w:p>
          <w:p w:rsidR="00A83DDA" w:rsidRPr="002F1795" w:rsidRDefault="00A83DDA" w:rsidP="006565F1">
            <w:pPr>
              <w:pStyle w:val="tablefootnote"/>
            </w:pPr>
            <w:r w:rsidRPr="002F1795">
              <w:t>7. The analysis uses a loaded wage rate of $44.27 for labeling for fabricators and wholesalers.</w:t>
            </w:r>
          </w:p>
        </w:tc>
      </w:tr>
    </w:tbl>
    <w:p w:rsidR="00A83DDA" w:rsidRPr="002F1795" w:rsidRDefault="00A83DDA" w:rsidP="00A83DDA">
      <w:pPr>
        <w:numPr>
          <w:ilvl w:val="12"/>
          <w:numId w:val="0"/>
        </w:numPr>
        <w:rPr>
          <w:u w:val="single"/>
        </w:rPr>
      </w:pPr>
    </w:p>
    <w:p w:rsidR="00A83DDA" w:rsidRPr="002F1795" w:rsidRDefault="00A83DDA" w:rsidP="00A83DDA">
      <w:pPr>
        <w:numPr>
          <w:ilvl w:val="12"/>
          <w:numId w:val="0"/>
        </w:numPr>
        <w:rPr>
          <w:u w:val="single"/>
        </w:rPr>
      </w:pPr>
    </w:p>
    <w:tbl>
      <w:tblPr>
        <w:tblW w:w="5000" w:type="pct"/>
        <w:jc w:val="center"/>
        <w:tblLook w:val="04A0"/>
      </w:tblPr>
      <w:tblGrid>
        <w:gridCol w:w="2559"/>
        <w:gridCol w:w="1206"/>
        <w:gridCol w:w="1231"/>
        <w:gridCol w:w="1206"/>
        <w:gridCol w:w="1188"/>
        <w:gridCol w:w="1119"/>
        <w:gridCol w:w="1119"/>
        <w:gridCol w:w="1220"/>
        <w:gridCol w:w="1119"/>
        <w:gridCol w:w="1209"/>
      </w:tblGrid>
      <w:tr w:rsidR="00A83DDA" w:rsidRPr="002F1795" w:rsidTr="006565F1">
        <w:trPr>
          <w:trHeight w:val="67"/>
          <w:tblHeader/>
          <w:jc w:val="center"/>
        </w:trPr>
        <w:tc>
          <w:tcPr>
            <w:tcW w:w="13176" w:type="dxa"/>
            <w:gridSpan w:val="10"/>
            <w:tcBorders>
              <w:top w:val="single" w:sz="8" w:space="0" w:color="auto"/>
              <w:left w:val="single" w:sz="8" w:space="0" w:color="auto"/>
              <w:bottom w:val="single" w:sz="4" w:space="0" w:color="auto"/>
              <w:right w:val="single" w:sz="8" w:space="0" w:color="000000"/>
            </w:tcBorders>
            <w:shd w:val="clear" w:color="000000" w:fill="A6A6A6"/>
            <w:hideMark/>
          </w:tcPr>
          <w:p w:rsidR="00A83DDA" w:rsidRPr="002F1795" w:rsidRDefault="00A83DDA" w:rsidP="006565F1">
            <w:pPr>
              <w:pStyle w:val="TableTitle"/>
              <w:keepNext/>
              <w:keepLines/>
            </w:pPr>
            <w:bookmarkStart w:id="24" w:name="_Ref309299054"/>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21</w:t>
            </w:r>
            <w:r w:rsidR="0041046E">
              <w:rPr>
                <w:noProof/>
              </w:rPr>
              <w:fldChar w:fldCharType="end"/>
            </w:r>
            <w:bookmarkEnd w:id="24"/>
            <w:r w:rsidRPr="002F1795">
              <w:t>: Three Year Average Incremental Labor Costs, by Activity and Geographic Location ($2010)</w:t>
            </w:r>
          </w:p>
        </w:tc>
      </w:tr>
      <w:tr w:rsidR="00A83DDA" w:rsidRPr="002F1795" w:rsidTr="006565F1">
        <w:trPr>
          <w:trHeight w:val="77"/>
          <w:tblHeader/>
          <w:jc w:val="center"/>
        </w:trPr>
        <w:tc>
          <w:tcPr>
            <w:tcW w:w="2559"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64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Domestic</w:t>
            </w:r>
          </w:p>
        </w:tc>
        <w:tc>
          <w:tcPr>
            <w:tcW w:w="342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83DDA" w:rsidRPr="002F1795" w:rsidRDefault="00A83DDA" w:rsidP="006565F1">
            <w:pPr>
              <w:pStyle w:val="TableSubtitle"/>
            </w:pPr>
            <w:r w:rsidRPr="002F1795">
              <w:t>Foreign</w:t>
            </w:r>
          </w:p>
        </w:tc>
        <w:tc>
          <w:tcPr>
            <w:tcW w:w="3548"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A83DDA" w:rsidRPr="002F1795" w:rsidRDefault="00A83DDA" w:rsidP="006565F1">
            <w:pPr>
              <w:pStyle w:val="TableSubtitle"/>
            </w:pPr>
            <w:r w:rsidRPr="002F1795">
              <w:t>Total</w:t>
            </w:r>
          </w:p>
        </w:tc>
      </w:tr>
      <w:tr w:rsidR="00A83DDA" w:rsidRPr="002F1795" w:rsidTr="006565F1">
        <w:trPr>
          <w:trHeight w:val="255"/>
          <w:tblHeader/>
          <w:jc w:val="center"/>
        </w:trPr>
        <w:tc>
          <w:tcPr>
            <w:tcW w:w="2559"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0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231"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20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188"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1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11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Managerial</w:t>
            </w:r>
          </w:p>
        </w:tc>
        <w:tc>
          <w:tcPr>
            <w:tcW w:w="122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Clerical</w:t>
            </w:r>
          </w:p>
        </w:tc>
        <w:tc>
          <w:tcPr>
            <w:tcW w:w="111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Technical</w:t>
            </w:r>
          </w:p>
        </w:tc>
        <w:tc>
          <w:tcPr>
            <w:tcW w:w="1209"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Managerial</w:t>
            </w:r>
          </w:p>
        </w:tc>
      </w:tr>
      <w:tr w:rsidR="00A83DDA" w:rsidRPr="002F1795" w:rsidTr="006565F1">
        <w:trPr>
          <w:trHeight w:val="134"/>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A83DDA" w:rsidRPr="002F1795" w:rsidRDefault="00A83DDA" w:rsidP="006565F1">
            <w:pPr>
              <w:pStyle w:val="TableText"/>
              <w:tabs>
                <w:tab w:val="left" w:pos="7434"/>
              </w:tabs>
            </w:pPr>
            <w:r w:rsidRPr="002F1795">
              <w:t>1. Rule Familiarization</w:t>
            </w:r>
          </w:p>
        </w:tc>
      </w:tr>
      <w:tr w:rsidR="00777528" w:rsidRPr="002F1795" w:rsidTr="002725E7">
        <w:trPr>
          <w:trHeight w:val="98"/>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Producers</w:t>
            </w:r>
            <w:r w:rsidRPr="002F1795">
              <w:rPr>
                <w:vertAlign w:val="superscript"/>
              </w:rPr>
              <w:t>1</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$36,309</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$110,793</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$147,102</w:t>
            </w:r>
          </w:p>
        </w:tc>
      </w:tr>
      <w:tr w:rsidR="00777528" w:rsidRPr="002F1795" w:rsidTr="002725E7">
        <w:trPr>
          <w:trHeight w:val="134"/>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Fabricators</w:t>
            </w:r>
            <w:r w:rsidRPr="002F1795">
              <w:rPr>
                <w:vertAlign w:val="superscript"/>
              </w:rPr>
              <w:t>1</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$7,821,325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$3,050,278</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$10,871,603</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Wholesalers</w:t>
            </w:r>
            <w:r w:rsidRPr="002F1795">
              <w:rPr>
                <w:vertAlign w:val="superscript"/>
              </w:rPr>
              <w:t>2</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$10,642,523</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$4,150,534</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$14,793,057</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Retailers</w:t>
            </w:r>
            <w:r w:rsidRPr="002F1795">
              <w:rPr>
                <w:vertAlign w:val="superscript"/>
              </w:rPr>
              <w:t>3</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$71,563,045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$71,563,045</w:t>
            </w:r>
          </w:p>
        </w:tc>
      </w:tr>
      <w:tr w:rsidR="00777528" w:rsidRPr="002F1795" w:rsidTr="006565F1">
        <w:trPr>
          <w:trHeight w:val="255"/>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2. Certification Fee</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2725E7">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pPr>
            <w:r w:rsidRPr="002F1795">
              <w:t>3. Initial On-site Audit</w:t>
            </w:r>
            <w:r w:rsidRPr="002F1795">
              <w:rPr>
                <w:vertAlign w:val="superscript"/>
              </w:rPr>
              <w:t>4</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With Existing Certifications</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$7,802</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$72,692</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$80,494</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Without Existing Certifications</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$54,804</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$69,457</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$124,262</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4. Develop Quality Control Manual</w:t>
            </w:r>
            <w:r w:rsidRPr="002F1795">
              <w:rPr>
                <w:vertAlign w:val="superscript"/>
              </w:rPr>
              <w:t>4</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$274,022</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$347,285</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$621,308</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5. Qualifying Test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777528" w:rsidRPr="002F1795" w:rsidRDefault="00777528" w:rsidP="006565F1">
            <w:pPr>
              <w:pStyle w:val="TableText"/>
            </w:pPr>
            <w:r w:rsidRPr="002F1795">
              <w:t>6. Qualifying Test Shipment</w:t>
            </w:r>
            <w:r w:rsidRPr="002F1795">
              <w:rPr>
                <w:vertAlign w:val="superscript"/>
              </w:rPr>
              <w:t>4</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1-Product by TPC</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$71</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$761</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$833</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2-Product by TPC</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jc w:val="right"/>
            </w:pPr>
            <w:r w:rsidRPr="002F1795">
              <w:t>$3,425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jc w:val="right"/>
            </w:pPr>
            <w:r w:rsidRPr="002F1795">
              <w:t>$4,353</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777528" w:rsidRPr="002F1795" w:rsidRDefault="00777528" w:rsidP="006565F1">
            <w:pPr>
              <w:pStyle w:val="TableText"/>
              <w:jc w:val="right"/>
            </w:pPr>
            <w:r w:rsidRPr="002F1795">
              <w:t>$7,778</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777528" w:rsidRPr="002F1795" w:rsidRDefault="00777528" w:rsidP="006565F1">
            <w:pPr>
              <w:pStyle w:val="TableText"/>
            </w:pPr>
            <w:r w:rsidRPr="002F1795">
              <w:t>7. Correlation Test</w:t>
            </w:r>
            <w:r w:rsidRPr="002F1795">
              <w:rPr>
                <w:vertAlign w:val="superscript"/>
              </w:rPr>
              <w:t>4</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1-Product by TPC</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$1,189</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$15,223</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$16,413</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2-Product by TPC</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$137,011</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$173,643</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$310,654</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pPr>
            <w:r w:rsidRPr="002F1795">
              <w:t>8. Quarterly On-site Audit</w:t>
            </w:r>
            <w:r w:rsidRPr="002F1795">
              <w:rPr>
                <w:vertAlign w:val="superscript"/>
              </w:rPr>
              <w:t>4</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Uncertified to Standard</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$289,912</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$161,178</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$451,091</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NAF (With New Certification)</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$7,327</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$140,532</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$147,858</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9. Large Scale Testing Fee</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pPr>
            <w:r w:rsidRPr="002F1795">
              <w:t>10.  Large Scale Testing Shipment</w:t>
            </w:r>
            <w:r w:rsidRPr="002F1795">
              <w:rPr>
                <w:vertAlign w:val="superscript"/>
              </w:rPr>
              <w:t>4</w:t>
            </w:r>
          </w:p>
        </w:tc>
      </w:tr>
      <w:tr w:rsidR="000F7267"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0F7267" w:rsidRPr="002F1795" w:rsidRDefault="000F7267" w:rsidP="006565F1">
            <w:pPr>
              <w:pStyle w:val="TableText"/>
              <w:ind w:left="160"/>
            </w:pPr>
            <w:r w:rsidRPr="002F1795">
              <w:t>Uncertified to Standard</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0F7267" w:rsidRPr="002F1795" w:rsidRDefault="000F7267"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0F7267" w:rsidRPr="002F1795" w:rsidRDefault="000F7267"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$36,251</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F7267" w:rsidRPr="002F1795" w:rsidRDefault="000F7267">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F7267" w:rsidRPr="002F1795" w:rsidRDefault="000F7267">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$20,147</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F7267" w:rsidRPr="002F1795" w:rsidRDefault="000F7267">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F7267" w:rsidRPr="002F1795" w:rsidRDefault="000F7267">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$56,398</w:t>
            </w:r>
          </w:p>
        </w:tc>
      </w:tr>
      <w:tr w:rsidR="00777528" w:rsidRPr="002F1795" w:rsidTr="006565F1">
        <w:trPr>
          <w:trHeight w:val="89"/>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NAF (With New Certification)</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$428</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$7,564</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$7,992</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11. On-site Audit Travel</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pPr>
            <w:r w:rsidRPr="002F1795">
              <w:t>12. Desk Audits</w:t>
            </w:r>
            <w:r w:rsidRPr="002F1795">
              <w:rPr>
                <w:vertAlign w:val="superscript"/>
              </w:rPr>
              <w:t>4</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Uncertified to Standard</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$158,134</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$87,916</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$246,049</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NAF (With New Certification)</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$523</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$10,038</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$10,561</w:t>
            </w:r>
          </w:p>
        </w:tc>
      </w:tr>
      <w:tr w:rsidR="00777528" w:rsidRPr="002F1795" w:rsidTr="006565F1">
        <w:trPr>
          <w:trHeight w:val="255"/>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13. Purchase of Small Chamber Testing Unit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pPr>
            <w:r w:rsidRPr="002F1795">
              <w:t>14. Quality Control Testing</w:t>
            </w:r>
            <w:r w:rsidRPr="002F1795">
              <w:rPr>
                <w:vertAlign w:val="superscript"/>
              </w:rPr>
              <w:t>4</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lastRenderedPageBreak/>
              <w:t>Standard Certification</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$10,278,694</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$5,714,509</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$15,993,203</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60"/>
            </w:pPr>
            <w:r w:rsidRPr="002F1795">
              <w:t>New NAF Certification</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$34,015</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$652,468</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$686,483</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15. Lost Product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pStyle w:val="TableText"/>
              <w:jc w:val="right"/>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pStyle w:val="TableText"/>
              <w:jc w:val="right"/>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jc w:val="right"/>
            </w:pPr>
            <w:r w:rsidRPr="002F1795">
              <w:t>-</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pPr>
            <w:r w:rsidRPr="002F1795">
              <w:t>16. Initial Recordkeeping</w:t>
            </w:r>
            <w:r w:rsidRPr="002F1795">
              <w:rPr>
                <w:vertAlign w:val="superscript"/>
              </w:rPr>
              <w:t>5</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$4,318,559</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$6,015,070</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$10,333,629</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pStyle w:val="TableText"/>
              <w:jc w:val="right"/>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jc w:val="right"/>
            </w:pPr>
            <w:r w:rsidRPr="002F1795">
              <w:t>-</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hideMark/>
          </w:tcPr>
          <w:p w:rsidR="00777528" w:rsidRPr="002F1795" w:rsidRDefault="00777528" w:rsidP="006565F1">
            <w:pPr>
              <w:pStyle w:val="TableText"/>
            </w:pPr>
            <w:r w:rsidRPr="002F1795">
              <w:t>17. Recurring Recordkeeping</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80"/>
              <w:rPr>
                <w:szCs w:val="18"/>
              </w:rPr>
            </w:pPr>
            <w:r w:rsidRPr="002F1795">
              <w:rPr>
                <w:color w:val="000000"/>
                <w:szCs w:val="18"/>
              </w:rPr>
              <w:t>Producers</w:t>
            </w:r>
            <w:r w:rsidRPr="002F1795">
              <w:rPr>
                <w:color w:val="000000"/>
                <w:szCs w:val="18"/>
                <w:vertAlign w:val="superscript"/>
              </w:rPr>
              <w:t>4</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$1,372,966</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$4,189,403</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$5,562,369</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80"/>
              <w:rPr>
                <w:rFonts w:ascii="Tahoma" w:hAnsi="Tahoma" w:cs="Tahoma"/>
                <w:szCs w:val="18"/>
              </w:rPr>
            </w:pPr>
            <w:r w:rsidRPr="002F1795">
              <w:rPr>
                <w:color w:val="000000"/>
                <w:szCs w:val="18"/>
              </w:rPr>
              <w:t>Fabricators with  costs - Employers</w:t>
            </w:r>
            <w:r w:rsidRPr="002F1795">
              <w:rPr>
                <w:color w:val="000000"/>
                <w:szCs w:val="18"/>
                <w:vertAlign w:val="superscript"/>
              </w:rPr>
              <w:t>6</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$28,106,957</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$10,953,446</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$39,060,403</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777528" w:rsidRPr="002F1795" w:rsidRDefault="00777528" w:rsidP="006565F1">
            <w:pPr>
              <w:pStyle w:val="TableText"/>
              <w:ind w:left="180"/>
              <w:rPr>
                <w:rFonts w:ascii="Tahoma" w:hAnsi="Tahoma" w:cs="Tahoma"/>
                <w:szCs w:val="18"/>
              </w:rPr>
            </w:pPr>
            <w:r w:rsidRPr="002F1795">
              <w:rPr>
                <w:color w:val="000000"/>
                <w:szCs w:val="18"/>
              </w:rPr>
              <w:t>Fabricators with costs - Nonemployers</w:t>
            </w:r>
            <w:r w:rsidRPr="002F1795">
              <w:rPr>
                <w:color w:val="000000"/>
                <w:szCs w:val="18"/>
                <w:vertAlign w:val="superscript"/>
              </w:rPr>
              <w:t>6</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tcPr>
          <w:p w:rsidR="00777528" w:rsidRPr="002F1795" w:rsidRDefault="00777528" w:rsidP="006565F1">
            <w:pPr>
              <w:pStyle w:val="TableText"/>
              <w:jc w:val="right"/>
              <w:rPr>
                <w:szCs w:val="18"/>
              </w:rPr>
            </w:pPr>
            <w:r w:rsidRPr="002F1795">
              <w:rPr>
                <w:color w:val="000000"/>
                <w:szCs w:val="18"/>
              </w:rPr>
              <w:t>$546,952</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tcPr>
          <w:p w:rsidR="00777528" w:rsidRPr="002F1795" w:rsidRDefault="00777528" w:rsidP="006565F1">
            <w:pPr>
              <w:pStyle w:val="TableText"/>
              <w:jc w:val="right"/>
              <w:rPr>
                <w:szCs w:val="18"/>
              </w:rPr>
            </w:pPr>
            <w:r w:rsidRPr="002F1795">
              <w:rPr>
                <w:color w:val="000000"/>
                <w:szCs w:val="18"/>
              </w:rPr>
              <w:t>$213,301</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tcPr>
          <w:p w:rsidR="00777528" w:rsidRPr="002F1795" w:rsidRDefault="00777528" w:rsidP="006565F1">
            <w:pPr>
              <w:pStyle w:val="TableText"/>
              <w:jc w:val="right"/>
              <w:rPr>
                <w:szCs w:val="18"/>
              </w:rPr>
            </w:pPr>
            <w:r w:rsidRPr="002F1795">
              <w:rPr>
                <w:color w:val="000000"/>
                <w:szCs w:val="18"/>
              </w:rPr>
              <w:t>$760,253</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777528" w:rsidRPr="002F1795" w:rsidRDefault="00777528" w:rsidP="006565F1">
            <w:pPr>
              <w:pStyle w:val="TableText"/>
              <w:ind w:left="180"/>
              <w:rPr>
                <w:szCs w:val="18"/>
              </w:rPr>
            </w:pPr>
            <w:r w:rsidRPr="002F1795">
              <w:rPr>
                <w:color w:val="000000"/>
                <w:szCs w:val="18"/>
              </w:rPr>
              <w:t>Fabricators without costs</w:t>
            </w:r>
          </w:p>
        </w:tc>
        <w:tc>
          <w:tcPr>
            <w:tcW w:w="1206"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80"/>
              <w:rPr>
                <w:szCs w:val="18"/>
              </w:rPr>
            </w:pPr>
            <w:r w:rsidRPr="002F1795">
              <w:rPr>
                <w:color w:val="000000"/>
                <w:szCs w:val="18"/>
              </w:rPr>
              <w:t>Wholesalers with costs - Employers</w:t>
            </w:r>
            <w:r w:rsidRPr="002F1795">
              <w:rPr>
                <w:color w:val="000000"/>
                <w:szCs w:val="18"/>
                <w:vertAlign w:val="superscript"/>
              </w:rPr>
              <w:t>5</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$13,157,953</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$18,327,504</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rsidP="006565F1">
            <w:pPr>
              <w:pStyle w:val="TableText"/>
              <w:jc w:val="right"/>
              <w:rPr>
                <w:szCs w:val="18"/>
              </w:rPr>
            </w:pPr>
            <w:r w:rsidRPr="002F1795">
              <w:rPr>
                <w:color w:val="000000"/>
                <w:szCs w:val="18"/>
              </w:rPr>
              <w:t>$31,485,457</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777528" w:rsidRPr="002F1795" w:rsidRDefault="00777528" w:rsidP="006565F1">
            <w:pPr>
              <w:pStyle w:val="TableText"/>
              <w:ind w:left="180"/>
              <w:rPr>
                <w:szCs w:val="18"/>
              </w:rPr>
            </w:pPr>
            <w:r w:rsidRPr="002F1795">
              <w:rPr>
                <w:color w:val="000000"/>
                <w:szCs w:val="18"/>
              </w:rPr>
              <w:t>Wholesalers with costs - Nonemployers</w:t>
            </w:r>
            <w:r w:rsidRPr="002F1795">
              <w:rPr>
                <w:color w:val="000000"/>
                <w:szCs w:val="18"/>
                <w:vertAlign w:val="superscript"/>
              </w:rPr>
              <w:t>5</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tcPr>
          <w:p w:rsidR="00777528" w:rsidRPr="002F1795" w:rsidRDefault="00777528" w:rsidP="006565F1">
            <w:pPr>
              <w:pStyle w:val="TableText"/>
              <w:jc w:val="right"/>
              <w:rPr>
                <w:szCs w:val="18"/>
              </w:rPr>
            </w:pPr>
            <w:r w:rsidRPr="002F1795">
              <w:rPr>
                <w:color w:val="000000"/>
                <w:szCs w:val="18"/>
              </w:rPr>
              <w:t>$383,049</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tcPr>
          <w:p w:rsidR="00777528" w:rsidRPr="002F1795" w:rsidRDefault="00777528" w:rsidP="006565F1">
            <w:pPr>
              <w:pStyle w:val="TableText"/>
              <w:jc w:val="right"/>
              <w:rPr>
                <w:szCs w:val="18"/>
              </w:rPr>
            </w:pPr>
            <w:r w:rsidRPr="002F1795">
              <w:rPr>
                <w:color w:val="000000"/>
                <w:szCs w:val="18"/>
              </w:rPr>
              <w:t>$533,735</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tcPr>
          <w:p w:rsidR="00777528" w:rsidRPr="002F1795" w:rsidRDefault="00777528" w:rsidP="006565F1">
            <w:pPr>
              <w:pStyle w:val="TableText"/>
              <w:jc w:val="right"/>
              <w:rPr>
                <w:szCs w:val="18"/>
              </w:rPr>
            </w:pPr>
            <w:r w:rsidRPr="002F1795">
              <w:rPr>
                <w:color w:val="000000"/>
                <w:szCs w:val="18"/>
              </w:rPr>
              <w:t>$916,758</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777528" w:rsidRPr="002F1795" w:rsidRDefault="00777528" w:rsidP="006565F1">
            <w:pPr>
              <w:pStyle w:val="TableText"/>
              <w:ind w:left="180"/>
              <w:rPr>
                <w:szCs w:val="18"/>
              </w:rPr>
            </w:pPr>
            <w:r w:rsidRPr="002F1795">
              <w:rPr>
                <w:color w:val="000000"/>
                <w:szCs w:val="18"/>
              </w:rPr>
              <w:t>Wholesalers without costs</w:t>
            </w:r>
          </w:p>
        </w:tc>
        <w:tc>
          <w:tcPr>
            <w:tcW w:w="1206"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777528" w:rsidRPr="002F1795" w:rsidRDefault="00777528" w:rsidP="006565F1">
            <w:pPr>
              <w:pStyle w:val="TableText"/>
              <w:ind w:left="180"/>
              <w:rPr>
                <w:szCs w:val="18"/>
              </w:rPr>
            </w:pPr>
            <w:r w:rsidRPr="002F1795">
              <w:rPr>
                <w:color w:val="000000"/>
                <w:szCs w:val="18"/>
              </w:rPr>
              <w:t>Retailers</w:t>
            </w:r>
          </w:p>
        </w:tc>
        <w:tc>
          <w:tcPr>
            <w:tcW w:w="1206"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88"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20" w:type="dxa"/>
            <w:tcBorders>
              <w:top w:val="single" w:sz="4" w:space="0" w:color="auto"/>
              <w:left w:val="nil"/>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777528" w:rsidRPr="002F1795" w:rsidRDefault="00777528" w:rsidP="006565F1">
            <w:pPr>
              <w:keepNext/>
              <w:keepLines/>
              <w:jc w:val="center"/>
            </w:pPr>
            <w:r w:rsidRPr="002F1795">
              <w:t>-</w:t>
            </w:r>
          </w:p>
        </w:tc>
      </w:tr>
      <w:tr w:rsidR="00777528" w:rsidRPr="002F1795" w:rsidTr="006565F1">
        <w:trPr>
          <w:trHeight w:val="77"/>
          <w:jc w:val="center"/>
        </w:trPr>
        <w:tc>
          <w:tcPr>
            <w:tcW w:w="13176" w:type="dxa"/>
            <w:gridSpan w:val="10"/>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777528" w:rsidRPr="002F1795" w:rsidRDefault="00777528" w:rsidP="006565F1">
            <w:pPr>
              <w:pStyle w:val="TableText"/>
            </w:pPr>
            <w:r w:rsidRPr="002F1795">
              <w:t>18. Initial Labeling</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80"/>
              <w:rPr>
                <w:rFonts w:ascii="Tahoma" w:hAnsi="Tahoma" w:cs="Tahoma"/>
                <w:szCs w:val="16"/>
              </w:rPr>
            </w:pPr>
            <w:r w:rsidRPr="002F1795">
              <w:t>Minor Changes – Producers</w:t>
            </w:r>
            <w:r w:rsidRPr="002F1795">
              <w:rPr>
                <w:vertAlign w:val="superscript"/>
              </w:rPr>
              <w:t>6</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jc w:val="right"/>
              <w:rPr>
                <w:rFonts w:ascii="Tahoma" w:hAnsi="Tahoma" w:cs="Tahoma"/>
                <w:sz w:val="16"/>
                <w:szCs w:val="16"/>
              </w:rPr>
            </w:pPr>
            <w:r w:rsidRPr="002F1795">
              <w:t>$4,620</w:t>
            </w:r>
          </w:p>
        </w:tc>
        <w:tc>
          <w:tcPr>
            <w:tcW w:w="1231" w:type="dxa"/>
            <w:tcBorders>
              <w:top w:val="single" w:sz="4" w:space="0" w:color="auto"/>
              <w:left w:val="nil"/>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jc w:val="right"/>
              <w:rPr>
                <w:rFonts w:ascii="Tahoma" w:hAnsi="Tahoma" w:cs="Tahoma"/>
                <w:sz w:val="16"/>
                <w:szCs w:val="16"/>
              </w:rPr>
            </w:pPr>
            <w:r w:rsidRPr="002F1795">
              <w:t>$50,723</w:t>
            </w:r>
          </w:p>
        </w:tc>
        <w:tc>
          <w:tcPr>
            <w:tcW w:w="1119" w:type="dxa"/>
            <w:tcBorders>
              <w:top w:val="single" w:sz="4" w:space="0" w:color="auto"/>
              <w:left w:val="nil"/>
              <w:bottom w:val="single" w:sz="4" w:space="0" w:color="auto"/>
              <w:right w:val="single" w:sz="4" w:space="0" w:color="auto"/>
            </w:tcBorders>
            <w:shd w:val="clear" w:color="auto" w:fill="FFFFFF" w:themeFill="background1"/>
            <w:noWrap/>
            <w:hideMark/>
          </w:tcPr>
          <w:p w:rsidR="00777528" w:rsidRPr="002F1795" w:rsidRDefault="00777528" w:rsidP="006565F1">
            <w:pPr>
              <w:keepNext/>
              <w:keepLines/>
              <w:jc w:val="center"/>
            </w:pPr>
            <w:r w:rsidRPr="002F1795">
              <w:t>-</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77528" w:rsidRPr="002F1795" w:rsidRDefault="00777528" w:rsidP="006565F1">
            <w:pPr>
              <w:keepNext/>
              <w:keepLines/>
              <w:jc w:val="center"/>
            </w:pPr>
            <w:r w:rsidRPr="002F1795">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jc w:val="right"/>
              <w:rPr>
                <w:rFonts w:ascii="Tahoma" w:hAnsi="Tahoma" w:cs="Tahoma"/>
                <w:sz w:val="16"/>
                <w:szCs w:val="16"/>
              </w:rPr>
            </w:pPr>
            <w:r w:rsidRPr="002F1795">
              <w:t>$55,344</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jc w:val="right"/>
            </w:pPr>
            <w:r w:rsidRPr="002F1795">
              <w:t> </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tcPr>
          <w:p w:rsidR="00777528" w:rsidRPr="002F1795" w:rsidRDefault="00777528" w:rsidP="006565F1">
            <w:pPr>
              <w:keepNext/>
              <w:keepLines/>
              <w:jc w:val="center"/>
            </w:pPr>
            <w:r w:rsidRPr="002F1795">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80"/>
            </w:pPr>
            <w:r w:rsidRPr="002F1795">
              <w:t>Minor Changes – Fabricators</w:t>
            </w:r>
            <w:r w:rsidRPr="002F1795">
              <w:rPr>
                <w:vertAlign w:val="superscript"/>
              </w:rPr>
              <w:t>7</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$2,846,118</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$1,106,130</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77528" w:rsidRPr="002F1795" w:rsidRDefault="00777528">
            <w:pPr>
              <w:jc w:val="center"/>
              <w:rPr>
                <w:color w:val="000000"/>
                <w:sz w:val="18"/>
                <w:szCs w:val="18"/>
              </w:rPr>
            </w:pPr>
            <w:r w:rsidRPr="002F1795">
              <w:rPr>
                <w:color w:val="000000"/>
                <w:sz w:val="18"/>
                <w:szCs w:val="18"/>
              </w:rPr>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$3,952,249</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777528" w:rsidRPr="002F1795" w:rsidRDefault="00777528">
            <w:pPr>
              <w:jc w:val="center"/>
              <w:rPr>
                <w:color w:val="000000"/>
                <w:sz w:val="18"/>
                <w:szCs w:val="18"/>
              </w:rPr>
            </w:pPr>
            <w:r w:rsidRPr="002F1795">
              <w:rPr>
                <w:color w:val="000000"/>
                <w:sz w:val="18"/>
                <w:szCs w:val="18"/>
              </w:rPr>
              <w:t>-</w:t>
            </w:r>
          </w:p>
        </w:tc>
      </w:tr>
      <w:tr w:rsidR="00777528"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80"/>
            </w:pPr>
            <w:r w:rsidRPr="002F1795">
              <w:t>Major Changes - Producers</w:t>
            </w:r>
            <w:r w:rsidRPr="002F1795">
              <w:rPr>
                <w:vertAlign w:val="superscript"/>
              </w:rPr>
              <w:t>6</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$229,356</w:t>
            </w:r>
          </w:p>
        </w:tc>
        <w:tc>
          <w:tcPr>
            <w:tcW w:w="12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$89,424</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rPr>
            </w:pPr>
            <w:r w:rsidRPr="002F1795">
              <w:rPr>
                <w:color w:val="000000"/>
              </w:rPr>
              <w:t> </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77528" w:rsidRPr="002F1795" w:rsidRDefault="00777528">
            <w:pPr>
              <w:jc w:val="center"/>
              <w:rPr>
                <w:color w:val="000000"/>
                <w:sz w:val="18"/>
                <w:szCs w:val="18"/>
              </w:rPr>
            </w:pPr>
            <w:r w:rsidRPr="002F1795">
              <w:rPr>
                <w:color w:val="000000"/>
                <w:sz w:val="18"/>
                <w:szCs w:val="18"/>
              </w:rPr>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$318,780</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777528" w:rsidRPr="002F1795" w:rsidRDefault="00777528">
            <w:pPr>
              <w:jc w:val="center"/>
              <w:rPr>
                <w:color w:val="000000"/>
                <w:sz w:val="18"/>
                <w:szCs w:val="18"/>
              </w:rPr>
            </w:pPr>
            <w:r w:rsidRPr="002F1795">
              <w:rPr>
                <w:color w:val="000000"/>
                <w:sz w:val="18"/>
                <w:szCs w:val="18"/>
              </w:rPr>
              <w:t>-</w:t>
            </w:r>
          </w:p>
        </w:tc>
      </w:tr>
      <w:tr w:rsidR="00777528" w:rsidRPr="002F1795" w:rsidTr="006565F1">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777528" w:rsidRPr="002F1795" w:rsidRDefault="00777528" w:rsidP="006565F1">
            <w:pPr>
              <w:pStyle w:val="TableText"/>
              <w:ind w:left="180"/>
            </w:pPr>
            <w:r w:rsidRPr="002F1795">
              <w:t>Major Changes - Fabricators and Wholesalers</w:t>
            </w:r>
            <w:r w:rsidRPr="002F1795">
              <w:rPr>
                <w:vertAlign w:val="superscript"/>
              </w:rPr>
              <w:t>7</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2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$24,003,194</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$9,361,629</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77528" w:rsidRPr="002F1795" w:rsidRDefault="00777528">
            <w:pPr>
              <w:jc w:val="center"/>
              <w:rPr>
                <w:color w:val="000000"/>
                <w:sz w:val="18"/>
                <w:szCs w:val="18"/>
              </w:rPr>
            </w:pPr>
            <w:r w:rsidRPr="002F1795">
              <w:rPr>
                <w:color w:val="000000"/>
                <w:sz w:val="18"/>
                <w:szCs w:val="18"/>
              </w:rPr>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77528" w:rsidRPr="002F1795" w:rsidRDefault="00777528">
            <w:pPr>
              <w:jc w:val="center"/>
              <w:rPr>
                <w:color w:val="000000"/>
                <w:sz w:val="18"/>
                <w:szCs w:val="18"/>
              </w:rPr>
            </w:pPr>
            <w:r w:rsidRPr="002F1795">
              <w:rPr>
                <w:color w:val="000000"/>
                <w:sz w:val="18"/>
                <w:szCs w:val="18"/>
              </w:rPr>
              <w:t>-</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77528" w:rsidRPr="002F1795" w:rsidRDefault="00777528">
            <w:pPr>
              <w:jc w:val="right"/>
              <w:rPr>
                <w:color w:val="000000"/>
                <w:sz w:val="18"/>
                <w:szCs w:val="18"/>
              </w:rPr>
            </w:pPr>
            <w:r w:rsidRPr="002F1795">
              <w:rPr>
                <w:color w:val="000000"/>
                <w:sz w:val="18"/>
                <w:szCs w:val="18"/>
              </w:rPr>
              <w:t>$33,364,823</w:t>
            </w:r>
          </w:p>
        </w:tc>
        <w:tc>
          <w:tcPr>
            <w:tcW w:w="1209"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tcPr>
          <w:p w:rsidR="00777528" w:rsidRPr="002F1795" w:rsidRDefault="00777528">
            <w:pPr>
              <w:jc w:val="center"/>
              <w:rPr>
                <w:color w:val="000000"/>
                <w:sz w:val="18"/>
                <w:szCs w:val="18"/>
              </w:rPr>
            </w:pPr>
            <w:r w:rsidRPr="002F1795">
              <w:rPr>
                <w:color w:val="000000"/>
                <w:sz w:val="18"/>
                <w:szCs w:val="18"/>
              </w:rPr>
              <w:t>-</w:t>
            </w:r>
          </w:p>
        </w:tc>
      </w:tr>
      <w:tr w:rsidR="000F7267" w:rsidRPr="002F1795" w:rsidTr="002725E7">
        <w:trPr>
          <w:trHeight w:val="77"/>
          <w:jc w:val="center"/>
        </w:trPr>
        <w:tc>
          <w:tcPr>
            <w:tcW w:w="2559" w:type="dxa"/>
            <w:tcBorders>
              <w:top w:val="single" w:sz="4" w:space="0" w:color="auto"/>
              <w:left w:val="single" w:sz="8" w:space="0" w:color="auto"/>
              <w:bottom w:val="single" w:sz="4" w:space="0" w:color="auto"/>
              <w:right w:val="single" w:sz="4" w:space="0" w:color="auto"/>
            </w:tcBorders>
            <w:shd w:val="clear" w:color="auto" w:fill="FFFFFF" w:themeFill="background1"/>
            <w:noWrap/>
            <w:hideMark/>
          </w:tcPr>
          <w:p w:rsidR="000F7267" w:rsidRPr="002F1795" w:rsidRDefault="000F7267" w:rsidP="006565F1">
            <w:pPr>
              <w:pStyle w:val="TableText"/>
              <w:rPr>
                <w:b/>
                <w:bCs/>
              </w:rPr>
            </w:pPr>
            <w:r w:rsidRPr="002F1795">
              <w:rPr>
                <w:b/>
                <w:bCs/>
              </w:rPr>
              <w:t>Total - Three Year Average</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$48,120,412</w:t>
            </w:r>
          </w:p>
        </w:tc>
        <w:tc>
          <w:tcPr>
            <w:tcW w:w="12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$26,849,312</w:t>
            </w:r>
          </w:p>
        </w:tc>
        <w:tc>
          <w:tcPr>
            <w:tcW w:w="120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$101,346,810</w:t>
            </w:r>
          </w:p>
        </w:tc>
        <w:tc>
          <w:tcPr>
            <w:tcW w:w="118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$40,372,606</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$10,467,759</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$14,789,371</w:t>
            </w:r>
          </w:p>
        </w:tc>
        <w:tc>
          <w:tcPr>
            <w:tcW w:w="12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$88,492,993</w:t>
            </w:r>
          </w:p>
        </w:tc>
        <w:tc>
          <w:tcPr>
            <w:tcW w:w="11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$37,317,072</w:t>
            </w:r>
          </w:p>
        </w:tc>
        <w:tc>
          <w:tcPr>
            <w:tcW w:w="1209"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$116,136,184</w:t>
            </w:r>
          </w:p>
        </w:tc>
      </w:tr>
      <w:tr w:rsidR="00777528" w:rsidRPr="002F1795" w:rsidTr="006565F1">
        <w:trPr>
          <w:trHeight w:val="270"/>
          <w:jc w:val="center"/>
        </w:trPr>
        <w:tc>
          <w:tcPr>
            <w:tcW w:w="13176"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777528" w:rsidRPr="002F1795" w:rsidRDefault="00777528" w:rsidP="006565F1">
            <w:pPr>
              <w:pStyle w:val="tablefootnote"/>
              <w:keepLines/>
            </w:pPr>
            <w:r w:rsidRPr="002F1795">
              <w:t>Notes: 1. The analysis uses a loaded wage rate of $73.60 for rule familiarization for composite panel producers and fabricators.</w:t>
            </w:r>
          </w:p>
          <w:p w:rsidR="00777528" w:rsidRPr="002F1795" w:rsidRDefault="00777528" w:rsidP="006565F1">
            <w:pPr>
              <w:pStyle w:val="tablefootnote"/>
              <w:keepLines/>
            </w:pPr>
            <w:r w:rsidRPr="002F1795">
              <w:t>2. The analysis uses a loaded wage rate of $93.29 for rule familiarization for wholesalers.</w:t>
            </w:r>
          </w:p>
          <w:p w:rsidR="00777528" w:rsidRPr="002F1795" w:rsidRDefault="00777528" w:rsidP="006565F1">
            <w:pPr>
              <w:pStyle w:val="tablefootnote"/>
              <w:keepLines/>
            </w:pPr>
            <w:r w:rsidRPr="002F1795">
              <w:t>3. The analysis uses a loaded wage rate of $70.71 for rule familiarization for retailers.</w:t>
            </w:r>
          </w:p>
          <w:p w:rsidR="00777528" w:rsidRPr="002F1795" w:rsidRDefault="00777528" w:rsidP="006565F1">
            <w:pPr>
              <w:pStyle w:val="tablefootnote"/>
              <w:keepLines/>
            </w:pPr>
            <w:r w:rsidRPr="002F1795">
              <w:t>4. The analysis uses a loaded wage rate of $71.36 for testing and certification and recordkeeping for composite panel producers.</w:t>
            </w:r>
          </w:p>
          <w:p w:rsidR="00777528" w:rsidRPr="002F1795" w:rsidRDefault="00777528" w:rsidP="006565F1">
            <w:pPr>
              <w:pStyle w:val="tablefootnote"/>
              <w:keepLines/>
            </w:pPr>
            <w:r w:rsidRPr="002F1795">
              <w:t>5. The analysis uses a loaded wage rate of $25.54 for recordkeeping for wholesalers.</w:t>
            </w:r>
          </w:p>
          <w:p w:rsidR="00777528" w:rsidRPr="002F1795" w:rsidRDefault="00777528" w:rsidP="006565F1">
            <w:pPr>
              <w:pStyle w:val="tablefootnote"/>
              <w:keepLines/>
            </w:pPr>
            <w:r w:rsidRPr="002F1795">
              <w:t>6. The analysis uses a loaded wage rate of $24.84 for recordkeeping for fabricators and labeling for producers.</w:t>
            </w:r>
          </w:p>
          <w:p w:rsidR="00777528" w:rsidRPr="002F1795" w:rsidRDefault="00777528" w:rsidP="006565F1">
            <w:pPr>
              <w:pStyle w:val="tablefootnote"/>
              <w:keepLines/>
            </w:pPr>
            <w:r w:rsidRPr="002F1795">
              <w:t>7. The analysis uses a loaded wage rate of $44.27 for labeling for fabricators and wholesalers.</w:t>
            </w:r>
          </w:p>
        </w:tc>
      </w:tr>
    </w:tbl>
    <w:p w:rsidR="00A83DDA" w:rsidRPr="002F1795" w:rsidRDefault="00A83DDA" w:rsidP="00A83DDA">
      <w:pPr>
        <w:numPr>
          <w:ilvl w:val="12"/>
          <w:numId w:val="0"/>
        </w:numPr>
        <w:rPr>
          <w:u w:val="single"/>
        </w:rPr>
        <w:sectPr w:rsidR="00A83DDA" w:rsidRPr="002F1795" w:rsidSect="00A27A67">
          <w:type w:val="continuous"/>
          <w:pgSz w:w="15840" w:h="12240" w:orient="landscape"/>
          <w:pgMar w:top="1440" w:right="1440" w:bottom="1170" w:left="1440" w:header="720" w:footer="720" w:gutter="0"/>
          <w:cols w:space="720"/>
          <w:docGrid w:linePitch="360"/>
        </w:sectPr>
      </w:pPr>
    </w:p>
    <w:p w:rsidR="00A83DDA" w:rsidRPr="002F1795" w:rsidRDefault="00A83DDA" w:rsidP="00A83DDA">
      <w:pPr>
        <w:numPr>
          <w:ilvl w:val="12"/>
          <w:numId w:val="0"/>
        </w:numPr>
        <w:rPr>
          <w:b/>
          <w:i/>
        </w:rPr>
      </w:pPr>
      <w:r w:rsidRPr="002F1795">
        <w:rPr>
          <w:b/>
          <w:i/>
        </w:rPr>
        <w:lastRenderedPageBreak/>
        <w:t>Non-Labor Costs</w:t>
      </w:r>
    </w:p>
    <w:p w:rsidR="00A83DDA" w:rsidRPr="002F1795" w:rsidRDefault="00A83DDA" w:rsidP="00A83DDA">
      <w:pPr>
        <w:numPr>
          <w:ilvl w:val="12"/>
          <w:numId w:val="0"/>
        </w:numPr>
        <w:rPr>
          <w:i/>
        </w:rPr>
      </w:pPr>
    </w:p>
    <w:p w:rsidR="00A83DDA" w:rsidRPr="002F1795" w:rsidRDefault="00A83DDA" w:rsidP="00A83DDA">
      <w:pPr>
        <w:ind w:firstLine="720"/>
      </w:pPr>
      <w:r w:rsidRPr="002F1795">
        <w:t xml:space="preserve">This subsection presents the non-labor costs associated with the recordkeeping and reporting requirements of the proposed TSCA Title VI rule.  The different categories of respondents (composite panel producers, fabricators, wholesalers, and retailers) are presented separately because they engage indifferent activities.  There are no activities that are common to all respondents.   </w:t>
      </w:r>
      <w:fldSimple w:instr=" REF _Ref309299597 \h  \* MERGEFORMAT ">
        <w:r w:rsidR="0036394F" w:rsidRPr="0036394F">
          <w:t>Exhibit 6-23</w:t>
        </w:r>
      </w:fldSimple>
      <w:r w:rsidRPr="002F1795">
        <w:t xml:space="preserve"> through </w:t>
      </w:r>
      <w:fldSimple w:instr=" REF _Ref309299606 \h  \* MERGEFORMAT ">
        <w:r w:rsidR="0036394F" w:rsidRPr="0036394F">
          <w:t>Exhibit 6-25</w:t>
        </w:r>
      </w:fldSimple>
      <w:r w:rsidRPr="002F1795">
        <w:t xml:space="preserve"> summarizes the number of respondents, per-respondent and total non-labor costs for each response activity over the next three years.  </w:t>
      </w:r>
      <w:fldSimple w:instr=" REF _Ref309299612 \h  \* MERGEFORMAT ">
        <w:r w:rsidR="0036394F" w:rsidRPr="0036394F">
          <w:t>Exhibit 6-26</w:t>
        </w:r>
      </w:fldSimple>
      <w:r w:rsidRPr="002F1795">
        <w:t xml:space="preserve"> through </w:t>
      </w:r>
      <w:fldSimple w:instr=" REF _Ref309299614 \h  \* MERGEFORMAT ">
        <w:r w:rsidR="0036394F" w:rsidRPr="0036394F">
          <w:t>Exhibit 6-28</w:t>
        </w:r>
      </w:fldSimple>
      <w:r w:rsidRPr="002F1795">
        <w:t xml:space="preserve"> </w:t>
      </w:r>
      <w:proofErr w:type="gramStart"/>
      <w:r w:rsidRPr="002F1795">
        <w:t>present</w:t>
      </w:r>
      <w:proofErr w:type="gramEnd"/>
      <w:r w:rsidRPr="002F1795">
        <w:t xml:space="preserve"> the corresponding incremental costs.</w:t>
      </w:r>
    </w:p>
    <w:p w:rsidR="00A83DDA" w:rsidRPr="002F1795" w:rsidRDefault="00A83DDA" w:rsidP="00A83DDA">
      <w:pPr>
        <w:numPr>
          <w:ilvl w:val="12"/>
          <w:numId w:val="0"/>
        </w:numPr>
        <w:rPr>
          <w:u w:val="single"/>
        </w:rPr>
      </w:pPr>
    </w:p>
    <w:p w:rsidR="00A83DDA" w:rsidRPr="002F1795" w:rsidRDefault="00A83DDA" w:rsidP="00A83DDA">
      <w:pPr>
        <w:numPr>
          <w:ilvl w:val="12"/>
          <w:numId w:val="0"/>
        </w:numPr>
        <w:rPr>
          <w:u w:val="single"/>
        </w:rPr>
      </w:pPr>
      <w:r w:rsidRPr="002F1795">
        <w:rPr>
          <w:u w:val="single"/>
        </w:rPr>
        <w:t>(A). Composite Panel Producers</w:t>
      </w:r>
    </w:p>
    <w:p w:rsidR="00A83DDA" w:rsidRPr="002F1795" w:rsidRDefault="00A83DDA" w:rsidP="00A83DDA">
      <w:pPr>
        <w:numPr>
          <w:ilvl w:val="12"/>
          <w:numId w:val="0"/>
        </w:numPr>
      </w:pPr>
    </w:p>
    <w:p w:rsidR="00A83DDA" w:rsidRPr="002F1795" w:rsidRDefault="00A83DDA" w:rsidP="00A83DDA">
      <w:pPr>
        <w:numPr>
          <w:ilvl w:val="12"/>
          <w:numId w:val="0"/>
        </w:numPr>
        <w:ind w:firstLine="720"/>
      </w:pPr>
      <w:r w:rsidRPr="002F1795">
        <w:t xml:space="preserve">Composite panel producers will incur non-labor costs from testing and certification activities.  As stated above, this analysis assumes that product lines that </w:t>
      </w:r>
      <w:r w:rsidR="00721DD9" w:rsidRPr="002F1795">
        <w:t xml:space="preserve">are certified </w:t>
      </w:r>
      <w:r w:rsidRPr="002F1795">
        <w:t xml:space="preserve">under the CARB ATCM will not have to submit new data or resubmit existing data to their TPC in order to receive the equivalent certification under the TSCA Title VI regulations.  In addition, this analysis assumes that two percent of wood veneer laminated product producers will continue to use added formaldehyde resins and thus be classified as hardwood plywood producers.  These entities are not certified by CARB and so will incur the burdens associated with first time certification by a TPC.  </w:t>
      </w:r>
    </w:p>
    <w:p w:rsidR="00A83DDA" w:rsidRPr="002F1795" w:rsidRDefault="00A83DDA" w:rsidP="00A83DDA">
      <w:pPr>
        <w:numPr>
          <w:ilvl w:val="12"/>
          <w:numId w:val="0"/>
        </w:numPr>
      </w:pPr>
    </w:p>
    <w:p w:rsidR="00A83DDA" w:rsidRPr="002F1795" w:rsidRDefault="00A83DDA" w:rsidP="00A83DDA">
      <w:pPr>
        <w:ind w:firstLine="720"/>
        <w:rPr>
          <w:i/>
        </w:rPr>
      </w:pPr>
      <w:r w:rsidRPr="002F1795">
        <w:rPr>
          <w:i/>
        </w:rPr>
        <w:t>Certification Fees (Activity #2)</w:t>
      </w:r>
    </w:p>
    <w:p w:rsidR="00A83DDA" w:rsidRPr="002F1795" w:rsidRDefault="00A83DDA" w:rsidP="00A83DDA">
      <w:pPr>
        <w:numPr>
          <w:ilvl w:val="12"/>
          <w:numId w:val="0"/>
        </w:numPr>
      </w:pPr>
    </w:p>
    <w:p w:rsidR="00A83DDA" w:rsidRPr="002F1795" w:rsidRDefault="00A83DDA" w:rsidP="00A83DDA">
      <w:pPr>
        <w:numPr>
          <w:ilvl w:val="12"/>
          <w:numId w:val="0"/>
        </w:numPr>
        <w:ind w:firstLine="720"/>
      </w:pPr>
      <w:r w:rsidRPr="002F1795">
        <w:t xml:space="preserve">CPA and HPVA charge administrative fees to mills for certifying their products.  CPA charges a quarterly fee of $1,500 regardless of NAF </w:t>
      </w:r>
      <w:r w:rsidR="00AD2675" w:rsidRPr="002F1795">
        <w:t xml:space="preserve">or ULEF </w:t>
      </w:r>
      <w:r w:rsidRPr="002F1795">
        <w:t xml:space="preserve">status, which is equivalent to $6,000 per year.  HPVA charges an annual program fee of $4,500 to $5,500 (depending on membership status) to mills that are not NAF </w:t>
      </w:r>
      <w:r w:rsidR="00AD2675" w:rsidRPr="002F1795">
        <w:t xml:space="preserve">or ULEF </w:t>
      </w:r>
      <w:r w:rsidRPr="002F1795">
        <w:t xml:space="preserve">certified.  Mills with </w:t>
      </w:r>
      <w:r w:rsidR="00AD2675" w:rsidRPr="002F1795">
        <w:t xml:space="preserve">ULEF or </w:t>
      </w:r>
      <w:r w:rsidRPr="002F1795">
        <w:t>NAF certifications are required to pay the standard annual program fee in the first year and an annual fee of $2,700 to $3,700 in all subsequent years.  This analysis assumes that the annual certification fee for mills with standard certification is $6,000, the fees for uncertified or standard-certified mills with new NAF certifications are $6,000 in the first year and $3,700 in all subsequent years, and the annual certification fee for mills with a current NAF or ULEF certification is $3,700.</w:t>
      </w:r>
      <w:r w:rsidRPr="002F1795">
        <w:rPr>
          <w:vertAlign w:val="superscript"/>
        </w:rPr>
        <w:footnoteReference w:id="23"/>
      </w:r>
    </w:p>
    <w:p w:rsidR="00A83DDA" w:rsidRPr="002F1795" w:rsidRDefault="00A83DDA" w:rsidP="00A83DDA">
      <w:pPr>
        <w:numPr>
          <w:ilvl w:val="12"/>
          <w:numId w:val="0"/>
        </w:numPr>
        <w:ind w:firstLine="720"/>
      </w:pPr>
    </w:p>
    <w:tbl>
      <w:tblPr>
        <w:tblW w:w="5420" w:type="dxa"/>
        <w:jc w:val="center"/>
        <w:tblLook w:val="0000"/>
      </w:tblPr>
      <w:tblGrid>
        <w:gridCol w:w="2048"/>
        <w:gridCol w:w="1856"/>
        <w:gridCol w:w="1516"/>
      </w:tblGrid>
      <w:tr w:rsidR="00A83DDA" w:rsidRPr="002F1795" w:rsidTr="006565F1">
        <w:trPr>
          <w:trHeight w:val="70"/>
          <w:jc w:val="center"/>
        </w:trPr>
        <w:tc>
          <w:tcPr>
            <w:tcW w:w="5420" w:type="dxa"/>
            <w:gridSpan w:val="3"/>
            <w:tcBorders>
              <w:top w:val="single" w:sz="4" w:space="0" w:color="auto"/>
              <w:left w:val="single" w:sz="4" w:space="0" w:color="auto"/>
              <w:bottom w:val="single" w:sz="4" w:space="0" w:color="auto"/>
              <w:right w:val="single" w:sz="4" w:space="0" w:color="auto"/>
            </w:tcBorders>
            <w:shd w:val="clear" w:color="auto" w:fill="C0C0C0"/>
            <w:noWrap/>
          </w:tcPr>
          <w:p w:rsidR="00A83DDA" w:rsidRPr="002F1795" w:rsidRDefault="00A83DDA" w:rsidP="006565F1">
            <w:pPr>
              <w:pStyle w:val="TableTitle"/>
            </w:pPr>
            <w:r w:rsidRPr="002F1795">
              <w:rPr>
                <w:rStyle w:val="TableTitleChar"/>
              </w:rPr>
              <w:t>Exhibit 6-</w:t>
            </w:r>
            <w:r w:rsidR="0041046E" w:rsidRPr="002F1795">
              <w:rPr>
                <w:rStyle w:val="TableTitleChar"/>
              </w:rPr>
              <w:fldChar w:fldCharType="begin"/>
            </w:r>
            <w:r w:rsidRPr="002F1795">
              <w:rPr>
                <w:rStyle w:val="TableTitleChar"/>
              </w:rPr>
              <w:instrText xml:space="preserve"> SEQ Exhibit_6- \* ARABIC </w:instrText>
            </w:r>
            <w:r w:rsidR="0041046E" w:rsidRPr="002F1795">
              <w:rPr>
                <w:rStyle w:val="TableTitleChar"/>
              </w:rPr>
              <w:fldChar w:fldCharType="separate"/>
            </w:r>
            <w:r w:rsidR="0036394F">
              <w:rPr>
                <w:rStyle w:val="TableTitleChar"/>
                <w:noProof/>
              </w:rPr>
              <w:t>22</w:t>
            </w:r>
            <w:r w:rsidR="0041046E" w:rsidRPr="002F1795">
              <w:rPr>
                <w:rStyle w:val="TableTitleChar"/>
              </w:rPr>
              <w:fldChar w:fldCharType="end"/>
            </w:r>
            <w:r w:rsidRPr="002F1795">
              <w:rPr>
                <w:rStyle w:val="TableTitleChar"/>
              </w:rPr>
              <w:t xml:space="preserve">: </w:t>
            </w:r>
            <w:r w:rsidRPr="002F1795">
              <w:t>Certification Fees</w:t>
            </w:r>
          </w:p>
        </w:tc>
      </w:tr>
      <w:tr w:rsidR="00A83DDA" w:rsidRPr="002F1795" w:rsidTr="006565F1">
        <w:trPr>
          <w:trHeight w:val="80"/>
          <w:jc w:val="center"/>
        </w:trPr>
        <w:tc>
          <w:tcPr>
            <w:tcW w:w="2048" w:type="dxa"/>
            <w:tcBorders>
              <w:top w:val="nil"/>
              <w:left w:val="single" w:sz="4" w:space="0" w:color="auto"/>
              <w:bottom w:val="single" w:sz="4" w:space="0" w:color="auto"/>
              <w:right w:val="single" w:sz="4" w:space="0" w:color="auto"/>
            </w:tcBorders>
            <w:shd w:val="clear" w:color="auto" w:fill="FFFFFF"/>
            <w:vAlign w:val="bottom"/>
          </w:tcPr>
          <w:p w:rsidR="00A83DDA" w:rsidRPr="002F1795" w:rsidRDefault="00A83DDA" w:rsidP="006565F1">
            <w:pPr>
              <w:pStyle w:val="TableSubtitle"/>
            </w:pPr>
            <w:r w:rsidRPr="002F1795">
              <w:t>Cost Category</w:t>
            </w:r>
          </w:p>
        </w:tc>
        <w:tc>
          <w:tcPr>
            <w:tcW w:w="1856" w:type="dxa"/>
            <w:tcBorders>
              <w:top w:val="nil"/>
              <w:left w:val="nil"/>
              <w:bottom w:val="single" w:sz="4" w:space="0" w:color="auto"/>
              <w:right w:val="single" w:sz="4" w:space="0" w:color="auto"/>
            </w:tcBorders>
            <w:shd w:val="clear" w:color="auto" w:fill="FFFFFF"/>
            <w:vAlign w:val="bottom"/>
          </w:tcPr>
          <w:p w:rsidR="00A83DDA" w:rsidRPr="002F1795" w:rsidRDefault="00A83DDA" w:rsidP="006565F1">
            <w:pPr>
              <w:pStyle w:val="TableSubtitle"/>
            </w:pPr>
            <w:r w:rsidRPr="002F1795">
              <w:t>Certification Type</w:t>
            </w:r>
          </w:p>
        </w:tc>
        <w:tc>
          <w:tcPr>
            <w:tcW w:w="1516" w:type="dxa"/>
            <w:tcBorders>
              <w:top w:val="nil"/>
              <w:left w:val="nil"/>
              <w:bottom w:val="single" w:sz="4" w:space="0" w:color="auto"/>
              <w:right w:val="single" w:sz="4" w:space="0" w:color="auto"/>
            </w:tcBorders>
            <w:shd w:val="clear" w:color="auto" w:fill="FFFFFF"/>
            <w:vAlign w:val="bottom"/>
          </w:tcPr>
          <w:p w:rsidR="00A83DDA" w:rsidRPr="002F1795" w:rsidRDefault="00A83DDA" w:rsidP="006565F1">
            <w:pPr>
              <w:pStyle w:val="TableSubtitle"/>
            </w:pPr>
            <w:r w:rsidRPr="002F1795">
              <w:t>Fee</w:t>
            </w:r>
          </w:p>
        </w:tc>
      </w:tr>
      <w:tr w:rsidR="00A83DDA" w:rsidRPr="002F1795" w:rsidTr="006565F1">
        <w:trPr>
          <w:trHeight w:val="70"/>
          <w:jc w:val="center"/>
        </w:trPr>
        <w:tc>
          <w:tcPr>
            <w:tcW w:w="2048" w:type="dxa"/>
            <w:tcBorders>
              <w:top w:val="nil"/>
              <w:left w:val="single" w:sz="4" w:space="0" w:color="auto"/>
              <w:bottom w:val="single" w:sz="4" w:space="0" w:color="auto"/>
              <w:right w:val="single" w:sz="4" w:space="0" w:color="auto"/>
            </w:tcBorders>
            <w:shd w:val="clear" w:color="auto" w:fill="auto"/>
            <w:vAlign w:val="center"/>
          </w:tcPr>
          <w:p w:rsidR="00A83DDA" w:rsidRPr="002F1795" w:rsidRDefault="00A83DDA" w:rsidP="006565F1">
            <w:pPr>
              <w:pStyle w:val="TableText"/>
              <w:jc w:val="center"/>
            </w:pPr>
            <w:r w:rsidRPr="002F1795">
              <w:t>Initial Fee</w:t>
            </w:r>
          </w:p>
        </w:tc>
        <w:tc>
          <w:tcPr>
            <w:tcW w:w="1856" w:type="dxa"/>
            <w:tcBorders>
              <w:top w:val="nil"/>
              <w:left w:val="nil"/>
              <w:bottom w:val="single" w:sz="4" w:space="0" w:color="auto"/>
              <w:right w:val="single" w:sz="4" w:space="0" w:color="auto"/>
            </w:tcBorders>
            <w:shd w:val="clear" w:color="auto" w:fill="auto"/>
            <w:vAlign w:val="center"/>
          </w:tcPr>
          <w:p w:rsidR="00A83DDA" w:rsidRPr="002F1795" w:rsidRDefault="00A83DDA" w:rsidP="006565F1">
            <w:pPr>
              <w:pStyle w:val="TableText"/>
              <w:jc w:val="center"/>
            </w:pPr>
            <w:r w:rsidRPr="002F1795">
              <w:t>All</w:t>
            </w:r>
          </w:p>
        </w:tc>
        <w:tc>
          <w:tcPr>
            <w:tcW w:w="1516" w:type="dxa"/>
            <w:tcBorders>
              <w:top w:val="nil"/>
              <w:left w:val="nil"/>
              <w:bottom w:val="single" w:sz="4" w:space="0" w:color="auto"/>
              <w:right w:val="single" w:sz="4" w:space="0" w:color="auto"/>
            </w:tcBorders>
            <w:shd w:val="clear" w:color="auto" w:fill="auto"/>
            <w:vAlign w:val="center"/>
          </w:tcPr>
          <w:p w:rsidR="00A83DDA" w:rsidRPr="002F1795" w:rsidRDefault="00A83DDA" w:rsidP="006565F1">
            <w:pPr>
              <w:pStyle w:val="TableText"/>
              <w:ind w:right="-8"/>
              <w:jc w:val="right"/>
            </w:pPr>
            <w:r w:rsidRPr="002F1795">
              <w:t>$6,000</w:t>
            </w:r>
          </w:p>
        </w:tc>
      </w:tr>
      <w:tr w:rsidR="00A83DDA" w:rsidRPr="002F1795" w:rsidTr="006565F1">
        <w:trPr>
          <w:trHeight w:val="70"/>
          <w:jc w:val="center"/>
        </w:trPr>
        <w:tc>
          <w:tcPr>
            <w:tcW w:w="2048" w:type="dxa"/>
            <w:vMerge w:val="restart"/>
            <w:tcBorders>
              <w:top w:val="nil"/>
              <w:left w:val="single" w:sz="4" w:space="0" w:color="auto"/>
              <w:bottom w:val="single" w:sz="4" w:space="0" w:color="000000"/>
              <w:right w:val="single" w:sz="4" w:space="0" w:color="auto"/>
            </w:tcBorders>
            <w:shd w:val="clear" w:color="auto" w:fill="auto"/>
            <w:vAlign w:val="center"/>
          </w:tcPr>
          <w:p w:rsidR="00A83DDA" w:rsidRPr="002F1795" w:rsidRDefault="00A83DDA" w:rsidP="006565F1">
            <w:pPr>
              <w:pStyle w:val="TableText"/>
              <w:jc w:val="center"/>
            </w:pPr>
            <w:r w:rsidRPr="002F1795">
              <w:t>Annual Fee</w:t>
            </w:r>
          </w:p>
        </w:tc>
        <w:tc>
          <w:tcPr>
            <w:tcW w:w="1856" w:type="dxa"/>
            <w:tcBorders>
              <w:top w:val="nil"/>
              <w:left w:val="nil"/>
              <w:bottom w:val="single" w:sz="4" w:space="0" w:color="auto"/>
              <w:right w:val="single" w:sz="4" w:space="0" w:color="auto"/>
            </w:tcBorders>
            <w:shd w:val="clear" w:color="auto" w:fill="auto"/>
            <w:vAlign w:val="center"/>
          </w:tcPr>
          <w:p w:rsidR="00A83DDA" w:rsidRPr="002F1795" w:rsidRDefault="00A83DDA" w:rsidP="006565F1">
            <w:pPr>
              <w:pStyle w:val="TableText"/>
              <w:jc w:val="center"/>
            </w:pPr>
            <w:r w:rsidRPr="002F1795">
              <w:t>Standard</w:t>
            </w:r>
          </w:p>
        </w:tc>
        <w:tc>
          <w:tcPr>
            <w:tcW w:w="1516" w:type="dxa"/>
            <w:tcBorders>
              <w:top w:val="nil"/>
              <w:left w:val="nil"/>
              <w:bottom w:val="single" w:sz="4" w:space="0" w:color="auto"/>
              <w:right w:val="single" w:sz="4" w:space="0" w:color="auto"/>
            </w:tcBorders>
            <w:shd w:val="clear" w:color="auto" w:fill="auto"/>
            <w:vAlign w:val="center"/>
          </w:tcPr>
          <w:p w:rsidR="00A83DDA" w:rsidRPr="002F1795" w:rsidRDefault="00A83DDA" w:rsidP="006565F1">
            <w:pPr>
              <w:pStyle w:val="TableText"/>
              <w:ind w:right="-8"/>
              <w:jc w:val="right"/>
            </w:pPr>
            <w:r w:rsidRPr="002F1795">
              <w:t>$6,000</w:t>
            </w:r>
          </w:p>
        </w:tc>
      </w:tr>
      <w:tr w:rsidR="00A83DDA" w:rsidRPr="002F1795" w:rsidTr="006565F1">
        <w:trPr>
          <w:trHeight w:val="70"/>
          <w:jc w:val="center"/>
        </w:trPr>
        <w:tc>
          <w:tcPr>
            <w:tcW w:w="2048" w:type="dxa"/>
            <w:vMerge/>
            <w:tcBorders>
              <w:top w:val="nil"/>
              <w:left w:val="single" w:sz="4" w:space="0" w:color="auto"/>
              <w:bottom w:val="single" w:sz="4" w:space="0" w:color="000000"/>
              <w:right w:val="single" w:sz="4" w:space="0" w:color="auto"/>
            </w:tcBorders>
            <w:vAlign w:val="center"/>
          </w:tcPr>
          <w:p w:rsidR="00A83DDA" w:rsidRPr="002F1795" w:rsidRDefault="00A83DDA" w:rsidP="006565F1">
            <w:pPr>
              <w:pStyle w:val="TableText"/>
            </w:pPr>
          </w:p>
        </w:tc>
        <w:tc>
          <w:tcPr>
            <w:tcW w:w="1856" w:type="dxa"/>
            <w:tcBorders>
              <w:top w:val="nil"/>
              <w:left w:val="nil"/>
              <w:bottom w:val="single" w:sz="4" w:space="0" w:color="auto"/>
              <w:right w:val="single" w:sz="4" w:space="0" w:color="auto"/>
            </w:tcBorders>
            <w:shd w:val="clear" w:color="auto" w:fill="auto"/>
            <w:vAlign w:val="center"/>
          </w:tcPr>
          <w:p w:rsidR="00A83DDA" w:rsidRPr="002F1795" w:rsidRDefault="00A83DDA" w:rsidP="006565F1">
            <w:pPr>
              <w:pStyle w:val="TableText"/>
              <w:jc w:val="center"/>
            </w:pPr>
            <w:r w:rsidRPr="002F1795">
              <w:t>NAF/ULEF</w:t>
            </w:r>
          </w:p>
        </w:tc>
        <w:tc>
          <w:tcPr>
            <w:tcW w:w="1516" w:type="dxa"/>
            <w:tcBorders>
              <w:top w:val="nil"/>
              <w:left w:val="nil"/>
              <w:bottom w:val="single" w:sz="4" w:space="0" w:color="auto"/>
              <w:right w:val="single" w:sz="4" w:space="0" w:color="auto"/>
            </w:tcBorders>
            <w:shd w:val="clear" w:color="auto" w:fill="auto"/>
            <w:vAlign w:val="center"/>
          </w:tcPr>
          <w:p w:rsidR="00A83DDA" w:rsidRPr="002F1795" w:rsidRDefault="00A83DDA" w:rsidP="006565F1">
            <w:pPr>
              <w:pStyle w:val="TableText"/>
              <w:ind w:right="-8"/>
              <w:jc w:val="right"/>
            </w:pPr>
            <w:r w:rsidRPr="002F1795">
              <w:t>$3,700</w:t>
            </w:r>
          </w:p>
        </w:tc>
      </w:tr>
    </w:tbl>
    <w:p w:rsidR="00E24027" w:rsidRPr="002F1795" w:rsidRDefault="00E24027" w:rsidP="00A83DDA">
      <w:pPr>
        <w:numPr>
          <w:ilvl w:val="12"/>
          <w:numId w:val="0"/>
        </w:numPr>
        <w:ind w:firstLine="720"/>
      </w:pPr>
    </w:p>
    <w:p w:rsidR="00A83DDA" w:rsidRPr="002F1795" w:rsidRDefault="00A83DDA" w:rsidP="00A83DDA">
      <w:pPr>
        <w:ind w:firstLine="720"/>
        <w:rPr>
          <w:i/>
        </w:rPr>
      </w:pPr>
      <w:r w:rsidRPr="002F1795">
        <w:rPr>
          <w:i/>
        </w:rPr>
        <w:t>Qualifying Test (Activity #5)</w:t>
      </w:r>
    </w:p>
    <w:p w:rsidR="00A83DDA" w:rsidRPr="002F1795" w:rsidRDefault="00A83DDA" w:rsidP="00A83DDA">
      <w:pPr>
        <w:rPr>
          <w:i/>
        </w:rPr>
      </w:pPr>
    </w:p>
    <w:p w:rsidR="00A83DDA" w:rsidRPr="002F1795" w:rsidRDefault="00A83DDA" w:rsidP="00A83DDA">
      <w:pPr>
        <w:numPr>
          <w:ilvl w:val="12"/>
          <w:numId w:val="0"/>
        </w:numPr>
        <w:ind w:firstLine="720"/>
      </w:pPr>
      <w:r w:rsidRPr="002F1795">
        <w:t xml:space="preserve">Under TSCA Title VI, a composite panel producer is required to obtain five qualifying tests for each product type (e.g., hardwood plywood – veneer core) and production line from the </w:t>
      </w:r>
      <w:r w:rsidRPr="002F1795">
        <w:lastRenderedPageBreak/>
        <w:t>mill for which certification is sought.  This ICR assumes that all qualifying testing is performed using the primary test method, large chamber test, as defined by ASTM International Standard E1333.  This ICR assumes a cost of $480 per large scale test based on HPVA’s 2010 fee.</w:t>
      </w:r>
      <w:r w:rsidRPr="002F1795">
        <w:rPr>
          <w:rStyle w:val="FootnoteReference"/>
          <w:vertAlign w:val="superscript"/>
        </w:rPr>
        <w:footnoteReference w:id="24"/>
      </w:r>
      <w:r w:rsidRPr="002F1795" w:rsidDel="00654DE7">
        <w:t xml:space="preserve"> </w:t>
      </w:r>
      <w:r w:rsidRPr="002F1795">
        <w:t xml:space="preserve"> This analysis assumes that mills making product lines that have a standard certification or a NAF certification under the CARB ATCM will not need to submit new data or resubmit existing data to their existing TPC in order to receive the equivalent certification under the TSCA Title VI regulations.  Thus, producers that are already CARB compliant and are not expected to adopt a more stringent certification type (e.g., NAF certification) will not incur this burden. </w:t>
      </w:r>
    </w:p>
    <w:p w:rsidR="00A83DDA" w:rsidRPr="002F1795" w:rsidRDefault="00A83DDA" w:rsidP="00A83DDA">
      <w:pPr>
        <w:numPr>
          <w:ilvl w:val="12"/>
          <w:numId w:val="0"/>
        </w:numPr>
        <w:ind w:firstLine="720"/>
      </w:pPr>
    </w:p>
    <w:p w:rsidR="00A83DDA" w:rsidRPr="002F1795" w:rsidRDefault="00A83DDA" w:rsidP="00A83DDA">
      <w:pPr>
        <w:ind w:firstLine="720"/>
        <w:rPr>
          <w:i/>
        </w:rPr>
      </w:pPr>
      <w:r w:rsidRPr="002F1795">
        <w:rPr>
          <w:i/>
        </w:rPr>
        <w:t>Qualifying Test Shipping (Activity #6)</w:t>
      </w:r>
    </w:p>
    <w:p w:rsidR="00A83DDA" w:rsidRPr="002F1795" w:rsidRDefault="00A83DDA" w:rsidP="00A83DDA">
      <w:pPr>
        <w:numPr>
          <w:ilvl w:val="12"/>
          <w:numId w:val="0"/>
        </w:numPr>
        <w:ind w:firstLine="720"/>
      </w:pPr>
    </w:p>
    <w:p w:rsidR="00A83DDA" w:rsidRPr="002F1795" w:rsidRDefault="00A83DDA" w:rsidP="00A83DDA">
      <w:pPr>
        <w:numPr>
          <w:ilvl w:val="12"/>
          <w:numId w:val="0"/>
        </w:numPr>
        <w:ind w:firstLine="720"/>
      </w:pPr>
      <w:r w:rsidRPr="002F1795">
        <w:t xml:space="preserve">Mills are expected to ship at least five 4’ x 8’ panels for each product type via a commercial shipping carrier.  Panels must be dead-stacked (i.e., having no layers between panels), bundled air-tight, wrapped in polyethylene, and protected by cover sheets.  Based on conversations with CPA and with CARB-certified mills, the total shipping cost for the qualifying tests is estimated to be approximately $200 per product line.  This analysis assumes that mills making product lines that </w:t>
      </w:r>
      <w:r w:rsidR="00721DD9" w:rsidRPr="002F1795">
        <w:t xml:space="preserve">are certified </w:t>
      </w:r>
      <w:r w:rsidRPr="002F1795">
        <w:t>under the CARB ATCM will not need to submit new data or resubmit existing data to their existing TPC in order to receive the equivalent certification under the TSCA Title VI regulations.  Thus, producers that are already CARB compliant and are not expected to adopt a more stringent certification type will not incur this burden.</w:t>
      </w:r>
    </w:p>
    <w:p w:rsidR="00A83DDA" w:rsidRPr="002F1795" w:rsidRDefault="00A83DDA" w:rsidP="00A83DDA">
      <w:pPr>
        <w:ind w:firstLine="720"/>
      </w:pPr>
    </w:p>
    <w:p w:rsidR="00A83DDA" w:rsidRPr="002F1795" w:rsidRDefault="00A83DDA" w:rsidP="00A83DDA">
      <w:pPr>
        <w:ind w:firstLine="720"/>
        <w:rPr>
          <w:i/>
        </w:rPr>
      </w:pPr>
      <w:r w:rsidRPr="002F1795">
        <w:rPr>
          <w:i/>
        </w:rPr>
        <w:t>Quarterly On-site Audit (Activity #8)</w:t>
      </w:r>
    </w:p>
    <w:p w:rsidR="00A83DDA" w:rsidRPr="002F1795" w:rsidRDefault="00A83DDA" w:rsidP="00A83DDA"/>
    <w:p w:rsidR="00A83DDA" w:rsidRPr="002F1795" w:rsidRDefault="00A83DDA" w:rsidP="00A83DDA">
      <w:pPr>
        <w:numPr>
          <w:ilvl w:val="12"/>
          <w:numId w:val="0"/>
        </w:numPr>
        <w:ind w:firstLine="720"/>
      </w:pPr>
      <w:r w:rsidRPr="002F1795">
        <w:t xml:space="preserve">The TPC is responsible for conducting on-site visits to certified mills.  Before the initial certification, the TPC is expected to make at least one trip to the mill to inspect the mill’s quality control systems and employees. During the initial visit, the TPC will assist the mill in setting up quality control systems, including the small scale testing facility, if applicable, and methods for selecting samples.  After certification has been granted, the TPC is obligated to perform an on-site audit at least once quarterly, unless the mill obtains </w:t>
      </w:r>
      <w:r w:rsidR="00FC0ABD" w:rsidRPr="002F1795">
        <w:t xml:space="preserve">a ULEF or </w:t>
      </w:r>
      <w:r w:rsidRPr="002F1795">
        <w:t>NAF certification.  Audits typically do not take more than one day of travel and visitation, though if the mill requires a substantial number of modifications or is unprepared, the duration of the visit may be longer.</w:t>
      </w:r>
      <w:r w:rsidRPr="002F1795">
        <w:rPr>
          <w:rStyle w:val="FootnoteReference"/>
          <w:vertAlign w:val="superscript"/>
        </w:rPr>
        <w:footnoteReference w:id="25"/>
      </w:r>
      <w:r w:rsidRPr="002F1795">
        <w:t xml:space="preserve"> </w:t>
      </w:r>
    </w:p>
    <w:p w:rsidR="00A83DDA" w:rsidRPr="002F1795" w:rsidRDefault="00A83DDA" w:rsidP="00A83DDA">
      <w:pPr>
        <w:numPr>
          <w:ilvl w:val="12"/>
          <w:numId w:val="0"/>
        </w:numPr>
        <w:ind w:firstLine="720"/>
      </w:pPr>
    </w:p>
    <w:p w:rsidR="00A83DDA" w:rsidRPr="002F1795" w:rsidRDefault="00A83DDA" w:rsidP="00A83DDA">
      <w:pPr>
        <w:numPr>
          <w:ilvl w:val="12"/>
          <w:numId w:val="0"/>
        </w:numPr>
        <w:ind w:firstLine="720"/>
      </w:pPr>
      <w:r w:rsidRPr="002F1795">
        <w:t>The cost of the audit is borne by the composite panel producer and has two components: audit fees and travel costs.  Site audit fees can range from $300 to $450 for initial visits and from $400 to $450 for quarterly visits, depending on the TPC.  Based on these ranges, this analysis assumes that will mills will pay a fee of $450 per visit.</w:t>
      </w:r>
    </w:p>
    <w:p w:rsidR="00A83DDA" w:rsidRPr="002F1795" w:rsidRDefault="00A83DDA" w:rsidP="00A83DDA">
      <w:pPr>
        <w:numPr>
          <w:ilvl w:val="12"/>
          <w:numId w:val="0"/>
        </w:numPr>
        <w:ind w:firstLine="720"/>
      </w:pPr>
    </w:p>
    <w:p w:rsidR="00A83DDA" w:rsidRPr="002F1795" w:rsidRDefault="00A920FD" w:rsidP="00A83DDA">
      <w:pPr>
        <w:pStyle w:val="BodyText"/>
        <w:rPr>
          <w:sz w:val="24"/>
        </w:rPr>
      </w:pPr>
      <w:r w:rsidRPr="002F1795">
        <w:rPr>
          <w:sz w:val="24"/>
        </w:rPr>
        <w:tab/>
      </w:r>
      <w:r w:rsidR="00A83DDA" w:rsidRPr="002F1795">
        <w:rPr>
          <w:sz w:val="24"/>
        </w:rPr>
        <w:t xml:space="preserve">As in the burden section, this analysis assumes that producers with new NAF certifications will incur the costs associated with one on-site audit (in addition to the initial audit) and two desk audits in the first year.  The initial on-site audit is assumed to be sufficient for producers with existing </w:t>
      </w:r>
      <w:r w:rsidR="001E7361" w:rsidRPr="002F1795">
        <w:rPr>
          <w:sz w:val="24"/>
        </w:rPr>
        <w:t xml:space="preserve">ULEF or </w:t>
      </w:r>
      <w:r w:rsidR="00A83DDA" w:rsidRPr="002F1795">
        <w:rPr>
          <w:sz w:val="24"/>
        </w:rPr>
        <w:t xml:space="preserve">NAF certifications.  All </w:t>
      </w:r>
      <w:r w:rsidR="001E7361" w:rsidRPr="002F1795">
        <w:rPr>
          <w:sz w:val="24"/>
        </w:rPr>
        <w:t xml:space="preserve">ULEF and </w:t>
      </w:r>
      <w:r w:rsidR="00A83DDA" w:rsidRPr="002F1795">
        <w:rPr>
          <w:sz w:val="24"/>
        </w:rPr>
        <w:t>NAF-certified producers will have one on-site audit annually thereafter.</w:t>
      </w:r>
    </w:p>
    <w:p w:rsidR="00A83DDA" w:rsidRPr="002F1795" w:rsidRDefault="00A83DDA" w:rsidP="00A83DDA"/>
    <w:p w:rsidR="00A83DDA" w:rsidRPr="002F1795" w:rsidRDefault="00A83DDA" w:rsidP="00A83DDA">
      <w:pPr>
        <w:ind w:firstLine="720"/>
        <w:rPr>
          <w:i/>
        </w:rPr>
      </w:pPr>
      <w:r w:rsidRPr="002F1795">
        <w:rPr>
          <w:i/>
        </w:rPr>
        <w:lastRenderedPageBreak/>
        <w:t>Large Scale Testing Fees (Activity #9)</w:t>
      </w:r>
    </w:p>
    <w:p w:rsidR="00A83DDA" w:rsidRPr="002F1795" w:rsidRDefault="00A83DDA" w:rsidP="00A83DDA">
      <w:pPr>
        <w:ind w:firstLine="720"/>
      </w:pPr>
    </w:p>
    <w:p w:rsidR="00A83DDA" w:rsidRPr="002F1795" w:rsidRDefault="00A83DDA" w:rsidP="00A83DDA">
      <w:pPr>
        <w:ind w:firstLine="720"/>
      </w:pPr>
      <w:r w:rsidRPr="002F1795">
        <w:t xml:space="preserve">As described above, it is assumed that each large scale test costs $480.  Mills are </w:t>
      </w:r>
      <w:r w:rsidR="001E7361" w:rsidRPr="002F1795">
        <w:t xml:space="preserve">assumed </w:t>
      </w:r>
      <w:r w:rsidRPr="002F1795">
        <w:t xml:space="preserve">to perform large scale testing quarterly unless all products are certified as NAF.  It is assumed that mills with only NAF-certified products will perform large scale testing annually.  In the first year, mills with added-formaldehyde products will test those products three times in addition to the qualifying testing, and mills with NAF products will test those once at the end of the qualifying process.  Note that some respondents are assumed to have </w:t>
      </w:r>
      <w:r w:rsidR="001E7361" w:rsidRPr="002F1795">
        <w:t xml:space="preserve">different certifications for different product lines (i.e., combinations of </w:t>
      </w:r>
      <w:r w:rsidRPr="002F1795">
        <w:t>standard</w:t>
      </w:r>
      <w:r w:rsidR="00FC0ABD" w:rsidRPr="002F1795">
        <w:t>, ULEF</w:t>
      </w:r>
      <w:r w:rsidRPr="002F1795">
        <w:t xml:space="preserve"> and NAF certifications</w:t>
      </w:r>
      <w:r w:rsidR="001E7361" w:rsidRPr="002F1795">
        <w:t>)</w:t>
      </w:r>
      <w:r w:rsidRPr="002F1795">
        <w:t>.</w:t>
      </w:r>
    </w:p>
    <w:p w:rsidR="00A83DDA" w:rsidRPr="002F1795" w:rsidRDefault="00A83DDA" w:rsidP="00A83DDA">
      <w:pPr>
        <w:ind w:firstLine="720"/>
      </w:pPr>
    </w:p>
    <w:p w:rsidR="00A83DDA" w:rsidRPr="002F1795" w:rsidRDefault="00A83DDA" w:rsidP="00A83DDA">
      <w:pPr>
        <w:ind w:firstLine="720"/>
        <w:rPr>
          <w:i/>
        </w:rPr>
      </w:pPr>
      <w:r w:rsidRPr="002F1795">
        <w:rPr>
          <w:i/>
        </w:rPr>
        <w:t>Large Scale Testing Shipping (Activity #10)</w:t>
      </w:r>
    </w:p>
    <w:p w:rsidR="00A83DDA" w:rsidRPr="002F1795" w:rsidRDefault="00A83DDA" w:rsidP="00A83DDA">
      <w:pPr>
        <w:rPr>
          <w:i/>
        </w:rPr>
      </w:pPr>
    </w:p>
    <w:p w:rsidR="00A83DDA" w:rsidRPr="002F1795" w:rsidRDefault="00A83DDA" w:rsidP="00A83DDA">
      <w:pPr>
        <w:ind w:firstLine="720"/>
      </w:pPr>
      <w:r w:rsidRPr="002F1795">
        <w:t xml:space="preserve">Mills are expected to ship one 4’ x 8’ panel for each product type via a commercial shipping carrier.  Panels must be dead-stacked (i.e., having no layers between panels), bundled air-tight, wrapped in polyethylene, and protected by cover sheets.  Based on conversations with CPA and with CARB-certified mills, the total shipping cost for the quarterly tests is estimated to be approximately $50 per product line. Note that some respondents are assumed to have </w:t>
      </w:r>
      <w:r w:rsidR="00EA35AE" w:rsidRPr="002F1795">
        <w:t xml:space="preserve">different certifications for different product lines (i.e., combinations of </w:t>
      </w:r>
      <w:r w:rsidRPr="002F1795">
        <w:t>standard</w:t>
      </w:r>
      <w:r w:rsidR="00FC0ABD" w:rsidRPr="002F1795">
        <w:t>, ULEF</w:t>
      </w:r>
      <w:r w:rsidRPr="002F1795">
        <w:t xml:space="preserve"> and NAF certifications</w:t>
      </w:r>
      <w:r w:rsidR="00EA35AE" w:rsidRPr="002F1795">
        <w:t>)</w:t>
      </w:r>
      <w:r w:rsidRPr="002F1795">
        <w:t>.</w:t>
      </w:r>
    </w:p>
    <w:p w:rsidR="00A83DDA" w:rsidRPr="002F1795" w:rsidRDefault="00A83DDA" w:rsidP="00A83DDA">
      <w:pPr>
        <w:numPr>
          <w:ilvl w:val="12"/>
          <w:numId w:val="0"/>
        </w:numPr>
        <w:ind w:firstLine="720"/>
      </w:pPr>
      <w:r w:rsidRPr="002F1795">
        <w:t xml:space="preserve">  </w:t>
      </w:r>
    </w:p>
    <w:p w:rsidR="00A83DDA" w:rsidRPr="002F1795" w:rsidRDefault="00A83DDA" w:rsidP="00A83DDA">
      <w:pPr>
        <w:ind w:firstLine="720"/>
        <w:rPr>
          <w:i/>
        </w:rPr>
      </w:pPr>
      <w:r w:rsidRPr="002F1795">
        <w:rPr>
          <w:i/>
        </w:rPr>
        <w:t>On-site Audit Travel (Activity #11)</w:t>
      </w:r>
    </w:p>
    <w:p w:rsidR="00A83DDA" w:rsidRPr="002F1795" w:rsidRDefault="00A83DDA" w:rsidP="00A83DDA"/>
    <w:p w:rsidR="00A83DDA" w:rsidRPr="002F1795" w:rsidRDefault="00A83DDA" w:rsidP="00A83DDA">
      <w:pPr>
        <w:ind w:firstLine="720"/>
      </w:pPr>
      <w:r w:rsidRPr="002F1795">
        <w:t>Travel costs can vary depending on the relative location of the mill to the TPC; mills within a close proximity may not incur any travel costs, whereas a mill across the country may incur travel costs of up to $2,000 per visit.  It is assumed that travel is only necessary for the annual audits, as other intermediate audits can be performed by contracting inspectors closer to the mill.  Therefore, this analysis assumes that each annual audit costs $1,500 in travel costs.  All composite panel producers are assumed to incur this cost.</w:t>
      </w:r>
    </w:p>
    <w:p w:rsidR="00A83DDA" w:rsidRPr="002F1795" w:rsidRDefault="00A83DDA" w:rsidP="00A83DDA">
      <w:pPr>
        <w:ind w:firstLine="720"/>
      </w:pPr>
    </w:p>
    <w:p w:rsidR="00A83DDA" w:rsidRPr="002F1795" w:rsidRDefault="00A83DDA" w:rsidP="00A83DDA">
      <w:pPr>
        <w:ind w:firstLine="720"/>
        <w:rPr>
          <w:i/>
        </w:rPr>
      </w:pPr>
      <w:r w:rsidRPr="002F1795">
        <w:rPr>
          <w:i/>
        </w:rPr>
        <w:t>Desk Audits (Activity #12)</w:t>
      </w:r>
    </w:p>
    <w:p w:rsidR="00A83DDA" w:rsidRPr="002F1795" w:rsidRDefault="00A83DDA" w:rsidP="00A83DDA">
      <w:pPr>
        <w:ind w:firstLine="720"/>
      </w:pPr>
    </w:p>
    <w:p w:rsidR="00A83DDA" w:rsidRPr="002F1795" w:rsidRDefault="00A83DDA" w:rsidP="00A83DDA">
      <w:pPr>
        <w:ind w:firstLine="720"/>
      </w:pPr>
      <w:r w:rsidRPr="002F1795">
        <w:t>TPCs may conduct periodic “desk audits,” which are quality control checks performed over the phone in which the mill’s small scale testing procedures and data are reviewed.  Desk audits are assumed to occur monthly, except in months with quarterly on-site audits.  Based on fees charged by CPA and HPVA, it is assumed that each desk audit costs $250.</w:t>
      </w:r>
    </w:p>
    <w:p w:rsidR="00A83DDA" w:rsidRPr="002F1795" w:rsidRDefault="00A83DDA" w:rsidP="00A83DDA">
      <w:pPr>
        <w:ind w:firstLine="720"/>
      </w:pPr>
    </w:p>
    <w:p w:rsidR="00A83DDA" w:rsidRPr="002F1795" w:rsidRDefault="00A83DDA" w:rsidP="00A83DDA">
      <w:pPr>
        <w:ind w:firstLine="720"/>
      </w:pPr>
      <w:r w:rsidRPr="002F1795">
        <w:t>As in the burden section, this analysis assumes that producers with new NAF certifications will incur the costs associated with two desk audits in the first year; none are performed in subsequent years.  No additional desk audits are assumed to be performed as a result of this rule for respondents with existing NAF</w:t>
      </w:r>
      <w:r w:rsidR="00E87DE5" w:rsidRPr="002F1795">
        <w:t xml:space="preserve"> or ULEF</w:t>
      </w:r>
      <w:r w:rsidRPr="002F1795">
        <w:t xml:space="preserve"> certification.  </w:t>
      </w:r>
    </w:p>
    <w:p w:rsidR="00C403E5" w:rsidRPr="002F1795" w:rsidRDefault="00C403E5" w:rsidP="00A83DDA">
      <w:pPr>
        <w:ind w:firstLine="720"/>
      </w:pPr>
    </w:p>
    <w:p w:rsidR="00A83DDA" w:rsidRPr="002F1795" w:rsidRDefault="00A83DDA" w:rsidP="00A83DDA">
      <w:pPr>
        <w:rPr>
          <w:i/>
        </w:rPr>
      </w:pPr>
      <w:r w:rsidRPr="002F1795">
        <w:rPr>
          <w:i/>
        </w:rPr>
        <w:tab/>
        <w:t>Small Chamber Testing Unit (Activity #13)</w:t>
      </w:r>
    </w:p>
    <w:p w:rsidR="00A83DDA" w:rsidRPr="002F1795" w:rsidRDefault="00A83DDA" w:rsidP="00A83DDA">
      <w:pPr>
        <w:rPr>
          <w:i/>
        </w:rPr>
      </w:pPr>
    </w:p>
    <w:p w:rsidR="00A83DDA" w:rsidRPr="002F1795" w:rsidRDefault="00A83DDA" w:rsidP="00A83DDA">
      <w:r w:rsidRPr="002F1795">
        <w:rPr>
          <w:i/>
        </w:rPr>
        <w:tab/>
      </w:r>
      <w:r w:rsidRPr="002F1795">
        <w:t xml:space="preserve">This analysis assumes that all panel manufacturers that are required to perform routine quality control testing will use their own small chamber testing unit rather than have the TPC perform the testing.  It is assumed that the unit costs $10,000 to purchase. </w:t>
      </w:r>
    </w:p>
    <w:p w:rsidR="00A83DDA" w:rsidRPr="002F1795" w:rsidRDefault="00A83DDA" w:rsidP="00A83DDA">
      <w:pPr>
        <w:ind w:firstLine="720"/>
        <w:rPr>
          <w:i/>
        </w:rPr>
      </w:pPr>
    </w:p>
    <w:p w:rsidR="00A83DDA" w:rsidRPr="002F1795" w:rsidRDefault="00A83DDA" w:rsidP="00A83DDA">
      <w:pPr>
        <w:ind w:firstLine="720"/>
        <w:rPr>
          <w:i/>
        </w:rPr>
      </w:pPr>
      <w:r w:rsidRPr="002F1795">
        <w:rPr>
          <w:i/>
        </w:rPr>
        <w:t>Quality Control Testing (Activities #14)</w:t>
      </w:r>
    </w:p>
    <w:p w:rsidR="00A83DDA" w:rsidRPr="002F1795" w:rsidRDefault="00A83DDA" w:rsidP="00A83DDA">
      <w:pPr>
        <w:rPr>
          <w:i/>
        </w:rPr>
      </w:pPr>
    </w:p>
    <w:p w:rsidR="00A83DDA" w:rsidRPr="002F1795" w:rsidRDefault="00A83DDA" w:rsidP="00A83DDA">
      <w:pPr>
        <w:ind w:firstLine="720"/>
      </w:pPr>
      <w:r w:rsidRPr="002F1795">
        <w:t xml:space="preserve">To maintain certification, a mill must perform small scale quality control testing for each certified product type and production line.  Mills have the option of constructing an on-site lab and having it approved by a TPC, or contracting a certified third-party lab to perform small scale quality control testing.  According to CPA and HPVA, particleboard and MDF mills already have their own on-site labs to test for formaldehyde (because they have to test their products on a daily basis under the CARB ATCM), while </w:t>
      </w:r>
      <w:proofErr w:type="gramStart"/>
      <w:r w:rsidRPr="002F1795">
        <w:t>most smaller</w:t>
      </w:r>
      <w:proofErr w:type="gramEnd"/>
      <w:r w:rsidRPr="002F1795">
        <w:t xml:space="preserve"> hardwood plywood mills pay their TPC to conduct their quality control testing.  (In part because hardwood plywood mills often use ULEF or NAF resins to qualify for exemptions from some of the on-going testing requirements under the CARB ATCM.)  However, the CARB ATCM allows mills to ship panels from certified product lines before test results are available.  By contrast, the proposed TSCA rule requires mills to wait until test results indicate that the emissions standards have been met before shipping a lot that has been tested.  It is uncertain how often mills currently ship product from a lot being tested before the test results are available and therefore it is uncertain how mills will choose to comply with this requirement.  It may be the case that some mills normally maintain a level of inventory where they would typically not ship any panels before test results have been determined for that lot, but other mills may ship out panels on the same day they are produced.  This analysis assumes that all mills that do not already do so will opt to set up and operate a quality control testing facility on-site, in order to minimize the time spent waiting for test results, and to maximize their flexibility to ship out panels shortly after they have been produced.  (Assuming that mills conduct on-site testing may overstate the costs of this requirement if some mills find it more cost effective to hold products in inventory until test results have been determined by an outside lab.  Producers that are already CARB compliant and are not expected to adopt a more stringent certification type will not need to perform correlation testing. </w:t>
      </w:r>
    </w:p>
    <w:p w:rsidR="00A83DDA" w:rsidRPr="002F1795" w:rsidRDefault="00A83DDA" w:rsidP="00A83DDA">
      <w:pPr>
        <w:ind w:firstLine="720"/>
      </w:pPr>
    </w:p>
    <w:p w:rsidR="00A83DDA" w:rsidRPr="002F1795" w:rsidRDefault="00A83DDA" w:rsidP="00A83DDA">
      <w:pPr>
        <w:ind w:firstLine="720"/>
      </w:pPr>
      <w:r w:rsidRPr="002F1795">
        <w:t>HPVA typically uses a desiccator test for small scale testing, but small chamber tests may also be performed.  Each instance of desiccator testing requires three small samples to be cut from a larger panel and tested.  It is assumed that mills will incur fees of $70 per desiccator test and $405 per small chamber test.  The mean cost, weighted by the number of tests needed (three for desiccator testing), is $154.</w:t>
      </w:r>
    </w:p>
    <w:p w:rsidR="00A83DDA" w:rsidRPr="002F1795" w:rsidRDefault="00A83DDA" w:rsidP="00A83DDA">
      <w:pPr>
        <w:ind w:firstLine="720"/>
      </w:pPr>
    </w:p>
    <w:p w:rsidR="00A83DDA" w:rsidRPr="002F1795" w:rsidRDefault="00A83DDA" w:rsidP="00A83DDA">
      <w:pPr>
        <w:ind w:firstLine="720"/>
        <w:rPr>
          <w:i/>
        </w:rPr>
      </w:pPr>
      <w:r w:rsidRPr="002F1795">
        <w:rPr>
          <w:i/>
        </w:rPr>
        <w:t>Lost Product (Activity #15)</w:t>
      </w:r>
    </w:p>
    <w:p w:rsidR="00A83DDA" w:rsidRPr="002F1795" w:rsidRDefault="00A83DDA" w:rsidP="00A83DDA">
      <w:pPr>
        <w:rPr>
          <w:i/>
        </w:rPr>
      </w:pPr>
    </w:p>
    <w:p w:rsidR="00A83DDA" w:rsidRPr="002F1795" w:rsidRDefault="00A83DDA" w:rsidP="00A83DDA">
      <w:pPr>
        <w:ind w:firstLine="720"/>
      </w:pPr>
      <w:r w:rsidRPr="002F1795">
        <w:t xml:space="preserve">Mills will need to forfeit a number of panels for initial and on-going testing.  Mills are expected to ship five 4’ x 8’ panels per product type for qualifying testing.  Producers will lose one panel per product type </w:t>
      </w:r>
      <w:r w:rsidR="00EA35AE" w:rsidRPr="002F1795">
        <w:t xml:space="preserve">for </w:t>
      </w:r>
      <w:r w:rsidRPr="002F1795">
        <w:t xml:space="preserve">each day </w:t>
      </w:r>
      <w:r w:rsidR="00EA35AE" w:rsidRPr="002F1795">
        <w:t xml:space="preserve">that </w:t>
      </w:r>
      <w:r w:rsidRPr="002F1795">
        <w:t>quality control testing</w:t>
      </w:r>
      <w:r w:rsidR="00EA35AE" w:rsidRPr="002F1795">
        <w:t xml:space="preserve"> is performed</w:t>
      </w:r>
      <w:r w:rsidRPr="002F1795">
        <w:t xml:space="preserve">.  In addition to routine small scale testing, </w:t>
      </w:r>
      <w:r w:rsidR="009A3E24" w:rsidRPr="002F1795">
        <w:t xml:space="preserve">standard certification and ULEF </w:t>
      </w:r>
      <w:r w:rsidRPr="002F1795">
        <w:t xml:space="preserve">mills are </w:t>
      </w:r>
      <w:r w:rsidR="009A3E24" w:rsidRPr="002F1795">
        <w:t xml:space="preserve">assumed </w:t>
      </w:r>
      <w:r w:rsidRPr="002F1795">
        <w:t xml:space="preserve">to send one panel per product type to the TPC for large scale testing each quarter.  However, product lines that are certified as NAF are exempt from routine quality control testing after the three month qualifying period, and need only have large scale testing performed annually.  Note that the total respondents with lost product costs presented in the exhibits below sum to more than the total number of respondents because some respondents are assumed to </w:t>
      </w:r>
      <w:proofErr w:type="gramStart"/>
      <w:r w:rsidRPr="002F1795">
        <w:t xml:space="preserve">have </w:t>
      </w:r>
      <w:r w:rsidR="00EA35AE" w:rsidRPr="002F1795">
        <w:t xml:space="preserve"> different</w:t>
      </w:r>
      <w:proofErr w:type="gramEnd"/>
      <w:r w:rsidR="00EA35AE" w:rsidRPr="002F1795">
        <w:t xml:space="preserve"> certifications for different product lines (i.e., combinations of</w:t>
      </w:r>
      <w:r w:rsidRPr="002F1795">
        <w:t xml:space="preserve"> standard</w:t>
      </w:r>
      <w:r w:rsidR="00C4474C" w:rsidRPr="002F1795">
        <w:t>, ULEF</w:t>
      </w:r>
      <w:r w:rsidRPr="002F1795">
        <w:t xml:space="preserve"> and NAF certifications</w:t>
      </w:r>
      <w:r w:rsidR="00EA35AE" w:rsidRPr="002F1795">
        <w:t>)</w:t>
      </w:r>
      <w:r w:rsidRPr="002F1795">
        <w:t>.</w:t>
      </w:r>
    </w:p>
    <w:p w:rsidR="00A83DDA" w:rsidRPr="002F1795" w:rsidRDefault="00A83DDA" w:rsidP="00A83DDA">
      <w:pPr>
        <w:ind w:firstLine="720"/>
      </w:pPr>
    </w:p>
    <w:p w:rsidR="00A83DDA" w:rsidRPr="002F1795" w:rsidRDefault="00A83DDA" w:rsidP="00A83DDA">
      <w:pPr>
        <w:ind w:firstLine="720"/>
      </w:pPr>
      <w:r w:rsidRPr="002F1795">
        <w:lastRenderedPageBreak/>
        <w:t>This analysis estimated the cost of each panel using the average cost per square foot of hardwood plywood, $0.49 and particleboard, $0.28 (RISI 2010).  Assuming a panel size of 32 sq. ft., each hardwood plywood panel will cost the mill $15.68, and each particleboard panel will cost $8.96.</w:t>
      </w:r>
    </w:p>
    <w:p w:rsidR="00A83DDA" w:rsidRPr="002F1795" w:rsidRDefault="00A83DDA" w:rsidP="00A83DDA"/>
    <w:p w:rsidR="00A83DDA" w:rsidRPr="002F1795" w:rsidRDefault="00A83DDA" w:rsidP="00A83DDA">
      <w:pPr>
        <w:pStyle w:val="BodyText"/>
        <w:rPr>
          <w:sz w:val="24"/>
          <w:u w:val="single"/>
        </w:rPr>
      </w:pPr>
      <w:r w:rsidRPr="002F1795">
        <w:rPr>
          <w:sz w:val="24"/>
          <w:u w:val="single"/>
        </w:rPr>
        <w:t>(B). Fabricators</w:t>
      </w:r>
    </w:p>
    <w:p w:rsidR="00A83DDA" w:rsidRPr="002F1795" w:rsidRDefault="00A83DDA" w:rsidP="00A83DDA">
      <w:pPr>
        <w:pStyle w:val="BodyText"/>
        <w:rPr>
          <w:sz w:val="24"/>
          <w:u w:val="single"/>
        </w:rPr>
      </w:pPr>
    </w:p>
    <w:p w:rsidR="00A83DDA" w:rsidRPr="002F1795" w:rsidRDefault="00452741" w:rsidP="00A83DDA">
      <w:pPr>
        <w:pStyle w:val="BodyText"/>
      </w:pPr>
      <w:r w:rsidRPr="002F1795">
        <w:rPr>
          <w:sz w:val="24"/>
        </w:rPr>
        <w:tab/>
      </w:r>
      <w:r w:rsidR="00A83DDA" w:rsidRPr="002F1795">
        <w:rPr>
          <w:sz w:val="24"/>
        </w:rPr>
        <w:t>Fabricators are subject to the proposed rule’s recordkeeping and labeling requirements.  However, not all fabricators incur the non-labor costs associated with proposed rule because 1) they may already complying with the CARB ATCM (</w:t>
      </w:r>
      <w:fldSimple w:instr=" REF _Ref304895680 \h  \* MERGEFORMAT ">
        <w:r w:rsidR="0036394F" w:rsidRPr="0036394F">
          <w:rPr>
            <w:sz w:val="24"/>
          </w:rPr>
          <w:t>Exhibit 6-6</w:t>
        </w:r>
      </w:fldSimple>
      <w:r w:rsidR="00A83DDA" w:rsidRPr="002F1795">
        <w:rPr>
          <w:sz w:val="24"/>
        </w:rPr>
        <w:t xml:space="preserve">) or 2) their existing systems are sufficient to meet the requirements.  As stated above, this analysis assumes that 98 percent of wood veneer laminated product producers will likely switch to NAF resins and be classified as fabricators.  It is assumed that the entirety of this subset of fabricators will incur the non-labor costs associated with supplier notification.   </w:t>
      </w:r>
    </w:p>
    <w:p w:rsidR="00A83DDA" w:rsidRPr="002F1795" w:rsidRDefault="00A83DDA" w:rsidP="00A83DDA">
      <w:pPr>
        <w:numPr>
          <w:ilvl w:val="12"/>
          <w:numId w:val="0"/>
        </w:numPr>
        <w:ind w:firstLine="720"/>
      </w:pPr>
    </w:p>
    <w:p w:rsidR="00A83DDA" w:rsidRPr="002F1795" w:rsidRDefault="00A83DDA" w:rsidP="00A83DDA">
      <w:pPr>
        <w:numPr>
          <w:ilvl w:val="12"/>
          <w:numId w:val="0"/>
        </w:numPr>
        <w:ind w:firstLine="720"/>
      </w:pPr>
      <w:r w:rsidRPr="002F1795">
        <w:t xml:space="preserve">As described in the Economic Analysis for the rulemaking, one respondent to the fabricator questionnaire reported that that they would incur a one-time cost of $250 for purchasing new stamps for labeling.  To remain consistent with the labor section, this cost was averaged across the two firms that reported more significant costs.  As a result, this analysis assumes that the 33 percent of fabricators that are not CARB compliant in the baseline will incur an initial non-labor cost of approximately $125.00 ($250/2) associated with the labeling requirements.  There are not expected to be any non-labor costs associated with recordkeeping for fabricators.  </w:t>
      </w:r>
    </w:p>
    <w:p w:rsidR="00A83DDA" w:rsidRPr="002F1795" w:rsidRDefault="00A83DDA" w:rsidP="00A83DDA">
      <w:pPr>
        <w:pStyle w:val="BodyText"/>
        <w:rPr>
          <w:sz w:val="24"/>
          <w:u w:val="single"/>
        </w:rPr>
      </w:pPr>
    </w:p>
    <w:p w:rsidR="00A83DDA" w:rsidRPr="002F1795" w:rsidRDefault="00A83DDA" w:rsidP="00A83DDA">
      <w:pPr>
        <w:pStyle w:val="BodyText"/>
        <w:rPr>
          <w:sz w:val="24"/>
          <w:u w:val="single"/>
        </w:rPr>
      </w:pPr>
      <w:r w:rsidRPr="002F1795">
        <w:rPr>
          <w:sz w:val="24"/>
          <w:u w:val="single"/>
        </w:rPr>
        <w:t>(C). Wholesalers</w:t>
      </w:r>
    </w:p>
    <w:p w:rsidR="00A83DDA" w:rsidRPr="002F1795" w:rsidRDefault="00A83DDA" w:rsidP="00A83DDA">
      <w:pPr>
        <w:pStyle w:val="BodyText"/>
        <w:rPr>
          <w:sz w:val="24"/>
          <w:u w:val="single"/>
        </w:rPr>
      </w:pPr>
    </w:p>
    <w:p w:rsidR="00A83DDA" w:rsidRPr="002F1795" w:rsidRDefault="00A83DDA" w:rsidP="00A83DDA">
      <w:pPr>
        <w:numPr>
          <w:ilvl w:val="12"/>
          <w:numId w:val="0"/>
        </w:numPr>
        <w:ind w:firstLine="720"/>
      </w:pPr>
      <w:r w:rsidRPr="002F1795">
        <w:t>Wholesalers are subject to the proposed rule’s recordkeeping and labeling requirements.  This analysis assumes that 1 percent of wholesalers will repackage their products and so will incur an initial non-labor labeling cost.  It is assumed that these wholesalers incur the same costs as the fabricators described above (an average of $125.00).  In addition, not all wholesalers will incur the non-labor costs associated with recordkeeping because 1) they are already complying with the CARB ATCM (</w:t>
      </w:r>
      <w:fldSimple w:instr=" REF _Ref304899564 \h  \* MERGEFORMAT ">
        <w:r w:rsidR="0036394F" w:rsidRPr="002F1795">
          <w:t>Exhibit 6-</w:t>
        </w:r>
        <w:r w:rsidR="0036394F">
          <w:t>7</w:t>
        </w:r>
      </w:fldSimple>
      <w:r w:rsidRPr="002F1795">
        <w:t>), 2) their existing systems are sufficient to meet the requirements, or 3) they do not import composite wood products or articles that contain composite wood products and so are only required to keep ordinary business records.</w:t>
      </w:r>
    </w:p>
    <w:p w:rsidR="00A83DDA" w:rsidRPr="002F1795" w:rsidRDefault="00A83DDA" w:rsidP="00A83DDA">
      <w:pPr>
        <w:numPr>
          <w:ilvl w:val="12"/>
          <w:numId w:val="0"/>
        </w:numPr>
        <w:ind w:firstLine="720"/>
      </w:pPr>
    </w:p>
    <w:p w:rsidR="00A83DDA" w:rsidRPr="002F1795" w:rsidRDefault="00A83DDA" w:rsidP="00A83DDA">
      <w:pPr>
        <w:numPr>
          <w:ilvl w:val="12"/>
          <w:numId w:val="0"/>
        </w:numPr>
        <w:ind w:firstLine="720"/>
      </w:pPr>
      <w:r w:rsidRPr="002F1795">
        <w:t>As described in the Economic Analysis for the rulemaking, only one respondent to the wholesaler questionnaire reported that they incurred non-labor costs (a one-time cost of $2,000 for programming changes).  The average non-labor cost is calculated for firms reporting quantified costs.  As a result, this analysis assumes that the 57 percent of wholesalers that import composite wood products and/or articles that contain composite wood products will incur an initial non-labor cost of approximately $1,000 ($2,000/2) associated with the recordkeeping requirements (since one of two firms reporting costs reported a non-labor cost of $2,000).  As indicated above, this analysis assumes that 28 percent of domestic wholesalers import composite wood products and/or articles that contain composite wood products.  There are not expected to be any non-labor costs associated with recurring recordkeeping costs.</w:t>
      </w:r>
    </w:p>
    <w:p w:rsidR="00A83DDA" w:rsidRPr="002F1795" w:rsidRDefault="00A83DDA" w:rsidP="00A83DDA">
      <w:pPr>
        <w:numPr>
          <w:ilvl w:val="12"/>
          <w:numId w:val="0"/>
        </w:numPr>
        <w:ind w:firstLine="720"/>
      </w:pPr>
    </w:p>
    <w:p w:rsidR="00A83DDA" w:rsidRPr="002F1795" w:rsidRDefault="00A83DDA" w:rsidP="00A83DDA">
      <w:pPr>
        <w:numPr>
          <w:ilvl w:val="12"/>
          <w:numId w:val="0"/>
        </w:numPr>
        <w:rPr>
          <w:u w:val="single"/>
        </w:rPr>
      </w:pPr>
      <w:r w:rsidRPr="002F1795">
        <w:rPr>
          <w:u w:val="single"/>
        </w:rPr>
        <w:lastRenderedPageBreak/>
        <w:t>(D). Retailers</w:t>
      </w:r>
    </w:p>
    <w:p w:rsidR="00A83DDA" w:rsidRPr="002F1795" w:rsidRDefault="00A83DDA" w:rsidP="00A83DDA">
      <w:pPr>
        <w:pStyle w:val="BodyText"/>
        <w:rPr>
          <w:sz w:val="24"/>
          <w:u w:val="single"/>
        </w:rPr>
      </w:pPr>
    </w:p>
    <w:p w:rsidR="00A83DDA" w:rsidRDefault="00A83DDA" w:rsidP="00A83DDA">
      <w:pPr>
        <w:numPr>
          <w:ilvl w:val="12"/>
          <w:numId w:val="0"/>
        </w:numPr>
        <w:ind w:firstLine="720"/>
      </w:pPr>
      <w:r w:rsidRPr="002F1795">
        <w:t>As stated above, retailer’s customary business practices are assumed to be generally sufficient to meet the proposed rule’s recordkeeping requirements.</w:t>
      </w:r>
      <w:r w:rsidRPr="002F1795">
        <w:rPr>
          <w:rStyle w:val="FootnoteReference"/>
          <w:vertAlign w:val="superscript"/>
        </w:rPr>
        <w:footnoteReference w:id="26"/>
      </w:r>
      <w:r w:rsidRPr="002F1795">
        <w:t xml:space="preserve">  </w:t>
      </w:r>
    </w:p>
    <w:p w:rsidR="00A36FD5" w:rsidRPr="002F1795" w:rsidRDefault="00A36FD5" w:rsidP="00A83DDA">
      <w:pPr>
        <w:numPr>
          <w:ilvl w:val="12"/>
          <w:numId w:val="0"/>
        </w:numPr>
        <w:ind w:firstLine="720"/>
      </w:pPr>
    </w:p>
    <w:p w:rsidR="00A83DDA" w:rsidRPr="002F1795" w:rsidRDefault="00A83DDA" w:rsidP="00A920FD">
      <w:pPr>
        <w:numPr>
          <w:ilvl w:val="12"/>
          <w:numId w:val="0"/>
        </w:numPr>
        <w:rPr>
          <w:u w:val="single"/>
        </w:rPr>
      </w:pPr>
      <w:r w:rsidRPr="002F1795">
        <w:rPr>
          <w:u w:val="single"/>
        </w:rPr>
        <w:t>(E). Summary</w:t>
      </w:r>
    </w:p>
    <w:p w:rsidR="00A83DDA" w:rsidRPr="002F1795" w:rsidRDefault="00A83DDA" w:rsidP="00A83DDA">
      <w:pPr>
        <w:ind w:firstLine="720"/>
      </w:pPr>
    </w:p>
    <w:p w:rsidR="00A83DDA" w:rsidRPr="002F1795" w:rsidRDefault="0041046E" w:rsidP="00A83DDA">
      <w:pPr>
        <w:ind w:firstLine="720"/>
      </w:pPr>
      <w:fldSimple w:instr=" REF _Ref309299597 \h  \* MERGEFORMAT ">
        <w:r w:rsidR="0036394F" w:rsidRPr="0036394F">
          <w:t>Exhibit 6-23</w:t>
        </w:r>
      </w:fldSimple>
      <w:r w:rsidR="00A83DDA" w:rsidRPr="002F1795">
        <w:t xml:space="preserve"> and </w:t>
      </w:r>
      <w:fldSimple w:instr=" REF _Ref309299915 \h  \* MERGEFORMAT ">
        <w:r w:rsidR="0036394F" w:rsidRPr="0036394F">
          <w:t>Exhibit 6-24</w:t>
        </w:r>
      </w:fldSimple>
      <w:r w:rsidR="00A83DDA" w:rsidRPr="002F1795">
        <w:t xml:space="preserve"> summarize the total (including baseline) per-activity non-labor costs for all the respondents over the first year, and second and third years of the rule, respectively.  </w:t>
      </w:r>
      <w:fldSimple w:instr=" REF _Ref309299606 \h  \* MERGEFORMAT ">
        <w:r w:rsidR="0036394F" w:rsidRPr="0036394F">
          <w:t>Exhibit 6-25</w:t>
        </w:r>
      </w:fldSimple>
      <w:r w:rsidR="00A83DDA" w:rsidRPr="002F1795">
        <w:t xml:space="preserve"> presents the average non-labor costs over the first three years of the rule, respectively.  </w:t>
      </w:r>
      <w:fldSimple w:instr=" REF _Ref309299612 \h  \* MERGEFORMAT ">
        <w:r w:rsidR="0036394F" w:rsidRPr="0036394F">
          <w:t>Exhibit 6-26</w:t>
        </w:r>
      </w:fldSimple>
      <w:r w:rsidR="00A83DDA" w:rsidRPr="002F1795">
        <w:t xml:space="preserve"> through </w:t>
      </w:r>
      <w:fldSimple w:instr=" REF _Ref309299614 \h  \* MERGEFORMAT ">
        <w:r w:rsidR="0036394F" w:rsidRPr="0036394F">
          <w:t>Exhibit 6-28</w:t>
        </w:r>
      </w:fldSimple>
      <w:r w:rsidR="00A83DDA" w:rsidRPr="002F1795">
        <w:t xml:space="preserve"> </w:t>
      </w:r>
      <w:proofErr w:type="gramStart"/>
      <w:r w:rsidR="00A83DDA" w:rsidRPr="002F1795">
        <w:rPr>
          <w:rStyle w:val="ICRBodyTextChar"/>
        </w:rPr>
        <w:t>mirror</w:t>
      </w:r>
      <w:proofErr w:type="gramEnd"/>
      <w:r w:rsidR="00A83DDA" w:rsidRPr="002F1795">
        <w:rPr>
          <w:rStyle w:val="ICRBodyTextChar"/>
        </w:rPr>
        <w:t xml:space="preserve"> the previous three tables, except that they account for incremental non-labor costs (excluding baseline non-labor costs)</w:t>
      </w:r>
      <w:r w:rsidR="00A83DDA" w:rsidRPr="002F1795">
        <w:t>.  Note that the number of respondents cannot be summed across activities because many respondents are incurring multiple burdens.  As indicated, the average total annual non-labor cost (including baseline) over the first three years of the rule is estimated at approximately $</w:t>
      </w:r>
      <w:r w:rsidR="00AB4BFB" w:rsidRPr="002F1795">
        <w:t>35</w:t>
      </w:r>
      <w:r w:rsidR="00A83DDA" w:rsidRPr="002F1795">
        <w:t xml:space="preserve"> million, while the incremental non-labor costs are $</w:t>
      </w:r>
      <w:r w:rsidR="00AB4BFB" w:rsidRPr="002F1795">
        <w:t>24</w:t>
      </w:r>
      <w:r w:rsidR="00A83DDA" w:rsidRPr="002F1795">
        <w:t xml:space="preserve"> million.  The domestic non-labor costs account for approximately </w:t>
      </w:r>
      <w:r w:rsidR="00AB4BFB" w:rsidRPr="002F1795">
        <w:t>36</w:t>
      </w:r>
      <w:r w:rsidR="00A83DDA" w:rsidRPr="002F1795">
        <w:t xml:space="preserve"> percent ($</w:t>
      </w:r>
      <w:r w:rsidR="00AB4BFB" w:rsidRPr="002F1795">
        <w:t>13</w:t>
      </w:r>
      <w:r w:rsidR="00A83DDA" w:rsidRPr="002F1795">
        <w:t xml:space="preserve"> million) and </w:t>
      </w:r>
      <w:r w:rsidR="00AB4BFB" w:rsidRPr="002F1795">
        <w:t>49</w:t>
      </w:r>
      <w:r w:rsidR="00A83DDA" w:rsidRPr="002F1795">
        <w:t xml:space="preserve"> percent ($</w:t>
      </w:r>
      <w:r w:rsidR="00AB4BFB" w:rsidRPr="002F1795">
        <w:t>12</w:t>
      </w:r>
      <w:r w:rsidR="00A83DDA" w:rsidRPr="002F1795">
        <w:t xml:space="preserve"> million) of these totals, respectively.</w:t>
      </w:r>
    </w:p>
    <w:p w:rsidR="00A83DDA" w:rsidRPr="002F1795" w:rsidRDefault="00A83DDA" w:rsidP="00A83DDA">
      <w:pPr>
        <w:adjustRightInd/>
        <w:rPr>
          <w:b/>
          <w:bCs/>
          <w:color w:val="000000"/>
        </w:rPr>
        <w:sectPr w:rsidR="00A83DDA" w:rsidRPr="002F1795" w:rsidSect="00A27A67">
          <w:pgSz w:w="12240" w:h="15840"/>
          <w:pgMar w:top="1440" w:right="1440" w:bottom="1440" w:left="1440" w:header="720" w:footer="720" w:gutter="0"/>
          <w:cols w:space="720"/>
          <w:docGrid w:linePitch="360"/>
        </w:sectPr>
      </w:pPr>
      <w:bookmarkStart w:id="25" w:name="RANGE!B2"/>
    </w:p>
    <w:tbl>
      <w:tblPr>
        <w:tblW w:w="5262" w:type="pct"/>
        <w:jc w:val="center"/>
        <w:tblLayout w:type="fixed"/>
        <w:tblCellMar>
          <w:left w:w="115" w:type="dxa"/>
          <w:right w:w="115" w:type="dxa"/>
        </w:tblCellMar>
        <w:tblLook w:val="04A0"/>
      </w:tblPr>
      <w:tblGrid>
        <w:gridCol w:w="3161"/>
        <w:gridCol w:w="990"/>
        <w:gridCol w:w="1080"/>
        <w:gridCol w:w="1170"/>
        <w:gridCol w:w="1440"/>
        <w:gridCol w:w="1440"/>
        <w:gridCol w:w="1530"/>
        <w:gridCol w:w="1620"/>
        <w:gridCol w:w="1450"/>
      </w:tblGrid>
      <w:tr w:rsidR="00A83DDA" w:rsidRPr="002F1795" w:rsidTr="006565F1">
        <w:trPr>
          <w:trHeight w:val="70"/>
          <w:tblHeader/>
          <w:jc w:val="center"/>
        </w:trPr>
        <w:tc>
          <w:tcPr>
            <w:tcW w:w="13881" w:type="dxa"/>
            <w:gridSpan w:val="9"/>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keepNext/>
              <w:keepLines/>
            </w:pPr>
            <w:bookmarkStart w:id="26" w:name="_Ref309299597"/>
            <w:r w:rsidRPr="002F1795">
              <w:rPr>
                <w:rStyle w:val="TableTitleChar"/>
              </w:rPr>
              <w:lastRenderedPageBreak/>
              <w:t>Exhibit 6-</w:t>
            </w:r>
            <w:r w:rsidR="0041046E" w:rsidRPr="002F1795">
              <w:rPr>
                <w:rStyle w:val="TableTitleChar"/>
              </w:rPr>
              <w:fldChar w:fldCharType="begin"/>
            </w:r>
            <w:r w:rsidRPr="002F1795">
              <w:rPr>
                <w:rStyle w:val="TableTitleChar"/>
              </w:rPr>
              <w:instrText xml:space="preserve"> SEQ Exhibit_6- \* ARABIC </w:instrText>
            </w:r>
            <w:r w:rsidR="0041046E" w:rsidRPr="002F1795">
              <w:rPr>
                <w:rStyle w:val="TableTitleChar"/>
              </w:rPr>
              <w:fldChar w:fldCharType="separate"/>
            </w:r>
            <w:r w:rsidR="0036394F">
              <w:rPr>
                <w:rStyle w:val="TableTitleChar"/>
                <w:noProof/>
              </w:rPr>
              <w:t>23</w:t>
            </w:r>
            <w:r w:rsidR="0041046E" w:rsidRPr="002F1795">
              <w:rPr>
                <w:rStyle w:val="TableTitleChar"/>
              </w:rPr>
              <w:fldChar w:fldCharType="end"/>
            </w:r>
            <w:bookmarkEnd w:id="26"/>
            <w:r w:rsidRPr="002F1795">
              <w:rPr>
                <w:rStyle w:val="TableTitleChar"/>
              </w:rPr>
              <w:t xml:space="preserve">: </w:t>
            </w:r>
            <w:r w:rsidRPr="002F1795">
              <w:t>Total (including baseline) First Year Non-Labor Costs, by Activity and Geographic Location ($2010)</w:t>
            </w:r>
            <w:bookmarkEnd w:id="25"/>
          </w:p>
        </w:tc>
      </w:tr>
      <w:tr w:rsidR="00A83DDA" w:rsidRPr="002F1795" w:rsidTr="006565F1">
        <w:trPr>
          <w:trHeight w:val="77"/>
          <w:tblHeader/>
          <w:jc w:val="center"/>
        </w:trPr>
        <w:tc>
          <w:tcPr>
            <w:tcW w:w="3161"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240" w:type="dxa"/>
            <w:gridSpan w:val="3"/>
            <w:tcBorders>
              <w:top w:val="single" w:sz="4" w:space="0" w:color="auto"/>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Respondents</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Cost Per Response</w:t>
            </w:r>
          </w:p>
        </w:tc>
        <w:tc>
          <w:tcPr>
            <w:tcW w:w="4600" w:type="dxa"/>
            <w:gridSpan w:val="3"/>
            <w:tcBorders>
              <w:top w:val="single" w:sz="4" w:space="0" w:color="auto"/>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 Cost</w:t>
            </w:r>
          </w:p>
        </w:tc>
      </w:tr>
      <w:tr w:rsidR="00A83DDA" w:rsidRPr="002F1795" w:rsidTr="006565F1">
        <w:trPr>
          <w:trHeight w:val="77"/>
          <w:tblHeader/>
          <w:jc w:val="center"/>
        </w:trPr>
        <w:tc>
          <w:tcPr>
            <w:tcW w:w="3161"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9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08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1</w:t>
            </w:r>
          </w:p>
        </w:tc>
        <w:tc>
          <w:tcPr>
            <w:tcW w:w="117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53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62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450"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pPr>
            <w:r w:rsidRPr="002F1795">
              <w:t>1. Rule Familiarization</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b/>
                <w:bCs/>
              </w:rPr>
            </w:pPr>
            <w:r w:rsidRPr="002F1795">
              <w:rPr>
                <w:b/>
                <w:bCs/>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50" w:type="dxa"/>
            <w:tcBorders>
              <w:top w:val="single" w:sz="4" w:space="0" w:color="auto"/>
              <w:left w:val="single" w:sz="4" w:space="0" w:color="auto"/>
              <w:bottom w:val="single" w:sz="4" w:space="0" w:color="auto"/>
              <w:right w:val="single" w:sz="8"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r>
      <w:tr w:rsidR="00A83DDA" w:rsidRPr="002F1795" w:rsidTr="006565F1">
        <w:trPr>
          <w:trHeight w:val="87"/>
          <w:jc w:val="center"/>
        </w:trPr>
        <w:tc>
          <w:tcPr>
            <w:tcW w:w="13881" w:type="dxa"/>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r w:rsidRPr="002F1795">
              <w:rPr>
                <w:vertAlign w:val="superscript"/>
              </w:rPr>
              <w:t>2</w:t>
            </w:r>
          </w:p>
        </w:tc>
      </w:tr>
      <w:tr w:rsidR="002725E7" w:rsidRPr="002F1795" w:rsidTr="002725E7">
        <w:trPr>
          <w:trHeight w:val="77"/>
          <w:jc w:val="center"/>
        </w:trPr>
        <w:tc>
          <w:tcPr>
            <w:tcW w:w="3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6565F1">
            <w:pPr>
              <w:pStyle w:val="TableText"/>
              <w:ind w:left="180"/>
            </w:pPr>
            <w:r w:rsidRPr="002F1795">
              <w:t>Standard</w:t>
            </w:r>
            <w:r w:rsidRPr="002F1795">
              <w:rPr>
                <w:vertAlign w:val="superscript"/>
              </w:rPr>
              <w:t>3</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328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599</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927</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1</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6,000</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$1,968,000 </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$3,594,000 </w:t>
            </w:r>
          </w:p>
        </w:tc>
        <w:tc>
          <w:tcPr>
            <w:tcW w:w="14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$5,562,000 </w:t>
            </w:r>
          </w:p>
        </w:tc>
      </w:tr>
      <w:tr w:rsidR="002725E7" w:rsidRPr="002F1795" w:rsidTr="002725E7">
        <w:trPr>
          <w:trHeight w:val="77"/>
          <w:jc w:val="center"/>
        </w:trPr>
        <w:tc>
          <w:tcPr>
            <w:tcW w:w="3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6565F1">
            <w:pPr>
              <w:pStyle w:val="TableText"/>
              <w:ind w:left="180"/>
            </w:pPr>
            <w:r w:rsidRPr="002F1795">
              <w:t>NAF (From Uncertified or Standard)</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211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222</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1</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6,000</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$66,000 </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$1,266,000 </w:t>
            </w:r>
          </w:p>
        </w:tc>
        <w:tc>
          <w:tcPr>
            <w:tcW w:w="14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$1,332,000 </w:t>
            </w:r>
          </w:p>
        </w:tc>
      </w:tr>
      <w:tr w:rsidR="002725E7" w:rsidRPr="002F1795" w:rsidTr="002725E7">
        <w:trPr>
          <w:trHeight w:val="77"/>
          <w:jc w:val="center"/>
        </w:trPr>
        <w:tc>
          <w:tcPr>
            <w:tcW w:w="3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B70BED">
            <w:pPr>
              <w:pStyle w:val="TableText"/>
              <w:ind w:left="180"/>
            </w:pPr>
            <w:r w:rsidRPr="002F1795">
              <w:t>NAF</w:t>
            </w:r>
            <w:r w:rsidR="00B70BED" w:rsidRPr="002F1795">
              <w:t>/ULEF</w:t>
            </w:r>
            <w:r w:rsidRPr="002F1795">
              <w:t xml:space="preserve"> (From NAF or ULEF)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319</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350</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1</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3,700</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$114,700 </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$1,180,300 </w:t>
            </w:r>
          </w:p>
        </w:tc>
        <w:tc>
          <w:tcPr>
            <w:tcW w:w="14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$1,295,000 </w:t>
            </w:r>
          </w:p>
        </w:tc>
      </w:tr>
      <w:tr w:rsidR="00A83DDA" w:rsidRPr="002F1795" w:rsidTr="006565F1">
        <w:trPr>
          <w:trHeight w:val="77"/>
          <w:jc w:val="center"/>
        </w:trPr>
        <w:tc>
          <w:tcPr>
            <w:tcW w:w="13881" w:type="dxa"/>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3. Initial On-site Audit</w:t>
            </w:r>
          </w:p>
        </w:tc>
      </w:tr>
      <w:tr w:rsidR="00A83DDA" w:rsidRPr="002F1795" w:rsidTr="006565F1">
        <w:trPr>
          <w:trHeight w:val="77"/>
          <w:jc w:val="center"/>
        </w:trPr>
        <w:tc>
          <w:tcPr>
            <w:tcW w:w="3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 Existing Certifications</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764</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846</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$450</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$36,900</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$343,800</w:t>
            </w:r>
          </w:p>
        </w:tc>
        <w:tc>
          <w:tcPr>
            <w:tcW w:w="14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$380,700</w:t>
            </w:r>
          </w:p>
        </w:tc>
      </w:tr>
      <w:tr w:rsidR="00A83DDA" w:rsidRPr="002F1795" w:rsidTr="006565F1">
        <w:trPr>
          <w:trHeight w:val="143"/>
          <w:jc w:val="center"/>
        </w:trPr>
        <w:tc>
          <w:tcPr>
            <w:tcW w:w="3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Without Existing Certifications</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288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365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653</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4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$450</w:t>
            </w:r>
          </w:p>
        </w:tc>
        <w:tc>
          <w:tcPr>
            <w:tcW w:w="15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$129,600</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$164,250</w:t>
            </w:r>
          </w:p>
        </w:tc>
        <w:tc>
          <w:tcPr>
            <w:tcW w:w="14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$293,850</w:t>
            </w:r>
          </w:p>
        </w:tc>
      </w:tr>
      <w:tr w:rsidR="00A83DDA" w:rsidRPr="002F1795" w:rsidTr="006565F1">
        <w:trPr>
          <w:trHeight w:val="107"/>
          <w:jc w:val="center"/>
        </w:trPr>
        <w:tc>
          <w:tcPr>
            <w:tcW w:w="3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r>
      <w:tr w:rsidR="00A83DDA" w:rsidRPr="002F1795" w:rsidTr="006565F1">
        <w:trPr>
          <w:trHeight w:val="77"/>
          <w:jc w:val="center"/>
        </w:trPr>
        <w:tc>
          <w:tcPr>
            <w:tcW w:w="13881" w:type="dxa"/>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r w:rsidRPr="002F1795">
              <w:rPr>
                <w:vertAlign w:val="superscript"/>
              </w:rPr>
              <w:t>5</w:t>
            </w:r>
          </w:p>
        </w:tc>
      </w:tr>
      <w:tr w:rsidR="002725E7" w:rsidRPr="002F1795" w:rsidTr="002725E7">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6565F1">
            <w:pPr>
              <w:pStyle w:val="TableText"/>
              <w:ind w:left="180"/>
            </w:pPr>
            <w:r w:rsidRPr="002F1795">
              <w:t>1 Product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5</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69</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$12,000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$153,600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$165,600 </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3,4</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288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365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653</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10</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$1,382,400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$1,752,000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$3,134,400</w:t>
            </w:r>
          </w:p>
        </w:tc>
      </w:tr>
      <w:tr w:rsidR="00A83DDA" w:rsidRPr="002F1795" w:rsidTr="006565F1">
        <w:trPr>
          <w:trHeight w:val="77"/>
          <w:jc w:val="center"/>
        </w:trPr>
        <w:tc>
          <w:tcPr>
            <w:tcW w:w="13881" w:type="dxa"/>
            <w:gridSpan w:val="9"/>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Shipping</w:t>
            </w:r>
            <w:r w:rsidRPr="002F1795">
              <w:rPr>
                <w:vertAlign w:val="superscript"/>
              </w:rPr>
              <w:t>5</w:t>
            </w:r>
          </w:p>
        </w:tc>
      </w:tr>
      <w:tr w:rsidR="002725E7" w:rsidRPr="002F1795" w:rsidTr="002725E7">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6565F1">
            <w:pPr>
              <w:pStyle w:val="TableText"/>
              <w:ind w:left="180"/>
            </w:pPr>
            <w:r w:rsidRPr="002F1795">
              <w:t>1 Product</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5</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69</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200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$1,000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$12,800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$13,800 </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3,4</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288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365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653</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$200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$115,200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$146,000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$261,200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pPr>
            <w:r w:rsidRPr="002F1795">
              <w:t>7. Correlation Test</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rPr>
                <w:b/>
                <w:bCs/>
              </w:rPr>
            </w:pPr>
            <w:r w:rsidRPr="002F1795">
              <w:rPr>
                <w:b/>
                <w:bCs/>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50" w:type="dxa"/>
            <w:tcBorders>
              <w:top w:val="single" w:sz="4" w:space="0" w:color="auto"/>
              <w:left w:val="single" w:sz="4" w:space="0" w:color="auto"/>
              <w:bottom w:val="single" w:sz="4" w:space="0" w:color="auto"/>
              <w:right w:val="single" w:sz="8" w:space="0" w:color="auto"/>
            </w:tcBorders>
            <w:shd w:val="clear" w:color="000000" w:fill="FFFFFF"/>
            <w:noWrap/>
            <w:hideMark/>
          </w:tcPr>
          <w:p w:rsidR="00A83DDA" w:rsidRPr="002F1795" w:rsidRDefault="00A83DDA" w:rsidP="006565F1">
            <w:pPr>
              <w:keepNext/>
              <w:keepLines/>
              <w:jc w:val="center"/>
              <w:rPr>
                <w:rFonts w:ascii="Tahoma" w:hAnsi="Tahoma" w:cs="Tahoma"/>
                <w:sz w:val="16"/>
                <w:szCs w:val="16"/>
              </w:rPr>
            </w:pPr>
            <w:r w:rsidRPr="002F1795">
              <w:rPr>
                <w:b/>
                <w:bCs/>
              </w:rPr>
              <w:t>-</w:t>
            </w:r>
          </w:p>
        </w:tc>
      </w:tr>
      <w:tr w:rsidR="00A83DDA" w:rsidRPr="002F1795" w:rsidTr="006565F1">
        <w:trPr>
          <w:trHeight w:val="77"/>
          <w:jc w:val="center"/>
        </w:trPr>
        <w:tc>
          <w:tcPr>
            <w:tcW w:w="13881" w:type="dxa"/>
            <w:gridSpan w:val="9"/>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8. Quarterly On-site Audit</w:t>
            </w:r>
            <w:r w:rsidRPr="002F1795">
              <w:rPr>
                <w:vertAlign w:val="superscript"/>
              </w:rPr>
              <w:t>6</w:t>
            </w:r>
          </w:p>
        </w:tc>
      </w:tr>
      <w:tr w:rsidR="002725E7" w:rsidRPr="002F1795" w:rsidTr="002725E7">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6565F1">
            <w:pPr>
              <w:pStyle w:val="TableText"/>
              <w:ind w:left="180"/>
            </w:pPr>
            <w:r w:rsidRPr="002F1795">
              <w:t>Standard</w:t>
            </w:r>
            <w:r w:rsidRPr="002F1795">
              <w:rPr>
                <w:vertAlign w:val="superscript"/>
              </w:rPr>
              <w:t>3,4</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328</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599</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927</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450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$442,800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$808,650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$1,251,450 </w:t>
            </w:r>
          </w:p>
        </w:tc>
      </w:tr>
      <w:tr w:rsidR="002725E7" w:rsidRPr="002F1795" w:rsidTr="002725E7">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6565F1">
            <w:pPr>
              <w:pStyle w:val="TableText"/>
              <w:ind w:left="180"/>
            </w:pPr>
            <w:r w:rsidRPr="002F1795">
              <w:t>NAF (With New Certification)</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11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211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222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450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$4,950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$94,950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$99,900 </w:t>
            </w:r>
          </w:p>
        </w:tc>
      </w:tr>
      <w:tr w:rsidR="00A83DDA" w:rsidRPr="002F1795" w:rsidTr="006565F1">
        <w:trPr>
          <w:trHeight w:val="77"/>
          <w:jc w:val="center"/>
        </w:trPr>
        <w:tc>
          <w:tcPr>
            <w:tcW w:w="13881" w:type="dxa"/>
            <w:gridSpan w:val="9"/>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r w:rsidRPr="002F1795">
              <w:rPr>
                <w:vertAlign w:val="superscript"/>
              </w:rPr>
              <w:t>7</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Standard (Existing)</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94</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$15,360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$165,120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$180,480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Standard (New)</w:t>
            </w:r>
            <w:r w:rsidRPr="002F1795">
              <w:rPr>
                <w:vertAlign w:val="superscript"/>
              </w:rPr>
              <w:t>3,4</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$797,760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$443,520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$1,241,280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Standard</w:t>
            </w:r>
            <w:r w:rsidR="00B70BED" w:rsidRPr="002F1795">
              <w:t>/ULEF</w:t>
            </w:r>
            <w:r w:rsidRPr="002F1795">
              <w:t xml:space="preserve"> (Existing)</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54</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473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527</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$207,360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$1,816,320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$2,023,680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NAF</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25</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$1,440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$10,560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$12,000</w:t>
            </w:r>
          </w:p>
        </w:tc>
      </w:tr>
      <w:tr w:rsidR="002725E7" w:rsidRPr="002F1795" w:rsidTr="002725E7">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tcPr>
          <w:p w:rsidR="002725E7" w:rsidRPr="002F1795" w:rsidRDefault="002725E7" w:rsidP="002725E7">
            <w:pPr>
              <w:pStyle w:val="TableText"/>
              <w:ind w:left="180"/>
            </w:pPr>
            <w:r w:rsidRPr="002F1795">
              <w:t>2 NAF</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25</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351</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376</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2</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 xml:space="preserve">$24,000 </w:t>
            </w:r>
          </w:p>
        </w:tc>
        <w:tc>
          <w:tcPr>
            <w:tcW w:w="162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 xml:space="preserve">$336,960 </w:t>
            </w:r>
          </w:p>
        </w:tc>
        <w:tc>
          <w:tcPr>
            <w:tcW w:w="1450" w:type="dxa"/>
            <w:tcBorders>
              <w:top w:val="nil"/>
              <w:left w:val="nil"/>
              <w:bottom w:val="single" w:sz="4" w:space="0" w:color="auto"/>
              <w:right w:val="single" w:sz="8"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 xml:space="preserve">$360,960 </w:t>
            </w:r>
          </w:p>
        </w:tc>
      </w:tr>
      <w:tr w:rsidR="002725E7" w:rsidRPr="002F1795" w:rsidTr="002725E7">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2725E7">
            <w:pPr>
              <w:pStyle w:val="TableText"/>
              <w:ind w:firstLine="166"/>
            </w:pPr>
            <w:r w:rsidRPr="002F1795">
              <w:t>1 NAF and 1 ULEF</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65</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71</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480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$14,400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$156,000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$170,400 </w:t>
            </w:r>
          </w:p>
        </w:tc>
      </w:tr>
      <w:tr w:rsidR="00A83DDA" w:rsidRPr="002F1795" w:rsidTr="006565F1">
        <w:trPr>
          <w:trHeight w:val="77"/>
          <w:jc w:val="center"/>
        </w:trPr>
        <w:tc>
          <w:tcPr>
            <w:tcW w:w="13881" w:type="dxa"/>
            <w:gridSpan w:val="9"/>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10. Large Scale Testing Shipment</w:t>
            </w:r>
            <w:r w:rsidRPr="002F1795">
              <w:rPr>
                <w:vertAlign w:val="superscript"/>
              </w:rPr>
              <w:t>7</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Standard (Existing)</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86</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94</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$1,600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$17,200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$18,800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Standard (New)</w:t>
            </w:r>
            <w:r w:rsidRPr="002F1795">
              <w:rPr>
                <w:vertAlign w:val="superscript"/>
              </w:rPr>
              <w:t>3,4</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$83,100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$46,200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$129,300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Standard (Existing)</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54</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473</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527</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$21,600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$189,200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$210,800</w:t>
            </w:r>
          </w:p>
        </w:tc>
      </w:tr>
      <w:tr w:rsidR="00A83DDA" w:rsidRPr="002F1795" w:rsidTr="002725E7">
        <w:trPr>
          <w:trHeight w:val="10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NAF</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25</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$150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$1,100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$1,250</w:t>
            </w:r>
          </w:p>
        </w:tc>
      </w:tr>
      <w:tr w:rsidR="002725E7" w:rsidRPr="002F1795" w:rsidTr="002725E7">
        <w:trPr>
          <w:trHeight w:val="80"/>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2725E7" w:rsidRPr="002F1795" w:rsidRDefault="002725E7" w:rsidP="006565F1">
            <w:pPr>
              <w:pStyle w:val="TableText"/>
              <w:ind w:left="180"/>
            </w:pPr>
            <w:r w:rsidRPr="002F1795">
              <w:t>2 NAF</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25</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351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376</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$50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$2,500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$35,100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2725E7" w:rsidRPr="002F1795" w:rsidRDefault="002725E7">
            <w:pPr>
              <w:jc w:val="right"/>
              <w:rPr>
                <w:color w:val="000000"/>
                <w:sz w:val="18"/>
                <w:szCs w:val="18"/>
              </w:rPr>
            </w:pPr>
            <w:r w:rsidRPr="002F1795">
              <w:rPr>
                <w:color w:val="000000"/>
                <w:sz w:val="18"/>
                <w:szCs w:val="18"/>
              </w:rPr>
              <w:t xml:space="preserve">$37,600 </w:t>
            </w:r>
          </w:p>
        </w:tc>
      </w:tr>
      <w:tr w:rsidR="002725E7" w:rsidRPr="002F1795" w:rsidTr="002725E7">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tcPr>
          <w:p w:rsidR="002725E7" w:rsidRPr="002F1795" w:rsidRDefault="002725E7" w:rsidP="002725E7">
            <w:pPr>
              <w:pStyle w:val="TableText"/>
              <w:ind w:firstLine="166"/>
            </w:pPr>
            <w:r w:rsidRPr="002F1795">
              <w:t>1 NAF and 1 ULEF</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6</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65</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71</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5</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$50</w:t>
            </w:r>
          </w:p>
        </w:tc>
        <w:tc>
          <w:tcPr>
            <w:tcW w:w="153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 xml:space="preserve">$1,500 </w:t>
            </w:r>
          </w:p>
        </w:tc>
        <w:tc>
          <w:tcPr>
            <w:tcW w:w="1620" w:type="dxa"/>
            <w:tcBorders>
              <w:top w:val="nil"/>
              <w:left w:val="nil"/>
              <w:bottom w:val="single" w:sz="4" w:space="0" w:color="auto"/>
              <w:right w:val="single" w:sz="4"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 xml:space="preserve">$16,250 </w:t>
            </w:r>
          </w:p>
        </w:tc>
        <w:tc>
          <w:tcPr>
            <w:tcW w:w="1450" w:type="dxa"/>
            <w:tcBorders>
              <w:top w:val="nil"/>
              <w:left w:val="nil"/>
              <w:bottom w:val="single" w:sz="4" w:space="0" w:color="auto"/>
              <w:right w:val="single" w:sz="8" w:space="0" w:color="auto"/>
            </w:tcBorders>
            <w:shd w:val="clear" w:color="auto" w:fill="FFFFFF" w:themeFill="background1"/>
            <w:noWrap/>
            <w:vAlign w:val="center"/>
          </w:tcPr>
          <w:p w:rsidR="002725E7" w:rsidRPr="002F1795" w:rsidRDefault="002725E7">
            <w:pPr>
              <w:jc w:val="right"/>
              <w:rPr>
                <w:color w:val="000000"/>
                <w:sz w:val="18"/>
                <w:szCs w:val="18"/>
              </w:rPr>
            </w:pPr>
            <w:r w:rsidRPr="002F1795">
              <w:rPr>
                <w:color w:val="000000"/>
                <w:sz w:val="18"/>
                <w:szCs w:val="18"/>
              </w:rPr>
              <w:t xml:space="preserve">$17,750 </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11. On-site Audit Travel</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370</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1,129</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1,499</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$1,500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$555,000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$1,693,500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$2,248,500</w:t>
            </w:r>
          </w:p>
        </w:tc>
      </w:tr>
      <w:tr w:rsidR="00A83DDA" w:rsidRPr="002F1795" w:rsidTr="006565F1">
        <w:trPr>
          <w:trHeight w:val="77"/>
          <w:jc w:val="center"/>
        </w:trPr>
        <w:tc>
          <w:tcPr>
            <w:tcW w:w="13881" w:type="dxa"/>
            <w:gridSpan w:val="9"/>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12. Desk Audits</w:t>
            </w:r>
            <w:r w:rsidRPr="002F1795">
              <w:rPr>
                <w:vertAlign w:val="superscript"/>
              </w:rPr>
              <w:t>8</w:t>
            </w:r>
          </w:p>
        </w:tc>
      </w:tr>
      <w:tr w:rsidR="00D421B5" w:rsidRPr="002F1795" w:rsidTr="00D421B5">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D421B5" w:rsidRPr="002F1795" w:rsidRDefault="00D421B5" w:rsidP="006565F1">
            <w:pPr>
              <w:pStyle w:val="TableText"/>
              <w:ind w:left="180"/>
            </w:pPr>
            <w:r w:rsidRPr="002F1795">
              <w:t>Standard</w:t>
            </w:r>
            <w:r w:rsidRPr="002F1795">
              <w:rPr>
                <w:vertAlign w:val="superscript"/>
              </w:rPr>
              <w:t>3,4</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328</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599</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927</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8</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$250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$656,000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$1,198,000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$1,854,000 </w:t>
            </w:r>
          </w:p>
        </w:tc>
      </w:tr>
      <w:tr w:rsidR="00D421B5" w:rsidRPr="002F1795" w:rsidTr="00D421B5">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D421B5" w:rsidRPr="002F1795" w:rsidRDefault="00D421B5" w:rsidP="006565F1">
            <w:pPr>
              <w:pStyle w:val="TableText"/>
              <w:ind w:left="180"/>
            </w:pPr>
            <w:r w:rsidRPr="002F1795">
              <w:t>NAF</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11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211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222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$250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$5,500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$105,500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$111,000 </w:t>
            </w:r>
          </w:p>
        </w:tc>
      </w:tr>
      <w:tr w:rsidR="00D421B5"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D421B5" w:rsidRPr="002F1795" w:rsidRDefault="00D421B5" w:rsidP="006565F1">
            <w:pPr>
              <w:pStyle w:val="TableText"/>
            </w:pPr>
            <w:r w:rsidRPr="002F1795">
              <w:lastRenderedPageBreak/>
              <w:t>13. Purchase of Small Chamber Testing Unit</w:t>
            </w:r>
            <w:r w:rsidRPr="002F1795">
              <w:rPr>
                <w:vertAlign w:val="superscript"/>
              </w:rPr>
              <w:t>3</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282</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208</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490</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$10,000</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$2,820,000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$2,080,000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D421B5" w:rsidRPr="002F1795" w:rsidRDefault="00D421B5">
            <w:pPr>
              <w:jc w:val="right"/>
              <w:rPr>
                <w:color w:val="000000"/>
                <w:sz w:val="18"/>
                <w:szCs w:val="18"/>
              </w:rPr>
            </w:pPr>
            <w:r w:rsidRPr="002F1795">
              <w:rPr>
                <w:color w:val="000000"/>
                <w:sz w:val="18"/>
                <w:szCs w:val="18"/>
              </w:rPr>
              <w:t xml:space="preserve">$4,900,000 </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14. Quality Control Testing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50"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r>
      <w:tr w:rsidR="00A83DDA" w:rsidRPr="002F1795" w:rsidTr="006565F1">
        <w:trPr>
          <w:trHeight w:val="89"/>
          <w:jc w:val="center"/>
        </w:trPr>
        <w:tc>
          <w:tcPr>
            <w:tcW w:w="13881" w:type="dxa"/>
            <w:gridSpan w:val="9"/>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r w:rsidRPr="002F1795">
              <w:rPr>
                <w:vertAlign w:val="superscript"/>
              </w:rPr>
              <w:t>7</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E72C0" w:rsidRPr="002F1795" w:rsidRDefault="00AE72C0" w:rsidP="006565F1">
            <w:pPr>
              <w:pStyle w:val="TableText"/>
              <w:ind w:left="180"/>
            </w:pPr>
            <w:r w:rsidRPr="002F1795">
              <w:t>2 Standard (HWPW - Existing)</w:t>
            </w:r>
            <w:r w:rsidRPr="002F1795">
              <w:rPr>
                <w:vertAlign w:val="superscript"/>
              </w:rPr>
              <w:t>3,4</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109</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119</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528</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$15.68</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$82,790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$902,415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$985,206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1 NAF (HWPW - New)</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277</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108</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385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536</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$15.68</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$2,328,041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$907,684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$3,235,725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1 NAF (HWPW - Existing)</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87</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95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$15.68</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$1,004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$10,913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$11,917 </w:t>
            </w:r>
          </w:p>
        </w:tc>
      </w:tr>
      <w:tr w:rsidR="00AE72C0" w:rsidRPr="002F1795" w:rsidTr="00D93E70">
        <w:trPr>
          <w:trHeight w:val="152"/>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2 NAF (HWPW - New)</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55</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60</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$15.68</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$392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$4,312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$4,704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2 NAF (HWPW - Existing)</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11</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211</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222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142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$15.68</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$24,492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$469,804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$494,296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1 Standard (PB/MDF - Existing)</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7</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76</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83</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$15.68</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$220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$2,383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$2,603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2 Standard (PB/MDF - New)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3</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22</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265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$8.96</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$7,123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$52,237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$59,360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2 Standard (PB/MDF - Existing)</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110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115</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532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$8.96</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$23,834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$524,339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$548,173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1 NAF (PB/MDF - New)</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33</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250</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283</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528</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$8.96</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$156,119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$1,182,720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$1,338,839 </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1 NAF (PB/MDF - Existing)</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3</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27</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30</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$8.96</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$215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$1,935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$2,150 </w:t>
            </w:r>
          </w:p>
        </w:tc>
      </w:tr>
      <w:tr w:rsidR="00AE72C0" w:rsidRPr="002F1795" w:rsidTr="00D93E70">
        <w:trPr>
          <w:trHeight w:val="125"/>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E72C0" w:rsidRPr="002F1795" w:rsidRDefault="00AE72C0" w:rsidP="00AE72C0">
            <w:pPr>
              <w:ind w:left="166"/>
              <w:rPr>
                <w:color w:val="000000"/>
                <w:sz w:val="18"/>
                <w:szCs w:val="18"/>
              </w:rPr>
            </w:pPr>
            <w:r w:rsidRPr="002F1795">
              <w:rPr>
                <w:color w:val="000000"/>
                <w:sz w:val="18"/>
                <w:szCs w:val="18"/>
              </w:rPr>
              <w:t>2 NAF (PB/MDF - Existing)</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7</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64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71</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$8.96</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$125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$1,147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$1,272 </w:t>
            </w:r>
          </w:p>
        </w:tc>
      </w:tr>
      <w:tr w:rsidR="00AE72C0" w:rsidRPr="002F1795" w:rsidTr="00D93E70">
        <w:trPr>
          <w:trHeight w:val="80"/>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tcPr>
          <w:p w:rsidR="00AE72C0" w:rsidRPr="002F1795" w:rsidRDefault="00AE72C0" w:rsidP="00AE72C0">
            <w:pPr>
              <w:ind w:left="166"/>
              <w:rPr>
                <w:sz w:val="20"/>
                <w:szCs w:val="20"/>
              </w:rPr>
            </w:pPr>
            <w:r w:rsidRPr="002F1795">
              <w:rPr>
                <w:sz w:val="20"/>
                <w:szCs w:val="20"/>
              </w:rPr>
              <w:t>1 NAF and 1 ULEF (PB/MDF - Existing)</w:t>
            </w:r>
          </w:p>
        </w:tc>
        <w:tc>
          <w:tcPr>
            <w:tcW w:w="990" w:type="dxa"/>
            <w:tcBorders>
              <w:top w:val="nil"/>
              <w:left w:val="nil"/>
              <w:bottom w:val="single" w:sz="4" w:space="0" w:color="auto"/>
              <w:right w:val="single" w:sz="4" w:space="0" w:color="auto"/>
            </w:tcBorders>
            <w:shd w:val="clear" w:color="auto" w:fill="FFFFFF" w:themeFill="background1"/>
            <w:noWrap/>
            <w:vAlign w:val="center"/>
          </w:tcPr>
          <w:p w:rsidR="00AE72C0" w:rsidRPr="002F1795" w:rsidRDefault="00AE72C0">
            <w:pPr>
              <w:jc w:val="right"/>
              <w:rPr>
                <w:color w:val="000000"/>
                <w:sz w:val="18"/>
                <w:szCs w:val="18"/>
              </w:rPr>
            </w:pPr>
            <w:r w:rsidRPr="002F1795">
              <w:rPr>
                <w:color w:val="000000"/>
                <w:sz w:val="18"/>
                <w:szCs w:val="18"/>
              </w:rPr>
              <w:t>1</w:t>
            </w:r>
          </w:p>
        </w:tc>
        <w:tc>
          <w:tcPr>
            <w:tcW w:w="1080" w:type="dxa"/>
            <w:tcBorders>
              <w:top w:val="nil"/>
              <w:left w:val="nil"/>
              <w:bottom w:val="single" w:sz="4" w:space="0" w:color="auto"/>
              <w:right w:val="single" w:sz="4" w:space="0" w:color="auto"/>
            </w:tcBorders>
            <w:shd w:val="clear" w:color="auto" w:fill="FFFFFF" w:themeFill="background1"/>
            <w:noWrap/>
            <w:vAlign w:val="center"/>
          </w:tcPr>
          <w:p w:rsidR="00AE72C0" w:rsidRPr="002F1795" w:rsidRDefault="00AE72C0">
            <w:pPr>
              <w:jc w:val="right"/>
              <w:rPr>
                <w:color w:val="000000"/>
                <w:sz w:val="18"/>
                <w:szCs w:val="18"/>
              </w:rPr>
            </w:pPr>
            <w:r w:rsidRPr="002F1795">
              <w:rPr>
                <w:color w:val="000000"/>
                <w:sz w:val="18"/>
                <w:szCs w:val="18"/>
              </w:rPr>
              <w:t>10</w:t>
            </w:r>
          </w:p>
        </w:tc>
        <w:tc>
          <w:tcPr>
            <w:tcW w:w="1170" w:type="dxa"/>
            <w:tcBorders>
              <w:top w:val="nil"/>
              <w:left w:val="nil"/>
              <w:bottom w:val="single" w:sz="4" w:space="0" w:color="auto"/>
              <w:right w:val="single" w:sz="4" w:space="0" w:color="auto"/>
            </w:tcBorders>
            <w:shd w:val="clear" w:color="auto" w:fill="FFFFFF" w:themeFill="background1"/>
            <w:noWrap/>
            <w:vAlign w:val="center"/>
          </w:tcPr>
          <w:p w:rsidR="00AE72C0" w:rsidRPr="002F1795" w:rsidRDefault="00AE72C0">
            <w:pPr>
              <w:jc w:val="right"/>
              <w:rPr>
                <w:color w:val="000000"/>
                <w:sz w:val="18"/>
                <w:szCs w:val="18"/>
              </w:rPr>
            </w:pPr>
            <w:r w:rsidRPr="002F1795">
              <w:rPr>
                <w:color w:val="000000"/>
                <w:sz w:val="18"/>
                <w:szCs w:val="18"/>
              </w:rPr>
              <w:t>11</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AE72C0" w:rsidRPr="002F1795" w:rsidRDefault="00AE72C0">
            <w:pPr>
              <w:jc w:val="right"/>
              <w:rPr>
                <w:color w:val="000000"/>
                <w:sz w:val="18"/>
                <w:szCs w:val="18"/>
              </w:rPr>
            </w:pPr>
            <w:r w:rsidRPr="002F1795">
              <w:rPr>
                <w:color w:val="000000"/>
                <w:sz w:val="18"/>
                <w:szCs w:val="18"/>
              </w:rPr>
              <w:t>5</w:t>
            </w:r>
          </w:p>
        </w:tc>
        <w:tc>
          <w:tcPr>
            <w:tcW w:w="1440" w:type="dxa"/>
            <w:tcBorders>
              <w:top w:val="nil"/>
              <w:left w:val="nil"/>
              <w:bottom w:val="single" w:sz="4" w:space="0" w:color="auto"/>
              <w:right w:val="single" w:sz="4" w:space="0" w:color="auto"/>
            </w:tcBorders>
            <w:shd w:val="clear" w:color="auto" w:fill="FFFFFF" w:themeFill="background1"/>
            <w:noWrap/>
            <w:vAlign w:val="center"/>
          </w:tcPr>
          <w:p w:rsidR="00AE72C0" w:rsidRPr="002F1795" w:rsidRDefault="00AE72C0">
            <w:pPr>
              <w:jc w:val="right"/>
              <w:rPr>
                <w:color w:val="000000"/>
                <w:sz w:val="18"/>
                <w:szCs w:val="18"/>
              </w:rPr>
            </w:pPr>
            <w:r w:rsidRPr="002F1795">
              <w:rPr>
                <w:color w:val="000000"/>
                <w:sz w:val="18"/>
                <w:szCs w:val="18"/>
              </w:rPr>
              <w:t>$8.96</w:t>
            </w:r>
          </w:p>
        </w:tc>
        <w:tc>
          <w:tcPr>
            <w:tcW w:w="1530" w:type="dxa"/>
            <w:tcBorders>
              <w:top w:val="nil"/>
              <w:left w:val="nil"/>
              <w:bottom w:val="single" w:sz="4" w:space="0" w:color="auto"/>
              <w:right w:val="single" w:sz="4" w:space="0" w:color="auto"/>
            </w:tcBorders>
            <w:shd w:val="clear" w:color="auto" w:fill="FFFFFF" w:themeFill="background1"/>
            <w:noWrap/>
            <w:vAlign w:val="center"/>
          </w:tcPr>
          <w:p w:rsidR="00AE72C0" w:rsidRPr="002F1795" w:rsidRDefault="00AE72C0">
            <w:pPr>
              <w:jc w:val="right"/>
              <w:rPr>
                <w:color w:val="000000"/>
                <w:sz w:val="18"/>
                <w:szCs w:val="18"/>
              </w:rPr>
            </w:pPr>
            <w:r w:rsidRPr="002F1795">
              <w:rPr>
                <w:color w:val="000000"/>
                <w:sz w:val="18"/>
                <w:szCs w:val="18"/>
              </w:rPr>
              <w:t xml:space="preserve">$45 </w:t>
            </w:r>
          </w:p>
        </w:tc>
        <w:tc>
          <w:tcPr>
            <w:tcW w:w="1620" w:type="dxa"/>
            <w:tcBorders>
              <w:top w:val="nil"/>
              <w:left w:val="nil"/>
              <w:bottom w:val="single" w:sz="4" w:space="0" w:color="auto"/>
              <w:right w:val="single" w:sz="4" w:space="0" w:color="auto"/>
            </w:tcBorders>
            <w:shd w:val="clear" w:color="auto" w:fill="FFFFFF" w:themeFill="background1"/>
            <w:noWrap/>
            <w:vAlign w:val="center"/>
          </w:tcPr>
          <w:p w:rsidR="00AE72C0" w:rsidRPr="002F1795" w:rsidRDefault="00AE72C0">
            <w:pPr>
              <w:jc w:val="right"/>
              <w:rPr>
                <w:color w:val="000000"/>
                <w:sz w:val="18"/>
                <w:szCs w:val="18"/>
              </w:rPr>
            </w:pPr>
            <w:r w:rsidRPr="002F1795">
              <w:rPr>
                <w:color w:val="000000"/>
                <w:sz w:val="18"/>
                <w:szCs w:val="18"/>
              </w:rPr>
              <w:t xml:space="preserve">$448 </w:t>
            </w:r>
          </w:p>
        </w:tc>
        <w:tc>
          <w:tcPr>
            <w:tcW w:w="1450" w:type="dxa"/>
            <w:tcBorders>
              <w:top w:val="nil"/>
              <w:left w:val="nil"/>
              <w:bottom w:val="single" w:sz="4" w:space="0" w:color="auto"/>
              <w:right w:val="single" w:sz="8" w:space="0" w:color="auto"/>
            </w:tcBorders>
            <w:shd w:val="clear" w:color="auto" w:fill="FFFFFF" w:themeFill="background1"/>
            <w:noWrap/>
            <w:vAlign w:val="center"/>
          </w:tcPr>
          <w:p w:rsidR="00AE72C0" w:rsidRPr="002F1795" w:rsidRDefault="00AE72C0" w:rsidP="00210132">
            <w:pPr>
              <w:jc w:val="right"/>
              <w:rPr>
                <w:color w:val="000000"/>
                <w:sz w:val="18"/>
                <w:szCs w:val="18"/>
              </w:rPr>
            </w:pPr>
            <w:r w:rsidRPr="002F1795">
              <w:rPr>
                <w:color w:val="000000"/>
                <w:sz w:val="18"/>
                <w:szCs w:val="18"/>
              </w:rPr>
              <w:t>$493</w:t>
            </w:r>
          </w:p>
        </w:tc>
      </w:tr>
      <w:tr w:rsidR="00A83DDA" w:rsidRPr="002F1795" w:rsidTr="006565F1">
        <w:trPr>
          <w:trHeight w:val="80"/>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lastRenderedPageBreak/>
              <w:t>16. Initial Recordkeeping</w:t>
            </w:r>
            <w:r w:rsidRPr="002F1795">
              <w:rPr>
                <w:vertAlign w:val="superscript"/>
              </w:rPr>
              <w:t>9</w:t>
            </w:r>
          </w:p>
        </w:tc>
        <w:tc>
          <w:tcPr>
            <w:tcW w:w="99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8,576</w:t>
            </w:r>
          </w:p>
        </w:tc>
        <w:tc>
          <w:tcPr>
            <w:tcW w:w="108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11,945</w:t>
            </w:r>
          </w:p>
        </w:tc>
        <w:tc>
          <w:tcPr>
            <w:tcW w:w="117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20,521</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$1,000</w:t>
            </w:r>
          </w:p>
        </w:tc>
        <w:tc>
          <w:tcPr>
            <w:tcW w:w="153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$8,576,000</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$11,945,000</w:t>
            </w:r>
          </w:p>
        </w:tc>
        <w:tc>
          <w:tcPr>
            <w:tcW w:w="1450" w:type="dxa"/>
            <w:tcBorders>
              <w:top w:val="nil"/>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$20,521,000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17. Recurring Recordkeeping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50"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r>
      <w:tr w:rsidR="00A83DDA" w:rsidRPr="002F1795" w:rsidTr="006565F1">
        <w:trPr>
          <w:trHeight w:val="80"/>
          <w:jc w:val="center"/>
        </w:trPr>
        <w:tc>
          <w:tcPr>
            <w:tcW w:w="13881" w:type="dxa"/>
            <w:gridSpan w:val="9"/>
            <w:tcBorders>
              <w:top w:val="nil"/>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r w:rsidRPr="002F1795">
              <w:rPr>
                <w:vertAlign w:val="superscript"/>
              </w:rPr>
              <w:t>10</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66"/>
              <w:rPr>
                <w:rFonts w:ascii="Tahoma" w:hAnsi="Tahoma" w:cs="Tahoma"/>
                <w:szCs w:val="16"/>
              </w:rPr>
            </w:pPr>
            <w:r w:rsidRPr="002F1795">
              <w:t>Minor Changes - Producers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50"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r>
      <w:tr w:rsidR="00A83DDA"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66"/>
            </w:pPr>
            <w:r w:rsidRPr="002F1795">
              <w:t>Minor Changes - Fabricators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c>
          <w:tcPr>
            <w:tcW w:w="1450" w:type="dxa"/>
            <w:tcBorders>
              <w:top w:val="single" w:sz="4" w:space="0" w:color="auto"/>
              <w:left w:val="single" w:sz="4" w:space="0" w:color="auto"/>
              <w:bottom w:val="single" w:sz="4" w:space="0" w:color="auto"/>
              <w:right w:val="single" w:sz="8" w:space="0" w:color="auto"/>
            </w:tcBorders>
            <w:shd w:val="clear" w:color="auto" w:fill="FFFFFF" w:themeFill="background1"/>
            <w:noWrap/>
            <w:hideMark/>
          </w:tcPr>
          <w:p w:rsidR="00A83DDA" w:rsidRPr="002F1795" w:rsidRDefault="00A83DDA" w:rsidP="006565F1">
            <w:pPr>
              <w:keepNext/>
              <w:keepLines/>
              <w:jc w:val="center"/>
              <w:rPr>
                <w:rFonts w:ascii="Tahoma" w:hAnsi="Tahoma" w:cs="Tahoma"/>
                <w:sz w:val="16"/>
                <w:szCs w:val="16"/>
              </w:rPr>
            </w:pPr>
            <w:r w:rsidRPr="002F1795">
              <w:rPr>
                <w:b/>
                <w:bCs/>
              </w:rPr>
              <w:t>-</w:t>
            </w:r>
          </w:p>
        </w:tc>
      </w:tr>
      <w:tr w:rsidR="00AE72C0" w:rsidRPr="002F1795" w:rsidTr="00D93E70">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E72C0" w:rsidRPr="002F1795" w:rsidRDefault="00AE72C0" w:rsidP="006565F1">
            <w:pPr>
              <w:pStyle w:val="TableText"/>
              <w:ind w:left="166"/>
            </w:pPr>
            <w:r w:rsidRPr="002F1795">
              <w:t>Major Changes – Producers</w:t>
            </w:r>
            <w:r w:rsidRPr="002F1795">
              <w:rPr>
                <w:vertAlign w:val="superscript"/>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277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108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385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$125</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$34,625 </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$13,500 </w:t>
            </w:r>
          </w:p>
        </w:tc>
        <w:tc>
          <w:tcPr>
            <w:tcW w:w="1450"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$48,125 </w:t>
            </w:r>
          </w:p>
        </w:tc>
      </w:tr>
      <w:tr w:rsidR="00AE72C0" w:rsidRPr="002F1795" w:rsidTr="006565F1">
        <w:trPr>
          <w:trHeight w:val="77"/>
          <w:jc w:val="center"/>
        </w:trPr>
        <w:tc>
          <w:tcPr>
            <w:tcW w:w="3161"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AE72C0" w:rsidRPr="002F1795" w:rsidRDefault="00AE72C0" w:rsidP="006565F1">
            <w:pPr>
              <w:pStyle w:val="TableText"/>
              <w:ind w:left="166"/>
            </w:pPr>
            <w:r w:rsidRPr="002F1795">
              <w:t>Major Changes - Fabricators and Wholesalers</w:t>
            </w:r>
            <w:r w:rsidRPr="002F1795">
              <w:rPr>
                <w:vertAlign w:val="superscript"/>
              </w:rPr>
              <w:t>11</w:t>
            </w:r>
          </w:p>
        </w:tc>
        <w:tc>
          <w:tcPr>
            <w:tcW w:w="99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16,266</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6,344</w:t>
            </w:r>
          </w:p>
        </w:tc>
        <w:tc>
          <w:tcPr>
            <w:tcW w:w="117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22,610</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w:t>
            </w:r>
          </w:p>
        </w:tc>
        <w:tc>
          <w:tcPr>
            <w:tcW w:w="144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$125</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$2,033,250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$793,000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color w:val="000000"/>
                <w:sz w:val="18"/>
                <w:szCs w:val="18"/>
              </w:rPr>
            </w:pPr>
            <w:r w:rsidRPr="002F1795">
              <w:rPr>
                <w:color w:val="000000"/>
                <w:sz w:val="18"/>
                <w:szCs w:val="18"/>
              </w:rPr>
              <w:t xml:space="preserve">$2,826,250 </w:t>
            </w:r>
          </w:p>
        </w:tc>
      </w:tr>
      <w:tr w:rsidR="00AE72C0" w:rsidRPr="002F1795" w:rsidTr="00D93E70">
        <w:trPr>
          <w:trHeight w:val="77"/>
          <w:jc w:val="center"/>
        </w:trPr>
        <w:tc>
          <w:tcPr>
            <w:tcW w:w="9281" w:type="dxa"/>
            <w:gridSpan w:val="6"/>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E72C0" w:rsidRPr="002F1795" w:rsidRDefault="00AE72C0" w:rsidP="006565F1">
            <w:pPr>
              <w:pStyle w:val="TableText"/>
              <w:jc w:val="center"/>
              <w:rPr>
                <w:b/>
                <w:bCs/>
              </w:rPr>
            </w:pPr>
            <w:r w:rsidRPr="002F1795">
              <w:rPr>
                <w:b/>
                <w:bCs/>
              </w:rPr>
              <w:t>Total - Year 1</w:t>
            </w:r>
          </w:p>
        </w:tc>
        <w:tc>
          <w:tcPr>
            <w:tcW w:w="153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b/>
                <w:color w:val="000000"/>
                <w:sz w:val="18"/>
                <w:szCs w:val="18"/>
              </w:rPr>
            </w:pPr>
            <w:r w:rsidRPr="002F1795">
              <w:rPr>
                <w:b/>
                <w:color w:val="000000"/>
                <w:sz w:val="18"/>
                <w:szCs w:val="18"/>
              </w:rPr>
              <w:t xml:space="preserve">$22,749,095 </w:t>
            </w: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AE72C0" w:rsidRPr="002F1795" w:rsidRDefault="00AE72C0">
            <w:pPr>
              <w:jc w:val="right"/>
              <w:rPr>
                <w:b/>
                <w:color w:val="000000"/>
                <w:sz w:val="18"/>
                <w:szCs w:val="18"/>
              </w:rPr>
            </w:pPr>
            <w:r w:rsidRPr="002F1795">
              <w:rPr>
                <w:b/>
                <w:color w:val="000000"/>
                <w:sz w:val="18"/>
                <w:szCs w:val="18"/>
              </w:rPr>
              <w:t xml:space="preserve">$34,638,718 </w:t>
            </w:r>
          </w:p>
        </w:tc>
        <w:tc>
          <w:tcPr>
            <w:tcW w:w="1450" w:type="dxa"/>
            <w:tcBorders>
              <w:top w:val="nil"/>
              <w:left w:val="nil"/>
              <w:bottom w:val="single" w:sz="4" w:space="0" w:color="auto"/>
              <w:right w:val="single" w:sz="8" w:space="0" w:color="auto"/>
            </w:tcBorders>
            <w:shd w:val="clear" w:color="auto" w:fill="FFFFFF" w:themeFill="background1"/>
            <w:noWrap/>
            <w:vAlign w:val="center"/>
            <w:hideMark/>
          </w:tcPr>
          <w:p w:rsidR="00AE72C0" w:rsidRPr="002F1795" w:rsidRDefault="00AE72C0">
            <w:pPr>
              <w:jc w:val="right"/>
              <w:rPr>
                <w:b/>
                <w:color w:val="000000"/>
                <w:sz w:val="18"/>
                <w:szCs w:val="18"/>
              </w:rPr>
            </w:pPr>
            <w:r w:rsidRPr="002F1795">
              <w:rPr>
                <w:b/>
                <w:color w:val="000000"/>
                <w:sz w:val="18"/>
                <w:szCs w:val="18"/>
              </w:rPr>
              <w:t xml:space="preserve">$57,387,813 </w:t>
            </w:r>
          </w:p>
        </w:tc>
      </w:tr>
      <w:tr w:rsidR="00A83DDA" w:rsidRPr="002F1795" w:rsidTr="006565F1">
        <w:trPr>
          <w:trHeight w:val="4890"/>
          <w:jc w:val="center"/>
        </w:trPr>
        <w:tc>
          <w:tcPr>
            <w:tcW w:w="13881" w:type="dxa"/>
            <w:gridSpan w:val="9"/>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A83DDA" w:rsidRPr="002F1795" w:rsidRDefault="00A83DDA" w:rsidP="006565F1">
            <w:pPr>
              <w:pStyle w:val="tablefootnote"/>
              <w:keepLines/>
            </w:pPr>
            <w:r w:rsidRPr="002F1795">
              <w:t>2.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This analysis assumes that mills will seek standard certification for uncertified product lines.  The exceptions are uncertified hardwood plywood producers, which are assumed to switch to NAF certification.</w:t>
            </w:r>
          </w:p>
          <w:p w:rsidR="00A83DDA" w:rsidRPr="002F1795" w:rsidRDefault="00A83DDA" w:rsidP="006565F1">
            <w:pPr>
              <w:pStyle w:val="tablefootnote"/>
              <w:keepLines/>
            </w:pPr>
            <w:r w:rsidRPr="002F1795">
              <w:t>5. Producers that are already CARB compliant are assumed not to need to perform qualifying or correlation testing because it is assumed that their previous testing is sufficient.</w:t>
            </w:r>
          </w:p>
          <w:p w:rsidR="00A83DDA" w:rsidRPr="002F1795" w:rsidRDefault="00A83DDA" w:rsidP="006565F1">
            <w:pPr>
              <w:pStyle w:val="tablefootnote"/>
              <w:keepLines/>
            </w:pPr>
            <w:r w:rsidRPr="002F1795">
              <w:t xml:space="preserve">6. On-site audits must be conducted at least once quarterly, unless the mill obtains </w:t>
            </w:r>
            <w:r w:rsidR="009A3E24"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9A3E24" w:rsidRPr="002F1795">
              <w:t xml:space="preserve">ULEF or </w:t>
            </w:r>
            <w:r w:rsidRPr="002F1795">
              <w:t xml:space="preserve">NAF certifications under the CARB ATCM will only incur the initial on-site audit in the first year.  All producers with </w:t>
            </w:r>
            <w:r w:rsidR="009A3E24"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 xml:space="preserve">7. The respondents sum to more than the total number of respondents because some respondents are assumed to have </w:t>
            </w:r>
            <w:r w:rsidR="009A3E24" w:rsidRPr="002F1795">
              <w:t xml:space="preserve">more than one certification type (i.e., </w:t>
            </w:r>
            <w:r w:rsidRPr="002F1795">
              <w:t>standard</w:t>
            </w:r>
            <w:r w:rsidR="009A3E24" w:rsidRPr="002F1795">
              <w:t>, ULEF,</w:t>
            </w:r>
            <w:r w:rsidRPr="002F1795">
              <w:t xml:space="preserve"> and NAF</w:t>
            </w:r>
            <w:r w:rsidR="009A3E24" w:rsidRPr="002F1795">
              <w:t>)</w:t>
            </w:r>
            <w:r w:rsidRPr="002F1795">
              <w:t>.</w:t>
            </w:r>
          </w:p>
          <w:p w:rsidR="00A83DDA" w:rsidRPr="002F1795" w:rsidRDefault="00A83DDA" w:rsidP="006565F1">
            <w:pPr>
              <w:pStyle w:val="tablefootnote"/>
              <w:keepLines/>
            </w:pPr>
            <w:r w:rsidRPr="002F1795">
              <w:t>8. Desk audits are assumed to occur monthly</w:t>
            </w:r>
            <w:r w:rsidR="009A3E24"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9A3E24" w:rsidRPr="002F1795">
              <w:t xml:space="preserve">ULEF or </w:t>
            </w:r>
            <w:r w:rsidRPr="002F1795">
              <w:t xml:space="preserve">NAF certification.  </w:t>
            </w:r>
          </w:p>
          <w:p w:rsidR="00A83DDA" w:rsidRPr="002F1795" w:rsidRDefault="00A83DDA" w:rsidP="006565F1">
            <w:pPr>
              <w:pStyle w:val="tablefootnote"/>
              <w:keepLines/>
            </w:pPr>
            <w:r w:rsidRPr="002F1795">
              <w:t xml:space="preserve">9. </w:t>
            </w:r>
            <w:r w:rsidRPr="002F1795">
              <w:rPr>
                <w:szCs w:val="16"/>
              </w:rPr>
              <w:t>Firms that are manufacturers under TSCA (i.e.,</w:t>
            </w:r>
            <w:r w:rsidRPr="002F1795">
              <w:t xml:space="preserve"> composite panel producers </w:t>
            </w:r>
            <w:r w:rsidRPr="002F1795">
              <w:rPr>
                <w:szCs w:val="16"/>
              </w:rPr>
              <w:t>[</w:t>
            </w:r>
            <w:r w:rsidRPr="002F1795">
              <w:t>including the estimated two percent of wood veneer laminated product producers defined as hardwood plywood producers</w:t>
            </w:r>
            <w:r w:rsidRPr="002F1795">
              <w:rPr>
                <w:szCs w:val="16"/>
              </w:rPr>
              <w:t>],</w:t>
            </w:r>
            <w:r w:rsidRPr="002F1795">
              <w:t xml:space="preserve"> fabricators, and wholesalers that import composite wood products</w:t>
            </w:r>
            <w:r w:rsidRPr="002F1795">
              <w:rPr>
                <w:szCs w:val="16"/>
              </w:rPr>
              <w:t>) must keep records showing the date of purchase, the supplier, and all precautions taken to ensure</w:t>
            </w:r>
            <w:r w:rsidRPr="002F1795">
              <w:t xml:space="preserve"> that </w:t>
            </w:r>
            <w:r w:rsidRPr="002F1795">
              <w:rPr>
                <w:szCs w:val="16"/>
              </w:rPr>
              <w:t xml:space="preserve">the product meets the emissions standards. </w:t>
            </w:r>
            <w:r w:rsidRPr="002F1795">
              <w:t xml:space="preserve">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that are not already complying with the CARB ATCM will have initial burden to change their recordkeeping systems to comply with the TSCA Title VI rule.</w:t>
            </w:r>
          </w:p>
          <w:p w:rsidR="00A83DDA" w:rsidRPr="002F1795" w:rsidRDefault="00A83DDA" w:rsidP="006565F1">
            <w:pPr>
              <w:pStyle w:val="tablefootnote"/>
              <w:keepLines/>
            </w:pPr>
            <w:r w:rsidRPr="002F1795">
              <w:t xml:space="preserve">10.  </w:t>
            </w:r>
            <w:r w:rsidR="001D2BF8"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33 percent of fabricators that are not already complying with the CARB ATCM (because their products are not sold in California) will incur a non-labor cost of $125.00 for purchasing stamps for labeling.  Producers and wholesalers are not expected to incur any non-labor costs from initial labeling.</w:t>
            </w:r>
          </w:p>
          <w:p w:rsidR="00A83DDA" w:rsidRPr="002F1795" w:rsidRDefault="00A83DDA" w:rsidP="006565F1">
            <w:pPr>
              <w:pStyle w:val="tablefootnote"/>
              <w:keepLines/>
              <w:rPr>
                <w:rFonts w:ascii="Tahoma" w:hAnsi="Tahoma" w:cs="Tahoma"/>
                <w:szCs w:val="16"/>
              </w:rPr>
            </w:pPr>
            <w:r w:rsidRPr="002F1795">
              <w:t>11. Total excludes the estimated 2 percent of wood veneer laminated product producers expected to continue to use added formaldehyde resins.</w:t>
            </w:r>
          </w:p>
        </w:tc>
      </w:tr>
    </w:tbl>
    <w:p w:rsidR="00A83DDA" w:rsidRPr="002F1795" w:rsidRDefault="00A83DDA" w:rsidP="00A83DDA">
      <w:pPr>
        <w:ind w:firstLine="720"/>
      </w:pPr>
    </w:p>
    <w:tbl>
      <w:tblPr>
        <w:tblW w:w="5000" w:type="pct"/>
        <w:jc w:val="center"/>
        <w:tblLayout w:type="fixed"/>
        <w:tblLook w:val="04A0"/>
      </w:tblPr>
      <w:tblGrid>
        <w:gridCol w:w="4009"/>
        <w:gridCol w:w="1004"/>
        <w:gridCol w:w="949"/>
        <w:gridCol w:w="876"/>
        <w:gridCol w:w="1365"/>
        <w:gridCol w:w="1170"/>
        <w:gridCol w:w="1170"/>
        <w:gridCol w:w="1365"/>
        <w:gridCol w:w="1268"/>
      </w:tblGrid>
      <w:tr w:rsidR="00A83DDA" w:rsidRPr="002F1795" w:rsidTr="006565F1">
        <w:trPr>
          <w:trHeight w:val="67"/>
          <w:tblHeader/>
          <w:jc w:val="center"/>
        </w:trPr>
        <w:tc>
          <w:tcPr>
            <w:tcW w:w="13176" w:type="dxa"/>
            <w:gridSpan w:val="9"/>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keepNext/>
              <w:keepLines/>
            </w:pPr>
            <w:bookmarkStart w:id="27" w:name="_Ref309299915"/>
            <w:r w:rsidRPr="002F1795">
              <w:rPr>
                <w:rStyle w:val="TableTitleChar"/>
              </w:rPr>
              <w:lastRenderedPageBreak/>
              <w:t>Exhibit 6-</w:t>
            </w:r>
            <w:r w:rsidR="0041046E" w:rsidRPr="002F1795">
              <w:rPr>
                <w:rStyle w:val="TableTitleChar"/>
              </w:rPr>
              <w:fldChar w:fldCharType="begin"/>
            </w:r>
            <w:r w:rsidRPr="002F1795">
              <w:rPr>
                <w:rStyle w:val="TableTitleChar"/>
              </w:rPr>
              <w:instrText xml:space="preserve"> SEQ Exhibit_6- \* ARABIC </w:instrText>
            </w:r>
            <w:r w:rsidR="0041046E" w:rsidRPr="002F1795">
              <w:rPr>
                <w:rStyle w:val="TableTitleChar"/>
              </w:rPr>
              <w:fldChar w:fldCharType="separate"/>
            </w:r>
            <w:r w:rsidR="0036394F">
              <w:rPr>
                <w:rStyle w:val="TableTitleChar"/>
                <w:noProof/>
              </w:rPr>
              <w:t>24</w:t>
            </w:r>
            <w:r w:rsidR="0041046E" w:rsidRPr="002F1795">
              <w:rPr>
                <w:rStyle w:val="TableTitleChar"/>
              </w:rPr>
              <w:fldChar w:fldCharType="end"/>
            </w:r>
            <w:bookmarkEnd w:id="27"/>
            <w:r w:rsidRPr="002F1795">
              <w:rPr>
                <w:rStyle w:val="TableTitleChar"/>
              </w:rPr>
              <w:t xml:space="preserve">: </w:t>
            </w:r>
            <w:r w:rsidRPr="002F1795">
              <w:t>Total (including baseline) Second and Third Year Non-Labor Costs, by Activity and Geographic Location ($2010)</w:t>
            </w:r>
          </w:p>
        </w:tc>
      </w:tr>
      <w:tr w:rsidR="00A83DDA" w:rsidRPr="002F1795" w:rsidTr="006565F1">
        <w:trPr>
          <w:trHeight w:val="255"/>
          <w:tblHeader/>
          <w:jc w:val="center"/>
        </w:trPr>
        <w:tc>
          <w:tcPr>
            <w:tcW w:w="4009" w:type="dxa"/>
            <w:vMerge w:val="restart"/>
            <w:tcBorders>
              <w:top w:val="single" w:sz="4" w:space="0" w:color="auto"/>
              <w:left w:val="single" w:sz="8" w:space="0" w:color="auto"/>
              <w:bottom w:val="single" w:sz="4" w:space="0" w:color="000000"/>
              <w:right w:val="single" w:sz="4" w:space="0" w:color="auto"/>
            </w:tcBorders>
            <w:shd w:val="clear" w:color="000000" w:fill="FFFFFF"/>
            <w:vAlign w:val="center"/>
            <w:hideMark/>
          </w:tcPr>
          <w:p w:rsidR="00A83DDA" w:rsidRPr="002F1795" w:rsidRDefault="00A83DDA" w:rsidP="006565F1">
            <w:pPr>
              <w:keepNext/>
              <w:keepLines/>
              <w:adjustRightInd/>
              <w:jc w:val="center"/>
              <w:rPr>
                <w:b/>
                <w:bCs/>
                <w:color w:val="000000"/>
                <w:sz w:val="18"/>
                <w:szCs w:val="18"/>
              </w:rPr>
            </w:pPr>
            <w:r w:rsidRPr="002F1795">
              <w:rPr>
                <w:b/>
                <w:bCs/>
                <w:color w:val="000000"/>
                <w:sz w:val="18"/>
                <w:szCs w:val="18"/>
              </w:rPr>
              <w:t>Activity</w:t>
            </w:r>
          </w:p>
        </w:tc>
        <w:tc>
          <w:tcPr>
            <w:tcW w:w="282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rFonts w:ascii="Tahoma" w:hAnsi="Tahoma" w:cs="Tahoma"/>
                <w:b/>
                <w:bCs/>
                <w:color w:val="000000"/>
                <w:sz w:val="18"/>
                <w:szCs w:val="18"/>
              </w:rPr>
            </w:pPr>
            <w:r w:rsidRPr="002F1795">
              <w:rPr>
                <w:b/>
                <w:bCs/>
                <w:color w:val="000000"/>
                <w:sz w:val="18"/>
                <w:szCs w:val="18"/>
              </w:rPr>
              <w:t>Number of Respondents</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b/>
                <w:bCs/>
                <w:color w:val="000000"/>
                <w:sz w:val="18"/>
                <w:szCs w:val="18"/>
              </w:rPr>
            </w:pPr>
            <w:r w:rsidRPr="002F1795">
              <w:rPr>
                <w:b/>
                <w:bCs/>
                <w:color w:val="000000"/>
                <w:sz w:val="18"/>
                <w:szCs w:val="18"/>
              </w:rPr>
              <w:t>Number of Activities Per Respondent</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b/>
                <w:bCs/>
                <w:color w:val="000000"/>
                <w:sz w:val="18"/>
                <w:szCs w:val="18"/>
              </w:rPr>
            </w:pPr>
            <w:r w:rsidRPr="002F1795">
              <w:rPr>
                <w:b/>
                <w:bCs/>
                <w:color w:val="000000"/>
                <w:sz w:val="18"/>
                <w:szCs w:val="18"/>
              </w:rPr>
              <w:t>Cost Per Response</w:t>
            </w:r>
          </w:p>
        </w:tc>
        <w:tc>
          <w:tcPr>
            <w:tcW w:w="3803" w:type="dxa"/>
            <w:gridSpan w:val="3"/>
            <w:tcBorders>
              <w:top w:val="single" w:sz="4" w:space="0" w:color="auto"/>
              <w:left w:val="nil"/>
              <w:bottom w:val="single" w:sz="4" w:space="0" w:color="auto"/>
              <w:right w:val="single" w:sz="8" w:space="0" w:color="auto"/>
            </w:tcBorders>
            <w:shd w:val="clear" w:color="000000" w:fill="FFFFFF"/>
            <w:vAlign w:val="center"/>
            <w:hideMark/>
          </w:tcPr>
          <w:p w:rsidR="00A83DDA" w:rsidRPr="002F1795" w:rsidRDefault="00A83DDA" w:rsidP="006565F1">
            <w:pPr>
              <w:keepNext/>
              <w:keepLines/>
              <w:adjustRightInd/>
              <w:jc w:val="center"/>
              <w:rPr>
                <w:b/>
                <w:bCs/>
                <w:color w:val="000000"/>
                <w:sz w:val="18"/>
                <w:szCs w:val="18"/>
              </w:rPr>
            </w:pPr>
            <w:r w:rsidRPr="002F1795">
              <w:rPr>
                <w:b/>
                <w:bCs/>
                <w:color w:val="000000"/>
                <w:sz w:val="18"/>
                <w:szCs w:val="18"/>
              </w:rPr>
              <w:t>Total Cost</w:t>
            </w:r>
          </w:p>
        </w:tc>
      </w:tr>
      <w:tr w:rsidR="00A83DDA" w:rsidRPr="002F1795" w:rsidTr="006565F1">
        <w:trPr>
          <w:trHeight w:val="285"/>
          <w:tblHeader/>
          <w:jc w:val="center"/>
        </w:trPr>
        <w:tc>
          <w:tcPr>
            <w:tcW w:w="4009" w:type="dxa"/>
            <w:vMerge/>
            <w:tcBorders>
              <w:top w:val="single" w:sz="4" w:space="0" w:color="auto"/>
              <w:left w:val="single" w:sz="8" w:space="0" w:color="auto"/>
              <w:bottom w:val="single" w:sz="4" w:space="0" w:color="000000"/>
              <w:right w:val="single" w:sz="4" w:space="0" w:color="auto"/>
            </w:tcBorders>
            <w:vAlign w:val="center"/>
            <w:hideMark/>
          </w:tcPr>
          <w:p w:rsidR="00A83DDA" w:rsidRPr="002F1795" w:rsidRDefault="00A83DDA" w:rsidP="006565F1">
            <w:pPr>
              <w:keepNext/>
              <w:keepLines/>
              <w:adjustRightInd/>
              <w:rPr>
                <w:b/>
                <w:bCs/>
                <w:color w:val="000000"/>
                <w:sz w:val="18"/>
                <w:szCs w:val="18"/>
              </w:rPr>
            </w:pPr>
          </w:p>
        </w:tc>
        <w:tc>
          <w:tcPr>
            <w:tcW w:w="1004" w:type="dxa"/>
            <w:tcBorders>
              <w:top w:val="nil"/>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rFonts w:ascii="Tahoma" w:hAnsi="Tahoma" w:cs="Tahoma"/>
                <w:b/>
                <w:bCs/>
                <w:color w:val="000000"/>
                <w:sz w:val="18"/>
                <w:szCs w:val="18"/>
              </w:rPr>
            </w:pPr>
            <w:r w:rsidRPr="002F1795">
              <w:rPr>
                <w:b/>
                <w:bCs/>
                <w:color w:val="000000"/>
                <w:sz w:val="18"/>
                <w:szCs w:val="18"/>
              </w:rPr>
              <w:t>Domestic</w:t>
            </w:r>
          </w:p>
        </w:tc>
        <w:tc>
          <w:tcPr>
            <w:tcW w:w="94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rFonts w:ascii="Tahoma" w:hAnsi="Tahoma" w:cs="Tahoma"/>
                <w:b/>
                <w:bCs/>
                <w:color w:val="000000"/>
                <w:sz w:val="18"/>
                <w:szCs w:val="18"/>
              </w:rPr>
            </w:pPr>
            <w:r w:rsidRPr="002F1795">
              <w:rPr>
                <w:b/>
                <w:bCs/>
                <w:color w:val="000000"/>
                <w:sz w:val="18"/>
                <w:szCs w:val="18"/>
              </w:rPr>
              <w:t>Foreign</w:t>
            </w:r>
            <w:r w:rsidRPr="002F1795">
              <w:rPr>
                <w:b/>
                <w:bCs/>
                <w:color w:val="000000"/>
                <w:sz w:val="18"/>
                <w:szCs w:val="18"/>
                <w:vertAlign w:val="superscript"/>
              </w:rPr>
              <w:t>1</w:t>
            </w:r>
          </w:p>
        </w:tc>
        <w:tc>
          <w:tcPr>
            <w:tcW w:w="87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rFonts w:ascii="Tahoma" w:hAnsi="Tahoma" w:cs="Tahoma"/>
                <w:b/>
                <w:bCs/>
                <w:color w:val="000000"/>
                <w:sz w:val="18"/>
                <w:szCs w:val="18"/>
              </w:rPr>
            </w:pPr>
            <w:r w:rsidRPr="002F1795">
              <w:rPr>
                <w:b/>
                <w:bCs/>
                <w:color w:val="000000"/>
                <w:sz w:val="18"/>
                <w:szCs w:val="18"/>
              </w:rPr>
              <w:t>Total</w:t>
            </w: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keepNext/>
              <w:keepLines/>
              <w:adjustRightInd/>
              <w:rPr>
                <w:b/>
                <w:bCs/>
                <w:color w:val="000000"/>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keepNext/>
              <w:keepLines/>
              <w:adjustRightInd/>
              <w:rPr>
                <w:b/>
                <w:bCs/>
                <w:color w:val="000000"/>
                <w:sz w:val="18"/>
                <w:szCs w:val="18"/>
              </w:rPr>
            </w:pPr>
          </w:p>
        </w:tc>
        <w:tc>
          <w:tcPr>
            <w:tcW w:w="117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b/>
                <w:bCs/>
                <w:color w:val="000000"/>
                <w:sz w:val="18"/>
                <w:szCs w:val="18"/>
              </w:rPr>
            </w:pPr>
            <w:r w:rsidRPr="002F1795">
              <w:rPr>
                <w:b/>
                <w:bCs/>
                <w:color w:val="000000"/>
                <w:sz w:val="18"/>
                <w:szCs w:val="18"/>
              </w:rPr>
              <w:t>Domestic</w:t>
            </w:r>
          </w:p>
        </w:tc>
        <w:tc>
          <w:tcPr>
            <w:tcW w:w="136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keepNext/>
              <w:keepLines/>
              <w:adjustRightInd/>
              <w:jc w:val="center"/>
              <w:rPr>
                <w:b/>
                <w:bCs/>
                <w:color w:val="000000"/>
                <w:sz w:val="18"/>
                <w:szCs w:val="18"/>
              </w:rPr>
            </w:pPr>
            <w:r w:rsidRPr="002F1795">
              <w:rPr>
                <w:b/>
                <w:bCs/>
                <w:color w:val="000000"/>
                <w:sz w:val="18"/>
                <w:szCs w:val="18"/>
              </w:rPr>
              <w:t>Foreign</w:t>
            </w:r>
          </w:p>
        </w:tc>
        <w:tc>
          <w:tcPr>
            <w:tcW w:w="1268"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keepNext/>
              <w:keepLines/>
              <w:adjustRightInd/>
              <w:jc w:val="center"/>
              <w:rPr>
                <w:b/>
                <w:bCs/>
                <w:color w:val="000000"/>
                <w:sz w:val="18"/>
                <w:szCs w:val="18"/>
              </w:rPr>
            </w:pPr>
            <w:r w:rsidRPr="002F1795">
              <w:rPr>
                <w:b/>
                <w:bCs/>
                <w:color w:val="000000"/>
                <w:sz w:val="18"/>
                <w:szCs w:val="18"/>
              </w:rPr>
              <w:t>Total</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pPr>
            <w:r w:rsidRPr="002F1795">
              <w:t>1. Rule Familiarization</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r w:rsidRPr="002F1795">
              <w:rPr>
                <w:vertAlign w:val="superscript"/>
              </w:rPr>
              <w:t>2</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ind w:left="122"/>
            </w:pPr>
            <w:r w:rsidRPr="002F1795">
              <w:t>Standard</w:t>
            </w:r>
            <w:r w:rsidRPr="002F1795">
              <w:rPr>
                <w:vertAlign w:val="superscript"/>
              </w:rPr>
              <w:t>3</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328</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599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927</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$6,000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$1,968,000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$3,594,000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$5,562,000 </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ind w:left="122"/>
            </w:pPr>
            <w:r w:rsidRPr="002F1795">
              <w:t>NAF (From Uncertified or Standard)</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11</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222</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$3,700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$40,700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$780,700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$821,400 </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B70BED" w:rsidP="006565F1">
            <w:pPr>
              <w:pStyle w:val="TableText"/>
              <w:ind w:left="122"/>
            </w:pPr>
            <w:r w:rsidRPr="002F1795">
              <w:t>NAF/ULEF (From NAF or ULEF)</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31</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350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$3,700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$114,700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$1,180,300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$1,295,000 </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3. Initial On-site Audit</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With Existing Certifications</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Without Existing Certifications</w:t>
            </w:r>
            <w:r w:rsidRPr="002F1795">
              <w:rPr>
                <w:vertAlign w:val="superscript"/>
              </w:rPr>
              <w:t>3,4</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r w:rsidRPr="002F1795">
              <w:rPr>
                <w:vertAlign w:val="superscript"/>
              </w:rPr>
              <w:t>5</w:t>
            </w:r>
          </w:p>
        </w:tc>
      </w:tr>
      <w:tr w:rsidR="00A83DDA" w:rsidRPr="002F1795" w:rsidTr="006565F1">
        <w:trPr>
          <w:trHeight w:val="161"/>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1 Product</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2 Products</w:t>
            </w:r>
            <w:r w:rsidRPr="002F1795">
              <w:rPr>
                <w:vertAlign w:val="superscript"/>
              </w:rPr>
              <w:t>3,4</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Shipping</w:t>
            </w:r>
            <w:r w:rsidRPr="002F1795">
              <w:rPr>
                <w:vertAlign w:val="superscript"/>
              </w:rPr>
              <w:t>5</w:t>
            </w:r>
          </w:p>
        </w:tc>
      </w:tr>
      <w:tr w:rsidR="00A83DDA" w:rsidRPr="002F1795" w:rsidTr="006565F1">
        <w:trPr>
          <w:trHeight w:val="134"/>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1 Product</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2 Products</w:t>
            </w:r>
            <w:r w:rsidRPr="002F1795">
              <w:rPr>
                <w:vertAlign w:val="superscript"/>
              </w:rPr>
              <w:t>3,4</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pPr>
            <w:r w:rsidRPr="002F1795">
              <w:t>7. Correlation Test</w:t>
            </w:r>
            <w:r w:rsidRPr="002F1795">
              <w:rPr>
                <w:vertAlign w:val="superscript"/>
              </w:rPr>
              <w:t>5</w:t>
            </w:r>
          </w:p>
        </w:tc>
        <w:tc>
          <w:tcPr>
            <w:tcW w:w="10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8. Quarterly On-site Audit</w:t>
            </w:r>
            <w:r w:rsidRPr="002F1795">
              <w:rPr>
                <w:vertAlign w:val="superscript"/>
              </w:rPr>
              <w:t>6</w:t>
            </w:r>
          </w:p>
        </w:tc>
      </w:tr>
      <w:tr w:rsidR="00D93E70" w:rsidRPr="002F1795" w:rsidTr="00D93E70">
        <w:trPr>
          <w:trHeight w:val="89"/>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ind w:left="122"/>
            </w:pPr>
            <w:r w:rsidRPr="002F1795">
              <w:t>Standard</w:t>
            </w:r>
            <w:r w:rsidRPr="002F1795">
              <w:rPr>
                <w:vertAlign w:val="superscript"/>
              </w:rPr>
              <w:t>3,4</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328</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599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927</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4</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$450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$590,400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$1,078,200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$1,668,600 </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ind w:left="122"/>
            </w:pPr>
            <w:r w:rsidRPr="002F1795">
              <w:t>NAF (With New Certification)</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11</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222</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$450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$4,950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$94,950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$99,900 </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r w:rsidRPr="002F1795">
              <w:rPr>
                <w:vertAlign w:val="superscript"/>
              </w:rPr>
              <w:t>7</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1 Standard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94</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$15,360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$165,120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$180,480</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2 Standard (New)</w:t>
            </w:r>
            <w:r w:rsidRPr="002F1795">
              <w:rPr>
                <w:vertAlign w:val="superscript"/>
              </w:rPr>
              <w:t>3,4</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$797,760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$443,520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$1,241,280</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B70BED" w:rsidP="006565F1">
            <w:pPr>
              <w:pStyle w:val="TableText"/>
              <w:ind w:left="122"/>
            </w:pPr>
            <w:r w:rsidRPr="002F1795">
              <w:t>2 Standard/ULEF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54</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527</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$207,360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$1,816,320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$2,023,680</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1 NAF</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25</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$1,440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$10,560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$12,000</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D93E70" w:rsidRPr="002F1795" w:rsidRDefault="00D93E70" w:rsidP="00D93E70">
            <w:pPr>
              <w:pStyle w:val="TableText"/>
              <w:ind w:left="122"/>
            </w:pPr>
            <w:r w:rsidRPr="002F1795">
              <w:t>2 NAF</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25</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376</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2</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 xml:space="preserve">$24,000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 xml:space="preserve">$336,960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 xml:space="preserve">$360,960 </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D93E70">
            <w:pPr>
              <w:pStyle w:val="TableText"/>
              <w:ind w:left="122"/>
            </w:pPr>
            <w:r w:rsidRPr="002F1795">
              <w:t>1 NAF and 1 ULEF</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6</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71</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$14,400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$156,000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$170,400 </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10. Large Scale Testing Shipment</w:t>
            </w:r>
            <w:r w:rsidRPr="002F1795">
              <w:rPr>
                <w:vertAlign w:val="superscript"/>
              </w:rPr>
              <w:t>7</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1 Standard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94</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$1,600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$17,200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$18,800</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2 Standard (New)</w:t>
            </w:r>
            <w:r w:rsidRPr="002F1795">
              <w:rPr>
                <w:vertAlign w:val="superscript"/>
              </w:rPr>
              <w:t>3,4</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$83,100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$46,200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$129,300</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2 Standard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54</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527</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$21,600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$189,200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$210,800</w:t>
            </w:r>
          </w:p>
        </w:tc>
      </w:tr>
      <w:tr w:rsidR="00A83DDA"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22"/>
            </w:pPr>
            <w:r w:rsidRPr="002F1795">
              <w:t>1 NAF</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25</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$150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$1,100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$1,250</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D93E70" w:rsidRPr="002F1795" w:rsidRDefault="00D93E70" w:rsidP="00D93E70">
            <w:pPr>
              <w:pStyle w:val="TableText"/>
              <w:ind w:left="122"/>
            </w:pPr>
            <w:r w:rsidRPr="002F1795">
              <w:t>2 NAF</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25</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376</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2</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 xml:space="preserve">$2,500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 xml:space="preserve">$35,100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tcPr>
          <w:p w:rsidR="00D93E70" w:rsidRPr="002F1795" w:rsidRDefault="00D93E70">
            <w:pPr>
              <w:jc w:val="right"/>
              <w:rPr>
                <w:color w:val="000000"/>
                <w:sz w:val="18"/>
                <w:szCs w:val="18"/>
              </w:rPr>
            </w:pPr>
            <w:r w:rsidRPr="002F1795">
              <w:rPr>
                <w:color w:val="000000"/>
                <w:sz w:val="18"/>
                <w:szCs w:val="18"/>
              </w:rPr>
              <w:t xml:space="preserve">$37,600 </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ind w:left="122"/>
            </w:pPr>
            <w:r w:rsidRPr="002F1795">
              <w:t>1 NAF and 1 ULEF</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6</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71</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$1,500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$16,250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$17,750 </w:t>
            </w:r>
          </w:p>
        </w:tc>
      </w:tr>
      <w:tr w:rsidR="00D93E7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pPr>
            <w:r w:rsidRPr="002F1795">
              <w:t>11. On-site Audit Travel</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right"/>
            </w:pPr>
            <w:r w:rsidRPr="002F1795">
              <w:rPr>
                <w:color w:val="000000"/>
                <w:szCs w:val="18"/>
              </w:rPr>
              <w:t>370</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right"/>
            </w:pPr>
            <w:r w:rsidRPr="002F1795">
              <w:rPr>
                <w:color w:val="000000"/>
                <w:szCs w:val="18"/>
              </w:rPr>
              <w:t>1,129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right"/>
            </w:pPr>
            <w:r w:rsidRPr="002F1795">
              <w:rPr>
                <w:color w:val="000000"/>
                <w:szCs w:val="18"/>
              </w:rPr>
              <w:t>1,499</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right"/>
            </w:pPr>
            <w:r w:rsidRPr="002F1795">
              <w:rPr>
                <w:color w:val="000000"/>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right"/>
            </w:pPr>
            <w:r w:rsidRPr="002F1795">
              <w:rPr>
                <w:color w:val="000000"/>
                <w:szCs w:val="18"/>
              </w:rPr>
              <w:t>$1,500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jc w:val="right"/>
              <w:rPr>
                <w:color w:val="000000"/>
                <w:sz w:val="18"/>
                <w:szCs w:val="18"/>
              </w:rPr>
            </w:pPr>
            <w:r w:rsidRPr="002F1795">
              <w:rPr>
                <w:color w:val="000000"/>
                <w:sz w:val="18"/>
                <w:szCs w:val="18"/>
              </w:rPr>
              <w:t>$555,000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jc w:val="right"/>
              <w:rPr>
                <w:color w:val="000000"/>
                <w:sz w:val="18"/>
                <w:szCs w:val="18"/>
              </w:rPr>
            </w:pPr>
            <w:r w:rsidRPr="002F1795">
              <w:rPr>
                <w:color w:val="000000"/>
                <w:sz w:val="18"/>
                <w:szCs w:val="18"/>
              </w:rPr>
              <w:t>$1,693,500</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D93E70" w:rsidRPr="002F1795" w:rsidRDefault="00D93E70" w:rsidP="006565F1">
            <w:pPr>
              <w:jc w:val="right"/>
              <w:rPr>
                <w:color w:val="000000"/>
                <w:sz w:val="18"/>
                <w:szCs w:val="18"/>
              </w:rPr>
            </w:pPr>
            <w:r w:rsidRPr="002F1795">
              <w:rPr>
                <w:color w:val="000000"/>
                <w:sz w:val="18"/>
                <w:szCs w:val="18"/>
              </w:rPr>
              <w:t>$2,248,500</w:t>
            </w:r>
          </w:p>
        </w:tc>
      </w:tr>
      <w:tr w:rsidR="00D93E70"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D93E70" w:rsidRPr="002F1795" w:rsidRDefault="00D93E70" w:rsidP="006565F1">
            <w:pPr>
              <w:pStyle w:val="TableText"/>
            </w:pPr>
            <w:r w:rsidRPr="002F1795">
              <w:t>12. Desk Audits</w:t>
            </w:r>
            <w:r w:rsidRPr="002F1795">
              <w:rPr>
                <w:vertAlign w:val="superscript"/>
              </w:rPr>
              <w:t>8</w:t>
            </w:r>
          </w:p>
        </w:tc>
      </w:tr>
      <w:tr w:rsidR="00D93E70" w:rsidRPr="002F1795" w:rsidTr="00D93E70">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ind w:left="122"/>
            </w:pPr>
            <w:r w:rsidRPr="002F1795">
              <w:t>Standard</w:t>
            </w:r>
            <w:r w:rsidRPr="002F1795">
              <w:rPr>
                <w:vertAlign w:val="superscript"/>
              </w:rPr>
              <w:t>3,4</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328</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599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927</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$250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$656,000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$1,198,000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93E70" w:rsidRPr="002F1795" w:rsidRDefault="00D93E70">
            <w:pPr>
              <w:jc w:val="right"/>
              <w:rPr>
                <w:color w:val="000000"/>
                <w:sz w:val="18"/>
                <w:szCs w:val="18"/>
              </w:rPr>
            </w:pPr>
            <w:r w:rsidRPr="002F1795">
              <w:rPr>
                <w:color w:val="000000"/>
                <w:sz w:val="18"/>
                <w:szCs w:val="18"/>
              </w:rPr>
              <w:t xml:space="preserve">$1,854,000 </w:t>
            </w:r>
          </w:p>
        </w:tc>
      </w:tr>
      <w:tr w:rsidR="00D93E70" w:rsidRPr="002F1795" w:rsidTr="006565F1">
        <w:trPr>
          <w:trHeight w:val="10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ind w:left="122"/>
            </w:pPr>
            <w:r w:rsidRPr="002F1795">
              <w:t>NAF</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r>
      <w:tr w:rsidR="00D93E70" w:rsidRPr="002F1795" w:rsidTr="006565F1">
        <w:trPr>
          <w:trHeight w:val="161"/>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pPr>
            <w:r w:rsidRPr="002F1795">
              <w:t>13. Purchase of Small Chamber Testing Unit</w:t>
            </w:r>
            <w:r w:rsidRPr="002F1795">
              <w:rPr>
                <w:vertAlign w:val="superscript"/>
              </w:rPr>
              <w:t>3</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r>
      <w:tr w:rsidR="00D93E7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pPr>
            <w:r w:rsidRPr="002F1795">
              <w:lastRenderedPageBreak/>
              <w:t>14. Quality Control Testing</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D93E70" w:rsidRPr="002F1795" w:rsidRDefault="00D93E70" w:rsidP="006565F1">
            <w:pPr>
              <w:pStyle w:val="TableText"/>
              <w:jc w:val="center"/>
            </w:pPr>
            <w:r w:rsidRPr="002F1795">
              <w:t>-</w:t>
            </w:r>
          </w:p>
        </w:tc>
      </w:tr>
      <w:tr w:rsidR="00D93E70" w:rsidRPr="002F1795" w:rsidTr="006565F1">
        <w:trPr>
          <w:trHeight w:val="80"/>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D93E70" w:rsidRPr="002F1795" w:rsidRDefault="00D93E70" w:rsidP="006565F1">
            <w:pPr>
              <w:pStyle w:val="TableText"/>
            </w:pPr>
            <w:r w:rsidRPr="002F1795">
              <w:t>15. Lost Product</w:t>
            </w:r>
            <w:r w:rsidRPr="002F1795">
              <w:rPr>
                <w:vertAlign w:val="superscript"/>
              </w:rPr>
              <w:t>7</w:t>
            </w:r>
          </w:p>
        </w:tc>
      </w:tr>
      <w:tr w:rsidR="004C5480" w:rsidRPr="002F1795" w:rsidTr="0024676A">
        <w:trPr>
          <w:trHeight w:val="134"/>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2 Standard (HWPW - Existing)</w:t>
            </w:r>
            <w:r w:rsidRPr="002F1795">
              <w:rPr>
                <w:vertAlign w:val="superscript"/>
              </w:rPr>
              <w:t>3,4</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10</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119</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528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$15.68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$82,790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$902,415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$985,206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1 NAF (HWPW - New)</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277</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385</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528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$15.68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$2,293,294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$894,136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$3,187,430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1 NAF (HWPW -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95</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$15.68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$1,004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$10,913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$11,917 </w:t>
            </w:r>
          </w:p>
        </w:tc>
      </w:tr>
      <w:tr w:rsidR="004C5480" w:rsidRPr="002F1795" w:rsidTr="0024676A">
        <w:trPr>
          <w:trHeight w:val="10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2 NAF (HWPW - New)</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60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$15.68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$392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$4,312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$4,704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2 NAF (HWPW -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11</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222</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$15.68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$345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$6,617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$6,962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1 Standard (PB/MDF -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7</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83</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$15.68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$220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$2,383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$2,603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2 Standard (PB/MDF - New)</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3</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25</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265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$8.96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$7,123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$52,237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$59,360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2 Standard (PB/MDF -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115</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528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$8.96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$23,654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$520,397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$544,051 </w:t>
            </w:r>
          </w:p>
        </w:tc>
      </w:tr>
      <w:tr w:rsidR="004C5480" w:rsidRPr="002F1795" w:rsidTr="0024676A">
        <w:trPr>
          <w:trHeight w:val="206"/>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1 NAF (PB/MDF - New)</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33</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283</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528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$8.96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$156,119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$1,182,720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$1,338,839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1 NAF (PB/MDF -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3</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30</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$8.96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$215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$1,935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C5480" w:rsidRPr="002F1795" w:rsidRDefault="004C5480">
            <w:pPr>
              <w:jc w:val="right"/>
              <w:rPr>
                <w:color w:val="000000"/>
                <w:sz w:val="18"/>
                <w:szCs w:val="18"/>
              </w:rPr>
            </w:pPr>
            <w:r w:rsidRPr="002F1795">
              <w:rPr>
                <w:color w:val="000000"/>
                <w:sz w:val="18"/>
                <w:szCs w:val="18"/>
              </w:rPr>
              <w:t xml:space="preserve">$2,150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4C5480" w:rsidRPr="002F1795" w:rsidRDefault="004C5480" w:rsidP="0024676A">
            <w:pPr>
              <w:pStyle w:val="TableText"/>
              <w:ind w:left="122"/>
            </w:pPr>
            <w:r w:rsidRPr="002F1795">
              <w:t>2 NAF (PB/MDF -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7</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71</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2</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$8.96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 xml:space="preserve">$125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 xml:space="preserve">$1,147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 xml:space="preserve">$1,272 </w:t>
            </w:r>
          </w:p>
        </w:tc>
      </w:tr>
      <w:tr w:rsidR="004C5480" w:rsidRPr="002F1795" w:rsidTr="0024676A">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4C5480" w:rsidRPr="002F1795" w:rsidRDefault="004C5480" w:rsidP="006565F1">
            <w:pPr>
              <w:pStyle w:val="TableText"/>
              <w:ind w:left="122"/>
            </w:pPr>
            <w:r w:rsidRPr="002F1795">
              <w:t>1 NAF and 1 ULEF  (PB/MDF - Existing)</w:t>
            </w:r>
          </w:p>
        </w:tc>
        <w:tc>
          <w:tcPr>
            <w:tcW w:w="1004"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1</w:t>
            </w:r>
          </w:p>
        </w:tc>
        <w:tc>
          <w:tcPr>
            <w:tcW w:w="949"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11</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$8.96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 xml:space="preserve">$45 </w:t>
            </w:r>
          </w:p>
        </w:tc>
        <w:tc>
          <w:tcPr>
            <w:tcW w:w="1365" w:type="dxa"/>
            <w:tcBorders>
              <w:top w:val="single" w:sz="4" w:space="0" w:color="auto"/>
              <w:left w:val="nil"/>
              <w:bottom w:val="single" w:sz="4" w:space="0" w:color="auto"/>
              <w:right w:val="single" w:sz="4"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 xml:space="preserve">$448 </w:t>
            </w:r>
          </w:p>
        </w:tc>
        <w:tc>
          <w:tcPr>
            <w:tcW w:w="1268" w:type="dxa"/>
            <w:tcBorders>
              <w:top w:val="single" w:sz="4" w:space="0" w:color="auto"/>
              <w:left w:val="nil"/>
              <w:bottom w:val="single" w:sz="4" w:space="0" w:color="auto"/>
              <w:right w:val="single" w:sz="8" w:space="0" w:color="auto"/>
            </w:tcBorders>
            <w:shd w:val="clear" w:color="auto" w:fill="FFFFFF" w:themeFill="background1"/>
            <w:noWrap/>
            <w:vAlign w:val="center"/>
          </w:tcPr>
          <w:p w:rsidR="004C5480" w:rsidRPr="002F1795" w:rsidRDefault="004C5480">
            <w:pPr>
              <w:jc w:val="right"/>
              <w:rPr>
                <w:color w:val="000000"/>
                <w:sz w:val="18"/>
                <w:szCs w:val="18"/>
              </w:rPr>
            </w:pPr>
            <w:r w:rsidRPr="002F1795">
              <w:rPr>
                <w:color w:val="000000"/>
                <w:sz w:val="18"/>
                <w:szCs w:val="18"/>
              </w:rPr>
              <w:t xml:space="preserve">$493 </w:t>
            </w:r>
          </w:p>
        </w:tc>
      </w:tr>
      <w:tr w:rsidR="004C548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pPr>
            <w:r w:rsidRPr="002F1795">
              <w:t>16. Initial Recordkeeping</w:t>
            </w:r>
            <w:r w:rsidRPr="002F1795">
              <w:rPr>
                <w:vertAlign w:val="superscript"/>
              </w:rPr>
              <w:t>9</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r>
      <w:tr w:rsidR="004C548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pPr>
            <w:r w:rsidRPr="002F1795">
              <w:t>17. Recurring Recordkeeping</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r>
      <w:tr w:rsidR="004C5480"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4C5480" w:rsidRPr="002F1795" w:rsidRDefault="004C5480" w:rsidP="006565F1">
            <w:pPr>
              <w:pStyle w:val="TableText"/>
            </w:pPr>
            <w:r w:rsidRPr="002F1795">
              <w:t>18. Initial Labeling</w:t>
            </w:r>
            <w:r w:rsidRPr="002F1795">
              <w:rPr>
                <w:vertAlign w:val="superscript"/>
              </w:rPr>
              <w:t>10</w:t>
            </w:r>
          </w:p>
        </w:tc>
      </w:tr>
      <w:tr w:rsidR="004C548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Minor Changes - Producers</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r>
      <w:tr w:rsidR="004C548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Minor Changes - Fabricators</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r>
      <w:tr w:rsidR="004C548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Minor Changes – Wholesalers</w:t>
            </w:r>
            <w:r w:rsidRPr="002F1795">
              <w:rPr>
                <w:vertAlign w:val="superscript"/>
              </w:rPr>
              <w:t>3</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r>
      <w:tr w:rsidR="004C5480" w:rsidRPr="002F1795" w:rsidTr="006565F1">
        <w:trPr>
          <w:trHeight w:val="77"/>
          <w:jc w:val="center"/>
        </w:trPr>
        <w:tc>
          <w:tcPr>
            <w:tcW w:w="4009"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ind w:left="122"/>
            </w:pPr>
            <w:r w:rsidRPr="002F1795">
              <w:t>Major Changes – Fabricators</w:t>
            </w:r>
            <w:r w:rsidRPr="002F1795">
              <w:rPr>
                <w:vertAlign w:val="superscript"/>
              </w:rPr>
              <w:t>11</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C5480" w:rsidRPr="002F1795" w:rsidRDefault="004C5480" w:rsidP="006565F1">
            <w:pPr>
              <w:pStyle w:val="TableText"/>
              <w:jc w:val="center"/>
            </w:pPr>
            <w:r w:rsidRPr="002F1795">
              <w:t>-</w:t>
            </w:r>
          </w:p>
        </w:tc>
      </w:tr>
      <w:tr w:rsidR="004C5480" w:rsidRPr="002F1795" w:rsidTr="0024676A">
        <w:trPr>
          <w:trHeight w:val="77"/>
          <w:jc w:val="center"/>
        </w:trPr>
        <w:tc>
          <w:tcPr>
            <w:tcW w:w="9373"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4C5480" w:rsidRPr="002F1795" w:rsidRDefault="004C5480" w:rsidP="006565F1">
            <w:pPr>
              <w:pStyle w:val="TableText"/>
              <w:rPr>
                <w:b/>
                <w:bCs/>
              </w:rPr>
            </w:pPr>
            <w:r w:rsidRPr="002F1795">
              <w:rPr>
                <w:b/>
                <w:bCs/>
              </w:rPr>
              <w:t>Total - Years 2 and 3</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rsidR="004C5480" w:rsidRPr="002F1795" w:rsidRDefault="004C5480">
            <w:pPr>
              <w:jc w:val="right"/>
              <w:rPr>
                <w:b/>
                <w:color w:val="000000"/>
                <w:sz w:val="18"/>
                <w:szCs w:val="18"/>
              </w:rPr>
            </w:pPr>
            <w:r w:rsidRPr="002F1795">
              <w:rPr>
                <w:b/>
                <w:color w:val="000000"/>
                <w:sz w:val="18"/>
                <w:szCs w:val="18"/>
              </w:rPr>
              <w:t xml:space="preserve">$7,665,846 </w:t>
            </w:r>
          </w:p>
        </w:tc>
        <w:tc>
          <w:tcPr>
            <w:tcW w:w="1365" w:type="dxa"/>
            <w:tcBorders>
              <w:top w:val="single" w:sz="4" w:space="0" w:color="auto"/>
              <w:left w:val="nil"/>
              <w:bottom w:val="single" w:sz="4" w:space="0" w:color="auto"/>
              <w:right w:val="single" w:sz="4" w:space="0" w:color="auto"/>
            </w:tcBorders>
            <w:shd w:val="clear" w:color="000000" w:fill="FFFFFF"/>
            <w:noWrap/>
            <w:vAlign w:val="center"/>
            <w:hideMark/>
          </w:tcPr>
          <w:p w:rsidR="004C5480" w:rsidRPr="002F1795" w:rsidRDefault="004C5480">
            <w:pPr>
              <w:jc w:val="right"/>
              <w:rPr>
                <w:b/>
                <w:color w:val="000000"/>
                <w:sz w:val="18"/>
                <w:szCs w:val="18"/>
              </w:rPr>
            </w:pPr>
            <w:r w:rsidRPr="002F1795">
              <w:rPr>
                <w:b/>
                <w:color w:val="000000"/>
                <w:sz w:val="18"/>
                <w:szCs w:val="18"/>
              </w:rPr>
              <w:t xml:space="preserve">$16,432,841 </w:t>
            </w:r>
          </w:p>
        </w:tc>
        <w:tc>
          <w:tcPr>
            <w:tcW w:w="1268" w:type="dxa"/>
            <w:tcBorders>
              <w:top w:val="single" w:sz="4" w:space="0" w:color="auto"/>
              <w:left w:val="nil"/>
              <w:bottom w:val="single" w:sz="4" w:space="0" w:color="auto"/>
              <w:right w:val="single" w:sz="8" w:space="0" w:color="auto"/>
            </w:tcBorders>
            <w:shd w:val="clear" w:color="000000" w:fill="FFFFFF"/>
            <w:noWrap/>
            <w:vAlign w:val="center"/>
            <w:hideMark/>
          </w:tcPr>
          <w:p w:rsidR="004C5480" w:rsidRPr="002F1795" w:rsidRDefault="004C5480">
            <w:pPr>
              <w:jc w:val="right"/>
              <w:rPr>
                <w:b/>
                <w:color w:val="000000"/>
                <w:sz w:val="18"/>
                <w:szCs w:val="18"/>
              </w:rPr>
            </w:pPr>
            <w:r w:rsidRPr="002F1795">
              <w:rPr>
                <w:b/>
                <w:color w:val="000000"/>
                <w:sz w:val="18"/>
                <w:szCs w:val="18"/>
              </w:rPr>
              <w:t xml:space="preserve">$24,098,688 </w:t>
            </w:r>
          </w:p>
        </w:tc>
      </w:tr>
      <w:tr w:rsidR="004C5480" w:rsidRPr="002F1795" w:rsidTr="006565F1">
        <w:trPr>
          <w:trHeight w:val="315"/>
          <w:jc w:val="center"/>
        </w:trPr>
        <w:tc>
          <w:tcPr>
            <w:tcW w:w="13176" w:type="dxa"/>
            <w:gridSpan w:val="9"/>
            <w:tcBorders>
              <w:top w:val="single" w:sz="4" w:space="0" w:color="auto"/>
              <w:left w:val="single" w:sz="8" w:space="0" w:color="auto"/>
              <w:bottom w:val="single" w:sz="8" w:space="0" w:color="auto"/>
              <w:right w:val="single" w:sz="8" w:space="0" w:color="000000"/>
            </w:tcBorders>
            <w:shd w:val="clear" w:color="000000" w:fill="FFFFFF"/>
            <w:hideMark/>
          </w:tcPr>
          <w:p w:rsidR="004C5480" w:rsidRPr="002F1795" w:rsidRDefault="004C5480" w:rsidP="006565F1">
            <w:pPr>
              <w:pStyle w:val="tablefootnote"/>
              <w:keepLines/>
            </w:pPr>
            <w:r w:rsidRPr="002F1795">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4C5480" w:rsidRPr="002F1795" w:rsidRDefault="004C5480" w:rsidP="006565F1">
            <w:pPr>
              <w:pStyle w:val="tablefootnote"/>
              <w:keepLines/>
            </w:pPr>
            <w:r w:rsidRPr="002F1795">
              <w:t>2. Since CARB does not certify wood veneer laminated products, all producers of wood veneer laminated products defined as hardwood plywood will incur costs to have their products certified by a TPC as a result of the TSCA Title VI rule.</w:t>
            </w:r>
          </w:p>
          <w:p w:rsidR="004C5480" w:rsidRPr="002F1795" w:rsidRDefault="004C5480"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4C5480" w:rsidRPr="002F1795" w:rsidRDefault="004C5480" w:rsidP="006565F1">
            <w:pPr>
              <w:pStyle w:val="tablefootnote"/>
              <w:keepLines/>
            </w:pPr>
            <w:r w:rsidRPr="002F1795">
              <w:t>4.  This analysis assumes that mills will seek standard certification for uncertified product lines.  The exceptions are uncertified hardwood plywood producers, which are assumed to switch to NAF certification.</w:t>
            </w:r>
          </w:p>
          <w:p w:rsidR="004C5480" w:rsidRPr="002F1795" w:rsidRDefault="004C5480" w:rsidP="006565F1">
            <w:pPr>
              <w:pStyle w:val="tablefootnote"/>
              <w:keepLines/>
            </w:pPr>
            <w:r w:rsidRPr="002F1795">
              <w:t>5. Producers that are already CARB compliant are assumed not to need to perform qualifying or correlation testing because it is assumed that their previous testing is sufficient.</w:t>
            </w:r>
          </w:p>
          <w:p w:rsidR="004C5480" w:rsidRPr="002F1795" w:rsidRDefault="004C5480" w:rsidP="006565F1">
            <w:pPr>
              <w:pStyle w:val="tablefootnote"/>
              <w:keepLines/>
            </w:pPr>
            <w:r w:rsidRPr="002F1795">
              <w:t>6. On-site audits must be conducted at least once quarterly, unless the mill obtains ULEF or NAF certification. This analysis assumes that producers with new NAF certifications will incur the burden associated with one on-site audit (in addition to the initial audit) and two desk audits in the first year.  Producers with existing ULEF or NAF certifications under the CARB ATCM will only incur the initial on-site audit in the first year.  All producers with ULEF or NAF certification will have one on-site audit annually thereafter.</w:t>
            </w:r>
          </w:p>
          <w:p w:rsidR="004C5480" w:rsidRPr="002F1795" w:rsidRDefault="004C5480" w:rsidP="006565F1">
            <w:pPr>
              <w:pStyle w:val="tablefootnote"/>
              <w:keepLines/>
            </w:pPr>
            <w:r w:rsidRPr="002F1795">
              <w:t>7. The respondents sum to more than the total number of respondents because some respondents are assumed to have more than one certification type (i.e., standard, ULEF, and NAF).</w:t>
            </w:r>
          </w:p>
          <w:p w:rsidR="004C5480" w:rsidRPr="002F1795" w:rsidRDefault="004C5480" w:rsidP="006565F1">
            <w:pPr>
              <w:pStyle w:val="tablefootnote"/>
              <w:keepLines/>
            </w:pPr>
            <w:r w:rsidRPr="002F1795">
              <w:t xml:space="preserve">8. Desk audits for standard certifications are assumed to occur monthly, except in months with a quarterly on-site audit.  Producers with new NAF certifications will incur the costs associated with two desk audits in the first year; none are required in subsequent years.  No desk audits are required for respondents with existing ULEF or NAF certification.  </w:t>
            </w:r>
          </w:p>
          <w:p w:rsidR="004C5480" w:rsidRPr="002F1795" w:rsidRDefault="004C5480" w:rsidP="006565F1">
            <w:pPr>
              <w:pStyle w:val="tablefootnote"/>
              <w:keepLines/>
            </w:pPr>
            <w:r w:rsidRPr="002F1795">
              <w:t xml:space="preserve">9. </w:t>
            </w:r>
            <w:r w:rsidRPr="002F1795">
              <w:rPr>
                <w:szCs w:val="16"/>
              </w:rPr>
              <w:t>Firms that are manufacturers under TSCA (i.e.,</w:t>
            </w:r>
            <w:r w:rsidRPr="002F1795">
              <w:t xml:space="preserve"> composite panel producers </w:t>
            </w:r>
            <w:r w:rsidRPr="002F1795">
              <w:rPr>
                <w:szCs w:val="16"/>
              </w:rPr>
              <w:t>[</w:t>
            </w:r>
            <w:r w:rsidRPr="002F1795">
              <w:t xml:space="preserve">including the estimated two percent of wood veneer laminated product producers defined as hardwood plywood </w:t>
            </w:r>
            <w:r w:rsidRPr="002F1795">
              <w:lastRenderedPageBreak/>
              <w:t>producers</w:t>
            </w:r>
            <w:r w:rsidRPr="002F1795">
              <w:rPr>
                <w:szCs w:val="16"/>
              </w:rPr>
              <w:t>],</w:t>
            </w:r>
            <w:r w:rsidRPr="002F1795">
              <w:t xml:space="preserve"> fabricators, and wholesalers that import composite wood products</w:t>
            </w:r>
            <w:r w:rsidRPr="002F1795">
              <w:rPr>
                <w:szCs w:val="16"/>
              </w:rPr>
              <w:t>) must keep records showing the date of purchase, the supplier, and all precautions taken to ensure</w:t>
            </w:r>
            <w:r w:rsidRPr="002F1795">
              <w:t xml:space="preserve"> that </w:t>
            </w:r>
            <w:r w:rsidRPr="002F1795">
              <w:rPr>
                <w:szCs w:val="16"/>
              </w:rPr>
              <w:t xml:space="preserve">the product meets the emissions standards. </w:t>
            </w:r>
            <w:r w:rsidRPr="002F1795">
              <w:t xml:space="preserve">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that are not already complying with the CARB ATCM will have initial burden to change their recordkeeping systems to comply with the TSCA Title VI rule.</w:t>
            </w:r>
          </w:p>
          <w:p w:rsidR="004C5480" w:rsidRPr="002F1795" w:rsidRDefault="004C5480" w:rsidP="006565F1">
            <w:pPr>
              <w:pStyle w:val="tablefootnote"/>
              <w:keepLines/>
            </w:pPr>
            <w:r w:rsidRPr="002F1795">
              <w:t>10.  Panel producers,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33 percent of fabricators that are not already complying with the CARB ATCM (because their products are not sold in California) will incur a non-labor cost of $125.00 for purchasing stamps for labeling.  Producers and wholesalers are not expected to incur any non-labor costs from initial labeling.</w:t>
            </w:r>
          </w:p>
          <w:p w:rsidR="004C5480" w:rsidRPr="002F1795" w:rsidRDefault="004C5480" w:rsidP="006565F1">
            <w:pPr>
              <w:pStyle w:val="tablefootnote"/>
              <w:keepLines/>
              <w:rPr>
                <w:rFonts w:ascii="Tahoma" w:hAnsi="Tahoma" w:cs="Tahoma"/>
                <w:szCs w:val="16"/>
              </w:rPr>
            </w:pPr>
            <w:r w:rsidRPr="002F1795">
              <w:t>11. Total excludes the estimated 2 percent of wood veneer laminated product producers expected to continue to use added formaldehyde resins.</w:t>
            </w:r>
          </w:p>
        </w:tc>
      </w:tr>
    </w:tbl>
    <w:p w:rsidR="00A83DDA" w:rsidRPr="002F1795" w:rsidRDefault="00A83DDA" w:rsidP="00A83DDA">
      <w:pPr>
        <w:ind w:firstLine="720"/>
      </w:pPr>
    </w:p>
    <w:tbl>
      <w:tblPr>
        <w:tblW w:w="5000" w:type="pct"/>
        <w:jc w:val="center"/>
        <w:tblLayout w:type="fixed"/>
        <w:tblCellMar>
          <w:left w:w="115" w:type="dxa"/>
          <w:right w:w="115" w:type="dxa"/>
        </w:tblCellMar>
        <w:tblLook w:val="04A0"/>
      </w:tblPr>
      <w:tblGrid>
        <w:gridCol w:w="3535"/>
        <w:gridCol w:w="990"/>
        <w:gridCol w:w="1170"/>
        <w:gridCol w:w="1080"/>
        <w:gridCol w:w="1350"/>
        <w:gridCol w:w="1350"/>
        <w:gridCol w:w="1260"/>
        <w:gridCol w:w="1260"/>
        <w:gridCol w:w="1195"/>
      </w:tblGrid>
      <w:tr w:rsidR="00A83DDA" w:rsidRPr="002F1795" w:rsidTr="006565F1">
        <w:trPr>
          <w:trHeight w:val="300"/>
          <w:tblHeader/>
          <w:jc w:val="center"/>
        </w:trPr>
        <w:tc>
          <w:tcPr>
            <w:tcW w:w="13190" w:type="dxa"/>
            <w:gridSpan w:val="9"/>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keepNext/>
              <w:keepLines/>
            </w:pPr>
            <w:bookmarkStart w:id="28" w:name="_Ref309299606"/>
            <w:r w:rsidRPr="002F1795">
              <w:rPr>
                <w:rStyle w:val="TableTitleChar"/>
              </w:rPr>
              <w:lastRenderedPageBreak/>
              <w:t>Exhibit 6-</w:t>
            </w:r>
            <w:r w:rsidR="0041046E" w:rsidRPr="002F1795">
              <w:rPr>
                <w:rStyle w:val="TableTitleChar"/>
              </w:rPr>
              <w:fldChar w:fldCharType="begin"/>
            </w:r>
            <w:r w:rsidRPr="002F1795">
              <w:rPr>
                <w:rStyle w:val="TableTitleChar"/>
              </w:rPr>
              <w:instrText xml:space="preserve"> SEQ Exhibit_6- \* ARABIC </w:instrText>
            </w:r>
            <w:r w:rsidR="0041046E" w:rsidRPr="002F1795">
              <w:rPr>
                <w:rStyle w:val="TableTitleChar"/>
              </w:rPr>
              <w:fldChar w:fldCharType="separate"/>
            </w:r>
            <w:r w:rsidR="0036394F">
              <w:rPr>
                <w:rStyle w:val="TableTitleChar"/>
                <w:noProof/>
              </w:rPr>
              <w:t>25</w:t>
            </w:r>
            <w:r w:rsidR="0041046E" w:rsidRPr="002F1795">
              <w:rPr>
                <w:rStyle w:val="TableTitleChar"/>
              </w:rPr>
              <w:fldChar w:fldCharType="end"/>
            </w:r>
            <w:bookmarkEnd w:id="28"/>
            <w:r w:rsidRPr="002F1795">
              <w:rPr>
                <w:rStyle w:val="TableTitleChar"/>
              </w:rPr>
              <w:t xml:space="preserve">: </w:t>
            </w:r>
            <w:r w:rsidRPr="002F1795">
              <w:t>Three Year Average Non-Labor Costs (including baseline), by Activity and Geographic Location ($2010)</w:t>
            </w:r>
          </w:p>
        </w:tc>
      </w:tr>
      <w:tr w:rsidR="00A83DDA" w:rsidRPr="002F1795" w:rsidTr="006565F1">
        <w:trPr>
          <w:trHeight w:val="255"/>
          <w:tblHeader/>
          <w:jc w:val="center"/>
        </w:trPr>
        <w:tc>
          <w:tcPr>
            <w:tcW w:w="3535"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240" w:type="dxa"/>
            <w:gridSpan w:val="3"/>
            <w:tcBorders>
              <w:top w:val="single" w:sz="4" w:space="0" w:color="auto"/>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Respondents</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Cost Per Response</w:t>
            </w:r>
          </w:p>
        </w:tc>
        <w:tc>
          <w:tcPr>
            <w:tcW w:w="3715" w:type="dxa"/>
            <w:gridSpan w:val="3"/>
            <w:tcBorders>
              <w:top w:val="single" w:sz="4" w:space="0" w:color="auto"/>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 Cost</w:t>
            </w:r>
          </w:p>
        </w:tc>
      </w:tr>
      <w:tr w:rsidR="00A83DDA" w:rsidRPr="002F1795" w:rsidTr="006565F1">
        <w:trPr>
          <w:trHeight w:val="77"/>
          <w:tblHeader/>
          <w:jc w:val="center"/>
        </w:trPr>
        <w:tc>
          <w:tcPr>
            <w:tcW w:w="3535"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9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17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1</w:t>
            </w:r>
          </w:p>
        </w:tc>
        <w:tc>
          <w:tcPr>
            <w:tcW w:w="108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6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26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195"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 Rule Familiarization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r w:rsidRPr="002F1795">
              <w:rPr>
                <w:vertAlign w:val="superscript"/>
              </w:rPr>
              <w:t>2</w:t>
            </w:r>
          </w:p>
        </w:tc>
      </w:tr>
      <w:tr w:rsidR="0024676A" w:rsidRPr="002F1795" w:rsidTr="0024676A">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ind w:left="180"/>
            </w:pPr>
            <w:r w:rsidRPr="002F1795">
              <w:t>Standard</w:t>
            </w:r>
            <w:r w:rsidRPr="002F1795">
              <w:rPr>
                <w:vertAlign w:val="superscript"/>
              </w:rPr>
              <w:t>3</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328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599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927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1F27FF">
            <w:pPr>
              <w:jc w:val="right"/>
              <w:rPr>
                <w:color w:val="000000"/>
                <w:sz w:val="18"/>
                <w:szCs w:val="18"/>
              </w:rPr>
            </w:pPr>
            <w:r w:rsidRPr="002F1795">
              <w:rPr>
                <w:color w:val="000000"/>
                <w:sz w:val="18"/>
                <w:szCs w:val="18"/>
              </w:rPr>
              <w:t>1.0000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$6,000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$1,968,000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$3,594,000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$5,562,000 </w:t>
            </w:r>
          </w:p>
        </w:tc>
      </w:tr>
      <w:tr w:rsidR="0024676A" w:rsidRPr="002F1795" w:rsidTr="0024676A">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ind w:left="180"/>
            </w:pPr>
            <w:r w:rsidRPr="002F1795">
              <w:t>NAF (From Uncertified or Standard)</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11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222</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1F27FF">
            <w:pPr>
              <w:jc w:val="right"/>
              <w:rPr>
                <w:color w:val="000000"/>
                <w:sz w:val="18"/>
                <w:szCs w:val="18"/>
              </w:rPr>
            </w:pPr>
            <w:r w:rsidRPr="002F1795">
              <w:rPr>
                <w:color w:val="000000"/>
                <w:sz w:val="18"/>
                <w:szCs w:val="18"/>
              </w:rPr>
              <w:t>1.0000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$6,000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$49,133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$942,467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$991,600 </w:t>
            </w:r>
          </w:p>
        </w:tc>
      </w:tr>
      <w:tr w:rsidR="0024676A" w:rsidRPr="002F1795" w:rsidTr="0024676A">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4676A" w:rsidRPr="002F1795" w:rsidRDefault="00B70BED" w:rsidP="006565F1">
            <w:pPr>
              <w:pStyle w:val="TableText"/>
              <w:ind w:left="180"/>
            </w:pPr>
            <w:r w:rsidRPr="002F1795">
              <w:t>NAF/ULEF (From NAF or ULEF)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31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319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350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1</w:t>
            </w:r>
            <w:r w:rsidR="001F27FF" w:rsidRPr="002F1795">
              <w:rPr>
                <w:color w:val="000000"/>
                <w:sz w:val="18"/>
                <w:szCs w:val="18"/>
              </w:rPr>
              <w:t>.0000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$3,700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$114,700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$1,180,300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$1,295,000 </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3. Initial On-site Audit</w:t>
            </w:r>
          </w:p>
        </w:tc>
      </w:tr>
      <w:tr w:rsidR="0024676A" w:rsidRPr="002F1795" w:rsidTr="0024676A">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ind w:left="180"/>
            </w:pPr>
            <w:r w:rsidRPr="002F1795">
              <w:t>With Existing Certifications</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t>82</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764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846</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0.3333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$450.00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$12,300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$114,600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$126,900 </w:t>
            </w:r>
          </w:p>
        </w:tc>
      </w:tr>
      <w:tr w:rsidR="0024676A" w:rsidRPr="002F1795" w:rsidTr="0024676A">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ind w:left="180"/>
            </w:pPr>
            <w:r w:rsidRPr="002F1795">
              <w:t>Without Existing Certifications</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288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365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653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0.3333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4676A" w:rsidRPr="002F1795" w:rsidRDefault="0024676A" w:rsidP="006565F1">
            <w:pPr>
              <w:pStyle w:val="TableText"/>
              <w:jc w:val="right"/>
            </w:pPr>
            <w:r w:rsidRPr="002F1795">
              <w:rPr>
                <w:color w:val="000000"/>
                <w:szCs w:val="18"/>
              </w:rPr>
              <w:t>$450.00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$43,200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$54,750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24676A" w:rsidRPr="002F1795" w:rsidRDefault="0024676A">
            <w:pPr>
              <w:jc w:val="right"/>
              <w:rPr>
                <w:color w:val="000000"/>
                <w:sz w:val="18"/>
                <w:szCs w:val="18"/>
              </w:rPr>
            </w:pPr>
            <w:r w:rsidRPr="002F1795">
              <w:rPr>
                <w:color w:val="000000"/>
                <w:sz w:val="18"/>
                <w:szCs w:val="18"/>
              </w:rPr>
              <w:t xml:space="preserve">$97,950 </w:t>
            </w:r>
          </w:p>
        </w:tc>
      </w:tr>
      <w:tr w:rsidR="00A83DDA"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r w:rsidRPr="002F1795">
              <w:rPr>
                <w:vertAlign w:val="superscript"/>
              </w:rPr>
              <w:t>5</w:t>
            </w:r>
          </w:p>
        </w:tc>
      </w:tr>
      <w:tr w:rsidR="001F27FF"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F27FF" w:rsidRPr="002F1795" w:rsidRDefault="001F27FF" w:rsidP="006565F1">
            <w:pPr>
              <w:pStyle w:val="TableText"/>
              <w:ind w:left="180"/>
            </w:pPr>
            <w:r w:rsidRPr="002F1795">
              <w:t>1 Product</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69</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1.6667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$4,000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$51,200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$55,200 </w:t>
            </w:r>
          </w:p>
        </w:tc>
      </w:tr>
      <w:tr w:rsidR="001F27FF"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F27FF" w:rsidRPr="002F1795" w:rsidRDefault="001F27FF" w:rsidP="006565F1">
            <w:pPr>
              <w:pStyle w:val="TableText"/>
              <w:ind w:left="180"/>
            </w:pPr>
            <w:r w:rsidRPr="002F1795">
              <w:t>2 Products</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288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365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653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3.3333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$460,800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$584,000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$1,044,800 </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Shipping</w:t>
            </w:r>
            <w:r w:rsidRPr="002F1795">
              <w:rPr>
                <w:vertAlign w:val="superscript"/>
              </w:rPr>
              <w:t>5</w:t>
            </w:r>
          </w:p>
        </w:tc>
      </w:tr>
      <w:tr w:rsidR="001F27FF"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F27FF" w:rsidRPr="002F1795" w:rsidRDefault="001F27FF" w:rsidP="006565F1">
            <w:pPr>
              <w:pStyle w:val="TableText"/>
              <w:ind w:left="180"/>
            </w:pPr>
            <w:r w:rsidRPr="002F1795">
              <w:t>1 Product</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69</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0.3333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$200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$333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$4,267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$4,600 </w:t>
            </w:r>
          </w:p>
        </w:tc>
      </w:tr>
      <w:tr w:rsidR="001F27FF" w:rsidRPr="002F1795" w:rsidTr="004A760E">
        <w:trPr>
          <w:trHeight w:val="134"/>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F27FF" w:rsidRPr="002F1795" w:rsidRDefault="001F27FF" w:rsidP="006565F1">
            <w:pPr>
              <w:pStyle w:val="TableText"/>
              <w:ind w:left="180"/>
            </w:pPr>
            <w:r w:rsidRPr="002F1795">
              <w:t>2 Products</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288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365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653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0.6667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$200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$38,400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$48,667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$87,067 </w:t>
            </w:r>
          </w:p>
        </w:tc>
      </w:tr>
      <w:tr w:rsidR="00A83DDA"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8. Quarterly On-site Audit</w:t>
            </w:r>
            <w:r w:rsidRPr="002F1795">
              <w:rPr>
                <w:vertAlign w:val="superscript"/>
              </w:rPr>
              <w:t>6</w:t>
            </w:r>
          </w:p>
        </w:tc>
      </w:tr>
      <w:tr w:rsidR="001F27FF"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F27FF" w:rsidRPr="002F1795" w:rsidRDefault="001F27FF" w:rsidP="006565F1">
            <w:pPr>
              <w:pStyle w:val="TableText"/>
              <w:ind w:left="180"/>
            </w:pPr>
            <w:r w:rsidRPr="002F1795">
              <w:t>Standard</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328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599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927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3.6667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$450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$541,200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$988,350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$1,529,550 </w:t>
            </w:r>
          </w:p>
        </w:tc>
      </w:tr>
      <w:tr w:rsidR="001F27FF"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1F27FF" w:rsidRPr="002F1795" w:rsidRDefault="001F27FF" w:rsidP="006565F1">
            <w:pPr>
              <w:pStyle w:val="TableText"/>
              <w:ind w:left="180"/>
            </w:pPr>
            <w:r w:rsidRPr="002F1795">
              <w:t>NAF (With New Certification)</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11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222</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1.0000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$450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$4,950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$94,950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1F27FF" w:rsidRPr="002F1795" w:rsidRDefault="001F27FF">
            <w:pPr>
              <w:jc w:val="right"/>
              <w:rPr>
                <w:color w:val="000000"/>
                <w:sz w:val="18"/>
                <w:szCs w:val="18"/>
              </w:rPr>
            </w:pPr>
            <w:r w:rsidRPr="002F1795">
              <w:rPr>
                <w:color w:val="000000"/>
                <w:sz w:val="18"/>
                <w:szCs w:val="18"/>
              </w:rPr>
              <w:t xml:space="preserve">$99,900 </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r w:rsidRPr="002F1795">
              <w:rPr>
                <w:vertAlign w:val="superscript"/>
              </w:rPr>
              <w:t>7</w:t>
            </w:r>
          </w:p>
        </w:tc>
      </w:tr>
      <w:tr w:rsidR="00A83DDA"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Standard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94</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311A31">
            <w:pPr>
              <w:pStyle w:val="TableText"/>
              <w:jc w:val="right"/>
            </w:pPr>
            <w:r w:rsidRPr="002F1795">
              <w:rPr>
                <w:color w:val="000000"/>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$15,360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$165,120</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$180,480</w:t>
            </w:r>
          </w:p>
        </w:tc>
      </w:tr>
      <w:tr w:rsidR="00A83DDA"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Standard (New)</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$797,760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$443,520</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$1,241,280</w:t>
            </w:r>
          </w:p>
        </w:tc>
      </w:tr>
      <w:tr w:rsidR="00A83DDA"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Standard</w:t>
            </w:r>
            <w:r w:rsidR="00B70BED" w:rsidRPr="002F1795">
              <w:t>/ULEF</w:t>
            </w:r>
            <w:r w:rsidRPr="002F1795">
              <w:t xml:space="preserve">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54</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473</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527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$207,360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$1,816,320</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$2,023,680</w:t>
            </w:r>
          </w:p>
        </w:tc>
      </w:tr>
      <w:tr w:rsidR="00A83DDA"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NAF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3</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$1,440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$10,560</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$12,000</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311A31" w:rsidRPr="002F1795" w:rsidRDefault="00311A31" w:rsidP="004A760E">
            <w:pPr>
              <w:pStyle w:val="TableText"/>
              <w:ind w:left="180"/>
            </w:pPr>
            <w:r w:rsidRPr="002F1795">
              <w:t>2 NAF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25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351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376</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2.0000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$24,000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$336,960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$360,960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311A31" w:rsidRPr="002F1795" w:rsidRDefault="00311A31" w:rsidP="006565F1">
            <w:pPr>
              <w:pStyle w:val="TableText"/>
              <w:ind w:left="180"/>
            </w:pPr>
            <w:r w:rsidRPr="002F1795">
              <w:t>1 NAF and 1 ULEF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71</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5.0000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$480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$14,400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$156,000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$170,400 </w:t>
            </w:r>
          </w:p>
        </w:tc>
      </w:tr>
      <w:tr w:rsidR="00311A31"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pPr>
            <w:r w:rsidRPr="002F1795">
              <w:t>10. Large Scale Testing Shipment</w:t>
            </w:r>
            <w:r w:rsidRPr="002F1795">
              <w:rPr>
                <w:vertAlign w:val="superscript"/>
              </w:rPr>
              <w:t>7</w:t>
            </w:r>
          </w:p>
        </w:tc>
      </w:tr>
      <w:tr w:rsidR="00311A31" w:rsidRPr="002F1795" w:rsidTr="004A760E">
        <w:trPr>
          <w:trHeight w:val="125"/>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1 Standard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94</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4.0000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$1,600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$17,200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$18,800 </w:t>
            </w:r>
          </w:p>
        </w:tc>
      </w:tr>
      <w:tr w:rsidR="00311A31" w:rsidRPr="002F1795" w:rsidTr="004A760E">
        <w:trPr>
          <w:trHeight w:val="89"/>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2 Standard (New)</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277</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431</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6.0000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$83,100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$46,200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$129,300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2 Standard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54</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473</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527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$21,600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$189,200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$210,800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1 NAF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$150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$1,100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$1,250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311A31" w:rsidRPr="002F1795" w:rsidRDefault="00311A31" w:rsidP="004A760E">
            <w:pPr>
              <w:pStyle w:val="TableText"/>
              <w:ind w:left="180"/>
            </w:pPr>
            <w:r w:rsidRPr="002F1795">
              <w:t>2 NAF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25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351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376</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2.0000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$2,500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$35,100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$37,600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311A31" w:rsidRPr="002F1795" w:rsidRDefault="00311A31" w:rsidP="006565F1">
            <w:pPr>
              <w:pStyle w:val="TableText"/>
              <w:ind w:left="180"/>
            </w:pPr>
            <w:r w:rsidRPr="002F1795">
              <w:t>1 NAF and 1 ULEF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65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71</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5.0000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$1,500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$16,250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$17,750 </w:t>
            </w:r>
          </w:p>
        </w:tc>
      </w:tr>
      <w:tr w:rsidR="00311A31" w:rsidRPr="002F1795" w:rsidTr="004A760E">
        <w:trPr>
          <w:trHeight w:val="80"/>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pPr>
            <w:r w:rsidRPr="002F1795">
              <w:t>11. On-site Audit Travel</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370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1,129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1,499</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$555,000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$1,693,500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$2,248,500 </w:t>
            </w:r>
          </w:p>
        </w:tc>
      </w:tr>
      <w:tr w:rsidR="00311A31"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pPr>
            <w:r w:rsidRPr="002F1795">
              <w:t>12. Desk Audits</w:t>
            </w:r>
            <w:r w:rsidRPr="002F1795">
              <w:rPr>
                <w:vertAlign w:val="superscript"/>
              </w:rPr>
              <w:t>8</w:t>
            </w:r>
          </w:p>
        </w:tc>
      </w:tr>
      <w:tr w:rsidR="00311A31" w:rsidRPr="002F1795" w:rsidTr="004A760E">
        <w:trPr>
          <w:trHeight w:val="89"/>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Standard</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328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599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927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$656,000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$1,198,000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$1,854,000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NAF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222</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0.6667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$250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$1,833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$35,167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$37,000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pPr>
            <w:r w:rsidRPr="002F1795">
              <w:t>13. Purchase of Small Chamber Testing Unit</w:t>
            </w:r>
            <w:r w:rsidRPr="002F1795">
              <w:rPr>
                <w:vertAlign w:val="superscript"/>
              </w:rPr>
              <w:t>3</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282</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208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490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0.3333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$940,000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$693,333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$1,633,333 </w:t>
            </w:r>
          </w:p>
        </w:tc>
      </w:tr>
      <w:tr w:rsidR="00311A31"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pPr>
            <w:r w:rsidRPr="002F1795">
              <w:lastRenderedPageBreak/>
              <w:t>14. Quality Control Testing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r>
      <w:tr w:rsidR="00311A31"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pPr>
            <w:r w:rsidRPr="002F1795">
              <w:t>15. Lost Product</w:t>
            </w:r>
            <w:r w:rsidRPr="002F1795">
              <w:rPr>
                <w:vertAlign w:val="superscript"/>
              </w:rPr>
              <w:t>7</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2 Standard (HWPW - Existing)</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109</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119</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528.0000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$15.68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$82,790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$902,415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$985,206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1 NAF (HWPW - New)</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277</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108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385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530.6667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$15.68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$2,304,876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$898,652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$3,203,529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1 NAF (HWPW -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95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$15.68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$1,004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$10,913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$11,917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2 NAF (HWPW - New)</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60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$15.68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$392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$4,312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$4,704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2 NAF (HWPW -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222</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48.6667</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$15.68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$8,394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$161,013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$169,407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1 Standard (PB/MDF -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7</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76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$15.68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$220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$2,383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$2,603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2 Standard (PB/MDF - New)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265.0000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$8.96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$7,123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$52,237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$59,360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2 Standard (PB/MDF -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110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115</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529.3333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$8.96</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$23,714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$521,711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$545,425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1 NAF (PB/MDF - New)</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33</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250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283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528.0000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$8.96</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$156,119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$1,182,720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$1,338,839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pPr>
            <w:r w:rsidRPr="002F1795">
              <w:t>1 NAF (PB/MDF -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27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30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$8.96</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$215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$1,935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$2,150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311A31" w:rsidRPr="002F1795" w:rsidRDefault="00311A31" w:rsidP="004A760E">
            <w:pPr>
              <w:pStyle w:val="TableText"/>
              <w:ind w:left="180"/>
            </w:pPr>
            <w:r w:rsidRPr="002F1795">
              <w:t>2 NAF (PB/MDF -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7</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71</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2.0000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$8.96</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$125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$1,147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$1,272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311A31" w:rsidRPr="002F1795" w:rsidRDefault="00311A31" w:rsidP="006565F1">
            <w:pPr>
              <w:pStyle w:val="TableText"/>
              <w:ind w:left="180"/>
            </w:pPr>
            <w:r w:rsidRPr="002F1795">
              <w:t>1 NAF and 1 ULEF (PB/MDF - Existing)</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1</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10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11</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5.0000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$8.96</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$45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$448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311A31" w:rsidRPr="002F1795" w:rsidRDefault="00311A31">
            <w:pPr>
              <w:jc w:val="right"/>
              <w:rPr>
                <w:color w:val="000000"/>
                <w:sz w:val="18"/>
                <w:szCs w:val="18"/>
              </w:rPr>
            </w:pPr>
            <w:r w:rsidRPr="002F1795">
              <w:rPr>
                <w:color w:val="000000"/>
                <w:sz w:val="18"/>
                <w:szCs w:val="18"/>
              </w:rPr>
              <w:t xml:space="preserve">$493 </w:t>
            </w:r>
          </w:p>
        </w:tc>
      </w:tr>
      <w:tr w:rsidR="005914B5"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5914B5" w:rsidRPr="002F1795" w:rsidRDefault="005914B5" w:rsidP="006565F1">
            <w:pPr>
              <w:pStyle w:val="TableText"/>
            </w:pPr>
            <w:r w:rsidRPr="002F1795">
              <w:t>16. Initial Recordkeeping</w:t>
            </w:r>
            <w:r w:rsidRPr="002F1795">
              <w:rPr>
                <w:vertAlign w:val="superscript"/>
              </w:rPr>
              <w:t>9</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914B5" w:rsidRPr="002F1795" w:rsidRDefault="005914B5" w:rsidP="006565F1">
            <w:pPr>
              <w:jc w:val="right"/>
              <w:rPr>
                <w:color w:val="000000"/>
                <w:sz w:val="18"/>
                <w:szCs w:val="18"/>
              </w:rPr>
            </w:pPr>
            <w:r w:rsidRPr="002F1795">
              <w:rPr>
                <w:color w:val="000000"/>
                <w:sz w:val="18"/>
                <w:szCs w:val="18"/>
              </w:rPr>
              <w:t>8,576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914B5" w:rsidRPr="002F1795" w:rsidRDefault="005914B5" w:rsidP="006565F1">
            <w:pPr>
              <w:jc w:val="right"/>
              <w:rPr>
                <w:color w:val="000000"/>
                <w:sz w:val="18"/>
                <w:szCs w:val="18"/>
              </w:rPr>
            </w:pPr>
            <w:r w:rsidRPr="002F1795">
              <w:rPr>
                <w:color w:val="000000"/>
                <w:sz w:val="18"/>
                <w:szCs w:val="18"/>
              </w:rPr>
              <w:t>11,945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914B5" w:rsidRPr="002F1795" w:rsidRDefault="005914B5" w:rsidP="006565F1">
            <w:pPr>
              <w:jc w:val="right"/>
              <w:rPr>
                <w:color w:val="000000"/>
                <w:sz w:val="18"/>
                <w:szCs w:val="18"/>
              </w:rPr>
            </w:pPr>
            <w:r w:rsidRPr="002F1795">
              <w:rPr>
                <w:color w:val="000000"/>
                <w:sz w:val="18"/>
                <w:szCs w:val="18"/>
              </w:rPr>
              <w:t>20,521</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914B5" w:rsidRPr="002F1795" w:rsidRDefault="005914B5" w:rsidP="006565F1">
            <w:pPr>
              <w:jc w:val="right"/>
              <w:rPr>
                <w:color w:val="000000"/>
                <w:sz w:val="18"/>
                <w:szCs w:val="18"/>
              </w:rPr>
            </w:pPr>
            <w:r w:rsidRPr="002F1795">
              <w:rPr>
                <w:color w:val="000000"/>
                <w:sz w:val="18"/>
                <w:szCs w:val="18"/>
              </w:rPr>
              <w:t>0.3333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914B5" w:rsidRPr="002F1795" w:rsidRDefault="005914B5" w:rsidP="005914B5">
            <w:pPr>
              <w:jc w:val="right"/>
              <w:rPr>
                <w:color w:val="000000"/>
                <w:sz w:val="18"/>
                <w:szCs w:val="18"/>
              </w:rPr>
            </w:pPr>
            <w:r w:rsidRPr="002F1795">
              <w:rPr>
                <w:color w:val="000000"/>
                <w:sz w:val="18"/>
                <w:szCs w:val="18"/>
              </w:rPr>
              <w:t>$1,000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914B5" w:rsidRPr="002F1795" w:rsidRDefault="005914B5">
            <w:pPr>
              <w:jc w:val="right"/>
              <w:rPr>
                <w:color w:val="000000"/>
                <w:sz w:val="18"/>
                <w:szCs w:val="18"/>
              </w:rPr>
            </w:pPr>
            <w:r w:rsidRPr="002F1795">
              <w:rPr>
                <w:color w:val="000000"/>
                <w:sz w:val="18"/>
                <w:szCs w:val="18"/>
              </w:rPr>
              <w:t xml:space="preserve">$2,858,667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914B5" w:rsidRPr="002F1795" w:rsidRDefault="005914B5">
            <w:pPr>
              <w:jc w:val="right"/>
              <w:rPr>
                <w:color w:val="000000"/>
                <w:sz w:val="18"/>
                <w:szCs w:val="18"/>
              </w:rPr>
            </w:pPr>
            <w:r w:rsidRPr="002F1795">
              <w:rPr>
                <w:color w:val="000000"/>
                <w:sz w:val="18"/>
                <w:szCs w:val="18"/>
              </w:rPr>
              <w:t xml:space="preserve">$3,981,667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5914B5" w:rsidRPr="002F1795" w:rsidRDefault="005914B5">
            <w:pPr>
              <w:jc w:val="right"/>
              <w:rPr>
                <w:color w:val="000000"/>
                <w:sz w:val="18"/>
                <w:szCs w:val="18"/>
              </w:rPr>
            </w:pPr>
            <w:r w:rsidRPr="002F1795">
              <w:rPr>
                <w:color w:val="000000"/>
                <w:sz w:val="18"/>
                <w:szCs w:val="18"/>
              </w:rPr>
              <w:t xml:space="preserve">$6,840,333 </w:t>
            </w:r>
          </w:p>
        </w:tc>
      </w:tr>
      <w:tr w:rsidR="00311A31"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pPr>
            <w:r w:rsidRPr="002F1795">
              <w:t>17. Recurring Recordkeeping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r>
      <w:tr w:rsidR="00311A31"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pPr>
            <w:r w:rsidRPr="002F1795">
              <w:t>18. Initial Labeling</w:t>
            </w:r>
            <w:r w:rsidRPr="002F1795">
              <w:rPr>
                <w:vertAlign w:val="superscript"/>
              </w:rPr>
              <w:t>10</w:t>
            </w:r>
          </w:p>
        </w:tc>
      </w:tr>
      <w:tr w:rsidR="00311A31"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rPr>
                <w:rFonts w:ascii="Tahoma" w:hAnsi="Tahoma" w:cs="Tahoma"/>
                <w:szCs w:val="16"/>
              </w:rPr>
            </w:pPr>
            <w:r w:rsidRPr="002F1795">
              <w:t>Minor Changes - Producers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r>
      <w:tr w:rsidR="00311A31" w:rsidRPr="002F1795" w:rsidTr="006565F1">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rPr>
                <w:rFonts w:ascii="Tahoma" w:hAnsi="Tahoma" w:cs="Tahoma"/>
                <w:szCs w:val="16"/>
              </w:rPr>
            </w:pPr>
            <w:r w:rsidRPr="002F1795">
              <w:t>Minor Changes - Fabricators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311A31" w:rsidRPr="002F1795" w:rsidRDefault="00311A31" w:rsidP="006565F1">
            <w:pPr>
              <w:pStyle w:val="TableText"/>
              <w:jc w:val="center"/>
            </w:pPr>
            <w:r w:rsidRPr="002F1795">
              <w:t>-</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rPr>
                <w:rFonts w:ascii="Tahoma" w:hAnsi="Tahoma" w:cs="Tahoma"/>
                <w:szCs w:val="16"/>
              </w:rPr>
            </w:pPr>
            <w:r w:rsidRPr="002F1795">
              <w:t>Major Changes – Producers</w:t>
            </w:r>
            <w:r w:rsidRPr="002F1795">
              <w:rPr>
                <w:vertAlign w:val="superscript"/>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rPr>
                <w:rFonts w:ascii="Tahoma" w:hAnsi="Tahoma" w:cs="Tahoma"/>
                <w:szCs w:val="16"/>
              </w:rPr>
            </w:pPr>
            <w:r w:rsidRPr="002F1795">
              <w:t>277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rPr>
                <w:rFonts w:ascii="Tahoma" w:hAnsi="Tahoma" w:cs="Tahoma"/>
                <w:szCs w:val="16"/>
              </w:rPr>
            </w:pPr>
            <w:r w:rsidRPr="002F1795">
              <w:t>108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rPr>
                <w:rFonts w:ascii="Tahoma" w:hAnsi="Tahoma" w:cs="Tahoma"/>
                <w:szCs w:val="16"/>
              </w:rPr>
            </w:pPr>
            <w:r w:rsidRPr="002F1795">
              <w:t>385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rPr>
                <w:rFonts w:ascii="Tahoma" w:hAnsi="Tahoma" w:cs="Tahoma"/>
                <w:szCs w:val="16"/>
              </w:rPr>
            </w:pPr>
            <w:r w:rsidRPr="002F1795">
              <w:t>0.3333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rPr>
                <w:rFonts w:ascii="Tahoma" w:hAnsi="Tahoma" w:cs="Tahoma"/>
                <w:szCs w:val="16"/>
              </w:rPr>
            </w:pPr>
            <w:r w:rsidRPr="002F1795">
              <w:t>$125.00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$11,542 </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$4,500 </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$16,042 </w:t>
            </w:r>
          </w:p>
        </w:tc>
      </w:tr>
      <w:tr w:rsidR="00311A31" w:rsidRPr="002F1795" w:rsidTr="004A760E">
        <w:trPr>
          <w:trHeight w:val="77"/>
          <w:jc w:val="center"/>
        </w:trPr>
        <w:tc>
          <w:tcPr>
            <w:tcW w:w="353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ind w:left="180"/>
              <w:rPr>
                <w:rFonts w:ascii="Tahoma" w:hAnsi="Tahoma" w:cs="Tahoma"/>
                <w:szCs w:val="16"/>
              </w:rPr>
            </w:pPr>
            <w:r w:rsidRPr="002F1795">
              <w:t>Major Changes - Fabricators and Wholesalers</w:t>
            </w:r>
            <w:r w:rsidRPr="002F1795">
              <w:rPr>
                <w:vertAlign w:val="superscript"/>
              </w:rPr>
              <w:t>11</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pPr>
            <w:r w:rsidRPr="002F1795">
              <w:t>16,266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pPr>
            <w:r w:rsidRPr="002F1795">
              <w:t>6,344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pPr>
            <w:r w:rsidRPr="002F1795">
              <w:t>22,610</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rPr>
                <w:rFonts w:ascii="Tahoma" w:hAnsi="Tahoma" w:cs="Tahoma"/>
                <w:szCs w:val="16"/>
              </w:rPr>
            </w:pPr>
            <w:r w:rsidRPr="002F1795">
              <w:t>0.3333</w:t>
            </w:r>
          </w:p>
        </w:tc>
        <w:tc>
          <w:tcPr>
            <w:tcW w:w="13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1A31" w:rsidRPr="002F1795" w:rsidRDefault="00311A31" w:rsidP="006565F1">
            <w:pPr>
              <w:pStyle w:val="TableText"/>
              <w:jc w:val="right"/>
              <w:rPr>
                <w:rFonts w:ascii="Tahoma" w:hAnsi="Tahoma" w:cs="Tahoma"/>
                <w:szCs w:val="16"/>
              </w:rPr>
            </w:pPr>
            <w:r w:rsidRPr="002F1795">
              <w:t>$125.00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$677,750 </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$264,333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311A31" w:rsidRPr="002F1795" w:rsidRDefault="00311A31">
            <w:pPr>
              <w:jc w:val="right"/>
              <w:rPr>
                <w:color w:val="000000"/>
                <w:sz w:val="18"/>
                <w:szCs w:val="18"/>
              </w:rPr>
            </w:pPr>
            <w:r w:rsidRPr="002F1795">
              <w:rPr>
                <w:color w:val="000000"/>
                <w:sz w:val="18"/>
                <w:szCs w:val="18"/>
              </w:rPr>
              <w:t xml:space="preserve">$942,083 </w:t>
            </w:r>
          </w:p>
        </w:tc>
      </w:tr>
      <w:tr w:rsidR="00311A31" w:rsidRPr="002F1795" w:rsidTr="004A760E">
        <w:trPr>
          <w:trHeight w:val="77"/>
          <w:jc w:val="center"/>
        </w:trPr>
        <w:tc>
          <w:tcPr>
            <w:tcW w:w="9475" w:type="dxa"/>
            <w:gridSpan w:val="6"/>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311A31" w:rsidRPr="002F1795" w:rsidRDefault="00311A31" w:rsidP="006565F1">
            <w:pPr>
              <w:pStyle w:val="TableText"/>
              <w:rPr>
                <w:b/>
                <w:bCs/>
              </w:rPr>
            </w:pPr>
            <w:r w:rsidRPr="002F1795">
              <w:rPr>
                <w:b/>
                <w:bCs/>
              </w:rPr>
              <w:t>Three-Year Average Cost</w:t>
            </w:r>
          </w:p>
        </w:tc>
        <w:tc>
          <w:tcPr>
            <w:tcW w:w="1260" w:type="dxa"/>
            <w:tcBorders>
              <w:top w:val="nil"/>
              <w:left w:val="nil"/>
              <w:bottom w:val="single" w:sz="4" w:space="0" w:color="auto"/>
              <w:right w:val="single" w:sz="4" w:space="0" w:color="auto"/>
            </w:tcBorders>
            <w:shd w:val="clear" w:color="000000" w:fill="FFFFFF"/>
            <w:noWrap/>
            <w:vAlign w:val="center"/>
            <w:hideMark/>
          </w:tcPr>
          <w:p w:rsidR="00311A31" w:rsidRPr="002F1795" w:rsidRDefault="00311A31">
            <w:pPr>
              <w:jc w:val="right"/>
              <w:rPr>
                <w:b/>
                <w:color w:val="000000"/>
                <w:sz w:val="18"/>
                <w:szCs w:val="18"/>
              </w:rPr>
            </w:pPr>
            <w:r w:rsidRPr="002F1795">
              <w:rPr>
                <w:b/>
                <w:color w:val="000000"/>
                <w:sz w:val="18"/>
                <w:szCs w:val="18"/>
              </w:rPr>
              <w:t xml:space="preserve">$12,693,595 </w:t>
            </w:r>
          </w:p>
        </w:tc>
        <w:tc>
          <w:tcPr>
            <w:tcW w:w="1260" w:type="dxa"/>
            <w:tcBorders>
              <w:top w:val="nil"/>
              <w:left w:val="nil"/>
              <w:bottom w:val="single" w:sz="4" w:space="0" w:color="auto"/>
              <w:right w:val="single" w:sz="4" w:space="0" w:color="auto"/>
            </w:tcBorders>
            <w:shd w:val="clear" w:color="000000" w:fill="FFFFFF"/>
            <w:noWrap/>
            <w:vAlign w:val="center"/>
            <w:hideMark/>
          </w:tcPr>
          <w:p w:rsidR="00311A31" w:rsidRPr="002F1795" w:rsidRDefault="00311A31">
            <w:pPr>
              <w:jc w:val="right"/>
              <w:rPr>
                <w:b/>
                <w:color w:val="000000"/>
                <w:sz w:val="18"/>
                <w:szCs w:val="18"/>
              </w:rPr>
            </w:pPr>
            <w:r w:rsidRPr="002F1795">
              <w:rPr>
                <w:b/>
                <w:color w:val="000000"/>
                <w:sz w:val="18"/>
                <w:szCs w:val="18"/>
              </w:rPr>
              <w:t xml:space="preserve">$22,501,467 </w:t>
            </w:r>
          </w:p>
        </w:tc>
        <w:tc>
          <w:tcPr>
            <w:tcW w:w="1195" w:type="dxa"/>
            <w:tcBorders>
              <w:top w:val="nil"/>
              <w:left w:val="nil"/>
              <w:bottom w:val="single" w:sz="4" w:space="0" w:color="auto"/>
              <w:right w:val="single" w:sz="4" w:space="0" w:color="auto"/>
            </w:tcBorders>
            <w:shd w:val="clear" w:color="000000" w:fill="FFFFFF"/>
            <w:noWrap/>
            <w:vAlign w:val="center"/>
            <w:hideMark/>
          </w:tcPr>
          <w:p w:rsidR="00311A31" w:rsidRPr="002F1795" w:rsidRDefault="00311A31">
            <w:pPr>
              <w:jc w:val="right"/>
              <w:rPr>
                <w:b/>
                <w:color w:val="000000"/>
                <w:sz w:val="18"/>
                <w:szCs w:val="18"/>
              </w:rPr>
            </w:pPr>
            <w:r w:rsidRPr="002F1795">
              <w:rPr>
                <w:b/>
                <w:color w:val="000000"/>
                <w:sz w:val="18"/>
                <w:szCs w:val="18"/>
              </w:rPr>
              <w:t xml:space="preserve">$35,195,063 </w:t>
            </w:r>
          </w:p>
        </w:tc>
      </w:tr>
      <w:tr w:rsidR="00311A31" w:rsidRPr="002F1795" w:rsidTr="006565F1">
        <w:trPr>
          <w:trHeight w:val="5390"/>
          <w:jc w:val="center"/>
        </w:trPr>
        <w:tc>
          <w:tcPr>
            <w:tcW w:w="13190" w:type="dxa"/>
            <w:gridSpan w:val="9"/>
            <w:tcBorders>
              <w:top w:val="single" w:sz="4" w:space="0" w:color="auto"/>
              <w:left w:val="single" w:sz="8" w:space="0" w:color="auto"/>
              <w:bottom w:val="single" w:sz="8" w:space="0" w:color="auto"/>
              <w:right w:val="single" w:sz="8" w:space="0" w:color="000000"/>
            </w:tcBorders>
            <w:shd w:val="clear" w:color="000000" w:fill="FFFFFF"/>
            <w:hideMark/>
          </w:tcPr>
          <w:p w:rsidR="00311A31" w:rsidRPr="002F1795" w:rsidRDefault="00311A31" w:rsidP="006565F1">
            <w:pPr>
              <w:pStyle w:val="tablefootnote"/>
              <w:keepLines/>
            </w:pPr>
            <w:r w:rsidRPr="002F1795">
              <w:lastRenderedPageBreak/>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rsidR="00311A31" w:rsidRPr="002F1795" w:rsidRDefault="00311A31" w:rsidP="006565F1">
            <w:pPr>
              <w:pStyle w:val="tablefootnote"/>
              <w:keepLines/>
            </w:pPr>
            <w:r w:rsidRPr="002F1795">
              <w:t>2. Since CARB does not certify wood veneer laminated products, all producers of wood veneer laminated products defined as hardwood plywood will incur costs to have their products certified by a TPC as a result of the TSCA Title VI rule.</w:t>
            </w:r>
          </w:p>
          <w:p w:rsidR="00311A31" w:rsidRPr="002F1795" w:rsidRDefault="00311A31"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311A31" w:rsidRPr="002F1795" w:rsidRDefault="00311A31" w:rsidP="006565F1">
            <w:pPr>
              <w:pStyle w:val="tablefootnote"/>
              <w:keepLines/>
            </w:pPr>
            <w:r w:rsidRPr="002F1795">
              <w:t>4.  This analysis assumes that mills will seek standard certification for uncertified product lines.  The exceptions are uncertified hardwood plywood producers, which are assumed to switch to NAF certification.</w:t>
            </w:r>
          </w:p>
          <w:p w:rsidR="00311A31" w:rsidRPr="002F1795" w:rsidRDefault="00311A31" w:rsidP="006565F1">
            <w:pPr>
              <w:pStyle w:val="tablefootnote"/>
              <w:keepLines/>
            </w:pPr>
            <w:r w:rsidRPr="002F1795">
              <w:t>5. Producers that are already CARB compliant are assumed not to need to perform qualifying or correlation testing because it is assumed that their previous testing is sufficient.</w:t>
            </w:r>
          </w:p>
          <w:p w:rsidR="00311A31" w:rsidRPr="002F1795" w:rsidRDefault="00311A31" w:rsidP="006565F1">
            <w:pPr>
              <w:pStyle w:val="tablefootnote"/>
              <w:keepLines/>
            </w:pPr>
            <w:r w:rsidRPr="002F1795">
              <w:t>6. On-site audits must be conducted at least once quarterly, unless the mill obtains ULEF or NAF certification. This analysis assumes that producers with new NAF certifications will incur the burden associated with one on-site audit (in addition to the initial audit) and two desk audits in the first year.  Producers with existing ULEF or NAF certifications under the CARB ATCM will only incur the initial on-site audit in the first year.  All producers with ULEF or NAF certification will have one on-site audit annually thereafter.</w:t>
            </w:r>
          </w:p>
          <w:p w:rsidR="00311A31" w:rsidRPr="002F1795" w:rsidRDefault="00311A31" w:rsidP="006565F1">
            <w:pPr>
              <w:pStyle w:val="tablefootnote"/>
              <w:keepLines/>
            </w:pPr>
            <w:r w:rsidRPr="002F1795">
              <w:t>7. The respondents sum to more than the total number of respondents because some respondents are assumed to have more than one certification type (i.e., standard, ULEF, and NAF certifications).</w:t>
            </w:r>
          </w:p>
          <w:p w:rsidR="00311A31" w:rsidRPr="002F1795" w:rsidRDefault="00311A31" w:rsidP="006565F1">
            <w:pPr>
              <w:pStyle w:val="tablefootnote"/>
              <w:keepLines/>
            </w:pPr>
            <w:r w:rsidRPr="002F1795">
              <w:t xml:space="preserve">8. Desk audits are assumed to occur monthly for standard certifications, except in months with a quarterly on-site audit.  Producers with new NAF certifications will incur the costs associated with two desk audits in the first year; none are required in subsequent years.  No desk audits are required for respondents with existing ULEF or NAF certification.  </w:t>
            </w:r>
          </w:p>
          <w:p w:rsidR="00311A31" w:rsidRPr="002F1795" w:rsidRDefault="00311A31" w:rsidP="006565F1">
            <w:pPr>
              <w:pStyle w:val="tablefootnote"/>
              <w:keepLines/>
            </w:pPr>
            <w:r w:rsidRPr="002F1795">
              <w:t xml:space="preserve">9. </w:t>
            </w:r>
            <w:r w:rsidRPr="002F1795">
              <w:rPr>
                <w:szCs w:val="16"/>
              </w:rPr>
              <w:t>Firms that are manufacturers under TSCA (i.e.,</w:t>
            </w:r>
            <w:r w:rsidRPr="002F1795">
              <w:t xml:space="preserve"> composite panel producers </w:t>
            </w:r>
            <w:r w:rsidRPr="002F1795">
              <w:rPr>
                <w:szCs w:val="16"/>
              </w:rPr>
              <w:t>[</w:t>
            </w:r>
            <w:r w:rsidRPr="002F1795">
              <w:t>including the estimated two percent of wood veneer laminated product producers defined as hardwood plywood producers</w:t>
            </w:r>
            <w:r w:rsidRPr="002F1795">
              <w:rPr>
                <w:szCs w:val="16"/>
              </w:rPr>
              <w:t>],</w:t>
            </w:r>
            <w:r w:rsidRPr="002F1795">
              <w:t xml:space="preserve"> fabricators, and wholesalers that import composite wood products</w:t>
            </w:r>
            <w:r w:rsidRPr="002F1795">
              <w:rPr>
                <w:szCs w:val="16"/>
              </w:rPr>
              <w:t>) must keep records showing the date of purchase, the supplier, and all precautions taken to ensure</w:t>
            </w:r>
            <w:r w:rsidRPr="002F1795">
              <w:t xml:space="preserve"> that </w:t>
            </w:r>
            <w:r w:rsidRPr="002F1795">
              <w:rPr>
                <w:szCs w:val="16"/>
              </w:rPr>
              <w:t xml:space="preserve">the product meets the emissions standards. </w:t>
            </w:r>
            <w:r w:rsidRPr="002F1795">
              <w:t xml:space="preserve">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that are not already complying with the CARB ATCM will have initial burden to change their recordkeeping systems to comply with the TSCA Title VI rule.</w:t>
            </w:r>
          </w:p>
          <w:p w:rsidR="00311A31" w:rsidRPr="002F1795" w:rsidRDefault="00311A31" w:rsidP="006565F1">
            <w:pPr>
              <w:pStyle w:val="tablefootnote"/>
              <w:keepLines/>
            </w:pPr>
            <w:r w:rsidRPr="002F1795">
              <w:t>10.  Panel producers,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33 percent of fabricators that are not already complying with the CARB ATCM (because their products are not sold in California) will incur a non-labor cost of $125.00 for purchasing stamps for labeling.  Producers and wholesalers are not expected to incur any non-labor costs from initial labeling.</w:t>
            </w:r>
          </w:p>
          <w:p w:rsidR="00311A31" w:rsidRPr="002F1795" w:rsidRDefault="00311A31" w:rsidP="006565F1">
            <w:pPr>
              <w:pStyle w:val="tablefootnote"/>
              <w:keepLines/>
              <w:rPr>
                <w:rFonts w:ascii="Tahoma" w:hAnsi="Tahoma" w:cs="Tahoma"/>
                <w:szCs w:val="16"/>
              </w:rPr>
            </w:pPr>
            <w:r w:rsidRPr="002F1795">
              <w:t>11. Total excludes the estimated 2 percent of wood veneer laminated product producers expected to continue to use added formaldehyde resins.</w:t>
            </w:r>
          </w:p>
        </w:tc>
      </w:tr>
    </w:tbl>
    <w:p w:rsidR="00A83DDA" w:rsidRPr="002F1795" w:rsidRDefault="00A83DDA" w:rsidP="00A83DDA">
      <w:pPr>
        <w:ind w:firstLine="720"/>
      </w:pPr>
    </w:p>
    <w:tbl>
      <w:tblPr>
        <w:tblW w:w="5000" w:type="pct"/>
        <w:jc w:val="center"/>
        <w:tblLayout w:type="fixed"/>
        <w:tblLook w:val="04A0"/>
      </w:tblPr>
      <w:tblGrid>
        <w:gridCol w:w="4002"/>
        <w:gridCol w:w="992"/>
        <w:gridCol w:w="992"/>
        <w:gridCol w:w="919"/>
        <w:gridCol w:w="1425"/>
        <w:gridCol w:w="1045"/>
        <w:gridCol w:w="1225"/>
        <w:gridCol w:w="1246"/>
        <w:gridCol w:w="1330"/>
      </w:tblGrid>
      <w:tr w:rsidR="00A83DDA" w:rsidRPr="002F1795" w:rsidTr="006565F1">
        <w:trPr>
          <w:trHeight w:val="67"/>
          <w:tblHeader/>
          <w:jc w:val="center"/>
        </w:trPr>
        <w:tc>
          <w:tcPr>
            <w:tcW w:w="13176" w:type="dxa"/>
            <w:gridSpan w:val="9"/>
            <w:tcBorders>
              <w:top w:val="single" w:sz="8" w:space="0" w:color="auto"/>
              <w:left w:val="single" w:sz="8" w:space="0" w:color="auto"/>
              <w:bottom w:val="single" w:sz="4" w:space="0" w:color="auto"/>
              <w:right w:val="single" w:sz="8" w:space="0" w:color="000000"/>
            </w:tcBorders>
            <w:shd w:val="clear" w:color="000000" w:fill="A6A6A6"/>
            <w:noWrap/>
            <w:vAlign w:val="bottom"/>
            <w:hideMark/>
          </w:tcPr>
          <w:p w:rsidR="00A83DDA" w:rsidRPr="002F1795" w:rsidRDefault="00A83DDA" w:rsidP="006565F1">
            <w:pPr>
              <w:pStyle w:val="TableTitle"/>
              <w:keepNext/>
              <w:keepLines/>
            </w:pPr>
            <w:bookmarkStart w:id="29" w:name="_Ref309299612"/>
            <w:r w:rsidRPr="002F1795">
              <w:rPr>
                <w:rStyle w:val="TableTitleChar"/>
              </w:rPr>
              <w:lastRenderedPageBreak/>
              <w:t>Exhibit 6-</w:t>
            </w:r>
            <w:r w:rsidR="0041046E" w:rsidRPr="002F1795">
              <w:rPr>
                <w:rStyle w:val="TableTitleChar"/>
              </w:rPr>
              <w:fldChar w:fldCharType="begin"/>
            </w:r>
            <w:r w:rsidRPr="002F1795">
              <w:rPr>
                <w:rStyle w:val="TableTitleChar"/>
              </w:rPr>
              <w:instrText xml:space="preserve"> SEQ Exhibit_6- \* ARABIC </w:instrText>
            </w:r>
            <w:r w:rsidR="0041046E" w:rsidRPr="002F1795">
              <w:rPr>
                <w:rStyle w:val="TableTitleChar"/>
              </w:rPr>
              <w:fldChar w:fldCharType="separate"/>
            </w:r>
            <w:r w:rsidR="0036394F">
              <w:rPr>
                <w:rStyle w:val="TableTitleChar"/>
                <w:noProof/>
              </w:rPr>
              <w:t>26</w:t>
            </w:r>
            <w:r w:rsidR="0041046E" w:rsidRPr="002F1795">
              <w:rPr>
                <w:rStyle w:val="TableTitleChar"/>
              </w:rPr>
              <w:fldChar w:fldCharType="end"/>
            </w:r>
            <w:bookmarkEnd w:id="29"/>
            <w:r w:rsidRPr="002F1795">
              <w:rPr>
                <w:rStyle w:val="TableTitleChar"/>
              </w:rPr>
              <w:t xml:space="preserve">: </w:t>
            </w:r>
            <w:r w:rsidRPr="002F1795">
              <w:t>Incremental First Year Non-Labor Costs, by Activity and Geographic Location ($2010)</w:t>
            </w:r>
          </w:p>
        </w:tc>
      </w:tr>
      <w:tr w:rsidR="00A83DDA" w:rsidRPr="002F1795" w:rsidTr="006565F1">
        <w:trPr>
          <w:trHeight w:val="255"/>
          <w:tblHeader/>
          <w:jc w:val="center"/>
        </w:trPr>
        <w:tc>
          <w:tcPr>
            <w:tcW w:w="4002"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2903" w:type="dxa"/>
            <w:gridSpan w:val="3"/>
            <w:tcBorders>
              <w:top w:val="single" w:sz="4" w:space="0" w:color="auto"/>
              <w:left w:val="nil"/>
              <w:bottom w:val="single" w:sz="4" w:space="0" w:color="auto"/>
              <w:right w:val="single" w:sz="4" w:space="0" w:color="000000"/>
            </w:tcBorders>
            <w:shd w:val="clear" w:color="000000" w:fill="FFFFFF"/>
            <w:vAlign w:val="center"/>
            <w:hideMark/>
          </w:tcPr>
          <w:p w:rsidR="00A83DDA" w:rsidRPr="002F1795" w:rsidRDefault="00A83DDA" w:rsidP="006565F1">
            <w:pPr>
              <w:pStyle w:val="TableSubtitle"/>
            </w:pPr>
            <w:r w:rsidRPr="002F1795">
              <w:t>Number of Respondents</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0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Cost Per Activity</w:t>
            </w:r>
          </w:p>
        </w:tc>
        <w:tc>
          <w:tcPr>
            <w:tcW w:w="3801" w:type="dxa"/>
            <w:gridSpan w:val="3"/>
            <w:tcBorders>
              <w:top w:val="single" w:sz="4" w:space="0" w:color="auto"/>
              <w:left w:val="nil"/>
              <w:bottom w:val="single" w:sz="4" w:space="0" w:color="auto"/>
              <w:right w:val="single" w:sz="4" w:space="0" w:color="000000"/>
            </w:tcBorders>
            <w:shd w:val="clear" w:color="000000" w:fill="FFFFFF"/>
            <w:vAlign w:val="center"/>
            <w:hideMark/>
          </w:tcPr>
          <w:p w:rsidR="00A83DDA" w:rsidRPr="002F1795" w:rsidRDefault="00A83DDA" w:rsidP="006565F1">
            <w:pPr>
              <w:pStyle w:val="TableSubtitle"/>
            </w:pPr>
            <w:r w:rsidRPr="002F1795">
              <w:t>Total Cost</w:t>
            </w:r>
          </w:p>
        </w:tc>
      </w:tr>
      <w:tr w:rsidR="00A83DDA" w:rsidRPr="002F1795" w:rsidTr="006565F1">
        <w:trPr>
          <w:trHeight w:val="510"/>
          <w:tblHeader/>
          <w:jc w:val="center"/>
        </w:trPr>
        <w:tc>
          <w:tcPr>
            <w:tcW w:w="4002"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9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99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1</w:t>
            </w:r>
          </w:p>
        </w:tc>
        <w:tc>
          <w:tcPr>
            <w:tcW w:w="91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25"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246"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330"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 Rule Familiarization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r w:rsidRPr="002F1795">
              <w:rPr>
                <w:vertAlign w:val="superscript"/>
              </w:rPr>
              <w:t>2</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Uncertified to Standard</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$6,000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$1,662,000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$924,000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$2,586,000</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NAF (With New Certification)</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211</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222</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$6,000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$66,000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$1,266,000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$1,332,000</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3. Initial On-site Audit</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With Existing Certifications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764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846</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$450</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center"/>
            </w:pPr>
            <w:r w:rsidRPr="002F1795">
              <w:rPr>
                <w:color w:val="000000"/>
                <w:sz w:val="18"/>
                <w:szCs w:val="18"/>
              </w:rPr>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center"/>
            </w:pPr>
            <w:r w:rsidRPr="002F1795">
              <w:rPr>
                <w:color w:val="000000"/>
                <w:sz w:val="18"/>
                <w:szCs w:val="18"/>
              </w:rPr>
              <w:t>-</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Without Existing Certifications</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653</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$129,600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$164,250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$293,850</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r w:rsidRPr="002F1795">
              <w:rPr>
                <w:vertAlign w:val="superscript"/>
              </w:rPr>
              <w:t>5</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1 Product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64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69</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5</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$12,000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$153,600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$165,600 </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2 Products</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653</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10</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$1,382,400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$1,752,000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$3,134,400</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Shipping</w:t>
            </w:r>
            <w:r w:rsidRPr="002F1795">
              <w:rPr>
                <w:vertAlign w:val="superscript"/>
              </w:rPr>
              <w:t>5</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1 Product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64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69</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$200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$1,000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$12,800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$13,800 </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2 Products</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653</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$200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$115,200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$146,000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$261,200</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7. Correlation Test</w:t>
            </w:r>
            <w:r w:rsidRPr="002F1795">
              <w:rPr>
                <w:vertAlign w:val="superscript"/>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rPr>
                <w:b/>
                <w:bCs/>
              </w:rPr>
            </w:pPr>
            <w:r w:rsidRPr="002F1795">
              <w:rPr>
                <w:b/>
                <w:bCs/>
              </w:rPr>
              <w:t>-</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8. Quarterly On-site Audit</w:t>
            </w:r>
            <w:r w:rsidRPr="002F1795">
              <w:rPr>
                <w:vertAlign w:val="superscript"/>
              </w:rPr>
              <w:t>6</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Uncertified to Standard</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$373,950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$207,900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$581,850</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NAF (With New Certification)</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211</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222</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$450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$4,950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$94,950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$99,900 </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1 New Standard</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69</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$7,200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$92,160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$99,360</w:t>
            </w:r>
          </w:p>
        </w:tc>
      </w:tr>
      <w:tr w:rsidR="00A83DDA" w:rsidRPr="002F1795" w:rsidTr="006565F1">
        <w:trPr>
          <w:trHeight w:val="10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2 New Standard</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$797,760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$443,520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$1,241,280</w:t>
            </w:r>
          </w:p>
        </w:tc>
      </w:tr>
      <w:tr w:rsidR="00A83DDA"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2 ULEF to 2 Standard</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114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125</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$31,680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$328,320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$360,000</w:t>
            </w:r>
          </w:p>
        </w:tc>
      </w:tr>
      <w:tr w:rsidR="00A83DDA" w:rsidRPr="002F1795" w:rsidTr="006565F1">
        <w:trPr>
          <w:trHeight w:val="215"/>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72"/>
            </w:pPr>
            <w:r w:rsidRPr="002F1795">
              <w:t>1 New NAF</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71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$2,880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$31,200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$34,080</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4A760E" w:rsidRPr="002F1795" w:rsidRDefault="004A760E" w:rsidP="004A760E">
            <w:pPr>
              <w:pStyle w:val="TableText"/>
              <w:ind w:left="172"/>
            </w:pPr>
            <w:r w:rsidRPr="002F1795">
              <w:t xml:space="preserve">2 New NAF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146</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151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2</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$4,800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$140,160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$144,960 </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4A760E" w:rsidRPr="002F1795" w:rsidRDefault="004A760E" w:rsidP="004A760E">
            <w:pPr>
              <w:pStyle w:val="TableText"/>
              <w:ind w:left="172"/>
            </w:pPr>
            <w:r w:rsidRPr="002F1795">
              <w:t>1 NAF and 1 ULEF</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71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5</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$480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$14,400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$156,000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$170,400 </w:t>
            </w:r>
          </w:p>
        </w:tc>
      </w:tr>
      <w:tr w:rsidR="004A760E"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4A760E" w:rsidRPr="002F1795" w:rsidRDefault="004A760E" w:rsidP="006565F1">
            <w:pPr>
              <w:pStyle w:val="TableText"/>
            </w:pPr>
            <w:r w:rsidRPr="002F1795">
              <w:t>10. Large Scale Testing Shipment</w:t>
            </w:r>
          </w:p>
        </w:tc>
      </w:tr>
      <w:tr w:rsidR="004A760E"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1 New Standard</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t>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64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69</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3</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$750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$9,600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$10,350</w:t>
            </w:r>
          </w:p>
        </w:tc>
      </w:tr>
      <w:tr w:rsidR="004A760E"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2 New Standard</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154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431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6</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$83,100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$46,200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$129,300</w:t>
            </w:r>
          </w:p>
        </w:tc>
      </w:tr>
      <w:tr w:rsidR="004A760E"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2 ULEF to 2 Standard</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t>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114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125</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6</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$3,300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$34,200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$37,500</w:t>
            </w:r>
          </w:p>
        </w:tc>
      </w:tr>
      <w:tr w:rsidR="004A760E" w:rsidRPr="002F1795" w:rsidTr="006565F1">
        <w:trPr>
          <w:trHeight w:val="10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1 New NAF</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t>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71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$300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$3,250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$3,550</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4A760E" w:rsidRPr="002F1795" w:rsidRDefault="004A760E" w:rsidP="004A760E">
            <w:pPr>
              <w:pStyle w:val="TableText"/>
              <w:ind w:left="172"/>
            </w:pPr>
            <w:r w:rsidRPr="002F1795">
              <w:t xml:space="preserve">2 New NAF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146</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151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2</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$500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$14,600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tcPr>
          <w:p w:rsidR="004A760E" w:rsidRPr="002F1795" w:rsidRDefault="004A760E">
            <w:pPr>
              <w:jc w:val="right"/>
              <w:rPr>
                <w:color w:val="000000"/>
                <w:sz w:val="18"/>
                <w:szCs w:val="18"/>
              </w:rPr>
            </w:pPr>
            <w:r w:rsidRPr="002F1795">
              <w:rPr>
                <w:color w:val="000000"/>
                <w:sz w:val="18"/>
                <w:szCs w:val="18"/>
              </w:rPr>
              <w:t xml:space="preserve">$15,100 </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4A760E">
            <w:pPr>
              <w:pStyle w:val="TableText"/>
              <w:ind w:left="172"/>
            </w:pPr>
            <w:r w:rsidRPr="002F1795">
              <w:t>1 NAF and 1 ULEF</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71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5</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$1,500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$16,250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$17,750 </w:t>
            </w:r>
          </w:p>
        </w:tc>
      </w:tr>
      <w:tr w:rsidR="004A760E" w:rsidRPr="002F1795" w:rsidTr="006565F1">
        <w:trPr>
          <w:trHeight w:val="161"/>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pPr>
            <w:r w:rsidRPr="002F1795">
              <w:t>11. On-site Audit Travel</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365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653</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$1,500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$432,000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$547,500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$979,500</w:t>
            </w:r>
          </w:p>
        </w:tc>
      </w:tr>
      <w:tr w:rsidR="004A760E"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4A760E" w:rsidRPr="002F1795" w:rsidRDefault="004A760E" w:rsidP="006565F1">
            <w:pPr>
              <w:pStyle w:val="TableText"/>
            </w:pPr>
            <w:r w:rsidRPr="002F1795">
              <w:t>12. Desk Audits</w:t>
            </w:r>
            <w:r w:rsidRPr="002F1795">
              <w:rPr>
                <w:vertAlign w:val="superscript"/>
              </w:rPr>
              <w:t>7</w:t>
            </w:r>
          </w:p>
        </w:tc>
      </w:tr>
      <w:tr w:rsidR="004A760E"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Uncertified to Standard</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154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431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8</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$554,000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$308,000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$862,000</w:t>
            </w:r>
          </w:p>
        </w:tc>
      </w:tr>
      <w:tr w:rsidR="004A760E"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ind w:left="172"/>
            </w:pPr>
            <w:r w:rsidRPr="002F1795">
              <w:t>NAF (With New Certification)</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t>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211</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222</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right"/>
            </w:pPr>
            <w:r w:rsidRPr="002F1795">
              <w:rPr>
                <w:color w:val="000000"/>
                <w:szCs w:val="18"/>
              </w:rPr>
              <w:t>$250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$5,500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$105,500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4A760E" w:rsidRPr="002F1795" w:rsidRDefault="004A760E" w:rsidP="006565F1">
            <w:pPr>
              <w:jc w:val="right"/>
              <w:rPr>
                <w:color w:val="000000"/>
                <w:sz w:val="18"/>
                <w:szCs w:val="18"/>
              </w:rPr>
            </w:pPr>
            <w:r w:rsidRPr="002F1795">
              <w:rPr>
                <w:color w:val="000000"/>
                <w:sz w:val="18"/>
                <w:szCs w:val="18"/>
              </w:rPr>
              <w:t>$111,000</w:t>
            </w:r>
          </w:p>
        </w:tc>
      </w:tr>
      <w:tr w:rsidR="004A760E" w:rsidRPr="002F1795" w:rsidTr="004A760E">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pPr>
            <w:r w:rsidRPr="002F1795">
              <w:t>13. Purchase of Small Chamber Testing Unit</w:t>
            </w:r>
            <w:r w:rsidRPr="002F1795">
              <w:rPr>
                <w:vertAlign w:val="superscript"/>
              </w:rPr>
              <w:t>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282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208</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490</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$10,000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$2,820,000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$2,080,000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4A760E" w:rsidRPr="002F1795" w:rsidRDefault="004A760E">
            <w:pPr>
              <w:jc w:val="right"/>
              <w:rPr>
                <w:color w:val="000000"/>
                <w:sz w:val="18"/>
                <w:szCs w:val="18"/>
              </w:rPr>
            </w:pPr>
            <w:r w:rsidRPr="002F1795">
              <w:rPr>
                <w:color w:val="000000"/>
                <w:sz w:val="18"/>
                <w:szCs w:val="18"/>
              </w:rPr>
              <w:t xml:space="preserve">$4,900,000 </w:t>
            </w:r>
          </w:p>
        </w:tc>
      </w:tr>
      <w:tr w:rsidR="004A760E"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pPr>
            <w:r w:rsidRPr="002F1795">
              <w:lastRenderedPageBreak/>
              <w:t>14. Quality Control Testing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center"/>
              <w:rPr>
                <w:b/>
                <w:bCs/>
              </w:rPr>
            </w:pPr>
            <w:r w:rsidRPr="002F1795">
              <w:rPr>
                <w:b/>
                <w:bC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center"/>
              <w:rPr>
                <w:b/>
                <w:bCs/>
              </w:rPr>
            </w:pPr>
            <w:r w:rsidRPr="002F1795">
              <w:rPr>
                <w:b/>
                <w:bCs/>
              </w:rPr>
              <w:t>-</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center"/>
              <w:rPr>
                <w:b/>
                <w:bCs/>
              </w:rPr>
            </w:pPr>
            <w:r w:rsidRPr="002F1795">
              <w:rPr>
                <w:b/>
                <w:bCs/>
              </w:rPr>
              <w:t>-</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center"/>
              <w:rPr>
                <w:b/>
                <w:bCs/>
              </w:rPr>
            </w:pPr>
            <w:r w:rsidRPr="002F1795">
              <w:rPr>
                <w:b/>
                <w:bCs/>
              </w:rPr>
              <w:t>-</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center"/>
              <w:rPr>
                <w:b/>
                <w:bCs/>
              </w:rPr>
            </w:pPr>
            <w:r w:rsidRPr="002F1795">
              <w:rPr>
                <w:b/>
                <w:bCs/>
              </w:rPr>
              <w:t>-</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760E" w:rsidRPr="002F1795" w:rsidRDefault="004A760E" w:rsidP="006565F1">
            <w:pPr>
              <w:pStyle w:val="TableText"/>
              <w:jc w:val="center"/>
            </w:pPr>
            <w:r w:rsidRPr="002F1795">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4A760E" w:rsidRPr="002F1795" w:rsidRDefault="004A760E" w:rsidP="006565F1">
            <w:pPr>
              <w:pStyle w:val="TableText"/>
              <w:jc w:val="center"/>
            </w:pPr>
            <w:r w:rsidRPr="002F1795">
              <w:t>-</w:t>
            </w:r>
          </w:p>
        </w:tc>
      </w:tr>
      <w:tr w:rsidR="004A760E"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4A760E" w:rsidRPr="002F1795" w:rsidRDefault="004A760E" w:rsidP="006565F1">
            <w:pPr>
              <w:pStyle w:val="TableText"/>
            </w:pPr>
            <w:r w:rsidRPr="002F1795">
              <w:t>15. Lost Product</w:t>
            </w:r>
          </w:p>
        </w:tc>
      </w:tr>
      <w:tr w:rsidR="0088149D" w:rsidRPr="002F1795" w:rsidTr="0088149D">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88149D" w:rsidRPr="002F1795" w:rsidRDefault="0088149D" w:rsidP="0088149D">
            <w:pPr>
              <w:pStyle w:val="TableText"/>
              <w:ind w:left="172"/>
            </w:pPr>
            <w:r w:rsidRPr="002F1795">
              <w:t>2 Standard (HWPW – Existing)</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109</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119</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416</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$15.68</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 xml:space="preserve">$65,229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 xml:space="preserve">$710,994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 xml:space="preserve">$776,223 </w:t>
            </w:r>
          </w:p>
        </w:tc>
      </w:tr>
      <w:tr w:rsidR="0088149D" w:rsidRPr="002F1795" w:rsidTr="0088149D">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88149D" w:rsidRPr="002F1795" w:rsidRDefault="0088149D" w:rsidP="0088149D">
            <w:pPr>
              <w:pStyle w:val="TableText"/>
              <w:ind w:left="172"/>
            </w:pPr>
            <w:r w:rsidRPr="002F1795">
              <w:t>2 Standard (HWPW-New)</w:t>
            </w:r>
            <w:r w:rsidRPr="002F1795">
              <w:rPr>
                <w:vertAlign w:val="superscript"/>
              </w:rPr>
              <w:t>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277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108</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385</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536</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$15.68</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 xml:space="preserve">$2,328,041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 xml:space="preserve">$907,684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88149D" w:rsidRPr="002F1795" w:rsidRDefault="0088149D">
            <w:pPr>
              <w:jc w:val="right"/>
              <w:rPr>
                <w:color w:val="000000"/>
                <w:sz w:val="18"/>
                <w:szCs w:val="18"/>
              </w:rPr>
            </w:pPr>
            <w:r w:rsidRPr="002F1795">
              <w:rPr>
                <w:color w:val="000000"/>
                <w:sz w:val="18"/>
                <w:szCs w:val="18"/>
              </w:rPr>
              <w:t xml:space="preserve">$3,235,725 </w:t>
            </w:r>
          </w:p>
        </w:tc>
      </w:tr>
      <w:tr w:rsidR="0088149D" w:rsidRPr="002F1795" w:rsidTr="004D6A55">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88149D" w:rsidRPr="002F1795" w:rsidRDefault="0088149D" w:rsidP="0088149D">
            <w:pPr>
              <w:pStyle w:val="TableText"/>
              <w:ind w:left="172"/>
            </w:pPr>
            <w:r w:rsidRPr="002F1795">
              <w:t>2 NAF (HWPW-New)</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211</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222</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142</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$15.68</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 xml:space="preserve">$24,492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 xml:space="preserve">$469,804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 xml:space="preserve">$494,296 </w:t>
            </w:r>
          </w:p>
        </w:tc>
      </w:tr>
      <w:tr w:rsidR="0088149D" w:rsidRPr="002F1795" w:rsidTr="004D6A55">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88149D" w:rsidRPr="002F1795" w:rsidRDefault="0088149D" w:rsidP="0088149D">
            <w:pPr>
              <w:pStyle w:val="TableText"/>
              <w:ind w:left="172"/>
            </w:pPr>
            <w:r w:rsidRPr="002F1795">
              <w:t>2 Standard (PB/MDF - New)</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110</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115</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268</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$8.96</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 xml:space="preserve">$12,006 </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 xml:space="preserve">$264,141 </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center"/>
          </w:tcPr>
          <w:p w:rsidR="0088149D" w:rsidRPr="002F1795" w:rsidRDefault="0088149D">
            <w:pPr>
              <w:jc w:val="right"/>
              <w:rPr>
                <w:color w:val="000000"/>
                <w:sz w:val="18"/>
                <w:szCs w:val="18"/>
              </w:rPr>
            </w:pPr>
            <w:r w:rsidRPr="002F1795">
              <w:rPr>
                <w:color w:val="000000"/>
                <w:sz w:val="18"/>
                <w:szCs w:val="18"/>
              </w:rPr>
              <w:t xml:space="preserve">$276,147 </w:t>
            </w:r>
          </w:p>
        </w:tc>
      </w:tr>
      <w:tr w:rsidR="0088149D"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pPr>
            <w:r w:rsidRPr="002F1795">
              <w:t>16. Initial Recordkeeping</w:t>
            </w:r>
            <w:r w:rsidRPr="002F1795">
              <w:rPr>
                <w:vertAlign w:val="superscript"/>
              </w:rPr>
              <w:t>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8,576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11,945</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20,521</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$1,000</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$8,576,000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$11,945,000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88149D" w:rsidRPr="002F1795" w:rsidRDefault="0088149D" w:rsidP="006565F1">
            <w:pPr>
              <w:jc w:val="right"/>
              <w:rPr>
                <w:color w:val="000000"/>
                <w:sz w:val="18"/>
                <w:szCs w:val="18"/>
              </w:rPr>
            </w:pPr>
            <w:r w:rsidRPr="002F1795">
              <w:rPr>
                <w:color w:val="000000"/>
                <w:sz w:val="18"/>
                <w:szCs w:val="18"/>
              </w:rPr>
              <w:t>$20,521,000</w:t>
            </w:r>
          </w:p>
        </w:tc>
      </w:tr>
      <w:tr w:rsidR="0088149D" w:rsidRPr="002F1795" w:rsidTr="006565F1">
        <w:trPr>
          <w:trHeight w:val="10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pPr>
            <w:r w:rsidRPr="002F1795">
              <w:t>17. Recurring Recordkeeping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rPr>
                <w:b/>
                <w:bCs/>
              </w:rPr>
            </w:pPr>
            <w:r w:rsidRPr="002F1795">
              <w:rPr>
                <w:b/>
                <w:bCs/>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rPr>
                <w:b/>
                <w:bCs/>
              </w:rPr>
            </w:pPr>
            <w:r w:rsidRPr="002F1795">
              <w:rPr>
                <w:b/>
                <w:bCs/>
              </w:rPr>
              <w:t>-</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rPr>
                <w:b/>
                <w:bCs/>
              </w:rPr>
            </w:pPr>
            <w:r w:rsidRPr="002F1795">
              <w:rPr>
                <w:b/>
                <w:bCs/>
              </w:rPr>
              <w:t>-</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rPr>
                <w:b/>
                <w:bCs/>
              </w:rPr>
            </w:pPr>
            <w:r w:rsidRPr="002F1795">
              <w:rPr>
                <w:b/>
                <w:bCs/>
              </w:rPr>
              <w:t>-</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rPr>
                <w:b/>
                <w:bCs/>
              </w:rPr>
            </w:pPr>
            <w:r w:rsidRPr="002F1795">
              <w:rPr>
                <w:b/>
                <w:bCs/>
              </w:rPr>
              <w:t>-</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r>
      <w:tr w:rsidR="0088149D"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88149D" w:rsidRPr="002F1795" w:rsidRDefault="0088149D" w:rsidP="006565F1">
            <w:pPr>
              <w:pStyle w:val="TableText"/>
            </w:pPr>
            <w:r w:rsidRPr="002F1795">
              <w:t>18. Initial Labeling</w:t>
            </w:r>
            <w:r w:rsidRPr="002F1795">
              <w:rPr>
                <w:vertAlign w:val="superscript"/>
              </w:rPr>
              <w:t>9</w:t>
            </w:r>
          </w:p>
        </w:tc>
      </w:tr>
      <w:tr w:rsidR="0088149D"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ind w:left="180"/>
              <w:rPr>
                <w:rFonts w:ascii="Tahoma" w:hAnsi="Tahoma" w:cs="Tahoma"/>
                <w:szCs w:val="16"/>
              </w:rPr>
            </w:pPr>
            <w:r w:rsidRPr="002F1795">
              <w:t>Minor Changes - Producers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r>
      <w:tr w:rsidR="0088149D"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ind w:left="180"/>
              <w:rPr>
                <w:rFonts w:ascii="Tahoma" w:hAnsi="Tahoma" w:cs="Tahoma"/>
                <w:szCs w:val="16"/>
              </w:rPr>
            </w:pPr>
            <w:r w:rsidRPr="002F1795">
              <w:t>Minor Changes - Fabricators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8149D" w:rsidRPr="002F1795" w:rsidRDefault="0088149D" w:rsidP="006565F1">
            <w:pPr>
              <w:pStyle w:val="TableText"/>
              <w:jc w:val="center"/>
            </w:pPr>
            <w:r w:rsidRPr="002F1795">
              <w:t>-</w:t>
            </w:r>
          </w:p>
        </w:tc>
      </w:tr>
      <w:tr w:rsidR="0088149D"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ind w:left="180"/>
              <w:rPr>
                <w:rFonts w:ascii="Tahoma" w:hAnsi="Tahoma" w:cs="Tahoma"/>
                <w:szCs w:val="16"/>
              </w:rPr>
            </w:pPr>
            <w:r w:rsidRPr="002F1795">
              <w:t>Major Changes – Producers</w:t>
            </w:r>
            <w:r w:rsidRPr="002F1795">
              <w:rPr>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277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108</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385</w:t>
            </w: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1</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$125</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rPr>
                <w:rFonts w:ascii="Tahoma" w:hAnsi="Tahoma" w:cs="Tahoma"/>
                <w:szCs w:val="16"/>
              </w:rPr>
            </w:pPr>
            <w:r w:rsidRPr="002F1795">
              <w:t>$34,625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rPr>
                <w:rFonts w:ascii="Tahoma" w:hAnsi="Tahoma" w:cs="Tahoma"/>
                <w:szCs w:val="16"/>
              </w:rPr>
            </w:pPr>
            <w:r w:rsidRPr="002F1795">
              <w:t>$13,500</w:t>
            </w:r>
          </w:p>
        </w:tc>
        <w:tc>
          <w:tcPr>
            <w:tcW w:w="1330"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88149D" w:rsidRPr="002F1795" w:rsidRDefault="0088149D" w:rsidP="006565F1">
            <w:pPr>
              <w:pStyle w:val="TableText"/>
              <w:jc w:val="right"/>
              <w:rPr>
                <w:rFonts w:ascii="Tahoma" w:hAnsi="Tahoma" w:cs="Tahoma"/>
                <w:szCs w:val="16"/>
              </w:rPr>
            </w:pPr>
            <w:r w:rsidRPr="002F1795">
              <w:t>$48,125</w:t>
            </w:r>
          </w:p>
        </w:tc>
      </w:tr>
      <w:tr w:rsidR="0088149D" w:rsidRPr="002F1795" w:rsidTr="006565F1">
        <w:trPr>
          <w:trHeight w:val="77"/>
          <w:jc w:val="center"/>
        </w:trPr>
        <w:tc>
          <w:tcPr>
            <w:tcW w:w="400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ind w:left="180"/>
              <w:rPr>
                <w:rFonts w:ascii="Tahoma" w:hAnsi="Tahoma" w:cs="Tahoma"/>
                <w:szCs w:val="16"/>
              </w:rPr>
            </w:pPr>
            <w:r w:rsidRPr="002F1795">
              <w:t>Major Changes - Fabricators and Wholesalers</w:t>
            </w:r>
            <w:r w:rsidRPr="002F1795">
              <w:rPr>
                <w:vertAlign w:val="superscript"/>
              </w:rPr>
              <w:t>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16,266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6,344</w:t>
            </w:r>
          </w:p>
        </w:tc>
        <w:tc>
          <w:tcPr>
            <w:tcW w:w="91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22,610</w:t>
            </w:r>
          </w:p>
        </w:tc>
        <w:tc>
          <w:tcPr>
            <w:tcW w:w="14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1</w:t>
            </w:r>
          </w:p>
        </w:tc>
        <w:tc>
          <w:tcPr>
            <w:tcW w:w="10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$125</w:t>
            </w:r>
          </w:p>
        </w:tc>
        <w:tc>
          <w:tcPr>
            <w:tcW w:w="122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$2,033,250</w:t>
            </w:r>
          </w:p>
        </w:tc>
        <w:tc>
          <w:tcPr>
            <w:tcW w:w="12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88149D" w:rsidRPr="002F1795" w:rsidRDefault="0088149D" w:rsidP="006565F1">
            <w:pPr>
              <w:pStyle w:val="TableText"/>
              <w:jc w:val="right"/>
            </w:pPr>
            <w:r w:rsidRPr="002F1795">
              <w:t>$793,000</w:t>
            </w:r>
          </w:p>
        </w:tc>
        <w:tc>
          <w:tcPr>
            <w:tcW w:w="1330"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88149D" w:rsidRPr="002F1795" w:rsidRDefault="0088149D" w:rsidP="006565F1">
            <w:pPr>
              <w:pStyle w:val="TableText"/>
              <w:jc w:val="right"/>
            </w:pPr>
            <w:r w:rsidRPr="002F1795">
              <w:t>$2,826,250</w:t>
            </w:r>
          </w:p>
        </w:tc>
      </w:tr>
      <w:tr w:rsidR="0088149D" w:rsidRPr="002F1795" w:rsidTr="004D6A55">
        <w:trPr>
          <w:trHeight w:val="77"/>
          <w:jc w:val="center"/>
        </w:trPr>
        <w:tc>
          <w:tcPr>
            <w:tcW w:w="9375" w:type="dxa"/>
            <w:gridSpan w:val="6"/>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88149D" w:rsidRPr="002F1795" w:rsidRDefault="0088149D" w:rsidP="006565F1">
            <w:pPr>
              <w:pStyle w:val="TableText"/>
              <w:rPr>
                <w:b/>
                <w:bCs/>
              </w:rPr>
            </w:pPr>
            <w:r w:rsidRPr="002F1795">
              <w:rPr>
                <w:b/>
                <w:bCs/>
              </w:rPr>
              <w:t>Total - Year 1</w:t>
            </w:r>
          </w:p>
        </w:tc>
        <w:tc>
          <w:tcPr>
            <w:tcW w:w="1225" w:type="dxa"/>
            <w:tcBorders>
              <w:top w:val="nil"/>
              <w:left w:val="nil"/>
              <w:bottom w:val="single" w:sz="4" w:space="0" w:color="auto"/>
              <w:right w:val="single" w:sz="4" w:space="0" w:color="auto"/>
            </w:tcBorders>
            <w:shd w:val="clear" w:color="000000" w:fill="FFFFFF"/>
            <w:noWrap/>
            <w:vAlign w:val="center"/>
            <w:hideMark/>
          </w:tcPr>
          <w:p w:rsidR="0088149D" w:rsidRPr="002F1795" w:rsidRDefault="0088149D">
            <w:pPr>
              <w:jc w:val="right"/>
              <w:rPr>
                <w:b/>
                <w:color w:val="000000"/>
                <w:sz w:val="18"/>
                <w:szCs w:val="18"/>
              </w:rPr>
            </w:pPr>
            <w:r w:rsidRPr="002F1795">
              <w:rPr>
                <w:b/>
                <w:color w:val="000000"/>
                <w:sz w:val="18"/>
                <w:szCs w:val="18"/>
              </w:rPr>
              <w:t xml:space="preserve">$21,580,413 </w:t>
            </w:r>
          </w:p>
        </w:tc>
        <w:tc>
          <w:tcPr>
            <w:tcW w:w="1246" w:type="dxa"/>
            <w:tcBorders>
              <w:top w:val="nil"/>
              <w:left w:val="nil"/>
              <w:bottom w:val="single" w:sz="4" w:space="0" w:color="auto"/>
              <w:right w:val="single" w:sz="4" w:space="0" w:color="auto"/>
            </w:tcBorders>
            <w:shd w:val="clear" w:color="000000" w:fill="FFFFFF"/>
            <w:noWrap/>
            <w:vAlign w:val="center"/>
            <w:hideMark/>
          </w:tcPr>
          <w:p w:rsidR="0088149D" w:rsidRPr="002F1795" w:rsidRDefault="0088149D">
            <w:pPr>
              <w:jc w:val="right"/>
              <w:rPr>
                <w:b/>
                <w:color w:val="000000"/>
                <w:sz w:val="18"/>
                <w:szCs w:val="18"/>
              </w:rPr>
            </w:pPr>
            <w:r w:rsidRPr="002F1795">
              <w:rPr>
                <w:b/>
                <w:color w:val="000000"/>
                <w:sz w:val="18"/>
                <w:szCs w:val="18"/>
              </w:rPr>
              <w:t xml:space="preserve">$24,182,083 </w:t>
            </w:r>
          </w:p>
        </w:tc>
        <w:tc>
          <w:tcPr>
            <w:tcW w:w="1330" w:type="dxa"/>
            <w:tcBorders>
              <w:top w:val="nil"/>
              <w:left w:val="nil"/>
              <w:bottom w:val="single" w:sz="4" w:space="0" w:color="auto"/>
              <w:right w:val="single" w:sz="8" w:space="0" w:color="auto"/>
            </w:tcBorders>
            <w:shd w:val="clear" w:color="000000" w:fill="FFFFFF"/>
            <w:noWrap/>
            <w:vAlign w:val="center"/>
            <w:hideMark/>
          </w:tcPr>
          <w:p w:rsidR="0088149D" w:rsidRPr="002F1795" w:rsidRDefault="0088149D">
            <w:pPr>
              <w:jc w:val="right"/>
              <w:rPr>
                <w:b/>
                <w:color w:val="000000"/>
                <w:sz w:val="18"/>
                <w:szCs w:val="18"/>
              </w:rPr>
            </w:pPr>
            <w:r w:rsidRPr="002F1795">
              <w:rPr>
                <w:b/>
                <w:color w:val="000000"/>
                <w:sz w:val="18"/>
                <w:szCs w:val="18"/>
              </w:rPr>
              <w:t xml:space="preserve">$45,762,496 </w:t>
            </w:r>
          </w:p>
        </w:tc>
      </w:tr>
      <w:tr w:rsidR="0088149D" w:rsidRPr="002F1795" w:rsidTr="00210132">
        <w:trPr>
          <w:trHeight w:val="251"/>
          <w:jc w:val="center"/>
        </w:trPr>
        <w:tc>
          <w:tcPr>
            <w:tcW w:w="13176" w:type="dxa"/>
            <w:gridSpan w:val="9"/>
            <w:tcBorders>
              <w:top w:val="single" w:sz="4" w:space="0" w:color="auto"/>
              <w:left w:val="single" w:sz="8" w:space="0" w:color="auto"/>
              <w:bottom w:val="single" w:sz="8" w:space="0" w:color="auto"/>
              <w:right w:val="single" w:sz="8" w:space="0" w:color="000000"/>
            </w:tcBorders>
            <w:shd w:val="clear" w:color="000000" w:fill="FFFFFF"/>
            <w:hideMark/>
          </w:tcPr>
          <w:p w:rsidR="0088149D" w:rsidRPr="002F1795" w:rsidRDefault="0088149D" w:rsidP="006565F1">
            <w:pPr>
              <w:pStyle w:val="tablefootnote"/>
              <w:keepLines/>
            </w:pPr>
            <w:r w:rsidRPr="002F1795">
              <w:t xml:space="preserve">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 </w:t>
            </w:r>
          </w:p>
          <w:p w:rsidR="0088149D" w:rsidRPr="002F1795" w:rsidRDefault="0088149D" w:rsidP="006565F1">
            <w:pPr>
              <w:pStyle w:val="tablefootnote"/>
              <w:keepLines/>
            </w:pPr>
            <w:r w:rsidRPr="002F1795">
              <w:t>2.  This analysis assumes that mills will seek standard certification for uncertified product lines.  The exceptions are uncertified hardwood plywood producers, which are assumed to switch to NAF certification.</w:t>
            </w:r>
          </w:p>
          <w:p w:rsidR="0088149D" w:rsidRPr="002F1795" w:rsidRDefault="0088149D"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88149D" w:rsidRPr="002F1795" w:rsidRDefault="0088149D" w:rsidP="006565F1">
            <w:pPr>
              <w:pStyle w:val="tablefootnote"/>
              <w:keepLines/>
            </w:pPr>
            <w:r w:rsidRPr="002F1795">
              <w:t>4. Since CARB does not certify wood veneer laminated products, all producers of wood veneer laminated products defined as hardwood plywood will incur costs to have their products certified by a TPC as a result of the TSCA Title VI rule.</w:t>
            </w:r>
          </w:p>
          <w:p w:rsidR="0088149D" w:rsidRPr="002F1795" w:rsidRDefault="0088149D" w:rsidP="006565F1">
            <w:pPr>
              <w:pStyle w:val="tablefootnote"/>
              <w:keepLines/>
            </w:pPr>
            <w:r w:rsidRPr="002F1795">
              <w:t>5. Producers that are already CARB compliant are not assumed to need to perform qualifying or correlation testing because it is assumed that their previous testing is sufficient.</w:t>
            </w:r>
          </w:p>
          <w:p w:rsidR="0088149D" w:rsidRPr="002F1795" w:rsidRDefault="0088149D" w:rsidP="006565F1">
            <w:pPr>
              <w:pStyle w:val="tablefootnote"/>
              <w:keepLines/>
            </w:pPr>
            <w:r w:rsidRPr="002F1795">
              <w:t>6. On-site audits must be conducted at least once quarterly, unless the mill obtains ULEF or NAF certification. This analysis assumes that producers with new NAF certifications will incur the burden associated with one on-site audit (in addition to the initial audit) and two desk audits in the first year.  Producers with existing ULEF or NAF certifications under the CARB ATCM will only incur the initial on-site audit in the first year.  All producers with ULEF or NAF certification will have one on-site audit annually thereafter.</w:t>
            </w:r>
          </w:p>
          <w:p w:rsidR="0088149D" w:rsidRPr="002F1795" w:rsidRDefault="0088149D" w:rsidP="006565F1">
            <w:pPr>
              <w:pStyle w:val="tablefootnote"/>
              <w:keepLines/>
            </w:pPr>
            <w:r w:rsidRPr="002F1795">
              <w:t xml:space="preserve">7. Desk audits are assumed to occur monthly for standard certifications, except in months with a quarterly on-site audit.  Producers with new NAF certifications will incur the costs associated with two desk audits in the first year; none are required in subsequent years.  No desk audits are required for respondents with existing ULEF or NAF certification.  </w:t>
            </w:r>
          </w:p>
          <w:p w:rsidR="0088149D" w:rsidRPr="002F1795" w:rsidRDefault="0088149D" w:rsidP="006565F1">
            <w:pPr>
              <w:pStyle w:val="tablefootnote"/>
              <w:keepLines/>
            </w:pPr>
            <w:r w:rsidRPr="002F1795">
              <w:t xml:space="preserve">8. Firms </w:t>
            </w:r>
            <w:r w:rsidRPr="002F1795">
              <w:rPr>
                <w:szCs w:val="16"/>
              </w:rPr>
              <w:t>that are manufacturers under TSCA (i.e., composite panel producers [including the estimated two percent of wood veneer laminated product producers defined as hardwood plywood producers], fabricators, and wholesalers that import</w:t>
            </w:r>
            <w:r w:rsidRPr="002F1795">
              <w:t xml:space="preserve"> composite wood products</w:t>
            </w:r>
            <w:r w:rsidRPr="002F1795">
              <w:rPr>
                <w:szCs w:val="16"/>
              </w:rPr>
              <w:t>)</w:t>
            </w:r>
            <w:r w:rsidRPr="002F1795">
              <w:t xml:space="preserve"> must keep records showing the date of purchase, the supplier, and all precautions taken to ensure that the product meets </w:t>
            </w:r>
            <w:r w:rsidRPr="002F1795">
              <w:rPr>
                <w:szCs w:val="16"/>
              </w:rPr>
              <w:t xml:space="preserve">the </w:t>
            </w:r>
            <w:r w:rsidRPr="002F1795">
              <w:t>emissions standards.</w:t>
            </w:r>
            <w:r w:rsidRPr="002F1795">
              <w:rPr>
                <w:szCs w:val="16"/>
              </w:rPr>
              <w:t xml:space="preserve"> </w:t>
            </w:r>
            <w:r w:rsidRPr="002F1795">
              <w:t xml:space="preserve">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that are not already complying with the CARB ATCM will have initial burden to change their recordkeeping systems to comply with the TSCA Title VI rule.</w:t>
            </w:r>
          </w:p>
          <w:p w:rsidR="0088149D" w:rsidRPr="002F1795" w:rsidRDefault="0088149D" w:rsidP="006565F1">
            <w:pPr>
              <w:pStyle w:val="tablefootnote"/>
              <w:keepLines/>
            </w:pPr>
            <w:r w:rsidRPr="002F1795">
              <w:t>9. Panel producers,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33 percent of fabricators that are not already complying with the CARB ATCM (because their products are not sold in California) will incur a non-labor cost of $125.00 for purchasing stamps for labeling.  Producers and wholesalers are not expected to incur any non-labor costs from initial labeling.</w:t>
            </w:r>
          </w:p>
          <w:p w:rsidR="0088149D" w:rsidRPr="002F1795" w:rsidRDefault="0088149D" w:rsidP="006565F1">
            <w:pPr>
              <w:pStyle w:val="tablefootnote"/>
              <w:keepLines/>
              <w:rPr>
                <w:rFonts w:ascii="Tahoma" w:hAnsi="Tahoma" w:cs="Tahoma"/>
                <w:szCs w:val="16"/>
              </w:rPr>
            </w:pPr>
            <w:r w:rsidRPr="002F1795">
              <w:lastRenderedPageBreak/>
              <w:t>10. Total excludes the estimated 2 percent of wood veneer laminated product producers expected to continue to use added formaldehyde resins.</w:t>
            </w:r>
          </w:p>
        </w:tc>
      </w:tr>
    </w:tbl>
    <w:p w:rsidR="00A83DDA" w:rsidRPr="002F1795" w:rsidRDefault="00A83DDA" w:rsidP="00A83DDA">
      <w:pPr>
        <w:ind w:firstLine="720"/>
      </w:pPr>
    </w:p>
    <w:tbl>
      <w:tblPr>
        <w:tblW w:w="5000" w:type="pct"/>
        <w:jc w:val="center"/>
        <w:tblLayout w:type="fixed"/>
        <w:tblLook w:val="04A0"/>
      </w:tblPr>
      <w:tblGrid>
        <w:gridCol w:w="4284"/>
        <w:gridCol w:w="982"/>
        <w:gridCol w:w="982"/>
        <w:gridCol w:w="909"/>
        <w:gridCol w:w="1411"/>
        <w:gridCol w:w="1034"/>
        <w:gridCol w:w="1212"/>
        <w:gridCol w:w="1139"/>
        <w:gridCol w:w="1223"/>
      </w:tblGrid>
      <w:tr w:rsidR="00A83DDA" w:rsidRPr="002F1795" w:rsidTr="006565F1">
        <w:trPr>
          <w:trHeight w:val="67"/>
          <w:tblHeader/>
          <w:jc w:val="center"/>
        </w:trPr>
        <w:tc>
          <w:tcPr>
            <w:tcW w:w="13176" w:type="dxa"/>
            <w:gridSpan w:val="9"/>
            <w:tcBorders>
              <w:top w:val="single" w:sz="8" w:space="0" w:color="auto"/>
              <w:left w:val="single" w:sz="8" w:space="0" w:color="auto"/>
              <w:bottom w:val="single" w:sz="4" w:space="0" w:color="auto"/>
              <w:right w:val="single" w:sz="8" w:space="0" w:color="000000"/>
            </w:tcBorders>
            <w:shd w:val="clear" w:color="000000" w:fill="A6A6A6"/>
            <w:noWrap/>
            <w:vAlign w:val="bottom"/>
            <w:hideMark/>
          </w:tcPr>
          <w:p w:rsidR="00A83DDA" w:rsidRPr="002F1795" w:rsidRDefault="00A83DDA" w:rsidP="006565F1">
            <w:pPr>
              <w:pStyle w:val="TableTitle"/>
              <w:keepNext/>
              <w:keepLines/>
            </w:pPr>
            <w:bookmarkStart w:id="30" w:name="_Ref309299919"/>
            <w:r w:rsidRPr="002F1795">
              <w:rPr>
                <w:rStyle w:val="TableTitleChar"/>
              </w:rPr>
              <w:lastRenderedPageBreak/>
              <w:t>Exhibit 6-</w:t>
            </w:r>
            <w:r w:rsidR="0041046E" w:rsidRPr="002F1795">
              <w:rPr>
                <w:rStyle w:val="TableTitleChar"/>
              </w:rPr>
              <w:fldChar w:fldCharType="begin"/>
            </w:r>
            <w:r w:rsidRPr="002F1795">
              <w:rPr>
                <w:rStyle w:val="TableTitleChar"/>
              </w:rPr>
              <w:instrText xml:space="preserve"> SEQ Exhibit_6- \* ARABIC </w:instrText>
            </w:r>
            <w:r w:rsidR="0041046E" w:rsidRPr="002F1795">
              <w:rPr>
                <w:rStyle w:val="TableTitleChar"/>
              </w:rPr>
              <w:fldChar w:fldCharType="separate"/>
            </w:r>
            <w:r w:rsidR="0036394F">
              <w:rPr>
                <w:rStyle w:val="TableTitleChar"/>
                <w:noProof/>
              </w:rPr>
              <w:t>27</w:t>
            </w:r>
            <w:r w:rsidR="0041046E" w:rsidRPr="002F1795">
              <w:rPr>
                <w:rStyle w:val="TableTitleChar"/>
              </w:rPr>
              <w:fldChar w:fldCharType="end"/>
            </w:r>
            <w:bookmarkEnd w:id="30"/>
            <w:r w:rsidRPr="002F1795">
              <w:rPr>
                <w:rStyle w:val="TableTitleChar"/>
              </w:rPr>
              <w:t xml:space="preserve">: </w:t>
            </w:r>
            <w:r w:rsidRPr="002F1795">
              <w:t>Incremental Second and Third Year Non-Labor Costs, by Activity and Geographic Location ($2010)</w:t>
            </w:r>
          </w:p>
        </w:tc>
      </w:tr>
      <w:tr w:rsidR="00A83DDA" w:rsidRPr="002F1795" w:rsidTr="006565F1">
        <w:trPr>
          <w:trHeight w:val="77"/>
          <w:tblHeader/>
          <w:jc w:val="center"/>
        </w:trPr>
        <w:tc>
          <w:tcPr>
            <w:tcW w:w="4284"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2873" w:type="dxa"/>
            <w:gridSpan w:val="3"/>
            <w:tcBorders>
              <w:top w:val="single" w:sz="4" w:space="0" w:color="auto"/>
              <w:left w:val="nil"/>
              <w:bottom w:val="single" w:sz="4" w:space="0" w:color="auto"/>
              <w:right w:val="single" w:sz="4" w:space="0" w:color="000000"/>
            </w:tcBorders>
            <w:shd w:val="clear" w:color="000000" w:fill="FFFFFF"/>
            <w:vAlign w:val="center"/>
            <w:hideMark/>
          </w:tcPr>
          <w:p w:rsidR="00A83DDA" w:rsidRPr="002F1795" w:rsidRDefault="00A83DDA" w:rsidP="006565F1">
            <w:pPr>
              <w:pStyle w:val="TableSubtitle"/>
            </w:pPr>
            <w:r w:rsidRPr="002F1795">
              <w:t>Number of Respondents</w:t>
            </w:r>
          </w:p>
        </w:tc>
        <w:tc>
          <w:tcPr>
            <w:tcW w:w="14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0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Cost Per Activity</w:t>
            </w:r>
          </w:p>
        </w:tc>
        <w:tc>
          <w:tcPr>
            <w:tcW w:w="3574" w:type="dxa"/>
            <w:gridSpan w:val="3"/>
            <w:tcBorders>
              <w:top w:val="single" w:sz="4" w:space="0" w:color="auto"/>
              <w:left w:val="nil"/>
              <w:bottom w:val="single" w:sz="4" w:space="0" w:color="auto"/>
              <w:right w:val="single" w:sz="4" w:space="0" w:color="000000"/>
            </w:tcBorders>
            <w:shd w:val="clear" w:color="000000" w:fill="FFFFFF"/>
            <w:vAlign w:val="center"/>
            <w:hideMark/>
          </w:tcPr>
          <w:p w:rsidR="00A83DDA" w:rsidRPr="002F1795" w:rsidRDefault="00A83DDA" w:rsidP="006565F1">
            <w:pPr>
              <w:pStyle w:val="TableSubtitle"/>
            </w:pPr>
            <w:r w:rsidRPr="002F1795">
              <w:t>Total Cost</w:t>
            </w:r>
          </w:p>
        </w:tc>
      </w:tr>
      <w:tr w:rsidR="00A83DDA" w:rsidRPr="002F1795" w:rsidTr="006565F1">
        <w:trPr>
          <w:trHeight w:val="134"/>
          <w:tblHeader/>
          <w:jc w:val="center"/>
        </w:trPr>
        <w:tc>
          <w:tcPr>
            <w:tcW w:w="4284"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8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98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1</w:t>
            </w:r>
          </w:p>
        </w:tc>
        <w:tc>
          <w:tcPr>
            <w:tcW w:w="90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12"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139"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223"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 Rule Familiarization</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3. Certification Fee</w:t>
            </w:r>
            <w:r w:rsidRPr="002F1795">
              <w:rPr>
                <w:vertAlign w:val="superscript"/>
              </w:rPr>
              <w:t>2</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Uncertified to Standard</w:t>
            </w:r>
            <w:r w:rsidRPr="002F1795">
              <w:rPr>
                <w:vertAlign w:val="superscript"/>
              </w:rPr>
              <w:t>3,4</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$6,000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$1,662,000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$924,000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$2,586,000</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NAF (With New Certification)</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211</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222</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$3,700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$40,700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$780,700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$821,400</w:t>
            </w:r>
          </w:p>
        </w:tc>
      </w:tr>
      <w:tr w:rsidR="00A83DDA" w:rsidRPr="002F1795" w:rsidTr="006565F1">
        <w:trPr>
          <w:trHeight w:val="80"/>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4. Initial On-site Audit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 Existing Certifications</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Without Existing Certifications</w:t>
            </w:r>
            <w:r w:rsidRPr="002F1795">
              <w:rPr>
                <w:vertAlign w:val="superscript"/>
              </w:rPr>
              <w:t>3,4</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5. Develop Quality Control Manual</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w:t>
            </w:r>
            <w:r w:rsidRPr="002F1795">
              <w:rPr>
                <w:vertAlign w:val="superscript"/>
              </w:rPr>
              <w:t>5</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Product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3,4</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7. Qualifying Test Shipping</w:t>
            </w:r>
            <w:r w:rsidRPr="002F1795">
              <w:rPr>
                <w:vertAlign w:val="superscript"/>
              </w:rPr>
              <w:t>5</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Product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Products</w:t>
            </w:r>
            <w:r w:rsidRPr="002F1795">
              <w:rPr>
                <w:vertAlign w:val="superscript"/>
              </w:rPr>
              <w:t>3,4</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8. Correlation Test</w:t>
            </w:r>
            <w:r w:rsidRPr="002F1795">
              <w:rPr>
                <w:vertAlign w:val="superscript"/>
              </w:rPr>
              <w:t>5</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125"/>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9. Quarterly On-site Audit</w:t>
            </w:r>
            <w:r w:rsidRPr="002F1795">
              <w:rPr>
                <w:vertAlign w:val="superscript"/>
              </w:rPr>
              <w:t>6</w:t>
            </w:r>
          </w:p>
        </w:tc>
      </w:tr>
      <w:tr w:rsidR="005E075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5E075D" w:rsidRPr="002F1795" w:rsidRDefault="005E075D" w:rsidP="006565F1">
            <w:pPr>
              <w:pStyle w:val="TableText"/>
              <w:ind w:left="180"/>
            </w:pPr>
            <w:r w:rsidRPr="002F1795">
              <w:t>Uncertified to Standard</w:t>
            </w:r>
            <w:r w:rsidRPr="002F1795">
              <w:rPr>
                <w:vertAlign w:val="superscript"/>
              </w:rPr>
              <w:t>3,4</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277</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154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431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4</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$450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 xml:space="preserve">$498,600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 xml:space="preserve">$277,200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 xml:space="preserve">$775,800 </w:t>
            </w:r>
          </w:p>
        </w:tc>
      </w:tr>
      <w:tr w:rsidR="005E075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5E075D" w:rsidRPr="002F1795" w:rsidRDefault="005E075D" w:rsidP="006565F1">
            <w:pPr>
              <w:pStyle w:val="TableText"/>
              <w:ind w:left="180"/>
            </w:pPr>
            <w:r w:rsidRPr="002F1795">
              <w:t>NAF (With New Certification)</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11</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211</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222</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3</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$450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 xml:space="preserve">$14,850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 xml:space="preserve">$284,850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5E075D" w:rsidRPr="002F1795" w:rsidRDefault="005E075D">
            <w:pPr>
              <w:jc w:val="right"/>
              <w:rPr>
                <w:color w:val="000000"/>
                <w:sz w:val="18"/>
                <w:szCs w:val="18"/>
              </w:rPr>
            </w:pPr>
            <w:r w:rsidRPr="002F1795">
              <w:rPr>
                <w:color w:val="000000"/>
                <w:sz w:val="18"/>
                <w:szCs w:val="18"/>
              </w:rPr>
              <w:t xml:space="preserve">$299,700 </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10. Large Scale Testing Fee</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New Standard</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69</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$480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$9,600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$122,880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$132,480</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New Standard</w:t>
            </w:r>
            <w:r w:rsidRPr="002F1795">
              <w:rPr>
                <w:vertAlign w:val="superscript"/>
              </w:rPr>
              <w:t>3,4</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$480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$1,063,680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$591,360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$1,655,040</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ULEF to 2 Standard</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125</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$480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$31,680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$328,320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$360,000</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New NAF</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$480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$2,880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$31,200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$34,080</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DB3FFD" w:rsidRPr="002F1795" w:rsidRDefault="00DB3FFD" w:rsidP="004D6A55">
            <w:pPr>
              <w:pStyle w:val="TableText"/>
              <w:ind w:left="172"/>
            </w:pPr>
            <w:r w:rsidRPr="002F1795">
              <w:t xml:space="preserve">2 New NAF </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5</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146</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151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2</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$480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 xml:space="preserve">$4,800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 xml:space="preserve">$140,160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 xml:space="preserve">$144,960 </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B3FFD" w:rsidRPr="002F1795" w:rsidRDefault="00DB3FFD" w:rsidP="004D6A55">
            <w:pPr>
              <w:pStyle w:val="TableText"/>
              <w:ind w:left="172"/>
            </w:pPr>
            <w:r w:rsidRPr="002F1795">
              <w:t>1 NAF and 1 ULEF</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6</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65</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71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5</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$480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$14,400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$156,000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$170,400 </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11. Large Scale Testing Shipment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New Standard</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69</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4</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$1,000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$12,800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$13,800</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New Standard</w:t>
            </w:r>
            <w:r w:rsidRPr="002F1795">
              <w:rPr>
                <w:vertAlign w:val="superscript"/>
              </w:rPr>
              <w:t>3,4</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$110,800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$61,600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$172,400</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2 ULEF to 2 Standard</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114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125</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$3,300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$34,200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$37,500</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1 New NAF</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65</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71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1</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t>$50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$3,250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$3,550</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DB3FFD" w:rsidRPr="002F1795" w:rsidRDefault="00DB3FFD" w:rsidP="004D6A55">
            <w:pPr>
              <w:pStyle w:val="TableText"/>
              <w:ind w:left="172"/>
            </w:pPr>
            <w:r w:rsidRPr="002F1795">
              <w:t xml:space="preserve">2 New NAF </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5</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146</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151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2</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 xml:space="preserve">$500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 xml:space="preserve">$14,600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tcPr>
          <w:p w:rsidR="00DB3FFD" w:rsidRPr="002F1795" w:rsidRDefault="00DB3FFD">
            <w:pPr>
              <w:jc w:val="right"/>
              <w:rPr>
                <w:color w:val="000000"/>
                <w:sz w:val="18"/>
                <w:szCs w:val="18"/>
              </w:rPr>
            </w:pPr>
            <w:r w:rsidRPr="002F1795">
              <w:rPr>
                <w:color w:val="000000"/>
                <w:sz w:val="18"/>
                <w:szCs w:val="18"/>
              </w:rPr>
              <w:t xml:space="preserve">$15,100 </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B3FFD" w:rsidRPr="002F1795" w:rsidRDefault="00DB3FFD" w:rsidP="004D6A55">
            <w:pPr>
              <w:pStyle w:val="TableText"/>
              <w:ind w:left="172"/>
            </w:pPr>
            <w:r w:rsidRPr="002F1795">
              <w:t>1 NAF and 1 ULEF</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6</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65</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71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5</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$1,500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$16,250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$17,750 </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12. On-site Audit Travel</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288</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365</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653</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$1,500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$432,000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$547,500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$979,500</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13. Desk Audits</w:t>
            </w:r>
            <w:r w:rsidRPr="002F1795">
              <w:rPr>
                <w:vertAlign w:val="superscript"/>
              </w:rPr>
              <w:t>7</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Uncertified to Standard</w:t>
            </w:r>
            <w:r w:rsidRPr="002F1795">
              <w:rPr>
                <w:vertAlign w:val="superscript"/>
              </w:rPr>
              <w:t>3,4</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$250</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$554,000</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$308,000</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$862,000</w:t>
            </w:r>
          </w:p>
        </w:tc>
      </w:tr>
      <w:tr w:rsidR="00265267"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265267" w:rsidRPr="002F1795" w:rsidRDefault="00265267" w:rsidP="006565F1">
            <w:pPr>
              <w:pStyle w:val="TableText"/>
              <w:ind w:left="180"/>
            </w:pPr>
            <w:r w:rsidRPr="002F1795">
              <w:t>NAF (With New Certification)</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265267" w:rsidRPr="002F1795" w:rsidRDefault="00265267" w:rsidP="00DD211B">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14. Purchase of Small Chamber Testing Unit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15. Quality Control Testing</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lastRenderedPageBreak/>
              <w:t>16. Lost Product</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B3FFD" w:rsidRPr="002F1795" w:rsidRDefault="00DB3FFD" w:rsidP="004D6A55">
            <w:pPr>
              <w:pStyle w:val="TableText"/>
              <w:ind w:left="172"/>
            </w:pPr>
            <w:r w:rsidRPr="002F1795">
              <w:t>2 Standard (HWPW – Existing)</w:t>
            </w:r>
            <w:r w:rsidRPr="002F1795">
              <w:rPr>
                <w:vertAlign w:val="superscript"/>
              </w:rPr>
              <w:t>3,4</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10</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109</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119</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416</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$16</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$65,229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$710,994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$776,223 </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B3FFD" w:rsidRPr="002F1795" w:rsidRDefault="00DB3FFD" w:rsidP="004D6A55">
            <w:pPr>
              <w:pStyle w:val="TableText"/>
              <w:ind w:left="172"/>
            </w:pPr>
            <w:r w:rsidRPr="002F1795">
              <w:t>2 Standard (HWPW-New)</w:t>
            </w:r>
            <w:r w:rsidRPr="002F1795">
              <w:rPr>
                <w:vertAlign w:val="superscript"/>
              </w:rPr>
              <w:t>3,4</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277</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108</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385</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528</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$16</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$2,293,294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$894,136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$3,187,430 </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B3FFD" w:rsidRPr="002F1795" w:rsidRDefault="00DB3FFD" w:rsidP="004D6A55">
            <w:pPr>
              <w:pStyle w:val="TableText"/>
              <w:ind w:left="172"/>
            </w:pPr>
            <w:r w:rsidRPr="002F1795">
              <w:t>2 NAF (HWPW-New)</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11</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211</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222</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2</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$16</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$345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$6,617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$6,962 </w:t>
            </w:r>
          </w:p>
        </w:tc>
      </w:tr>
      <w:tr w:rsidR="00DB3FFD" w:rsidRPr="002F1795" w:rsidTr="004D6A55">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DB3FFD" w:rsidRPr="002F1795" w:rsidRDefault="00DB3FFD" w:rsidP="004D6A55">
            <w:pPr>
              <w:pStyle w:val="TableText"/>
              <w:ind w:left="172"/>
            </w:pPr>
            <w:r w:rsidRPr="002F1795">
              <w:t>2 Standard (PB/MDF - New)</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5</w:t>
            </w:r>
          </w:p>
        </w:tc>
        <w:tc>
          <w:tcPr>
            <w:tcW w:w="98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110</w:t>
            </w:r>
          </w:p>
        </w:tc>
        <w:tc>
          <w:tcPr>
            <w:tcW w:w="9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115</w:t>
            </w:r>
          </w:p>
        </w:tc>
        <w:tc>
          <w:tcPr>
            <w:tcW w:w="14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264</w:t>
            </w:r>
          </w:p>
        </w:tc>
        <w:tc>
          <w:tcPr>
            <w:tcW w:w="10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$9</w:t>
            </w:r>
          </w:p>
        </w:tc>
        <w:tc>
          <w:tcPr>
            <w:tcW w:w="121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$11,827 </w:t>
            </w:r>
          </w:p>
        </w:tc>
        <w:tc>
          <w:tcPr>
            <w:tcW w:w="11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$260,198 </w:t>
            </w:r>
          </w:p>
        </w:tc>
        <w:tc>
          <w:tcPr>
            <w:tcW w:w="1223"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DB3FFD" w:rsidRPr="002F1795" w:rsidRDefault="00DB3FFD">
            <w:pPr>
              <w:jc w:val="right"/>
              <w:rPr>
                <w:color w:val="000000"/>
                <w:sz w:val="18"/>
                <w:szCs w:val="18"/>
              </w:rPr>
            </w:pPr>
            <w:r w:rsidRPr="002F1795">
              <w:rPr>
                <w:color w:val="000000"/>
                <w:sz w:val="18"/>
                <w:szCs w:val="18"/>
              </w:rPr>
              <w:t xml:space="preserve">$272,026 </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17. Initial Recordkeeping</w:t>
            </w:r>
            <w:r w:rsidRPr="002F1795">
              <w:rPr>
                <w:vertAlign w:val="superscript"/>
              </w:rPr>
              <w:t>8</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18. Recurring Recordkeeping</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76"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19. Initial Labeling</w:t>
            </w:r>
            <w:r w:rsidRPr="002F1795">
              <w:rPr>
                <w:vertAlign w:val="superscript"/>
              </w:rPr>
              <w:t>9</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Minor Changes - Producers</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152"/>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Minor Changes - Fabricators</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Major Changes – Producers</w:t>
            </w:r>
            <w:r w:rsidRPr="002F1795">
              <w:rPr>
                <w:vertAlign w:val="superscript"/>
              </w:rPr>
              <w:t>3</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4284"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Major Changes - Fabricators and Wholesalers</w:t>
            </w:r>
            <w:r w:rsidRPr="002F1795">
              <w:rPr>
                <w:vertAlign w:val="superscript"/>
              </w:rPr>
              <w:t>10</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23"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DB3FFD" w:rsidRPr="002F1795" w:rsidTr="004D6A55">
        <w:trPr>
          <w:trHeight w:val="77"/>
          <w:jc w:val="center"/>
        </w:trPr>
        <w:tc>
          <w:tcPr>
            <w:tcW w:w="9602" w:type="dxa"/>
            <w:gridSpan w:val="6"/>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DB3FFD" w:rsidRPr="002F1795" w:rsidRDefault="00DB3FFD" w:rsidP="006565F1">
            <w:pPr>
              <w:pStyle w:val="TableText"/>
              <w:rPr>
                <w:b/>
                <w:bCs/>
              </w:rPr>
            </w:pPr>
            <w:r w:rsidRPr="002F1795">
              <w:rPr>
                <w:b/>
                <w:bCs/>
              </w:rPr>
              <w:t>Total - Years 2 and 3</w:t>
            </w:r>
          </w:p>
        </w:tc>
        <w:tc>
          <w:tcPr>
            <w:tcW w:w="1212" w:type="dxa"/>
            <w:tcBorders>
              <w:top w:val="nil"/>
              <w:left w:val="nil"/>
              <w:bottom w:val="single" w:sz="4" w:space="0" w:color="auto"/>
              <w:right w:val="single" w:sz="4" w:space="0" w:color="auto"/>
            </w:tcBorders>
            <w:shd w:val="clear" w:color="000000" w:fill="FFFFFF"/>
            <w:noWrap/>
            <w:vAlign w:val="center"/>
            <w:hideMark/>
          </w:tcPr>
          <w:p w:rsidR="00DB3FFD" w:rsidRPr="002F1795" w:rsidRDefault="00DB3FFD">
            <w:pPr>
              <w:jc w:val="right"/>
              <w:rPr>
                <w:b/>
                <w:color w:val="000000"/>
                <w:sz w:val="18"/>
                <w:szCs w:val="18"/>
              </w:rPr>
            </w:pPr>
            <w:r w:rsidRPr="002F1795">
              <w:rPr>
                <w:b/>
                <w:color w:val="000000"/>
                <w:sz w:val="18"/>
                <w:szCs w:val="18"/>
              </w:rPr>
              <w:t xml:space="preserve">$6,817,285 </w:t>
            </w:r>
          </w:p>
        </w:tc>
        <w:tc>
          <w:tcPr>
            <w:tcW w:w="1139" w:type="dxa"/>
            <w:tcBorders>
              <w:top w:val="nil"/>
              <w:left w:val="nil"/>
              <w:bottom w:val="single" w:sz="4" w:space="0" w:color="auto"/>
              <w:right w:val="single" w:sz="4" w:space="0" w:color="auto"/>
            </w:tcBorders>
            <w:shd w:val="clear" w:color="000000" w:fill="FFFFFF"/>
            <w:noWrap/>
            <w:vAlign w:val="center"/>
            <w:hideMark/>
          </w:tcPr>
          <w:p w:rsidR="00DB3FFD" w:rsidRPr="002F1795" w:rsidRDefault="00DB3FFD">
            <w:pPr>
              <w:jc w:val="right"/>
              <w:rPr>
                <w:b/>
                <w:color w:val="000000"/>
                <w:sz w:val="18"/>
                <w:szCs w:val="18"/>
              </w:rPr>
            </w:pPr>
            <w:r w:rsidRPr="002F1795">
              <w:rPr>
                <w:b/>
                <w:color w:val="000000"/>
                <w:sz w:val="18"/>
                <w:szCs w:val="18"/>
              </w:rPr>
              <w:t xml:space="preserve">$6,506,816 </w:t>
            </w:r>
          </w:p>
        </w:tc>
        <w:tc>
          <w:tcPr>
            <w:tcW w:w="1223" w:type="dxa"/>
            <w:tcBorders>
              <w:top w:val="nil"/>
              <w:left w:val="nil"/>
              <w:bottom w:val="single" w:sz="4" w:space="0" w:color="auto"/>
              <w:right w:val="single" w:sz="4" w:space="0" w:color="auto"/>
            </w:tcBorders>
            <w:shd w:val="clear" w:color="000000" w:fill="FFFFFF"/>
            <w:noWrap/>
            <w:vAlign w:val="center"/>
            <w:hideMark/>
          </w:tcPr>
          <w:p w:rsidR="00DB3FFD" w:rsidRPr="002F1795" w:rsidRDefault="00DB3FFD">
            <w:pPr>
              <w:jc w:val="right"/>
              <w:rPr>
                <w:b/>
                <w:color w:val="000000"/>
                <w:sz w:val="18"/>
                <w:szCs w:val="18"/>
              </w:rPr>
            </w:pPr>
            <w:r w:rsidRPr="002F1795">
              <w:rPr>
                <w:b/>
                <w:color w:val="000000"/>
                <w:sz w:val="18"/>
                <w:szCs w:val="18"/>
              </w:rPr>
              <w:t xml:space="preserve">$13,324,101 </w:t>
            </w:r>
          </w:p>
        </w:tc>
      </w:tr>
      <w:tr w:rsidR="00A83DDA" w:rsidRPr="002F1795" w:rsidTr="006565F1">
        <w:trPr>
          <w:trHeight w:val="315"/>
          <w:jc w:val="center"/>
        </w:trPr>
        <w:tc>
          <w:tcPr>
            <w:tcW w:w="13176" w:type="dxa"/>
            <w:gridSpan w:val="9"/>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 xml:space="preserve">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 </w:t>
            </w:r>
          </w:p>
          <w:p w:rsidR="00A83DDA" w:rsidRPr="002F1795" w:rsidRDefault="00A83DDA" w:rsidP="006565F1">
            <w:pPr>
              <w:pStyle w:val="tablefootnote"/>
              <w:keepLines/>
            </w:pPr>
            <w:r w:rsidRPr="002F1795">
              <w:t>2.  This analysis assumes that mills will seek standard certification for uncertified product lines.  The exceptions are uncertified hardwood plywood producers, which are assumed to switch to NAF certification.</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5. Producers that are already CARB compliant are not assumed to need to perform qualifying or correlation testing because it is assumed that their previous testing is sufficient.</w:t>
            </w:r>
          </w:p>
          <w:p w:rsidR="00A83DDA" w:rsidRPr="002F1795" w:rsidRDefault="00A83DDA" w:rsidP="006565F1">
            <w:pPr>
              <w:pStyle w:val="tablefootnote"/>
              <w:keepLines/>
            </w:pPr>
            <w:r w:rsidRPr="002F1795">
              <w:t xml:space="preserve">6. On-site audits must be conducted at least once quarterly, unless the mill obtains </w:t>
            </w:r>
            <w:r w:rsidR="00564602"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564602" w:rsidRPr="002F1795">
              <w:t xml:space="preserve">ULEF or </w:t>
            </w:r>
            <w:r w:rsidRPr="002F1795">
              <w:t xml:space="preserve">NAF certifications under the CARB ATCM will only incur the initial on-site audit in the first year.  All producers with </w:t>
            </w:r>
            <w:r w:rsidR="00564602"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7. Desk audits are assumed to occur monthly</w:t>
            </w:r>
            <w:r w:rsidR="00564602"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564602" w:rsidRPr="002F1795">
              <w:t xml:space="preserve">ULEF or </w:t>
            </w:r>
            <w:r w:rsidRPr="002F1795">
              <w:t xml:space="preserve">NAF certification.  </w:t>
            </w:r>
          </w:p>
          <w:p w:rsidR="00A83DDA" w:rsidRPr="002F1795" w:rsidRDefault="00A83DDA" w:rsidP="006565F1">
            <w:pPr>
              <w:pStyle w:val="tablefootnote"/>
              <w:keepLines/>
            </w:pPr>
            <w:r w:rsidRPr="002F1795">
              <w:t xml:space="preserve">8. Firms </w:t>
            </w:r>
            <w:r w:rsidRPr="002F1795">
              <w:rPr>
                <w:szCs w:val="16"/>
              </w:rPr>
              <w:t>that are manufacturers under TSCA (i.e., composite panel producers [including the estimated two percent of wood veneer laminated product producers defined as hardwood plywood producers], fabricators, and wholesalers that import</w:t>
            </w:r>
            <w:r w:rsidRPr="002F1795">
              <w:t xml:space="preserve"> composite wood products</w:t>
            </w:r>
            <w:r w:rsidRPr="002F1795">
              <w:rPr>
                <w:szCs w:val="16"/>
              </w:rPr>
              <w:t>)</w:t>
            </w:r>
            <w:r w:rsidRPr="002F1795">
              <w:t xml:space="preserve"> must keep records showing the date of purchase, the supplier, and all precautions taken to ensure that the product meets </w:t>
            </w:r>
            <w:r w:rsidRPr="002F1795">
              <w:rPr>
                <w:szCs w:val="16"/>
              </w:rPr>
              <w:t xml:space="preserve">the </w:t>
            </w:r>
            <w:r w:rsidRPr="002F1795">
              <w:t>emissions standards.</w:t>
            </w:r>
            <w:r w:rsidRPr="002F1795">
              <w:rPr>
                <w:szCs w:val="16"/>
              </w:rPr>
              <w:t xml:space="preserve"> </w:t>
            </w:r>
            <w:r w:rsidRPr="002F1795">
              <w:t xml:space="preserve">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that are not already complying with the CARB ATCM will have initial burden to change their recordkeeping systems to comply with the TSCA Title VI rule.</w:t>
            </w:r>
          </w:p>
          <w:p w:rsidR="00A83DDA" w:rsidRPr="002F1795" w:rsidRDefault="00A83DDA" w:rsidP="006565F1">
            <w:pPr>
              <w:pStyle w:val="tablefootnote"/>
              <w:keepLines/>
            </w:pPr>
            <w:r w:rsidRPr="002F1795">
              <w:t xml:space="preserve">9. </w:t>
            </w:r>
            <w:r w:rsidR="00564602" w:rsidRPr="002F1795">
              <w:t xml:space="preserve">Panel producers, fabricators, and wholesalers </w:t>
            </w:r>
            <w:r w:rsidRPr="002F1795">
              <w:t>that package or repackage composite wood products or finished goods containing composite wood products will need to modify their labels to include their name, the date the finished good was produced, and a statement of compliance.  This analysis assumes that all 33 percent of fabricators that are not already complying with the CARB ATCM (because their products are not sold in California) will incur a non-labor cost of $125.00 for purchasing stamps for labeling.  Producers and wholesalers are not expected to incur any non-labor costs from initial labeling.</w:t>
            </w:r>
          </w:p>
          <w:p w:rsidR="00A83DDA" w:rsidRPr="002F1795" w:rsidRDefault="00A83DDA" w:rsidP="006565F1">
            <w:pPr>
              <w:pStyle w:val="tablefootnote"/>
              <w:keepLines/>
              <w:rPr>
                <w:rFonts w:ascii="Tahoma" w:hAnsi="Tahoma" w:cs="Tahoma"/>
                <w:szCs w:val="16"/>
              </w:rPr>
            </w:pPr>
            <w:r w:rsidRPr="002F1795">
              <w:t>10. Total excludes the estimated 2 percent of wood veneer laminated product producers expected to continue to use added formaldehyde resins.</w:t>
            </w:r>
          </w:p>
        </w:tc>
      </w:tr>
    </w:tbl>
    <w:p w:rsidR="00A83DDA" w:rsidRPr="002F1795" w:rsidRDefault="00A83DDA" w:rsidP="00A83DDA">
      <w:pPr>
        <w:ind w:firstLine="720"/>
      </w:pPr>
    </w:p>
    <w:tbl>
      <w:tblPr>
        <w:tblW w:w="5000" w:type="pct"/>
        <w:jc w:val="center"/>
        <w:tblLayout w:type="fixed"/>
        <w:tblCellMar>
          <w:left w:w="115" w:type="dxa"/>
          <w:right w:w="115" w:type="dxa"/>
        </w:tblCellMar>
        <w:tblLook w:val="04A0"/>
      </w:tblPr>
      <w:tblGrid>
        <w:gridCol w:w="3805"/>
        <w:gridCol w:w="990"/>
        <w:gridCol w:w="1080"/>
        <w:gridCol w:w="1260"/>
        <w:gridCol w:w="1260"/>
        <w:gridCol w:w="1260"/>
        <w:gridCol w:w="1170"/>
        <w:gridCol w:w="1170"/>
        <w:gridCol w:w="1195"/>
      </w:tblGrid>
      <w:tr w:rsidR="00A83DDA" w:rsidRPr="002F1795" w:rsidTr="006565F1">
        <w:trPr>
          <w:trHeight w:val="70"/>
          <w:tblHeader/>
          <w:jc w:val="center"/>
        </w:trPr>
        <w:tc>
          <w:tcPr>
            <w:tcW w:w="13190" w:type="dxa"/>
            <w:gridSpan w:val="9"/>
            <w:tcBorders>
              <w:top w:val="single" w:sz="8" w:space="0" w:color="auto"/>
              <w:left w:val="single" w:sz="8" w:space="0" w:color="auto"/>
              <w:bottom w:val="single" w:sz="4" w:space="0" w:color="auto"/>
              <w:right w:val="single" w:sz="8" w:space="0" w:color="000000"/>
            </w:tcBorders>
            <w:shd w:val="clear" w:color="000000" w:fill="A6A6A6"/>
            <w:noWrap/>
            <w:vAlign w:val="bottom"/>
            <w:hideMark/>
          </w:tcPr>
          <w:p w:rsidR="00A83DDA" w:rsidRPr="002F1795" w:rsidRDefault="00A83DDA" w:rsidP="006565F1">
            <w:pPr>
              <w:pStyle w:val="TableTitle"/>
              <w:keepNext/>
              <w:keepLines/>
            </w:pPr>
            <w:bookmarkStart w:id="31" w:name="_Ref309299614"/>
            <w:r w:rsidRPr="002F1795">
              <w:rPr>
                <w:rStyle w:val="TableTitleChar"/>
              </w:rPr>
              <w:lastRenderedPageBreak/>
              <w:t>Exhibit 6-</w:t>
            </w:r>
            <w:r w:rsidR="0041046E" w:rsidRPr="002F1795">
              <w:rPr>
                <w:rStyle w:val="TableTitleChar"/>
              </w:rPr>
              <w:fldChar w:fldCharType="begin"/>
            </w:r>
            <w:r w:rsidRPr="002F1795">
              <w:rPr>
                <w:rStyle w:val="TableTitleChar"/>
              </w:rPr>
              <w:instrText xml:space="preserve"> SEQ Exhibit_6- \* ARABIC </w:instrText>
            </w:r>
            <w:r w:rsidR="0041046E" w:rsidRPr="002F1795">
              <w:rPr>
                <w:rStyle w:val="TableTitleChar"/>
              </w:rPr>
              <w:fldChar w:fldCharType="separate"/>
            </w:r>
            <w:r w:rsidR="0036394F">
              <w:rPr>
                <w:rStyle w:val="TableTitleChar"/>
                <w:noProof/>
              </w:rPr>
              <w:t>28</w:t>
            </w:r>
            <w:r w:rsidR="0041046E" w:rsidRPr="002F1795">
              <w:rPr>
                <w:rStyle w:val="TableTitleChar"/>
              </w:rPr>
              <w:fldChar w:fldCharType="end"/>
            </w:r>
            <w:bookmarkEnd w:id="31"/>
            <w:r w:rsidRPr="002F1795">
              <w:rPr>
                <w:rStyle w:val="TableTitleChar"/>
              </w:rPr>
              <w:t xml:space="preserve">: </w:t>
            </w:r>
            <w:r w:rsidRPr="002F1795">
              <w:t>Three Year Average Incremental Non-Labor Costs, by Activity and Geographic Location ($2010)</w:t>
            </w:r>
          </w:p>
        </w:tc>
      </w:tr>
      <w:tr w:rsidR="00A83DDA" w:rsidRPr="002F1795" w:rsidTr="006565F1">
        <w:trPr>
          <w:trHeight w:val="300"/>
          <w:tblHeader/>
          <w:jc w:val="center"/>
        </w:trPr>
        <w:tc>
          <w:tcPr>
            <w:tcW w:w="3805"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Activity</w:t>
            </w:r>
          </w:p>
        </w:tc>
        <w:tc>
          <w:tcPr>
            <w:tcW w:w="3330" w:type="dxa"/>
            <w:gridSpan w:val="3"/>
            <w:tcBorders>
              <w:top w:val="single" w:sz="4" w:space="0" w:color="auto"/>
              <w:left w:val="nil"/>
              <w:bottom w:val="single" w:sz="4" w:space="0" w:color="auto"/>
              <w:right w:val="single" w:sz="4" w:space="0" w:color="000000"/>
            </w:tcBorders>
            <w:shd w:val="clear" w:color="000000" w:fill="FFFFFF"/>
            <w:vAlign w:val="center"/>
            <w:hideMark/>
          </w:tcPr>
          <w:p w:rsidR="00A83DDA" w:rsidRPr="002F1795" w:rsidRDefault="00A83DDA" w:rsidP="006565F1">
            <w:pPr>
              <w:pStyle w:val="TableSubtitle"/>
            </w:pPr>
            <w:r w:rsidRPr="002F1795">
              <w:t>Number of Respondents</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Number of Activities Per Respondent</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Cost Per Activity</w:t>
            </w:r>
          </w:p>
        </w:tc>
        <w:tc>
          <w:tcPr>
            <w:tcW w:w="3535" w:type="dxa"/>
            <w:gridSpan w:val="3"/>
            <w:tcBorders>
              <w:top w:val="single" w:sz="4" w:space="0" w:color="auto"/>
              <w:left w:val="nil"/>
              <w:bottom w:val="single" w:sz="4" w:space="0" w:color="auto"/>
              <w:right w:val="single" w:sz="4" w:space="0" w:color="000000"/>
            </w:tcBorders>
            <w:shd w:val="clear" w:color="000000" w:fill="FFFFFF"/>
            <w:vAlign w:val="center"/>
            <w:hideMark/>
          </w:tcPr>
          <w:p w:rsidR="00A83DDA" w:rsidRPr="002F1795" w:rsidRDefault="00A83DDA" w:rsidP="006565F1">
            <w:pPr>
              <w:pStyle w:val="TableSubtitle"/>
            </w:pPr>
            <w:r w:rsidRPr="002F1795">
              <w:t>Total Cost</w:t>
            </w:r>
          </w:p>
        </w:tc>
      </w:tr>
      <w:tr w:rsidR="00A83DDA" w:rsidRPr="002F1795" w:rsidTr="006565F1">
        <w:trPr>
          <w:trHeight w:val="285"/>
          <w:tblHeader/>
          <w:jc w:val="center"/>
        </w:trPr>
        <w:tc>
          <w:tcPr>
            <w:tcW w:w="3805" w:type="dxa"/>
            <w:vMerge/>
            <w:tcBorders>
              <w:top w:val="single" w:sz="4" w:space="0" w:color="auto"/>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99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08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r w:rsidRPr="002F1795">
              <w:rPr>
                <w:vertAlign w:val="superscript"/>
              </w:rPr>
              <w:t>1</w:t>
            </w:r>
          </w:p>
        </w:tc>
        <w:tc>
          <w:tcPr>
            <w:tcW w:w="126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Total</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17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Domestic</w:t>
            </w:r>
          </w:p>
        </w:tc>
        <w:tc>
          <w:tcPr>
            <w:tcW w:w="1170" w:type="dxa"/>
            <w:tcBorders>
              <w:top w:val="nil"/>
              <w:left w:val="nil"/>
              <w:bottom w:val="single" w:sz="4" w:space="0" w:color="auto"/>
              <w:right w:val="single" w:sz="4" w:space="0" w:color="auto"/>
            </w:tcBorders>
            <w:shd w:val="clear" w:color="000000" w:fill="FFFFFF"/>
            <w:vAlign w:val="center"/>
            <w:hideMark/>
          </w:tcPr>
          <w:p w:rsidR="00A83DDA" w:rsidRPr="002F1795" w:rsidRDefault="00A83DDA" w:rsidP="006565F1">
            <w:pPr>
              <w:pStyle w:val="TableSubtitle"/>
            </w:pPr>
            <w:r w:rsidRPr="002F1795">
              <w:t>Foreign</w:t>
            </w:r>
          </w:p>
        </w:tc>
        <w:tc>
          <w:tcPr>
            <w:tcW w:w="1195" w:type="dxa"/>
            <w:tcBorders>
              <w:top w:val="nil"/>
              <w:left w:val="nil"/>
              <w:bottom w:val="single" w:sz="4" w:space="0" w:color="auto"/>
              <w:right w:val="single" w:sz="8" w:space="0" w:color="auto"/>
            </w:tcBorders>
            <w:shd w:val="clear" w:color="000000" w:fill="FFFFFF"/>
            <w:vAlign w:val="center"/>
            <w:hideMark/>
          </w:tcPr>
          <w:p w:rsidR="00A83DDA" w:rsidRPr="002F1795" w:rsidRDefault="00A83DDA" w:rsidP="006565F1">
            <w:pPr>
              <w:pStyle w:val="TableSubtitle"/>
            </w:pPr>
            <w:r w:rsidRPr="002F1795">
              <w:t>Total</w:t>
            </w:r>
          </w:p>
        </w:tc>
      </w:tr>
      <w:tr w:rsidR="00A83DDA" w:rsidRPr="002F1795" w:rsidTr="006565F1">
        <w:trPr>
          <w:trHeight w:val="77"/>
          <w:jc w:val="center"/>
        </w:trPr>
        <w:tc>
          <w:tcPr>
            <w:tcW w:w="3805"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pPr>
            <w:r w:rsidRPr="002F1795">
              <w:t>1. Rule Familiarization</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2. Certification Fee</w:t>
            </w:r>
            <w:r w:rsidRPr="002F1795">
              <w:rPr>
                <w:vertAlign w:val="superscript"/>
              </w:rPr>
              <w:t>2</w:t>
            </w:r>
          </w:p>
        </w:tc>
      </w:tr>
      <w:tr w:rsidR="00A83DDA"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Uncertified to Standard</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$6,000.00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$1,662,000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$924,000</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$2,586,000</w:t>
            </w:r>
          </w:p>
        </w:tc>
      </w:tr>
      <w:tr w:rsidR="00A83DDA"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NAF (With New Certification)</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211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222</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$4,466.67</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$49,133</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$942,467</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5E0F6E">
            <w:pPr>
              <w:jc w:val="right"/>
              <w:rPr>
                <w:color w:val="000000"/>
                <w:sz w:val="18"/>
                <w:szCs w:val="18"/>
              </w:rPr>
            </w:pPr>
            <w:r w:rsidRPr="002F1795">
              <w:rPr>
                <w:color w:val="000000"/>
                <w:sz w:val="18"/>
                <w:szCs w:val="18"/>
              </w:rPr>
              <w:t>$991,60</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3. Initial On-site Audit</w:t>
            </w:r>
          </w:p>
        </w:tc>
      </w:tr>
      <w:tr w:rsidR="00A83DDA"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With Existing Certifications</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764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846</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$450.00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rPr>
                <w:color w:val="000000"/>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rPr>
                <w:color w:val="000000"/>
                <w:szCs w:val="18"/>
              </w:rPr>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rPr>
                <w:color w:val="000000"/>
                <w:szCs w:val="18"/>
              </w:rPr>
              <w:t>-</w:t>
            </w:r>
          </w:p>
        </w:tc>
      </w:tr>
      <w:tr w:rsidR="005E0F6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5E0F6E" w:rsidRPr="002F1795" w:rsidRDefault="005E0F6E" w:rsidP="006565F1">
            <w:pPr>
              <w:pStyle w:val="TableText"/>
              <w:ind w:left="180"/>
            </w:pPr>
            <w:r w:rsidRPr="002F1795">
              <w:t>Without Existing Certifications</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E0F6E" w:rsidRPr="002F1795" w:rsidRDefault="005E0F6E" w:rsidP="006565F1">
            <w:pPr>
              <w:pStyle w:val="TableText"/>
              <w:jc w:val="right"/>
            </w:pPr>
            <w:r w:rsidRPr="002F1795">
              <w:rPr>
                <w:color w:val="000000"/>
                <w:szCs w:val="18"/>
              </w:rPr>
              <w:t>288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E0F6E" w:rsidRPr="002F1795" w:rsidRDefault="005E0F6E" w:rsidP="006565F1">
            <w:pPr>
              <w:pStyle w:val="TableText"/>
              <w:jc w:val="right"/>
            </w:pPr>
            <w:r w:rsidRPr="002F1795">
              <w:rPr>
                <w:color w:val="000000"/>
                <w:szCs w:val="18"/>
              </w:rPr>
              <w:t>365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E0F6E" w:rsidRPr="002F1795" w:rsidRDefault="005E0F6E" w:rsidP="006565F1">
            <w:pPr>
              <w:pStyle w:val="TableText"/>
              <w:jc w:val="right"/>
            </w:pPr>
            <w:r w:rsidRPr="002F1795">
              <w:rPr>
                <w:color w:val="000000"/>
                <w:szCs w:val="18"/>
              </w:rPr>
              <w:t>653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E0F6E" w:rsidRPr="002F1795" w:rsidRDefault="005E0F6E" w:rsidP="006565F1">
            <w:pPr>
              <w:pStyle w:val="TableText"/>
              <w:jc w:val="right"/>
            </w:pPr>
            <w:r w:rsidRPr="002F1795">
              <w:rPr>
                <w:color w:val="000000"/>
                <w:szCs w:val="18"/>
              </w:rPr>
              <w:t>0.3333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E0F6E" w:rsidRPr="002F1795" w:rsidRDefault="005E0F6E" w:rsidP="006565F1">
            <w:pPr>
              <w:pStyle w:val="TableText"/>
              <w:jc w:val="right"/>
            </w:pPr>
            <w:r w:rsidRPr="002F1795">
              <w:rPr>
                <w:color w:val="000000"/>
                <w:szCs w:val="18"/>
              </w:rPr>
              <w:t>$450.00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F6E" w:rsidRPr="002F1795" w:rsidRDefault="005E0F6E">
            <w:pPr>
              <w:jc w:val="right"/>
              <w:rPr>
                <w:color w:val="000000"/>
                <w:sz w:val="18"/>
                <w:szCs w:val="18"/>
              </w:rPr>
            </w:pPr>
            <w:r w:rsidRPr="002F1795">
              <w:rPr>
                <w:color w:val="000000"/>
                <w:sz w:val="18"/>
                <w:szCs w:val="18"/>
              </w:rPr>
              <w:t xml:space="preserve">$43,200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0F6E" w:rsidRPr="002F1795" w:rsidRDefault="005E0F6E">
            <w:pPr>
              <w:jc w:val="right"/>
              <w:rPr>
                <w:color w:val="000000"/>
                <w:sz w:val="18"/>
                <w:szCs w:val="18"/>
              </w:rPr>
            </w:pPr>
            <w:r w:rsidRPr="002F1795">
              <w:rPr>
                <w:color w:val="000000"/>
                <w:sz w:val="18"/>
                <w:szCs w:val="18"/>
              </w:rPr>
              <w:t xml:space="preserve">$54,750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5E0F6E" w:rsidRPr="002F1795" w:rsidRDefault="005E0F6E">
            <w:pPr>
              <w:jc w:val="right"/>
              <w:rPr>
                <w:color w:val="000000"/>
                <w:sz w:val="18"/>
                <w:szCs w:val="18"/>
              </w:rPr>
            </w:pPr>
            <w:r w:rsidRPr="002F1795">
              <w:rPr>
                <w:color w:val="000000"/>
                <w:sz w:val="18"/>
                <w:szCs w:val="18"/>
              </w:rPr>
              <w:t xml:space="preserve">$97,950 </w:t>
            </w:r>
          </w:p>
        </w:tc>
      </w:tr>
      <w:tr w:rsidR="00A83DDA"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4. Develop Quality Control Manual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80"/>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5. Qualifying Test</w:t>
            </w:r>
            <w:r w:rsidRPr="002F1795">
              <w:rPr>
                <w:vertAlign w:val="superscript"/>
              </w:rPr>
              <w:t>5</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pPr>
            <w:r w:rsidRPr="002F1795">
              <w:t>1 Product</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69</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$4,000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$51,200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$55,200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pPr>
            <w:r w:rsidRPr="002F1795">
              <w:t>2 Products</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288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653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$460,800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$584,000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$1,044,800 </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6. Qualifying Test Shipping</w:t>
            </w:r>
            <w:r w:rsidRPr="002F1795">
              <w:rPr>
                <w:vertAlign w:val="superscript"/>
              </w:rPr>
              <w:t>5</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pPr>
            <w:r w:rsidRPr="002F1795">
              <w:t>1 Product</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69</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0.3333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$333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$4,267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$4,600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pPr>
            <w:r w:rsidRPr="002F1795">
              <w:t>2 Products</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288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653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0.6667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$38,400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$48,667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$87,067 </w:t>
            </w:r>
          </w:p>
        </w:tc>
      </w:tr>
      <w:tr w:rsidR="00A83DDA" w:rsidRPr="002F1795" w:rsidTr="006565F1">
        <w:trPr>
          <w:trHeight w:val="77"/>
          <w:jc w:val="center"/>
        </w:trPr>
        <w:tc>
          <w:tcPr>
            <w:tcW w:w="3805" w:type="dxa"/>
            <w:tcBorders>
              <w:top w:val="nil"/>
              <w:left w:val="single" w:sz="8"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pPr>
            <w:r w:rsidRPr="002F1795">
              <w:t>7. Correlation Test</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rsidR="00A83DDA" w:rsidRPr="002F1795" w:rsidRDefault="00A83DDA" w:rsidP="006565F1">
            <w:pPr>
              <w:pStyle w:val="TableText"/>
              <w:jc w:val="center"/>
            </w:pPr>
            <w:r w:rsidRPr="002F1795">
              <w:t>-</w:t>
            </w:r>
          </w:p>
        </w:tc>
      </w:tr>
      <w:tr w:rsidR="00A83DDA" w:rsidRPr="002F1795" w:rsidTr="006565F1">
        <w:trPr>
          <w:trHeight w:val="80"/>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8. Quarterly On-site Audit</w:t>
            </w:r>
            <w:r w:rsidRPr="002F1795">
              <w:rPr>
                <w:vertAlign w:val="superscript"/>
              </w:rPr>
              <w:t>5</w:t>
            </w:r>
          </w:p>
        </w:tc>
      </w:tr>
      <w:tr w:rsidR="00F624FE" w:rsidRPr="002F1795" w:rsidTr="004D6A55">
        <w:trPr>
          <w:trHeight w:val="152"/>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pPr>
            <w:r w:rsidRPr="002F1795">
              <w:t>Uncertified to Standard</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277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154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431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$457,050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$254,100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$711,150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pPr>
            <w:r w:rsidRPr="002F1795">
              <w:t>NAF (With New Certification)</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211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222</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$11,550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$221,550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$233,100 </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9. Large Scale Testing Fee</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1 New Standard</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69</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$8,800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$112,640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$121,440 </w:t>
            </w:r>
          </w:p>
        </w:tc>
      </w:tr>
      <w:tr w:rsidR="00F624FE" w:rsidRPr="002F1795" w:rsidTr="004D6A55">
        <w:trPr>
          <w:trHeight w:val="80"/>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2 New Standard</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277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154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431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7.3333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$975,040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$542,080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$1,517,120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2 ULEF to 2 Standard</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125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$31,680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$328,320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$360,000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1 New NAF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71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$2,880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$31,200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$34,080 </w:t>
            </w:r>
          </w:p>
        </w:tc>
      </w:tr>
      <w:tr w:rsidR="00F624FE" w:rsidRPr="002F1795" w:rsidTr="004D6A55">
        <w:trPr>
          <w:trHeight w:val="188"/>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F624FE" w:rsidRPr="002F1795" w:rsidRDefault="00F624FE" w:rsidP="004D6A55">
            <w:pPr>
              <w:pStyle w:val="TableText"/>
              <w:ind w:left="172"/>
            </w:pPr>
            <w:r w:rsidRPr="002F1795">
              <w:t xml:space="preserve">2 New NAF </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146</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151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2.0000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 xml:space="preserve">$4,800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 xml:space="preserve">$140,160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 xml:space="preserve">$144,960 </w:t>
            </w:r>
          </w:p>
        </w:tc>
      </w:tr>
      <w:tr w:rsidR="00F624FE" w:rsidRPr="002F1795" w:rsidTr="004D6A55">
        <w:trPr>
          <w:trHeight w:val="188"/>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72"/>
            </w:pPr>
            <w:r w:rsidRPr="002F1795">
              <w:t>1 NAF and 1 ULEF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71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$14,400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$156,000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$170,400 </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10. Large Scale Testing Shipment</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1 New Standard</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69</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$917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$11,733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$12,650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2 New Standard</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277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154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431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7.3333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$101,567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$56,467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$158,033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2 ULEF to 2 Standard</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125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$3,300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$34,200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$37,500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80"/>
            </w:pPr>
            <w:r w:rsidRPr="002F1795">
              <w:t>1 New NAF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71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$3,250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$3,550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F624FE" w:rsidRPr="002F1795" w:rsidRDefault="00F624FE" w:rsidP="004D6A55">
            <w:pPr>
              <w:pStyle w:val="TableText"/>
              <w:ind w:left="172"/>
            </w:pPr>
            <w:r w:rsidRPr="002F1795">
              <w:t xml:space="preserve">2 New NAF </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146</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151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2.0000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 xml:space="preserve">$500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 xml:space="preserve">$14,600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tcPr>
          <w:p w:rsidR="00F624FE" w:rsidRPr="002F1795" w:rsidRDefault="00F624FE">
            <w:pPr>
              <w:jc w:val="right"/>
              <w:rPr>
                <w:color w:val="000000"/>
                <w:sz w:val="18"/>
                <w:szCs w:val="18"/>
              </w:rPr>
            </w:pPr>
            <w:r w:rsidRPr="002F1795">
              <w:rPr>
                <w:color w:val="000000"/>
                <w:sz w:val="18"/>
                <w:szCs w:val="18"/>
              </w:rPr>
              <w:t xml:space="preserve">$15,100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72"/>
            </w:pPr>
            <w:r w:rsidRPr="002F1795">
              <w:t>1 NAF and 1 ULEF</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71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$1,500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$16,250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$17,750 </w:t>
            </w:r>
          </w:p>
        </w:tc>
      </w:tr>
      <w:tr w:rsidR="00F624FE" w:rsidRPr="002F1795" w:rsidTr="004D6A55">
        <w:trPr>
          <w:trHeight w:val="215"/>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pPr>
            <w:r w:rsidRPr="002F1795">
              <w:t>11. On-site Audit Travel</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288</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365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653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$1,500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$432,000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$547,500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$979,500 </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12. Desk Audits</w:t>
            </w:r>
            <w:r w:rsidRPr="002F1795">
              <w:rPr>
                <w:vertAlign w:val="superscript"/>
              </w:rPr>
              <w:t>7</w:t>
            </w:r>
          </w:p>
        </w:tc>
      </w:tr>
      <w:tr w:rsidR="00A83DDA" w:rsidRPr="002F1795" w:rsidTr="006565F1">
        <w:trPr>
          <w:trHeight w:val="143"/>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pPr>
            <w:r w:rsidRPr="002F1795">
              <w:t>Uncertified to Standard</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277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154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431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8.0000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r w:rsidRPr="002F1795">
              <w:rPr>
                <w:color w:val="000000"/>
                <w:szCs w:val="18"/>
              </w:rPr>
              <w:t>$250.00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$554,000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$308,000</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A83DDA" w:rsidRPr="002F1795" w:rsidRDefault="00A83DDA" w:rsidP="006565F1">
            <w:pPr>
              <w:jc w:val="right"/>
              <w:rPr>
                <w:color w:val="000000"/>
                <w:sz w:val="18"/>
                <w:szCs w:val="18"/>
              </w:rPr>
            </w:pPr>
            <w:r w:rsidRPr="002F1795">
              <w:rPr>
                <w:color w:val="000000"/>
                <w:sz w:val="18"/>
                <w:szCs w:val="18"/>
              </w:rPr>
              <w:t>$862,000</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pPr>
            <w:r w:rsidRPr="002F1795">
              <w:t>NAF (With New Certification)</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211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222</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0.6667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$250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$1,833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$35,167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$37,000 </w:t>
            </w:r>
          </w:p>
        </w:tc>
      </w:tr>
      <w:tr w:rsidR="00F624FE" w:rsidRPr="002F1795" w:rsidTr="004D6A55">
        <w:trPr>
          <w:trHeight w:val="206"/>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pPr>
            <w:r w:rsidRPr="002F1795">
              <w:t>13. Purchase of Small Chamber Testing Unit</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282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208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490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0.3333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$940,000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$693,333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$1,633,333 </w:t>
            </w:r>
          </w:p>
        </w:tc>
      </w:tr>
      <w:tr w:rsidR="00A83DDA" w:rsidRPr="002F1795" w:rsidTr="006565F1">
        <w:trPr>
          <w:trHeight w:val="80"/>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lastRenderedPageBreak/>
              <w:t>14. Quality Control Testing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15. Lost Product</w:t>
            </w:r>
          </w:p>
        </w:tc>
      </w:tr>
      <w:tr w:rsidR="00F624FE" w:rsidRPr="002F1795" w:rsidTr="004D6A55">
        <w:trPr>
          <w:trHeight w:val="98"/>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72"/>
            </w:pPr>
            <w:r w:rsidRPr="002F1795">
              <w:t>2 Standard (HWPW – Existing)</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109</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119</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416.0000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$65,229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$710,994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$776,223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72"/>
            </w:pPr>
            <w:r w:rsidRPr="002F1795">
              <w:t>2 Standard (HWPW-New)</w:t>
            </w:r>
            <w:r w:rsidRPr="002F1795">
              <w:rPr>
                <w:vertAlign w:val="superscript"/>
              </w:rPr>
              <w:t>3,4</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277</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108</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385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530.6667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$2,304,876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$898,652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$3,203,529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72"/>
            </w:pPr>
            <w:r w:rsidRPr="002F1795">
              <w:t>2 NAF (HWPW-New)</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211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222</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48.6667</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$16</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$8,394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$161,013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$169,407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4D6A55">
            <w:pPr>
              <w:pStyle w:val="TableText"/>
              <w:ind w:left="172"/>
            </w:pPr>
            <w:r w:rsidRPr="002F1795">
              <w:t>2 Standard (PB/MDF - New)</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5</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265.3333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$9</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$11,887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$261,513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$273,399 </w:t>
            </w:r>
          </w:p>
        </w:tc>
      </w:tr>
      <w:tr w:rsidR="00F624FE" w:rsidRPr="002F1795" w:rsidTr="004D6A55">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pPr>
            <w:r w:rsidRPr="002F1795">
              <w:t>16. Initial Recordkeeping</w:t>
            </w:r>
            <w:r w:rsidRPr="002F1795">
              <w:rPr>
                <w:vertAlign w:val="superscript"/>
              </w:rPr>
              <w:t>8</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8,576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11,945</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20,521</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0.3333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$1,000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$2,858,667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$3,981,667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$6,840,333 </w:t>
            </w:r>
          </w:p>
        </w:tc>
      </w:tr>
      <w:tr w:rsidR="00A83DDA"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pPr>
            <w:r w:rsidRPr="002F1795">
              <w:t>17. Recurring Recordkeeping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270"/>
          <w:jc w:val="center"/>
        </w:trPr>
        <w:tc>
          <w:tcPr>
            <w:tcW w:w="13190" w:type="dxa"/>
            <w:gridSpan w:val="9"/>
            <w:tcBorders>
              <w:top w:val="single" w:sz="4" w:space="0" w:color="auto"/>
              <w:left w:val="single" w:sz="8"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pPr>
            <w:r w:rsidRPr="002F1795">
              <w:t>18. Initial Labeling</w:t>
            </w:r>
            <w:r w:rsidRPr="002F1795">
              <w:rPr>
                <w:vertAlign w:val="superscript"/>
              </w:rPr>
              <w:t>9</w:t>
            </w:r>
          </w:p>
        </w:tc>
      </w:tr>
      <w:tr w:rsidR="00A83DDA"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Producers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A83DDA"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ind w:left="180"/>
              <w:rPr>
                <w:rFonts w:ascii="Tahoma" w:hAnsi="Tahoma" w:cs="Tahoma"/>
                <w:szCs w:val="16"/>
              </w:rPr>
            </w:pPr>
            <w:r w:rsidRPr="002F1795">
              <w:t>Minor Changes - Fabricators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bottom"/>
            <w:hideMark/>
          </w:tcPr>
          <w:p w:rsidR="00A83DDA" w:rsidRPr="002F1795" w:rsidRDefault="00A83DDA" w:rsidP="006565F1">
            <w:pPr>
              <w:pStyle w:val="TableText"/>
              <w:jc w:val="center"/>
            </w:pPr>
            <w:r w:rsidRPr="002F1795">
              <w:t>-</w:t>
            </w:r>
          </w:p>
        </w:tc>
      </w:tr>
      <w:tr w:rsidR="00F624FE" w:rsidRPr="002F1795" w:rsidTr="004D6A55">
        <w:trPr>
          <w:trHeight w:val="85"/>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rPr>
                <w:rFonts w:ascii="Tahoma" w:hAnsi="Tahoma" w:cs="Tahoma"/>
                <w:szCs w:val="16"/>
              </w:rPr>
            </w:pPr>
            <w:r w:rsidRPr="002F1795">
              <w:t>Major Changes – Producers</w:t>
            </w:r>
            <w:r w:rsidRPr="002F1795">
              <w:rPr>
                <w:vertAlign w:val="superscript"/>
              </w:rPr>
              <w:t>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jc w:val="right"/>
              <w:rPr>
                <w:rFonts w:ascii="Tahoma" w:hAnsi="Tahoma" w:cs="Tahoma"/>
                <w:szCs w:val="16"/>
              </w:rPr>
            </w:pPr>
            <w:r w:rsidRPr="002F1795">
              <w:t>277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jc w:val="right"/>
              <w:rPr>
                <w:rFonts w:ascii="Tahoma" w:hAnsi="Tahoma" w:cs="Tahoma"/>
                <w:szCs w:val="16"/>
              </w:rPr>
            </w:pPr>
            <w:r w:rsidRPr="002F1795">
              <w:t>108</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jc w:val="right"/>
              <w:rPr>
                <w:rFonts w:ascii="Tahoma" w:hAnsi="Tahoma" w:cs="Tahoma"/>
                <w:szCs w:val="16"/>
              </w:rPr>
            </w:pPr>
            <w:r w:rsidRPr="002F1795">
              <w:t>385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jc w:val="right"/>
              <w:rPr>
                <w:rFonts w:ascii="Tahoma" w:hAnsi="Tahoma" w:cs="Tahoma"/>
                <w:szCs w:val="16"/>
              </w:rPr>
            </w:pPr>
            <w:r w:rsidRPr="002F1795">
              <w:t>0.3333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jc w:val="right"/>
              <w:rPr>
                <w:rFonts w:ascii="Tahoma" w:hAnsi="Tahoma" w:cs="Tahoma"/>
                <w:szCs w:val="16"/>
              </w:rPr>
            </w:pPr>
            <w:r w:rsidRPr="002F1795">
              <w:t>$125.00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$11,542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$4,500 </w:t>
            </w:r>
          </w:p>
        </w:tc>
        <w:tc>
          <w:tcPr>
            <w:tcW w:w="1195" w:type="dxa"/>
            <w:tcBorders>
              <w:top w:val="single" w:sz="4" w:space="0" w:color="auto"/>
              <w:left w:val="single" w:sz="4" w:space="0" w:color="auto"/>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$16,042 </w:t>
            </w:r>
          </w:p>
        </w:tc>
      </w:tr>
      <w:tr w:rsidR="00F624FE" w:rsidRPr="002F1795" w:rsidTr="006565F1">
        <w:trPr>
          <w:trHeight w:val="77"/>
          <w:jc w:val="center"/>
        </w:trPr>
        <w:tc>
          <w:tcPr>
            <w:tcW w:w="3805"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rsidR="00F624FE" w:rsidRPr="002F1795" w:rsidRDefault="00F624FE" w:rsidP="006565F1">
            <w:pPr>
              <w:pStyle w:val="TableText"/>
              <w:ind w:left="180"/>
              <w:rPr>
                <w:rFonts w:ascii="Tahoma" w:hAnsi="Tahoma" w:cs="Tahoma"/>
                <w:szCs w:val="16"/>
              </w:rPr>
            </w:pPr>
            <w:r w:rsidRPr="002F1795">
              <w:t>Major Changes - Fabricators and Wholesalers</w:t>
            </w:r>
            <w:r w:rsidRPr="002F1795">
              <w:rPr>
                <w:vertAlign w:val="superscript"/>
              </w:rPr>
              <w:t>10</w:t>
            </w:r>
          </w:p>
        </w:tc>
        <w:tc>
          <w:tcPr>
            <w:tcW w:w="9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rsidP="006565F1">
            <w:pPr>
              <w:pStyle w:val="TableText"/>
              <w:jc w:val="right"/>
            </w:pPr>
            <w:r w:rsidRPr="002F1795">
              <w:t>16,266</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rsidP="006565F1">
            <w:pPr>
              <w:pStyle w:val="TableText"/>
              <w:jc w:val="right"/>
            </w:pPr>
            <w:r w:rsidRPr="002F1795">
              <w:t>6,344</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rsidP="006565F1">
            <w:pPr>
              <w:pStyle w:val="TableText"/>
              <w:jc w:val="right"/>
            </w:pPr>
            <w:r w:rsidRPr="002F1795">
              <w:t>22,610</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rsidP="006565F1">
            <w:pPr>
              <w:pStyle w:val="TableText"/>
              <w:jc w:val="right"/>
            </w:pPr>
            <w:r w:rsidRPr="002F1795">
              <w:t>0.3333</w:t>
            </w: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rsidP="006565F1">
            <w:pPr>
              <w:pStyle w:val="TableText"/>
              <w:jc w:val="right"/>
            </w:pPr>
            <w:r w:rsidRPr="002F1795">
              <w:t>$125.00</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$677,750 </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$264,333 </w:t>
            </w:r>
          </w:p>
        </w:tc>
        <w:tc>
          <w:tcPr>
            <w:tcW w:w="1195"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F624FE" w:rsidRPr="002F1795" w:rsidRDefault="00F624FE">
            <w:pPr>
              <w:jc w:val="right"/>
              <w:rPr>
                <w:color w:val="000000"/>
                <w:sz w:val="18"/>
                <w:szCs w:val="18"/>
              </w:rPr>
            </w:pPr>
            <w:r w:rsidRPr="002F1795">
              <w:rPr>
                <w:color w:val="000000"/>
                <w:sz w:val="18"/>
                <w:szCs w:val="18"/>
              </w:rPr>
              <w:t xml:space="preserve">$942,083 </w:t>
            </w:r>
          </w:p>
        </w:tc>
      </w:tr>
      <w:tr w:rsidR="00F624FE" w:rsidRPr="002F1795" w:rsidTr="004D6A55">
        <w:trPr>
          <w:trHeight w:val="77"/>
          <w:jc w:val="center"/>
        </w:trPr>
        <w:tc>
          <w:tcPr>
            <w:tcW w:w="9655" w:type="dxa"/>
            <w:gridSpan w:val="6"/>
            <w:tcBorders>
              <w:top w:val="single" w:sz="4" w:space="0" w:color="auto"/>
              <w:left w:val="single" w:sz="8" w:space="0" w:color="auto"/>
              <w:bottom w:val="single" w:sz="4" w:space="0" w:color="auto"/>
              <w:right w:val="single" w:sz="4" w:space="0" w:color="000000"/>
            </w:tcBorders>
            <w:shd w:val="clear" w:color="000000" w:fill="FFFFFF"/>
            <w:noWrap/>
            <w:vAlign w:val="center"/>
            <w:hideMark/>
          </w:tcPr>
          <w:p w:rsidR="00F624FE" w:rsidRPr="002F1795" w:rsidRDefault="00F624FE" w:rsidP="006565F1">
            <w:pPr>
              <w:pStyle w:val="TableText"/>
              <w:rPr>
                <w:b/>
                <w:bCs/>
              </w:rPr>
            </w:pPr>
            <w:r w:rsidRPr="002F1795">
              <w:rPr>
                <w:b/>
                <w:bCs/>
              </w:rPr>
              <w:t>Three-Year Average Cost</w:t>
            </w:r>
          </w:p>
        </w:tc>
        <w:tc>
          <w:tcPr>
            <w:tcW w:w="1170" w:type="dxa"/>
            <w:tcBorders>
              <w:top w:val="nil"/>
              <w:left w:val="nil"/>
              <w:bottom w:val="single" w:sz="4" w:space="0" w:color="auto"/>
              <w:right w:val="single" w:sz="4" w:space="0" w:color="auto"/>
            </w:tcBorders>
            <w:shd w:val="clear" w:color="000000" w:fill="FFFFFF"/>
            <w:noWrap/>
            <w:vAlign w:val="center"/>
            <w:hideMark/>
          </w:tcPr>
          <w:p w:rsidR="00F624FE" w:rsidRPr="002F1795" w:rsidRDefault="00F624FE">
            <w:pPr>
              <w:jc w:val="right"/>
              <w:rPr>
                <w:b/>
                <w:color w:val="000000"/>
                <w:sz w:val="18"/>
                <w:szCs w:val="18"/>
              </w:rPr>
            </w:pPr>
            <w:r w:rsidRPr="002F1795">
              <w:rPr>
                <w:b/>
                <w:color w:val="000000"/>
                <w:sz w:val="18"/>
                <w:szCs w:val="18"/>
              </w:rPr>
              <w:t xml:space="preserve">$11,738,328 </w:t>
            </w:r>
          </w:p>
        </w:tc>
        <w:tc>
          <w:tcPr>
            <w:tcW w:w="1170" w:type="dxa"/>
            <w:tcBorders>
              <w:top w:val="nil"/>
              <w:left w:val="nil"/>
              <w:bottom w:val="single" w:sz="4" w:space="0" w:color="auto"/>
              <w:right w:val="single" w:sz="4" w:space="0" w:color="auto"/>
            </w:tcBorders>
            <w:shd w:val="clear" w:color="000000" w:fill="FFFFFF"/>
            <w:noWrap/>
            <w:vAlign w:val="center"/>
            <w:hideMark/>
          </w:tcPr>
          <w:p w:rsidR="00F624FE" w:rsidRPr="002F1795" w:rsidRDefault="00F624FE">
            <w:pPr>
              <w:jc w:val="right"/>
              <w:rPr>
                <w:b/>
                <w:color w:val="000000"/>
                <w:sz w:val="18"/>
                <w:szCs w:val="18"/>
              </w:rPr>
            </w:pPr>
            <w:r w:rsidRPr="002F1795">
              <w:rPr>
                <w:b/>
                <w:color w:val="000000"/>
                <w:sz w:val="18"/>
                <w:szCs w:val="18"/>
              </w:rPr>
              <w:t xml:space="preserve">$12,398,573 </w:t>
            </w:r>
          </w:p>
        </w:tc>
        <w:tc>
          <w:tcPr>
            <w:tcW w:w="1195" w:type="dxa"/>
            <w:tcBorders>
              <w:top w:val="nil"/>
              <w:left w:val="nil"/>
              <w:bottom w:val="single" w:sz="4" w:space="0" w:color="auto"/>
              <w:right w:val="single" w:sz="4" w:space="0" w:color="auto"/>
            </w:tcBorders>
            <w:shd w:val="clear" w:color="000000" w:fill="FFFFFF"/>
            <w:noWrap/>
            <w:vAlign w:val="center"/>
            <w:hideMark/>
          </w:tcPr>
          <w:p w:rsidR="00F624FE" w:rsidRPr="002F1795" w:rsidRDefault="00F624FE">
            <w:pPr>
              <w:jc w:val="right"/>
              <w:rPr>
                <w:b/>
                <w:color w:val="000000"/>
                <w:sz w:val="18"/>
                <w:szCs w:val="18"/>
              </w:rPr>
            </w:pPr>
            <w:r w:rsidRPr="002F1795">
              <w:rPr>
                <w:b/>
                <w:color w:val="000000"/>
                <w:sz w:val="18"/>
                <w:szCs w:val="18"/>
              </w:rPr>
              <w:t xml:space="preserve">$24,136,899 </w:t>
            </w:r>
          </w:p>
        </w:tc>
      </w:tr>
      <w:tr w:rsidR="00A83DDA" w:rsidRPr="002F1795" w:rsidTr="006565F1">
        <w:trPr>
          <w:trHeight w:val="315"/>
          <w:jc w:val="center"/>
        </w:trPr>
        <w:tc>
          <w:tcPr>
            <w:tcW w:w="13190" w:type="dxa"/>
            <w:gridSpan w:val="9"/>
            <w:tcBorders>
              <w:top w:val="single" w:sz="4" w:space="0" w:color="auto"/>
              <w:left w:val="single" w:sz="8" w:space="0" w:color="auto"/>
              <w:bottom w:val="single" w:sz="8" w:space="0" w:color="auto"/>
              <w:right w:val="single" w:sz="8" w:space="0" w:color="000000"/>
            </w:tcBorders>
            <w:shd w:val="clear" w:color="000000" w:fill="FFFFFF"/>
            <w:hideMark/>
          </w:tcPr>
          <w:p w:rsidR="00A83DDA" w:rsidRPr="002F1795" w:rsidRDefault="00A83DDA" w:rsidP="006565F1">
            <w:pPr>
              <w:pStyle w:val="tablefootnote"/>
              <w:keepLines/>
            </w:pPr>
            <w:r w:rsidRPr="002F1795">
              <w:t xml:space="preserve">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 </w:t>
            </w:r>
          </w:p>
          <w:p w:rsidR="00A83DDA" w:rsidRPr="002F1795" w:rsidRDefault="00A83DDA" w:rsidP="006565F1">
            <w:pPr>
              <w:pStyle w:val="tablefootnote"/>
              <w:keepLines/>
            </w:pPr>
            <w:r w:rsidRPr="002F1795">
              <w:t>2.  This analysis assumes that mills will seek standard certification for uncertified product lines.  The exceptions are uncertified hardwood plywood producers, which are assumed to switch to NAF certification.</w:t>
            </w:r>
          </w:p>
          <w:p w:rsidR="00A83DDA" w:rsidRPr="002F1795" w:rsidRDefault="00A83DDA" w:rsidP="006565F1">
            <w:pPr>
              <w:pStyle w:val="tablefootnote"/>
              <w:keepLines/>
            </w:pPr>
            <w:r w:rsidRPr="002F1795">
              <w:t>3. This analysis assumes that two percent of wood veneer laminated product producers (277 domestic entities) will continue to use added formaldehyde resins and therefore their products will be defined as hardwood plywood.  A similar proportion of foreign laminators exporting to the U.S. are also assumed to continue to use added formaldehyde resins.</w:t>
            </w:r>
          </w:p>
          <w:p w:rsidR="00A83DDA" w:rsidRPr="002F1795" w:rsidRDefault="00A83DDA" w:rsidP="006565F1">
            <w:pPr>
              <w:pStyle w:val="tablefootnote"/>
              <w:keepLines/>
            </w:pPr>
            <w:r w:rsidRPr="002F1795">
              <w:t>4. Since CARB does not certify wood veneer laminated products, all producers of wood veneer laminated products defined as hardwood plywood will incur costs to have their products certified by a TPC as a result of the TSCA Title VI rule.</w:t>
            </w:r>
          </w:p>
          <w:p w:rsidR="00A83DDA" w:rsidRPr="002F1795" w:rsidRDefault="00A83DDA" w:rsidP="006565F1">
            <w:pPr>
              <w:pStyle w:val="tablefootnote"/>
              <w:keepLines/>
            </w:pPr>
            <w:r w:rsidRPr="002F1795">
              <w:t>5. Producers that are already CARB compliant are not assumed to need to perform qualifying or correlation testing because it is assumed that their previous testing is sufficient.</w:t>
            </w:r>
          </w:p>
          <w:p w:rsidR="00A83DDA" w:rsidRPr="002F1795" w:rsidRDefault="00A83DDA" w:rsidP="006565F1">
            <w:pPr>
              <w:pStyle w:val="tablefootnote"/>
              <w:keepLines/>
            </w:pPr>
            <w:r w:rsidRPr="002F1795">
              <w:t xml:space="preserve">6. On-site audits must be conducted at least once quarterly, unless the mill obtains </w:t>
            </w:r>
            <w:r w:rsidR="00CF6871" w:rsidRPr="002F1795">
              <w:t xml:space="preserve">ULEF or </w:t>
            </w:r>
            <w:r w:rsidRPr="002F1795">
              <w:t xml:space="preserve">NAF certification. This analysis assumes that producers with new NAF certifications will incur the burden associated with one on-site audit (in addition to the initial audit) and two desk audits in the first year.  Producers with existing </w:t>
            </w:r>
            <w:r w:rsidR="00CF6871" w:rsidRPr="002F1795">
              <w:t xml:space="preserve">ULEF or </w:t>
            </w:r>
            <w:r w:rsidRPr="002F1795">
              <w:t xml:space="preserve">NAF certifications under the CARB ATCM will only incur the initial on-site audit in the first year.  All producers with </w:t>
            </w:r>
            <w:r w:rsidR="00CF6871" w:rsidRPr="002F1795">
              <w:t xml:space="preserve">ULEF or </w:t>
            </w:r>
            <w:r w:rsidRPr="002F1795">
              <w:t>NAF certification will have one on-site audit annually thereafter.</w:t>
            </w:r>
          </w:p>
          <w:p w:rsidR="00A83DDA" w:rsidRPr="002F1795" w:rsidRDefault="00A83DDA" w:rsidP="006565F1">
            <w:pPr>
              <w:pStyle w:val="tablefootnote"/>
              <w:keepLines/>
            </w:pPr>
            <w:r w:rsidRPr="002F1795">
              <w:t>7. Desk audits are assumed to occur monthly</w:t>
            </w:r>
            <w:r w:rsidR="00CF6871" w:rsidRPr="002F1795">
              <w:t xml:space="preserve"> for standard certifications</w:t>
            </w:r>
            <w:r w:rsidRPr="002F1795">
              <w:t xml:space="preserve">, except in months with a quarterly on-site audit.  Producers with new NAF certifications will incur the costs associated with two desk audits in the first year; none are required in subsequent years.  No desk audits are required for respondents with existing </w:t>
            </w:r>
            <w:r w:rsidR="00CF6871" w:rsidRPr="002F1795">
              <w:t xml:space="preserve">ULEF or </w:t>
            </w:r>
            <w:r w:rsidRPr="002F1795">
              <w:t xml:space="preserve">NAF certification.  </w:t>
            </w:r>
          </w:p>
          <w:p w:rsidR="00A83DDA" w:rsidRPr="002F1795" w:rsidRDefault="00A83DDA" w:rsidP="006565F1">
            <w:pPr>
              <w:pStyle w:val="tablefootnote"/>
              <w:keepLines/>
            </w:pPr>
            <w:r w:rsidRPr="002F1795">
              <w:t xml:space="preserve">8. Firms </w:t>
            </w:r>
            <w:r w:rsidRPr="002F1795">
              <w:rPr>
                <w:szCs w:val="16"/>
              </w:rPr>
              <w:t>that are manufacturers under TSCA (i.e., composite panel producers [including the estimated two percent of wood veneer laminated product producers defined as hardwood plywood producers], fabricators, and wholesalers that import</w:t>
            </w:r>
            <w:r w:rsidRPr="002F1795">
              <w:t xml:space="preserve"> composite wood products</w:t>
            </w:r>
            <w:r w:rsidRPr="002F1795">
              <w:rPr>
                <w:szCs w:val="16"/>
              </w:rPr>
              <w:t>)</w:t>
            </w:r>
            <w:r w:rsidRPr="002F1795">
              <w:t xml:space="preserve"> must keep records showing the date of purchase, the supplier, and all precautions taken to ensure that the product meets </w:t>
            </w:r>
            <w:r w:rsidRPr="002F1795">
              <w:rPr>
                <w:szCs w:val="16"/>
              </w:rPr>
              <w:t xml:space="preserve">the </w:t>
            </w:r>
            <w:r w:rsidRPr="002F1795">
              <w:t>emissions standards.</w:t>
            </w:r>
            <w:r w:rsidRPr="002F1795">
              <w:rPr>
                <w:szCs w:val="16"/>
              </w:rPr>
              <w:t xml:space="preserve"> </w:t>
            </w:r>
            <w:r w:rsidRPr="002F1795">
              <w:t xml:space="preserve">  However, composite panel producers and fabricators are not expected to need to make any initial changes to their recordkeeping systems.  This analysis assumes that 28 percent of domestic wholesalers import composite wood products or articles that contain composite wood products.  In addition, it is assumed that 57 percent of wholesalers that are not already complying with the CARB ATCM will have initial burden to change their recordkeeping systems to comply with the TSCA Title VI rule.</w:t>
            </w:r>
          </w:p>
          <w:p w:rsidR="00A83DDA" w:rsidRPr="002F1795" w:rsidRDefault="00A83DDA" w:rsidP="006565F1">
            <w:pPr>
              <w:pStyle w:val="tablefootnote"/>
              <w:keepLines/>
            </w:pPr>
            <w:r w:rsidRPr="002F1795">
              <w:t xml:space="preserve">9. </w:t>
            </w:r>
            <w:r w:rsidR="00CF6871" w:rsidRPr="002F1795">
              <w:t xml:space="preserve">Panel producers, fabricators, and wholesalers </w:t>
            </w:r>
            <w:r w:rsidRPr="002F1795">
              <w:t xml:space="preserve">that package or repackage composite wood products or finished goods containing composite wood products will need to modify their labels to include their name, the date the finished good was produced, and a statement of compliance.  This analysis assumes that all 33 percent of fabricators that are not already complying with the CARB ATCM (because their products are not sold in California) will incur a non-labor cost of $125.00 for purchasing stamps for labeling.  Producers and wholesalers are not expected to incur any non-labor costs </w:t>
            </w:r>
            <w:r w:rsidRPr="002F1795">
              <w:lastRenderedPageBreak/>
              <w:t>from initial labeling.</w:t>
            </w:r>
          </w:p>
          <w:p w:rsidR="00A83DDA" w:rsidRPr="002F1795" w:rsidRDefault="00A83DDA" w:rsidP="006565F1">
            <w:pPr>
              <w:pStyle w:val="tablefootnote"/>
              <w:keepLines/>
              <w:rPr>
                <w:rFonts w:ascii="Tahoma" w:hAnsi="Tahoma" w:cs="Tahoma"/>
                <w:szCs w:val="16"/>
              </w:rPr>
            </w:pPr>
            <w:r w:rsidRPr="002F1795">
              <w:t>10. Total excludes the estimated 2 percent of wood veneer laminated product producers expected to continue to use added formaldehyde resins.</w:t>
            </w:r>
          </w:p>
        </w:tc>
      </w:tr>
    </w:tbl>
    <w:p w:rsidR="00A83DDA" w:rsidRPr="002F1795" w:rsidRDefault="00A83DDA" w:rsidP="00A83DDA">
      <w:pPr>
        <w:ind w:firstLine="720"/>
      </w:pPr>
    </w:p>
    <w:p w:rsidR="00A83DDA" w:rsidRPr="002F1795" w:rsidRDefault="00A83DDA" w:rsidP="00A83DDA">
      <w:pPr>
        <w:ind w:firstLine="720"/>
        <w:sectPr w:rsidR="00A83DDA" w:rsidRPr="002F1795" w:rsidSect="00A27A67">
          <w:pgSz w:w="15840" w:h="12240" w:orient="landscape"/>
          <w:pgMar w:top="1440" w:right="1440" w:bottom="1440" w:left="1440" w:header="720" w:footer="720" w:gutter="0"/>
          <w:cols w:space="720"/>
          <w:docGrid w:linePitch="360"/>
        </w:sectPr>
      </w:pPr>
    </w:p>
    <w:p w:rsidR="00A83DDA" w:rsidRPr="002F1795" w:rsidRDefault="00A83DDA" w:rsidP="00A83DDA">
      <w:pPr>
        <w:numPr>
          <w:ilvl w:val="12"/>
          <w:numId w:val="0"/>
        </w:numPr>
        <w:rPr>
          <w:b/>
        </w:rPr>
      </w:pPr>
      <w:r w:rsidRPr="002F1795">
        <w:rPr>
          <w:b/>
        </w:rPr>
        <w:lastRenderedPageBreak/>
        <w:t>(iii) Total Burden and Costs</w:t>
      </w:r>
    </w:p>
    <w:p w:rsidR="00A83DDA" w:rsidRPr="002F1795" w:rsidRDefault="00A83DDA" w:rsidP="00A83DDA">
      <w:pPr>
        <w:numPr>
          <w:ilvl w:val="12"/>
          <w:numId w:val="0"/>
        </w:numPr>
        <w:rPr>
          <w:u w:val="single"/>
        </w:rPr>
      </w:pPr>
    </w:p>
    <w:p w:rsidR="00A83DDA" w:rsidRPr="002F1795" w:rsidRDefault="00A83DDA" w:rsidP="00A83DDA">
      <w:r w:rsidRPr="002F1795">
        <w:tab/>
      </w:r>
      <w:fldSimple w:instr=" REF _Ref309300107 \h  \* MERGEFORMAT ">
        <w:r w:rsidR="0036394F" w:rsidRPr="002F1795">
          <w:t>Exhibit 6-</w:t>
        </w:r>
        <w:r w:rsidR="0036394F">
          <w:t>29</w:t>
        </w:r>
      </w:fldSimple>
      <w:r w:rsidRPr="002F1795">
        <w:t xml:space="preserve"> presents a summary of the total non-incremental burden and costs for this information collection request over the first three years of the rule, by geographic location. </w:t>
      </w:r>
      <w:fldSimple w:instr=" REF _Ref309158925 \h  \* MERGEFORMAT ">
        <w:r w:rsidR="0036394F" w:rsidRPr="002F1795">
          <w:t>Exhibit 6-</w:t>
        </w:r>
        <w:r w:rsidR="0036394F">
          <w:t>30</w:t>
        </w:r>
      </w:fldSimple>
      <w:r w:rsidRPr="002F1795">
        <w:t xml:space="preserve"> presents a summary of the total incremental burden and costs for this information collection request over the first three years of the rule, by geographic location.  As indicated, the total average domestic incremental cost over the first three years of the rule is approximately </w:t>
      </w:r>
      <w:r w:rsidR="00AB4BFB" w:rsidRPr="002F1795">
        <w:t>86</w:t>
      </w:r>
      <w:r w:rsidRPr="002F1795">
        <w:t xml:space="preserve"> percent of the total domestic cost of the rule.  Note that the incremental costs for domestic respondents presented in </w:t>
      </w:r>
      <w:fldSimple w:instr=" REF _Ref309158925 \h  \* MERGEFORMAT ">
        <w:r w:rsidR="0036394F" w:rsidRPr="002F1795">
          <w:t>Exhibit 6-</w:t>
        </w:r>
        <w:r w:rsidR="0036394F">
          <w:t>30</w:t>
        </w:r>
      </w:fldSimple>
      <w:r w:rsidRPr="002F1795">
        <w:t xml:space="preserve"> differ from the values in the Economic Analysis.  This is due to two factors: 1) the Economic Analysis includes the costs of changes to raw materials for composite panel producers, while the ICR does not (because it is not a reporting or recordkeeping cost); and 2) the burden in the ICR is calculated at the activity level and rounded to nearest tenth of a percentage, while the costs in the Economic Analysis are calculated at the establishment level.           </w:t>
      </w:r>
    </w:p>
    <w:p w:rsidR="00A83DDA" w:rsidRPr="002F1795" w:rsidRDefault="00A83DDA" w:rsidP="00A83DDA"/>
    <w:tbl>
      <w:tblPr>
        <w:tblW w:w="5000" w:type="pct"/>
        <w:jc w:val="center"/>
        <w:tblLayout w:type="fixed"/>
        <w:tblCellMar>
          <w:left w:w="115" w:type="dxa"/>
          <w:right w:w="115" w:type="dxa"/>
        </w:tblCellMar>
        <w:tblLook w:val="04A0"/>
      </w:tblPr>
      <w:tblGrid>
        <w:gridCol w:w="2693"/>
        <w:gridCol w:w="1845"/>
        <w:gridCol w:w="1845"/>
        <w:gridCol w:w="1743"/>
        <w:gridCol w:w="1464"/>
      </w:tblGrid>
      <w:tr w:rsidR="00A83DDA" w:rsidRPr="002F1795" w:rsidTr="00F624FE">
        <w:trPr>
          <w:trHeight w:val="67"/>
          <w:jc w:val="center"/>
        </w:trPr>
        <w:tc>
          <w:tcPr>
            <w:tcW w:w="9590" w:type="dxa"/>
            <w:gridSpan w:val="5"/>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pPr>
            <w:bookmarkStart w:id="32" w:name="_Ref309300107"/>
            <w:r w:rsidRPr="002F1795">
              <w:t>Exhibit 6-</w:t>
            </w:r>
            <w:r w:rsidR="0041046E">
              <w:fldChar w:fldCharType="begin"/>
            </w:r>
            <w:r w:rsidR="00441B0C">
              <w:instrText xml:space="preserve"> SEQ Exhibit_6- \* ARABIC </w:instrText>
            </w:r>
            <w:r w:rsidR="0041046E">
              <w:fldChar w:fldCharType="separate"/>
            </w:r>
            <w:r w:rsidR="0036394F">
              <w:rPr>
                <w:noProof/>
              </w:rPr>
              <w:t>29</w:t>
            </w:r>
            <w:r w:rsidR="0041046E">
              <w:rPr>
                <w:noProof/>
              </w:rPr>
              <w:fldChar w:fldCharType="end"/>
            </w:r>
            <w:bookmarkEnd w:id="32"/>
            <w:r w:rsidRPr="002F1795">
              <w:t xml:space="preserve">: </w:t>
            </w:r>
            <w:r w:rsidRPr="002F1795">
              <w:rPr>
                <w:color w:val="000000"/>
              </w:rPr>
              <w:t>Total (including baseline) Burden and Costs ($2010)</w:t>
            </w:r>
          </w:p>
        </w:tc>
      </w:tr>
      <w:tr w:rsidR="00A83DDA" w:rsidRPr="002F1795" w:rsidTr="00F624FE">
        <w:trPr>
          <w:trHeight w:val="77"/>
          <w:jc w:val="center"/>
        </w:trPr>
        <w:tc>
          <w:tcPr>
            <w:tcW w:w="2693" w:type="dxa"/>
            <w:vMerge w:val="restart"/>
            <w:tcBorders>
              <w:top w:val="nil"/>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Geographic Location of Respondents</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Labor</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Non-Labor Cost</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Total Cost</w:t>
            </w:r>
          </w:p>
        </w:tc>
      </w:tr>
      <w:tr w:rsidR="00A83DDA" w:rsidRPr="002F1795" w:rsidTr="00F624FE">
        <w:trPr>
          <w:trHeight w:val="224"/>
          <w:jc w:val="center"/>
        </w:trPr>
        <w:tc>
          <w:tcPr>
            <w:tcW w:w="2693" w:type="dxa"/>
            <w:vMerge/>
            <w:tcBorders>
              <w:top w:val="nil"/>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Hours</w:t>
            </w:r>
          </w:p>
        </w:tc>
        <w:tc>
          <w:tcPr>
            <w:tcW w:w="1845"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Cost</w:t>
            </w: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r>
      <w:tr w:rsidR="00A83DDA" w:rsidRPr="002F1795"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3DDA" w:rsidRPr="002F1795" w:rsidRDefault="00A83DDA" w:rsidP="006565F1">
            <w:pPr>
              <w:pStyle w:val="TableText"/>
              <w:jc w:val="center"/>
              <w:rPr>
                <w:b/>
              </w:rPr>
            </w:pPr>
            <w:r w:rsidRPr="002F1795">
              <w:rPr>
                <w:b/>
              </w:rPr>
              <w:t>Year 1</w:t>
            </w:r>
          </w:p>
        </w:tc>
      </w:tr>
      <w:tr w:rsidR="00F624FE" w:rsidRPr="002F1795" w:rsidTr="00F624FE">
        <w:trPr>
          <w:trHeight w:val="77"/>
          <w:jc w:val="center"/>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Domestic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9,041,296</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$449,362,235</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$22,749,095</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$472,111,329</w:t>
            </w:r>
          </w:p>
        </w:tc>
      </w:tr>
      <w:tr w:rsidR="00F624FE" w:rsidRPr="002F1795" w:rsidTr="00F624FE">
        <w:trPr>
          <w:trHeight w:val="98"/>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Foreign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4,066,091</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$152,033,647</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$34,638,718</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$186,672,365</w:t>
            </w:r>
          </w:p>
        </w:tc>
      </w:tr>
      <w:tr w:rsidR="00F624FE" w:rsidRPr="002F1795" w:rsidTr="00F624FE">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Total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13,107,388</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$601,395,909</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$57,387,813</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$658,783,722</w:t>
            </w:r>
          </w:p>
        </w:tc>
      </w:tr>
      <w:tr w:rsidR="00A83DDA" w:rsidRPr="002F1795"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3DDA" w:rsidRPr="002F1795" w:rsidRDefault="00A83DDA" w:rsidP="006565F1">
            <w:pPr>
              <w:pStyle w:val="TableText"/>
              <w:jc w:val="center"/>
              <w:rPr>
                <w:b/>
                <w:bCs/>
              </w:rPr>
            </w:pPr>
            <w:r w:rsidRPr="002F1795">
              <w:rPr>
                <w:b/>
                <w:bCs/>
              </w:rPr>
              <w:t>Years 2 and 3</w:t>
            </w:r>
          </w:p>
        </w:tc>
      </w:tr>
      <w:tr w:rsidR="00F624FE" w:rsidRPr="002F1795" w:rsidTr="004D6A55">
        <w:trPr>
          <w:trHeight w:val="152"/>
          <w:jc w:val="center"/>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Domestic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2,967,505</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$83,534,390</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$7,665,846</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$91,200,236</w:t>
            </w:r>
          </w:p>
        </w:tc>
      </w:tr>
      <w:tr w:rsidR="00F624FE" w:rsidRPr="002F1795"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Foreign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2,317,142</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$76,390,874</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$16,432,841</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$92,823,715</w:t>
            </w:r>
          </w:p>
        </w:tc>
      </w:tr>
      <w:tr w:rsidR="00F624FE" w:rsidRPr="002F1795"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Total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5,284,648</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$159,925,291</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$24,098,688</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$184,023,979</w:t>
            </w:r>
          </w:p>
        </w:tc>
      </w:tr>
      <w:tr w:rsidR="00A83DDA" w:rsidRPr="002F1795"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3DDA" w:rsidRPr="002F1795" w:rsidRDefault="00A83DDA" w:rsidP="006565F1">
            <w:pPr>
              <w:pStyle w:val="TableText"/>
              <w:jc w:val="center"/>
              <w:rPr>
                <w:b/>
                <w:bCs/>
              </w:rPr>
            </w:pPr>
            <w:r w:rsidRPr="002F1795">
              <w:rPr>
                <w:b/>
                <w:bCs/>
              </w:rPr>
              <w:t>Three Year Average</w:t>
            </w:r>
          </w:p>
        </w:tc>
      </w:tr>
      <w:tr w:rsidR="00F624FE" w:rsidRPr="002F1795" w:rsidTr="004D6A55">
        <w:trPr>
          <w:trHeight w:val="77"/>
          <w:jc w:val="center"/>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Domestic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4,991,901</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$205,477,002</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$12,693,595</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$218,170,598</w:t>
            </w:r>
          </w:p>
        </w:tc>
      </w:tr>
      <w:tr w:rsidR="00F624FE" w:rsidRPr="002F1795"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Foreign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2,900,068</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$101,605,129</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$22,501,467</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$124,106,597</w:t>
            </w:r>
          </w:p>
        </w:tc>
      </w:tr>
      <w:tr w:rsidR="00F624FE" w:rsidRPr="002F1795"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rsidR="00F624FE" w:rsidRPr="002F1795" w:rsidRDefault="00F624FE" w:rsidP="006565F1">
            <w:pPr>
              <w:pStyle w:val="TableText"/>
            </w:pPr>
            <w:r w:rsidRPr="002F1795">
              <w:t>Total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7,891,969</w:t>
            </w:r>
          </w:p>
        </w:tc>
        <w:tc>
          <w:tcPr>
            <w:tcW w:w="1845"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$307,082,164</w:t>
            </w:r>
          </w:p>
        </w:tc>
        <w:tc>
          <w:tcPr>
            <w:tcW w:w="1743"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$35,195,063</w:t>
            </w:r>
          </w:p>
        </w:tc>
        <w:tc>
          <w:tcPr>
            <w:tcW w:w="1464" w:type="dxa"/>
            <w:tcBorders>
              <w:top w:val="nil"/>
              <w:left w:val="nil"/>
              <w:bottom w:val="single" w:sz="4" w:space="0" w:color="auto"/>
              <w:right w:val="single" w:sz="4" w:space="0" w:color="auto"/>
            </w:tcBorders>
            <w:shd w:val="clear" w:color="auto" w:fill="auto"/>
            <w:noWrap/>
            <w:vAlign w:val="center"/>
            <w:hideMark/>
          </w:tcPr>
          <w:p w:rsidR="00F624FE" w:rsidRPr="002F1795" w:rsidRDefault="00F624FE">
            <w:pPr>
              <w:jc w:val="right"/>
              <w:rPr>
                <w:color w:val="000000"/>
                <w:sz w:val="18"/>
                <w:szCs w:val="18"/>
              </w:rPr>
            </w:pPr>
            <w:r w:rsidRPr="002F1795">
              <w:rPr>
                <w:color w:val="000000"/>
                <w:sz w:val="18"/>
                <w:szCs w:val="18"/>
              </w:rPr>
              <w:t>$342,277,228</w:t>
            </w:r>
          </w:p>
        </w:tc>
      </w:tr>
      <w:tr w:rsidR="00A83DDA" w:rsidRPr="002F1795" w:rsidTr="00F624FE">
        <w:trPr>
          <w:trHeight w:val="77"/>
          <w:jc w:val="center"/>
        </w:trPr>
        <w:tc>
          <w:tcPr>
            <w:tcW w:w="9590" w:type="dxa"/>
            <w:gridSpan w:val="5"/>
            <w:tcBorders>
              <w:top w:val="single" w:sz="4" w:space="0" w:color="auto"/>
              <w:left w:val="single" w:sz="8" w:space="0" w:color="auto"/>
              <w:bottom w:val="single" w:sz="8" w:space="0" w:color="auto"/>
              <w:right w:val="single" w:sz="8" w:space="0" w:color="000000"/>
            </w:tcBorders>
            <w:shd w:val="clear" w:color="auto" w:fill="auto"/>
            <w:noWrap/>
            <w:hideMark/>
          </w:tcPr>
          <w:p w:rsidR="00A83DDA" w:rsidRPr="002F1795" w:rsidRDefault="00A83DDA" w:rsidP="006565F1">
            <w:pPr>
              <w:pStyle w:val="tablefootnote"/>
            </w:pPr>
            <w:r w:rsidRPr="002F1795">
              <w:t>Notes: Values may not sum to totals due to rounding</w:t>
            </w:r>
          </w:p>
        </w:tc>
      </w:tr>
    </w:tbl>
    <w:p w:rsidR="00A83DDA" w:rsidRPr="002F1795" w:rsidRDefault="00A83DDA" w:rsidP="00A83DDA"/>
    <w:tbl>
      <w:tblPr>
        <w:tblW w:w="5000" w:type="pct"/>
        <w:jc w:val="center"/>
        <w:tblLayout w:type="fixed"/>
        <w:tblCellMar>
          <w:left w:w="115" w:type="dxa"/>
          <w:right w:w="115" w:type="dxa"/>
        </w:tblCellMar>
        <w:tblLook w:val="04A0"/>
      </w:tblPr>
      <w:tblGrid>
        <w:gridCol w:w="3048"/>
        <w:gridCol w:w="1586"/>
        <w:gridCol w:w="1518"/>
        <w:gridCol w:w="1483"/>
        <w:gridCol w:w="1955"/>
      </w:tblGrid>
      <w:tr w:rsidR="00A83DDA" w:rsidRPr="002F1795" w:rsidTr="00F624FE">
        <w:trPr>
          <w:trHeight w:val="67"/>
          <w:jc w:val="center"/>
        </w:trPr>
        <w:tc>
          <w:tcPr>
            <w:tcW w:w="9590" w:type="dxa"/>
            <w:gridSpan w:val="5"/>
            <w:tcBorders>
              <w:top w:val="single" w:sz="8" w:space="0" w:color="auto"/>
              <w:left w:val="single" w:sz="8" w:space="0" w:color="auto"/>
              <w:bottom w:val="single" w:sz="4" w:space="0" w:color="auto"/>
              <w:right w:val="single" w:sz="8" w:space="0" w:color="000000"/>
            </w:tcBorders>
            <w:shd w:val="clear" w:color="000000" w:fill="A6A6A6"/>
            <w:noWrap/>
            <w:hideMark/>
          </w:tcPr>
          <w:p w:rsidR="00A83DDA" w:rsidRPr="002F1795" w:rsidRDefault="00A83DDA" w:rsidP="006565F1">
            <w:pPr>
              <w:pStyle w:val="TableTitle"/>
              <w:keepNext/>
            </w:pPr>
            <w:bookmarkStart w:id="33" w:name="_Ref309158925"/>
            <w:r w:rsidRPr="002F1795">
              <w:t>Exhibit 6-</w:t>
            </w:r>
            <w:r w:rsidR="0041046E">
              <w:fldChar w:fldCharType="begin"/>
            </w:r>
            <w:r w:rsidR="00441B0C">
              <w:instrText xml:space="preserve"> SEQ Exhibit_6- \* ARABIC </w:instrText>
            </w:r>
            <w:r w:rsidR="0041046E">
              <w:fldChar w:fldCharType="separate"/>
            </w:r>
            <w:r w:rsidR="0036394F">
              <w:rPr>
                <w:noProof/>
              </w:rPr>
              <w:t>30</w:t>
            </w:r>
            <w:r w:rsidR="0041046E">
              <w:rPr>
                <w:noProof/>
              </w:rPr>
              <w:fldChar w:fldCharType="end"/>
            </w:r>
            <w:bookmarkEnd w:id="33"/>
            <w:r w:rsidRPr="002F1795">
              <w:t>: Total Incremental Burden and Costs, by Geographic Location ($2010)</w:t>
            </w:r>
          </w:p>
        </w:tc>
      </w:tr>
      <w:tr w:rsidR="00A83DDA" w:rsidRPr="002F1795" w:rsidTr="00F624FE">
        <w:trPr>
          <w:trHeight w:val="77"/>
          <w:jc w:val="center"/>
        </w:trPr>
        <w:tc>
          <w:tcPr>
            <w:tcW w:w="3048" w:type="dxa"/>
            <w:vMerge w:val="restart"/>
            <w:tcBorders>
              <w:top w:val="nil"/>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Geographic Location of Respondents</w:t>
            </w:r>
          </w:p>
        </w:tc>
        <w:tc>
          <w:tcPr>
            <w:tcW w:w="31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Labor</w:t>
            </w:r>
          </w:p>
        </w:tc>
        <w:tc>
          <w:tcPr>
            <w:tcW w:w="1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Non-Labor Cost</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Total Incremental Cost</w:t>
            </w:r>
          </w:p>
        </w:tc>
      </w:tr>
      <w:tr w:rsidR="00A83DDA" w:rsidRPr="002F1795" w:rsidTr="00F624FE">
        <w:trPr>
          <w:trHeight w:val="224"/>
          <w:jc w:val="center"/>
        </w:trPr>
        <w:tc>
          <w:tcPr>
            <w:tcW w:w="3048" w:type="dxa"/>
            <w:vMerge/>
            <w:tcBorders>
              <w:top w:val="nil"/>
              <w:left w:val="single" w:sz="8"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Hours</w:t>
            </w:r>
          </w:p>
        </w:tc>
        <w:tc>
          <w:tcPr>
            <w:tcW w:w="1518" w:type="dxa"/>
            <w:tcBorders>
              <w:top w:val="nil"/>
              <w:left w:val="nil"/>
              <w:bottom w:val="single" w:sz="4" w:space="0" w:color="auto"/>
              <w:right w:val="single" w:sz="4" w:space="0" w:color="auto"/>
            </w:tcBorders>
            <w:shd w:val="clear" w:color="auto" w:fill="auto"/>
            <w:noWrap/>
            <w:vAlign w:val="center"/>
            <w:hideMark/>
          </w:tcPr>
          <w:p w:rsidR="00A83DDA" w:rsidRPr="002F1795" w:rsidRDefault="00A83DDA" w:rsidP="006565F1">
            <w:pPr>
              <w:pStyle w:val="TableSubtitle"/>
            </w:pPr>
            <w:r w:rsidRPr="002F1795">
              <w:t>Cost</w:t>
            </w:r>
          </w:p>
        </w:tc>
        <w:tc>
          <w:tcPr>
            <w:tcW w:w="1483"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A83DDA" w:rsidRPr="002F1795" w:rsidRDefault="00A83DDA" w:rsidP="006565F1">
            <w:pPr>
              <w:pStyle w:val="TableSubtitle"/>
            </w:pPr>
          </w:p>
        </w:tc>
      </w:tr>
      <w:tr w:rsidR="00A83DDA" w:rsidRPr="002F1795"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3DDA" w:rsidRPr="002F1795" w:rsidRDefault="00A83DDA" w:rsidP="006565F1">
            <w:pPr>
              <w:pStyle w:val="TableText"/>
              <w:jc w:val="center"/>
              <w:rPr>
                <w:b/>
              </w:rPr>
            </w:pPr>
            <w:r w:rsidRPr="002F1795">
              <w:rPr>
                <w:b/>
              </w:rPr>
              <w:t>Year 1</w:t>
            </w:r>
          </w:p>
        </w:tc>
      </w:tr>
      <w:tr w:rsidR="000F7267" w:rsidRPr="002F1795" w:rsidTr="00F624FE">
        <w:trPr>
          <w:trHeight w:val="77"/>
          <w:jc w:val="center"/>
        </w:trPr>
        <w:tc>
          <w:tcPr>
            <w:tcW w:w="30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Domestic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7,928,288</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$420,208,903</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$21,580,413</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$441,789,316</w:t>
            </w:r>
          </w:p>
        </w:tc>
      </w:tr>
      <w:tr w:rsidR="000F7267" w:rsidRPr="002F1795" w:rsidTr="00F624FE">
        <w:trPr>
          <w:trHeight w:val="98"/>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Foreign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3,082,828</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$116,077,473</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$24,182,083</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$140,259,556</w:t>
            </w:r>
          </w:p>
        </w:tc>
      </w:tr>
      <w:tr w:rsidR="000F7267" w:rsidRPr="002F1795" w:rsidTr="00F624FE">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Total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11,011,115</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$536,286,350</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$45,762,496</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$582,048,846</w:t>
            </w:r>
          </w:p>
        </w:tc>
      </w:tr>
      <w:tr w:rsidR="00A83DDA" w:rsidRPr="002F1795"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3DDA" w:rsidRPr="002F1795" w:rsidRDefault="00A83DDA" w:rsidP="006565F1">
            <w:pPr>
              <w:pStyle w:val="TableText"/>
              <w:jc w:val="center"/>
              <w:rPr>
                <w:b/>
                <w:bCs/>
              </w:rPr>
            </w:pPr>
            <w:r w:rsidRPr="002F1795">
              <w:rPr>
                <w:b/>
                <w:bCs/>
              </w:rPr>
              <w:t>Years 2 and 3</w:t>
            </w:r>
          </w:p>
        </w:tc>
      </w:tr>
      <w:tr w:rsidR="000F7267" w:rsidRPr="002F1795" w:rsidTr="004D6A55">
        <w:trPr>
          <w:trHeight w:val="152"/>
          <w:jc w:val="center"/>
        </w:trPr>
        <w:tc>
          <w:tcPr>
            <w:tcW w:w="30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Domestic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1,854,347</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$54,370,354</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$6,817,285</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$61,187,639</w:t>
            </w:r>
          </w:p>
        </w:tc>
      </w:tr>
      <w:tr w:rsidR="000F7267" w:rsidRPr="002F1795"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Foreign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1,333,475</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$40,405,872</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$6,506,816</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$46,912,688</w:t>
            </w:r>
          </w:p>
        </w:tc>
      </w:tr>
      <w:tr w:rsidR="000F7267" w:rsidRPr="002F1795"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Total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3,187,821</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$94,776,198</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$13,324,101</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$108,100,299</w:t>
            </w:r>
          </w:p>
        </w:tc>
      </w:tr>
      <w:tr w:rsidR="00A83DDA" w:rsidRPr="002F1795"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A83DDA" w:rsidRPr="002F1795" w:rsidRDefault="00A83DDA" w:rsidP="006565F1">
            <w:pPr>
              <w:pStyle w:val="TableText"/>
              <w:jc w:val="center"/>
              <w:rPr>
                <w:b/>
                <w:bCs/>
              </w:rPr>
            </w:pPr>
            <w:r w:rsidRPr="002F1795">
              <w:rPr>
                <w:b/>
                <w:bCs/>
              </w:rPr>
              <w:t>Three Year Average</w:t>
            </w:r>
          </w:p>
        </w:tc>
      </w:tr>
      <w:tr w:rsidR="000F7267" w:rsidRPr="002F1795" w:rsidTr="004D6A55">
        <w:trPr>
          <w:trHeight w:val="77"/>
          <w:jc w:val="center"/>
        </w:trPr>
        <w:tc>
          <w:tcPr>
            <w:tcW w:w="30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Domestic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3,878,793</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$176,316,534</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$11,738,328</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$188,054,863</w:t>
            </w:r>
          </w:p>
        </w:tc>
      </w:tr>
      <w:tr w:rsidR="000F7267" w:rsidRPr="002F1795"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Foreign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1,916,536</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$65,629,736</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$12,398,573</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$78,028,310</w:t>
            </w:r>
          </w:p>
        </w:tc>
      </w:tr>
      <w:tr w:rsidR="000F7267" w:rsidRPr="002F1795"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rsidR="000F7267" w:rsidRPr="002F1795" w:rsidRDefault="000F7267" w:rsidP="006565F1">
            <w:pPr>
              <w:pStyle w:val="TableText"/>
            </w:pPr>
            <w:r w:rsidRPr="002F1795">
              <w:t>Total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5,795,329</w:t>
            </w:r>
          </w:p>
        </w:tc>
        <w:tc>
          <w:tcPr>
            <w:tcW w:w="1518"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$241,946,249</w:t>
            </w:r>
          </w:p>
        </w:tc>
        <w:tc>
          <w:tcPr>
            <w:tcW w:w="1483"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$24,136,899</w:t>
            </w:r>
          </w:p>
        </w:tc>
        <w:tc>
          <w:tcPr>
            <w:tcW w:w="1955" w:type="dxa"/>
            <w:tcBorders>
              <w:top w:val="nil"/>
              <w:left w:val="nil"/>
              <w:bottom w:val="single" w:sz="4" w:space="0" w:color="auto"/>
              <w:right w:val="single" w:sz="4" w:space="0" w:color="auto"/>
            </w:tcBorders>
            <w:shd w:val="clear" w:color="auto" w:fill="auto"/>
            <w:noWrap/>
            <w:vAlign w:val="center"/>
            <w:hideMark/>
          </w:tcPr>
          <w:p w:rsidR="000F7267" w:rsidRPr="002F1795" w:rsidRDefault="000F7267">
            <w:pPr>
              <w:jc w:val="right"/>
              <w:rPr>
                <w:color w:val="000000"/>
                <w:sz w:val="18"/>
                <w:szCs w:val="18"/>
              </w:rPr>
            </w:pPr>
            <w:r w:rsidRPr="002F1795">
              <w:rPr>
                <w:color w:val="000000"/>
                <w:sz w:val="18"/>
                <w:szCs w:val="18"/>
              </w:rPr>
              <w:t>$266,083,149</w:t>
            </w:r>
          </w:p>
        </w:tc>
      </w:tr>
      <w:tr w:rsidR="00A83DDA" w:rsidRPr="002F1795" w:rsidTr="00F624FE">
        <w:trPr>
          <w:trHeight w:val="77"/>
          <w:jc w:val="center"/>
        </w:trPr>
        <w:tc>
          <w:tcPr>
            <w:tcW w:w="9590" w:type="dxa"/>
            <w:gridSpan w:val="5"/>
            <w:tcBorders>
              <w:top w:val="single" w:sz="4" w:space="0" w:color="auto"/>
              <w:left w:val="single" w:sz="8" w:space="0" w:color="auto"/>
              <w:bottom w:val="single" w:sz="8" w:space="0" w:color="auto"/>
              <w:right w:val="single" w:sz="8" w:space="0" w:color="000000"/>
            </w:tcBorders>
            <w:shd w:val="clear" w:color="auto" w:fill="auto"/>
            <w:noWrap/>
            <w:hideMark/>
          </w:tcPr>
          <w:p w:rsidR="00A83DDA" w:rsidRPr="002F1795" w:rsidRDefault="00A83DDA" w:rsidP="006565F1">
            <w:pPr>
              <w:pStyle w:val="tablefootnote"/>
            </w:pPr>
            <w:r w:rsidRPr="002F1795">
              <w:t>Notes: Values may not sum to totals due to rounding</w:t>
            </w:r>
          </w:p>
        </w:tc>
      </w:tr>
    </w:tbl>
    <w:p w:rsidR="00A83DDA" w:rsidRPr="002F1795" w:rsidRDefault="00A83DDA" w:rsidP="00A83DDA"/>
    <w:p w:rsidR="00A83DDA" w:rsidRPr="002F1795" w:rsidRDefault="00A83DDA" w:rsidP="00A83DDA">
      <w:pPr>
        <w:adjustRightInd/>
      </w:pPr>
      <w:r w:rsidRPr="002F1795">
        <w:br w:type="page"/>
      </w:r>
    </w:p>
    <w:p w:rsidR="00A83DDA" w:rsidRPr="002F1795" w:rsidRDefault="00A83DDA" w:rsidP="00A83DDA"/>
    <w:p w:rsidR="00A83DDA" w:rsidRPr="002F1795" w:rsidRDefault="00A83DDA" w:rsidP="00A83DDA">
      <w:pPr>
        <w:rPr>
          <w:b/>
          <w:bCs/>
        </w:rPr>
      </w:pPr>
      <w:r w:rsidRPr="002F1795">
        <w:tab/>
      </w:r>
      <w:r w:rsidRPr="002F1795">
        <w:rPr>
          <w:b/>
          <w:bCs/>
        </w:rPr>
        <w:t>6(c)</w:t>
      </w:r>
      <w:r w:rsidRPr="002F1795">
        <w:rPr>
          <w:b/>
          <w:bCs/>
        </w:rPr>
        <w:tab/>
        <w:t>Estimating Agency Burden and Cost</w:t>
      </w:r>
    </w:p>
    <w:p w:rsidR="00A83DDA" w:rsidRPr="002F1795" w:rsidRDefault="00A83DDA" w:rsidP="00A83DDA"/>
    <w:p w:rsidR="00A83DDA" w:rsidRPr="002F1795" w:rsidRDefault="00A83DDA" w:rsidP="00A83DDA">
      <w:pPr>
        <w:pStyle w:val="RRBodyText"/>
        <w:keepNext/>
        <w:keepLines/>
        <w:rPr>
          <w:lang w:val="en-CA"/>
        </w:rPr>
      </w:pPr>
      <w:r w:rsidRPr="002F1795">
        <w:rPr>
          <w:sz w:val="24"/>
        </w:rPr>
        <w:tab/>
        <w:t>EPA resources would be devoted to reviewing and analyzing data submissions, compiling and recording data, maintaining hard-copy files of submitted data, auditing and inspecting facilities, producing audit and inspection reports, responding to public inquiries, and providing regulatory interpretations. EPA anticipates that these activities will require the equivalent of one full-time employee (FTE) at Headquarters.  Using the 2010 Washington/Baltimore area annual salary rate for a GS-13, Step 5 employee ($100,904), and multiplying by a loading factor of 1.6 to reflect overhead and fringe benefits results in an estimated EPA cost of $161,446 per year.</w:t>
      </w:r>
      <w:r w:rsidRPr="002F1795">
        <w:t xml:space="preserve"> </w:t>
      </w:r>
    </w:p>
    <w:p w:rsidR="00A83DDA" w:rsidRPr="002F1795" w:rsidRDefault="00A83DDA" w:rsidP="00A83DDA"/>
    <w:p w:rsidR="00A83DDA" w:rsidRPr="002F1795" w:rsidRDefault="00A83DDA" w:rsidP="00A83DDA">
      <w:pPr>
        <w:rPr>
          <w:b/>
          <w:bCs/>
        </w:rPr>
      </w:pPr>
      <w:r w:rsidRPr="002F1795">
        <w:tab/>
      </w:r>
      <w:r w:rsidRPr="002F1795">
        <w:rPr>
          <w:b/>
          <w:bCs/>
        </w:rPr>
        <w:t>6(d)</w:t>
      </w:r>
      <w:r w:rsidRPr="002F1795">
        <w:rPr>
          <w:b/>
          <w:bCs/>
        </w:rPr>
        <w:tab/>
        <w:t>Bottom Line Burden Hours and Costs/Master Table</w:t>
      </w:r>
    </w:p>
    <w:p w:rsidR="00A83DDA" w:rsidRPr="002F1795" w:rsidRDefault="00A83DDA" w:rsidP="00A83DDA">
      <w:r w:rsidRPr="002F1795">
        <w:tab/>
        <w:t xml:space="preserve"> </w:t>
      </w:r>
    </w:p>
    <w:p w:rsidR="00A83DDA" w:rsidRPr="002F1795" w:rsidRDefault="0041046E" w:rsidP="00A83DDA">
      <w:pPr>
        <w:ind w:firstLine="720"/>
      </w:pPr>
      <w:fldSimple w:instr=" REF _Ref309296031 \h  \* MERGEFORMAT ">
        <w:r w:rsidR="0036394F" w:rsidRPr="002F1795">
          <w:t>Exhibit 6-</w:t>
        </w:r>
        <w:r w:rsidR="0036394F">
          <w:t>31</w:t>
        </w:r>
      </w:fldSimple>
      <w:r w:rsidR="00A83DDA" w:rsidRPr="002F1795">
        <w:t xml:space="preserve"> presents the frequency for each of the respondent activities assumed in the bottom line burden hour and cost tables.  </w:t>
      </w:r>
      <w:fldSimple w:instr=" REF _Ref305506961 \h  \* MERGEFORMAT ">
        <w:r w:rsidR="0036394F" w:rsidRPr="002F1795">
          <w:t>Exhibit 6-</w:t>
        </w:r>
        <w:r w:rsidR="0036394F">
          <w:t>32</w:t>
        </w:r>
      </w:fldSimple>
      <w:r w:rsidR="00A83DDA" w:rsidRPr="002F1795">
        <w:t xml:space="preserve"> and </w:t>
      </w:r>
      <w:fldSimple w:instr=" REF _Ref311466672 \h  \* MERGEFORMAT ">
        <w:r w:rsidR="0036394F" w:rsidRPr="002F1795">
          <w:t>Exhibit 6-</w:t>
        </w:r>
        <w:r w:rsidR="0036394F">
          <w:t>33</w:t>
        </w:r>
      </w:fldSimple>
      <w:r w:rsidR="00A83DDA" w:rsidRPr="002F1795">
        <w:t xml:space="preserve"> present the respective total and incremental bottom line burden and costs, by activity frequency and respondent type.  In </w:t>
      </w:r>
      <w:fldSimple w:instr=" REF _Ref305506961 \h  \* MERGEFORMAT ">
        <w:r w:rsidR="0036394F" w:rsidRPr="002F1795">
          <w:t>Exhibit 6-</w:t>
        </w:r>
        <w:r w:rsidR="0036394F">
          <w:t>32</w:t>
        </w:r>
      </w:fldSimple>
      <w:r w:rsidR="00A83DDA" w:rsidRPr="002F1795">
        <w:t>, all activities of a given frequency that a single respondent performs are accounted for as a single response for that time period.  For example, if a respondent performs two different quarterly activities per quarter this is accounted for as a single response per quarter or four responses per year (e.g., paying the large scale testing fee and paying shipment costs for large scale testing is counted as a single response not two separate responses).</w:t>
      </w:r>
    </w:p>
    <w:p w:rsidR="00A83DDA" w:rsidRPr="002F1795" w:rsidRDefault="00A83DDA" w:rsidP="00A83DDA">
      <w:pPr>
        <w:ind w:firstLine="720"/>
      </w:pPr>
      <w:r w:rsidRPr="002F1795">
        <w:br w:type="page"/>
      </w:r>
    </w:p>
    <w:p w:rsidR="00A83DDA" w:rsidRPr="002F1795" w:rsidRDefault="00A83DDA" w:rsidP="00A83DDA">
      <w:pPr>
        <w:ind w:firstLine="720"/>
      </w:pPr>
    </w:p>
    <w:tbl>
      <w:tblPr>
        <w:tblW w:w="4369" w:type="pct"/>
        <w:jc w:val="center"/>
        <w:tblLayout w:type="fixed"/>
        <w:tblCellMar>
          <w:left w:w="14" w:type="dxa"/>
          <w:right w:w="14" w:type="dxa"/>
        </w:tblCellMar>
        <w:tblLook w:val="04A0"/>
      </w:tblPr>
      <w:tblGrid>
        <w:gridCol w:w="4912"/>
        <w:gridCol w:w="3291"/>
      </w:tblGrid>
      <w:tr w:rsidR="00A83DDA" w:rsidRPr="002F1795" w:rsidTr="006565F1">
        <w:trPr>
          <w:trHeight w:val="255"/>
          <w:tblHeader/>
          <w:jc w:val="center"/>
        </w:trPr>
        <w:tc>
          <w:tcPr>
            <w:tcW w:w="8203" w:type="dxa"/>
            <w:gridSpan w:val="2"/>
            <w:tcBorders>
              <w:top w:val="single" w:sz="4" w:space="0" w:color="auto"/>
              <w:left w:val="single" w:sz="4" w:space="0" w:color="auto"/>
              <w:bottom w:val="single" w:sz="4" w:space="0" w:color="auto"/>
              <w:right w:val="single" w:sz="4" w:space="0" w:color="auto"/>
            </w:tcBorders>
            <w:shd w:val="pct25" w:color="auto" w:fill="auto"/>
            <w:hideMark/>
          </w:tcPr>
          <w:p w:rsidR="00A83DDA" w:rsidRPr="002F1795" w:rsidRDefault="00A83DDA" w:rsidP="006565F1">
            <w:pPr>
              <w:pStyle w:val="TableTitle"/>
            </w:pPr>
            <w:bookmarkStart w:id="34" w:name="_Ref309296031"/>
            <w:bookmarkStart w:id="35" w:name="_Ref309296019"/>
            <w:r w:rsidRPr="002F1795">
              <w:t>Exhibit 6-</w:t>
            </w:r>
            <w:r w:rsidR="0041046E">
              <w:fldChar w:fldCharType="begin"/>
            </w:r>
            <w:r w:rsidR="00441B0C">
              <w:instrText xml:space="preserve"> SEQ Exhibit_6- \* ARABIC </w:instrText>
            </w:r>
            <w:r w:rsidR="0041046E">
              <w:fldChar w:fldCharType="separate"/>
            </w:r>
            <w:r w:rsidR="0036394F">
              <w:rPr>
                <w:noProof/>
              </w:rPr>
              <w:t>31</w:t>
            </w:r>
            <w:r w:rsidR="0041046E">
              <w:rPr>
                <w:noProof/>
              </w:rPr>
              <w:fldChar w:fldCharType="end"/>
            </w:r>
            <w:bookmarkEnd w:id="34"/>
            <w:r w:rsidRPr="002F1795">
              <w:rPr>
                <w:noProof/>
              </w:rPr>
              <w:t xml:space="preserve">: </w:t>
            </w:r>
            <w:r w:rsidRPr="002F1795">
              <w:t>Frequency of Activities</w:t>
            </w:r>
            <w:bookmarkEnd w:id="35"/>
          </w:p>
        </w:tc>
      </w:tr>
      <w:tr w:rsidR="00A83DDA" w:rsidRPr="002F1795" w:rsidTr="006565F1">
        <w:trPr>
          <w:trHeight w:val="77"/>
          <w:tblHeader/>
          <w:jc w:val="center"/>
        </w:trPr>
        <w:tc>
          <w:tcPr>
            <w:tcW w:w="4912" w:type="dxa"/>
            <w:tcBorders>
              <w:top w:val="nil"/>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Activity</w:t>
            </w:r>
          </w:p>
        </w:tc>
        <w:tc>
          <w:tcPr>
            <w:tcW w:w="3291" w:type="dxa"/>
            <w:tcBorders>
              <w:top w:val="single" w:sz="4" w:space="0" w:color="auto"/>
              <w:left w:val="nil"/>
              <w:right w:val="single" w:sz="4" w:space="0" w:color="auto"/>
            </w:tcBorders>
            <w:shd w:val="clear" w:color="auto" w:fill="auto"/>
            <w:vAlign w:val="center"/>
          </w:tcPr>
          <w:p w:rsidR="00A83DDA" w:rsidRPr="002F1795" w:rsidRDefault="00A83DDA" w:rsidP="006565F1">
            <w:pPr>
              <w:pStyle w:val="TableSubtitle"/>
            </w:pPr>
            <w:r w:rsidRPr="002F1795">
              <w:t xml:space="preserve">Assumed Activity Frequency </w:t>
            </w:r>
            <w:r w:rsidRPr="002F1795">
              <w:rPr>
                <w:vertAlign w:val="superscript"/>
              </w:rPr>
              <w:t>1</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1. Rule Familiarization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Producers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Fabricators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Wholesalers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Retailers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2. Certification Fee</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Standard</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New NAF</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Existing NAF/ULEF</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3. Initial On-site Audit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With Existing Certifications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Without Existing Certifications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4. Develop Quality Control Manual</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5. Qualifying Test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1 Product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6. Qualifying Test Shipping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1 Product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7. Correlation Test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1 Product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One-Time</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8. Quarterly On-site Audit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Standard</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NAF (With New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NAF (Existing Certifications Only)</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9. Large Scale Testing Fee</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1 Product with Standard Certification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Products with Standard Certification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Products with Standard Certification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1 Product with NAF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 with NAF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10. Quarterly On-site Audit Shipment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Standard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NAF (With New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NAF (With Existing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rPr>
                <w:sz w:val="18"/>
                <w:szCs w:val="18"/>
              </w:rPr>
            </w:pPr>
            <w:r w:rsidRPr="002F1795">
              <w:rPr>
                <w:sz w:val="18"/>
                <w:szCs w:val="18"/>
              </w:rPr>
              <w:t>10a. Large Scale Testing Shipment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1 Product with Standard Certification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Products with Standard Certification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Products with Standard Certification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Quarterly</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1 Product with NAF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83DDA"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ind w:firstLineChars="200" w:firstLine="360"/>
              <w:rPr>
                <w:sz w:val="18"/>
                <w:szCs w:val="18"/>
              </w:rPr>
            </w:pPr>
            <w:r w:rsidRPr="002F1795">
              <w:rPr>
                <w:sz w:val="18"/>
                <w:szCs w:val="18"/>
              </w:rPr>
              <w:t>2 Product with NAF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865A83" w:rsidP="00865A83">
            <w:pPr>
              <w:ind w:firstLineChars="200" w:firstLine="360"/>
              <w:rPr>
                <w:sz w:val="18"/>
                <w:szCs w:val="18"/>
              </w:rPr>
            </w:pPr>
            <w:r w:rsidRPr="002F1795">
              <w:rPr>
                <w:sz w:val="18"/>
                <w:szCs w:val="18"/>
              </w:rPr>
              <w:t>1</w:t>
            </w:r>
            <w:r w:rsidR="00AB4BFB" w:rsidRPr="002F1795">
              <w:rPr>
                <w:sz w:val="18"/>
                <w:szCs w:val="18"/>
              </w:rPr>
              <w:t xml:space="preserve"> </w:t>
            </w:r>
            <w:r w:rsidRPr="002F1795">
              <w:rPr>
                <w:sz w:val="18"/>
                <w:szCs w:val="18"/>
              </w:rPr>
              <w:t xml:space="preserve">ULEF and 1 NAF </w:t>
            </w:r>
            <w:r w:rsidR="00AB4BFB" w:rsidRPr="002F1795">
              <w:rPr>
                <w:sz w:val="18"/>
                <w:szCs w:val="18"/>
              </w:rPr>
              <w:t>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2F1795">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11. On-site Audit Travel</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12. Desk Audits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Standard</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NAF (With New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13. Purchase of Small Chamber Testing Unit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One-Time</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14. Quality Control Testing - HWPW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Standard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Daily</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New NAF Certification</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One-Time</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15. Lost Product</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2 Products with Standard Certification (HWPW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Daily</w:t>
            </w:r>
          </w:p>
        </w:tc>
      </w:tr>
      <w:tr w:rsidR="00865A83"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5A83" w:rsidRPr="002F1795" w:rsidRDefault="00865A83" w:rsidP="00865A83">
            <w:pPr>
              <w:ind w:firstLineChars="200" w:firstLine="360"/>
              <w:rPr>
                <w:sz w:val="18"/>
                <w:szCs w:val="18"/>
              </w:rPr>
            </w:pPr>
            <w:r w:rsidRPr="002F1795">
              <w:rPr>
                <w:sz w:val="18"/>
                <w:szCs w:val="18"/>
              </w:rPr>
              <w:t>2 Products with Standard Certification (HWPW -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865A83" w:rsidRPr="002F1795" w:rsidRDefault="00865A83" w:rsidP="006565F1">
            <w:pPr>
              <w:pStyle w:val="TableText"/>
              <w:ind w:right="1695"/>
              <w:jc w:val="right"/>
            </w:pPr>
            <w:r w:rsidRPr="002F1795">
              <w:t>Daily</w:t>
            </w:r>
          </w:p>
        </w:tc>
      </w:tr>
      <w:tr w:rsidR="00865A83"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5A83" w:rsidRPr="002F1795" w:rsidRDefault="00865A83" w:rsidP="00865A83">
            <w:pPr>
              <w:ind w:firstLineChars="200" w:firstLine="360"/>
              <w:rPr>
                <w:sz w:val="18"/>
                <w:szCs w:val="18"/>
              </w:rPr>
            </w:pPr>
            <w:r w:rsidRPr="002F1795">
              <w:rPr>
                <w:sz w:val="18"/>
                <w:szCs w:val="18"/>
              </w:rPr>
              <w:t>2 Products with ULEF Certification (HWPW -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865A83" w:rsidRPr="002F1795" w:rsidRDefault="00865A83" w:rsidP="006565F1">
            <w:pPr>
              <w:pStyle w:val="TableText"/>
              <w:ind w:right="1695"/>
              <w:jc w:val="right"/>
            </w:pPr>
            <w:r w:rsidRPr="002F1795">
              <w:t>Annual</w:t>
            </w:r>
          </w:p>
        </w:tc>
      </w:tr>
      <w:tr w:rsidR="00865A83"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5A83" w:rsidRPr="002F1795" w:rsidRDefault="00865A83" w:rsidP="00865A83">
            <w:pPr>
              <w:ind w:firstLineChars="200" w:firstLine="360"/>
              <w:rPr>
                <w:sz w:val="18"/>
                <w:szCs w:val="18"/>
              </w:rPr>
            </w:pPr>
            <w:r w:rsidRPr="002F1795">
              <w:rPr>
                <w:sz w:val="18"/>
                <w:szCs w:val="18"/>
              </w:rPr>
              <w:t>1 ULEF and 1 NAF Certification (HWPW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865A83" w:rsidRPr="002F1795" w:rsidRDefault="00865A83" w:rsidP="006565F1">
            <w:pPr>
              <w:pStyle w:val="TableText"/>
              <w:ind w:right="1695"/>
              <w:jc w:val="right"/>
            </w:pP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lastRenderedPageBreak/>
              <w:t>1 Product with NAF Certification (HWPW -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1 Product with NAF Certification (HWPW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2 Products with NAF Certification (HWPW -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2 Products with NAF Certification (HWPW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865A83"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5A83" w:rsidRPr="002F1795" w:rsidRDefault="00865A83" w:rsidP="00865A83">
            <w:pPr>
              <w:ind w:firstLineChars="200" w:firstLine="360"/>
              <w:rPr>
                <w:sz w:val="18"/>
                <w:szCs w:val="18"/>
              </w:rPr>
            </w:pPr>
            <w:r w:rsidRPr="002F1795">
              <w:rPr>
                <w:sz w:val="18"/>
                <w:szCs w:val="18"/>
              </w:rPr>
              <w:t>1 Standard and 1 NAF Certification (PB/MDF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865A83" w:rsidRPr="002F1795" w:rsidRDefault="00865A83" w:rsidP="006565F1">
            <w:pPr>
              <w:pStyle w:val="TableText"/>
              <w:ind w:right="1695"/>
              <w:jc w:val="right"/>
            </w:pPr>
            <w:r w:rsidRPr="002F1795">
              <w:t>Daily</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2 Products with Standard Certification (PB/MDF -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Daily</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2 Products with Standard Certification (PB/MDF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Daily</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1 Product with NAF Certification (PB/MDF - New)</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865A83"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5A83" w:rsidRPr="002F1795" w:rsidRDefault="00865A83" w:rsidP="00865A83">
            <w:pPr>
              <w:ind w:firstLineChars="200" w:firstLine="360"/>
              <w:rPr>
                <w:sz w:val="18"/>
                <w:szCs w:val="18"/>
              </w:rPr>
            </w:pPr>
            <w:r w:rsidRPr="002F1795">
              <w:rPr>
                <w:sz w:val="18"/>
                <w:szCs w:val="18"/>
              </w:rPr>
              <w:t>1 ULEF and 1 NAF Certification (PB/MDF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865A83" w:rsidRPr="002F1795" w:rsidRDefault="00865A83"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1 Product with NAF Certification (PB/MDF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2 Products with NAF Certification (PB/MDF - Existing)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16. Initial Recordkeeping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One-Time</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17. Recurring Recordkeeping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Producers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Fabricators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sz w:val="18"/>
                <w:szCs w:val="18"/>
              </w:rPr>
            </w:pPr>
            <w:r w:rsidRPr="002F1795">
              <w:rPr>
                <w:sz w:val="18"/>
                <w:szCs w:val="18"/>
              </w:rPr>
              <w:t>Wholesalers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ind w:firstLineChars="200" w:firstLine="360"/>
              <w:rPr>
                <w:rFonts w:ascii="Tahoma" w:hAnsi="Tahoma" w:cs="Tahoma"/>
                <w:sz w:val="18"/>
                <w:szCs w:val="18"/>
              </w:rPr>
            </w:pPr>
            <w:r w:rsidRPr="002F1795">
              <w:rPr>
                <w:sz w:val="18"/>
                <w:szCs w:val="18"/>
              </w:rPr>
              <w:t>Retailers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r w:rsidRPr="002F1795">
              <w:t>Annual</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rPr>
                <w:sz w:val="18"/>
                <w:szCs w:val="18"/>
              </w:rPr>
            </w:pPr>
            <w:r w:rsidRPr="002F1795">
              <w:rPr>
                <w:sz w:val="18"/>
                <w:szCs w:val="18"/>
              </w:rPr>
              <w:t>18. Initial Labeling</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95"/>
              <w:jc w:val="right"/>
            </w:pP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pStyle w:val="TableText"/>
              <w:ind w:left="218" w:firstLine="90"/>
              <w:rPr>
                <w:rFonts w:ascii="Tahoma" w:hAnsi="Tahoma" w:cs="Tahoma"/>
                <w:sz w:val="16"/>
                <w:szCs w:val="16"/>
              </w:rPr>
            </w:pPr>
            <w:r w:rsidRPr="002F1795">
              <w:t>Minor Changes - Producers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57"/>
              <w:jc w:val="right"/>
              <w:rPr>
                <w:rFonts w:ascii="Tahoma" w:hAnsi="Tahoma" w:cs="Tahoma"/>
                <w:szCs w:val="16"/>
              </w:rPr>
            </w:pPr>
            <w:r w:rsidRPr="002F1795">
              <w:t>One-Time</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pStyle w:val="TableText"/>
              <w:ind w:left="218" w:firstLine="90"/>
              <w:rPr>
                <w:rFonts w:ascii="Tahoma" w:hAnsi="Tahoma" w:cs="Tahoma"/>
                <w:sz w:val="16"/>
                <w:szCs w:val="16"/>
              </w:rPr>
            </w:pPr>
            <w:r w:rsidRPr="002F1795">
              <w:t>Minor Changes - Fabricators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57"/>
              <w:jc w:val="right"/>
              <w:rPr>
                <w:rFonts w:ascii="Tahoma" w:hAnsi="Tahoma" w:cs="Tahoma"/>
                <w:szCs w:val="16"/>
              </w:rPr>
            </w:pPr>
            <w:r w:rsidRPr="002F1795">
              <w:t>One-Time</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pStyle w:val="TableText"/>
              <w:ind w:left="218" w:firstLine="90"/>
              <w:rPr>
                <w:rFonts w:ascii="Tahoma" w:hAnsi="Tahoma" w:cs="Tahoma"/>
                <w:sz w:val="16"/>
                <w:szCs w:val="16"/>
              </w:rPr>
            </w:pPr>
            <w:r w:rsidRPr="002F1795">
              <w:t>Major Changes - Producers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57"/>
              <w:jc w:val="right"/>
              <w:rPr>
                <w:rFonts w:ascii="Tahoma" w:hAnsi="Tahoma" w:cs="Tahoma"/>
                <w:szCs w:val="16"/>
              </w:rPr>
            </w:pPr>
            <w:r w:rsidRPr="002F1795">
              <w:t>One-Time</w:t>
            </w:r>
          </w:p>
        </w:tc>
      </w:tr>
      <w:tr w:rsidR="00AB4BFB" w:rsidRPr="002F1795" w:rsidTr="006565F1">
        <w:trPr>
          <w:trHeight w:val="107"/>
          <w:jc w:val="center"/>
        </w:trPr>
        <w:tc>
          <w:tcPr>
            <w:tcW w:w="49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pStyle w:val="TableText"/>
              <w:ind w:left="218" w:firstLine="90"/>
              <w:rPr>
                <w:rFonts w:ascii="Tahoma" w:hAnsi="Tahoma" w:cs="Tahoma"/>
                <w:sz w:val="16"/>
                <w:szCs w:val="16"/>
              </w:rPr>
            </w:pPr>
            <w:r w:rsidRPr="002F1795">
              <w:t>Major Changes - Fabricators and Wholesalers</w:t>
            </w:r>
          </w:p>
        </w:tc>
        <w:tc>
          <w:tcPr>
            <w:tcW w:w="3291" w:type="dxa"/>
            <w:tcBorders>
              <w:top w:val="single" w:sz="4" w:space="0" w:color="auto"/>
              <w:left w:val="nil"/>
              <w:bottom w:val="single" w:sz="4" w:space="0" w:color="auto"/>
              <w:right w:val="single" w:sz="4" w:space="0" w:color="auto"/>
            </w:tcBorders>
            <w:shd w:val="clear" w:color="auto" w:fill="auto"/>
            <w:noWrap/>
            <w:vAlign w:val="bottom"/>
          </w:tcPr>
          <w:p w:rsidR="00AB4BFB" w:rsidRPr="002F1795" w:rsidRDefault="00AB4BFB" w:rsidP="006565F1">
            <w:pPr>
              <w:pStyle w:val="TableText"/>
              <w:ind w:right="1657"/>
              <w:jc w:val="right"/>
              <w:rPr>
                <w:rFonts w:ascii="Tahoma" w:hAnsi="Tahoma" w:cs="Tahoma"/>
                <w:szCs w:val="16"/>
              </w:rPr>
            </w:pPr>
            <w:r w:rsidRPr="002F1795">
              <w:t>One-Time</w:t>
            </w:r>
          </w:p>
        </w:tc>
      </w:tr>
      <w:tr w:rsidR="00AB4BFB" w:rsidRPr="002F1795" w:rsidTr="006565F1">
        <w:trPr>
          <w:trHeight w:val="107"/>
          <w:jc w:val="center"/>
        </w:trPr>
        <w:tc>
          <w:tcPr>
            <w:tcW w:w="82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B4BFB" w:rsidRPr="002F1795" w:rsidRDefault="00AB4BFB" w:rsidP="006565F1">
            <w:pPr>
              <w:pStyle w:val="TableText"/>
            </w:pPr>
            <w:r w:rsidRPr="002F1795">
              <w:rPr>
                <w:vertAlign w:val="superscript"/>
              </w:rPr>
              <w:t>1</w:t>
            </w:r>
            <w:r w:rsidRPr="002F1795">
              <w:t xml:space="preserve"> This represents the activity frequency assumed for the purpose of the calculations in Exhibit 6-33 (which classifies activities as one-time, annual, quarterly, or daily), not the frequency required by the rule.  For example, the rule requires panel producers to be certified by a TPC every two years.  Exhibit 6-33 assumes that certification occurs annually but halves the average burden per response, so that the total burden is unchanged.</w:t>
            </w:r>
          </w:p>
        </w:tc>
      </w:tr>
    </w:tbl>
    <w:p w:rsidR="00A83DDA" w:rsidRPr="002F1795" w:rsidRDefault="00A83DDA" w:rsidP="00A83DDA">
      <w:pPr>
        <w:ind w:firstLine="720"/>
      </w:pPr>
    </w:p>
    <w:p w:rsidR="00A83DDA" w:rsidRPr="002F1795" w:rsidRDefault="00A83DDA" w:rsidP="00A83DDA">
      <w:pPr>
        <w:ind w:firstLine="720"/>
      </w:pPr>
      <w:r w:rsidRPr="002F1795">
        <w:br w:type="page"/>
      </w:r>
    </w:p>
    <w:tbl>
      <w:tblPr>
        <w:tblpPr w:leftFromText="180" w:rightFromText="180" w:vertAnchor="text" w:tblpXSpec="center" w:tblpY="1"/>
        <w:tblOverlap w:val="never"/>
        <w:tblW w:w="5000" w:type="pct"/>
        <w:jc w:val="center"/>
        <w:tblLayout w:type="fixed"/>
        <w:tblCellMar>
          <w:left w:w="14" w:type="dxa"/>
          <w:right w:w="14" w:type="dxa"/>
        </w:tblCellMar>
        <w:tblLook w:val="04A0"/>
      </w:tblPr>
      <w:tblGrid>
        <w:gridCol w:w="1406"/>
        <w:gridCol w:w="1577"/>
        <w:gridCol w:w="1578"/>
        <w:gridCol w:w="1671"/>
        <w:gridCol w:w="1114"/>
        <w:gridCol w:w="2042"/>
      </w:tblGrid>
      <w:tr w:rsidR="00A83DDA" w:rsidRPr="002F1795" w:rsidTr="006565F1">
        <w:trPr>
          <w:trHeight w:val="255"/>
          <w:tblHeader/>
          <w:jc w:val="center"/>
        </w:trPr>
        <w:tc>
          <w:tcPr>
            <w:tcW w:w="9388" w:type="dxa"/>
            <w:gridSpan w:val="6"/>
            <w:tcBorders>
              <w:top w:val="single" w:sz="4" w:space="0" w:color="auto"/>
              <w:left w:val="single" w:sz="4" w:space="0" w:color="auto"/>
              <w:bottom w:val="single" w:sz="4" w:space="0" w:color="auto"/>
              <w:right w:val="single" w:sz="4" w:space="0" w:color="auto"/>
            </w:tcBorders>
            <w:shd w:val="pct25" w:color="auto" w:fill="auto"/>
            <w:hideMark/>
          </w:tcPr>
          <w:p w:rsidR="00A83DDA" w:rsidRPr="002F1795" w:rsidRDefault="00A83DDA" w:rsidP="006565F1">
            <w:pPr>
              <w:pStyle w:val="TableTitle"/>
            </w:pPr>
            <w:bookmarkStart w:id="36" w:name="_Ref305506961"/>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32</w:t>
            </w:r>
            <w:r w:rsidR="0041046E">
              <w:rPr>
                <w:noProof/>
              </w:rPr>
              <w:fldChar w:fldCharType="end"/>
            </w:r>
            <w:bookmarkEnd w:id="36"/>
            <w:r w:rsidRPr="002F1795">
              <w:rPr>
                <w:noProof/>
              </w:rPr>
              <w:t xml:space="preserve">: </w:t>
            </w:r>
            <w:r w:rsidRPr="002F1795">
              <w:t>Summary of Three Year Average Total (including baseline) Burden and Costs, by Geographic Location ($2010)</w:t>
            </w:r>
          </w:p>
        </w:tc>
      </w:tr>
      <w:tr w:rsidR="00A83DDA" w:rsidRPr="002F1795" w:rsidTr="006565F1">
        <w:trPr>
          <w:trHeight w:val="180"/>
          <w:tblHeader/>
          <w:jc w:val="center"/>
        </w:trPr>
        <w:tc>
          <w:tcPr>
            <w:tcW w:w="1406" w:type="dxa"/>
            <w:tcBorders>
              <w:top w:val="nil"/>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Response and Respondent Type</w:t>
            </w:r>
          </w:p>
        </w:tc>
        <w:tc>
          <w:tcPr>
            <w:tcW w:w="1577" w:type="dxa"/>
            <w:tcBorders>
              <w:top w:val="single" w:sz="4" w:space="0" w:color="auto"/>
              <w:left w:val="nil"/>
              <w:right w:val="single" w:sz="4" w:space="0" w:color="auto"/>
            </w:tcBorders>
            <w:shd w:val="clear" w:color="auto" w:fill="auto"/>
            <w:vAlign w:val="center"/>
            <w:hideMark/>
          </w:tcPr>
          <w:p w:rsidR="00A83DDA" w:rsidRPr="002F1795" w:rsidRDefault="00A83DDA" w:rsidP="006565F1">
            <w:pPr>
              <w:pStyle w:val="TableSubtitle"/>
            </w:pPr>
            <w:r w:rsidRPr="002F1795">
              <w:t>Number of Respondents</w:t>
            </w:r>
          </w:p>
        </w:tc>
        <w:tc>
          <w:tcPr>
            <w:tcW w:w="1578" w:type="dxa"/>
            <w:tcBorders>
              <w:top w:val="nil"/>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Average Responses per Respondent</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Average Burden per Response (hours)</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rsidR="00A83DDA" w:rsidRPr="002F1795" w:rsidRDefault="00A83DDA" w:rsidP="006565F1">
            <w:pPr>
              <w:pStyle w:val="TableSubtitle"/>
            </w:pPr>
            <w:r w:rsidRPr="002F1795">
              <w:t>Total Burden</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A83DDA" w:rsidRPr="002F1795" w:rsidRDefault="00A83DDA" w:rsidP="006565F1">
            <w:pPr>
              <w:pStyle w:val="TableSubtitle"/>
            </w:pPr>
            <w:r w:rsidRPr="002F1795">
              <w:t>Total Cost</w:t>
            </w:r>
          </w:p>
        </w:tc>
      </w:tr>
      <w:tr w:rsidR="00A83DDA" w:rsidRPr="002F1795" w:rsidTr="006565F1">
        <w:trPr>
          <w:trHeight w:val="107"/>
          <w:jc w:val="center"/>
        </w:trPr>
        <w:tc>
          <w:tcPr>
            <w:tcW w:w="938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Subtitle"/>
            </w:pPr>
            <w:r w:rsidRPr="002F1795">
              <w:t>Domestic</w:t>
            </w:r>
          </w:p>
        </w:tc>
      </w:tr>
      <w:tr w:rsidR="00A83DDA" w:rsidRPr="002F1795" w:rsidTr="006565F1">
        <w:trPr>
          <w:trHeight w:val="85"/>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rPr>
                <w:b/>
              </w:rPr>
            </w:pPr>
            <w:r w:rsidRPr="002F1795">
              <w:rPr>
                <w:b/>
              </w:rPr>
              <w:t>Producers</w:t>
            </w:r>
          </w:p>
        </w:tc>
        <w:tc>
          <w:tcPr>
            <w:tcW w:w="1577"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1578"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167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bottom"/>
          </w:tcPr>
          <w:p w:rsidR="00A83DDA" w:rsidRPr="002F1795" w:rsidRDefault="00A83DDA" w:rsidP="006565F1">
            <w:pPr>
              <w:pStyle w:val="TableText"/>
              <w:jc w:val="right"/>
            </w:pPr>
          </w:p>
        </w:tc>
      </w:tr>
      <w:tr w:rsidR="004D6A55" w:rsidRPr="002F1795" w:rsidTr="004D6A55">
        <w:trPr>
          <w:trHeight w:val="7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370</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138.5895</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17,091</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$2,293,200</w:t>
            </w:r>
          </w:p>
        </w:tc>
      </w:tr>
      <w:tr w:rsidR="004D6A55" w:rsidRPr="002F1795" w:rsidTr="004D6A55">
        <w:trPr>
          <w:trHeight w:val="7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Annual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370</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59.2649</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21,928</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$4,975,931</w:t>
            </w:r>
          </w:p>
        </w:tc>
      </w:tr>
      <w:tr w:rsidR="004D6A55" w:rsidRPr="002F1795" w:rsidTr="004D6A55">
        <w:trPr>
          <w:trHeight w:val="7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Quarterly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370</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4.0000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3.6784</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5,444</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$2,056,416</w:t>
            </w:r>
          </w:p>
        </w:tc>
      </w:tr>
      <w:tr w:rsidR="004D6A55" w:rsidRPr="002F1795" w:rsidTr="004D6A55">
        <w:trPr>
          <w:trHeight w:val="107"/>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Daily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370</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260.0000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1.7730</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170,560</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$14,738,661</w:t>
            </w:r>
          </w:p>
        </w:tc>
      </w:tr>
      <w:tr w:rsidR="004D6A55" w:rsidRPr="002F1795" w:rsidTr="006565F1">
        <w:trPr>
          <w:trHeight w:val="107"/>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Fabricators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7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79,701</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26.8287</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712,687</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$35,348,387</w:t>
            </w:r>
          </w:p>
        </w:tc>
      </w:tr>
      <w:tr w:rsidR="004D6A55" w:rsidRPr="002F1795" w:rsidTr="004D6A55">
        <w:trPr>
          <w:trHeight w:val="107"/>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Daily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79,701</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24.1482</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1,924,638</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$47,808,008</w:t>
            </w:r>
          </w:p>
        </w:tc>
      </w:tr>
      <w:tr w:rsidR="004D6A55" w:rsidRPr="002F1795" w:rsidTr="006565F1">
        <w:trPr>
          <w:trHeight w:val="107"/>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Wholesalers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107"/>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85,560</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9.9288</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283,142</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$17,819,748</w:t>
            </w:r>
          </w:p>
        </w:tc>
      </w:tr>
      <w:tr w:rsidR="004D6A55" w:rsidRPr="002F1795" w:rsidTr="004D6A55">
        <w:trPr>
          <w:trHeight w:val="107"/>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Annual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85,560</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9.8697</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844,448</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$21,567,202</w:t>
            </w:r>
          </w:p>
        </w:tc>
      </w:tr>
      <w:tr w:rsidR="004D6A55" w:rsidRPr="002F1795" w:rsidTr="004D6A55">
        <w:trPr>
          <w:trHeight w:val="107"/>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Retailers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759,048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4.0000</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1,011,963</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$71,563,045</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rsidP="006565F1">
            <w:pPr>
              <w:pStyle w:val="TableText"/>
              <w:ind w:left="180"/>
            </w:pPr>
            <w:r w:rsidRPr="002F1795">
              <w:t xml:space="preserve">Annual </w:t>
            </w:r>
            <w:r w:rsidRPr="002F1795">
              <w:rPr>
                <w:vertAlign w:val="superscript"/>
              </w:rPr>
              <w:t>1</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759,048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xml:space="preserve">-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w:t>
            </w:r>
          </w:p>
        </w:tc>
      </w:tr>
      <w:tr w:rsidR="00F624FE"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24FE" w:rsidRPr="002F1795" w:rsidRDefault="00F624FE" w:rsidP="006565F1">
            <w:pPr>
              <w:pStyle w:val="TableText"/>
            </w:pPr>
            <w:r w:rsidRPr="002F1795">
              <w:rPr>
                <w:b/>
              </w:rPr>
              <w:t>Total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924,679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4,991,901</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F624FE" w:rsidRPr="002F1795" w:rsidRDefault="00F624FE">
            <w:pPr>
              <w:jc w:val="right"/>
              <w:rPr>
                <w:b/>
                <w:color w:val="000000"/>
                <w:sz w:val="18"/>
                <w:szCs w:val="18"/>
              </w:rPr>
            </w:pPr>
            <w:r w:rsidRPr="002F1795">
              <w:rPr>
                <w:b/>
                <w:color w:val="000000"/>
                <w:sz w:val="18"/>
                <w:szCs w:val="18"/>
              </w:rPr>
              <w:t>$218,170,598</w:t>
            </w:r>
          </w:p>
        </w:tc>
      </w:tr>
      <w:tr w:rsidR="00A83DDA" w:rsidRPr="002F1795" w:rsidTr="006565F1">
        <w:trPr>
          <w:trHeight w:val="80"/>
          <w:jc w:val="center"/>
        </w:trPr>
        <w:tc>
          <w:tcPr>
            <w:tcW w:w="938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Subtitle"/>
            </w:pPr>
            <w:r w:rsidRPr="002F1795">
              <w:t>Foreign</w:t>
            </w:r>
          </w:p>
        </w:tc>
      </w:tr>
      <w:tr w:rsidR="00A83DDA" w:rsidRPr="002F1795" w:rsidTr="006565F1">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rPr>
                <w:b/>
              </w:rPr>
            </w:pPr>
            <w:r w:rsidRPr="002F1795">
              <w:rPr>
                <w:b/>
              </w:rPr>
              <w:t>Producers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A83DDA" w:rsidRPr="002F1795" w:rsidRDefault="00A83DDA" w:rsidP="006565F1">
            <w:pPr>
              <w:pStyle w:val="TableText"/>
              <w:rPr>
                <w:szCs w:val="18"/>
              </w:rPr>
            </w:pPr>
            <w:r w:rsidRPr="002F1795">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A83DDA" w:rsidRPr="002F1795" w:rsidRDefault="00A83DDA" w:rsidP="006565F1">
            <w:pPr>
              <w:pStyle w:val="TableText"/>
              <w:rPr>
                <w:szCs w:val="18"/>
              </w:rPr>
            </w:pPr>
            <w:r w:rsidRPr="002F1795">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A83DDA" w:rsidRPr="002F1795" w:rsidRDefault="00A83DDA" w:rsidP="006565F1">
            <w:pPr>
              <w:pStyle w:val="TableText"/>
              <w:rPr>
                <w:szCs w:val="18"/>
              </w:rPr>
            </w:pPr>
            <w:r w:rsidRPr="002F1795">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3DDA" w:rsidRPr="002F1795" w:rsidRDefault="00A83DDA" w:rsidP="006565F1">
            <w:pPr>
              <w:pStyle w:val="TableText"/>
              <w:rPr>
                <w:szCs w:val="18"/>
              </w:rPr>
            </w:pPr>
            <w:r w:rsidRPr="002F1795">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A83DDA" w:rsidRPr="002F1795" w:rsidRDefault="00A83DDA" w:rsidP="006565F1">
            <w:pPr>
              <w:pStyle w:val="TableText"/>
              <w:rPr>
                <w:szCs w:val="18"/>
              </w:rPr>
            </w:pPr>
            <w:r w:rsidRPr="002F1795">
              <w:t> </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1,129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68.7385</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25,866</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$3,142,139</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Annual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1,129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57.2728</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64,661</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$14,142,927</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rsidP="006565F1">
            <w:pPr>
              <w:rPr>
                <w:color w:val="000000"/>
                <w:sz w:val="18"/>
                <w:szCs w:val="18"/>
              </w:rPr>
            </w:pPr>
            <w:r w:rsidRPr="002F1795">
              <w:rPr>
                <w:color w:val="000000"/>
                <w:sz w:val="18"/>
                <w:szCs w:val="18"/>
              </w:rPr>
              <w:t xml:space="preserve">   Quarterly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1,129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4.0000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2.2611</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10,211</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$4,394,614</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rsidP="006565F1">
            <w:pPr>
              <w:rPr>
                <w:color w:val="000000"/>
                <w:sz w:val="18"/>
                <w:szCs w:val="18"/>
              </w:rPr>
            </w:pPr>
            <w:r w:rsidRPr="002F1795">
              <w:rPr>
                <w:color w:val="000000"/>
                <w:sz w:val="18"/>
                <w:szCs w:val="18"/>
              </w:rPr>
              <w:t xml:space="preserve">   Daily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1,129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260.0000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1.0611</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311,480</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$25,732,711</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Fabricators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31,083</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26.8215</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277,870</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$13,782,371</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Daily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31,083</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24.2524</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753,838</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$18,725,336</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Wholesalers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33,368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25.1744</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279,978</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$14,147,271</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Annual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33,368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bottom"/>
          </w:tcPr>
          <w:p w:rsidR="004D6A55" w:rsidRPr="002F1795" w:rsidRDefault="004D6A55">
            <w:pPr>
              <w:rPr>
                <w:rFonts w:ascii="Calibri" w:hAnsi="Calibri" w:cs="Calibri"/>
                <w:color w:val="000000"/>
                <w:sz w:val="22"/>
                <w:szCs w:val="22"/>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1,176,164</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$30,039,228</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Retailers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xml:space="preserve">            -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xml:space="preserve">                              -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xml:space="preserve">  -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xml:space="preserve">                           -     </w:t>
            </w:r>
          </w:p>
        </w:tc>
      </w:tr>
      <w:tr w:rsidR="00F624FE"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24FE" w:rsidRPr="002F1795" w:rsidRDefault="00F624FE" w:rsidP="006565F1">
            <w:pPr>
              <w:pStyle w:val="TableText"/>
            </w:pPr>
            <w:r w:rsidRPr="002F1795">
              <w:rPr>
                <w:b/>
              </w:rPr>
              <w:t>Total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65,580</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4FE" w:rsidRPr="002F1795" w:rsidRDefault="00F624FE">
            <w:pPr>
              <w:jc w:val="right"/>
              <w:rPr>
                <w:b/>
                <w:color w:val="000000"/>
                <w:sz w:val="18"/>
                <w:szCs w:val="18"/>
              </w:rPr>
            </w:pPr>
            <w:r w:rsidRPr="002F1795">
              <w:rPr>
                <w:b/>
                <w:color w:val="000000"/>
                <w:sz w:val="18"/>
                <w:szCs w:val="18"/>
              </w:rPr>
              <w:t>2,900,068</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F624FE" w:rsidRPr="002F1795" w:rsidRDefault="00F624FE">
            <w:pPr>
              <w:jc w:val="right"/>
              <w:rPr>
                <w:b/>
                <w:color w:val="000000"/>
                <w:sz w:val="18"/>
                <w:szCs w:val="18"/>
              </w:rPr>
            </w:pPr>
            <w:r w:rsidRPr="002F1795">
              <w:rPr>
                <w:b/>
                <w:color w:val="000000"/>
                <w:sz w:val="18"/>
                <w:szCs w:val="18"/>
              </w:rPr>
              <w:t>124,106,597</w:t>
            </w:r>
          </w:p>
        </w:tc>
      </w:tr>
      <w:tr w:rsidR="00A83DDA" w:rsidRPr="002F1795" w:rsidTr="006565F1">
        <w:trPr>
          <w:trHeight w:val="80"/>
          <w:jc w:val="center"/>
        </w:trPr>
        <w:tc>
          <w:tcPr>
            <w:tcW w:w="938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Subtitle"/>
            </w:pPr>
            <w:r w:rsidRPr="002F1795">
              <w:t>Total</w:t>
            </w:r>
          </w:p>
        </w:tc>
      </w:tr>
      <w:tr w:rsidR="00A83DDA" w:rsidRPr="002F1795" w:rsidTr="006565F1">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rPr>
                <w:b/>
              </w:rPr>
            </w:pPr>
            <w:r w:rsidRPr="002F1795">
              <w:rPr>
                <w:b/>
              </w:rPr>
              <w:t>Producers</w:t>
            </w:r>
          </w:p>
        </w:tc>
        <w:tc>
          <w:tcPr>
            <w:tcW w:w="1577"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1578"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1671" w:type="dxa"/>
            <w:tcBorders>
              <w:top w:val="single" w:sz="4" w:space="0" w:color="auto"/>
              <w:left w:val="nil"/>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jc w:val="right"/>
            </w:pPr>
          </w:p>
        </w:tc>
        <w:tc>
          <w:tcPr>
            <w:tcW w:w="2042" w:type="dxa"/>
            <w:tcBorders>
              <w:top w:val="single" w:sz="4" w:space="0" w:color="auto"/>
              <w:left w:val="single" w:sz="4" w:space="0" w:color="auto"/>
              <w:bottom w:val="single" w:sz="4" w:space="0" w:color="auto"/>
              <w:right w:val="single" w:sz="4" w:space="0" w:color="auto"/>
            </w:tcBorders>
            <w:shd w:val="clear" w:color="auto" w:fill="auto"/>
            <w:vAlign w:val="bottom"/>
          </w:tcPr>
          <w:p w:rsidR="00A83DDA" w:rsidRPr="002F1795" w:rsidRDefault="00A83DDA" w:rsidP="006565F1">
            <w:pPr>
              <w:pStyle w:val="TableText"/>
              <w:jc w:val="right"/>
            </w:pP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1,499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85.9799</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42,957</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$5,435,343</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Annual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1,499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57.7645</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86,589</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$19,118,857</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Quarterly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1,499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4.0000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2.6109</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15,655</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$6,451,032</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Daily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1,499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260.0000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1.2368</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482,040</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$40,471,373</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Fabricators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110,784</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26.8267</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990,557</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$49,130,759</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Daily</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110,784</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24.1775</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2,678,476</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$66,533,344</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Wholesalers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118,928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14.2063</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563,120</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$31,967,019</w:t>
            </w:r>
          </w:p>
        </w:tc>
      </w:tr>
      <w:tr w:rsidR="004D6A55" w:rsidRPr="002F1795" w:rsidTr="004D6A55">
        <w:trPr>
          <w:trHeight w:val="7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Annual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118,928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16.9902</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2,020,612</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$51,606,456</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rPr>
                <w:b/>
              </w:rPr>
            </w:pPr>
            <w:r w:rsidRPr="002F1795">
              <w:rPr>
                <w:b/>
              </w:rPr>
              <w:t>Retailers</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 </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 </w:t>
            </w:r>
          </w:p>
        </w:tc>
      </w:tr>
      <w:tr w:rsidR="004D6A55" w:rsidRPr="002F1795" w:rsidTr="004D6A55">
        <w:trPr>
          <w:trHeight w:val="272"/>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t xml:space="preserve">   One-Time</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759,048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0.3333</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4.0000</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1,011,963</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$71,563,045</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rsidP="006565F1">
            <w:pPr>
              <w:pStyle w:val="TableText"/>
              <w:ind w:left="180"/>
            </w:pPr>
            <w:r w:rsidRPr="002F1795">
              <w:t>Annual</w:t>
            </w:r>
            <w:r w:rsidRPr="002F1795">
              <w:rPr>
                <w:vertAlign w:val="superscript"/>
              </w:rPr>
              <w:t>1</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759,048</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1.0000</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color w:val="000000"/>
                <w:sz w:val="18"/>
                <w:szCs w:val="18"/>
              </w:rPr>
            </w:pPr>
            <w:r w:rsidRPr="002F1795">
              <w:rPr>
                <w:color w:val="000000"/>
                <w:sz w:val="18"/>
                <w:szCs w:val="18"/>
              </w:rPr>
              <w:t>-</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color w:val="000000"/>
                <w:sz w:val="18"/>
                <w:szCs w:val="18"/>
              </w:rPr>
            </w:pPr>
            <w:r w:rsidRPr="002F1795">
              <w:rPr>
                <w:color w:val="000000"/>
                <w:sz w:val="18"/>
                <w:szCs w:val="18"/>
              </w:rPr>
              <w:t>-</w:t>
            </w:r>
          </w:p>
        </w:tc>
      </w:tr>
      <w:tr w:rsidR="004D6A55" w:rsidRPr="002F1795" w:rsidTr="004D6A55">
        <w:trPr>
          <w:trHeight w:val="80"/>
          <w:jc w:val="center"/>
        </w:trPr>
        <w:tc>
          <w:tcPr>
            <w:tcW w:w="14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6A55" w:rsidRPr="002F1795" w:rsidRDefault="004D6A55" w:rsidP="006565F1">
            <w:pPr>
              <w:pStyle w:val="TableText"/>
            </w:pPr>
            <w:r w:rsidRPr="002F1795">
              <w:rPr>
                <w:b/>
              </w:rPr>
              <w:t>Total</w:t>
            </w:r>
          </w:p>
        </w:tc>
        <w:tc>
          <w:tcPr>
            <w:tcW w:w="1577"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b/>
                <w:color w:val="000000"/>
                <w:sz w:val="18"/>
                <w:szCs w:val="18"/>
              </w:rPr>
            </w:pPr>
            <w:r w:rsidRPr="002F1795">
              <w:rPr>
                <w:b/>
                <w:color w:val="000000"/>
                <w:sz w:val="18"/>
                <w:szCs w:val="18"/>
              </w:rPr>
              <w:t>990,259</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b/>
                <w:color w:val="000000"/>
                <w:sz w:val="18"/>
                <w:szCs w:val="18"/>
              </w:rPr>
            </w:pPr>
            <w:r w:rsidRPr="002F1795">
              <w:rPr>
                <w:b/>
                <w:color w:val="000000"/>
                <w:sz w:val="18"/>
                <w:szCs w:val="18"/>
              </w:rPr>
              <w:t> </w:t>
            </w:r>
          </w:p>
        </w:tc>
        <w:tc>
          <w:tcPr>
            <w:tcW w:w="1671" w:type="dxa"/>
            <w:tcBorders>
              <w:top w:val="single" w:sz="4" w:space="0" w:color="auto"/>
              <w:left w:val="nil"/>
              <w:bottom w:val="single" w:sz="4" w:space="0" w:color="auto"/>
              <w:right w:val="single" w:sz="4" w:space="0" w:color="auto"/>
            </w:tcBorders>
            <w:shd w:val="clear" w:color="auto" w:fill="auto"/>
            <w:noWrap/>
            <w:vAlign w:val="center"/>
          </w:tcPr>
          <w:p w:rsidR="004D6A55" w:rsidRPr="002F1795" w:rsidRDefault="004D6A55">
            <w:pPr>
              <w:jc w:val="right"/>
              <w:rPr>
                <w:b/>
                <w:color w:val="000000"/>
                <w:sz w:val="18"/>
                <w:szCs w:val="18"/>
              </w:rPr>
            </w:pPr>
            <w:r w:rsidRPr="002F1795">
              <w:rPr>
                <w:b/>
                <w:color w:val="000000"/>
                <w:sz w:val="18"/>
                <w:szCs w:val="18"/>
              </w:rPr>
              <w:t> </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A55" w:rsidRPr="002F1795" w:rsidRDefault="004D6A55">
            <w:pPr>
              <w:jc w:val="right"/>
              <w:rPr>
                <w:b/>
                <w:color w:val="000000"/>
                <w:sz w:val="18"/>
                <w:szCs w:val="18"/>
              </w:rPr>
            </w:pPr>
            <w:r w:rsidRPr="002F1795">
              <w:rPr>
                <w:b/>
                <w:color w:val="000000"/>
                <w:sz w:val="18"/>
                <w:szCs w:val="18"/>
              </w:rPr>
              <w:t>7,891,969</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4D6A55" w:rsidRPr="002F1795" w:rsidRDefault="004D6A55">
            <w:pPr>
              <w:jc w:val="right"/>
              <w:rPr>
                <w:b/>
                <w:color w:val="000000"/>
                <w:sz w:val="18"/>
                <w:szCs w:val="18"/>
              </w:rPr>
            </w:pPr>
            <w:r w:rsidRPr="002F1795">
              <w:rPr>
                <w:b/>
                <w:color w:val="000000"/>
                <w:sz w:val="18"/>
                <w:szCs w:val="18"/>
              </w:rPr>
              <w:t>$342,277,228</w:t>
            </w:r>
          </w:p>
        </w:tc>
      </w:tr>
      <w:tr w:rsidR="00A83DDA" w:rsidRPr="002F1795" w:rsidTr="006565F1">
        <w:trPr>
          <w:trHeight w:val="80"/>
          <w:jc w:val="center"/>
        </w:trPr>
        <w:tc>
          <w:tcPr>
            <w:tcW w:w="938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A83DDA" w:rsidRPr="002F1795" w:rsidRDefault="00A83DDA" w:rsidP="006565F1">
            <w:pPr>
              <w:pStyle w:val="TableText"/>
              <w:rPr>
                <w:b/>
              </w:rPr>
            </w:pPr>
            <w:r w:rsidRPr="002F1795">
              <w:t xml:space="preserve">1. Retailers are assumed not to import products directly, in which case they are only required to keep invoices and bills of lading.  These records are typically kept as a customary business practice, so no annual burden is attributed to retailers.  </w:t>
            </w:r>
          </w:p>
        </w:tc>
      </w:tr>
    </w:tbl>
    <w:p w:rsidR="00A83DDA" w:rsidRPr="002F1795" w:rsidRDefault="00A83DDA" w:rsidP="00A83DDA">
      <w:pPr>
        <w:ind w:firstLine="720"/>
      </w:pPr>
    </w:p>
    <w:tbl>
      <w:tblPr>
        <w:tblW w:w="5000" w:type="pct"/>
        <w:jc w:val="center"/>
        <w:tblLook w:val="04A0"/>
      </w:tblPr>
      <w:tblGrid>
        <w:gridCol w:w="1283"/>
        <w:gridCol w:w="1342"/>
        <w:gridCol w:w="1646"/>
        <w:gridCol w:w="1441"/>
        <w:gridCol w:w="1048"/>
        <w:gridCol w:w="2816"/>
      </w:tblGrid>
      <w:tr w:rsidR="00A83DDA" w:rsidRPr="002F1795" w:rsidTr="006565F1">
        <w:trPr>
          <w:trHeight w:val="86"/>
          <w:jc w:val="center"/>
        </w:trPr>
        <w:tc>
          <w:tcPr>
            <w:tcW w:w="9576" w:type="dxa"/>
            <w:gridSpan w:val="6"/>
            <w:tcBorders>
              <w:top w:val="single" w:sz="8" w:space="0" w:color="auto"/>
              <w:left w:val="single" w:sz="8" w:space="0" w:color="auto"/>
              <w:bottom w:val="single" w:sz="4" w:space="0" w:color="auto"/>
              <w:right w:val="single" w:sz="4" w:space="0" w:color="auto"/>
            </w:tcBorders>
            <w:shd w:val="clear" w:color="000000" w:fill="BFBFBF"/>
            <w:vAlign w:val="center"/>
            <w:hideMark/>
          </w:tcPr>
          <w:p w:rsidR="00A83DDA" w:rsidRPr="002F1795" w:rsidRDefault="00A83DDA" w:rsidP="006565F1">
            <w:pPr>
              <w:pStyle w:val="TableTitle"/>
              <w:keepNext/>
              <w:rPr>
                <w:noProof/>
              </w:rPr>
            </w:pPr>
            <w:bookmarkStart w:id="37" w:name="_Ref311466672"/>
            <w:bookmarkStart w:id="38" w:name="_Ref311466669"/>
            <w:r w:rsidRPr="002F1795">
              <w:lastRenderedPageBreak/>
              <w:t>Exhibit 6-</w:t>
            </w:r>
            <w:r w:rsidR="0041046E">
              <w:fldChar w:fldCharType="begin"/>
            </w:r>
            <w:r w:rsidR="00441B0C">
              <w:instrText xml:space="preserve"> SEQ Exhibit_6- \* ARABIC </w:instrText>
            </w:r>
            <w:r w:rsidR="0041046E">
              <w:fldChar w:fldCharType="separate"/>
            </w:r>
            <w:r w:rsidR="0036394F">
              <w:rPr>
                <w:noProof/>
              </w:rPr>
              <w:t>33</w:t>
            </w:r>
            <w:r w:rsidR="0041046E">
              <w:rPr>
                <w:noProof/>
              </w:rPr>
              <w:fldChar w:fldCharType="end"/>
            </w:r>
            <w:bookmarkEnd w:id="37"/>
            <w:r w:rsidRPr="002F1795">
              <w:rPr>
                <w:noProof/>
              </w:rPr>
              <w:t xml:space="preserve">: </w:t>
            </w:r>
            <w:r w:rsidRPr="002F1795">
              <w:t>Summary of Three Year Average Total Incremental Burden and Costs, by Geographic Location ($2010)</w:t>
            </w:r>
            <w:bookmarkEnd w:id="38"/>
          </w:p>
        </w:tc>
      </w:tr>
      <w:tr w:rsidR="00A83DDA"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Response and Respondent Type</w:t>
            </w:r>
          </w:p>
        </w:tc>
        <w:tc>
          <w:tcPr>
            <w:tcW w:w="1342" w:type="dxa"/>
            <w:tcBorders>
              <w:top w:val="nil"/>
              <w:left w:val="nil"/>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Number of Respondents</w:t>
            </w:r>
          </w:p>
        </w:tc>
        <w:tc>
          <w:tcPr>
            <w:tcW w:w="1646" w:type="dxa"/>
            <w:tcBorders>
              <w:top w:val="nil"/>
              <w:left w:val="nil"/>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Average Activities per Respondent</w:t>
            </w:r>
          </w:p>
        </w:tc>
        <w:tc>
          <w:tcPr>
            <w:tcW w:w="1441" w:type="dxa"/>
            <w:tcBorders>
              <w:top w:val="nil"/>
              <w:left w:val="nil"/>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Average Burden per Response (hours)</w:t>
            </w:r>
          </w:p>
        </w:tc>
        <w:tc>
          <w:tcPr>
            <w:tcW w:w="1048" w:type="dxa"/>
            <w:tcBorders>
              <w:top w:val="nil"/>
              <w:left w:val="nil"/>
              <w:bottom w:val="single" w:sz="4" w:space="0" w:color="auto"/>
              <w:right w:val="single" w:sz="4" w:space="0" w:color="auto"/>
            </w:tcBorders>
            <w:shd w:val="clear" w:color="auto" w:fill="auto"/>
            <w:vAlign w:val="center"/>
            <w:hideMark/>
          </w:tcPr>
          <w:p w:rsidR="00A83DDA" w:rsidRPr="002F1795" w:rsidRDefault="00A83DDA" w:rsidP="006565F1">
            <w:pPr>
              <w:pStyle w:val="TableSubtitle"/>
            </w:pPr>
            <w:r w:rsidRPr="002F1795">
              <w:t>Total Burden</w:t>
            </w:r>
          </w:p>
        </w:tc>
        <w:tc>
          <w:tcPr>
            <w:tcW w:w="2816" w:type="dxa"/>
            <w:tcBorders>
              <w:top w:val="nil"/>
              <w:left w:val="nil"/>
              <w:bottom w:val="single" w:sz="4" w:space="0" w:color="auto"/>
              <w:right w:val="single" w:sz="8" w:space="0" w:color="auto"/>
            </w:tcBorders>
            <w:shd w:val="clear" w:color="auto" w:fill="auto"/>
            <w:vAlign w:val="center"/>
            <w:hideMark/>
          </w:tcPr>
          <w:p w:rsidR="00A83DDA" w:rsidRPr="002F1795" w:rsidRDefault="00A83DDA" w:rsidP="006565F1">
            <w:pPr>
              <w:pStyle w:val="TableSubtitle"/>
            </w:pPr>
            <w:r w:rsidRPr="002F1795">
              <w:t>Total Cost</w:t>
            </w:r>
          </w:p>
        </w:tc>
      </w:tr>
      <w:tr w:rsidR="00A83DDA" w:rsidRPr="002F1795" w:rsidTr="006565F1">
        <w:trPr>
          <w:trHeight w:val="86"/>
          <w:jc w:val="center"/>
        </w:trPr>
        <w:tc>
          <w:tcPr>
            <w:tcW w:w="9576" w:type="dxa"/>
            <w:gridSpan w:val="6"/>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b/>
              </w:rPr>
            </w:pPr>
            <w:r w:rsidRPr="002F1795">
              <w:rPr>
                <w:b/>
              </w:rPr>
              <w:t>Domestic</w:t>
            </w:r>
          </w:p>
        </w:tc>
      </w:tr>
      <w:tr w:rsidR="00A83DDA"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rPr>
                <w:b/>
              </w:rPr>
            </w:pPr>
            <w:r w:rsidRPr="002F1795">
              <w:rPr>
                <w:b/>
              </w:rPr>
              <w:t>Producers</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p>
        </w:tc>
        <w:tc>
          <w:tcPr>
            <w:tcW w:w="1048" w:type="dxa"/>
            <w:tcBorders>
              <w:top w:val="nil"/>
              <w:left w:val="nil"/>
              <w:bottom w:val="single" w:sz="4" w:space="0" w:color="auto"/>
              <w:right w:val="single" w:sz="4" w:space="0" w:color="auto"/>
            </w:tcBorders>
            <w:shd w:val="clear" w:color="auto" w:fill="FFFFFF" w:themeFill="background1"/>
            <w:noWrap/>
            <w:vAlign w:val="bottom"/>
            <w:hideMark/>
          </w:tcPr>
          <w:p w:rsidR="00A83DDA" w:rsidRPr="002F1795" w:rsidRDefault="00A83DDA" w:rsidP="006565F1">
            <w:pPr>
              <w:pStyle w:val="TableText"/>
              <w:jc w:val="right"/>
            </w:pPr>
          </w:p>
        </w:tc>
        <w:tc>
          <w:tcPr>
            <w:tcW w:w="2816" w:type="dxa"/>
            <w:tcBorders>
              <w:top w:val="nil"/>
              <w:left w:val="nil"/>
              <w:bottom w:val="single" w:sz="4" w:space="0" w:color="auto"/>
              <w:right w:val="single" w:sz="8" w:space="0" w:color="auto"/>
            </w:tcBorders>
            <w:shd w:val="clear" w:color="auto" w:fill="FFFFFF" w:themeFill="background1"/>
            <w:vAlign w:val="center"/>
            <w:hideMark/>
          </w:tcPr>
          <w:p w:rsidR="00A83DDA" w:rsidRPr="002F1795" w:rsidRDefault="00A83DDA" w:rsidP="006565F1">
            <w:pPr>
              <w:pStyle w:val="TableText"/>
              <w:jc w:val="right"/>
            </w:pPr>
          </w:p>
        </w:tc>
      </w:tr>
      <w:tr w:rsidR="004D6A55"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6A55" w:rsidRPr="002F1795" w:rsidRDefault="004D6A55"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370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138.5895</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17,091</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$2,280,900</w:t>
            </w:r>
          </w:p>
        </w:tc>
      </w:tr>
      <w:tr w:rsidR="004D6A55"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6A55" w:rsidRPr="002F1795" w:rsidRDefault="004D6A55"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370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58.3027</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21,572</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$4,282,669</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Quarterly</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370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rsidP="009B0A92">
            <w:pPr>
              <w:jc w:val="right"/>
              <w:rPr>
                <w:color w:val="000000"/>
                <w:sz w:val="18"/>
                <w:szCs w:val="18"/>
              </w:rPr>
            </w:pPr>
            <w:r w:rsidRPr="002F1795">
              <w:rPr>
                <w:color w:val="000000"/>
                <w:sz w:val="18"/>
                <w:szCs w:val="18"/>
              </w:rPr>
              <w:t>3.0</w:t>
            </w:r>
            <w:r w:rsidR="009B0A92" w:rsidRPr="002F1795">
              <w:rPr>
                <w:color w:val="000000"/>
                <w:sz w:val="18"/>
                <w:szCs w:val="18"/>
              </w:rPr>
              <w:t>885</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4,571</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$1,904,517</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Daily</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370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260.0000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1.4973</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144,040</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$12,660,686</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Fabricators</w:t>
            </w: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rPr>
                <w:color w:val="000000"/>
                <w:sz w:val="20"/>
                <w:szCs w:val="20"/>
              </w:rPr>
            </w:pPr>
            <w:r w:rsidRPr="002F1795">
              <w:rPr>
                <w:color w:val="000000"/>
                <w:sz w:val="20"/>
                <w:szCs w:val="20"/>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79,701</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26.8287</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712,687</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$35,348,387</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47,540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24.2646</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1,153,539</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$28,653,909</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Wholesalers</w:t>
            </w: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rPr>
                <w:color w:val="000000"/>
                <w:sz w:val="20"/>
                <w:szCs w:val="20"/>
              </w:rPr>
            </w:pPr>
            <w:r w:rsidRPr="002F1795">
              <w:rPr>
                <w:color w:val="000000"/>
                <w:sz w:val="20"/>
                <w:szCs w:val="20"/>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85,560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9.9288</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283,142</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$17,819,748</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8654EB">
            <w:pPr>
              <w:jc w:val="right"/>
              <w:rPr>
                <w:color w:val="000000"/>
                <w:sz w:val="18"/>
                <w:szCs w:val="18"/>
              </w:rPr>
            </w:pPr>
            <w:r w:rsidRPr="002F1795">
              <w:rPr>
                <w:color w:val="000000"/>
                <w:sz w:val="18"/>
                <w:szCs w:val="18"/>
              </w:rPr>
              <w:t>85,560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0.0002</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530,188</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$13,541,002</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Retailers</w:t>
            </w: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rPr>
                <w:color w:val="000000"/>
                <w:sz w:val="20"/>
                <w:szCs w:val="20"/>
              </w:rPr>
            </w:pPr>
            <w:r w:rsidRPr="002F1795">
              <w:rPr>
                <w:color w:val="000000"/>
                <w:sz w:val="20"/>
                <w:szCs w:val="20"/>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759,048</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4.0000</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1,011,963</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$71,563,045</w:t>
            </w:r>
          </w:p>
        </w:tc>
      </w:tr>
      <w:tr w:rsidR="000F7267" w:rsidRPr="002F1795" w:rsidTr="004D6A55">
        <w:trPr>
          <w:trHeight w:val="70"/>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tcPr>
          <w:p w:rsidR="000F7267" w:rsidRPr="002F1795" w:rsidRDefault="000F7267" w:rsidP="006565F1">
            <w:pPr>
              <w:pStyle w:val="TableText"/>
              <w:rPr>
                <w:b/>
              </w:rPr>
            </w:pPr>
            <w:r w:rsidRPr="002F1795">
              <w:t xml:space="preserve">   Annual</w:t>
            </w:r>
            <w:r w:rsidRPr="002F1795">
              <w:rPr>
                <w:vertAlign w:val="superscript"/>
              </w:rPr>
              <w:t>1</w:t>
            </w:r>
          </w:p>
        </w:tc>
        <w:tc>
          <w:tcPr>
            <w:tcW w:w="1342" w:type="dxa"/>
            <w:tcBorders>
              <w:top w:val="nil"/>
              <w:left w:val="nil"/>
              <w:bottom w:val="single" w:sz="4" w:space="0" w:color="auto"/>
              <w:right w:val="single" w:sz="4"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658,150</w:t>
            </w:r>
          </w:p>
        </w:tc>
        <w:tc>
          <w:tcPr>
            <w:tcW w:w="1646" w:type="dxa"/>
            <w:tcBorders>
              <w:top w:val="nil"/>
              <w:left w:val="nil"/>
              <w:bottom w:val="single" w:sz="4" w:space="0" w:color="auto"/>
              <w:right w:val="single" w:sz="4"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tcPr>
          <w:p w:rsidR="000F7267" w:rsidRPr="002F1795" w:rsidRDefault="000F7267">
            <w:pPr>
              <w:jc w:val="center"/>
              <w:rPr>
                <w:color w:val="000000"/>
                <w:sz w:val="18"/>
                <w:szCs w:val="18"/>
              </w:rPr>
            </w:pPr>
            <w:r w:rsidRPr="002F1795">
              <w:rPr>
                <w:color w:val="000000"/>
                <w:sz w:val="18"/>
                <w:szCs w:val="18"/>
              </w:rPr>
              <w:t>-</w:t>
            </w:r>
          </w:p>
        </w:tc>
        <w:tc>
          <w:tcPr>
            <w:tcW w:w="1048" w:type="dxa"/>
            <w:tcBorders>
              <w:top w:val="nil"/>
              <w:left w:val="nil"/>
              <w:bottom w:val="single" w:sz="4" w:space="0" w:color="auto"/>
              <w:right w:val="single" w:sz="4"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w:t>
            </w:r>
          </w:p>
        </w:tc>
        <w:tc>
          <w:tcPr>
            <w:tcW w:w="2816" w:type="dxa"/>
            <w:tcBorders>
              <w:top w:val="nil"/>
              <w:left w:val="nil"/>
              <w:bottom w:val="single" w:sz="4" w:space="0" w:color="auto"/>
              <w:right w:val="single" w:sz="8"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Total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924,679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color w:val="000000"/>
                <w:sz w:val="18"/>
                <w:szCs w:val="18"/>
              </w:rPr>
            </w:pPr>
            <w:r w:rsidRPr="002F1795">
              <w:rPr>
                <w:b/>
                <w:color w:val="000000"/>
                <w:sz w:val="18"/>
                <w:szCs w:val="18"/>
              </w:rPr>
              <w:t>3,878,793</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b/>
                <w:color w:val="000000"/>
                <w:sz w:val="18"/>
                <w:szCs w:val="18"/>
              </w:rPr>
            </w:pPr>
            <w:r w:rsidRPr="002F1795">
              <w:rPr>
                <w:b/>
                <w:color w:val="000000"/>
                <w:sz w:val="18"/>
                <w:szCs w:val="18"/>
              </w:rPr>
              <w:t>$188,054,863</w:t>
            </w:r>
          </w:p>
        </w:tc>
      </w:tr>
      <w:tr w:rsidR="00A83DDA" w:rsidRPr="002F1795" w:rsidTr="006565F1">
        <w:trPr>
          <w:trHeight w:val="86"/>
          <w:jc w:val="center"/>
        </w:trPr>
        <w:tc>
          <w:tcPr>
            <w:tcW w:w="9576" w:type="dxa"/>
            <w:gridSpan w:val="6"/>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b/>
              </w:rPr>
            </w:pPr>
            <w:r w:rsidRPr="002F1795">
              <w:rPr>
                <w:b/>
              </w:rPr>
              <w:t>Foreign</w:t>
            </w:r>
          </w:p>
        </w:tc>
      </w:tr>
      <w:tr w:rsidR="00A83DDA"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rPr>
                <w:b/>
              </w:rPr>
            </w:pPr>
            <w:r w:rsidRPr="002F1795">
              <w:rPr>
                <w:b/>
              </w:rPr>
              <w:t>Producers</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pPr>
            <w:r w:rsidRPr="002F1795">
              <w:t> </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pPr>
            <w:r w:rsidRPr="002F1795">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pPr>
            <w:r w:rsidRPr="002F1795">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pPr>
            <w:r w:rsidRPr="002F1795">
              <w:t> </w:t>
            </w:r>
          </w:p>
        </w:tc>
        <w:tc>
          <w:tcPr>
            <w:tcW w:w="2816" w:type="dxa"/>
            <w:tcBorders>
              <w:top w:val="nil"/>
              <w:left w:val="nil"/>
              <w:bottom w:val="single" w:sz="4" w:space="0" w:color="auto"/>
              <w:right w:val="single" w:sz="8" w:space="0" w:color="auto"/>
            </w:tcBorders>
            <w:shd w:val="clear" w:color="auto" w:fill="FFFFFF" w:themeFill="background1"/>
            <w:vAlign w:val="center"/>
            <w:hideMark/>
          </w:tcPr>
          <w:p w:rsidR="00A83DDA" w:rsidRPr="002F1795" w:rsidRDefault="00A83DDA" w:rsidP="006565F1">
            <w:pPr>
              <w:pStyle w:val="TableText"/>
            </w:pPr>
            <w:r w:rsidRPr="002F1795">
              <w:t> </w:t>
            </w:r>
          </w:p>
        </w:tc>
      </w:tr>
      <w:tr w:rsidR="004D6A55"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6A55" w:rsidRPr="002F1795" w:rsidRDefault="004D6A55"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1,129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68.7385</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25,866</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$3,027,539</w:t>
            </w:r>
          </w:p>
        </w:tc>
      </w:tr>
      <w:tr w:rsidR="004D6A55"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6A55" w:rsidRPr="002F1795" w:rsidRDefault="004D6A55"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1,129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55.0540</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62,156</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$7,936,610</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Quarterly</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1,129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rsidP="009B0A92">
            <w:pPr>
              <w:jc w:val="right"/>
              <w:rPr>
                <w:color w:val="000000"/>
                <w:sz w:val="18"/>
                <w:szCs w:val="18"/>
              </w:rPr>
            </w:pPr>
            <w:r w:rsidRPr="002F1795">
              <w:rPr>
                <w:color w:val="000000"/>
                <w:sz w:val="18"/>
                <w:szCs w:val="18"/>
              </w:rPr>
              <w:t>0.5</w:t>
            </w:r>
            <w:r w:rsidR="009B0A92" w:rsidRPr="002F1795">
              <w:rPr>
                <w:color w:val="000000"/>
                <w:sz w:val="18"/>
                <w:szCs w:val="18"/>
              </w:rPr>
              <w:t>627</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2,541</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$1,520,865</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Daily</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1,129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260.0000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0.2728</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80,080</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$7,585,668</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Fabricators</w:t>
            </w: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rPr>
                <w:color w:val="000000"/>
                <w:sz w:val="20"/>
                <w:szCs w:val="20"/>
              </w:rPr>
            </w:pPr>
            <w:r w:rsidRPr="002F1795">
              <w:rPr>
                <w:color w:val="000000"/>
                <w:sz w:val="20"/>
                <w:szCs w:val="20"/>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31,083</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26.8215</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277,870</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$13,782,371</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18,476</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24.3314</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449,547</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$11,166,747</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Wholesalers</w:t>
            </w: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rPr>
                <w:color w:val="000000"/>
                <w:sz w:val="20"/>
                <w:szCs w:val="20"/>
              </w:rPr>
            </w:pPr>
            <w:r w:rsidRPr="002F1795">
              <w:rPr>
                <w:color w:val="000000"/>
                <w:sz w:val="20"/>
                <w:szCs w:val="20"/>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33,368</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25.1744</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279,978</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$14,147,271</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20,955</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35.2421</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738,498</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$18,861,239</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Retailers</w:t>
            </w:r>
          </w:p>
        </w:tc>
        <w:tc>
          <w:tcPr>
            <w:tcW w:w="1342"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646" w:type="dxa"/>
            <w:tcBorders>
              <w:top w:val="nil"/>
              <w:left w:val="nil"/>
              <w:bottom w:val="single" w:sz="4" w:space="0" w:color="auto"/>
              <w:right w:val="single" w:sz="4" w:space="0" w:color="auto"/>
            </w:tcBorders>
            <w:shd w:val="clear" w:color="auto" w:fill="FFFFFF" w:themeFill="background1"/>
            <w:noWrap/>
            <w:vAlign w:val="bottom"/>
            <w:hideMark/>
          </w:tcPr>
          <w:p w:rsidR="000F7267" w:rsidRPr="002F1795" w:rsidRDefault="000F7267">
            <w:pPr>
              <w:rPr>
                <w:color w:val="000000"/>
                <w:sz w:val="20"/>
                <w:szCs w:val="20"/>
              </w:rPr>
            </w:pPr>
            <w:r w:rsidRPr="002F1795">
              <w:rPr>
                <w:color w:val="000000"/>
                <w:sz w:val="20"/>
                <w:szCs w:val="20"/>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rPr>
                <w:color w:val="000000"/>
                <w:sz w:val="20"/>
                <w:szCs w:val="20"/>
              </w:rPr>
            </w:pPr>
            <w:r w:rsidRPr="002F1795">
              <w:rPr>
                <w:color w:val="000000"/>
                <w:sz w:val="20"/>
                <w:szCs w:val="20"/>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center"/>
              <w:rPr>
                <w:color w:val="000000"/>
                <w:sz w:val="18"/>
                <w:szCs w:val="18"/>
              </w:rPr>
            </w:pPr>
            <w:r w:rsidRPr="002F1795">
              <w:rPr>
                <w:color w:val="000000"/>
                <w:sz w:val="18"/>
                <w:szCs w:val="18"/>
              </w:rPr>
              <w:t>-</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center"/>
              <w:rPr>
                <w:color w:val="000000"/>
                <w:sz w:val="18"/>
                <w:szCs w:val="18"/>
              </w:rPr>
            </w:pPr>
            <w:r w:rsidRPr="002F1795">
              <w:rPr>
                <w:color w:val="000000"/>
                <w:sz w:val="18"/>
                <w:szCs w:val="18"/>
              </w:rPr>
              <w:t>-</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xml:space="preserve">  -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xml:space="preserve">                           -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Total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65,580</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color w:val="000000"/>
                <w:sz w:val="18"/>
                <w:szCs w:val="18"/>
              </w:rPr>
            </w:pPr>
            <w:r w:rsidRPr="002F1795">
              <w:rPr>
                <w:b/>
                <w:color w:val="000000"/>
                <w:sz w:val="18"/>
                <w:szCs w:val="18"/>
              </w:rPr>
              <w:t>1,916,536</w:t>
            </w:r>
          </w:p>
        </w:tc>
        <w:tc>
          <w:tcPr>
            <w:tcW w:w="281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b/>
                <w:color w:val="000000"/>
                <w:sz w:val="18"/>
                <w:szCs w:val="18"/>
              </w:rPr>
            </w:pPr>
            <w:r w:rsidRPr="002F1795">
              <w:rPr>
                <w:b/>
                <w:color w:val="000000"/>
                <w:sz w:val="18"/>
                <w:szCs w:val="18"/>
              </w:rPr>
              <w:t>78,028,310</w:t>
            </w:r>
          </w:p>
        </w:tc>
      </w:tr>
      <w:tr w:rsidR="00A83DDA" w:rsidRPr="002F1795" w:rsidTr="006565F1">
        <w:trPr>
          <w:trHeight w:val="86"/>
          <w:jc w:val="center"/>
        </w:trPr>
        <w:tc>
          <w:tcPr>
            <w:tcW w:w="9576" w:type="dxa"/>
            <w:gridSpan w:val="6"/>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center"/>
              <w:rPr>
                <w:b/>
              </w:rPr>
            </w:pPr>
            <w:r w:rsidRPr="002F1795">
              <w:rPr>
                <w:b/>
              </w:rPr>
              <w:t>Total</w:t>
            </w:r>
          </w:p>
        </w:tc>
      </w:tr>
      <w:tr w:rsidR="00A83DDA"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rPr>
                <w:b/>
              </w:rPr>
            </w:pPr>
            <w:r w:rsidRPr="002F1795">
              <w:rPr>
                <w:b/>
              </w:rPr>
              <w:t>Producers</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jc w:val="right"/>
            </w:pPr>
          </w:p>
        </w:tc>
        <w:tc>
          <w:tcPr>
            <w:tcW w:w="2816" w:type="dxa"/>
            <w:tcBorders>
              <w:top w:val="nil"/>
              <w:left w:val="nil"/>
              <w:bottom w:val="single" w:sz="4" w:space="0" w:color="auto"/>
              <w:right w:val="single" w:sz="8" w:space="0" w:color="auto"/>
            </w:tcBorders>
            <w:shd w:val="clear" w:color="auto" w:fill="FFFFFF" w:themeFill="background1"/>
            <w:vAlign w:val="center"/>
            <w:hideMark/>
          </w:tcPr>
          <w:p w:rsidR="00A83DDA" w:rsidRPr="002F1795" w:rsidRDefault="00A83DDA" w:rsidP="006565F1">
            <w:pPr>
              <w:pStyle w:val="TableText"/>
              <w:jc w:val="right"/>
            </w:pPr>
          </w:p>
        </w:tc>
      </w:tr>
      <w:tr w:rsidR="004D6A55"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6A55" w:rsidRPr="002F1795" w:rsidRDefault="004D6A55"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1,499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85.9799</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42,957</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$5,308,443</w:t>
            </w:r>
          </w:p>
        </w:tc>
      </w:tr>
      <w:tr w:rsidR="004D6A55"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4D6A55" w:rsidRPr="002F1795" w:rsidRDefault="004D6A55"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1,499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55.8559</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83,728</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4D6A55" w:rsidRPr="002F1795" w:rsidRDefault="004D6A55">
            <w:pPr>
              <w:jc w:val="right"/>
              <w:rPr>
                <w:color w:val="000000"/>
                <w:sz w:val="18"/>
                <w:szCs w:val="18"/>
              </w:rPr>
            </w:pPr>
            <w:r w:rsidRPr="002F1795">
              <w:rPr>
                <w:color w:val="000000"/>
                <w:sz w:val="18"/>
                <w:szCs w:val="18"/>
              </w:rPr>
              <w:t>$12,219,276</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Quarterly</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1,499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rsidP="009B0A92">
            <w:pPr>
              <w:jc w:val="right"/>
              <w:rPr>
                <w:color w:val="000000"/>
                <w:sz w:val="18"/>
                <w:szCs w:val="18"/>
              </w:rPr>
            </w:pPr>
            <w:r w:rsidRPr="002F1795">
              <w:rPr>
                <w:color w:val="000000"/>
                <w:sz w:val="18"/>
                <w:szCs w:val="18"/>
              </w:rPr>
              <w:t>1.</w:t>
            </w:r>
            <w:r w:rsidR="009B0A92" w:rsidRPr="002F1795">
              <w:rPr>
                <w:color w:val="000000"/>
                <w:sz w:val="18"/>
                <w:szCs w:val="18"/>
              </w:rPr>
              <w:t>1861</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7,112</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$3,425,382</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Daily</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1,499</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260.0000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0.5751</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224,120</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$20,246,354</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Fabricators</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110,784</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26.8267</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990,557</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$49,130,759</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66,016</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24.2833</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1,603,086</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$39,820,656</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Wholesalers</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118,928</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14.2063</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563,120</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$31,967,019</w:t>
            </w:r>
          </w:p>
        </w:tc>
      </w:tr>
      <w:tr w:rsidR="000F7267" w:rsidRPr="002F1795" w:rsidTr="004D6A55">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Annual</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74,686</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16.9869</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1,268,686</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$32,402,215</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Retailers</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 </w:t>
            </w:r>
          </w:p>
        </w:tc>
      </w:tr>
      <w:tr w:rsidR="000F7267" w:rsidRPr="002F1795" w:rsidTr="006565F1">
        <w:trPr>
          <w:trHeight w:val="86"/>
          <w:jc w:val="center"/>
        </w:trPr>
        <w:tc>
          <w:tcPr>
            <w:tcW w:w="128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0F7267" w:rsidRPr="002F1795" w:rsidRDefault="000F7267" w:rsidP="006565F1">
            <w:pPr>
              <w:pStyle w:val="TableText"/>
            </w:pPr>
            <w:r w:rsidRPr="002F1795">
              <w:t xml:space="preserve">   One-Time</w:t>
            </w:r>
          </w:p>
        </w:tc>
        <w:tc>
          <w:tcPr>
            <w:tcW w:w="1342"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759,048</w:t>
            </w:r>
          </w:p>
        </w:tc>
        <w:tc>
          <w:tcPr>
            <w:tcW w:w="1646"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0.3333</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4.0000</w:t>
            </w:r>
          </w:p>
        </w:tc>
        <w:tc>
          <w:tcPr>
            <w:tcW w:w="1048" w:type="dxa"/>
            <w:tcBorders>
              <w:top w:val="nil"/>
              <w:left w:val="nil"/>
              <w:bottom w:val="single" w:sz="4" w:space="0" w:color="auto"/>
              <w:right w:val="single" w:sz="4"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1,011,963</w:t>
            </w:r>
          </w:p>
        </w:tc>
        <w:tc>
          <w:tcPr>
            <w:tcW w:w="2816" w:type="dxa"/>
            <w:tcBorders>
              <w:top w:val="nil"/>
              <w:left w:val="nil"/>
              <w:bottom w:val="single" w:sz="4" w:space="0" w:color="auto"/>
              <w:right w:val="single" w:sz="8" w:space="0" w:color="auto"/>
            </w:tcBorders>
            <w:shd w:val="clear" w:color="auto" w:fill="FFFFFF" w:themeFill="background1"/>
            <w:noWrap/>
            <w:vAlign w:val="center"/>
            <w:hideMark/>
          </w:tcPr>
          <w:p w:rsidR="000F7267" w:rsidRPr="002F1795" w:rsidRDefault="000F7267">
            <w:pPr>
              <w:jc w:val="right"/>
              <w:rPr>
                <w:color w:val="000000"/>
                <w:sz w:val="18"/>
                <w:szCs w:val="18"/>
              </w:rPr>
            </w:pPr>
            <w:r w:rsidRPr="002F1795">
              <w:rPr>
                <w:color w:val="000000"/>
                <w:sz w:val="18"/>
                <w:szCs w:val="18"/>
              </w:rPr>
              <w:t>$71,563,045</w:t>
            </w:r>
          </w:p>
        </w:tc>
      </w:tr>
      <w:tr w:rsidR="000F7267" w:rsidRPr="002F1795" w:rsidTr="004D6A55">
        <w:trPr>
          <w:trHeight w:val="86"/>
          <w:jc w:val="center"/>
        </w:trPr>
        <w:tc>
          <w:tcPr>
            <w:tcW w:w="1283" w:type="dxa"/>
            <w:tcBorders>
              <w:top w:val="nil"/>
              <w:left w:val="single" w:sz="8" w:space="0" w:color="auto"/>
              <w:bottom w:val="single" w:sz="8" w:space="0" w:color="auto"/>
              <w:right w:val="single" w:sz="4" w:space="0" w:color="auto"/>
            </w:tcBorders>
            <w:shd w:val="clear" w:color="auto" w:fill="FFFFFF" w:themeFill="background1"/>
            <w:noWrap/>
            <w:vAlign w:val="center"/>
          </w:tcPr>
          <w:p w:rsidR="000F7267" w:rsidRPr="002F1795" w:rsidRDefault="000F7267" w:rsidP="006565F1">
            <w:pPr>
              <w:pStyle w:val="TableText"/>
            </w:pPr>
            <w:r w:rsidRPr="002F1795">
              <w:t xml:space="preserve">   Annual</w:t>
            </w:r>
            <w:r w:rsidRPr="002F1795">
              <w:rPr>
                <w:vertAlign w:val="superscript"/>
              </w:rPr>
              <w:t>1</w:t>
            </w:r>
          </w:p>
        </w:tc>
        <w:tc>
          <w:tcPr>
            <w:tcW w:w="1342" w:type="dxa"/>
            <w:tcBorders>
              <w:top w:val="nil"/>
              <w:left w:val="nil"/>
              <w:bottom w:val="single" w:sz="8" w:space="0" w:color="auto"/>
              <w:right w:val="single" w:sz="4"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658,150</w:t>
            </w:r>
          </w:p>
        </w:tc>
        <w:tc>
          <w:tcPr>
            <w:tcW w:w="1646" w:type="dxa"/>
            <w:tcBorders>
              <w:top w:val="nil"/>
              <w:left w:val="nil"/>
              <w:bottom w:val="single" w:sz="8" w:space="0" w:color="auto"/>
              <w:right w:val="single" w:sz="4"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1.0000</w:t>
            </w:r>
          </w:p>
        </w:tc>
        <w:tc>
          <w:tcPr>
            <w:tcW w:w="1441" w:type="dxa"/>
            <w:tcBorders>
              <w:top w:val="nil"/>
              <w:left w:val="nil"/>
              <w:bottom w:val="single" w:sz="8" w:space="0" w:color="auto"/>
              <w:right w:val="single" w:sz="4" w:space="0" w:color="auto"/>
            </w:tcBorders>
            <w:shd w:val="clear" w:color="auto" w:fill="FFFFFF" w:themeFill="background1"/>
            <w:noWrap/>
            <w:vAlign w:val="center"/>
          </w:tcPr>
          <w:p w:rsidR="000F7267" w:rsidRPr="002F1795" w:rsidRDefault="000F7267">
            <w:pPr>
              <w:jc w:val="center"/>
              <w:rPr>
                <w:color w:val="000000"/>
                <w:sz w:val="18"/>
                <w:szCs w:val="18"/>
              </w:rPr>
            </w:pPr>
            <w:r w:rsidRPr="002F1795">
              <w:rPr>
                <w:color w:val="000000"/>
                <w:sz w:val="18"/>
                <w:szCs w:val="18"/>
              </w:rPr>
              <w:t>-</w:t>
            </w:r>
          </w:p>
        </w:tc>
        <w:tc>
          <w:tcPr>
            <w:tcW w:w="1048" w:type="dxa"/>
            <w:tcBorders>
              <w:top w:val="nil"/>
              <w:left w:val="nil"/>
              <w:bottom w:val="single" w:sz="8" w:space="0" w:color="auto"/>
              <w:right w:val="single" w:sz="4"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w:t>
            </w:r>
          </w:p>
        </w:tc>
        <w:tc>
          <w:tcPr>
            <w:tcW w:w="2816" w:type="dxa"/>
            <w:tcBorders>
              <w:top w:val="nil"/>
              <w:left w:val="nil"/>
              <w:bottom w:val="single" w:sz="8" w:space="0" w:color="auto"/>
              <w:right w:val="single" w:sz="4" w:space="0" w:color="auto"/>
            </w:tcBorders>
            <w:shd w:val="clear" w:color="auto" w:fill="FFFFFF" w:themeFill="background1"/>
            <w:noWrap/>
            <w:vAlign w:val="center"/>
          </w:tcPr>
          <w:p w:rsidR="000F7267" w:rsidRPr="002F1795" w:rsidRDefault="000F7267">
            <w:pPr>
              <w:jc w:val="right"/>
              <w:rPr>
                <w:color w:val="000000"/>
                <w:sz w:val="18"/>
                <w:szCs w:val="18"/>
              </w:rPr>
            </w:pPr>
            <w:r w:rsidRPr="002F1795">
              <w:rPr>
                <w:color w:val="000000"/>
                <w:sz w:val="18"/>
                <w:szCs w:val="18"/>
              </w:rPr>
              <w:t>-</w:t>
            </w:r>
          </w:p>
        </w:tc>
      </w:tr>
      <w:tr w:rsidR="000F7267" w:rsidRPr="002F1795" w:rsidTr="004D6A55">
        <w:trPr>
          <w:trHeight w:val="86"/>
          <w:jc w:val="center"/>
        </w:trPr>
        <w:tc>
          <w:tcPr>
            <w:tcW w:w="1283" w:type="dxa"/>
            <w:tcBorders>
              <w:top w:val="nil"/>
              <w:left w:val="single" w:sz="8" w:space="0" w:color="auto"/>
              <w:bottom w:val="single" w:sz="8" w:space="0" w:color="auto"/>
              <w:right w:val="single" w:sz="4" w:space="0" w:color="auto"/>
            </w:tcBorders>
            <w:shd w:val="clear" w:color="auto" w:fill="FFFFFF" w:themeFill="background1"/>
            <w:noWrap/>
            <w:vAlign w:val="center"/>
            <w:hideMark/>
          </w:tcPr>
          <w:p w:rsidR="000F7267" w:rsidRPr="002F1795" w:rsidRDefault="000F7267" w:rsidP="006565F1">
            <w:pPr>
              <w:pStyle w:val="TableText"/>
              <w:rPr>
                <w:b/>
              </w:rPr>
            </w:pPr>
            <w:r w:rsidRPr="002F1795">
              <w:rPr>
                <w:b/>
              </w:rPr>
              <w:t>Total</w:t>
            </w:r>
          </w:p>
        </w:tc>
        <w:tc>
          <w:tcPr>
            <w:tcW w:w="1342" w:type="dxa"/>
            <w:tcBorders>
              <w:top w:val="nil"/>
              <w:left w:val="nil"/>
              <w:bottom w:val="single" w:sz="8"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990,259</w:t>
            </w:r>
          </w:p>
        </w:tc>
        <w:tc>
          <w:tcPr>
            <w:tcW w:w="1646" w:type="dxa"/>
            <w:tcBorders>
              <w:top w:val="nil"/>
              <w:left w:val="nil"/>
              <w:bottom w:val="single" w:sz="8"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 </w:t>
            </w:r>
          </w:p>
        </w:tc>
        <w:tc>
          <w:tcPr>
            <w:tcW w:w="1441" w:type="dxa"/>
            <w:tcBorders>
              <w:top w:val="nil"/>
              <w:left w:val="nil"/>
              <w:bottom w:val="single" w:sz="8" w:space="0" w:color="auto"/>
              <w:right w:val="single" w:sz="4" w:space="0" w:color="auto"/>
            </w:tcBorders>
            <w:shd w:val="clear" w:color="auto" w:fill="FFFFFF" w:themeFill="background1"/>
            <w:noWrap/>
            <w:vAlign w:val="center"/>
            <w:hideMark/>
          </w:tcPr>
          <w:p w:rsidR="000F7267" w:rsidRPr="002F1795" w:rsidRDefault="000F7267">
            <w:pPr>
              <w:jc w:val="right"/>
              <w:rPr>
                <w:b/>
                <w:bCs/>
                <w:color w:val="000000"/>
                <w:sz w:val="18"/>
                <w:szCs w:val="18"/>
              </w:rPr>
            </w:pPr>
            <w:r w:rsidRPr="002F1795">
              <w:rPr>
                <w:b/>
                <w:bCs/>
                <w:color w:val="000000"/>
                <w:sz w:val="18"/>
                <w:szCs w:val="18"/>
              </w:rPr>
              <w:t> </w:t>
            </w:r>
          </w:p>
        </w:tc>
        <w:tc>
          <w:tcPr>
            <w:tcW w:w="1048" w:type="dxa"/>
            <w:tcBorders>
              <w:top w:val="nil"/>
              <w:left w:val="nil"/>
              <w:bottom w:val="single" w:sz="8" w:space="0" w:color="auto"/>
              <w:right w:val="single" w:sz="4" w:space="0" w:color="auto"/>
            </w:tcBorders>
            <w:shd w:val="clear" w:color="auto" w:fill="FFFFFF" w:themeFill="background1"/>
            <w:noWrap/>
            <w:vAlign w:val="center"/>
            <w:hideMark/>
          </w:tcPr>
          <w:p w:rsidR="000F7267" w:rsidRPr="002F1795" w:rsidRDefault="000F7267">
            <w:pPr>
              <w:jc w:val="right"/>
              <w:rPr>
                <w:b/>
                <w:color w:val="000000"/>
                <w:sz w:val="18"/>
                <w:szCs w:val="18"/>
              </w:rPr>
            </w:pPr>
            <w:r w:rsidRPr="002F1795">
              <w:rPr>
                <w:b/>
                <w:color w:val="000000"/>
                <w:sz w:val="18"/>
                <w:szCs w:val="18"/>
              </w:rPr>
              <w:t>5,795,329</w:t>
            </w:r>
          </w:p>
        </w:tc>
        <w:tc>
          <w:tcPr>
            <w:tcW w:w="2816" w:type="dxa"/>
            <w:tcBorders>
              <w:top w:val="nil"/>
              <w:left w:val="nil"/>
              <w:bottom w:val="single" w:sz="8" w:space="0" w:color="auto"/>
              <w:right w:val="single" w:sz="4" w:space="0" w:color="auto"/>
            </w:tcBorders>
            <w:shd w:val="clear" w:color="auto" w:fill="FFFFFF" w:themeFill="background1"/>
            <w:noWrap/>
            <w:vAlign w:val="center"/>
            <w:hideMark/>
          </w:tcPr>
          <w:p w:rsidR="000F7267" w:rsidRPr="002F1795" w:rsidRDefault="000F7267">
            <w:pPr>
              <w:jc w:val="right"/>
              <w:rPr>
                <w:b/>
                <w:color w:val="000000"/>
                <w:sz w:val="18"/>
                <w:szCs w:val="18"/>
              </w:rPr>
            </w:pPr>
            <w:r w:rsidRPr="002F1795">
              <w:rPr>
                <w:b/>
                <w:color w:val="000000"/>
                <w:sz w:val="18"/>
                <w:szCs w:val="18"/>
              </w:rPr>
              <w:t>$266,083,149</w:t>
            </w:r>
          </w:p>
        </w:tc>
      </w:tr>
      <w:tr w:rsidR="00A83DDA" w:rsidRPr="002F1795" w:rsidTr="006565F1">
        <w:trPr>
          <w:trHeight w:val="86"/>
          <w:jc w:val="center"/>
        </w:trPr>
        <w:tc>
          <w:tcPr>
            <w:tcW w:w="9576" w:type="dxa"/>
            <w:gridSpan w:val="6"/>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A83DDA" w:rsidRPr="002F1795" w:rsidRDefault="00A83DDA" w:rsidP="006565F1">
            <w:pPr>
              <w:pStyle w:val="TableText"/>
              <w:rPr>
                <w:b/>
              </w:rPr>
            </w:pPr>
            <w:r w:rsidRPr="002F1795">
              <w:t xml:space="preserve">1. Retailers are assumed not to import products directly, in which case they are only required to keep invoices and bills of lading.  These records are typically kept as a customary business practice, so no annual burden is attributed to retailers.  </w:t>
            </w:r>
          </w:p>
        </w:tc>
      </w:tr>
    </w:tbl>
    <w:p w:rsidR="00A83DDA" w:rsidRDefault="00A83DDA" w:rsidP="00A83DDA">
      <w:pPr>
        <w:keepNext/>
        <w:tabs>
          <w:tab w:val="left" w:pos="720"/>
          <w:tab w:val="left" w:pos="1440"/>
        </w:tabs>
        <w:ind w:left="1440" w:hanging="1440"/>
      </w:pPr>
    </w:p>
    <w:p w:rsidR="00981AEB" w:rsidRPr="002F1795" w:rsidRDefault="00981AEB" w:rsidP="00A83DDA">
      <w:pPr>
        <w:keepNext/>
        <w:tabs>
          <w:tab w:val="left" w:pos="720"/>
          <w:tab w:val="left" w:pos="1440"/>
        </w:tabs>
        <w:ind w:left="1440" w:hanging="1440"/>
      </w:pPr>
    </w:p>
    <w:p w:rsidR="00A83DDA" w:rsidRPr="002F1795" w:rsidRDefault="00A83DDA" w:rsidP="00A83DDA">
      <w:pPr>
        <w:keepNext/>
        <w:tabs>
          <w:tab w:val="left" w:pos="720"/>
          <w:tab w:val="left" w:pos="1440"/>
        </w:tabs>
        <w:ind w:left="1440" w:hanging="1440"/>
      </w:pPr>
      <w:r w:rsidRPr="002F1795">
        <w:lastRenderedPageBreak/>
        <w:tab/>
      </w:r>
      <w:r w:rsidRPr="002F1795">
        <w:rPr>
          <w:b/>
          <w:bCs/>
        </w:rPr>
        <w:t>6(e)</w:t>
      </w:r>
      <w:r w:rsidRPr="002F1795">
        <w:rPr>
          <w:b/>
          <w:bCs/>
        </w:rPr>
        <w:tab/>
        <w:t>Reasons for Changes in Burden</w:t>
      </w:r>
    </w:p>
    <w:p w:rsidR="00A83DDA" w:rsidRPr="002F1795" w:rsidRDefault="00A83DDA" w:rsidP="00A83DDA">
      <w:pPr>
        <w:keepNext/>
      </w:pPr>
    </w:p>
    <w:p w:rsidR="00A83DDA" w:rsidRPr="002F1795" w:rsidRDefault="00A83DDA" w:rsidP="00A83DDA">
      <w:r w:rsidRPr="002F1795">
        <w:tab/>
        <w:t>Not applicable.  These are new requirements so there was no previous ICR.</w:t>
      </w:r>
    </w:p>
    <w:p w:rsidR="00A83DDA" w:rsidRPr="002F1795" w:rsidRDefault="00A83DDA" w:rsidP="00A83DDA"/>
    <w:p w:rsidR="00A83DDA" w:rsidRPr="002F1795" w:rsidRDefault="00A83DDA" w:rsidP="00A83DDA">
      <w:pPr>
        <w:tabs>
          <w:tab w:val="left" w:pos="720"/>
          <w:tab w:val="left" w:pos="1440"/>
        </w:tabs>
        <w:ind w:left="1440" w:hanging="1440"/>
      </w:pPr>
      <w:r w:rsidRPr="002F1795">
        <w:tab/>
      </w:r>
      <w:r w:rsidRPr="002F1795">
        <w:rPr>
          <w:b/>
          <w:bCs/>
        </w:rPr>
        <w:t>6(f)</w:t>
      </w:r>
      <w:r w:rsidRPr="002F1795">
        <w:rPr>
          <w:b/>
          <w:bCs/>
        </w:rPr>
        <w:tab/>
        <w:t>Burden Statement</w:t>
      </w:r>
    </w:p>
    <w:p w:rsidR="00A83DDA" w:rsidRPr="002F1795" w:rsidRDefault="00A83DDA" w:rsidP="00A83DDA"/>
    <w:p w:rsidR="00A83DDA" w:rsidRPr="002F1795" w:rsidRDefault="00A83DDA" w:rsidP="00A83DDA">
      <w:r w:rsidRPr="002F1795">
        <w:tab/>
        <w:t xml:space="preserve">The annual public burden for this collection of information, which is approved under OMB Control No. </w:t>
      </w:r>
      <w:r w:rsidR="00A27A67">
        <w:t>2070</w:t>
      </w:r>
      <w:r w:rsidRPr="002F1795">
        <w:t>-</w:t>
      </w:r>
      <w:r w:rsidR="00A27A67">
        <w:t>NEW</w:t>
      </w:r>
      <w:r w:rsidRPr="002F1795">
        <w:t xml:space="preserve">, </w:t>
      </w:r>
      <w:r w:rsidR="00502AE3" w:rsidRPr="002F1795">
        <w:t xml:space="preserve">is estimated to be </w:t>
      </w:r>
      <w:r w:rsidR="00441B0C">
        <w:t>4.6</w:t>
      </w:r>
      <w:r w:rsidR="00502AE3" w:rsidRPr="002F1795">
        <w:t>0</w:t>
      </w:r>
      <w:r w:rsidRPr="002F1795">
        <w:t xml:space="preserve"> hours per response (i.e., 7,</w:t>
      </w:r>
      <w:r w:rsidR="00502AE3" w:rsidRPr="002F1795">
        <w:t>891</w:t>
      </w:r>
      <w:r w:rsidRPr="002F1795">
        <w:t>,</w:t>
      </w:r>
      <w:r w:rsidR="00502AE3" w:rsidRPr="002F1795">
        <w:t>969</w:t>
      </w:r>
      <w:r w:rsidR="00441B0C">
        <w:t xml:space="preserve"> burden hours for an estimated 1</w:t>
      </w:r>
      <w:r w:rsidRPr="002F1795">
        <w:t>,</w:t>
      </w:r>
      <w:r w:rsidR="00441B0C">
        <w:t>716</w:t>
      </w:r>
      <w:r w:rsidRPr="002F1795">
        <w:t>,</w:t>
      </w:r>
      <w:r w:rsidR="00441B0C">
        <w:t>048</w:t>
      </w:r>
      <w:r w:rsidRPr="002F1795">
        <w:t xml:space="preserve"> </w:t>
      </w:r>
      <w:bookmarkStart w:id="39" w:name="_GoBack"/>
      <w:bookmarkEnd w:id="39"/>
      <w:r w:rsidRPr="002F1795">
        <w:t>responses).</w:t>
      </w:r>
      <w:r w:rsidRPr="002F1795">
        <w:rPr>
          <w:rStyle w:val="FootnoteReference"/>
          <w:vertAlign w:val="superscript"/>
        </w:rPr>
        <w:footnoteReference w:id="27"/>
      </w:r>
      <w:r w:rsidRPr="002F1795">
        <w:rPr>
          <w:vertAlign w:val="superscript"/>
        </w:rPr>
        <w:t xml:space="preserve"> </w:t>
      </w:r>
      <w:r w:rsidRPr="002F1795">
        <w:t xml:space="preserve"> According to the Paperwork Reduction Act, “burden” means the total time, effort, or financial resources expended by persons to generate, maintain, retain, or disclose or provide information to or for a Federal agency.  For this collection it includes such activities as annual familiarization with requirements, recordkeeping, notification, and reporting requirements.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w:t>
      </w:r>
      <w:proofErr w:type="gramStart"/>
      <w:r w:rsidRPr="002F1795">
        <w:t>part</w:t>
      </w:r>
      <w:proofErr w:type="gramEnd"/>
      <w:r w:rsidRPr="002F1795">
        <w:t xml:space="preserve"> 9 and included on the related collection instrument or form, if applicable.</w:t>
      </w:r>
    </w:p>
    <w:p w:rsidR="00A83DDA" w:rsidRPr="002F1795" w:rsidRDefault="00A83DDA" w:rsidP="00A83DDA">
      <w:pPr>
        <w:ind w:firstLine="720"/>
      </w:pPr>
    </w:p>
    <w:p w:rsidR="00A83DDA" w:rsidRPr="002F1795" w:rsidRDefault="00A83DDA" w:rsidP="00A83DDA">
      <w:pPr>
        <w:ind w:firstLine="720"/>
      </w:pPr>
      <w:r w:rsidRPr="002F179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proofErr w:type="gramStart"/>
      <w:r w:rsidRPr="002F1795">
        <w:t>EPA-HQ-OPPT-</w:t>
      </w:r>
      <w:r w:rsidR="009C39E5">
        <w:t>2012-0018.</w:t>
      </w:r>
      <w:proofErr w:type="gramEnd"/>
      <w:r w:rsidR="009C39E5">
        <w:t xml:space="preserve">  </w:t>
      </w:r>
      <w:r w:rsidRPr="002F1795">
        <w:t xml:space="preserve">The docket is available for public viewing at the Pollution Prevention and Toxics Docket in the </w:t>
      </w:r>
      <w:smartTag w:uri="urn:schemas-microsoft-com:office:smarttags" w:element="place">
        <w:smartTag w:uri="urn:schemas-microsoft-com:office:smarttags" w:element="PlaceName">
          <w:r w:rsidRPr="002F1795">
            <w:t>EPA</w:t>
          </w:r>
        </w:smartTag>
        <w:r w:rsidRPr="002F1795">
          <w:t xml:space="preserve"> </w:t>
        </w:r>
        <w:smartTag w:uri="urn:schemas-microsoft-com:office:smarttags" w:element="PlaceName">
          <w:r w:rsidRPr="002F1795">
            <w:t>Docket</w:t>
          </w:r>
        </w:smartTag>
        <w:r w:rsidRPr="002F1795">
          <w:t xml:space="preserve"> </w:t>
        </w:r>
        <w:smartTag w:uri="urn:schemas-microsoft-com:office:smarttags" w:element="PlaceType">
          <w:r w:rsidRPr="002F1795">
            <w:t>Center</w:t>
          </w:r>
        </w:smartTag>
      </w:smartTag>
      <w:r w:rsidRPr="002F1795">
        <w:t xml:space="preserve"> (EPA/DC).  The EPA/DC Public Reading Room is located in the </w:t>
      </w:r>
      <w:smartTag w:uri="urn:schemas-microsoft-com:office:smarttags" w:element="PlaceName">
        <w:r w:rsidRPr="002F1795">
          <w:t>EPA</w:t>
        </w:r>
      </w:smartTag>
      <w:r w:rsidRPr="002F1795">
        <w:t xml:space="preserve"> </w:t>
      </w:r>
      <w:smartTag w:uri="urn:schemas-microsoft-com:office:smarttags" w:element="PlaceName">
        <w:r w:rsidRPr="002F1795">
          <w:t>West</w:t>
        </w:r>
      </w:smartTag>
      <w:r w:rsidRPr="002F1795">
        <w:t xml:space="preserve"> </w:t>
      </w:r>
      <w:smartTag w:uri="urn:schemas-microsoft-com:office:smarttags" w:element="PlaceType">
        <w:r w:rsidRPr="002F1795">
          <w:t>Building</w:t>
        </w:r>
      </w:smartTag>
      <w:r w:rsidRPr="002F1795">
        <w:t xml:space="preserve">, Room 3334, </w:t>
      </w:r>
      <w:smartTag w:uri="urn:schemas-microsoft-com:office:smarttags" w:element="Street">
        <w:smartTag w:uri="urn:schemas-microsoft-com:office:smarttags" w:element="address">
          <w:r w:rsidRPr="002F1795">
            <w:t>1301 Constitution Ave.</w:t>
          </w:r>
        </w:smartTag>
      </w:smartTag>
      <w:r w:rsidRPr="002F1795">
        <w:t xml:space="preserve">, </w:t>
      </w:r>
      <w:proofErr w:type="gramStart"/>
      <w:r w:rsidRPr="002F1795">
        <w:t>NW.,</w:t>
      </w:r>
      <w:proofErr w:type="gramEnd"/>
      <w:r w:rsidRPr="002F1795">
        <w:t xml:space="preserve"> </w:t>
      </w:r>
      <w:smartTag w:uri="urn:schemas-microsoft-com:office:smarttags" w:element="place">
        <w:smartTag w:uri="urn:schemas-microsoft-com:office:smarttags" w:element="City">
          <w:r w:rsidRPr="002F1795">
            <w:t>Washington</w:t>
          </w:r>
        </w:smartTag>
        <w:r w:rsidRPr="002F1795">
          <w:t xml:space="preserve">, </w:t>
        </w:r>
        <w:smartTag w:uri="urn:schemas-microsoft-com:office:smarttags" w:element="State">
          <w:r w:rsidRPr="002F1795">
            <w:t>DC</w:t>
          </w:r>
        </w:smartTag>
      </w:smartTag>
      <w:r w:rsidRPr="002F1795">
        <w:t xml:space="preserve">.  The EPA/DC Public Reading Room is open from 8:30 a.m. to 4:30 p.m., Monday through Friday, excluding legal holidays.  The telephone number for the EPA/DC Public Reading Room is (202) 566-1744, and the telephone number for the Pollution Prevention and Toxics Docket is (202) 566-0280.  An electronic version of the public docket is available through the Federal Docket Management System (FDMS) at www.regulations.gov.  Use FDMS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2F1795">
            <w:t>725 17th Street, NW</w:t>
          </w:r>
        </w:smartTag>
        <w:r w:rsidRPr="002F1795">
          <w:t xml:space="preserve">, </w:t>
        </w:r>
        <w:smartTag w:uri="urn:schemas-microsoft-com:office:smarttags" w:element="City">
          <w:r w:rsidRPr="002F1795">
            <w:t>Washington</w:t>
          </w:r>
        </w:smartTag>
        <w:r w:rsidRPr="002F1795">
          <w:t xml:space="preserve">, </w:t>
        </w:r>
        <w:smartTag w:uri="urn:schemas-microsoft-com:office:smarttags" w:element="State">
          <w:r w:rsidRPr="002F1795">
            <w:t>DC</w:t>
          </w:r>
        </w:smartTag>
        <w:r w:rsidRPr="002F1795">
          <w:t xml:space="preserve"> </w:t>
        </w:r>
        <w:smartTag w:uri="urn:schemas-microsoft-com:office:smarttags" w:element="PostalCode">
          <w:r w:rsidRPr="002F1795">
            <w:t>20503</w:t>
          </w:r>
        </w:smartTag>
      </w:smartTag>
      <w:r w:rsidRPr="002F1795">
        <w:t xml:space="preserve">, Attention: Desk Office for EPA.  Please include the EPA Docket ID No. </w:t>
      </w:r>
      <w:r w:rsidR="009C39E5" w:rsidRPr="002F1795">
        <w:t>EPA-HQ-OPPT-</w:t>
      </w:r>
      <w:r w:rsidR="009C39E5">
        <w:t>2012-0018</w:t>
      </w:r>
      <w:r w:rsidRPr="002F1795">
        <w:t xml:space="preserve"> and OMB control number </w:t>
      </w:r>
      <w:r w:rsidR="00A27A67">
        <w:t>2070</w:t>
      </w:r>
      <w:r w:rsidRPr="002F1795">
        <w:t>-</w:t>
      </w:r>
      <w:r w:rsidR="00A27A67">
        <w:t>NEW</w:t>
      </w:r>
      <w:r w:rsidRPr="002F1795">
        <w:t xml:space="preserve"> in any correspondence.</w:t>
      </w:r>
    </w:p>
    <w:p w:rsidR="00A83DDA" w:rsidRPr="002F1795" w:rsidRDefault="00A83DDA" w:rsidP="00A83DDA">
      <w:r w:rsidRPr="002F1795" w:rsidDel="000E230B">
        <w:rPr>
          <w:b/>
        </w:rPr>
        <w:t xml:space="preserve"> </w:t>
      </w:r>
    </w:p>
    <w:p w:rsidR="00A83DDA" w:rsidRPr="002F1795" w:rsidRDefault="00A83DDA" w:rsidP="00A83DDA">
      <w:pPr>
        <w:rPr>
          <w:noProof/>
        </w:rPr>
      </w:pPr>
    </w:p>
    <w:p w:rsidR="00A83DDA" w:rsidRPr="002F1795" w:rsidRDefault="00A83DDA" w:rsidP="00A83DDA">
      <w:r w:rsidRPr="002F1795">
        <w:br w:type="page"/>
      </w:r>
    </w:p>
    <w:p w:rsidR="00A83DDA" w:rsidRPr="002F1795" w:rsidRDefault="00A83DDA" w:rsidP="00A83DDA">
      <w:pPr>
        <w:rPr>
          <w:b/>
        </w:rPr>
      </w:pPr>
      <w:r w:rsidRPr="002F1795">
        <w:rPr>
          <w:b/>
        </w:rPr>
        <w:lastRenderedPageBreak/>
        <w:t>References</w:t>
      </w:r>
    </w:p>
    <w:p w:rsidR="00A83DDA" w:rsidRPr="002F1795" w:rsidRDefault="00A83DDA" w:rsidP="00A83DDA"/>
    <w:p w:rsidR="00A83DDA" w:rsidRPr="002F1795" w:rsidRDefault="0041046E" w:rsidP="00A83DDA">
      <w:pPr>
        <w:pStyle w:val="referencelist"/>
        <w:spacing w:after="0"/>
        <w:ind w:left="0" w:firstLine="0"/>
        <w:rPr>
          <w:noProof/>
          <w:sz w:val="20"/>
        </w:rPr>
      </w:pPr>
      <w:r w:rsidRPr="002F1795">
        <w:fldChar w:fldCharType="begin"/>
      </w:r>
      <w:r w:rsidR="00A83DDA" w:rsidRPr="002F1795">
        <w:instrText xml:space="preserve"> ADDIN EN.REFLIST </w:instrText>
      </w:r>
      <w:r w:rsidRPr="002F1795">
        <w:fldChar w:fldCharType="separate"/>
      </w:r>
      <w:bookmarkStart w:id="40" w:name="_ENREF_1"/>
      <w:r w:rsidR="00A83DDA" w:rsidRPr="002F1795">
        <w:rPr>
          <w:noProof/>
          <w:sz w:val="20"/>
        </w:rPr>
        <w:t xml:space="preserve">California Air Resources Board. 2011. </w:t>
      </w:r>
      <w:r w:rsidR="00A83DDA" w:rsidRPr="002F1795">
        <w:rPr>
          <w:i/>
          <w:noProof/>
          <w:sz w:val="20"/>
        </w:rPr>
        <w:t>CARB List of Certified Mills</w:t>
      </w:r>
      <w:r w:rsidR="00A83DDA" w:rsidRPr="002F1795">
        <w:rPr>
          <w:noProof/>
          <w:sz w:val="20"/>
        </w:rPr>
        <w:t>.</w:t>
      </w:r>
      <w:bookmarkEnd w:id="40"/>
    </w:p>
    <w:p w:rsidR="00A83DDA" w:rsidRPr="002F1795" w:rsidRDefault="00A83DDA" w:rsidP="00A83DDA">
      <w:pPr>
        <w:pStyle w:val="referencelist"/>
        <w:spacing w:after="0"/>
        <w:ind w:left="0" w:firstLine="0"/>
        <w:rPr>
          <w:noProof/>
          <w:sz w:val="20"/>
        </w:rPr>
      </w:pPr>
      <w:bookmarkStart w:id="41" w:name="_ENREF_2"/>
      <w:r w:rsidRPr="002F1795">
        <w:rPr>
          <w:noProof/>
          <w:sz w:val="20"/>
        </w:rPr>
        <w:t xml:space="preserve">Composite Panel Association. 2011. </w:t>
      </w:r>
      <w:r w:rsidRPr="002F1795">
        <w:rPr>
          <w:i/>
          <w:noProof/>
          <w:sz w:val="20"/>
        </w:rPr>
        <w:t>2011 Surface &amp; Panel Buyers Guide</w:t>
      </w:r>
      <w:r w:rsidRPr="002F1795">
        <w:rPr>
          <w:noProof/>
          <w:sz w:val="20"/>
        </w:rPr>
        <w:t>.</w:t>
      </w:r>
      <w:bookmarkEnd w:id="41"/>
    </w:p>
    <w:p w:rsidR="00A83DDA" w:rsidRPr="002F1795" w:rsidRDefault="00A83DDA" w:rsidP="00A83DDA">
      <w:pPr>
        <w:pStyle w:val="referencelist"/>
        <w:spacing w:after="0"/>
        <w:ind w:left="0" w:firstLine="0"/>
        <w:rPr>
          <w:noProof/>
          <w:sz w:val="20"/>
        </w:rPr>
      </w:pPr>
      <w:bookmarkStart w:id="42" w:name="_ENREF_3"/>
      <w:r w:rsidRPr="002F1795">
        <w:rPr>
          <w:noProof/>
          <w:sz w:val="20"/>
        </w:rPr>
        <w:t xml:space="preserve">Personal Communication with AHFA. 2010. </w:t>
      </w:r>
      <w:r w:rsidRPr="002F1795">
        <w:rPr>
          <w:i/>
          <w:noProof/>
          <w:sz w:val="20"/>
        </w:rPr>
        <w:t>Conversation between Bill Perdue (American Home Furnishings Alliance) and Abt Associates Inc.</w:t>
      </w:r>
      <w:r w:rsidRPr="002F1795">
        <w:rPr>
          <w:noProof/>
          <w:sz w:val="20"/>
        </w:rPr>
        <w:t xml:space="preserve"> November 3, 2010.</w:t>
      </w:r>
      <w:bookmarkEnd w:id="42"/>
    </w:p>
    <w:p w:rsidR="00A83DDA" w:rsidRPr="002F1795" w:rsidRDefault="00A83DDA" w:rsidP="00A83DDA">
      <w:pPr>
        <w:pStyle w:val="referencelist"/>
        <w:spacing w:after="0"/>
        <w:ind w:left="0" w:firstLine="0"/>
        <w:rPr>
          <w:noProof/>
          <w:sz w:val="20"/>
        </w:rPr>
      </w:pPr>
      <w:bookmarkStart w:id="43" w:name="_ENREF_4"/>
      <w:r w:rsidRPr="002F1795">
        <w:rPr>
          <w:noProof/>
          <w:sz w:val="20"/>
        </w:rPr>
        <w:t xml:space="preserve">Personal Communication with BIFMA. 2010. </w:t>
      </w:r>
      <w:r w:rsidRPr="002F1795">
        <w:rPr>
          <w:i/>
          <w:noProof/>
          <w:sz w:val="20"/>
        </w:rPr>
        <w:t>Brad Miller's (BIFMA) Written Responses to Questions about FSCWPA Impacts on Members</w:t>
      </w:r>
      <w:r w:rsidRPr="002F1795">
        <w:rPr>
          <w:noProof/>
          <w:sz w:val="20"/>
        </w:rPr>
        <w:t>. November 23, 2011.</w:t>
      </w:r>
      <w:bookmarkEnd w:id="43"/>
    </w:p>
    <w:p w:rsidR="00A83DDA" w:rsidRPr="002F1795" w:rsidRDefault="00A83DDA" w:rsidP="00A83DDA">
      <w:pPr>
        <w:pStyle w:val="referencelist"/>
        <w:spacing w:after="0"/>
        <w:ind w:left="0" w:firstLine="0"/>
        <w:rPr>
          <w:noProof/>
          <w:sz w:val="20"/>
        </w:rPr>
      </w:pPr>
      <w:bookmarkStart w:id="44" w:name="_ENREF_5"/>
      <w:r w:rsidRPr="002F1795">
        <w:rPr>
          <w:noProof/>
          <w:sz w:val="20"/>
        </w:rPr>
        <w:t xml:space="preserve">Personal Communication with CRA. 2011. </w:t>
      </w:r>
      <w:r w:rsidRPr="002F1795">
        <w:rPr>
          <w:i/>
          <w:noProof/>
          <w:sz w:val="20"/>
        </w:rPr>
        <w:t>Conversation between Pamela Williams (California Retailers Association) and Abt Associates Inc.</w:t>
      </w:r>
      <w:r w:rsidRPr="002F1795">
        <w:rPr>
          <w:noProof/>
          <w:sz w:val="20"/>
        </w:rPr>
        <w:t xml:space="preserve"> January 20, 2011.</w:t>
      </w:r>
      <w:bookmarkEnd w:id="44"/>
    </w:p>
    <w:p w:rsidR="00A83DDA" w:rsidRPr="002F1795" w:rsidRDefault="00A83DDA" w:rsidP="00A83DDA">
      <w:pPr>
        <w:pStyle w:val="referencelist"/>
        <w:spacing w:after="0"/>
        <w:ind w:left="0" w:firstLine="0"/>
        <w:rPr>
          <w:noProof/>
          <w:sz w:val="20"/>
        </w:rPr>
      </w:pPr>
      <w:bookmarkStart w:id="45" w:name="_ENREF_6"/>
      <w:r w:rsidRPr="002F1795">
        <w:rPr>
          <w:noProof/>
          <w:sz w:val="20"/>
        </w:rPr>
        <w:t xml:space="preserve">Personal Communication with HPVA. 2011. </w:t>
      </w:r>
      <w:r w:rsidRPr="002F1795">
        <w:rPr>
          <w:i/>
          <w:noProof/>
          <w:sz w:val="20"/>
        </w:rPr>
        <w:t>Conversation between Kip Howlett (HPVA) and Abt Associates Inc.</w:t>
      </w:r>
      <w:r w:rsidRPr="002F1795">
        <w:rPr>
          <w:noProof/>
          <w:sz w:val="20"/>
        </w:rPr>
        <w:t xml:space="preserve"> January 4, 2011.</w:t>
      </w:r>
      <w:bookmarkEnd w:id="45"/>
    </w:p>
    <w:p w:rsidR="00A83DDA" w:rsidRPr="002F1795" w:rsidRDefault="00A83DDA" w:rsidP="00A83DDA">
      <w:pPr>
        <w:pStyle w:val="referencelist"/>
        <w:spacing w:after="0"/>
        <w:ind w:left="0" w:firstLine="0"/>
        <w:rPr>
          <w:noProof/>
          <w:sz w:val="20"/>
        </w:rPr>
      </w:pPr>
      <w:bookmarkStart w:id="46" w:name="_ENREF_7"/>
      <w:r w:rsidRPr="002F1795">
        <w:rPr>
          <w:noProof/>
          <w:sz w:val="20"/>
        </w:rPr>
        <w:t xml:space="preserve">U.S. Bureau of Labor Statistics (BLS). 2009. </w:t>
      </w:r>
      <w:r w:rsidRPr="002F1795">
        <w:rPr>
          <w:i/>
          <w:noProof/>
          <w:sz w:val="20"/>
        </w:rPr>
        <w:t>Occupational Employment Statistics 2009 Mean Hourly Wages</w:t>
      </w:r>
      <w:r w:rsidRPr="002F1795">
        <w:rPr>
          <w:noProof/>
          <w:sz w:val="20"/>
        </w:rPr>
        <w:t>.</w:t>
      </w:r>
      <w:bookmarkEnd w:id="46"/>
    </w:p>
    <w:p w:rsidR="00A83DDA" w:rsidRPr="002F1795" w:rsidRDefault="00A83DDA" w:rsidP="00A83DDA">
      <w:pPr>
        <w:pStyle w:val="referencelist"/>
        <w:spacing w:after="0"/>
        <w:ind w:left="0" w:firstLine="0"/>
        <w:rPr>
          <w:noProof/>
          <w:sz w:val="20"/>
        </w:rPr>
      </w:pPr>
      <w:bookmarkStart w:id="47" w:name="_ENREF_8"/>
      <w:r w:rsidRPr="002F1795">
        <w:rPr>
          <w:noProof/>
          <w:sz w:val="20"/>
        </w:rPr>
        <w:t xml:space="preserve">U.S. Bureau of Labor Statistics (BLS). 2011. </w:t>
      </w:r>
      <w:r w:rsidRPr="002F1795">
        <w:rPr>
          <w:i/>
          <w:noProof/>
          <w:sz w:val="20"/>
        </w:rPr>
        <w:t>BLS Employer Cost for Employee Compensation (ECEC) Data for all private industry for 2009-2010</w:t>
      </w:r>
      <w:r w:rsidRPr="002F1795">
        <w:rPr>
          <w:noProof/>
          <w:sz w:val="20"/>
        </w:rPr>
        <w:t>.</w:t>
      </w:r>
      <w:bookmarkEnd w:id="47"/>
    </w:p>
    <w:p w:rsidR="00A83DDA" w:rsidRPr="002F1795" w:rsidRDefault="00A83DDA" w:rsidP="00A83DDA">
      <w:pPr>
        <w:pStyle w:val="referencelist"/>
        <w:spacing w:after="0"/>
        <w:ind w:left="0" w:firstLine="0"/>
        <w:rPr>
          <w:noProof/>
          <w:sz w:val="20"/>
        </w:rPr>
      </w:pPr>
      <w:bookmarkStart w:id="48" w:name="_ENREF_9"/>
      <w:r w:rsidRPr="002F1795">
        <w:rPr>
          <w:noProof/>
          <w:sz w:val="20"/>
        </w:rPr>
        <w:t xml:space="preserve">U.S. Census Bureau. 1997. </w:t>
      </w:r>
      <w:r w:rsidRPr="002F1795">
        <w:rPr>
          <w:i/>
          <w:noProof/>
          <w:sz w:val="20"/>
        </w:rPr>
        <w:t>1992 Enterprise Statistics: Company Summary</w:t>
      </w:r>
      <w:r w:rsidRPr="002F1795">
        <w:rPr>
          <w:noProof/>
          <w:sz w:val="20"/>
        </w:rPr>
        <w:t>.</w:t>
      </w:r>
      <w:bookmarkEnd w:id="48"/>
    </w:p>
    <w:p w:rsidR="00A83DDA" w:rsidRPr="002F1795" w:rsidRDefault="00A83DDA" w:rsidP="00A83DDA">
      <w:pPr>
        <w:pStyle w:val="referencelist"/>
        <w:spacing w:after="0"/>
        <w:ind w:left="0" w:firstLine="0"/>
        <w:rPr>
          <w:noProof/>
          <w:sz w:val="20"/>
        </w:rPr>
      </w:pPr>
      <w:bookmarkStart w:id="49" w:name="_ENREF_10"/>
      <w:r w:rsidRPr="002F1795">
        <w:rPr>
          <w:noProof/>
          <w:sz w:val="20"/>
        </w:rPr>
        <w:t xml:space="preserve">U.S. Census Bureau. 2009. </w:t>
      </w:r>
      <w:r w:rsidRPr="002F1795">
        <w:rPr>
          <w:i/>
          <w:noProof/>
          <w:sz w:val="20"/>
        </w:rPr>
        <w:t>Sector 42: EC0742I1: Wholesale Trade: Industry Series: Preliminary Summary Statistics for the United States: 2007</w:t>
      </w:r>
      <w:r w:rsidRPr="002F1795">
        <w:rPr>
          <w:noProof/>
          <w:sz w:val="20"/>
        </w:rPr>
        <w:t>.</w:t>
      </w:r>
      <w:bookmarkEnd w:id="49"/>
    </w:p>
    <w:p w:rsidR="00A83DDA" w:rsidRPr="002F1795" w:rsidRDefault="00A83DDA" w:rsidP="00A83DDA">
      <w:pPr>
        <w:pStyle w:val="referencelist"/>
        <w:spacing w:after="0"/>
        <w:ind w:left="0" w:firstLine="0"/>
        <w:rPr>
          <w:noProof/>
          <w:sz w:val="20"/>
        </w:rPr>
      </w:pPr>
      <w:bookmarkStart w:id="50" w:name="_ENREF_11"/>
      <w:r w:rsidRPr="002F1795">
        <w:rPr>
          <w:noProof/>
          <w:sz w:val="20"/>
        </w:rPr>
        <w:t xml:space="preserve">U.S. Census Bureau. 2010a. </w:t>
      </w:r>
      <w:r w:rsidRPr="002F1795">
        <w:rPr>
          <w:i/>
          <w:noProof/>
          <w:sz w:val="20"/>
        </w:rPr>
        <w:t>Sector 44: EC0744SLLS1: Retail Trade: Subject Series - Product Lines: Product Lines Statistics by Kind of Business for the United States and States: 2007</w:t>
      </w:r>
      <w:r w:rsidRPr="002F1795">
        <w:rPr>
          <w:noProof/>
          <w:sz w:val="20"/>
        </w:rPr>
        <w:t>.</w:t>
      </w:r>
      <w:bookmarkEnd w:id="50"/>
    </w:p>
    <w:p w:rsidR="00A83DDA" w:rsidRPr="002F1795" w:rsidRDefault="00A83DDA" w:rsidP="00A83DDA">
      <w:pPr>
        <w:pStyle w:val="referencelist"/>
        <w:spacing w:after="0"/>
        <w:ind w:left="0" w:firstLine="0"/>
        <w:rPr>
          <w:i/>
          <w:noProof/>
          <w:sz w:val="20"/>
        </w:rPr>
      </w:pPr>
      <w:bookmarkStart w:id="51" w:name="_ENREF_12"/>
      <w:r w:rsidRPr="002F1795">
        <w:rPr>
          <w:noProof/>
          <w:sz w:val="20"/>
        </w:rPr>
        <w:t xml:space="preserve">U.S. Census Bureau. 2010b. </w:t>
      </w:r>
      <w:r w:rsidRPr="002F1795">
        <w:rPr>
          <w:i/>
          <w:noProof/>
          <w:sz w:val="20"/>
        </w:rPr>
        <w:t>Sector 31: EC0731SG3: Manufacturing: Summary Series: General Summary: Industry Statistics for Subsectors and Industries by Employment Size: 2007.</w:t>
      </w:r>
      <w:bookmarkEnd w:id="51"/>
    </w:p>
    <w:p w:rsidR="00A83DDA" w:rsidRPr="002F1795" w:rsidRDefault="00A83DDA" w:rsidP="00A83DDA">
      <w:pPr>
        <w:pStyle w:val="referencelist"/>
        <w:spacing w:after="0"/>
        <w:ind w:left="0" w:firstLine="0"/>
        <w:rPr>
          <w:noProof/>
          <w:sz w:val="20"/>
        </w:rPr>
      </w:pPr>
      <w:bookmarkStart w:id="52" w:name="_ENREF_13"/>
      <w:r w:rsidRPr="002F1795">
        <w:rPr>
          <w:noProof/>
          <w:sz w:val="20"/>
        </w:rPr>
        <w:t xml:space="preserve">U.S. Census Bureau. 2010c. </w:t>
      </w:r>
      <w:r w:rsidRPr="002F1795">
        <w:rPr>
          <w:i/>
          <w:noProof/>
          <w:sz w:val="20"/>
        </w:rPr>
        <w:t>Sector 44: EC0744SSSZ3: Retail Trade: Subject Series - Estab &amp; Firm Size: Summary Statistics for Single Unit and Multiunit Firms for the United States: 2007</w:t>
      </w:r>
      <w:r w:rsidRPr="002F1795">
        <w:rPr>
          <w:noProof/>
          <w:sz w:val="20"/>
        </w:rPr>
        <w:t>.</w:t>
      </w:r>
      <w:bookmarkEnd w:id="52"/>
    </w:p>
    <w:p w:rsidR="00A83DDA" w:rsidRPr="002F1795" w:rsidRDefault="00A83DDA" w:rsidP="00A83DDA">
      <w:pPr>
        <w:pStyle w:val="referencelist"/>
        <w:spacing w:after="0"/>
        <w:ind w:left="0" w:firstLine="0"/>
        <w:rPr>
          <w:noProof/>
          <w:sz w:val="20"/>
        </w:rPr>
      </w:pPr>
      <w:bookmarkStart w:id="53" w:name="_ENREF_14"/>
      <w:r w:rsidRPr="002F1795">
        <w:rPr>
          <w:noProof/>
          <w:sz w:val="20"/>
        </w:rPr>
        <w:t xml:space="preserve">U.S. Census Bureau. 2010d. </w:t>
      </w:r>
      <w:r w:rsidRPr="002F1795">
        <w:rPr>
          <w:i/>
          <w:noProof/>
          <w:sz w:val="20"/>
        </w:rPr>
        <w:t>Sector 42: EC0742A1: Wholesale Trade: Geographic Area Series: Summary Statistics for the United States</w:t>
      </w:r>
      <w:r w:rsidRPr="002F1795">
        <w:rPr>
          <w:noProof/>
          <w:sz w:val="20"/>
        </w:rPr>
        <w:t>.</w:t>
      </w:r>
      <w:bookmarkEnd w:id="53"/>
    </w:p>
    <w:p w:rsidR="00A83DDA" w:rsidRPr="002F1795" w:rsidRDefault="00A83DDA" w:rsidP="00A83DDA">
      <w:pPr>
        <w:pStyle w:val="referencelist"/>
        <w:spacing w:after="0"/>
        <w:ind w:left="0" w:firstLine="0"/>
        <w:rPr>
          <w:noProof/>
          <w:sz w:val="20"/>
        </w:rPr>
      </w:pPr>
      <w:bookmarkStart w:id="54" w:name="_ENREF_15"/>
      <w:r w:rsidRPr="002F1795">
        <w:rPr>
          <w:noProof/>
          <w:sz w:val="20"/>
        </w:rPr>
        <w:t xml:space="preserve">U.S. Census Bureau. 2010e. </w:t>
      </w:r>
      <w:r w:rsidRPr="002F1795">
        <w:rPr>
          <w:i/>
          <w:noProof/>
          <w:sz w:val="20"/>
        </w:rPr>
        <w:t>Sector 31: EC0731A1: Manufacturing: Geographic Area Series: Industry Statistics for the States</w:t>
      </w:r>
      <w:r w:rsidRPr="002F1795">
        <w:rPr>
          <w:noProof/>
          <w:sz w:val="20"/>
        </w:rPr>
        <w:t>.</w:t>
      </w:r>
      <w:bookmarkEnd w:id="54"/>
    </w:p>
    <w:p w:rsidR="00A83DDA" w:rsidRPr="002F1795" w:rsidRDefault="00A83DDA" w:rsidP="00A83DDA">
      <w:pPr>
        <w:pStyle w:val="referencelist"/>
        <w:spacing w:after="0"/>
        <w:ind w:left="0" w:firstLine="0"/>
        <w:rPr>
          <w:noProof/>
          <w:sz w:val="20"/>
        </w:rPr>
      </w:pPr>
      <w:bookmarkStart w:id="55" w:name="_ENREF_16"/>
      <w:r w:rsidRPr="002F1795">
        <w:rPr>
          <w:noProof/>
          <w:sz w:val="20"/>
        </w:rPr>
        <w:t xml:space="preserve">U.S. Census Bureau. 2010f. </w:t>
      </w:r>
      <w:r w:rsidRPr="002F1795">
        <w:rPr>
          <w:i/>
          <w:noProof/>
          <w:sz w:val="20"/>
        </w:rPr>
        <w:t>Sector 42: EC0742SSSZ5: Wholesale Trade: Subject Series - Estab &amp; Firm Size: Summary Statistics by Employment Size of Firms for the United States: 2007</w:t>
      </w:r>
      <w:r w:rsidRPr="002F1795">
        <w:rPr>
          <w:noProof/>
          <w:sz w:val="20"/>
        </w:rPr>
        <w:t>.</w:t>
      </w:r>
      <w:bookmarkEnd w:id="55"/>
    </w:p>
    <w:p w:rsidR="00A83DDA" w:rsidRPr="002F1795" w:rsidRDefault="00A83DDA" w:rsidP="00A83DDA">
      <w:pPr>
        <w:pStyle w:val="referencelist"/>
        <w:spacing w:after="0"/>
        <w:ind w:left="0" w:firstLine="0"/>
        <w:rPr>
          <w:noProof/>
          <w:sz w:val="20"/>
        </w:rPr>
      </w:pPr>
      <w:bookmarkStart w:id="56" w:name="_ENREF_17"/>
      <w:r w:rsidRPr="002F1795">
        <w:rPr>
          <w:noProof/>
          <w:sz w:val="20"/>
        </w:rPr>
        <w:t xml:space="preserve">U.S. Census Bureau. 2010g. </w:t>
      </w:r>
      <w:r w:rsidRPr="002F1795">
        <w:rPr>
          <w:i/>
          <w:noProof/>
          <w:sz w:val="20"/>
        </w:rPr>
        <w:t>Sector 44: EC0744SSSZ4: Retail Trade: Subject Series - Estab &amp; Firm Size: Summary Statistics by Sales Size of Firms for the United States: 2007</w:t>
      </w:r>
      <w:r w:rsidRPr="002F1795">
        <w:rPr>
          <w:noProof/>
          <w:sz w:val="20"/>
        </w:rPr>
        <w:t>.</w:t>
      </w:r>
      <w:bookmarkEnd w:id="56"/>
    </w:p>
    <w:p w:rsidR="00A83DDA" w:rsidRPr="002F1795" w:rsidRDefault="00A83DDA" w:rsidP="00A83DDA">
      <w:pPr>
        <w:pStyle w:val="referencelist"/>
        <w:spacing w:after="0"/>
        <w:ind w:left="0" w:firstLine="0"/>
        <w:rPr>
          <w:i/>
          <w:noProof/>
          <w:sz w:val="20"/>
        </w:rPr>
      </w:pPr>
      <w:bookmarkStart w:id="57" w:name="_ENREF_18"/>
      <w:r w:rsidRPr="002F1795">
        <w:rPr>
          <w:noProof/>
          <w:sz w:val="20"/>
        </w:rPr>
        <w:t xml:space="preserve">U.S. Census Bureau. 2010h. </w:t>
      </w:r>
      <w:r w:rsidRPr="002F1795">
        <w:rPr>
          <w:i/>
          <w:noProof/>
          <w:sz w:val="20"/>
        </w:rPr>
        <w:t xml:space="preserve">Sector 00: NS0800A1: 2008 Nonemployer Statistics: Geographic Area Series: Nonemployer Statistics by Legal Form of Organization: 2008 </w:t>
      </w:r>
      <w:bookmarkEnd w:id="57"/>
    </w:p>
    <w:p w:rsidR="00A83DDA" w:rsidRPr="002F1795" w:rsidRDefault="00A83DDA" w:rsidP="00A83DDA">
      <w:pPr>
        <w:pStyle w:val="referencelist"/>
        <w:spacing w:after="0"/>
        <w:ind w:left="0" w:firstLine="0"/>
        <w:rPr>
          <w:noProof/>
          <w:sz w:val="20"/>
        </w:rPr>
      </w:pPr>
      <w:bookmarkStart w:id="58" w:name="_ENREF_19"/>
      <w:r w:rsidRPr="002F1795">
        <w:rPr>
          <w:noProof/>
          <w:sz w:val="20"/>
        </w:rPr>
        <w:t xml:space="preserve">U.S. Census Bureau. 2010i. </w:t>
      </w:r>
      <w:r w:rsidRPr="002F1795">
        <w:rPr>
          <w:i/>
          <w:noProof/>
          <w:sz w:val="20"/>
        </w:rPr>
        <w:t>Data Item: Wholesale type of operation.” American FactFinder Help. Census Data Information</w:t>
      </w:r>
      <w:r w:rsidRPr="002F1795">
        <w:rPr>
          <w:noProof/>
          <w:sz w:val="20"/>
        </w:rPr>
        <w:t>.</w:t>
      </w:r>
      <w:bookmarkEnd w:id="58"/>
    </w:p>
    <w:p w:rsidR="00A83DDA" w:rsidRPr="002F1795" w:rsidRDefault="00A83DDA" w:rsidP="00A83DDA">
      <w:pPr>
        <w:pStyle w:val="referencelist"/>
        <w:spacing w:after="0"/>
        <w:ind w:left="0" w:firstLine="0"/>
        <w:rPr>
          <w:noProof/>
          <w:sz w:val="20"/>
        </w:rPr>
      </w:pPr>
      <w:bookmarkStart w:id="59" w:name="_ENREF_20"/>
      <w:r w:rsidRPr="002F1795">
        <w:rPr>
          <w:noProof/>
          <w:sz w:val="20"/>
        </w:rPr>
        <w:t xml:space="preserve">U.S. Census Bureau. 2010j. </w:t>
      </w:r>
      <w:r w:rsidRPr="002F1795">
        <w:rPr>
          <w:i/>
          <w:noProof/>
          <w:sz w:val="20"/>
        </w:rPr>
        <w:t>Sector 42: EC0742SSSZ3: Wholesale Trade: Subject Series - Estab &amp; Firm Size: Summary Statistics for Single Units and Multiunit Firms for the United States: 2007</w:t>
      </w:r>
      <w:r w:rsidRPr="002F1795">
        <w:rPr>
          <w:noProof/>
          <w:sz w:val="20"/>
        </w:rPr>
        <w:t>.</w:t>
      </w:r>
      <w:bookmarkEnd w:id="59"/>
    </w:p>
    <w:p w:rsidR="00A83DDA" w:rsidRPr="002F1795" w:rsidRDefault="00A83DDA" w:rsidP="00A83DDA">
      <w:pPr>
        <w:pStyle w:val="referencelist"/>
        <w:spacing w:after="0"/>
        <w:ind w:left="0" w:firstLine="0"/>
        <w:rPr>
          <w:noProof/>
          <w:sz w:val="20"/>
        </w:rPr>
      </w:pPr>
      <w:bookmarkStart w:id="60" w:name="_ENREF_21"/>
      <w:r w:rsidRPr="002F1795">
        <w:rPr>
          <w:noProof/>
          <w:sz w:val="20"/>
        </w:rPr>
        <w:t xml:space="preserve">U.S. Census Bureau. 2010k. </w:t>
      </w:r>
      <w:r w:rsidRPr="002F1795">
        <w:rPr>
          <w:i/>
          <w:noProof/>
          <w:sz w:val="20"/>
        </w:rPr>
        <w:t>Statistics for U.S. Businesses (SUSB).  Number of Firms, Number of Establishments, Employment, Annual Payroll, and Estimated Receipts by Enterprise Receipt Size for the United States, All Industries:  2007</w:t>
      </w:r>
      <w:r w:rsidRPr="002F1795">
        <w:rPr>
          <w:noProof/>
          <w:sz w:val="20"/>
        </w:rPr>
        <w:t>. December 15, 2010.</w:t>
      </w:r>
      <w:bookmarkEnd w:id="60"/>
    </w:p>
    <w:p w:rsidR="00A83DDA" w:rsidRPr="002F1795" w:rsidRDefault="00A83DDA" w:rsidP="00A83DDA">
      <w:pPr>
        <w:pStyle w:val="referencelist"/>
        <w:spacing w:after="0"/>
        <w:ind w:left="0" w:firstLine="0"/>
        <w:rPr>
          <w:noProof/>
          <w:sz w:val="20"/>
        </w:rPr>
      </w:pPr>
      <w:bookmarkStart w:id="61" w:name="_ENREF_22"/>
      <w:r w:rsidRPr="002F1795">
        <w:rPr>
          <w:noProof/>
          <w:sz w:val="20"/>
        </w:rPr>
        <w:t xml:space="preserve">U.S. Census Bureau. 2010l. </w:t>
      </w:r>
      <w:r w:rsidRPr="002F1795">
        <w:rPr>
          <w:i/>
          <w:noProof/>
          <w:sz w:val="20"/>
        </w:rPr>
        <w:t>Sector 44: EC0744A1: Retail Trade: Geographic Area Series: Summary Statistics for the United States, States, Metro Areas, Counties, and Places: 2007</w:t>
      </w:r>
      <w:r w:rsidRPr="002F1795">
        <w:rPr>
          <w:noProof/>
          <w:sz w:val="20"/>
        </w:rPr>
        <w:t>.</w:t>
      </w:r>
      <w:bookmarkEnd w:id="61"/>
    </w:p>
    <w:p w:rsidR="00A83DDA" w:rsidRPr="002F1795" w:rsidRDefault="00A83DDA" w:rsidP="00A83DDA">
      <w:pPr>
        <w:pStyle w:val="referencelist"/>
        <w:spacing w:after="0"/>
        <w:ind w:left="0" w:firstLine="0"/>
        <w:rPr>
          <w:noProof/>
          <w:sz w:val="20"/>
        </w:rPr>
      </w:pPr>
      <w:bookmarkStart w:id="62" w:name="_ENREF_23"/>
      <w:r w:rsidRPr="002F1795">
        <w:rPr>
          <w:noProof/>
          <w:sz w:val="20"/>
        </w:rPr>
        <w:lastRenderedPageBreak/>
        <w:t xml:space="preserve">U.S. Census Bureau. 2011. </w:t>
      </w:r>
      <w:r w:rsidRPr="002F1795">
        <w:rPr>
          <w:i/>
          <w:noProof/>
          <w:sz w:val="20"/>
        </w:rPr>
        <w:t>Sector 42: EC0742SLLS1: Wholesale Trade: Subject Series - Product Lines: Product Lines Statistics by Kind of Business for the United States and States: 2007</w:t>
      </w:r>
      <w:r w:rsidRPr="002F1795">
        <w:rPr>
          <w:noProof/>
          <w:sz w:val="20"/>
        </w:rPr>
        <w:t>.</w:t>
      </w:r>
      <w:bookmarkEnd w:id="62"/>
    </w:p>
    <w:p w:rsidR="00A83DDA" w:rsidRPr="002F1795" w:rsidRDefault="00A83DDA" w:rsidP="00A83DDA">
      <w:pPr>
        <w:pStyle w:val="referencelist"/>
        <w:spacing w:after="0"/>
        <w:ind w:left="0" w:firstLine="0"/>
        <w:rPr>
          <w:noProof/>
          <w:sz w:val="20"/>
        </w:rPr>
      </w:pPr>
      <w:bookmarkStart w:id="63" w:name="_ENREF_24"/>
      <w:r w:rsidRPr="002F1795">
        <w:rPr>
          <w:noProof/>
          <w:sz w:val="20"/>
        </w:rPr>
        <w:t xml:space="preserve">U.S. Internal Revenue Service. 2007. </w:t>
      </w:r>
      <w:r w:rsidRPr="002F1795">
        <w:rPr>
          <w:i/>
          <w:noProof/>
          <w:sz w:val="20"/>
        </w:rPr>
        <w:t>Starting a Business and Keeping Records</w:t>
      </w:r>
      <w:r w:rsidRPr="002F1795">
        <w:rPr>
          <w:noProof/>
          <w:sz w:val="20"/>
        </w:rPr>
        <w:t>. Publication 583. Revised January 2007.</w:t>
      </w:r>
      <w:bookmarkEnd w:id="63"/>
    </w:p>
    <w:p w:rsidR="00A83DDA" w:rsidRPr="002F1795" w:rsidRDefault="00A83DDA" w:rsidP="00A83DDA">
      <w:pPr>
        <w:pStyle w:val="referencelist"/>
        <w:ind w:left="0" w:firstLine="0"/>
        <w:rPr>
          <w:noProof/>
          <w:sz w:val="20"/>
        </w:rPr>
      </w:pPr>
      <w:bookmarkStart w:id="64" w:name="_ENREF_25"/>
      <w:r w:rsidRPr="002F1795">
        <w:rPr>
          <w:noProof/>
          <w:sz w:val="20"/>
        </w:rPr>
        <w:t xml:space="preserve">U.S. International Trade Commission. 2011. </w:t>
      </w:r>
      <w:r w:rsidRPr="002F1795">
        <w:rPr>
          <w:i/>
          <w:noProof/>
          <w:sz w:val="20"/>
        </w:rPr>
        <w:t>U.S. Interactive Tariff and Trade Dataweb</w:t>
      </w:r>
      <w:r w:rsidRPr="002F1795">
        <w:rPr>
          <w:noProof/>
          <w:sz w:val="20"/>
        </w:rPr>
        <w:t>.</w:t>
      </w:r>
      <w:bookmarkEnd w:id="64"/>
    </w:p>
    <w:p w:rsidR="00A83DDA" w:rsidRPr="002F1795" w:rsidRDefault="00A83DDA" w:rsidP="00A83DDA">
      <w:pPr>
        <w:pStyle w:val="referencelist"/>
        <w:rPr>
          <w:noProof/>
          <w:sz w:val="20"/>
        </w:rPr>
      </w:pPr>
    </w:p>
    <w:p w:rsidR="00921FAD" w:rsidRDefault="0041046E" w:rsidP="00A83DDA">
      <w:pPr>
        <w:pStyle w:val="referencelist"/>
      </w:pPr>
      <w:r w:rsidRPr="002F1795">
        <w:fldChar w:fldCharType="end"/>
      </w:r>
    </w:p>
    <w:sectPr w:rsidR="00921FAD" w:rsidSect="00A27A67">
      <w:headerReference w:type="default" r:id="rId14"/>
      <w:pgSz w:w="12240" w:h="15840"/>
      <w:pgMar w:top="1440" w:right="1440" w:bottom="1440" w:left="1440" w:header="720" w:footer="85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86E" w:rsidRDefault="003C586E">
      <w:r>
        <w:separator/>
      </w:r>
    </w:p>
  </w:endnote>
  <w:endnote w:type="continuationSeparator" w:id="0">
    <w:p w:rsidR="003C586E" w:rsidRDefault="003C5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horndale Duospace WT SC">
    <w:altName w:val="Arial Unicode MS"/>
    <w:charset w:val="80"/>
    <w:family w:val="modern"/>
    <w:pitch w:val="fixed"/>
    <w:sig w:usb0="B300AAFF" w:usb1="F9DFFFFF" w:usb2="000A007E" w:usb3="00000000" w:csb0="001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9E" w:rsidRDefault="00476D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heme="minorHAnsi" w:hAnsi="Arial"/>
        <w:b/>
        <w:sz w:val="16"/>
      </w:rPr>
      <w:id w:val="56910119"/>
      <w:docPartObj>
        <w:docPartGallery w:val="Page Numbers (Bottom of Page)"/>
        <w:docPartUnique/>
      </w:docPartObj>
    </w:sdtPr>
    <w:sdtContent>
      <w:p w:rsidR="00BD1E2A" w:rsidRPr="00A83DDA" w:rsidRDefault="0041046E" w:rsidP="00A83DDA">
        <w:pPr>
          <w:pStyle w:val="Footer"/>
          <w:jc w:val="center"/>
          <w:rPr>
            <w:sz w:val="22"/>
            <w:szCs w:val="22"/>
          </w:rPr>
        </w:pPr>
        <w:sdt>
          <w:sdtPr>
            <w:id w:val="3431415"/>
            <w:docPartObj>
              <w:docPartGallery w:val="Page Numbers (Top of Page)"/>
              <w:docPartUnique/>
            </w:docPartObj>
          </w:sdtPr>
          <w:sdtEndPr>
            <w:rPr>
              <w:sz w:val="22"/>
              <w:szCs w:val="22"/>
            </w:rPr>
          </w:sdtEndPr>
          <w:sdtContent>
            <w:r w:rsidR="00BD1E2A" w:rsidRPr="00A83DDA">
              <w:rPr>
                <w:sz w:val="22"/>
                <w:szCs w:val="22"/>
              </w:rPr>
              <w:t xml:space="preserve">Page </w:t>
            </w:r>
            <w:r w:rsidRPr="00A83DDA">
              <w:rPr>
                <w:sz w:val="22"/>
                <w:szCs w:val="22"/>
              </w:rPr>
              <w:fldChar w:fldCharType="begin"/>
            </w:r>
            <w:r w:rsidR="00BD1E2A" w:rsidRPr="00A83DDA">
              <w:rPr>
                <w:sz w:val="22"/>
                <w:szCs w:val="22"/>
              </w:rPr>
              <w:instrText xml:space="preserve"> PAGE </w:instrText>
            </w:r>
            <w:r w:rsidRPr="00A83DDA">
              <w:rPr>
                <w:sz w:val="22"/>
                <w:szCs w:val="22"/>
              </w:rPr>
              <w:fldChar w:fldCharType="separate"/>
            </w:r>
            <w:r w:rsidR="00A27A67">
              <w:rPr>
                <w:noProof/>
                <w:sz w:val="22"/>
                <w:szCs w:val="22"/>
              </w:rPr>
              <w:t>1</w:t>
            </w:r>
            <w:r w:rsidRPr="00A83DDA">
              <w:rPr>
                <w:sz w:val="22"/>
                <w:szCs w:val="22"/>
              </w:rPr>
              <w:fldChar w:fldCharType="end"/>
            </w:r>
            <w:r w:rsidR="00BD1E2A" w:rsidRPr="00A83DDA">
              <w:rPr>
                <w:sz w:val="22"/>
                <w:szCs w:val="22"/>
              </w:rPr>
              <w:t xml:space="preserve"> of </w:t>
            </w:r>
            <w:r w:rsidRPr="00A83DDA">
              <w:rPr>
                <w:sz w:val="22"/>
                <w:szCs w:val="22"/>
              </w:rPr>
              <w:fldChar w:fldCharType="begin"/>
            </w:r>
            <w:r w:rsidR="00BD1E2A" w:rsidRPr="00A83DDA">
              <w:rPr>
                <w:sz w:val="22"/>
                <w:szCs w:val="22"/>
              </w:rPr>
              <w:instrText xml:space="preserve"> NUMPAGES  </w:instrText>
            </w:r>
            <w:r w:rsidRPr="00A83DDA">
              <w:rPr>
                <w:sz w:val="22"/>
                <w:szCs w:val="22"/>
              </w:rPr>
              <w:fldChar w:fldCharType="separate"/>
            </w:r>
            <w:r w:rsidR="00A27A67">
              <w:rPr>
                <w:noProof/>
                <w:sz w:val="22"/>
                <w:szCs w:val="22"/>
              </w:rPr>
              <w:t>96</w:t>
            </w:r>
            <w:r w:rsidRPr="00A83DDA">
              <w:rPr>
                <w:sz w:val="22"/>
                <w:szCs w:val="22"/>
              </w:rPr>
              <w:fldChar w:fldCharType="end"/>
            </w:r>
          </w:sdtContent>
        </w:sdt>
      </w:p>
      <w:p w:rsidR="00BD1E2A" w:rsidRPr="00ED0EAE" w:rsidRDefault="0041046E" w:rsidP="00ED0EAE">
        <w:pPr>
          <w:pStyle w:val="Footer"/>
          <w:tabs>
            <w:tab w:val="center" w:pos="7200"/>
          </w:tabs>
          <w:rPr>
            <w:rFonts w:ascii="Arial" w:eastAsiaTheme="minorHAnsi" w:hAnsi="Arial"/>
            <w:b/>
            <w:sz w:val="16"/>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9E" w:rsidRDefault="00476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86E" w:rsidRDefault="003C586E">
      <w:r>
        <w:separator/>
      </w:r>
    </w:p>
  </w:footnote>
  <w:footnote w:type="continuationSeparator" w:id="0">
    <w:p w:rsidR="003C586E" w:rsidRDefault="003C586E">
      <w:r>
        <w:continuationSeparator/>
      </w:r>
    </w:p>
  </w:footnote>
  <w:footnote w:id="1">
    <w:p w:rsidR="00BD1E2A" w:rsidRDefault="00BD1E2A" w:rsidP="00A83DDA">
      <w:pPr>
        <w:pStyle w:val="FootnoteText"/>
      </w:pPr>
      <w:r w:rsidRPr="006565F1">
        <w:rPr>
          <w:rStyle w:val="FootnoteReference"/>
          <w:sz w:val="18"/>
          <w:vertAlign w:val="superscript"/>
        </w:rPr>
        <w:footnoteRef/>
      </w:r>
      <w:r w:rsidRPr="006565F1">
        <w:rPr>
          <w:sz w:val="18"/>
        </w:rPr>
        <w:t xml:space="preserve"> The term standard certification is used here to describe a certification other than an ultra-low-emitting formaldehyde (ULEF) or NAF certification. </w:t>
      </w:r>
    </w:p>
  </w:footnote>
  <w:footnote w:id="2">
    <w:p w:rsidR="00BD1E2A" w:rsidRPr="006565F1" w:rsidRDefault="00BD1E2A" w:rsidP="00A83DDA">
      <w:pPr>
        <w:pStyle w:val="FootnoteText"/>
        <w:ind w:left="180"/>
        <w:rPr>
          <w:sz w:val="18"/>
        </w:rPr>
      </w:pPr>
      <w:r w:rsidRPr="006565F1">
        <w:rPr>
          <w:rStyle w:val="FootnoteReference"/>
          <w:sz w:val="18"/>
          <w:vertAlign w:val="superscript"/>
        </w:rPr>
        <w:footnoteRef/>
      </w:r>
      <w:r w:rsidRPr="006565F1">
        <w:rPr>
          <w:sz w:val="18"/>
          <w:vertAlign w:val="superscript"/>
        </w:rPr>
        <w:t xml:space="preserve"> </w:t>
      </w:r>
      <w:r w:rsidRPr="006565F1">
        <w:rPr>
          <w:sz w:val="18"/>
        </w:rPr>
        <w:t>EPA’s Economic Analysis for the rulemaking (</w:t>
      </w:r>
      <w:r w:rsidRPr="006565F1">
        <w:rPr>
          <w:i/>
          <w:sz w:val="18"/>
        </w:rPr>
        <w:t>Economic Analysis of the Formaldehyde Standards for Composite Wood Products Act Implementing Regulations Proposed Rule</w:t>
      </w:r>
      <w:r w:rsidRPr="006565F1">
        <w:rPr>
          <w:sz w:val="18"/>
        </w:rPr>
        <w:t xml:space="preserve">) does not estimate the number of foreign entities subject to the rule.  The number of domestic entities estimated here is the same as the number in the Economic Analysis.  </w:t>
      </w:r>
    </w:p>
  </w:footnote>
  <w:footnote w:id="3">
    <w:p w:rsidR="00BD1E2A" w:rsidRDefault="00BD1E2A" w:rsidP="00A83DDA">
      <w:pPr>
        <w:pStyle w:val="FootnoteText"/>
        <w:tabs>
          <w:tab w:val="left" w:pos="180"/>
        </w:tabs>
        <w:ind w:left="180"/>
      </w:pPr>
      <w:r w:rsidRPr="006565F1">
        <w:rPr>
          <w:rStyle w:val="FootnoteReference"/>
          <w:sz w:val="18"/>
          <w:vertAlign w:val="superscript"/>
        </w:rPr>
        <w:footnoteRef/>
      </w:r>
      <w:r w:rsidRPr="006565F1">
        <w:rPr>
          <w:sz w:val="18"/>
          <w:vertAlign w:val="superscript"/>
        </w:rPr>
        <w:t xml:space="preserve"> </w:t>
      </w:r>
      <w:hyperlink w:anchor="_ENREF_1" w:tooltip="California Air Resources Board, 2011 #10" w:history="1">
        <w:r w:rsidR="0041046E" w:rsidRPr="006565F1">
          <w:rPr>
            <w:sz w:val="18"/>
          </w:rPr>
          <w:fldChar w:fldCharType="begin"/>
        </w:r>
        <w:r w:rsidRPr="006565F1">
          <w:rPr>
            <w:sz w:val="18"/>
          </w:rPr>
          <w:instrText xml:space="preserve"> ADDIN EN.CITE &lt;EndNote&gt;&lt;Cite&gt;&lt;Author&gt;California Air Resources Board&lt;/Author&gt;&lt;Year&gt;2011&lt;/Year&gt;&lt;RecNum&gt;10&lt;/RecNum&gt;&lt;DisplayText&gt;California Air Resources Board 2011&lt;/DisplayText&gt;&lt;record&gt;&lt;rec-number&gt;10&lt;/rec-number&gt;&lt;foreign-keys&gt;&lt;key app="EN" db-id="asafvtwziw9fd8erv0k5pse2555zxesr9ape"&gt;10&lt;/key&gt;&lt;/foreign-keys&gt;&lt;ref-type name="Government Document"&gt;46&lt;/ref-type&gt;&lt;contributors&gt;&lt;authors&gt;&lt;author&gt;California Air Resources Board,&lt;/author&gt;&lt;/authors&gt;&lt;/contributors&gt;&lt;titles&gt;&lt;title&gt;CARB List of Certified Mills&lt;/title&gt;&lt;/titles&gt;&lt;dates&gt;&lt;year&gt;2011&lt;/year&gt;&lt;/dates&gt;&lt;urls&gt;&lt;related-urls&gt;&lt;url&gt;http://www.arb.ca.gov/toxics/compwood/tpc/listofmills.htm&lt;/url&gt;&lt;/related-urls&gt;&lt;/urls&gt;&lt;access-date&gt;January 11, 2011&lt;/access-date&gt;&lt;/record&gt;&lt;/Cite&gt;&lt;/EndNote&gt;</w:instrText>
        </w:r>
        <w:r w:rsidR="0041046E" w:rsidRPr="006565F1">
          <w:rPr>
            <w:sz w:val="18"/>
          </w:rPr>
          <w:fldChar w:fldCharType="separate"/>
        </w:r>
        <w:r w:rsidRPr="006565F1">
          <w:rPr>
            <w:noProof/>
            <w:sz w:val="18"/>
          </w:rPr>
          <w:t>California Air Resources Board 2011</w:t>
        </w:r>
        <w:r w:rsidR="0041046E" w:rsidRPr="006565F1">
          <w:rPr>
            <w:sz w:val="18"/>
          </w:rPr>
          <w:fldChar w:fldCharType="end"/>
        </w:r>
      </w:hyperlink>
      <w:r>
        <w:rPr>
          <w:sz w:val="18"/>
        </w:rPr>
        <w:t>.</w:t>
      </w:r>
    </w:p>
  </w:footnote>
  <w:footnote w:id="4">
    <w:p w:rsidR="00BD1E2A" w:rsidRPr="006565F1" w:rsidRDefault="00BD1E2A" w:rsidP="00A83DDA">
      <w:pPr>
        <w:pStyle w:val="FootnoteText"/>
        <w:tabs>
          <w:tab w:val="left" w:pos="180"/>
        </w:tabs>
        <w:ind w:left="180"/>
        <w:rPr>
          <w:sz w:val="18"/>
        </w:rPr>
      </w:pPr>
      <w:r w:rsidRPr="006565F1">
        <w:rPr>
          <w:rStyle w:val="FootnoteReference"/>
          <w:sz w:val="18"/>
          <w:vertAlign w:val="superscript"/>
        </w:rPr>
        <w:footnoteRef/>
      </w:r>
      <w:r w:rsidRPr="006565F1">
        <w:rPr>
          <w:sz w:val="18"/>
          <w:vertAlign w:val="superscript"/>
        </w:rPr>
        <w:t xml:space="preserve"> </w:t>
      </w:r>
      <w:r w:rsidRPr="006565F1">
        <w:rPr>
          <w:sz w:val="18"/>
        </w:rPr>
        <w:t xml:space="preserve">The following NAICS are included for wholesalers: 423210, 423220, 423310, 423320, 423330, 423390, 423410, 423420, 423430, 423440, 423450, 423490, 423510, 423610, 423620, 423690, 423710, 423720, 423730, 423740, 423740, 423810, 423820, 423830, 423840, 423850, 423910, 423920, 423930, 423940, 423990, 424110, 424120, 424130, 424210, 424310, 424320, 424330, 424340, 424410, 424420, 424450, 424460, 424480, 424490, 424510, 424610, 424690, 424910, 424920, 424930, 424940, 424950, 424990.  </w:t>
      </w:r>
    </w:p>
    <w:p w:rsidR="00BD1E2A" w:rsidRPr="006565F1" w:rsidRDefault="00BD1E2A" w:rsidP="00A83DDA">
      <w:pPr>
        <w:pStyle w:val="FootnoteText"/>
        <w:ind w:left="180"/>
        <w:rPr>
          <w:sz w:val="18"/>
        </w:rPr>
      </w:pPr>
      <w:r w:rsidRPr="006565F1">
        <w:rPr>
          <w:sz w:val="18"/>
        </w:rPr>
        <w:t xml:space="preserve">The following NAICS are included for retailers: 441110, 441210, 441221, 441229, 441320, 442110, 442210, 442291, 442299, 443111, 443112, 443120, 443130, 444110, 444120, 444130, 444190, 444210, 444220, 445110, 445120, 445210, 445220, 445230, 445291, 445292, 445299, 445310, 446110, 446120, 446130, 446191, 446199, 447110, 447190, 448110, 448120, 448130, 448140, 448150, 448190, 448210, 448310, 448320, 451110, 451120, 451130, 451140, 451211, 451212, 451220, 452111, 452112, 452910, 452990, 453110, 453210, 453220, 453910, 453920, 453930, 453991, 453998, 454111, 454113, 454210, 454311, 454312, 454390.  </w:t>
      </w:r>
    </w:p>
  </w:footnote>
  <w:footnote w:id="5">
    <w:p w:rsidR="00BD1E2A" w:rsidRDefault="00BD1E2A" w:rsidP="00A83DDA">
      <w:pPr>
        <w:pStyle w:val="FootnoteText"/>
        <w:ind w:left="180"/>
      </w:pPr>
      <w:r w:rsidRPr="006565F1">
        <w:rPr>
          <w:rStyle w:val="FootnoteReference"/>
          <w:sz w:val="18"/>
          <w:vertAlign w:val="superscript"/>
        </w:rPr>
        <w:footnoteRef/>
      </w:r>
      <w:r w:rsidRPr="006565F1">
        <w:rPr>
          <w:sz w:val="18"/>
        </w:rPr>
        <w:t xml:space="preserve"> </w:t>
      </w:r>
      <w:r w:rsidR="0041046E" w:rsidRPr="006565F1">
        <w:rPr>
          <w:sz w:val="18"/>
        </w:rPr>
        <w:fldChar w:fldCharType="begin"/>
      </w:r>
      <w:r w:rsidRPr="006565F1">
        <w:rPr>
          <w:sz w:val="18"/>
        </w:rPr>
        <w:instrText xml:space="preserve"> ADDIN EN.CITE &lt;EndNote&gt;&lt;Cite&gt;&lt;Author&gt;U.S. Census Bureau&lt;/Author&gt;&lt;Year&gt;2010&lt;/Year&gt;&lt;RecNum&gt;35&lt;/RecNum&gt;&lt;DisplayText&gt;U.S. Census Bureau 2010a, 2011&lt;/DisplayText&gt;&lt;record&gt;&lt;rec-number&gt;35&lt;/rec-number&gt;&lt;foreign-keys&gt;&lt;key app="EN" db-id="asafvtwziw9fd8erv0k5pse2555zxesr9ape"&gt;35&lt;/key&gt;&lt;/foreign-keys&gt;&lt;ref-type name="Journal Article"&gt;17&lt;/ref-type&gt;&lt;contributors&gt;&lt;authors&gt;&lt;author&gt;U.S. Census Bureau,&lt;/author&gt;&lt;/authors&gt;&lt;/contributors&gt;&lt;titles&gt;&lt;title&gt;Sector 44: EC0744SLLS1: Retail Trade: Subject Series - Product Lines: Product Lines Statistics by Kind of Business for the United States and States: 2007&lt;/title&gt;&lt;/titles&gt;&lt;dates&gt;&lt;year&gt;2010&lt;/year&gt;&lt;/dates&gt;&lt;urls&gt;&lt;related-urls&gt;&lt;url&gt;http://factfinder.census.gov/servlet/IBQTable?_bm=y&amp;amp;-geo_id=D&amp;amp;-ds_name=EC0744SLLS1&amp;amp;-_lang=en&lt;/url&gt;&lt;/related-urls&gt;&lt;/urls&gt;&lt;access-date&gt;8/2/2011&lt;/access-date&gt;&lt;/record&gt;&lt;/Cite&gt;&lt;Cite&gt;&lt;Author&gt;U.S. Census Bureau&lt;/Author&gt;&lt;Year&gt;2011&lt;/Year&gt;&lt;RecNum&gt;100&lt;/RecNum&gt;&lt;record&gt;&lt;rec-number&gt;100&lt;/rec-number&gt;&lt;foreign-keys&gt;&lt;key app="EN" db-id="asafvtwziw9fd8erv0k5pse2555zxesr9ape"&gt;100&lt;/key&gt;&lt;/foreign-keys&gt;&lt;ref-type name="Government Document"&gt;46&lt;/ref-type&gt;&lt;contributors&gt;&lt;authors&gt;&lt;author&gt;U.S. Census Bureau,&lt;/author&gt;&lt;/authors&gt;&lt;/contributors&gt;&lt;titles&gt;&lt;title&gt;Sector 42: EC0742SLLS1: Wholesale Trade: Subject Series - Product Lines: Product Lines Statistics by Kind of Business for the United States and States: 2007&lt;/title&gt;&lt;/titles&gt;&lt;dates&gt;&lt;year&gt;2011&lt;/year&gt;&lt;/dates&gt;&lt;urls&gt;&lt;related-urls&gt;&lt;url&gt;http://factfinder.census.gov/servlet/IBQTable?_bm=y&amp;amp;-geo_id=D&amp;amp;-ds_name=EC0742SLLS1&amp;amp;-_lang=en&lt;/url&gt;&lt;/related-urls&gt;&lt;/urls&gt;&lt;access-date&gt;8/2/2011&lt;/access-date&gt;&lt;/record&gt;&lt;/Cite&gt;&lt;/EndNote&gt;</w:instrText>
      </w:r>
      <w:r w:rsidR="0041046E" w:rsidRPr="006565F1">
        <w:rPr>
          <w:sz w:val="18"/>
        </w:rPr>
        <w:fldChar w:fldCharType="separate"/>
      </w:r>
      <w:hyperlink w:anchor="_ENREF_11" w:tooltip="U.S. Census Bureau, 2010 #35" w:history="1">
        <w:r w:rsidRPr="006565F1">
          <w:rPr>
            <w:noProof/>
            <w:sz w:val="18"/>
          </w:rPr>
          <w:t>U.S. Census Bureau 2010a</w:t>
        </w:r>
      </w:hyperlink>
      <w:r w:rsidRPr="006565F1">
        <w:rPr>
          <w:noProof/>
          <w:sz w:val="18"/>
        </w:rPr>
        <w:t xml:space="preserve">, </w:t>
      </w:r>
      <w:hyperlink w:anchor="_ENREF_23" w:tooltip="U.S. Census Bureau, 2011 #100" w:history="1">
        <w:r w:rsidRPr="006565F1">
          <w:rPr>
            <w:noProof/>
            <w:sz w:val="18"/>
          </w:rPr>
          <w:t>2011</w:t>
        </w:r>
      </w:hyperlink>
      <w:r w:rsidR="0041046E" w:rsidRPr="006565F1">
        <w:rPr>
          <w:sz w:val="18"/>
        </w:rPr>
        <w:fldChar w:fldCharType="end"/>
      </w:r>
      <w:r>
        <w:rPr>
          <w:sz w:val="18"/>
        </w:rPr>
        <w:t>.</w:t>
      </w:r>
    </w:p>
  </w:footnote>
  <w:footnote w:id="6">
    <w:p w:rsidR="00BD1E2A" w:rsidRDefault="00BD1E2A">
      <w:pPr>
        <w:pStyle w:val="FootnoteText"/>
      </w:pPr>
      <w:r w:rsidRPr="00831B37">
        <w:rPr>
          <w:rStyle w:val="FootnoteReference"/>
          <w:vertAlign w:val="superscript"/>
        </w:rPr>
        <w:footnoteRef/>
      </w:r>
      <w:r>
        <w:t xml:space="preserve">  This is an example where the TPC requirements are more stringent than the regulatory requirements.</w:t>
      </w:r>
    </w:p>
  </w:footnote>
  <w:footnote w:id="7">
    <w:p w:rsidR="00BD1E2A" w:rsidRDefault="00BD1E2A" w:rsidP="00A83DDA">
      <w:pPr>
        <w:pStyle w:val="FootnoteText"/>
        <w:ind w:left="180"/>
      </w:pPr>
      <w:r w:rsidRPr="006565F1">
        <w:rPr>
          <w:rStyle w:val="FootnoteReference"/>
          <w:sz w:val="18"/>
          <w:szCs w:val="18"/>
          <w:vertAlign w:val="superscript"/>
        </w:rPr>
        <w:footnoteRef/>
      </w:r>
      <w:r w:rsidRPr="006565F1">
        <w:rPr>
          <w:sz w:val="18"/>
          <w:szCs w:val="18"/>
          <w:vertAlign w:val="superscript"/>
        </w:rPr>
        <w:t xml:space="preserve"> </w:t>
      </w:r>
      <w:hyperlink w:anchor="_ENREF_6" w:tooltip="Personal Communication with HPVA, 2011 #30" w:history="1">
        <w:r w:rsidR="0041046E" w:rsidRPr="006565F1">
          <w:rPr>
            <w:sz w:val="18"/>
            <w:szCs w:val="18"/>
          </w:rPr>
          <w:fldChar w:fldCharType="begin"/>
        </w:r>
        <w:r w:rsidRPr="006565F1">
          <w:rPr>
            <w:sz w:val="18"/>
            <w:szCs w:val="18"/>
          </w:rPr>
          <w:instrText xml:space="preserve"> ADDIN EN.CITE &lt;EndNote&gt;&lt;Cite&gt;&lt;Author&gt;Personal Communication with HPVA&lt;/Author&gt;&lt;Year&gt;2011&lt;/Year&gt;&lt;RecNum&gt;30&lt;/RecNum&gt;&lt;DisplayText&gt;Personal Communication with HPVA 2011&lt;/DisplayText&gt;&lt;record&gt;&lt;rec-number&gt;30&lt;/rec-number&gt;&lt;foreign-keys&gt;&lt;key app="EN" db-id="asafvtwziw9fd8erv0k5pse2555zxesr9ape"&gt;30&lt;/key&gt;&lt;/foreign-keys&gt;&lt;ref-type name="Personal Communication"&gt;26&lt;/ref-type&gt;&lt;contributors&gt;&lt;authors&gt;&lt;author&gt;Personal Communication with HPVA,&lt;/author&gt;&lt;/authors&gt;&lt;/contributors&gt;&lt;titles&gt;&lt;title&gt;Conversation between Kip Howlett (HPVA) and Abt Associates Inc.&lt;/title&gt;&lt;/titles&gt;&lt;dates&gt;&lt;year&gt;2011&lt;/year&gt;&lt;pub-dates&gt;&lt;date&gt;January 4, 2011&lt;/date&gt;&lt;/pub-dates&gt;&lt;/dates&gt;&lt;urls&gt;&lt;/urls&gt;&lt;/record&gt;&lt;/Cite&gt;&lt;/EndNote&gt;</w:instrText>
        </w:r>
        <w:r w:rsidR="0041046E" w:rsidRPr="006565F1">
          <w:rPr>
            <w:sz w:val="18"/>
            <w:szCs w:val="18"/>
          </w:rPr>
          <w:fldChar w:fldCharType="separate"/>
        </w:r>
        <w:r w:rsidRPr="006565F1">
          <w:rPr>
            <w:noProof/>
            <w:sz w:val="18"/>
            <w:szCs w:val="18"/>
          </w:rPr>
          <w:t>Personal Communication with HPVA 2011</w:t>
        </w:r>
        <w:r w:rsidR="0041046E" w:rsidRPr="006565F1">
          <w:rPr>
            <w:sz w:val="18"/>
            <w:szCs w:val="18"/>
          </w:rPr>
          <w:fldChar w:fldCharType="end"/>
        </w:r>
      </w:hyperlink>
      <w:r>
        <w:rPr>
          <w:sz w:val="18"/>
          <w:szCs w:val="18"/>
        </w:rPr>
        <w:t>.</w:t>
      </w:r>
    </w:p>
  </w:footnote>
  <w:footnote w:id="8">
    <w:p w:rsidR="00BD1E2A" w:rsidRPr="006565F1" w:rsidRDefault="00BD1E2A" w:rsidP="00A83DDA">
      <w:pPr>
        <w:pStyle w:val="FootnoteText"/>
        <w:ind w:left="180"/>
        <w:rPr>
          <w:sz w:val="18"/>
          <w:szCs w:val="18"/>
        </w:rPr>
      </w:pPr>
      <w:r w:rsidRPr="006565F1">
        <w:rPr>
          <w:rStyle w:val="FootnoteReference"/>
          <w:sz w:val="18"/>
          <w:szCs w:val="18"/>
          <w:vertAlign w:val="superscript"/>
        </w:rPr>
        <w:footnoteRef/>
      </w:r>
      <w:r w:rsidRPr="006565F1">
        <w:rPr>
          <w:sz w:val="18"/>
          <w:szCs w:val="18"/>
        </w:rPr>
        <w:t xml:space="preserve">  Large scale testing can be performed using either the primary test method or an equivalent secondary test method; however, this analysis assumes that all qualifying testing is performed using the primary test method.  The primary method for formaldehyde testing is the large chamber test, as defined by ASTM International Standard E1333.  </w:t>
      </w:r>
    </w:p>
  </w:footnote>
  <w:footnote w:id="9">
    <w:p w:rsidR="00BD1E2A" w:rsidRPr="006565F1" w:rsidRDefault="00BD1E2A" w:rsidP="00A83DDA">
      <w:pPr>
        <w:pStyle w:val="FootnoteText"/>
        <w:tabs>
          <w:tab w:val="left" w:pos="180"/>
        </w:tabs>
        <w:ind w:left="180"/>
        <w:rPr>
          <w:sz w:val="18"/>
          <w:szCs w:val="18"/>
        </w:rPr>
      </w:pPr>
      <w:r w:rsidRPr="006565F1">
        <w:rPr>
          <w:rStyle w:val="FootnoteReference"/>
          <w:sz w:val="18"/>
          <w:szCs w:val="18"/>
          <w:vertAlign w:val="superscript"/>
        </w:rPr>
        <w:footnoteRef/>
      </w:r>
      <w:r w:rsidRPr="006565F1">
        <w:rPr>
          <w:sz w:val="18"/>
          <w:szCs w:val="18"/>
          <w:vertAlign w:val="superscript"/>
        </w:rPr>
        <w:t xml:space="preserve"> </w:t>
      </w:r>
      <w:r w:rsidRPr="006565F1">
        <w:rPr>
          <w:sz w:val="18"/>
          <w:szCs w:val="18"/>
        </w:rPr>
        <w:t>Conversations with industry represented informed assumptions for the following fabricator NAICS codes: 321211, 321219, 337110, 337129, 321911, 337121, 337122, 337127, 337211, 337214, 337215, 336213, and 336214.</w:t>
      </w:r>
    </w:p>
  </w:footnote>
  <w:footnote w:id="10">
    <w:p w:rsidR="00BD1E2A" w:rsidRPr="006565F1" w:rsidRDefault="00BD1E2A" w:rsidP="00A83DDA">
      <w:pPr>
        <w:pStyle w:val="BodyText"/>
        <w:ind w:left="180"/>
        <w:rPr>
          <w:sz w:val="18"/>
          <w:szCs w:val="18"/>
        </w:rPr>
      </w:pPr>
      <w:r w:rsidRPr="006565F1">
        <w:rPr>
          <w:rStyle w:val="FootnoteReference"/>
          <w:sz w:val="18"/>
          <w:szCs w:val="18"/>
          <w:vertAlign w:val="superscript"/>
        </w:rPr>
        <w:footnoteRef/>
      </w:r>
      <w:r w:rsidRPr="006565F1">
        <w:rPr>
          <w:sz w:val="18"/>
          <w:szCs w:val="18"/>
          <w:vertAlign w:val="superscript"/>
        </w:rPr>
        <w:t xml:space="preserve"> </w:t>
      </w:r>
      <w:r w:rsidRPr="006565F1">
        <w:rPr>
          <w:sz w:val="18"/>
          <w:szCs w:val="18"/>
        </w:rPr>
        <w:t>Retailers are also subject to the chain of custody and recordkeeping requirements.  The California Retailers Association indicated that retailers’ customary business practices were generally sufficient to meet the chain of custody requirements in the CARB ATCM (</w:t>
      </w:r>
      <w:hyperlink w:anchor="_ENREF_5" w:tooltip="Personal Communication with CRA, 2011 #99" w:history="1">
        <w:r w:rsidR="0041046E" w:rsidRPr="006565F1">
          <w:rPr>
            <w:sz w:val="18"/>
            <w:szCs w:val="18"/>
          </w:rPr>
          <w:fldChar w:fldCharType="begin"/>
        </w:r>
        <w:r w:rsidRPr="006565F1">
          <w:rPr>
            <w:sz w:val="18"/>
            <w:szCs w:val="18"/>
          </w:rPr>
          <w:instrText xml:space="preserve"> ADDIN EN.CITE &lt;EndNote&gt;&lt;Cite&gt;&lt;Author&gt;Personal Communication with CRA&lt;/Author&gt;&lt;Year&gt;2011&lt;/Year&gt;&lt;RecNum&gt;99&lt;/RecNum&gt;&lt;DisplayText&gt;Personal Communication with CRA 2011&lt;/DisplayText&gt;&lt;record&gt;&lt;rec-number&gt;99&lt;/rec-number&gt;&lt;foreign-keys&gt;&lt;key app="EN" db-id="asafvtwziw9fd8erv0k5pse2555zxesr9ape"&gt;99&lt;/key&gt;&lt;/foreign-keys&gt;&lt;ref-type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2011&lt;/date&gt;&lt;/pub-dates&gt;&lt;/dates&gt;&lt;urls&gt;&lt;/urls&gt;&lt;/record&gt;&lt;/Cite&gt;&lt;/EndNote&gt;</w:instrText>
        </w:r>
        <w:r w:rsidR="0041046E" w:rsidRPr="006565F1">
          <w:rPr>
            <w:sz w:val="18"/>
            <w:szCs w:val="18"/>
          </w:rPr>
          <w:fldChar w:fldCharType="separate"/>
        </w:r>
        <w:r w:rsidRPr="006565F1">
          <w:rPr>
            <w:noProof/>
            <w:sz w:val="18"/>
            <w:szCs w:val="18"/>
          </w:rPr>
          <w:t>Personal Communication with CRA 2011</w:t>
        </w:r>
        <w:r w:rsidR="0041046E" w:rsidRPr="006565F1">
          <w:rPr>
            <w:sz w:val="18"/>
            <w:szCs w:val="18"/>
          </w:rPr>
          <w:fldChar w:fldCharType="end"/>
        </w:r>
      </w:hyperlink>
      <w:r w:rsidRPr="006565F1">
        <w:rPr>
          <w:sz w:val="18"/>
          <w:szCs w:val="18"/>
        </w:rPr>
        <w:t>), so retailers were not administered a questionnaire.</w:t>
      </w:r>
    </w:p>
    <w:p w:rsidR="00BD1E2A" w:rsidRDefault="00BD1E2A" w:rsidP="00A83DDA">
      <w:pPr>
        <w:pStyle w:val="FootnoteText"/>
      </w:pPr>
    </w:p>
  </w:footnote>
  <w:footnote w:id="11">
    <w:p w:rsidR="00BD1E2A" w:rsidRPr="00E24027" w:rsidRDefault="00BD1E2A" w:rsidP="00A83DDA">
      <w:pPr>
        <w:pStyle w:val="FootnoteText"/>
        <w:ind w:left="180"/>
        <w:rPr>
          <w:sz w:val="18"/>
          <w:szCs w:val="18"/>
        </w:rPr>
      </w:pPr>
      <w:r w:rsidRPr="00E24027">
        <w:rPr>
          <w:rStyle w:val="FootnoteReference"/>
          <w:sz w:val="18"/>
          <w:szCs w:val="18"/>
          <w:vertAlign w:val="superscript"/>
        </w:rPr>
        <w:footnoteRef/>
      </w:r>
      <w:r w:rsidRPr="00E24027">
        <w:rPr>
          <w:sz w:val="18"/>
          <w:szCs w:val="18"/>
        </w:rPr>
        <w:t xml:space="preserve"> </w:t>
      </w:r>
      <w:r w:rsidRPr="00E24027">
        <w:rPr>
          <w:noProof/>
          <w:sz w:val="18"/>
          <w:szCs w:val="18"/>
        </w:rPr>
        <w:t>67 percent is calculated as 4/6 since 4 of the 6 firms that reported labeling their products are assumed to have these costs.</w:t>
      </w:r>
      <w:r w:rsidRPr="00E24027">
        <w:rPr>
          <w:sz w:val="18"/>
          <w:szCs w:val="18"/>
        </w:rPr>
        <w:t xml:space="preserve">  </w:t>
      </w:r>
    </w:p>
  </w:footnote>
  <w:footnote w:id="12">
    <w:p w:rsidR="00BD1E2A" w:rsidRPr="00E24027" w:rsidRDefault="00BD1E2A" w:rsidP="00A83DDA">
      <w:pPr>
        <w:pStyle w:val="FootnoteText"/>
        <w:ind w:left="180"/>
        <w:rPr>
          <w:sz w:val="18"/>
          <w:szCs w:val="18"/>
        </w:rPr>
      </w:pPr>
      <w:r w:rsidRPr="00E24027">
        <w:rPr>
          <w:rStyle w:val="FootnoteReference"/>
          <w:sz w:val="18"/>
          <w:szCs w:val="18"/>
          <w:vertAlign w:val="superscript"/>
        </w:rPr>
        <w:footnoteRef/>
      </w:r>
      <w:r w:rsidRPr="00E24027">
        <w:rPr>
          <w:sz w:val="18"/>
          <w:szCs w:val="18"/>
          <w:vertAlign w:val="superscript"/>
        </w:rPr>
        <w:t xml:space="preserve"> </w:t>
      </w:r>
      <w:r w:rsidRPr="00E24027">
        <w:rPr>
          <w:noProof/>
          <w:sz w:val="18"/>
          <w:szCs w:val="18"/>
        </w:rPr>
        <w:t>33 percent is calculated as 2/6 since 6 firms reported that they labeled their product.</w:t>
      </w:r>
    </w:p>
  </w:footnote>
  <w:footnote w:id="13">
    <w:p w:rsidR="00BD1E2A" w:rsidRPr="00E24027" w:rsidRDefault="00BD1E2A" w:rsidP="00A83DDA">
      <w:pPr>
        <w:pStyle w:val="FootnoteText"/>
        <w:ind w:left="187"/>
        <w:rPr>
          <w:sz w:val="18"/>
          <w:szCs w:val="18"/>
        </w:rPr>
      </w:pPr>
      <w:r w:rsidRPr="00E24027">
        <w:rPr>
          <w:rStyle w:val="FootnoteReference"/>
          <w:sz w:val="18"/>
          <w:szCs w:val="18"/>
          <w:vertAlign w:val="superscript"/>
        </w:rPr>
        <w:footnoteRef/>
      </w:r>
      <w:r w:rsidRPr="00E24027">
        <w:rPr>
          <w:sz w:val="18"/>
          <w:szCs w:val="18"/>
        </w:rPr>
        <w:t xml:space="preserve"> For example, the Internal Revenue Service (</w:t>
      </w:r>
      <w:hyperlink w:anchor="_ENREF_24" w:tooltip="U.S. Internal Revenue Service, 2007 #243" w:history="1">
        <w:r w:rsidR="0041046E" w:rsidRPr="00E24027">
          <w:rPr>
            <w:sz w:val="18"/>
            <w:szCs w:val="18"/>
          </w:rPr>
          <w:fldChar w:fldCharType="begin"/>
        </w:r>
        <w:r w:rsidRPr="00E24027">
          <w:rPr>
            <w:sz w:val="18"/>
            <w:szCs w:val="18"/>
          </w:rPr>
          <w:instrText xml:space="preserve"> ADDIN EN.CITE &lt;EndNote&gt;&lt;Cite&gt;&lt;Author&gt;U.S. Internal Revenue Service&lt;/Author&gt;&lt;Year&gt;2007&lt;/Year&gt;&lt;RecNum&gt;243&lt;/RecNum&gt;&lt;DisplayText&gt;U.S. Internal Revenue Service 2007&lt;/DisplayText&gt;&lt;record&gt;&lt;rec-number&gt;243&lt;/rec-number&gt;&lt;foreign-keys&gt;&lt;key app="EN" db-id="asafvtwziw9fd8erv0k5pse2555zxesr9ape"&gt;243&lt;/key&gt;&lt;/foreign-keys&gt;&lt;ref-type name="Generic"&gt;13&lt;/ref-type&gt;&lt;contributors&gt;&lt;authors&gt;&lt;author&gt;U.S. Internal Revenue Service,&lt;/author&gt;&lt;/authors&gt;&lt;/contributors&gt;&lt;titles&gt;&lt;title&gt;Starting a Business and Keeping Records&lt;/title&gt;&lt;/titles&gt;&lt;volume&gt;Publication 583. Revised January 2007&lt;/volume&gt;&lt;dates&gt;&lt;year&gt;2007&lt;/year&gt;&lt;/dates&gt;&lt;urls&gt;&lt;/urls&gt;&lt;/record&gt;&lt;/Cite&gt;&lt;/EndNote&gt;</w:instrText>
        </w:r>
        <w:r w:rsidR="0041046E" w:rsidRPr="00E24027">
          <w:rPr>
            <w:sz w:val="18"/>
            <w:szCs w:val="18"/>
          </w:rPr>
          <w:fldChar w:fldCharType="separate"/>
        </w:r>
        <w:r w:rsidRPr="00E24027">
          <w:rPr>
            <w:noProof/>
            <w:sz w:val="18"/>
            <w:szCs w:val="18"/>
          </w:rPr>
          <w:t>U.S. Internal Revenue Service 2007</w:t>
        </w:r>
        <w:r w:rsidR="0041046E" w:rsidRPr="00E24027">
          <w:rPr>
            <w:sz w:val="18"/>
            <w:szCs w:val="18"/>
          </w:rPr>
          <w:fldChar w:fldCharType="end"/>
        </w:r>
      </w:hyperlink>
      <w:r w:rsidRPr="00E24027">
        <w:rPr>
          <w:sz w:val="18"/>
          <w:szCs w:val="18"/>
        </w:rPr>
        <w:t xml:space="preserve">) recommends that firms keep invoices in order to document their assets, expenses, gross receipts, and purchases.  </w:t>
      </w:r>
    </w:p>
  </w:footnote>
  <w:footnote w:id="14">
    <w:p w:rsidR="00BD1E2A" w:rsidRDefault="00BD1E2A" w:rsidP="00A83DDA">
      <w:pPr>
        <w:pStyle w:val="FootnoteText"/>
        <w:ind w:left="187"/>
      </w:pPr>
      <w:r w:rsidRPr="00E24027">
        <w:rPr>
          <w:rStyle w:val="FootnoteReference"/>
          <w:sz w:val="18"/>
          <w:szCs w:val="18"/>
          <w:vertAlign w:val="superscript"/>
        </w:rPr>
        <w:footnoteRef/>
      </w:r>
      <w:r w:rsidRPr="00E24027">
        <w:rPr>
          <w:sz w:val="18"/>
          <w:szCs w:val="18"/>
          <w:vertAlign w:val="superscript"/>
        </w:rPr>
        <w:t xml:space="preserve"> </w:t>
      </w:r>
      <w:r w:rsidRPr="00E24027">
        <w:rPr>
          <w:sz w:val="18"/>
          <w:szCs w:val="18"/>
        </w:rPr>
        <w:t xml:space="preserve">While wholesalers that do not import composite wood products are assumed to meet the proposed rule’s recordkeeping requirements with documents kept as part of their customary business practices, these firms do count toward the respondent and response totals in </w:t>
      </w:r>
      <w:fldSimple w:instr=" REF _Ref309214737 \h  \* MERGEFORMAT ">
        <w:r w:rsidRPr="0036394F">
          <w:rPr>
            <w:sz w:val="18"/>
            <w:szCs w:val="18"/>
          </w:rPr>
          <w:t>Exhibit 6-9</w:t>
        </w:r>
      </w:fldSimple>
      <w:r w:rsidRPr="00E24027">
        <w:rPr>
          <w:sz w:val="18"/>
          <w:szCs w:val="18"/>
        </w:rPr>
        <w:t xml:space="preserve"> through </w:t>
      </w:r>
      <w:fldSimple w:instr=" REF _Ref309214747 \h  \* MERGEFORMAT ">
        <w:r w:rsidRPr="0036394F">
          <w:rPr>
            <w:sz w:val="18"/>
            <w:szCs w:val="18"/>
          </w:rPr>
          <w:t>Exhibit 6-14</w:t>
        </w:r>
      </w:fldSimple>
      <w:r w:rsidRPr="00E24027">
        <w:rPr>
          <w:sz w:val="18"/>
          <w:szCs w:val="18"/>
        </w:rPr>
        <w:t>.</w:t>
      </w:r>
    </w:p>
  </w:footnote>
  <w:footnote w:id="15">
    <w:p w:rsidR="00BD1E2A" w:rsidRPr="00E24027" w:rsidRDefault="00BD1E2A" w:rsidP="00A83DDA">
      <w:pPr>
        <w:pStyle w:val="FootnoteText"/>
        <w:tabs>
          <w:tab w:val="left" w:pos="180"/>
        </w:tabs>
        <w:ind w:left="180"/>
        <w:rPr>
          <w:sz w:val="18"/>
          <w:szCs w:val="18"/>
        </w:rPr>
      </w:pPr>
      <w:r w:rsidRPr="00E24027">
        <w:rPr>
          <w:rStyle w:val="FootnoteReference"/>
          <w:sz w:val="18"/>
          <w:szCs w:val="18"/>
          <w:vertAlign w:val="superscript"/>
        </w:rPr>
        <w:footnoteRef/>
      </w:r>
      <w:r w:rsidRPr="00E24027">
        <w:rPr>
          <w:sz w:val="18"/>
          <w:szCs w:val="18"/>
        </w:rPr>
        <w:t xml:space="preserve"> </w:t>
      </w:r>
      <w:r w:rsidR="0041046E" w:rsidRPr="00E24027">
        <w:rPr>
          <w:sz w:val="18"/>
          <w:szCs w:val="18"/>
        </w:rPr>
        <w:fldChar w:fldCharType="begin">
          <w:fldData xml:space="preserve">PEVuZE5vdGU+PENpdGU+PEF1dGhvcj5VLlMuIENlbnN1cyBCdXJlYXU8L0F1dGhvcj48WWVhcj4y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</w:fldData>
        </w:fldChar>
      </w:r>
      <w:r w:rsidRPr="00E24027">
        <w:rPr>
          <w:sz w:val="18"/>
          <w:szCs w:val="18"/>
        </w:rPr>
        <w:instrText xml:space="preserve"> ADDIN EN.CITE </w:instrText>
      </w:r>
      <w:r w:rsidR="0041046E" w:rsidRPr="00E24027">
        <w:rPr>
          <w:sz w:val="18"/>
          <w:szCs w:val="18"/>
        </w:rPr>
        <w:fldChar w:fldCharType="begin">
          <w:fldData xml:space="preserve">PEVuZE5vdGU+PENpdGU+PEF1dGhvcj5VLlMuIENlbnN1cyBCdXJlYXU8L0F1dGhvcj48WWVhcj4y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</w:fldData>
        </w:fldChar>
      </w:r>
      <w:r w:rsidRPr="00E24027">
        <w:rPr>
          <w:sz w:val="18"/>
          <w:szCs w:val="18"/>
        </w:rPr>
        <w:instrText xml:space="preserve"> ADDIN EN.CITE.DATA </w:instrText>
      </w:r>
      <w:r w:rsidR="0041046E" w:rsidRPr="00E24027">
        <w:rPr>
          <w:sz w:val="18"/>
          <w:szCs w:val="18"/>
        </w:rPr>
      </w:r>
      <w:r w:rsidR="0041046E" w:rsidRPr="00E24027">
        <w:rPr>
          <w:sz w:val="18"/>
          <w:szCs w:val="18"/>
        </w:rPr>
        <w:fldChar w:fldCharType="end"/>
      </w:r>
      <w:r w:rsidR="0041046E" w:rsidRPr="00E24027">
        <w:rPr>
          <w:sz w:val="18"/>
          <w:szCs w:val="18"/>
        </w:rPr>
      </w:r>
      <w:r w:rsidR="0041046E" w:rsidRPr="00E24027">
        <w:rPr>
          <w:sz w:val="18"/>
          <w:szCs w:val="18"/>
        </w:rPr>
        <w:fldChar w:fldCharType="separate"/>
      </w:r>
      <w:hyperlink w:anchor="_ENREF_10" w:tooltip="U.S. Census Bureau, 2009 #15" w:history="1">
        <w:r w:rsidRPr="00E24027">
          <w:rPr>
            <w:noProof/>
            <w:sz w:val="18"/>
            <w:szCs w:val="18"/>
          </w:rPr>
          <w:t>U.S. Census Bureau 2009</w:t>
        </w:r>
      </w:hyperlink>
      <w:r w:rsidRPr="00E24027">
        <w:rPr>
          <w:noProof/>
          <w:sz w:val="18"/>
          <w:szCs w:val="18"/>
        </w:rPr>
        <w:t xml:space="preserve">, </w:t>
      </w:r>
      <w:hyperlink w:anchor="_ENREF_14" w:tooltip="U.S. Census Bureau, 2010 #18" w:history="1">
        <w:r w:rsidRPr="00E24027">
          <w:rPr>
            <w:noProof/>
            <w:sz w:val="18"/>
            <w:szCs w:val="18"/>
          </w:rPr>
          <w:t>2010d</w:t>
        </w:r>
      </w:hyperlink>
      <w:r w:rsidRPr="00E24027">
        <w:rPr>
          <w:noProof/>
          <w:sz w:val="18"/>
          <w:szCs w:val="18"/>
        </w:rPr>
        <w:t xml:space="preserve">, </w:t>
      </w:r>
      <w:hyperlink w:anchor="_ENREF_20" w:tooltip="U.S. Census Bureau, 2010 #21" w:history="1">
        <w:r w:rsidRPr="00E24027">
          <w:rPr>
            <w:noProof/>
            <w:sz w:val="18"/>
            <w:szCs w:val="18"/>
          </w:rPr>
          <w:t>j</w:t>
        </w:r>
      </w:hyperlink>
      <w:r w:rsidR="0041046E" w:rsidRPr="00E24027">
        <w:rPr>
          <w:sz w:val="18"/>
          <w:szCs w:val="18"/>
        </w:rPr>
        <w:fldChar w:fldCharType="end"/>
      </w:r>
      <w:r>
        <w:rPr>
          <w:sz w:val="18"/>
          <w:szCs w:val="18"/>
        </w:rPr>
        <w:t>.</w:t>
      </w:r>
    </w:p>
  </w:footnote>
  <w:footnote w:id="16">
    <w:p w:rsidR="00BD1E2A" w:rsidRDefault="00BD1E2A" w:rsidP="00A83DDA">
      <w:pPr>
        <w:pStyle w:val="FootnoteText"/>
        <w:tabs>
          <w:tab w:val="left" w:pos="180"/>
        </w:tabs>
        <w:ind w:left="180"/>
      </w:pPr>
      <w:r w:rsidRPr="00E24027">
        <w:rPr>
          <w:rStyle w:val="FootnoteReference"/>
          <w:sz w:val="18"/>
          <w:szCs w:val="18"/>
          <w:vertAlign w:val="superscript"/>
        </w:rPr>
        <w:footnoteRef/>
      </w:r>
      <w:r w:rsidRPr="00E24027">
        <w:rPr>
          <w:sz w:val="18"/>
          <w:szCs w:val="18"/>
          <w:vertAlign w:val="superscript"/>
        </w:rPr>
        <w:t xml:space="preserve"> </w:t>
      </w:r>
      <w:r w:rsidR="0041046E" w:rsidRPr="00E24027">
        <w:rPr>
          <w:sz w:val="18"/>
          <w:szCs w:val="18"/>
        </w:rPr>
        <w:fldChar w:fldCharType="begin"/>
      </w:r>
      <w:r w:rsidRPr="00E24027">
        <w:rPr>
          <w:sz w:val="18"/>
          <w:szCs w:val="18"/>
        </w:rPr>
        <w:instrText xml:space="preserve"> ADDIN EN.CITE &lt;EndNote&gt;&lt;Cite&gt;&lt;Author&gt;Personal Communication with AHFA&lt;/Author&gt;&lt;Year&gt;2010&lt;/Year&gt;&lt;RecNum&gt;31&lt;/RecNum&gt;&lt;DisplayText&gt;Personal Communication with AHFA 2010, Personal Communication with BIFMA 2010&lt;/DisplayText&gt;&lt;record&gt;&lt;rec-number&gt;31&lt;/rec-number&gt;&lt;foreign-keys&gt;&lt;key app="EN" db-id="asafvtwziw9fd8erv0k5pse2555zxesr9ape"&gt;31&lt;/key&gt;&lt;/foreign-keys&gt;&lt;ref-type name="Personal Communication"&gt;26&lt;/ref-type&gt;&lt;contributors&gt;&lt;authors&gt;&lt;author&gt;Personal Communication with AHFA,&lt;/author&gt;&lt;/authors&gt;&lt;/contributors&gt;&lt;titles&gt;&lt;title&gt;Conversation between Bill Perdue (American Home Furnishings Alliance) and Abt Associates Inc.&lt;/title&gt;&lt;/titles&gt;&lt;dates&gt;&lt;year&gt;2010&lt;/year&gt;&lt;pub-dates&gt;&lt;date&gt;November 3, 2010&lt;/date&gt;&lt;/pub-dates&gt;&lt;/dates&gt;&lt;urls&gt;&lt;/urls&gt;&lt;/record&gt;&lt;/Cite&gt;&lt;Cite&gt;&lt;Author&gt;Personal Communication with BIFMA&lt;/Author&gt;&lt;Year&gt;2010&lt;/Year&gt;&lt;RecNum&gt;29&lt;/RecNum&gt;&lt;record&gt;&lt;rec-number&gt;29&lt;/rec-number&gt;&lt;foreign-keys&gt;&lt;key app="EN" db-id="asafvtwziw9fd8erv0k5pse2555zxesr9ape"&gt;29&lt;/key&gt;&lt;/foreign-keys&gt;&lt;ref-type name="Personal Communication"&gt;26&lt;/ref-type&gt;&lt;contributors&gt;&lt;authors&gt;&lt;author&gt;Personal Communication with BIFMA,&lt;/author&gt;&lt;/authors&gt;&lt;/contributors&gt;&lt;titles&gt;&lt;title&gt;Brad Miller&amp;apos;s (BIFMA) Written Responses to Questions about FSCWPA Impacts on Members&lt;/title&gt;&lt;/titles&gt;&lt;dates&gt;&lt;year&gt;2010&lt;/year&gt;&lt;pub-dates&gt;&lt;date&gt;November 23, 2011&lt;/date&gt;&lt;/pub-dates&gt;&lt;/dates&gt;&lt;urls&gt;&lt;/urls&gt;&lt;/record&gt;&lt;/Cite&gt;&lt;/EndNote&gt;</w:instrText>
      </w:r>
      <w:r w:rsidR="0041046E" w:rsidRPr="00E24027">
        <w:rPr>
          <w:sz w:val="18"/>
          <w:szCs w:val="18"/>
        </w:rPr>
        <w:fldChar w:fldCharType="separate"/>
      </w:r>
      <w:hyperlink w:anchor="_ENREF_3" w:tooltip="Personal Communication with AHFA, 2010 #31" w:history="1">
        <w:r w:rsidRPr="00E24027">
          <w:rPr>
            <w:noProof/>
            <w:sz w:val="18"/>
            <w:szCs w:val="18"/>
          </w:rPr>
          <w:t>Personal Communication with AHFA 2010</w:t>
        </w:r>
      </w:hyperlink>
      <w:r w:rsidRPr="00E24027">
        <w:rPr>
          <w:noProof/>
          <w:sz w:val="18"/>
          <w:szCs w:val="18"/>
        </w:rPr>
        <w:t xml:space="preserve">, </w:t>
      </w:r>
      <w:hyperlink w:anchor="_ENREF_4" w:tooltip="Personal Communication with BIFMA, 2010 #29" w:history="1">
        <w:r w:rsidRPr="00E24027">
          <w:rPr>
            <w:noProof/>
            <w:sz w:val="18"/>
            <w:szCs w:val="18"/>
          </w:rPr>
          <w:t>Personal Communication with BIFMA 2010</w:t>
        </w:r>
      </w:hyperlink>
      <w:r w:rsidR="0041046E" w:rsidRPr="00E24027">
        <w:rPr>
          <w:sz w:val="18"/>
          <w:szCs w:val="18"/>
        </w:rPr>
        <w:fldChar w:fldCharType="end"/>
      </w:r>
      <w:r>
        <w:rPr>
          <w:sz w:val="18"/>
          <w:szCs w:val="18"/>
        </w:rPr>
        <w:t>.</w:t>
      </w:r>
      <w:r w:rsidRPr="00E24027">
        <w:rPr>
          <w:sz w:val="18"/>
          <w:szCs w:val="18"/>
        </w:rPr>
        <w:t xml:space="preserve">   </w:t>
      </w:r>
    </w:p>
  </w:footnote>
  <w:footnote w:id="17">
    <w:p w:rsidR="00BD1E2A" w:rsidRPr="00E24027" w:rsidRDefault="00BD1E2A" w:rsidP="00A83DDA">
      <w:pPr>
        <w:pStyle w:val="FootnoteText"/>
        <w:tabs>
          <w:tab w:val="left" w:pos="180"/>
        </w:tabs>
        <w:ind w:left="180"/>
        <w:rPr>
          <w:sz w:val="18"/>
          <w:szCs w:val="18"/>
        </w:rPr>
      </w:pPr>
      <w:r w:rsidRPr="00E24027">
        <w:rPr>
          <w:rStyle w:val="FootnoteReference"/>
          <w:sz w:val="18"/>
          <w:szCs w:val="18"/>
          <w:vertAlign w:val="superscript"/>
        </w:rPr>
        <w:footnoteRef/>
      </w:r>
      <w:r w:rsidRPr="00E24027">
        <w:rPr>
          <w:sz w:val="18"/>
          <w:szCs w:val="18"/>
          <w:vertAlign w:val="superscript"/>
        </w:rPr>
        <w:t xml:space="preserve"> </w:t>
      </w:r>
      <w:r w:rsidRPr="00E24027">
        <w:rPr>
          <w:sz w:val="18"/>
          <w:szCs w:val="18"/>
        </w:rPr>
        <w:t xml:space="preserve">The average annual burden for wholesalers with initial recordkeeping costs was calculated as the average burden for the two firms that quantified costs.  One firm indicated that they spent $2,000 for a “small amount of labor.” This was divided by the clerical wage rate in the wholesale trade industry ($25.54) and equals approximately 78.3 hours.  The other firm indicated that they spent 40 labor hours.  As a result, the average firm incurred a labor burden of approximately 59.15 hours.   </w:t>
      </w:r>
    </w:p>
  </w:footnote>
  <w:footnote w:id="18">
    <w:p w:rsidR="00BD1E2A" w:rsidRPr="00E24027" w:rsidRDefault="00BD1E2A" w:rsidP="00A83DDA">
      <w:pPr>
        <w:pStyle w:val="FootnoteText"/>
        <w:ind w:left="187"/>
        <w:rPr>
          <w:sz w:val="18"/>
          <w:szCs w:val="18"/>
        </w:rPr>
      </w:pPr>
      <w:r w:rsidRPr="00E24027">
        <w:rPr>
          <w:rStyle w:val="FootnoteReference"/>
          <w:sz w:val="18"/>
          <w:szCs w:val="18"/>
          <w:vertAlign w:val="superscript"/>
        </w:rPr>
        <w:footnoteRef/>
      </w:r>
      <w:r w:rsidRPr="00E24027">
        <w:rPr>
          <w:sz w:val="18"/>
          <w:szCs w:val="18"/>
          <w:vertAlign w:val="superscript"/>
        </w:rPr>
        <w:t xml:space="preserve"> </w:t>
      </w:r>
      <w:r w:rsidRPr="00E24027">
        <w:rPr>
          <w:sz w:val="18"/>
          <w:szCs w:val="18"/>
        </w:rPr>
        <w:t>Because all foreign products are assumed to be imported by wholesalers, the burden of the rule’s chain of custody requirements for any retailers that do import products directly is accounted for under the wholesaler category.</w:t>
      </w:r>
    </w:p>
  </w:footnote>
  <w:footnote w:id="19">
    <w:p w:rsidR="00BD1E2A" w:rsidRPr="00E24027" w:rsidRDefault="00BD1E2A" w:rsidP="00A83DDA">
      <w:pPr>
        <w:pStyle w:val="FootnoteText"/>
        <w:ind w:left="180"/>
        <w:rPr>
          <w:sz w:val="18"/>
          <w:szCs w:val="18"/>
        </w:rPr>
      </w:pPr>
      <w:r w:rsidRPr="00E24027">
        <w:rPr>
          <w:rStyle w:val="FootnoteReference"/>
          <w:sz w:val="18"/>
          <w:szCs w:val="18"/>
          <w:vertAlign w:val="superscript"/>
        </w:rPr>
        <w:footnoteRef/>
      </w:r>
      <w:r w:rsidRPr="00E24027">
        <w:rPr>
          <w:sz w:val="18"/>
          <w:szCs w:val="18"/>
          <w:vertAlign w:val="superscript"/>
        </w:rPr>
        <w:t xml:space="preserve"> </w:t>
      </w:r>
      <w:hyperlink w:anchor="_ENREF_5" w:tooltip="Personal Communication with CRA, 2011 #99" w:history="1">
        <w:r w:rsidR="0041046E" w:rsidRPr="00E24027">
          <w:rPr>
            <w:sz w:val="18"/>
            <w:szCs w:val="18"/>
          </w:rPr>
          <w:fldChar w:fldCharType="begin"/>
        </w:r>
        <w:r w:rsidRPr="00E24027">
          <w:rPr>
            <w:sz w:val="18"/>
            <w:szCs w:val="18"/>
          </w:rPr>
          <w:instrText xml:space="preserve"> ADDIN EN.CITE &lt;EndNote&gt;&lt;Cite&gt;&lt;Author&gt;Personal Communication with CRA&lt;/Author&gt;&lt;Year&gt;2011&lt;/Year&gt;&lt;RecNum&gt;99&lt;/RecNum&gt;&lt;DisplayText&gt;Personal Communication with CRA 2011&lt;/DisplayText&gt;&lt;record&gt;&lt;rec-number&gt;99&lt;/rec-number&gt;&lt;foreign-keys&gt;&lt;key app="EN" db-id="asafvtwziw9fd8erv0k5pse2555zxesr9ape"&gt;99&lt;/key&gt;&lt;/foreign-keys&gt;&lt;ref-type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2011&lt;/date&gt;&lt;/pub-dates&gt;&lt;/dates&gt;&lt;urls&gt;&lt;/urls&gt;&lt;/record&gt;&lt;/Cite&gt;&lt;/EndNote&gt;</w:instrText>
        </w:r>
        <w:r w:rsidR="0041046E" w:rsidRPr="00E24027">
          <w:rPr>
            <w:sz w:val="18"/>
            <w:szCs w:val="18"/>
          </w:rPr>
          <w:fldChar w:fldCharType="separate"/>
        </w:r>
        <w:r w:rsidRPr="00E24027">
          <w:rPr>
            <w:noProof/>
            <w:sz w:val="18"/>
            <w:szCs w:val="18"/>
          </w:rPr>
          <w:t xml:space="preserve">Personal Communication with </w:t>
        </w:r>
        <w:r>
          <w:rPr>
            <w:noProof/>
            <w:sz w:val="18"/>
            <w:szCs w:val="18"/>
          </w:rPr>
          <w:t xml:space="preserve">California Retailers Association </w:t>
        </w:r>
        <w:r w:rsidRPr="00E24027">
          <w:rPr>
            <w:noProof/>
            <w:sz w:val="18"/>
            <w:szCs w:val="18"/>
          </w:rPr>
          <w:t>2011</w:t>
        </w:r>
        <w:r w:rsidR="0041046E" w:rsidRPr="00E24027">
          <w:rPr>
            <w:sz w:val="18"/>
            <w:szCs w:val="18"/>
          </w:rPr>
          <w:fldChar w:fldCharType="end"/>
        </w:r>
      </w:hyperlink>
      <w:r>
        <w:rPr>
          <w:sz w:val="18"/>
          <w:szCs w:val="18"/>
        </w:rPr>
        <w:t>.</w:t>
      </w:r>
    </w:p>
  </w:footnote>
  <w:footnote w:id="20">
    <w:p w:rsidR="00BD1E2A" w:rsidRDefault="00BD1E2A" w:rsidP="00A83DDA">
      <w:pPr>
        <w:pStyle w:val="FootnoteText"/>
        <w:ind w:left="180"/>
      </w:pPr>
      <w:r w:rsidRPr="00E24027">
        <w:rPr>
          <w:rStyle w:val="FootnoteReference"/>
          <w:sz w:val="18"/>
          <w:szCs w:val="18"/>
          <w:vertAlign w:val="superscript"/>
        </w:rPr>
        <w:footnoteRef/>
      </w:r>
      <w:r w:rsidRPr="00E24027">
        <w:rPr>
          <w:sz w:val="18"/>
          <w:szCs w:val="18"/>
          <w:vertAlign w:val="superscript"/>
        </w:rPr>
        <w:t xml:space="preserve"> </w:t>
      </w:r>
      <w:r w:rsidRPr="00E24027">
        <w:rPr>
          <w:sz w:val="18"/>
          <w:szCs w:val="18"/>
        </w:rPr>
        <w:t xml:space="preserve">While retailers are assumed to meet the proposed rule’s recordkeeping requirements with documents kept as part of their customary business practices, these firms do count toward the respondent and response totals in </w:t>
      </w:r>
      <w:fldSimple w:instr=" REF _Ref309214737 \h  \* MERGEFORMAT ">
        <w:r w:rsidRPr="0036394F">
          <w:rPr>
            <w:sz w:val="18"/>
            <w:szCs w:val="18"/>
          </w:rPr>
          <w:t>Exhibit 6-9</w:t>
        </w:r>
      </w:fldSimple>
      <w:r w:rsidRPr="00E24027">
        <w:rPr>
          <w:sz w:val="18"/>
          <w:szCs w:val="18"/>
        </w:rPr>
        <w:t xml:space="preserve"> through </w:t>
      </w:r>
      <w:fldSimple w:instr=" REF _Ref309214747 \h  \* MERGEFORMAT ">
        <w:r w:rsidRPr="0036394F">
          <w:rPr>
            <w:sz w:val="18"/>
            <w:szCs w:val="18"/>
          </w:rPr>
          <w:t>Exhibit 6-14</w:t>
        </w:r>
      </w:fldSimple>
      <w:r w:rsidRPr="00E24027">
        <w:rPr>
          <w:sz w:val="18"/>
          <w:szCs w:val="18"/>
        </w:rPr>
        <w:t>.</w:t>
      </w:r>
    </w:p>
  </w:footnote>
  <w:footnote w:id="21">
    <w:p w:rsidR="00BD1E2A" w:rsidRPr="00E24027" w:rsidRDefault="00BD1E2A" w:rsidP="00A83DDA">
      <w:pPr>
        <w:pStyle w:val="FootnoteText"/>
        <w:ind w:left="180"/>
        <w:rPr>
          <w:sz w:val="18"/>
          <w:szCs w:val="18"/>
        </w:rPr>
      </w:pPr>
      <w:r w:rsidRPr="00E24027">
        <w:rPr>
          <w:rStyle w:val="FootnoteReference"/>
          <w:sz w:val="18"/>
          <w:szCs w:val="18"/>
          <w:vertAlign w:val="superscript"/>
        </w:rPr>
        <w:footnoteRef/>
      </w:r>
      <w:r w:rsidRPr="00E24027">
        <w:rPr>
          <w:sz w:val="18"/>
          <w:szCs w:val="18"/>
        </w:rPr>
        <w:t xml:space="preserve"> </w:t>
      </w:r>
      <w:hyperlink w:anchor="_ENREF_7" w:tooltip="U.S. Bureau of Labor Statistics (BLS), 2009 #80" w:history="1">
        <w:r w:rsidR="0041046E" w:rsidRPr="00E24027">
          <w:rPr>
            <w:sz w:val="18"/>
            <w:szCs w:val="18"/>
          </w:rPr>
          <w:fldChar w:fldCharType="begin"/>
        </w:r>
        <w:r w:rsidRPr="00E24027">
          <w:rPr>
            <w:sz w:val="18"/>
            <w:szCs w:val="18"/>
          </w:rPr>
          <w:instrText xml:space="preserve"> ADDIN EN.CITE &lt;EndNote&gt;&lt;Cite&gt;&lt;Author&gt;U.S. Bureau of Labor Statistics (BLS)&lt;/Author&gt;&lt;Year&gt;2009&lt;/Year&gt;&lt;RecNum&gt;80&lt;/RecNum&gt;&lt;DisplayText&gt;U.S. Bureau of Labor Statistics (BLS) 2009&lt;/DisplayText&gt;&lt;record&gt;&lt;rec-number&gt;80&lt;/rec-number&gt;&lt;foreign-keys&gt;&lt;key app="EN" db-id="asafvtwziw9fd8erv0k5pse2555zxesr9ape"&gt;80&lt;/key&gt;&lt;/foreign-keys&gt;&lt;ref-type name="Government Document"&gt;46&lt;/ref-type&gt;&lt;contributors&gt;&lt;authors&gt;&lt;author&gt;U.S. Bureau of Labor Statistics (BLS),&lt;/author&gt;&lt;/authors&gt;&lt;/contributors&gt;&lt;titles&gt;&lt;title&gt;Occupational Employment Statistics 2009 Mean Hourly Wages&lt;/title&gt;&lt;/titles&gt;&lt;dates&gt;&lt;year&gt;2009&lt;/year&gt;&lt;/dates&gt;&lt;urls&gt;&lt;/urls&gt;&lt;/record&gt;&lt;/Cite&gt;&lt;/EndNote&gt;</w:instrText>
        </w:r>
        <w:r w:rsidR="0041046E" w:rsidRPr="00E24027">
          <w:rPr>
            <w:sz w:val="18"/>
            <w:szCs w:val="18"/>
          </w:rPr>
          <w:fldChar w:fldCharType="separate"/>
        </w:r>
        <w:r w:rsidRPr="00E24027">
          <w:rPr>
            <w:noProof/>
            <w:sz w:val="18"/>
            <w:szCs w:val="18"/>
          </w:rPr>
          <w:t>U.S. Bureau of Labor Statistics (BLS) 2009</w:t>
        </w:r>
        <w:r w:rsidR="0041046E" w:rsidRPr="00E24027">
          <w:rPr>
            <w:sz w:val="18"/>
            <w:szCs w:val="18"/>
          </w:rPr>
          <w:fldChar w:fldCharType="end"/>
        </w:r>
      </w:hyperlink>
    </w:p>
  </w:footnote>
  <w:footnote w:id="22">
    <w:p w:rsidR="00BD1E2A" w:rsidRDefault="00BD1E2A" w:rsidP="00A83DDA">
      <w:pPr>
        <w:pStyle w:val="FootnoteText"/>
        <w:ind w:left="180"/>
      </w:pPr>
      <w:r w:rsidRPr="00E24027">
        <w:rPr>
          <w:rStyle w:val="FootnoteReference"/>
          <w:sz w:val="18"/>
          <w:szCs w:val="18"/>
          <w:vertAlign w:val="superscript"/>
        </w:rPr>
        <w:footnoteRef/>
      </w:r>
      <w:r w:rsidRPr="00E24027">
        <w:rPr>
          <w:sz w:val="18"/>
          <w:szCs w:val="18"/>
          <w:vertAlign w:val="superscript"/>
        </w:rPr>
        <w:t xml:space="preserve"> </w:t>
      </w:r>
      <w:hyperlink w:anchor="_ENREF_8" w:tooltip="U.S. Bureau of Labor Statistics (BLS), 2011 #81" w:history="1">
        <w:r w:rsidR="0041046E" w:rsidRPr="00E24027">
          <w:rPr>
            <w:sz w:val="18"/>
            <w:szCs w:val="18"/>
          </w:rPr>
          <w:fldChar w:fldCharType="begin"/>
        </w:r>
        <w:r w:rsidRPr="00E24027">
          <w:rPr>
            <w:sz w:val="18"/>
            <w:szCs w:val="18"/>
          </w:rPr>
          <w:instrText xml:space="preserve"> ADDIN EN.CITE &lt;EndNote&gt;&lt;Cite&gt;&lt;Author&gt;U.S. Bureau of Labor Statistics (BLS)&lt;/Author&gt;&lt;Year&gt;2011&lt;/Year&gt;&lt;RecNum&gt;81&lt;/RecNum&gt;&lt;DisplayText&gt;U.S. Bureau of Labor Statistics (BLS) 2011&lt;/DisplayText&gt;&lt;record&gt;&lt;rec-number&gt;81&lt;/rec-number&gt;&lt;foreign-keys&gt;&lt;key app="EN" db-id="asafvtwziw9fd8erv0k5pse2555zxesr9ape"&gt;81&lt;/key&gt;&lt;/foreign-keys&gt;&lt;ref-type name="Journal Article"&gt;17&lt;/ref-type&gt;&lt;contributors&gt;&lt;authors&gt;&lt;author&gt;U.S. Bureau of Labor Statistics (BLS),&lt;/author&gt;&lt;/authors&gt;&lt;/contributors&gt;&lt;titles&gt;&lt;title&gt;BLS Employer Cost for Employee Compensation (ECEC) Data for all private industry for 2009-2010&lt;/title&gt;&lt;/titles&gt;&lt;dates&gt;&lt;year&gt;2011&lt;/year&gt;&lt;/dates&gt;&lt;urls&gt;&lt;/urls&gt;&lt;access-date&gt;3/17/2011&lt;/access-date&gt;&lt;/record&gt;&lt;/Cite&gt;&lt;/EndNote&gt;</w:instrText>
        </w:r>
        <w:r w:rsidR="0041046E" w:rsidRPr="00E24027">
          <w:rPr>
            <w:sz w:val="18"/>
            <w:szCs w:val="18"/>
          </w:rPr>
          <w:fldChar w:fldCharType="separate"/>
        </w:r>
        <w:r w:rsidRPr="00E24027">
          <w:rPr>
            <w:noProof/>
            <w:sz w:val="18"/>
            <w:szCs w:val="18"/>
          </w:rPr>
          <w:t>U.S. Bureau of Labor Statistics (BLS) 2011</w:t>
        </w:r>
        <w:r w:rsidR="0041046E" w:rsidRPr="00E24027">
          <w:rPr>
            <w:sz w:val="18"/>
            <w:szCs w:val="18"/>
          </w:rPr>
          <w:fldChar w:fldCharType="end"/>
        </w:r>
      </w:hyperlink>
    </w:p>
  </w:footnote>
  <w:footnote w:id="23">
    <w:p w:rsidR="00BD1E2A" w:rsidRDefault="00BD1E2A" w:rsidP="00A83DDA">
      <w:pPr>
        <w:pStyle w:val="FootnoteText"/>
        <w:tabs>
          <w:tab w:val="left" w:pos="180"/>
        </w:tabs>
        <w:ind w:left="180"/>
      </w:pPr>
      <w:r w:rsidRPr="00E24027">
        <w:rPr>
          <w:rStyle w:val="FootnoteReference"/>
          <w:sz w:val="18"/>
          <w:szCs w:val="18"/>
          <w:vertAlign w:val="superscript"/>
        </w:rPr>
        <w:footnoteRef/>
      </w:r>
      <w:r w:rsidRPr="00E24027">
        <w:rPr>
          <w:sz w:val="18"/>
          <w:szCs w:val="18"/>
          <w:vertAlign w:val="superscript"/>
        </w:rPr>
        <w:t xml:space="preserve"> </w:t>
      </w:r>
      <w:r>
        <w:rPr>
          <w:sz w:val="18"/>
          <w:szCs w:val="18"/>
        </w:rPr>
        <w:t>ULEF and N</w:t>
      </w:r>
      <w:r w:rsidRPr="00E24027">
        <w:rPr>
          <w:sz w:val="18"/>
          <w:szCs w:val="18"/>
        </w:rPr>
        <w:t xml:space="preserve">AF certifications apply to product lines, and not necessarily to the entire facility.  Mills with multiple product lines could have one or more lines certified as </w:t>
      </w:r>
      <w:r>
        <w:rPr>
          <w:sz w:val="18"/>
          <w:szCs w:val="18"/>
        </w:rPr>
        <w:t xml:space="preserve">ULEF or </w:t>
      </w:r>
      <w:r w:rsidRPr="00E24027">
        <w:rPr>
          <w:sz w:val="18"/>
          <w:szCs w:val="18"/>
        </w:rPr>
        <w:t xml:space="preserve">NAF and other lines that are not.  The </w:t>
      </w:r>
      <w:r>
        <w:rPr>
          <w:sz w:val="18"/>
          <w:szCs w:val="18"/>
        </w:rPr>
        <w:t xml:space="preserve">ULEF and </w:t>
      </w:r>
      <w:r w:rsidRPr="00E24027">
        <w:rPr>
          <w:sz w:val="18"/>
          <w:szCs w:val="18"/>
        </w:rPr>
        <w:t xml:space="preserve">NAF testing costs do not apply to any product lines that are not </w:t>
      </w:r>
      <w:r>
        <w:rPr>
          <w:sz w:val="18"/>
          <w:szCs w:val="18"/>
        </w:rPr>
        <w:t xml:space="preserve">ULEF or </w:t>
      </w:r>
      <w:r w:rsidRPr="00E24027">
        <w:rPr>
          <w:sz w:val="18"/>
          <w:szCs w:val="18"/>
        </w:rPr>
        <w:t xml:space="preserve">NAF certified. </w:t>
      </w:r>
    </w:p>
  </w:footnote>
  <w:footnote w:id="24">
    <w:p w:rsidR="00BD1E2A" w:rsidRPr="00E24027" w:rsidRDefault="00BD1E2A" w:rsidP="00A83DDA">
      <w:pPr>
        <w:pStyle w:val="FootnoteText"/>
        <w:tabs>
          <w:tab w:val="left" w:pos="180"/>
        </w:tabs>
        <w:ind w:left="180"/>
        <w:rPr>
          <w:sz w:val="18"/>
          <w:szCs w:val="18"/>
        </w:rPr>
      </w:pPr>
      <w:r w:rsidRPr="00E24027">
        <w:rPr>
          <w:rStyle w:val="FootnoteReference"/>
          <w:sz w:val="18"/>
          <w:szCs w:val="18"/>
          <w:vertAlign w:val="superscript"/>
        </w:rPr>
        <w:footnoteRef/>
      </w:r>
      <w:r w:rsidRPr="00E24027">
        <w:rPr>
          <w:sz w:val="18"/>
          <w:szCs w:val="18"/>
        </w:rPr>
        <w:t xml:space="preserve"> This is the rate charged by HPVA’s Reston Lab to non-members for testing panels.  This lab charges non-members $660 to test doors, $840 to test finished engineered wood flooring, and $480 to test furniture and cabinets.</w:t>
      </w:r>
    </w:p>
  </w:footnote>
  <w:footnote w:id="25">
    <w:p w:rsidR="00BD1E2A" w:rsidRDefault="00BD1E2A" w:rsidP="00A83DDA">
      <w:pPr>
        <w:pStyle w:val="FootnoteText"/>
        <w:ind w:left="180"/>
      </w:pPr>
      <w:r w:rsidRPr="00E24027">
        <w:rPr>
          <w:rStyle w:val="FootnoteReference"/>
          <w:sz w:val="18"/>
          <w:szCs w:val="18"/>
          <w:vertAlign w:val="superscript"/>
        </w:rPr>
        <w:footnoteRef/>
      </w:r>
      <w:r w:rsidRPr="00E24027">
        <w:rPr>
          <w:sz w:val="18"/>
          <w:szCs w:val="18"/>
          <w:vertAlign w:val="superscript"/>
        </w:rPr>
        <w:t xml:space="preserve"> </w:t>
      </w:r>
      <w:hyperlink w:anchor="_ENREF_6" w:tooltip="Personal Communication with HPVA, 2011 #30" w:history="1">
        <w:r w:rsidR="0041046E" w:rsidRPr="00E24027">
          <w:rPr>
            <w:sz w:val="18"/>
            <w:szCs w:val="18"/>
          </w:rPr>
          <w:fldChar w:fldCharType="begin"/>
        </w:r>
        <w:r w:rsidRPr="00E24027">
          <w:rPr>
            <w:sz w:val="18"/>
            <w:szCs w:val="18"/>
          </w:rPr>
          <w:instrText xml:space="preserve"> ADDIN EN.CITE &lt;EndNote&gt;&lt;Cite&gt;&lt;Author&gt;Personal Communication with HPVA&lt;/Author&gt;&lt;Year&gt;2011&lt;/Year&gt;&lt;RecNum&gt;30&lt;/RecNum&gt;&lt;DisplayText&gt;Personal Communication with HPVA 2011&lt;/DisplayText&gt;&lt;record&gt;&lt;rec-number&gt;30&lt;/rec-number&gt;&lt;foreign-keys&gt;&lt;key app="EN" db-id="asafvtwziw9fd8erv0k5pse2555zxesr9ape"&gt;30&lt;/key&gt;&lt;/foreign-keys&gt;&lt;ref-type name="Personal Communication"&gt;26&lt;/ref-type&gt;&lt;contributors&gt;&lt;authors&gt;&lt;author&gt;Personal Communication with HPVA,&lt;/author&gt;&lt;/authors&gt;&lt;/contributors&gt;&lt;titles&gt;&lt;title&gt;Conversation between Kip Howlett (HPVA) and Abt Associates Inc.&lt;/title&gt;&lt;/titles&gt;&lt;dates&gt;&lt;year&gt;2011&lt;/year&gt;&lt;pub-dates&gt;&lt;date&gt;January 4, 2011&lt;/date&gt;&lt;/pub-dates&gt;&lt;/dates&gt;&lt;urls&gt;&lt;/urls&gt;&lt;/record&gt;&lt;/Cite&gt;&lt;/EndNote&gt;</w:instrText>
        </w:r>
        <w:r w:rsidR="0041046E" w:rsidRPr="00E24027">
          <w:rPr>
            <w:sz w:val="18"/>
            <w:szCs w:val="18"/>
          </w:rPr>
          <w:fldChar w:fldCharType="separate"/>
        </w:r>
        <w:r w:rsidRPr="00E24027">
          <w:rPr>
            <w:noProof/>
            <w:sz w:val="18"/>
            <w:szCs w:val="18"/>
          </w:rPr>
          <w:t>Personal Communication with HPVA 2011</w:t>
        </w:r>
        <w:r w:rsidR="0041046E" w:rsidRPr="00E24027">
          <w:rPr>
            <w:sz w:val="18"/>
            <w:szCs w:val="18"/>
          </w:rPr>
          <w:fldChar w:fldCharType="end"/>
        </w:r>
      </w:hyperlink>
    </w:p>
  </w:footnote>
  <w:footnote w:id="26">
    <w:p w:rsidR="00BD1E2A" w:rsidRPr="00E24027" w:rsidRDefault="00BD1E2A" w:rsidP="00A83DDA">
      <w:pPr>
        <w:pStyle w:val="FootnoteText"/>
        <w:tabs>
          <w:tab w:val="left" w:pos="180"/>
        </w:tabs>
        <w:ind w:left="180"/>
        <w:rPr>
          <w:sz w:val="18"/>
          <w:szCs w:val="18"/>
        </w:rPr>
      </w:pPr>
      <w:r w:rsidRPr="00E24027">
        <w:rPr>
          <w:rStyle w:val="FootnoteReference"/>
          <w:sz w:val="18"/>
          <w:szCs w:val="18"/>
          <w:vertAlign w:val="superscript"/>
        </w:rPr>
        <w:footnoteRef/>
      </w:r>
      <w:r w:rsidRPr="00E24027">
        <w:rPr>
          <w:sz w:val="18"/>
          <w:szCs w:val="18"/>
        </w:rPr>
        <w:t xml:space="preserve"> </w:t>
      </w:r>
      <w:hyperlink w:anchor="_ENREF_5" w:tooltip="Personal Communication with CRA, 2011 #99" w:history="1">
        <w:r w:rsidR="0041046E" w:rsidRPr="00E24027">
          <w:rPr>
            <w:sz w:val="18"/>
            <w:szCs w:val="18"/>
          </w:rPr>
          <w:fldChar w:fldCharType="begin"/>
        </w:r>
        <w:r w:rsidRPr="00E24027">
          <w:rPr>
            <w:sz w:val="18"/>
            <w:szCs w:val="18"/>
          </w:rPr>
          <w:instrText xml:space="preserve"> ADDIN EN.CITE &lt;EndNote&gt;&lt;Cite&gt;&lt;Author&gt;Personal Communication with CRA&lt;/Author&gt;&lt;Year&gt;2011&lt;/Year&gt;&lt;RecNum&gt;99&lt;/RecNum&gt;&lt;DisplayText&gt;Personal Communication with CRA 2011&lt;/DisplayText&gt;&lt;record&gt;&lt;rec-number&gt;99&lt;/rec-number&gt;&lt;foreign-keys&gt;&lt;key app="EN" db-id="asafvtwziw9fd8erv0k5pse2555zxesr9ape"&gt;99&lt;/key&gt;&lt;/foreign-keys&gt;&lt;ref-type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2011&lt;/date&gt;&lt;/pub-dates&gt;&lt;/dates&gt;&lt;urls&gt;&lt;/urls&gt;&lt;/record&gt;&lt;/Cite&gt;&lt;Cite&gt;&lt;Author&gt;Personal Communication with CRA&lt;/Author&gt;&lt;Year&gt;2011&lt;/Year&gt;&lt;RecNum&gt;99&lt;/RecNum&gt;&lt;record&gt;&lt;rec-number&gt;99&lt;/rec-number&gt;&lt;foreign-keys&gt;&lt;key app="EN" db-id="asafvtwziw9fd8erv0k5pse2555zxesr9ape"&gt;99&lt;/key&gt;&lt;/foreign-keys&gt;&lt;ref-type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2011&lt;/date&gt;&lt;/pub-dates&gt;&lt;/dates&gt;&lt;urls&gt;&lt;/urls&gt;&lt;/record&gt;&lt;/Cite&gt;&lt;/EndNote&gt;</w:instrText>
        </w:r>
        <w:r w:rsidR="0041046E" w:rsidRPr="00E24027">
          <w:rPr>
            <w:sz w:val="18"/>
            <w:szCs w:val="18"/>
          </w:rPr>
          <w:fldChar w:fldCharType="separate"/>
        </w:r>
        <w:r w:rsidRPr="00E24027">
          <w:rPr>
            <w:noProof/>
            <w:sz w:val="18"/>
            <w:szCs w:val="18"/>
          </w:rPr>
          <w:t>Personal Communication with C</w:t>
        </w:r>
        <w:r>
          <w:rPr>
            <w:noProof/>
            <w:sz w:val="18"/>
            <w:szCs w:val="18"/>
          </w:rPr>
          <w:t xml:space="preserve">alifornia </w:t>
        </w:r>
        <w:r w:rsidRPr="00E24027">
          <w:rPr>
            <w:noProof/>
            <w:sz w:val="18"/>
            <w:szCs w:val="18"/>
          </w:rPr>
          <w:t>R</w:t>
        </w:r>
        <w:r>
          <w:rPr>
            <w:noProof/>
            <w:sz w:val="18"/>
            <w:szCs w:val="18"/>
          </w:rPr>
          <w:t xml:space="preserve">etailers </w:t>
        </w:r>
        <w:r w:rsidRPr="00E24027">
          <w:rPr>
            <w:noProof/>
            <w:sz w:val="18"/>
            <w:szCs w:val="18"/>
          </w:rPr>
          <w:t>A</w:t>
        </w:r>
        <w:r>
          <w:rPr>
            <w:noProof/>
            <w:sz w:val="18"/>
            <w:szCs w:val="18"/>
          </w:rPr>
          <w:t>ssociation</w:t>
        </w:r>
        <w:r w:rsidRPr="00E24027">
          <w:rPr>
            <w:noProof/>
            <w:sz w:val="18"/>
            <w:szCs w:val="18"/>
          </w:rPr>
          <w:t xml:space="preserve"> 2011</w:t>
        </w:r>
        <w:r w:rsidR="0041046E" w:rsidRPr="00E24027">
          <w:rPr>
            <w:sz w:val="18"/>
            <w:szCs w:val="18"/>
          </w:rPr>
          <w:fldChar w:fldCharType="end"/>
        </w:r>
      </w:hyperlink>
      <w:hyperlink w:anchor="_ENREF_5" w:tooltip="Personal Communication with CRA, 2011 #99" w:history="1"/>
      <w:r w:rsidRPr="00E24027">
        <w:rPr>
          <w:sz w:val="18"/>
          <w:szCs w:val="18"/>
        </w:rPr>
        <w:t>).</w:t>
      </w:r>
    </w:p>
  </w:footnote>
  <w:footnote w:id="27">
    <w:p w:rsidR="00BD1E2A" w:rsidRPr="00E24027" w:rsidRDefault="00BD1E2A" w:rsidP="00A83DDA">
      <w:pPr>
        <w:pStyle w:val="FootnoteText"/>
        <w:rPr>
          <w:sz w:val="18"/>
          <w:szCs w:val="18"/>
        </w:rPr>
      </w:pPr>
      <w:r w:rsidRPr="00E24027">
        <w:rPr>
          <w:rStyle w:val="FootnoteReference"/>
          <w:sz w:val="18"/>
          <w:szCs w:val="18"/>
          <w:vertAlign w:val="superscript"/>
        </w:rPr>
        <w:footnoteRef/>
      </w:r>
      <w:r w:rsidRPr="00E24027">
        <w:rPr>
          <w:sz w:val="18"/>
          <w:szCs w:val="18"/>
        </w:rPr>
        <w:t xml:space="preserve"> The total number of responses is calculated by taking the sum of the products of the number of respondents and the number of responses presented in </w:t>
      </w:r>
      <w:fldSimple w:instr=" REF _Ref305506961 \h  \* MERGEFORMAT ">
        <w:r w:rsidRPr="0036394F">
          <w:rPr>
            <w:sz w:val="18"/>
            <w:szCs w:val="18"/>
          </w:rPr>
          <w:t>Exhibit 6-32</w:t>
        </w:r>
      </w:fldSimple>
      <w:r w:rsidRPr="00E24027">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9E" w:rsidRDefault="00476D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2A" w:rsidRDefault="00BD1E2A">
    <w:pPr>
      <w:pStyle w:val="Header"/>
      <w:spacing w:line="240" w:lineRule="exact"/>
    </w:pPr>
  </w:p>
  <w:p w:rsidR="00BD1E2A" w:rsidRDefault="00BD1E2A" w:rsidP="006565F1">
    <w:pPr>
      <w:ind w:firstLine="7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D9E" w:rsidRDefault="00476D9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2A" w:rsidRDefault="00BD1E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DFBF16"/>
    <w:multiLevelType w:val="hybridMultilevel"/>
    <w:tmpl w:val="EFB80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9AAC269E"/>
    <w:lvl w:ilvl="0">
      <w:start w:val="1"/>
      <w:numFmt w:val="decimal"/>
      <w:lvlText w:val="%1."/>
      <w:lvlJc w:val="left"/>
      <w:pPr>
        <w:tabs>
          <w:tab w:val="num" w:pos="1800"/>
        </w:tabs>
        <w:ind w:left="1800" w:hanging="360"/>
      </w:pPr>
    </w:lvl>
  </w:abstractNum>
  <w:abstractNum w:abstractNumId="2">
    <w:nsid w:val="FFFFFF7D"/>
    <w:multiLevelType w:val="singleLevel"/>
    <w:tmpl w:val="8B5E22F0"/>
    <w:lvl w:ilvl="0">
      <w:start w:val="1"/>
      <w:numFmt w:val="decimal"/>
      <w:lvlText w:val="%1."/>
      <w:lvlJc w:val="left"/>
      <w:pPr>
        <w:tabs>
          <w:tab w:val="num" w:pos="1440"/>
        </w:tabs>
        <w:ind w:left="1440" w:hanging="360"/>
      </w:pPr>
    </w:lvl>
  </w:abstractNum>
  <w:abstractNum w:abstractNumId="3">
    <w:nsid w:val="FFFFFF7E"/>
    <w:multiLevelType w:val="singleLevel"/>
    <w:tmpl w:val="9E98CF36"/>
    <w:lvl w:ilvl="0">
      <w:start w:val="1"/>
      <w:numFmt w:val="decimal"/>
      <w:lvlText w:val="%1."/>
      <w:lvlJc w:val="left"/>
      <w:pPr>
        <w:tabs>
          <w:tab w:val="num" w:pos="1080"/>
        </w:tabs>
        <w:ind w:left="1080" w:hanging="360"/>
      </w:pPr>
    </w:lvl>
  </w:abstractNum>
  <w:abstractNum w:abstractNumId="4">
    <w:nsid w:val="FFFFFF7F"/>
    <w:multiLevelType w:val="singleLevel"/>
    <w:tmpl w:val="770A3E12"/>
    <w:lvl w:ilvl="0">
      <w:start w:val="1"/>
      <w:numFmt w:val="decimal"/>
      <w:lvlText w:val="%1."/>
      <w:lvlJc w:val="left"/>
      <w:pPr>
        <w:tabs>
          <w:tab w:val="num" w:pos="720"/>
        </w:tabs>
        <w:ind w:left="720" w:hanging="360"/>
      </w:pPr>
    </w:lvl>
  </w:abstractNum>
  <w:abstractNum w:abstractNumId="5">
    <w:nsid w:val="FFFFFF80"/>
    <w:multiLevelType w:val="singleLevel"/>
    <w:tmpl w:val="9AECDE6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4202EE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CC2BF1E"/>
    <w:lvl w:ilvl="0">
      <w:start w:val="1"/>
      <w:numFmt w:val="bullet"/>
      <w:lvlText w:val=""/>
      <w:lvlJc w:val="left"/>
      <w:pPr>
        <w:tabs>
          <w:tab w:val="num" w:pos="1080"/>
        </w:tabs>
        <w:ind w:left="1080" w:hanging="360"/>
      </w:pPr>
      <w:rPr>
        <w:rFonts w:ascii="Symbol" w:hAnsi="Symbol" w:hint="default"/>
      </w:rPr>
    </w:lvl>
  </w:abstractNum>
  <w:abstractNum w:abstractNumId="8">
    <w:nsid w:val="FFFFFF88"/>
    <w:multiLevelType w:val="singleLevel"/>
    <w:tmpl w:val="65EA635E"/>
    <w:lvl w:ilvl="0">
      <w:start w:val="1"/>
      <w:numFmt w:val="decimal"/>
      <w:lvlText w:val="%1."/>
      <w:lvlJc w:val="left"/>
      <w:pPr>
        <w:tabs>
          <w:tab w:val="num" w:pos="360"/>
        </w:tabs>
        <w:ind w:left="360" w:hanging="360"/>
      </w:pPr>
    </w:lvl>
  </w:abstractNum>
  <w:abstractNum w:abstractNumId="9">
    <w:nsid w:val="FFFFFF89"/>
    <w:multiLevelType w:val="singleLevel"/>
    <w:tmpl w:val="4C18A0D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C1A13B4"/>
    <w:lvl w:ilvl="0">
      <w:start w:val="1"/>
      <w:numFmt w:val="decimal"/>
      <w:pStyle w:val="Level1"/>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nsid w:val="00380ECD"/>
    <w:multiLevelType w:val="hybridMultilevel"/>
    <w:tmpl w:val="1054A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5C58AF"/>
    <w:multiLevelType w:val="hybridMultilevel"/>
    <w:tmpl w:val="F2AC4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27D33A2"/>
    <w:multiLevelType w:val="hybridMultilevel"/>
    <w:tmpl w:val="028E7D10"/>
    <w:lvl w:ilvl="0" w:tplc="424CC632">
      <w:start w:val="1"/>
      <w:numFmt w:val="bullet"/>
      <w:lvlText w:val=""/>
      <w:lvlJc w:val="left"/>
      <w:pPr>
        <w:ind w:left="720" w:hanging="360"/>
      </w:pPr>
      <w:rPr>
        <w:rFonts w:ascii="Symbol" w:hAnsi="Symbol" w:hint="default"/>
      </w:rPr>
    </w:lvl>
    <w:lvl w:ilvl="1" w:tplc="0DF27110" w:tentative="1">
      <w:start w:val="1"/>
      <w:numFmt w:val="bullet"/>
      <w:lvlText w:val="o"/>
      <w:lvlJc w:val="left"/>
      <w:pPr>
        <w:ind w:left="1440" w:hanging="360"/>
      </w:pPr>
      <w:rPr>
        <w:rFonts w:ascii="Courier New" w:hAnsi="Courier New" w:cs="Courier New" w:hint="default"/>
      </w:rPr>
    </w:lvl>
    <w:lvl w:ilvl="2" w:tplc="CB52C3E8" w:tentative="1">
      <w:start w:val="1"/>
      <w:numFmt w:val="bullet"/>
      <w:lvlText w:val=""/>
      <w:lvlJc w:val="left"/>
      <w:pPr>
        <w:ind w:left="2160" w:hanging="360"/>
      </w:pPr>
      <w:rPr>
        <w:rFonts w:ascii="Wingdings" w:hAnsi="Wingdings" w:hint="default"/>
      </w:rPr>
    </w:lvl>
    <w:lvl w:ilvl="3" w:tplc="54BC0226" w:tentative="1">
      <w:start w:val="1"/>
      <w:numFmt w:val="bullet"/>
      <w:lvlText w:val=""/>
      <w:lvlJc w:val="left"/>
      <w:pPr>
        <w:ind w:left="2880" w:hanging="360"/>
      </w:pPr>
      <w:rPr>
        <w:rFonts w:ascii="Symbol" w:hAnsi="Symbol" w:hint="default"/>
      </w:rPr>
    </w:lvl>
    <w:lvl w:ilvl="4" w:tplc="EB1C38DE" w:tentative="1">
      <w:start w:val="1"/>
      <w:numFmt w:val="bullet"/>
      <w:lvlText w:val="o"/>
      <w:lvlJc w:val="left"/>
      <w:pPr>
        <w:ind w:left="3600" w:hanging="360"/>
      </w:pPr>
      <w:rPr>
        <w:rFonts w:ascii="Courier New" w:hAnsi="Courier New" w:cs="Courier New" w:hint="default"/>
      </w:rPr>
    </w:lvl>
    <w:lvl w:ilvl="5" w:tplc="EE164A48" w:tentative="1">
      <w:start w:val="1"/>
      <w:numFmt w:val="bullet"/>
      <w:lvlText w:val=""/>
      <w:lvlJc w:val="left"/>
      <w:pPr>
        <w:ind w:left="4320" w:hanging="360"/>
      </w:pPr>
      <w:rPr>
        <w:rFonts w:ascii="Wingdings" w:hAnsi="Wingdings" w:hint="default"/>
      </w:rPr>
    </w:lvl>
    <w:lvl w:ilvl="6" w:tplc="1C4862DE" w:tentative="1">
      <w:start w:val="1"/>
      <w:numFmt w:val="bullet"/>
      <w:lvlText w:val=""/>
      <w:lvlJc w:val="left"/>
      <w:pPr>
        <w:ind w:left="5040" w:hanging="360"/>
      </w:pPr>
      <w:rPr>
        <w:rFonts w:ascii="Symbol" w:hAnsi="Symbol" w:hint="default"/>
      </w:rPr>
    </w:lvl>
    <w:lvl w:ilvl="7" w:tplc="34C01E0C" w:tentative="1">
      <w:start w:val="1"/>
      <w:numFmt w:val="bullet"/>
      <w:lvlText w:val="o"/>
      <w:lvlJc w:val="left"/>
      <w:pPr>
        <w:ind w:left="5760" w:hanging="360"/>
      </w:pPr>
      <w:rPr>
        <w:rFonts w:ascii="Courier New" w:hAnsi="Courier New" w:cs="Courier New" w:hint="default"/>
      </w:rPr>
    </w:lvl>
    <w:lvl w:ilvl="8" w:tplc="FE76B870" w:tentative="1">
      <w:start w:val="1"/>
      <w:numFmt w:val="bullet"/>
      <w:lvlText w:val=""/>
      <w:lvlJc w:val="left"/>
      <w:pPr>
        <w:ind w:left="6480" w:hanging="360"/>
      </w:pPr>
      <w:rPr>
        <w:rFonts w:ascii="Wingdings" w:hAnsi="Wingdings" w:hint="default"/>
      </w:rPr>
    </w:lvl>
  </w:abstractNum>
  <w:abstractNum w:abstractNumId="14">
    <w:nsid w:val="04DC1C2B"/>
    <w:multiLevelType w:val="hybridMultilevel"/>
    <w:tmpl w:val="AA562B82"/>
    <w:lvl w:ilvl="0" w:tplc="64FEF17A">
      <w:start w:val="1"/>
      <w:numFmt w:val="bullet"/>
      <w:lvlText w:val=""/>
      <w:lvlJc w:val="left"/>
      <w:pPr>
        <w:ind w:left="1440" w:hanging="360"/>
      </w:pPr>
      <w:rPr>
        <w:rFonts w:ascii="Symbol" w:hAnsi="Symbol" w:hint="default"/>
      </w:rPr>
    </w:lvl>
    <w:lvl w:ilvl="1" w:tplc="9AA2A9FA">
      <w:start w:val="1"/>
      <w:numFmt w:val="bullet"/>
      <w:lvlText w:val="o"/>
      <w:lvlJc w:val="left"/>
      <w:pPr>
        <w:ind w:left="2160" w:hanging="360"/>
      </w:pPr>
      <w:rPr>
        <w:rFonts w:ascii="Courier New" w:hAnsi="Courier New" w:cs="Courier New" w:hint="default"/>
      </w:rPr>
    </w:lvl>
    <w:lvl w:ilvl="2" w:tplc="6D409944">
      <w:start w:val="1"/>
      <w:numFmt w:val="bullet"/>
      <w:lvlText w:val=""/>
      <w:lvlJc w:val="left"/>
      <w:pPr>
        <w:ind w:left="2880" w:hanging="360"/>
      </w:pPr>
      <w:rPr>
        <w:rFonts w:ascii="Wingdings" w:hAnsi="Wingdings" w:hint="default"/>
      </w:rPr>
    </w:lvl>
    <w:lvl w:ilvl="3" w:tplc="586A5AE0" w:tentative="1">
      <w:start w:val="1"/>
      <w:numFmt w:val="bullet"/>
      <w:lvlText w:val=""/>
      <w:lvlJc w:val="left"/>
      <w:pPr>
        <w:ind w:left="3600" w:hanging="360"/>
      </w:pPr>
      <w:rPr>
        <w:rFonts w:ascii="Symbol" w:hAnsi="Symbol" w:hint="default"/>
      </w:rPr>
    </w:lvl>
    <w:lvl w:ilvl="4" w:tplc="95C2C2F4" w:tentative="1">
      <w:start w:val="1"/>
      <w:numFmt w:val="bullet"/>
      <w:lvlText w:val="o"/>
      <w:lvlJc w:val="left"/>
      <w:pPr>
        <w:ind w:left="4320" w:hanging="360"/>
      </w:pPr>
      <w:rPr>
        <w:rFonts w:ascii="Courier New" w:hAnsi="Courier New" w:cs="Courier New" w:hint="default"/>
      </w:rPr>
    </w:lvl>
    <w:lvl w:ilvl="5" w:tplc="BD5642BC" w:tentative="1">
      <w:start w:val="1"/>
      <w:numFmt w:val="bullet"/>
      <w:lvlText w:val=""/>
      <w:lvlJc w:val="left"/>
      <w:pPr>
        <w:ind w:left="5040" w:hanging="360"/>
      </w:pPr>
      <w:rPr>
        <w:rFonts w:ascii="Wingdings" w:hAnsi="Wingdings" w:hint="default"/>
      </w:rPr>
    </w:lvl>
    <w:lvl w:ilvl="6" w:tplc="7D1AC74A" w:tentative="1">
      <w:start w:val="1"/>
      <w:numFmt w:val="bullet"/>
      <w:lvlText w:val=""/>
      <w:lvlJc w:val="left"/>
      <w:pPr>
        <w:ind w:left="5760" w:hanging="360"/>
      </w:pPr>
      <w:rPr>
        <w:rFonts w:ascii="Symbol" w:hAnsi="Symbol" w:hint="default"/>
      </w:rPr>
    </w:lvl>
    <w:lvl w:ilvl="7" w:tplc="1BF00CE6" w:tentative="1">
      <w:start w:val="1"/>
      <w:numFmt w:val="bullet"/>
      <w:lvlText w:val="o"/>
      <w:lvlJc w:val="left"/>
      <w:pPr>
        <w:ind w:left="6480" w:hanging="360"/>
      </w:pPr>
      <w:rPr>
        <w:rFonts w:ascii="Courier New" w:hAnsi="Courier New" w:cs="Courier New" w:hint="default"/>
      </w:rPr>
    </w:lvl>
    <w:lvl w:ilvl="8" w:tplc="341A34A2" w:tentative="1">
      <w:start w:val="1"/>
      <w:numFmt w:val="bullet"/>
      <w:lvlText w:val=""/>
      <w:lvlJc w:val="left"/>
      <w:pPr>
        <w:ind w:left="7200" w:hanging="360"/>
      </w:pPr>
      <w:rPr>
        <w:rFonts w:ascii="Wingdings" w:hAnsi="Wingdings" w:hint="default"/>
      </w:rPr>
    </w:lvl>
  </w:abstractNum>
  <w:abstractNum w:abstractNumId="15">
    <w:nsid w:val="05A1231B"/>
    <w:multiLevelType w:val="hybridMultilevel"/>
    <w:tmpl w:val="F3D60D76"/>
    <w:lvl w:ilvl="0" w:tplc="444C761C">
      <w:start w:val="1"/>
      <w:numFmt w:val="bullet"/>
      <w:lvlText w:val=""/>
      <w:lvlJc w:val="left"/>
      <w:pPr>
        <w:tabs>
          <w:tab w:val="num" w:pos="720"/>
        </w:tabs>
        <w:ind w:left="720" w:hanging="360"/>
      </w:pPr>
      <w:rPr>
        <w:rFonts w:ascii="Symbol" w:hAnsi="Symbol" w:hint="default"/>
      </w:rPr>
    </w:lvl>
    <w:lvl w:ilvl="1" w:tplc="9118F354" w:tentative="1">
      <w:start w:val="1"/>
      <w:numFmt w:val="bullet"/>
      <w:lvlText w:val="o"/>
      <w:lvlJc w:val="left"/>
      <w:pPr>
        <w:tabs>
          <w:tab w:val="num" w:pos="1440"/>
        </w:tabs>
        <w:ind w:left="1440" w:hanging="360"/>
      </w:pPr>
      <w:rPr>
        <w:rFonts w:ascii="Courier New" w:hAnsi="Courier New" w:cs="Courier New" w:hint="default"/>
      </w:rPr>
    </w:lvl>
    <w:lvl w:ilvl="2" w:tplc="8242A66E" w:tentative="1">
      <w:start w:val="1"/>
      <w:numFmt w:val="bullet"/>
      <w:lvlText w:val=""/>
      <w:lvlJc w:val="left"/>
      <w:pPr>
        <w:tabs>
          <w:tab w:val="num" w:pos="2160"/>
        </w:tabs>
        <w:ind w:left="2160" w:hanging="360"/>
      </w:pPr>
      <w:rPr>
        <w:rFonts w:ascii="Wingdings" w:hAnsi="Wingdings" w:hint="default"/>
      </w:rPr>
    </w:lvl>
    <w:lvl w:ilvl="3" w:tplc="66E0023C" w:tentative="1">
      <w:start w:val="1"/>
      <w:numFmt w:val="bullet"/>
      <w:lvlText w:val=""/>
      <w:lvlJc w:val="left"/>
      <w:pPr>
        <w:tabs>
          <w:tab w:val="num" w:pos="2880"/>
        </w:tabs>
        <w:ind w:left="2880" w:hanging="360"/>
      </w:pPr>
      <w:rPr>
        <w:rFonts w:ascii="Symbol" w:hAnsi="Symbol" w:hint="default"/>
      </w:rPr>
    </w:lvl>
    <w:lvl w:ilvl="4" w:tplc="F8104634" w:tentative="1">
      <w:start w:val="1"/>
      <w:numFmt w:val="bullet"/>
      <w:lvlText w:val="o"/>
      <w:lvlJc w:val="left"/>
      <w:pPr>
        <w:tabs>
          <w:tab w:val="num" w:pos="3600"/>
        </w:tabs>
        <w:ind w:left="3600" w:hanging="360"/>
      </w:pPr>
      <w:rPr>
        <w:rFonts w:ascii="Courier New" w:hAnsi="Courier New" w:cs="Courier New" w:hint="default"/>
      </w:rPr>
    </w:lvl>
    <w:lvl w:ilvl="5" w:tplc="C94A9450" w:tentative="1">
      <w:start w:val="1"/>
      <w:numFmt w:val="bullet"/>
      <w:lvlText w:val=""/>
      <w:lvlJc w:val="left"/>
      <w:pPr>
        <w:tabs>
          <w:tab w:val="num" w:pos="4320"/>
        </w:tabs>
        <w:ind w:left="4320" w:hanging="360"/>
      </w:pPr>
      <w:rPr>
        <w:rFonts w:ascii="Wingdings" w:hAnsi="Wingdings" w:hint="default"/>
      </w:rPr>
    </w:lvl>
    <w:lvl w:ilvl="6" w:tplc="35D47F76" w:tentative="1">
      <w:start w:val="1"/>
      <w:numFmt w:val="bullet"/>
      <w:lvlText w:val=""/>
      <w:lvlJc w:val="left"/>
      <w:pPr>
        <w:tabs>
          <w:tab w:val="num" w:pos="5040"/>
        </w:tabs>
        <w:ind w:left="5040" w:hanging="360"/>
      </w:pPr>
      <w:rPr>
        <w:rFonts w:ascii="Symbol" w:hAnsi="Symbol" w:hint="default"/>
      </w:rPr>
    </w:lvl>
    <w:lvl w:ilvl="7" w:tplc="728E4862" w:tentative="1">
      <w:start w:val="1"/>
      <w:numFmt w:val="bullet"/>
      <w:lvlText w:val="o"/>
      <w:lvlJc w:val="left"/>
      <w:pPr>
        <w:tabs>
          <w:tab w:val="num" w:pos="5760"/>
        </w:tabs>
        <w:ind w:left="5760" w:hanging="360"/>
      </w:pPr>
      <w:rPr>
        <w:rFonts w:ascii="Courier New" w:hAnsi="Courier New" w:cs="Courier New" w:hint="default"/>
      </w:rPr>
    </w:lvl>
    <w:lvl w:ilvl="8" w:tplc="555072BE" w:tentative="1">
      <w:start w:val="1"/>
      <w:numFmt w:val="bullet"/>
      <w:lvlText w:val=""/>
      <w:lvlJc w:val="left"/>
      <w:pPr>
        <w:tabs>
          <w:tab w:val="num" w:pos="6480"/>
        </w:tabs>
        <w:ind w:left="6480" w:hanging="360"/>
      </w:pPr>
      <w:rPr>
        <w:rFonts w:ascii="Wingdings" w:hAnsi="Wingdings" w:hint="default"/>
      </w:rPr>
    </w:lvl>
  </w:abstractNum>
  <w:abstractNum w:abstractNumId="16">
    <w:nsid w:val="062F5CBE"/>
    <w:multiLevelType w:val="hybridMultilevel"/>
    <w:tmpl w:val="5EF68124"/>
    <w:lvl w:ilvl="0" w:tplc="6EC629CA">
      <w:start w:val="1"/>
      <w:numFmt w:val="bullet"/>
      <w:lvlText w:val=""/>
      <w:lvlJc w:val="left"/>
      <w:pPr>
        <w:ind w:left="720" w:hanging="360"/>
      </w:pPr>
      <w:rPr>
        <w:rFonts w:ascii="Symbol" w:hAnsi="Symbol" w:hint="default"/>
      </w:rPr>
    </w:lvl>
    <w:lvl w:ilvl="1" w:tplc="A656E40A" w:tentative="1">
      <w:start w:val="1"/>
      <w:numFmt w:val="bullet"/>
      <w:lvlText w:val="o"/>
      <w:lvlJc w:val="left"/>
      <w:pPr>
        <w:ind w:left="1440" w:hanging="360"/>
      </w:pPr>
      <w:rPr>
        <w:rFonts w:ascii="Courier New" w:hAnsi="Courier New" w:cs="Courier New" w:hint="default"/>
      </w:rPr>
    </w:lvl>
    <w:lvl w:ilvl="2" w:tplc="D15A00E2" w:tentative="1">
      <w:start w:val="1"/>
      <w:numFmt w:val="bullet"/>
      <w:lvlText w:val=""/>
      <w:lvlJc w:val="left"/>
      <w:pPr>
        <w:ind w:left="2160" w:hanging="360"/>
      </w:pPr>
      <w:rPr>
        <w:rFonts w:ascii="Wingdings" w:hAnsi="Wingdings" w:hint="default"/>
      </w:rPr>
    </w:lvl>
    <w:lvl w:ilvl="3" w:tplc="25DA8D84" w:tentative="1">
      <w:start w:val="1"/>
      <w:numFmt w:val="bullet"/>
      <w:lvlText w:val=""/>
      <w:lvlJc w:val="left"/>
      <w:pPr>
        <w:ind w:left="2880" w:hanging="360"/>
      </w:pPr>
      <w:rPr>
        <w:rFonts w:ascii="Symbol" w:hAnsi="Symbol" w:hint="default"/>
      </w:rPr>
    </w:lvl>
    <w:lvl w:ilvl="4" w:tplc="A116707A" w:tentative="1">
      <w:start w:val="1"/>
      <w:numFmt w:val="bullet"/>
      <w:lvlText w:val="o"/>
      <w:lvlJc w:val="left"/>
      <w:pPr>
        <w:ind w:left="3600" w:hanging="360"/>
      </w:pPr>
      <w:rPr>
        <w:rFonts w:ascii="Courier New" w:hAnsi="Courier New" w:cs="Courier New" w:hint="default"/>
      </w:rPr>
    </w:lvl>
    <w:lvl w:ilvl="5" w:tplc="7E4A6528" w:tentative="1">
      <w:start w:val="1"/>
      <w:numFmt w:val="bullet"/>
      <w:lvlText w:val=""/>
      <w:lvlJc w:val="left"/>
      <w:pPr>
        <w:ind w:left="4320" w:hanging="360"/>
      </w:pPr>
      <w:rPr>
        <w:rFonts w:ascii="Wingdings" w:hAnsi="Wingdings" w:hint="default"/>
      </w:rPr>
    </w:lvl>
    <w:lvl w:ilvl="6" w:tplc="1896A7B8" w:tentative="1">
      <w:start w:val="1"/>
      <w:numFmt w:val="bullet"/>
      <w:lvlText w:val=""/>
      <w:lvlJc w:val="left"/>
      <w:pPr>
        <w:ind w:left="5040" w:hanging="360"/>
      </w:pPr>
      <w:rPr>
        <w:rFonts w:ascii="Symbol" w:hAnsi="Symbol" w:hint="default"/>
      </w:rPr>
    </w:lvl>
    <w:lvl w:ilvl="7" w:tplc="AD94A834" w:tentative="1">
      <w:start w:val="1"/>
      <w:numFmt w:val="bullet"/>
      <w:lvlText w:val="o"/>
      <w:lvlJc w:val="left"/>
      <w:pPr>
        <w:ind w:left="5760" w:hanging="360"/>
      </w:pPr>
      <w:rPr>
        <w:rFonts w:ascii="Courier New" w:hAnsi="Courier New" w:cs="Courier New" w:hint="default"/>
      </w:rPr>
    </w:lvl>
    <w:lvl w:ilvl="8" w:tplc="44E449EA" w:tentative="1">
      <w:start w:val="1"/>
      <w:numFmt w:val="bullet"/>
      <w:lvlText w:val=""/>
      <w:lvlJc w:val="left"/>
      <w:pPr>
        <w:ind w:left="6480" w:hanging="360"/>
      </w:pPr>
      <w:rPr>
        <w:rFonts w:ascii="Wingdings" w:hAnsi="Wingdings" w:hint="default"/>
      </w:rPr>
    </w:lvl>
  </w:abstractNum>
  <w:abstractNum w:abstractNumId="17">
    <w:nsid w:val="079D432A"/>
    <w:multiLevelType w:val="hybridMultilevel"/>
    <w:tmpl w:val="3C82BC18"/>
    <w:lvl w:ilvl="0" w:tplc="28DCE5FA">
      <w:start w:val="1"/>
      <w:numFmt w:val="lowerLetter"/>
      <w:lvlText w:val="%1."/>
      <w:lvlJc w:val="left"/>
      <w:pPr>
        <w:ind w:left="369" w:hanging="360"/>
      </w:pPr>
      <w:rPr>
        <w:rFonts w:hint="default"/>
      </w:rPr>
    </w:lvl>
    <w:lvl w:ilvl="1" w:tplc="3BA69FE2" w:tentative="1">
      <w:start w:val="1"/>
      <w:numFmt w:val="lowerLetter"/>
      <w:lvlText w:val="%2."/>
      <w:lvlJc w:val="left"/>
      <w:pPr>
        <w:ind w:left="1089" w:hanging="360"/>
      </w:pPr>
    </w:lvl>
    <w:lvl w:ilvl="2" w:tplc="1A7C4C94" w:tentative="1">
      <w:start w:val="1"/>
      <w:numFmt w:val="lowerRoman"/>
      <w:lvlText w:val="%3."/>
      <w:lvlJc w:val="right"/>
      <w:pPr>
        <w:ind w:left="1809" w:hanging="180"/>
      </w:pPr>
    </w:lvl>
    <w:lvl w:ilvl="3" w:tplc="55B6B0E8" w:tentative="1">
      <w:start w:val="1"/>
      <w:numFmt w:val="decimal"/>
      <w:lvlText w:val="%4."/>
      <w:lvlJc w:val="left"/>
      <w:pPr>
        <w:ind w:left="2529" w:hanging="360"/>
      </w:pPr>
    </w:lvl>
    <w:lvl w:ilvl="4" w:tplc="53622A8C" w:tentative="1">
      <w:start w:val="1"/>
      <w:numFmt w:val="lowerLetter"/>
      <w:lvlText w:val="%5."/>
      <w:lvlJc w:val="left"/>
      <w:pPr>
        <w:ind w:left="3249" w:hanging="360"/>
      </w:pPr>
    </w:lvl>
    <w:lvl w:ilvl="5" w:tplc="817E2D2C" w:tentative="1">
      <w:start w:val="1"/>
      <w:numFmt w:val="lowerRoman"/>
      <w:lvlText w:val="%6."/>
      <w:lvlJc w:val="right"/>
      <w:pPr>
        <w:ind w:left="3969" w:hanging="180"/>
      </w:pPr>
    </w:lvl>
    <w:lvl w:ilvl="6" w:tplc="437A1E72" w:tentative="1">
      <w:start w:val="1"/>
      <w:numFmt w:val="decimal"/>
      <w:lvlText w:val="%7."/>
      <w:lvlJc w:val="left"/>
      <w:pPr>
        <w:ind w:left="4689" w:hanging="360"/>
      </w:pPr>
    </w:lvl>
    <w:lvl w:ilvl="7" w:tplc="710C3A12" w:tentative="1">
      <w:start w:val="1"/>
      <w:numFmt w:val="lowerLetter"/>
      <w:lvlText w:val="%8."/>
      <w:lvlJc w:val="left"/>
      <w:pPr>
        <w:ind w:left="5409" w:hanging="360"/>
      </w:pPr>
    </w:lvl>
    <w:lvl w:ilvl="8" w:tplc="330E10E6" w:tentative="1">
      <w:start w:val="1"/>
      <w:numFmt w:val="lowerRoman"/>
      <w:lvlText w:val="%9."/>
      <w:lvlJc w:val="right"/>
      <w:pPr>
        <w:ind w:left="6129" w:hanging="180"/>
      </w:pPr>
    </w:lvl>
  </w:abstractNum>
  <w:abstractNum w:abstractNumId="18">
    <w:nsid w:val="0835071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9">
    <w:nsid w:val="095F3CA6"/>
    <w:multiLevelType w:val="hybridMultilevel"/>
    <w:tmpl w:val="62EAFF8A"/>
    <w:lvl w:ilvl="0" w:tplc="3E64FBA2">
      <w:start w:val="1"/>
      <w:numFmt w:val="decimal"/>
      <w:lvlText w:val="%1."/>
      <w:lvlJc w:val="left"/>
      <w:pPr>
        <w:ind w:left="720" w:hanging="360"/>
      </w:pPr>
      <w:rPr>
        <w:rFonts w:hint="default"/>
      </w:rPr>
    </w:lvl>
    <w:lvl w:ilvl="1" w:tplc="17CAE8B8" w:tentative="1">
      <w:start w:val="1"/>
      <w:numFmt w:val="lowerLetter"/>
      <w:lvlText w:val="%2."/>
      <w:lvlJc w:val="left"/>
      <w:pPr>
        <w:ind w:left="1440" w:hanging="360"/>
      </w:pPr>
    </w:lvl>
    <w:lvl w:ilvl="2" w:tplc="956CCC1C" w:tentative="1">
      <w:start w:val="1"/>
      <w:numFmt w:val="lowerRoman"/>
      <w:lvlText w:val="%3."/>
      <w:lvlJc w:val="right"/>
      <w:pPr>
        <w:ind w:left="2160" w:hanging="180"/>
      </w:pPr>
    </w:lvl>
    <w:lvl w:ilvl="3" w:tplc="07E40204" w:tentative="1">
      <w:start w:val="1"/>
      <w:numFmt w:val="decimal"/>
      <w:lvlText w:val="%4."/>
      <w:lvlJc w:val="left"/>
      <w:pPr>
        <w:ind w:left="2880" w:hanging="360"/>
      </w:pPr>
    </w:lvl>
    <w:lvl w:ilvl="4" w:tplc="A81479C6" w:tentative="1">
      <w:start w:val="1"/>
      <w:numFmt w:val="lowerLetter"/>
      <w:lvlText w:val="%5."/>
      <w:lvlJc w:val="left"/>
      <w:pPr>
        <w:ind w:left="3600" w:hanging="360"/>
      </w:pPr>
    </w:lvl>
    <w:lvl w:ilvl="5" w:tplc="0A12935C" w:tentative="1">
      <w:start w:val="1"/>
      <w:numFmt w:val="lowerRoman"/>
      <w:lvlText w:val="%6."/>
      <w:lvlJc w:val="right"/>
      <w:pPr>
        <w:ind w:left="4320" w:hanging="180"/>
      </w:pPr>
    </w:lvl>
    <w:lvl w:ilvl="6" w:tplc="B26A0182" w:tentative="1">
      <w:start w:val="1"/>
      <w:numFmt w:val="decimal"/>
      <w:lvlText w:val="%7."/>
      <w:lvlJc w:val="left"/>
      <w:pPr>
        <w:ind w:left="5040" w:hanging="360"/>
      </w:pPr>
    </w:lvl>
    <w:lvl w:ilvl="7" w:tplc="1842E742" w:tentative="1">
      <w:start w:val="1"/>
      <w:numFmt w:val="lowerLetter"/>
      <w:lvlText w:val="%8."/>
      <w:lvlJc w:val="left"/>
      <w:pPr>
        <w:ind w:left="5760" w:hanging="360"/>
      </w:pPr>
    </w:lvl>
    <w:lvl w:ilvl="8" w:tplc="703299F2" w:tentative="1">
      <w:start w:val="1"/>
      <w:numFmt w:val="lowerRoman"/>
      <w:lvlText w:val="%9."/>
      <w:lvlJc w:val="right"/>
      <w:pPr>
        <w:ind w:left="6480" w:hanging="180"/>
      </w:pPr>
    </w:lvl>
  </w:abstractNum>
  <w:abstractNum w:abstractNumId="20">
    <w:nsid w:val="0B2D7895"/>
    <w:multiLevelType w:val="hybridMultilevel"/>
    <w:tmpl w:val="FE7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B43498"/>
    <w:multiLevelType w:val="hybridMultilevel"/>
    <w:tmpl w:val="CF1ACCCA"/>
    <w:lvl w:ilvl="0" w:tplc="04090001">
      <w:start w:val="1"/>
      <w:numFmt w:val="lowerLetter"/>
      <w:lvlText w:val="%1."/>
      <w:lvlJc w:val="left"/>
      <w:pPr>
        <w:ind w:left="720" w:hanging="360"/>
      </w:pPr>
      <w:rPr>
        <w:rFonts w:ascii="Times New Roman" w:hAnsi="Times New Roman" w:cs="Times New Roman"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0DFE7A44"/>
    <w:multiLevelType w:val="hybridMultilevel"/>
    <w:tmpl w:val="B832FDCE"/>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nsid w:val="0EED4A56"/>
    <w:multiLevelType w:val="hybridMultilevel"/>
    <w:tmpl w:val="F510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B1163C"/>
    <w:multiLevelType w:val="hybridMultilevel"/>
    <w:tmpl w:val="5516802A"/>
    <w:lvl w:ilvl="0" w:tplc="EA6A6E1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147340CA"/>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6">
    <w:nsid w:val="17763E67"/>
    <w:multiLevelType w:val="hybridMultilevel"/>
    <w:tmpl w:val="54F6F188"/>
    <w:lvl w:ilvl="0" w:tplc="9E4E8310">
      <w:start w:val="1"/>
      <w:numFmt w:val="bullet"/>
      <w:lvlText w:val=""/>
      <w:lvlJc w:val="left"/>
      <w:pPr>
        <w:tabs>
          <w:tab w:val="num" w:pos="432"/>
        </w:tabs>
        <w:ind w:left="72" w:firstLine="0"/>
      </w:pPr>
      <w:rPr>
        <w:rFonts w:ascii="Symbol" w:hAnsi="Symbol" w:hint="default"/>
        <w:sz w:val="20"/>
      </w:rPr>
    </w:lvl>
    <w:lvl w:ilvl="1" w:tplc="901ACA14">
      <w:start w:val="1"/>
      <w:numFmt w:val="bullet"/>
      <w:lvlText w:val="o"/>
      <w:lvlJc w:val="left"/>
      <w:pPr>
        <w:tabs>
          <w:tab w:val="num" w:pos="1440"/>
        </w:tabs>
        <w:ind w:left="1440" w:hanging="360"/>
      </w:pPr>
      <w:rPr>
        <w:rFonts w:ascii="Courier New" w:hAnsi="Courier New" w:hint="default"/>
      </w:rPr>
    </w:lvl>
    <w:lvl w:ilvl="2" w:tplc="D5D27252" w:tentative="1">
      <w:start w:val="1"/>
      <w:numFmt w:val="bullet"/>
      <w:lvlText w:val=""/>
      <w:lvlJc w:val="left"/>
      <w:pPr>
        <w:tabs>
          <w:tab w:val="num" w:pos="2160"/>
        </w:tabs>
        <w:ind w:left="2160" w:hanging="360"/>
      </w:pPr>
      <w:rPr>
        <w:rFonts w:ascii="Wingdings" w:hAnsi="Wingdings" w:hint="default"/>
      </w:rPr>
    </w:lvl>
    <w:lvl w:ilvl="3" w:tplc="129C5D9E" w:tentative="1">
      <w:start w:val="1"/>
      <w:numFmt w:val="bullet"/>
      <w:lvlText w:val=""/>
      <w:lvlJc w:val="left"/>
      <w:pPr>
        <w:tabs>
          <w:tab w:val="num" w:pos="2880"/>
        </w:tabs>
        <w:ind w:left="2880" w:hanging="360"/>
      </w:pPr>
      <w:rPr>
        <w:rFonts w:ascii="Symbol" w:hAnsi="Symbol" w:hint="default"/>
      </w:rPr>
    </w:lvl>
    <w:lvl w:ilvl="4" w:tplc="EE34D3AE" w:tentative="1">
      <w:start w:val="1"/>
      <w:numFmt w:val="bullet"/>
      <w:lvlText w:val="o"/>
      <w:lvlJc w:val="left"/>
      <w:pPr>
        <w:tabs>
          <w:tab w:val="num" w:pos="3600"/>
        </w:tabs>
        <w:ind w:left="3600" w:hanging="360"/>
      </w:pPr>
      <w:rPr>
        <w:rFonts w:ascii="Courier New" w:hAnsi="Courier New" w:hint="default"/>
      </w:rPr>
    </w:lvl>
    <w:lvl w:ilvl="5" w:tplc="49141CC2" w:tentative="1">
      <w:start w:val="1"/>
      <w:numFmt w:val="bullet"/>
      <w:lvlText w:val=""/>
      <w:lvlJc w:val="left"/>
      <w:pPr>
        <w:tabs>
          <w:tab w:val="num" w:pos="4320"/>
        </w:tabs>
        <w:ind w:left="4320" w:hanging="360"/>
      </w:pPr>
      <w:rPr>
        <w:rFonts w:ascii="Wingdings" w:hAnsi="Wingdings" w:hint="default"/>
      </w:rPr>
    </w:lvl>
    <w:lvl w:ilvl="6" w:tplc="A5BA4F56" w:tentative="1">
      <w:start w:val="1"/>
      <w:numFmt w:val="bullet"/>
      <w:lvlText w:val=""/>
      <w:lvlJc w:val="left"/>
      <w:pPr>
        <w:tabs>
          <w:tab w:val="num" w:pos="5040"/>
        </w:tabs>
        <w:ind w:left="5040" w:hanging="360"/>
      </w:pPr>
      <w:rPr>
        <w:rFonts w:ascii="Symbol" w:hAnsi="Symbol" w:hint="default"/>
      </w:rPr>
    </w:lvl>
    <w:lvl w:ilvl="7" w:tplc="F20EB84E" w:tentative="1">
      <w:start w:val="1"/>
      <w:numFmt w:val="bullet"/>
      <w:lvlText w:val="o"/>
      <w:lvlJc w:val="left"/>
      <w:pPr>
        <w:tabs>
          <w:tab w:val="num" w:pos="5760"/>
        </w:tabs>
        <w:ind w:left="5760" w:hanging="360"/>
      </w:pPr>
      <w:rPr>
        <w:rFonts w:ascii="Courier New" w:hAnsi="Courier New" w:hint="default"/>
      </w:rPr>
    </w:lvl>
    <w:lvl w:ilvl="8" w:tplc="017A066C" w:tentative="1">
      <w:start w:val="1"/>
      <w:numFmt w:val="bullet"/>
      <w:lvlText w:val=""/>
      <w:lvlJc w:val="left"/>
      <w:pPr>
        <w:tabs>
          <w:tab w:val="num" w:pos="6480"/>
        </w:tabs>
        <w:ind w:left="6480" w:hanging="360"/>
      </w:pPr>
      <w:rPr>
        <w:rFonts w:ascii="Wingdings" w:hAnsi="Wingdings" w:hint="default"/>
      </w:rPr>
    </w:lvl>
  </w:abstractNum>
  <w:abstractNum w:abstractNumId="27">
    <w:nsid w:val="178D3DEE"/>
    <w:multiLevelType w:val="hybridMultilevel"/>
    <w:tmpl w:val="33665A2A"/>
    <w:lvl w:ilvl="0" w:tplc="34006076">
      <w:start w:val="1"/>
      <w:numFmt w:val="bullet"/>
      <w:lvlText w:val=""/>
      <w:lvlJc w:val="left"/>
      <w:pPr>
        <w:ind w:left="720" w:hanging="360"/>
      </w:pPr>
      <w:rPr>
        <w:rFonts w:ascii="Symbol" w:hAnsi="Symbol" w:hint="default"/>
      </w:rPr>
    </w:lvl>
    <w:lvl w:ilvl="1" w:tplc="23921E60" w:tentative="1">
      <w:start w:val="1"/>
      <w:numFmt w:val="bullet"/>
      <w:lvlText w:val="o"/>
      <w:lvlJc w:val="left"/>
      <w:pPr>
        <w:ind w:left="1440" w:hanging="360"/>
      </w:pPr>
      <w:rPr>
        <w:rFonts w:ascii="Courier New" w:hAnsi="Courier New" w:cs="Courier New" w:hint="default"/>
      </w:rPr>
    </w:lvl>
    <w:lvl w:ilvl="2" w:tplc="B706E462" w:tentative="1">
      <w:start w:val="1"/>
      <w:numFmt w:val="bullet"/>
      <w:lvlText w:val=""/>
      <w:lvlJc w:val="left"/>
      <w:pPr>
        <w:ind w:left="2160" w:hanging="360"/>
      </w:pPr>
      <w:rPr>
        <w:rFonts w:ascii="Wingdings" w:hAnsi="Wingdings" w:hint="default"/>
      </w:rPr>
    </w:lvl>
    <w:lvl w:ilvl="3" w:tplc="205845D4" w:tentative="1">
      <w:start w:val="1"/>
      <w:numFmt w:val="bullet"/>
      <w:lvlText w:val=""/>
      <w:lvlJc w:val="left"/>
      <w:pPr>
        <w:ind w:left="2880" w:hanging="360"/>
      </w:pPr>
      <w:rPr>
        <w:rFonts w:ascii="Symbol" w:hAnsi="Symbol" w:hint="default"/>
      </w:rPr>
    </w:lvl>
    <w:lvl w:ilvl="4" w:tplc="367EF426" w:tentative="1">
      <w:start w:val="1"/>
      <w:numFmt w:val="bullet"/>
      <w:lvlText w:val="o"/>
      <w:lvlJc w:val="left"/>
      <w:pPr>
        <w:ind w:left="3600" w:hanging="360"/>
      </w:pPr>
      <w:rPr>
        <w:rFonts w:ascii="Courier New" w:hAnsi="Courier New" w:cs="Courier New" w:hint="default"/>
      </w:rPr>
    </w:lvl>
    <w:lvl w:ilvl="5" w:tplc="DB8E8C38" w:tentative="1">
      <w:start w:val="1"/>
      <w:numFmt w:val="bullet"/>
      <w:lvlText w:val=""/>
      <w:lvlJc w:val="left"/>
      <w:pPr>
        <w:ind w:left="4320" w:hanging="360"/>
      </w:pPr>
      <w:rPr>
        <w:rFonts w:ascii="Wingdings" w:hAnsi="Wingdings" w:hint="default"/>
      </w:rPr>
    </w:lvl>
    <w:lvl w:ilvl="6" w:tplc="A438763C" w:tentative="1">
      <w:start w:val="1"/>
      <w:numFmt w:val="bullet"/>
      <w:lvlText w:val=""/>
      <w:lvlJc w:val="left"/>
      <w:pPr>
        <w:ind w:left="5040" w:hanging="360"/>
      </w:pPr>
      <w:rPr>
        <w:rFonts w:ascii="Symbol" w:hAnsi="Symbol" w:hint="default"/>
      </w:rPr>
    </w:lvl>
    <w:lvl w:ilvl="7" w:tplc="7CA2BC06" w:tentative="1">
      <w:start w:val="1"/>
      <w:numFmt w:val="bullet"/>
      <w:lvlText w:val="o"/>
      <w:lvlJc w:val="left"/>
      <w:pPr>
        <w:ind w:left="5760" w:hanging="360"/>
      </w:pPr>
      <w:rPr>
        <w:rFonts w:ascii="Courier New" w:hAnsi="Courier New" w:cs="Courier New" w:hint="default"/>
      </w:rPr>
    </w:lvl>
    <w:lvl w:ilvl="8" w:tplc="E814DFAE" w:tentative="1">
      <w:start w:val="1"/>
      <w:numFmt w:val="bullet"/>
      <w:lvlText w:val=""/>
      <w:lvlJc w:val="left"/>
      <w:pPr>
        <w:ind w:left="6480" w:hanging="360"/>
      </w:pPr>
      <w:rPr>
        <w:rFonts w:ascii="Wingdings" w:hAnsi="Wingdings" w:hint="default"/>
      </w:rPr>
    </w:lvl>
  </w:abstractNum>
  <w:abstractNum w:abstractNumId="28">
    <w:nsid w:val="18663B36"/>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9">
    <w:nsid w:val="1CD00714"/>
    <w:multiLevelType w:val="hybridMultilevel"/>
    <w:tmpl w:val="41E8CA4C"/>
    <w:lvl w:ilvl="0" w:tplc="04090019">
      <w:start w:val="1"/>
      <w:numFmt w:val="bullet"/>
      <w:lvlText w:val=""/>
      <w:lvlJc w:val="left"/>
      <w:pPr>
        <w:tabs>
          <w:tab w:val="num" w:pos="1181"/>
        </w:tabs>
        <w:ind w:left="1181" w:hanging="389"/>
      </w:pPr>
      <w:rPr>
        <w:rFonts w:ascii="Symbol" w:hAnsi="Symbol" w:hint="default"/>
        <w:sz w:val="20"/>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0">
    <w:nsid w:val="1CEC522B"/>
    <w:multiLevelType w:val="multilevel"/>
    <w:tmpl w:val="6DB41724"/>
    <w:lvl w:ilvl="0">
      <w:start w:val="1"/>
      <w:numFmt w:val="decimal"/>
      <w:lvlRestart w:val="0"/>
      <w:pStyle w:val="Heading1"/>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1">
    <w:nsid w:val="257A79AF"/>
    <w:multiLevelType w:val="hybridMultilevel"/>
    <w:tmpl w:val="6EBA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D419A8"/>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3">
    <w:nsid w:val="2CAD169B"/>
    <w:multiLevelType w:val="hybridMultilevel"/>
    <w:tmpl w:val="41E8CA4C"/>
    <w:lvl w:ilvl="0" w:tplc="29F06A12">
      <w:start w:val="1"/>
      <w:numFmt w:val="bullet"/>
      <w:lvlText w:val=""/>
      <w:lvlJc w:val="left"/>
      <w:pPr>
        <w:tabs>
          <w:tab w:val="num" w:pos="1152"/>
        </w:tabs>
        <w:ind w:left="1152" w:hanging="360"/>
      </w:pPr>
      <w:rPr>
        <w:rFonts w:ascii="Symbol" w:hAnsi="Symbol" w:hint="default"/>
        <w:sz w:val="20"/>
      </w:rPr>
    </w:lvl>
    <w:lvl w:ilvl="1" w:tplc="9F96E7B0">
      <w:start w:val="1"/>
      <w:numFmt w:val="bullet"/>
      <w:lvlText w:val="o"/>
      <w:lvlJc w:val="left"/>
      <w:pPr>
        <w:tabs>
          <w:tab w:val="num" w:pos="2160"/>
        </w:tabs>
        <w:ind w:left="2160" w:hanging="360"/>
      </w:pPr>
      <w:rPr>
        <w:rFonts w:ascii="Courier New" w:hAnsi="Courier New" w:hint="default"/>
      </w:rPr>
    </w:lvl>
    <w:lvl w:ilvl="2" w:tplc="EED022B2" w:tentative="1">
      <w:start w:val="1"/>
      <w:numFmt w:val="bullet"/>
      <w:lvlText w:val=""/>
      <w:lvlJc w:val="left"/>
      <w:pPr>
        <w:tabs>
          <w:tab w:val="num" w:pos="2880"/>
        </w:tabs>
        <w:ind w:left="2880" w:hanging="360"/>
      </w:pPr>
      <w:rPr>
        <w:rFonts w:ascii="Wingdings" w:hAnsi="Wingdings" w:hint="default"/>
      </w:rPr>
    </w:lvl>
    <w:lvl w:ilvl="3" w:tplc="4D4488B0" w:tentative="1">
      <w:start w:val="1"/>
      <w:numFmt w:val="bullet"/>
      <w:lvlText w:val=""/>
      <w:lvlJc w:val="left"/>
      <w:pPr>
        <w:tabs>
          <w:tab w:val="num" w:pos="3600"/>
        </w:tabs>
        <w:ind w:left="3600" w:hanging="360"/>
      </w:pPr>
      <w:rPr>
        <w:rFonts w:ascii="Symbol" w:hAnsi="Symbol" w:hint="default"/>
      </w:rPr>
    </w:lvl>
    <w:lvl w:ilvl="4" w:tplc="2F38C078" w:tentative="1">
      <w:start w:val="1"/>
      <w:numFmt w:val="bullet"/>
      <w:lvlText w:val="o"/>
      <w:lvlJc w:val="left"/>
      <w:pPr>
        <w:tabs>
          <w:tab w:val="num" w:pos="4320"/>
        </w:tabs>
        <w:ind w:left="4320" w:hanging="360"/>
      </w:pPr>
      <w:rPr>
        <w:rFonts w:ascii="Courier New" w:hAnsi="Courier New" w:hint="default"/>
      </w:rPr>
    </w:lvl>
    <w:lvl w:ilvl="5" w:tplc="41D02F86" w:tentative="1">
      <w:start w:val="1"/>
      <w:numFmt w:val="bullet"/>
      <w:lvlText w:val=""/>
      <w:lvlJc w:val="left"/>
      <w:pPr>
        <w:tabs>
          <w:tab w:val="num" w:pos="5040"/>
        </w:tabs>
        <w:ind w:left="5040" w:hanging="360"/>
      </w:pPr>
      <w:rPr>
        <w:rFonts w:ascii="Wingdings" w:hAnsi="Wingdings" w:hint="default"/>
      </w:rPr>
    </w:lvl>
    <w:lvl w:ilvl="6" w:tplc="B86E02CE" w:tentative="1">
      <w:start w:val="1"/>
      <w:numFmt w:val="bullet"/>
      <w:lvlText w:val=""/>
      <w:lvlJc w:val="left"/>
      <w:pPr>
        <w:tabs>
          <w:tab w:val="num" w:pos="5760"/>
        </w:tabs>
        <w:ind w:left="5760" w:hanging="360"/>
      </w:pPr>
      <w:rPr>
        <w:rFonts w:ascii="Symbol" w:hAnsi="Symbol" w:hint="default"/>
      </w:rPr>
    </w:lvl>
    <w:lvl w:ilvl="7" w:tplc="0292E996" w:tentative="1">
      <w:start w:val="1"/>
      <w:numFmt w:val="bullet"/>
      <w:lvlText w:val="o"/>
      <w:lvlJc w:val="left"/>
      <w:pPr>
        <w:tabs>
          <w:tab w:val="num" w:pos="6480"/>
        </w:tabs>
        <w:ind w:left="6480" w:hanging="360"/>
      </w:pPr>
      <w:rPr>
        <w:rFonts w:ascii="Courier New" w:hAnsi="Courier New" w:hint="default"/>
      </w:rPr>
    </w:lvl>
    <w:lvl w:ilvl="8" w:tplc="B268B3AC" w:tentative="1">
      <w:start w:val="1"/>
      <w:numFmt w:val="bullet"/>
      <w:lvlText w:val=""/>
      <w:lvlJc w:val="left"/>
      <w:pPr>
        <w:tabs>
          <w:tab w:val="num" w:pos="7200"/>
        </w:tabs>
        <w:ind w:left="7200" w:hanging="360"/>
      </w:pPr>
      <w:rPr>
        <w:rFonts w:ascii="Wingdings" w:hAnsi="Wingdings" w:hint="default"/>
      </w:rPr>
    </w:lvl>
  </w:abstractNum>
  <w:abstractNum w:abstractNumId="34">
    <w:nsid w:val="2DCB10D5"/>
    <w:multiLevelType w:val="hybridMultilevel"/>
    <w:tmpl w:val="C0C2682A"/>
    <w:lvl w:ilvl="0" w:tplc="D1229300">
      <w:start w:val="1"/>
      <w:numFmt w:val="bullet"/>
      <w:lvlText w:val=""/>
      <w:lvlJc w:val="left"/>
      <w:pPr>
        <w:ind w:left="720" w:hanging="360"/>
      </w:pPr>
      <w:rPr>
        <w:rFonts w:ascii="Symbol" w:hAnsi="Symbol" w:hint="default"/>
      </w:rPr>
    </w:lvl>
    <w:lvl w:ilvl="1" w:tplc="1038758C" w:tentative="1">
      <w:start w:val="1"/>
      <w:numFmt w:val="bullet"/>
      <w:lvlText w:val="o"/>
      <w:lvlJc w:val="left"/>
      <w:pPr>
        <w:ind w:left="1440" w:hanging="360"/>
      </w:pPr>
      <w:rPr>
        <w:rFonts w:ascii="Courier New" w:hAnsi="Courier New" w:cs="Courier New" w:hint="default"/>
      </w:rPr>
    </w:lvl>
    <w:lvl w:ilvl="2" w:tplc="DDD84600" w:tentative="1">
      <w:start w:val="1"/>
      <w:numFmt w:val="bullet"/>
      <w:lvlText w:val=""/>
      <w:lvlJc w:val="left"/>
      <w:pPr>
        <w:ind w:left="2160" w:hanging="360"/>
      </w:pPr>
      <w:rPr>
        <w:rFonts w:ascii="Wingdings" w:hAnsi="Wingdings" w:hint="default"/>
      </w:rPr>
    </w:lvl>
    <w:lvl w:ilvl="3" w:tplc="E5265DA0" w:tentative="1">
      <w:start w:val="1"/>
      <w:numFmt w:val="bullet"/>
      <w:lvlText w:val=""/>
      <w:lvlJc w:val="left"/>
      <w:pPr>
        <w:ind w:left="2880" w:hanging="360"/>
      </w:pPr>
      <w:rPr>
        <w:rFonts w:ascii="Symbol" w:hAnsi="Symbol" w:hint="default"/>
      </w:rPr>
    </w:lvl>
    <w:lvl w:ilvl="4" w:tplc="1A36F0EE" w:tentative="1">
      <w:start w:val="1"/>
      <w:numFmt w:val="bullet"/>
      <w:lvlText w:val="o"/>
      <w:lvlJc w:val="left"/>
      <w:pPr>
        <w:ind w:left="3600" w:hanging="360"/>
      </w:pPr>
      <w:rPr>
        <w:rFonts w:ascii="Courier New" w:hAnsi="Courier New" w:cs="Courier New" w:hint="default"/>
      </w:rPr>
    </w:lvl>
    <w:lvl w:ilvl="5" w:tplc="9EC0D484" w:tentative="1">
      <w:start w:val="1"/>
      <w:numFmt w:val="bullet"/>
      <w:lvlText w:val=""/>
      <w:lvlJc w:val="left"/>
      <w:pPr>
        <w:ind w:left="4320" w:hanging="360"/>
      </w:pPr>
      <w:rPr>
        <w:rFonts w:ascii="Wingdings" w:hAnsi="Wingdings" w:hint="default"/>
      </w:rPr>
    </w:lvl>
    <w:lvl w:ilvl="6" w:tplc="5BBA6AAA" w:tentative="1">
      <w:start w:val="1"/>
      <w:numFmt w:val="bullet"/>
      <w:lvlText w:val=""/>
      <w:lvlJc w:val="left"/>
      <w:pPr>
        <w:ind w:left="5040" w:hanging="360"/>
      </w:pPr>
      <w:rPr>
        <w:rFonts w:ascii="Symbol" w:hAnsi="Symbol" w:hint="default"/>
      </w:rPr>
    </w:lvl>
    <w:lvl w:ilvl="7" w:tplc="538A6476" w:tentative="1">
      <w:start w:val="1"/>
      <w:numFmt w:val="bullet"/>
      <w:lvlText w:val="o"/>
      <w:lvlJc w:val="left"/>
      <w:pPr>
        <w:ind w:left="5760" w:hanging="360"/>
      </w:pPr>
      <w:rPr>
        <w:rFonts w:ascii="Courier New" w:hAnsi="Courier New" w:cs="Courier New" w:hint="default"/>
      </w:rPr>
    </w:lvl>
    <w:lvl w:ilvl="8" w:tplc="82FC6214" w:tentative="1">
      <w:start w:val="1"/>
      <w:numFmt w:val="bullet"/>
      <w:lvlText w:val=""/>
      <w:lvlJc w:val="left"/>
      <w:pPr>
        <w:ind w:left="6480" w:hanging="360"/>
      </w:pPr>
      <w:rPr>
        <w:rFonts w:ascii="Wingdings" w:hAnsi="Wingdings" w:hint="default"/>
      </w:rPr>
    </w:lvl>
  </w:abstractNum>
  <w:abstractNum w:abstractNumId="35">
    <w:nsid w:val="324700C7"/>
    <w:multiLevelType w:val="hybridMultilevel"/>
    <w:tmpl w:val="F7DA2EB4"/>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4AE2CA2"/>
    <w:multiLevelType w:val="hybridMultilevel"/>
    <w:tmpl w:val="0B0638EC"/>
    <w:lvl w:ilvl="0" w:tplc="1C765354">
      <w:start w:val="1"/>
      <w:numFmt w:val="bullet"/>
      <w:lvlText w:val=""/>
      <w:lvlJc w:val="left"/>
      <w:pPr>
        <w:ind w:left="360" w:hanging="360"/>
      </w:pPr>
      <w:rPr>
        <w:rFonts w:ascii="Symbol" w:hAnsi="Symbol" w:hint="default"/>
      </w:rPr>
    </w:lvl>
    <w:lvl w:ilvl="1" w:tplc="35207EF2" w:tentative="1">
      <w:start w:val="1"/>
      <w:numFmt w:val="bullet"/>
      <w:lvlText w:val="o"/>
      <w:lvlJc w:val="left"/>
      <w:pPr>
        <w:ind w:left="1080" w:hanging="360"/>
      </w:pPr>
      <w:rPr>
        <w:rFonts w:ascii="Courier New" w:hAnsi="Courier New" w:hint="default"/>
      </w:rPr>
    </w:lvl>
    <w:lvl w:ilvl="2" w:tplc="72D6D804" w:tentative="1">
      <w:start w:val="1"/>
      <w:numFmt w:val="bullet"/>
      <w:lvlText w:val=""/>
      <w:lvlJc w:val="left"/>
      <w:pPr>
        <w:ind w:left="1800" w:hanging="360"/>
      </w:pPr>
      <w:rPr>
        <w:rFonts w:ascii="Wingdings" w:hAnsi="Wingdings" w:hint="default"/>
      </w:rPr>
    </w:lvl>
    <w:lvl w:ilvl="3" w:tplc="D012CB64" w:tentative="1">
      <w:start w:val="1"/>
      <w:numFmt w:val="bullet"/>
      <w:lvlText w:val=""/>
      <w:lvlJc w:val="left"/>
      <w:pPr>
        <w:ind w:left="2520" w:hanging="360"/>
      </w:pPr>
      <w:rPr>
        <w:rFonts w:ascii="Symbol" w:hAnsi="Symbol" w:hint="default"/>
      </w:rPr>
    </w:lvl>
    <w:lvl w:ilvl="4" w:tplc="449A245C" w:tentative="1">
      <w:start w:val="1"/>
      <w:numFmt w:val="bullet"/>
      <w:lvlText w:val="o"/>
      <w:lvlJc w:val="left"/>
      <w:pPr>
        <w:ind w:left="3240" w:hanging="360"/>
      </w:pPr>
      <w:rPr>
        <w:rFonts w:ascii="Courier New" w:hAnsi="Courier New" w:hint="default"/>
      </w:rPr>
    </w:lvl>
    <w:lvl w:ilvl="5" w:tplc="5ADADE42" w:tentative="1">
      <w:start w:val="1"/>
      <w:numFmt w:val="bullet"/>
      <w:lvlText w:val=""/>
      <w:lvlJc w:val="left"/>
      <w:pPr>
        <w:ind w:left="3960" w:hanging="360"/>
      </w:pPr>
      <w:rPr>
        <w:rFonts w:ascii="Wingdings" w:hAnsi="Wingdings" w:hint="default"/>
      </w:rPr>
    </w:lvl>
    <w:lvl w:ilvl="6" w:tplc="306894F0" w:tentative="1">
      <w:start w:val="1"/>
      <w:numFmt w:val="bullet"/>
      <w:lvlText w:val=""/>
      <w:lvlJc w:val="left"/>
      <w:pPr>
        <w:ind w:left="4680" w:hanging="360"/>
      </w:pPr>
      <w:rPr>
        <w:rFonts w:ascii="Symbol" w:hAnsi="Symbol" w:hint="default"/>
      </w:rPr>
    </w:lvl>
    <w:lvl w:ilvl="7" w:tplc="345E7BAE" w:tentative="1">
      <w:start w:val="1"/>
      <w:numFmt w:val="bullet"/>
      <w:lvlText w:val="o"/>
      <w:lvlJc w:val="left"/>
      <w:pPr>
        <w:ind w:left="5400" w:hanging="360"/>
      </w:pPr>
      <w:rPr>
        <w:rFonts w:ascii="Courier New" w:hAnsi="Courier New" w:hint="default"/>
      </w:rPr>
    </w:lvl>
    <w:lvl w:ilvl="8" w:tplc="29D05AF4" w:tentative="1">
      <w:start w:val="1"/>
      <w:numFmt w:val="bullet"/>
      <w:lvlText w:val=""/>
      <w:lvlJc w:val="left"/>
      <w:pPr>
        <w:ind w:left="6120" w:hanging="360"/>
      </w:pPr>
      <w:rPr>
        <w:rFonts w:ascii="Wingdings" w:hAnsi="Wingdings" w:hint="default"/>
      </w:rPr>
    </w:lvl>
  </w:abstractNum>
  <w:abstractNum w:abstractNumId="37">
    <w:nsid w:val="34CD47A6"/>
    <w:multiLevelType w:val="hybridMultilevel"/>
    <w:tmpl w:val="12C6B7EE"/>
    <w:lvl w:ilvl="0" w:tplc="8DD0D0C6">
      <w:start w:val="1"/>
      <w:numFmt w:val="bullet"/>
      <w:lvlText w:val=""/>
      <w:lvlJc w:val="left"/>
      <w:pPr>
        <w:tabs>
          <w:tab w:val="num" w:pos="432"/>
        </w:tabs>
        <w:ind w:left="144" w:hanging="72"/>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36DC420E"/>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9">
    <w:nsid w:val="387A60FD"/>
    <w:multiLevelType w:val="hybridMultilevel"/>
    <w:tmpl w:val="504E39F0"/>
    <w:lvl w:ilvl="0" w:tplc="04090001">
      <w:start w:val="1"/>
      <w:numFmt w:val="decimal"/>
      <w:lvlText w:val="%1."/>
      <w:lvlJc w:val="left"/>
      <w:pPr>
        <w:tabs>
          <w:tab w:val="num" w:pos="0"/>
        </w:tabs>
        <w:ind w:left="0" w:hanging="360"/>
      </w:pPr>
    </w:lvl>
    <w:lvl w:ilvl="1" w:tplc="04090003" w:tentative="1">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40">
    <w:nsid w:val="3A033D3F"/>
    <w:multiLevelType w:val="hybridMultilevel"/>
    <w:tmpl w:val="41E8CA4C"/>
    <w:lvl w:ilvl="0" w:tplc="5F22F4EA">
      <w:start w:val="1"/>
      <w:numFmt w:val="bullet"/>
      <w:lvlText w:val=""/>
      <w:lvlJc w:val="left"/>
      <w:pPr>
        <w:tabs>
          <w:tab w:val="num" w:pos="418"/>
        </w:tabs>
        <w:ind w:left="72" w:hanging="14"/>
      </w:pPr>
      <w:rPr>
        <w:rFonts w:ascii="Symbol" w:hAnsi="Symbol" w:hint="default"/>
        <w:sz w:val="20"/>
      </w:rPr>
    </w:lvl>
    <w:lvl w:ilvl="1" w:tplc="72FC94A0">
      <w:start w:val="1"/>
      <w:numFmt w:val="bullet"/>
      <w:lvlText w:val="o"/>
      <w:lvlJc w:val="left"/>
      <w:pPr>
        <w:tabs>
          <w:tab w:val="num" w:pos="2160"/>
        </w:tabs>
        <w:ind w:left="2160" w:hanging="360"/>
      </w:pPr>
      <w:rPr>
        <w:rFonts w:ascii="Courier New" w:hAnsi="Courier New" w:hint="default"/>
      </w:rPr>
    </w:lvl>
    <w:lvl w:ilvl="2" w:tplc="675CA4B0" w:tentative="1">
      <w:start w:val="1"/>
      <w:numFmt w:val="bullet"/>
      <w:lvlText w:val=""/>
      <w:lvlJc w:val="left"/>
      <w:pPr>
        <w:tabs>
          <w:tab w:val="num" w:pos="2880"/>
        </w:tabs>
        <w:ind w:left="2880" w:hanging="360"/>
      </w:pPr>
      <w:rPr>
        <w:rFonts w:ascii="Wingdings" w:hAnsi="Wingdings" w:hint="default"/>
      </w:rPr>
    </w:lvl>
    <w:lvl w:ilvl="3" w:tplc="71E00B14" w:tentative="1">
      <w:start w:val="1"/>
      <w:numFmt w:val="bullet"/>
      <w:lvlText w:val=""/>
      <w:lvlJc w:val="left"/>
      <w:pPr>
        <w:tabs>
          <w:tab w:val="num" w:pos="3600"/>
        </w:tabs>
        <w:ind w:left="3600" w:hanging="360"/>
      </w:pPr>
      <w:rPr>
        <w:rFonts w:ascii="Symbol" w:hAnsi="Symbol" w:hint="default"/>
      </w:rPr>
    </w:lvl>
    <w:lvl w:ilvl="4" w:tplc="4636F3BA" w:tentative="1">
      <w:start w:val="1"/>
      <w:numFmt w:val="bullet"/>
      <w:lvlText w:val="o"/>
      <w:lvlJc w:val="left"/>
      <w:pPr>
        <w:tabs>
          <w:tab w:val="num" w:pos="4320"/>
        </w:tabs>
        <w:ind w:left="4320" w:hanging="360"/>
      </w:pPr>
      <w:rPr>
        <w:rFonts w:ascii="Courier New" w:hAnsi="Courier New" w:hint="default"/>
      </w:rPr>
    </w:lvl>
    <w:lvl w:ilvl="5" w:tplc="C0C004D0" w:tentative="1">
      <w:start w:val="1"/>
      <w:numFmt w:val="bullet"/>
      <w:lvlText w:val=""/>
      <w:lvlJc w:val="left"/>
      <w:pPr>
        <w:tabs>
          <w:tab w:val="num" w:pos="5040"/>
        </w:tabs>
        <w:ind w:left="5040" w:hanging="360"/>
      </w:pPr>
      <w:rPr>
        <w:rFonts w:ascii="Wingdings" w:hAnsi="Wingdings" w:hint="default"/>
      </w:rPr>
    </w:lvl>
    <w:lvl w:ilvl="6" w:tplc="169A9B08" w:tentative="1">
      <w:start w:val="1"/>
      <w:numFmt w:val="bullet"/>
      <w:lvlText w:val=""/>
      <w:lvlJc w:val="left"/>
      <w:pPr>
        <w:tabs>
          <w:tab w:val="num" w:pos="5760"/>
        </w:tabs>
        <w:ind w:left="5760" w:hanging="360"/>
      </w:pPr>
      <w:rPr>
        <w:rFonts w:ascii="Symbol" w:hAnsi="Symbol" w:hint="default"/>
      </w:rPr>
    </w:lvl>
    <w:lvl w:ilvl="7" w:tplc="FCE456DC" w:tentative="1">
      <w:start w:val="1"/>
      <w:numFmt w:val="bullet"/>
      <w:lvlText w:val="o"/>
      <w:lvlJc w:val="left"/>
      <w:pPr>
        <w:tabs>
          <w:tab w:val="num" w:pos="6480"/>
        </w:tabs>
        <w:ind w:left="6480" w:hanging="360"/>
      </w:pPr>
      <w:rPr>
        <w:rFonts w:ascii="Courier New" w:hAnsi="Courier New" w:hint="default"/>
      </w:rPr>
    </w:lvl>
    <w:lvl w:ilvl="8" w:tplc="A710C4B4" w:tentative="1">
      <w:start w:val="1"/>
      <w:numFmt w:val="bullet"/>
      <w:lvlText w:val=""/>
      <w:lvlJc w:val="left"/>
      <w:pPr>
        <w:tabs>
          <w:tab w:val="num" w:pos="7200"/>
        </w:tabs>
        <w:ind w:left="7200" w:hanging="360"/>
      </w:pPr>
      <w:rPr>
        <w:rFonts w:ascii="Wingdings" w:hAnsi="Wingdings" w:hint="default"/>
      </w:rPr>
    </w:lvl>
  </w:abstractNum>
  <w:abstractNum w:abstractNumId="41">
    <w:nsid w:val="3F9171A9"/>
    <w:multiLevelType w:val="hybridMultilevel"/>
    <w:tmpl w:val="B2C486C4"/>
    <w:lvl w:ilvl="0" w:tplc="CDA014E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41952EA9"/>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3">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4">
    <w:nsid w:val="43D217E4"/>
    <w:multiLevelType w:val="hybridMultilevel"/>
    <w:tmpl w:val="97B4518A"/>
    <w:lvl w:ilvl="0" w:tplc="1DE88E9A">
      <w:start w:val="1"/>
      <w:numFmt w:val="bullet"/>
      <w:lvlText w:val=""/>
      <w:lvlJc w:val="left"/>
      <w:pPr>
        <w:tabs>
          <w:tab w:val="num" w:pos="432"/>
        </w:tabs>
        <w:ind w:left="72" w:firstLine="0"/>
      </w:pPr>
      <w:rPr>
        <w:rFonts w:ascii="Symbol" w:hAnsi="Symbol" w:hint="default"/>
        <w:sz w:val="20"/>
      </w:rPr>
    </w:lvl>
    <w:lvl w:ilvl="1" w:tplc="3774EC66">
      <w:start w:val="1"/>
      <w:numFmt w:val="bullet"/>
      <w:lvlText w:val=""/>
      <w:lvlJc w:val="left"/>
      <w:pPr>
        <w:tabs>
          <w:tab w:val="num" w:pos="1469"/>
        </w:tabs>
        <w:ind w:left="1469" w:hanging="389"/>
      </w:pPr>
      <w:rPr>
        <w:rFonts w:ascii="Symbol" w:hAnsi="Symbol" w:hint="default"/>
        <w:sz w:val="20"/>
      </w:rPr>
    </w:lvl>
    <w:lvl w:ilvl="2" w:tplc="903A8514">
      <w:start w:val="1"/>
      <w:numFmt w:val="bullet"/>
      <w:lvlText w:val=""/>
      <w:lvlJc w:val="left"/>
      <w:pPr>
        <w:tabs>
          <w:tab w:val="num" w:pos="2160"/>
        </w:tabs>
        <w:ind w:left="2160" w:hanging="360"/>
      </w:pPr>
      <w:rPr>
        <w:rFonts w:ascii="Wingdings" w:hAnsi="Wingdings" w:hint="default"/>
      </w:rPr>
    </w:lvl>
    <w:lvl w:ilvl="3" w:tplc="D2E40C0E" w:tentative="1">
      <w:start w:val="1"/>
      <w:numFmt w:val="bullet"/>
      <w:lvlText w:val=""/>
      <w:lvlJc w:val="left"/>
      <w:pPr>
        <w:tabs>
          <w:tab w:val="num" w:pos="2880"/>
        </w:tabs>
        <w:ind w:left="2880" w:hanging="360"/>
      </w:pPr>
      <w:rPr>
        <w:rFonts w:ascii="Symbol" w:hAnsi="Symbol" w:hint="default"/>
      </w:rPr>
    </w:lvl>
    <w:lvl w:ilvl="4" w:tplc="F27043CA" w:tentative="1">
      <w:start w:val="1"/>
      <w:numFmt w:val="bullet"/>
      <w:lvlText w:val="o"/>
      <w:lvlJc w:val="left"/>
      <w:pPr>
        <w:tabs>
          <w:tab w:val="num" w:pos="3600"/>
        </w:tabs>
        <w:ind w:left="3600" w:hanging="360"/>
      </w:pPr>
      <w:rPr>
        <w:rFonts w:ascii="Courier New" w:hAnsi="Courier New" w:hint="default"/>
      </w:rPr>
    </w:lvl>
    <w:lvl w:ilvl="5" w:tplc="14BA6B48" w:tentative="1">
      <w:start w:val="1"/>
      <w:numFmt w:val="bullet"/>
      <w:lvlText w:val=""/>
      <w:lvlJc w:val="left"/>
      <w:pPr>
        <w:tabs>
          <w:tab w:val="num" w:pos="4320"/>
        </w:tabs>
        <w:ind w:left="4320" w:hanging="360"/>
      </w:pPr>
      <w:rPr>
        <w:rFonts w:ascii="Wingdings" w:hAnsi="Wingdings" w:hint="default"/>
      </w:rPr>
    </w:lvl>
    <w:lvl w:ilvl="6" w:tplc="05CCE430" w:tentative="1">
      <w:start w:val="1"/>
      <w:numFmt w:val="bullet"/>
      <w:lvlText w:val=""/>
      <w:lvlJc w:val="left"/>
      <w:pPr>
        <w:tabs>
          <w:tab w:val="num" w:pos="5040"/>
        </w:tabs>
        <w:ind w:left="5040" w:hanging="360"/>
      </w:pPr>
      <w:rPr>
        <w:rFonts w:ascii="Symbol" w:hAnsi="Symbol" w:hint="default"/>
      </w:rPr>
    </w:lvl>
    <w:lvl w:ilvl="7" w:tplc="A26EEF7E" w:tentative="1">
      <w:start w:val="1"/>
      <w:numFmt w:val="bullet"/>
      <w:lvlText w:val="o"/>
      <w:lvlJc w:val="left"/>
      <w:pPr>
        <w:tabs>
          <w:tab w:val="num" w:pos="5760"/>
        </w:tabs>
        <w:ind w:left="5760" w:hanging="360"/>
      </w:pPr>
      <w:rPr>
        <w:rFonts w:ascii="Courier New" w:hAnsi="Courier New" w:hint="default"/>
      </w:rPr>
    </w:lvl>
    <w:lvl w:ilvl="8" w:tplc="66344FE6" w:tentative="1">
      <w:start w:val="1"/>
      <w:numFmt w:val="bullet"/>
      <w:lvlText w:val=""/>
      <w:lvlJc w:val="left"/>
      <w:pPr>
        <w:tabs>
          <w:tab w:val="num" w:pos="6480"/>
        </w:tabs>
        <w:ind w:left="6480" w:hanging="360"/>
      </w:pPr>
      <w:rPr>
        <w:rFonts w:ascii="Wingdings" w:hAnsi="Wingdings" w:hint="default"/>
      </w:rPr>
    </w:lvl>
  </w:abstractNum>
  <w:abstractNum w:abstractNumId="45">
    <w:nsid w:val="440B2B70"/>
    <w:multiLevelType w:val="hybridMultilevel"/>
    <w:tmpl w:val="79485344"/>
    <w:lvl w:ilvl="0" w:tplc="B448A428">
      <w:start w:val="1"/>
      <w:numFmt w:val="decimal"/>
      <w:lvlText w:val="%1."/>
      <w:lvlJc w:val="left"/>
      <w:pPr>
        <w:ind w:left="1080" w:hanging="360"/>
      </w:pPr>
      <w:rPr>
        <w:rFonts w:hint="default"/>
      </w:rPr>
    </w:lvl>
    <w:lvl w:ilvl="1" w:tplc="3EC21E5A" w:tentative="1">
      <w:start w:val="1"/>
      <w:numFmt w:val="lowerLetter"/>
      <w:lvlText w:val="%2."/>
      <w:lvlJc w:val="left"/>
      <w:pPr>
        <w:ind w:left="1800" w:hanging="360"/>
      </w:pPr>
    </w:lvl>
    <w:lvl w:ilvl="2" w:tplc="B7060DC8" w:tentative="1">
      <w:start w:val="1"/>
      <w:numFmt w:val="lowerRoman"/>
      <w:lvlText w:val="%3."/>
      <w:lvlJc w:val="right"/>
      <w:pPr>
        <w:ind w:left="2520" w:hanging="180"/>
      </w:pPr>
    </w:lvl>
    <w:lvl w:ilvl="3" w:tplc="09FEAD90" w:tentative="1">
      <w:start w:val="1"/>
      <w:numFmt w:val="decimal"/>
      <w:lvlText w:val="%4."/>
      <w:lvlJc w:val="left"/>
      <w:pPr>
        <w:ind w:left="3240" w:hanging="360"/>
      </w:pPr>
    </w:lvl>
    <w:lvl w:ilvl="4" w:tplc="228CDB4E" w:tentative="1">
      <w:start w:val="1"/>
      <w:numFmt w:val="lowerLetter"/>
      <w:lvlText w:val="%5."/>
      <w:lvlJc w:val="left"/>
      <w:pPr>
        <w:ind w:left="3960" w:hanging="360"/>
      </w:pPr>
    </w:lvl>
    <w:lvl w:ilvl="5" w:tplc="ED00D836" w:tentative="1">
      <w:start w:val="1"/>
      <w:numFmt w:val="lowerRoman"/>
      <w:lvlText w:val="%6."/>
      <w:lvlJc w:val="right"/>
      <w:pPr>
        <w:ind w:left="4680" w:hanging="180"/>
      </w:pPr>
    </w:lvl>
    <w:lvl w:ilvl="6" w:tplc="3A760B9E" w:tentative="1">
      <w:start w:val="1"/>
      <w:numFmt w:val="decimal"/>
      <w:lvlText w:val="%7."/>
      <w:lvlJc w:val="left"/>
      <w:pPr>
        <w:ind w:left="5400" w:hanging="360"/>
      </w:pPr>
    </w:lvl>
    <w:lvl w:ilvl="7" w:tplc="109448A2" w:tentative="1">
      <w:start w:val="1"/>
      <w:numFmt w:val="lowerLetter"/>
      <w:lvlText w:val="%8."/>
      <w:lvlJc w:val="left"/>
      <w:pPr>
        <w:ind w:left="6120" w:hanging="360"/>
      </w:pPr>
    </w:lvl>
    <w:lvl w:ilvl="8" w:tplc="BFD28948" w:tentative="1">
      <w:start w:val="1"/>
      <w:numFmt w:val="lowerRoman"/>
      <w:lvlText w:val="%9."/>
      <w:lvlJc w:val="right"/>
      <w:pPr>
        <w:ind w:left="6840" w:hanging="180"/>
      </w:pPr>
    </w:lvl>
  </w:abstractNum>
  <w:abstractNum w:abstractNumId="46">
    <w:nsid w:val="46976222"/>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7">
    <w:nsid w:val="47C170F8"/>
    <w:multiLevelType w:val="singleLevel"/>
    <w:tmpl w:val="89201E9A"/>
    <w:lvl w:ilvl="0">
      <w:start w:val="1"/>
      <w:numFmt w:val="bullet"/>
      <w:pStyle w:val="ListBullet2"/>
      <w:lvlText w:val=""/>
      <w:lvlJc w:val="left"/>
      <w:pPr>
        <w:tabs>
          <w:tab w:val="num" w:pos="1440"/>
        </w:tabs>
        <w:ind w:left="1440" w:hanging="720"/>
      </w:pPr>
      <w:rPr>
        <w:rFonts w:ascii="Wingdings" w:hAnsi="Wingdings" w:hint="default"/>
      </w:rPr>
    </w:lvl>
  </w:abstractNum>
  <w:abstractNum w:abstractNumId="48">
    <w:nsid w:val="4A404029"/>
    <w:multiLevelType w:val="multilevel"/>
    <w:tmpl w:val="F478627E"/>
    <w:lvl w:ilvl="0">
      <w:start w:val="1"/>
      <w:numFmt w:val="bullet"/>
      <w:lvlText w:val=""/>
      <w:lvlJc w:val="left"/>
      <w:pPr>
        <w:tabs>
          <w:tab w:val="num" w:pos="720"/>
        </w:tabs>
        <w:ind w:left="1800" w:hanging="360"/>
      </w:pPr>
      <w:rPr>
        <w:rFonts w:ascii="Symbol" w:hAnsi="Symbol" w:hint="default"/>
        <w:color w:val="auto"/>
        <w:sz w:val="22"/>
      </w:rPr>
    </w:lvl>
    <w:lvl w:ilvl="1">
      <w:start w:val="1"/>
      <w:numFmt w:val="bullet"/>
      <w:lvlText w:val="▪"/>
      <w:lvlJc w:val="left"/>
      <w:pPr>
        <w:tabs>
          <w:tab w:val="num" w:pos="1440"/>
        </w:tabs>
        <w:ind w:left="2520" w:hanging="360"/>
      </w:pPr>
      <w:rPr>
        <w:rFonts w:ascii="Courier New" w:hAnsi="Courier New" w:hint="default"/>
      </w:rPr>
    </w:lvl>
    <w:lvl w:ilvl="2">
      <w:start w:val="1"/>
      <w:numFmt w:val="bullet"/>
      <w:lvlText w:val="▫"/>
      <w:lvlJc w:val="left"/>
      <w:pPr>
        <w:tabs>
          <w:tab w:val="num" w:pos="2160"/>
        </w:tabs>
        <w:ind w:left="3240" w:hanging="360"/>
      </w:pPr>
      <w:rPr>
        <w:rFonts w:ascii="Courier New" w:hAnsi="Courier New" w:hint="default"/>
      </w:rPr>
    </w:lvl>
    <w:lvl w:ilvl="3">
      <w:start w:val="1"/>
      <w:numFmt w:val="bullet"/>
      <w:lvlText w:val=""/>
      <w:lvlJc w:val="left"/>
      <w:pPr>
        <w:tabs>
          <w:tab w:val="num" w:pos="2880"/>
        </w:tabs>
        <w:ind w:left="396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4ACA6AD4"/>
    <w:multiLevelType w:val="hybridMultilevel"/>
    <w:tmpl w:val="8FB0E670"/>
    <w:lvl w:ilvl="0" w:tplc="F5DCAE42">
      <w:start w:val="19"/>
      <w:numFmt w:val="decimal"/>
      <w:lvlText w:val="%1."/>
      <w:lvlJc w:val="left"/>
      <w:pPr>
        <w:ind w:left="720" w:hanging="360"/>
      </w:pPr>
      <w:rPr>
        <w:rFonts w:hint="default"/>
      </w:rPr>
    </w:lvl>
    <w:lvl w:ilvl="1" w:tplc="BED0CC56" w:tentative="1">
      <w:start w:val="1"/>
      <w:numFmt w:val="lowerLetter"/>
      <w:lvlText w:val="%2."/>
      <w:lvlJc w:val="left"/>
      <w:pPr>
        <w:ind w:left="1440" w:hanging="360"/>
      </w:pPr>
    </w:lvl>
    <w:lvl w:ilvl="2" w:tplc="9C2E1370" w:tentative="1">
      <w:start w:val="1"/>
      <w:numFmt w:val="lowerRoman"/>
      <w:lvlText w:val="%3."/>
      <w:lvlJc w:val="right"/>
      <w:pPr>
        <w:ind w:left="2160" w:hanging="180"/>
      </w:pPr>
    </w:lvl>
    <w:lvl w:ilvl="3" w:tplc="14CC3BA4" w:tentative="1">
      <w:start w:val="1"/>
      <w:numFmt w:val="decimal"/>
      <w:lvlText w:val="%4."/>
      <w:lvlJc w:val="left"/>
      <w:pPr>
        <w:ind w:left="2880" w:hanging="360"/>
      </w:pPr>
    </w:lvl>
    <w:lvl w:ilvl="4" w:tplc="8404FF0C" w:tentative="1">
      <w:start w:val="1"/>
      <w:numFmt w:val="lowerLetter"/>
      <w:lvlText w:val="%5."/>
      <w:lvlJc w:val="left"/>
      <w:pPr>
        <w:ind w:left="3600" w:hanging="360"/>
      </w:pPr>
    </w:lvl>
    <w:lvl w:ilvl="5" w:tplc="F24CFB00" w:tentative="1">
      <w:start w:val="1"/>
      <w:numFmt w:val="lowerRoman"/>
      <w:lvlText w:val="%6."/>
      <w:lvlJc w:val="right"/>
      <w:pPr>
        <w:ind w:left="4320" w:hanging="180"/>
      </w:pPr>
    </w:lvl>
    <w:lvl w:ilvl="6" w:tplc="B3044106" w:tentative="1">
      <w:start w:val="1"/>
      <w:numFmt w:val="decimal"/>
      <w:lvlText w:val="%7."/>
      <w:lvlJc w:val="left"/>
      <w:pPr>
        <w:ind w:left="5040" w:hanging="360"/>
      </w:pPr>
    </w:lvl>
    <w:lvl w:ilvl="7" w:tplc="0EF40894" w:tentative="1">
      <w:start w:val="1"/>
      <w:numFmt w:val="lowerLetter"/>
      <w:lvlText w:val="%8."/>
      <w:lvlJc w:val="left"/>
      <w:pPr>
        <w:ind w:left="5760" w:hanging="360"/>
      </w:pPr>
    </w:lvl>
    <w:lvl w:ilvl="8" w:tplc="8468222C" w:tentative="1">
      <w:start w:val="1"/>
      <w:numFmt w:val="lowerRoman"/>
      <w:lvlText w:val="%9."/>
      <w:lvlJc w:val="right"/>
      <w:pPr>
        <w:ind w:left="6480" w:hanging="180"/>
      </w:pPr>
    </w:lvl>
  </w:abstractNum>
  <w:abstractNum w:abstractNumId="50">
    <w:nsid w:val="4BE25997"/>
    <w:multiLevelType w:val="hybridMultilevel"/>
    <w:tmpl w:val="39D896AE"/>
    <w:lvl w:ilvl="0" w:tplc="3DC633B6">
      <w:start w:val="1"/>
      <w:numFmt w:val="lowerLetter"/>
      <w:lvlText w:val="%1."/>
      <w:lvlJc w:val="left"/>
      <w:pPr>
        <w:ind w:left="720" w:hanging="360"/>
      </w:pPr>
      <w:rPr>
        <w:rFonts w:hint="default"/>
      </w:rPr>
    </w:lvl>
    <w:lvl w:ilvl="1" w:tplc="1C84532E" w:tentative="1">
      <w:start w:val="1"/>
      <w:numFmt w:val="lowerLetter"/>
      <w:lvlText w:val="%2."/>
      <w:lvlJc w:val="left"/>
      <w:pPr>
        <w:ind w:left="1440" w:hanging="360"/>
      </w:pPr>
    </w:lvl>
    <w:lvl w:ilvl="2" w:tplc="A4C23C4A" w:tentative="1">
      <w:start w:val="1"/>
      <w:numFmt w:val="lowerRoman"/>
      <w:lvlText w:val="%3."/>
      <w:lvlJc w:val="right"/>
      <w:pPr>
        <w:ind w:left="2160" w:hanging="180"/>
      </w:pPr>
    </w:lvl>
    <w:lvl w:ilvl="3" w:tplc="5A807438" w:tentative="1">
      <w:start w:val="1"/>
      <w:numFmt w:val="decimal"/>
      <w:lvlText w:val="%4."/>
      <w:lvlJc w:val="left"/>
      <w:pPr>
        <w:ind w:left="2880" w:hanging="360"/>
      </w:pPr>
    </w:lvl>
    <w:lvl w:ilvl="4" w:tplc="195C5E9C" w:tentative="1">
      <w:start w:val="1"/>
      <w:numFmt w:val="lowerLetter"/>
      <w:lvlText w:val="%5."/>
      <w:lvlJc w:val="left"/>
      <w:pPr>
        <w:ind w:left="3600" w:hanging="360"/>
      </w:pPr>
    </w:lvl>
    <w:lvl w:ilvl="5" w:tplc="160C394E" w:tentative="1">
      <w:start w:val="1"/>
      <w:numFmt w:val="lowerRoman"/>
      <w:lvlText w:val="%6."/>
      <w:lvlJc w:val="right"/>
      <w:pPr>
        <w:ind w:left="4320" w:hanging="180"/>
      </w:pPr>
    </w:lvl>
    <w:lvl w:ilvl="6" w:tplc="D5C8FFA2" w:tentative="1">
      <w:start w:val="1"/>
      <w:numFmt w:val="decimal"/>
      <w:lvlText w:val="%7."/>
      <w:lvlJc w:val="left"/>
      <w:pPr>
        <w:ind w:left="5040" w:hanging="360"/>
      </w:pPr>
    </w:lvl>
    <w:lvl w:ilvl="7" w:tplc="921CC238" w:tentative="1">
      <w:start w:val="1"/>
      <w:numFmt w:val="lowerLetter"/>
      <w:lvlText w:val="%8."/>
      <w:lvlJc w:val="left"/>
      <w:pPr>
        <w:ind w:left="5760" w:hanging="360"/>
      </w:pPr>
    </w:lvl>
    <w:lvl w:ilvl="8" w:tplc="79CAE17A" w:tentative="1">
      <w:start w:val="1"/>
      <w:numFmt w:val="lowerRoman"/>
      <w:lvlText w:val="%9."/>
      <w:lvlJc w:val="right"/>
      <w:pPr>
        <w:ind w:left="6480" w:hanging="180"/>
      </w:pPr>
    </w:lvl>
  </w:abstractNum>
  <w:abstractNum w:abstractNumId="51">
    <w:nsid w:val="4DFE3FF5"/>
    <w:multiLevelType w:val="hybridMultilevel"/>
    <w:tmpl w:val="41E8CA4C"/>
    <w:lvl w:ilvl="0" w:tplc="B5D41272">
      <w:start w:val="1"/>
      <w:numFmt w:val="bullet"/>
      <w:lvlText w:val=""/>
      <w:lvlJc w:val="left"/>
      <w:pPr>
        <w:tabs>
          <w:tab w:val="num" w:pos="1152"/>
        </w:tabs>
        <w:ind w:left="1152" w:hanging="360"/>
      </w:pPr>
      <w:rPr>
        <w:rFonts w:ascii="Symbol" w:hAnsi="Symbol" w:hint="default"/>
        <w:sz w:val="20"/>
      </w:rPr>
    </w:lvl>
    <w:lvl w:ilvl="1" w:tplc="0A3C138C">
      <w:start w:val="1"/>
      <w:numFmt w:val="bullet"/>
      <w:lvlText w:val="o"/>
      <w:lvlJc w:val="left"/>
      <w:pPr>
        <w:tabs>
          <w:tab w:val="num" w:pos="2160"/>
        </w:tabs>
        <w:ind w:left="2160" w:hanging="360"/>
      </w:pPr>
      <w:rPr>
        <w:rFonts w:ascii="Courier New" w:hAnsi="Courier New" w:hint="default"/>
      </w:rPr>
    </w:lvl>
    <w:lvl w:ilvl="2" w:tplc="6194C76E" w:tentative="1">
      <w:start w:val="1"/>
      <w:numFmt w:val="bullet"/>
      <w:lvlText w:val=""/>
      <w:lvlJc w:val="left"/>
      <w:pPr>
        <w:tabs>
          <w:tab w:val="num" w:pos="2880"/>
        </w:tabs>
        <w:ind w:left="2880" w:hanging="360"/>
      </w:pPr>
      <w:rPr>
        <w:rFonts w:ascii="Wingdings" w:hAnsi="Wingdings" w:hint="default"/>
      </w:rPr>
    </w:lvl>
    <w:lvl w:ilvl="3" w:tplc="587636A4" w:tentative="1">
      <w:start w:val="1"/>
      <w:numFmt w:val="bullet"/>
      <w:lvlText w:val=""/>
      <w:lvlJc w:val="left"/>
      <w:pPr>
        <w:tabs>
          <w:tab w:val="num" w:pos="3600"/>
        </w:tabs>
        <w:ind w:left="3600" w:hanging="360"/>
      </w:pPr>
      <w:rPr>
        <w:rFonts w:ascii="Symbol" w:hAnsi="Symbol" w:hint="default"/>
      </w:rPr>
    </w:lvl>
    <w:lvl w:ilvl="4" w:tplc="8864D616" w:tentative="1">
      <w:start w:val="1"/>
      <w:numFmt w:val="bullet"/>
      <w:lvlText w:val="o"/>
      <w:lvlJc w:val="left"/>
      <w:pPr>
        <w:tabs>
          <w:tab w:val="num" w:pos="4320"/>
        </w:tabs>
        <w:ind w:left="4320" w:hanging="360"/>
      </w:pPr>
      <w:rPr>
        <w:rFonts w:ascii="Courier New" w:hAnsi="Courier New" w:hint="default"/>
      </w:rPr>
    </w:lvl>
    <w:lvl w:ilvl="5" w:tplc="B5586C1C" w:tentative="1">
      <w:start w:val="1"/>
      <w:numFmt w:val="bullet"/>
      <w:lvlText w:val=""/>
      <w:lvlJc w:val="left"/>
      <w:pPr>
        <w:tabs>
          <w:tab w:val="num" w:pos="5040"/>
        </w:tabs>
        <w:ind w:left="5040" w:hanging="360"/>
      </w:pPr>
      <w:rPr>
        <w:rFonts w:ascii="Wingdings" w:hAnsi="Wingdings" w:hint="default"/>
      </w:rPr>
    </w:lvl>
    <w:lvl w:ilvl="6" w:tplc="F6886046" w:tentative="1">
      <w:start w:val="1"/>
      <w:numFmt w:val="bullet"/>
      <w:lvlText w:val=""/>
      <w:lvlJc w:val="left"/>
      <w:pPr>
        <w:tabs>
          <w:tab w:val="num" w:pos="5760"/>
        </w:tabs>
        <w:ind w:left="5760" w:hanging="360"/>
      </w:pPr>
      <w:rPr>
        <w:rFonts w:ascii="Symbol" w:hAnsi="Symbol" w:hint="default"/>
      </w:rPr>
    </w:lvl>
    <w:lvl w:ilvl="7" w:tplc="E67CBC7E" w:tentative="1">
      <w:start w:val="1"/>
      <w:numFmt w:val="bullet"/>
      <w:lvlText w:val="o"/>
      <w:lvlJc w:val="left"/>
      <w:pPr>
        <w:tabs>
          <w:tab w:val="num" w:pos="6480"/>
        </w:tabs>
        <w:ind w:left="6480" w:hanging="360"/>
      </w:pPr>
      <w:rPr>
        <w:rFonts w:ascii="Courier New" w:hAnsi="Courier New" w:hint="default"/>
      </w:rPr>
    </w:lvl>
    <w:lvl w:ilvl="8" w:tplc="C484700A" w:tentative="1">
      <w:start w:val="1"/>
      <w:numFmt w:val="bullet"/>
      <w:lvlText w:val=""/>
      <w:lvlJc w:val="left"/>
      <w:pPr>
        <w:tabs>
          <w:tab w:val="num" w:pos="7200"/>
        </w:tabs>
        <w:ind w:left="7200" w:hanging="360"/>
      </w:pPr>
      <w:rPr>
        <w:rFonts w:ascii="Wingdings" w:hAnsi="Wingdings" w:hint="default"/>
      </w:rPr>
    </w:lvl>
  </w:abstractNum>
  <w:abstractNum w:abstractNumId="52">
    <w:nsid w:val="4E1416BF"/>
    <w:multiLevelType w:val="hybridMultilevel"/>
    <w:tmpl w:val="C71E737E"/>
    <w:lvl w:ilvl="0" w:tplc="AC58264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50760B70"/>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54">
    <w:nsid w:val="58D93C7C"/>
    <w:multiLevelType w:val="hybridMultilevel"/>
    <w:tmpl w:val="B832FDCE"/>
    <w:lvl w:ilvl="0" w:tplc="68F27E1A">
      <w:start w:val="1"/>
      <w:numFmt w:val="decimal"/>
      <w:lvlText w:val="%1."/>
      <w:lvlJc w:val="left"/>
      <w:pPr>
        <w:ind w:left="720" w:hanging="360"/>
      </w:pPr>
      <w:rPr>
        <w:rFonts w:hint="default"/>
      </w:rPr>
    </w:lvl>
    <w:lvl w:ilvl="1" w:tplc="421ED066" w:tentative="1">
      <w:start w:val="1"/>
      <w:numFmt w:val="lowerLetter"/>
      <w:lvlText w:val="%2."/>
      <w:lvlJc w:val="left"/>
      <w:pPr>
        <w:ind w:left="1440" w:hanging="360"/>
      </w:pPr>
    </w:lvl>
    <w:lvl w:ilvl="2" w:tplc="88A0C832" w:tentative="1">
      <w:start w:val="1"/>
      <w:numFmt w:val="lowerRoman"/>
      <w:lvlText w:val="%3."/>
      <w:lvlJc w:val="right"/>
      <w:pPr>
        <w:ind w:left="2160" w:hanging="180"/>
      </w:pPr>
    </w:lvl>
    <w:lvl w:ilvl="3" w:tplc="BCD0F6E6" w:tentative="1">
      <w:start w:val="1"/>
      <w:numFmt w:val="decimal"/>
      <w:lvlText w:val="%4."/>
      <w:lvlJc w:val="left"/>
      <w:pPr>
        <w:ind w:left="2880" w:hanging="360"/>
      </w:pPr>
    </w:lvl>
    <w:lvl w:ilvl="4" w:tplc="7464886C" w:tentative="1">
      <w:start w:val="1"/>
      <w:numFmt w:val="lowerLetter"/>
      <w:lvlText w:val="%5."/>
      <w:lvlJc w:val="left"/>
      <w:pPr>
        <w:ind w:left="3600" w:hanging="360"/>
      </w:pPr>
    </w:lvl>
    <w:lvl w:ilvl="5" w:tplc="0A5A5C2E" w:tentative="1">
      <w:start w:val="1"/>
      <w:numFmt w:val="lowerRoman"/>
      <w:lvlText w:val="%6."/>
      <w:lvlJc w:val="right"/>
      <w:pPr>
        <w:ind w:left="4320" w:hanging="180"/>
      </w:pPr>
    </w:lvl>
    <w:lvl w:ilvl="6" w:tplc="B0E0F8C2" w:tentative="1">
      <w:start w:val="1"/>
      <w:numFmt w:val="decimal"/>
      <w:lvlText w:val="%7."/>
      <w:lvlJc w:val="left"/>
      <w:pPr>
        <w:ind w:left="5040" w:hanging="360"/>
      </w:pPr>
    </w:lvl>
    <w:lvl w:ilvl="7" w:tplc="C1461ED6" w:tentative="1">
      <w:start w:val="1"/>
      <w:numFmt w:val="lowerLetter"/>
      <w:lvlText w:val="%8."/>
      <w:lvlJc w:val="left"/>
      <w:pPr>
        <w:ind w:left="5760" w:hanging="360"/>
      </w:pPr>
    </w:lvl>
    <w:lvl w:ilvl="8" w:tplc="6DBC49FE" w:tentative="1">
      <w:start w:val="1"/>
      <w:numFmt w:val="lowerRoman"/>
      <w:lvlText w:val="%9."/>
      <w:lvlJc w:val="right"/>
      <w:pPr>
        <w:ind w:left="6480" w:hanging="180"/>
      </w:pPr>
    </w:lvl>
  </w:abstractNum>
  <w:abstractNum w:abstractNumId="55">
    <w:nsid w:val="5AAF4567"/>
    <w:multiLevelType w:val="hybridMultilevel"/>
    <w:tmpl w:val="8F542B4C"/>
    <w:lvl w:ilvl="0" w:tplc="DB0C1F02">
      <w:start w:val="1"/>
      <w:numFmt w:val="bullet"/>
      <w:lvlText w:val=""/>
      <w:lvlJc w:val="left"/>
      <w:pPr>
        <w:ind w:left="720" w:hanging="360"/>
      </w:pPr>
      <w:rPr>
        <w:rFonts w:ascii="Symbol" w:hAnsi="Symbol" w:hint="default"/>
      </w:rPr>
    </w:lvl>
    <w:lvl w:ilvl="1" w:tplc="15B87BCE">
      <w:start w:val="1"/>
      <w:numFmt w:val="bullet"/>
      <w:lvlText w:val="o"/>
      <w:lvlJc w:val="left"/>
      <w:pPr>
        <w:ind w:left="1440" w:hanging="360"/>
      </w:pPr>
      <w:rPr>
        <w:rFonts w:ascii="Courier New" w:hAnsi="Courier New" w:cs="Courier New" w:hint="default"/>
      </w:rPr>
    </w:lvl>
    <w:lvl w:ilvl="2" w:tplc="F8522C44" w:tentative="1">
      <w:start w:val="1"/>
      <w:numFmt w:val="bullet"/>
      <w:lvlText w:val=""/>
      <w:lvlJc w:val="left"/>
      <w:pPr>
        <w:ind w:left="2160" w:hanging="360"/>
      </w:pPr>
      <w:rPr>
        <w:rFonts w:ascii="Wingdings" w:hAnsi="Wingdings" w:hint="default"/>
      </w:rPr>
    </w:lvl>
    <w:lvl w:ilvl="3" w:tplc="9A88E048" w:tentative="1">
      <w:start w:val="1"/>
      <w:numFmt w:val="bullet"/>
      <w:lvlText w:val=""/>
      <w:lvlJc w:val="left"/>
      <w:pPr>
        <w:ind w:left="2880" w:hanging="360"/>
      </w:pPr>
      <w:rPr>
        <w:rFonts w:ascii="Symbol" w:hAnsi="Symbol" w:hint="default"/>
      </w:rPr>
    </w:lvl>
    <w:lvl w:ilvl="4" w:tplc="B76A11FA" w:tentative="1">
      <w:start w:val="1"/>
      <w:numFmt w:val="bullet"/>
      <w:lvlText w:val="o"/>
      <w:lvlJc w:val="left"/>
      <w:pPr>
        <w:ind w:left="3600" w:hanging="360"/>
      </w:pPr>
      <w:rPr>
        <w:rFonts w:ascii="Courier New" w:hAnsi="Courier New" w:cs="Courier New" w:hint="default"/>
      </w:rPr>
    </w:lvl>
    <w:lvl w:ilvl="5" w:tplc="F2369EAE" w:tentative="1">
      <w:start w:val="1"/>
      <w:numFmt w:val="bullet"/>
      <w:lvlText w:val=""/>
      <w:lvlJc w:val="left"/>
      <w:pPr>
        <w:ind w:left="4320" w:hanging="360"/>
      </w:pPr>
      <w:rPr>
        <w:rFonts w:ascii="Wingdings" w:hAnsi="Wingdings" w:hint="default"/>
      </w:rPr>
    </w:lvl>
    <w:lvl w:ilvl="6" w:tplc="0008AE6E" w:tentative="1">
      <w:start w:val="1"/>
      <w:numFmt w:val="bullet"/>
      <w:lvlText w:val=""/>
      <w:lvlJc w:val="left"/>
      <w:pPr>
        <w:ind w:left="5040" w:hanging="360"/>
      </w:pPr>
      <w:rPr>
        <w:rFonts w:ascii="Symbol" w:hAnsi="Symbol" w:hint="default"/>
      </w:rPr>
    </w:lvl>
    <w:lvl w:ilvl="7" w:tplc="6050537A" w:tentative="1">
      <w:start w:val="1"/>
      <w:numFmt w:val="bullet"/>
      <w:lvlText w:val="o"/>
      <w:lvlJc w:val="left"/>
      <w:pPr>
        <w:ind w:left="5760" w:hanging="360"/>
      </w:pPr>
      <w:rPr>
        <w:rFonts w:ascii="Courier New" w:hAnsi="Courier New" w:cs="Courier New" w:hint="default"/>
      </w:rPr>
    </w:lvl>
    <w:lvl w:ilvl="8" w:tplc="EE525BE2" w:tentative="1">
      <w:start w:val="1"/>
      <w:numFmt w:val="bullet"/>
      <w:lvlText w:val=""/>
      <w:lvlJc w:val="left"/>
      <w:pPr>
        <w:ind w:left="6480" w:hanging="360"/>
      </w:pPr>
      <w:rPr>
        <w:rFonts w:ascii="Wingdings" w:hAnsi="Wingdings" w:hint="default"/>
      </w:rPr>
    </w:lvl>
  </w:abstractNum>
  <w:abstractNum w:abstractNumId="56">
    <w:nsid w:val="5B226AF9"/>
    <w:multiLevelType w:val="hybridMultilevel"/>
    <w:tmpl w:val="493841B0"/>
    <w:lvl w:ilvl="0" w:tplc="0409000F">
      <w:start w:val="1"/>
      <w:numFmt w:val="bullet"/>
      <w:lvlText w:val=""/>
      <w:lvlJc w:val="left"/>
      <w:pPr>
        <w:tabs>
          <w:tab w:val="num" w:pos="1152"/>
        </w:tabs>
        <w:ind w:left="1152"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nsid w:val="5C5503BF"/>
    <w:multiLevelType w:val="hybridMultilevel"/>
    <w:tmpl w:val="917E31B2"/>
    <w:lvl w:ilvl="0" w:tplc="04090019">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58">
    <w:nsid w:val="5C5E4F0F"/>
    <w:multiLevelType w:val="hybridMultilevel"/>
    <w:tmpl w:val="8EE43282"/>
    <w:lvl w:ilvl="0" w:tplc="CC241D60">
      <w:start w:val="1"/>
      <w:numFmt w:val="bullet"/>
      <w:lvlText w:val=""/>
      <w:lvlJc w:val="left"/>
      <w:pPr>
        <w:ind w:left="720" w:hanging="360"/>
      </w:pPr>
      <w:rPr>
        <w:rFonts w:ascii="Symbol" w:hAnsi="Symbol" w:hint="default"/>
      </w:rPr>
    </w:lvl>
    <w:lvl w:ilvl="1" w:tplc="346C6C18" w:tentative="1">
      <w:start w:val="1"/>
      <w:numFmt w:val="bullet"/>
      <w:lvlText w:val="o"/>
      <w:lvlJc w:val="left"/>
      <w:pPr>
        <w:ind w:left="1440" w:hanging="360"/>
      </w:pPr>
      <w:rPr>
        <w:rFonts w:ascii="Courier New" w:hAnsi="Courier New" w:cs="Courier New" w:hint="default"/>
      </w:rPr>
    </w:lvl>
    <w:lvl w:ilvl="2" w:tplc="74C2BB52" w:tentative="1">
      <w:start w:val="1"/>
      <w:numFmt w:val="bullet"/>
      <w:lvlText w:val=""/>
      <w:lvlJc w:val="left"/>
      <w:pPr>
        <w:ind w:left="2160" w:hanging="360"/>
      </w:pPr>
      <w:rPr>
        <w:rFonts w:ascii="Wingdings" w:hAnsi="Wingdings" w:hint="default"/>
      </w:rPr>
    </w:lvl>
    <w:lvl w:ilvl="3" w:tplc="F2D4721E" w:tentative="1">
      <w:start w:val="1"/>
      <w:numFmt w:val="bullet"/>
      <w:lvlText w:val=""/>
      <w:lvlJc w:val="left"/>
      <w:pPr>
        <w:ind w:left="2880" w:hanging="360"/>
      </w:pPr>
      <w:rPr>
        <w:rFonts w:ascii="Symbol" w:hAnsi="Symbol" w:hint="default"/>
      </w:rPr>
    </w:lvl>
    <w:lvl w:ilvl="4" w:tplc="686C4FB4" w:tentative="1">
      <w:start w:val="1"/>
      <w:numFmt w:val="bullet"/>
      <w:lvlText w:val="o"/>
      <w:lvlJc w:val="left"/>
      <w:pPr>
        <w:ind w:left="3600" w:hanging="360"/>
      </w:pPr>
      <w:rPr>
        <w:rFonts w:ascii="Courier New" w:hAnsi="Courier New" w:cs="Courier New" w:hint="default"/>
      </w:rPr>
    </w:lvl>
    <w:lvl w:ilvl="5" w:tplc="171A8220" w:tentative="1">
      <w:start w:val="1"/>
      <w:numFmt w:val="bullet"/>
      <w:lvlText w:val=""/>
      <w:lvlJc w:val="left"/>
      <w:pPr>
        <w:ind w:left="4320" w:hanging="360"/>
      </w:pPr>
      <w:rPr>
        <w:rFonts w:ascii="Wingdings" w:hAnsi="Wingdings" w:hint="default"/>
      </w:rPr>
    </w:lvl>
    <w:lvl w:ilvl="6" w:tplc="886E6D78" w:tentative="1">
      <w:start w:val="1"/>
      <w:numFmt w:val="bullet"/>
      <w:lvlText w:val=""/>
      <w:lvlJc w:val="left"/>
      <w:pPr>
        <w:ind w:left="5040" w:hanging="360"/>
      </w:pPr>
      <w:rPr>
        <w:rFonts w:ascii="Symbol" w:hAnsi="Symbol" w:hint="default"/>
      </w:rPr>
    </w:lvl>
    <w:lvl w:ilvl="7" w:tplc="2408B6B4" w:tentative="1">
      <w:start w:val="1"/>
      <w:numFmt w:val="bullet"/>
      <w:lvlText w:val="o"/>
      <w:lvlJc w:val="left"/>
      <w:pPr>
        <w:ind w:left="5760" w:hanging="360"/>
      </w:pPr>
      <w:rPr>
        <w:rFonts w:ascii="Courier New" w:hAnsi="Courier New" w:cs="Courier New" w:hint="default"/>
      </w:rPr>
    </w:lvl>
    <w:lvl w:ilvl="8" w:tplc="C50CE5C4" w:tentative="1">
      <w:start w:val="1"/>
      <w:numFmt w:val="bullet"/>
      <w:lvlText w:val=""/>
      <w:lvlJc w:val="left"/>
      <w:pPr>
        <w:ind w:left="6480" w:hanging="360"/>
      </w:pPr>
      <w:rPr>
        <w:rFonts w:ascii="Wingdings" w:hAnsi="Wingdings" w:hint="default"/>
      </w:rPr>
    </w:lvl>
  </w:abstractNum>
  <w:abstractNum w:abstractNumId="59">
    <w:nsid w:val="5CDA603A"/>
    <w:multiLevelType w:val="hybridMultilevel"/>
    <w:tmpl w:val="75107102"/>
    <w:lvl w:ilvl="0" w:tplc="CDA01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481C94"/>
    <w:multiLevelType w:val="hybridMultilevel"/>
    <w:tmpl w:val="FF4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0630896"/>
    <w:multiLevelType w:val="hybridMultilevel"/>
    <w:tmpl w:val="84D216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2">
    <w:nsid w:val="6349235F"/>
    <w:multiLevelType w:val="hybridMultilevel"/>
    <w:tmpl w:val="79900A44"/>
    <w:lvl w:ilvl="0" w:tplc="17CC4B50">
      <w:start w:val="1"/>
      <w:numFmt w:val="bullet"/>
      <w:lvlText w:val=""/>
      <w:lvlJc w:val="left"/>
      <w:pPr>
        <w:ind w:left="720" w:hanging="360"/>
      </w:pPr>
      <w:rPr>
        <w:rFonts w:ascii="Symbol" w:hAnsi="Symbol" w:hint="default"/>
      </w:rPr>
    </w:lvl>
    <w:lvl w:ilvl="1" w:tplc="D0340AD8" w:tentative="1">
      <w:start w:val="1"/>
      <w:numFmt w:val="bullet"/>
      <w:lvlText w:val="o"/>
      <w:lvlJc w:val="left"/>
      <w:pPr>
        <w:ind w:left="1440" w:hanging="360"/>
      </w:pPr>
      <w:rPr>
        <w:rFonts w:ascii="Courier New" w:hAnsi="Courier New" w:cs="Courier New" w:hint="default"/>
      </w:rPr>
    </w:lvl>
    <w:lvl w:ilvl="2" w:tplc="752CAD7C" w:tentative="1">
      <w:start w:val="1"/>
      <w:numFmt w:val="bullet"/>
      <w:lvlText w:val=""/>
      <w:lvlJc w:val="left"/>
      <w:pPr>
        <w:ind w:left="2160" w:hanging="360"/>
      </w:pPr>
      <w:rPr>
        <w:rFonts w:ascii="Wingdings" w:hAnsi="Wingdings" w:hint="default"/>
      </w:rPr>
    </w:lvl>
    <w:lvl w:ilvl="3" w:tplc="1E088BF6" w:tentative="1">
      <w:start w:val="1"/>
      <w:numFmt w:val="bullet"/>
      <w:lvlText w:val=""/>
      <w:lvlJc w:val="left"/>
      <w:pPr>
        <w:ind w:left="2880" w:hanging="360"/>
      </w:pPr>
      <w:rPr>
        <w:rFonts w:ascii="Symbol" w:hAnsi="Symbol" w:hint="default"/>
      </w:rPr>
    </w:lvl>
    <w:lvl w:ilvl="4" w:tplc="F17EFBEC" w:tentative="1">
      <w:start w:val="1"/>
      <w:numFmt w:val="bullet"/>
      <w:lvlText w:val="o"/>
      <w:lvlJc w:val="left"/>
      <w:pPr>
        <w:ind w:left="3600" w:hanging="360"/>
      </w:pPr>
      <w:rPr>
        <w:rFonts w:ascii="Courier New" w:hAnsi="Courier New" w:cs="Courier New" w:hint="default"/>
      </w:rPr>
    </w:lvl>
    <w:lvl w:ilvl="5" w:tplc="2C36893E" w:tentative="1">
      <w:start w:val="1"/>
      <w:numFmt w:val="bullet"/>
      <w:lvlText w:val=""/>
      <w:lvlJc w:val="left"/>
      <w:pPr>
        <w:ind w:left="4320" w:hanging="360"/>
      </w:pPr>
      <w:rPr>
        <w:rFonts w:ascii="Wingdings" w:hAnsi="Wingdings" w:hint="default"/>
      </w:rPr>
    </w:lvl>
    <w:lvl w:ilvl="6" w:tplc="B59226E6" w:tentative="1">
      <w:start w:val="1"/>
      <w:numFmt w:val="bullet"/>
      <w:lvlText w:val=""/>
      <w:lvlJc w:val="left"/>
      <w:pPr>
        <w:ind w:left="5040" w:hanging="360"/>
      </w:pPr>
      <w:rPr>
        <w:rFonts w:ascii="Symbol" w:hAnsi="Symbol" w:hint="default"/>
      </w:rPr>
    </w:lvl>
    <w:lvl w:ilvl="7" w:tplc="AFC2496E" w:tentative="1">
      <w:start w:val="1"/>
      <w:numFmt w:val="bullet"/>
      <w:lvlText w:val="o"/>
      <w:lvlJc w:val="left"/>
      <w:pPr>
        <w:ind w:left="5760" w:hanging="360"/>
      </w:pPr>
      <w:rPr>
        <w:rFonts w:ascii="Courier New" w:hAnsi="Courier New" w:cs="Courier New" w:hint="default"/>
      </w:rPr>
    </w:lvl>
    <w:lvl w:ilvl="8" w:tplc="7890CF48" w:tentative="1">
      <w:start w:val="1"/>
      <w:numFmt w:val="bullet"/>
      <w:lvlText w:val=""/>
      <w:lvlJc w:val="left"/>
      <w:pPr>
        <w:ind w:left="6480" w:hanging="360"/>
      </w:pPr>
      <w:rPr>
        <w:rFonts w:ascii="Wingdings" w:hAnsi="Wingdings" w:hint="default"/>
      </w:rPr>
    </w:lvl>
  </w:abstractNum>
  <w:abstractNum w:abstractNumId="63">
    <w:nsid w:val="63C84BE1"/>
    <w:multiLevelType w:val="hybridMultilevel"/>
    <w:tmpl w:val="F732D9DC"/>
    <w:lvl w:ilvl="0" w:tplc="04090001">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4">
    <w:nsid w:val="64F018E4"/>
    <w:multiLevelType w:val="hybridMultilevel"/>
    <w:tmpl w:val="6250EE38"/>
    <w:lvl w:ilvl="0" w:tplc="70200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4F41D7"/>
    <w:multiLevelType w:val="hybridMultilevel"/>
    <w:tmpl w:val="010A4C8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6">
    <w:nsid w:val="68607CF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67">
    <w:nsid w:val="6B2D6AD4"/>
    <w:multiLevelType w:val="hybridMultilevel"/>
    <w:tmpl w:val="3DF66E28"/>
    <w:lvl w:ilvl="0" w:tplc="04090001">
      <w:start w:val="1"/>
      <w:numFmt w:val="lowerLetter"/>
      <w:lvlText w:val="%1."/>
      <w:lvlJc w:val="left"/>
      <w:pPr>
        <w:ind w:left="720" w:hanging="360"/>
      </w:pPr>
      <w:rPr>
        <w:rFonts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6B724F93"/>
    <w:multiLevelType w:val="hybridMultilevel"/>
    <w:tmpl w:val="F162DB96"/>
    <w:lvl w:ilvl="0" w:tplc="8F72A0B0">
      <w:start w:val="1"/>
      <w:numFmt w:val="bullet"/>
      <w:lvlText w:val=""/>
      <w:lvlJc w:val="left"/>
      <w:pPr>
        <w:ind w:left="720" w:hanging="360"/>
      </w:pPr>
      <w:rPr>
        <w:rFonts w:ascii="Symbol" w:hAnsi="Symbol" w:hint="default"/>
      </w:rPr>
    </w:lvl>
    <w:lvl w:ilvl="1" w:tplc="10387246" w:tentative="1">
      <w:start w:val="1"/>
      <w:numFmt w:val="bullet"/>
      <w:lvlText w:val="o"/>
      <w:lvlJc w:val="left"/>
      <w:pPr>
        <w:ind w:left="1440" w:hanging="360"/>
      </w:pPr>
      <w:rPr>
        <w:rFonts w:ascii="Courier New" w:hAnsi="Courier New" w:cs="Courier New" w:hint="default"/>
      </w:rPr>
    </w:lvl>
    <w:lvl w:ilvl="2" w:tplc="58D0A312" w:tentative="1">
      <w:start w:val="1"/>
      <w:numFmt w:val="bullet"/>
      <w:lvlText w:val=""/>
      <w:lvlJc w:val="left"/>
      <w:pPr>
        <w:ind w:left="2160" w:hanging="360"/>
      </w:pPr>
      <w:rPr>
        <w:rFonts w:ascii="Wingdings" w:hAnsi="Wingdings" w:hint="default"/>
      </w:rPr>
    </w:lvl>
    <w:lvl w:ilvl="3" w:tplc="87E6EDA0" w:tentative="1">
      <w:start w:val="1"/>
      <w:numFmt w:val="bullet"/>
      <w:lvlText w:val=""/>
      <w:lvlJc w:val="left"/>
      <w:pPr>
        <w:ind w:left="2880" w:hanging="360"/>
      </w:pPr>
      <w:rPr>
        <w:rFonts w:ascii="Symbol" w:hAnsi="Symbol" w:hint="default"/>
      </w:rPr>
    </w:lvl>
    <w:lvl w:ilvl="4" w:tplc="96FE2384" w:tentative="1">
      <w:start w:val="1"/>
      <w:numFmt w:val="bullet"/>
      <w:lvlText w:val="o"/>
      <w:lvlJc w:val="left"/>
      <w:pPr>
        <w:ind w:left="3600" w:hanging="360"/>
      </w:pPr>
      <w:rPr>
        <w:rFonts w:ascii="Courier New" w:hAnsi="Courier New" w:cs="Courier New" w:hint="default"/>
      </w:rPr>
    </w:lvl>
    <w:lvl w:ilvl="5" w:tplc="E81AD9F4" w:tentative="1">
      <w:start w:val="1"/>
      <w:numFmt w:val="bullet"/>
      <w:lvlText w:val=""/>
      <w:lvlJc w:val="left"/>
      <w:pPr>
        <w:ind w:left="4320" w:hanging="360"/>
      </w:pPr>
      <w:rPr>
        <w:rFonts w:ascii="Wingdings" w:hAnsi="Wingdings" w:hint="default"/>
      </w:rPr>
    </w:lvl>
    <w:lvl w:ilvl="6" w:tplc="F58EEAAC" w:tentative="1">
      <w:start w:val="1"/>
      <w:numFmt w:val="bullet"/>
      <w:lvlText w:val=""/>
      <w:lvlJc w:val="left"/>
      <w:pPr>
        <w:ind w:left="5040" w:hanging="360"/>
      </w:pPr>
      <w:rPr>
        <w:rFonts w:ascii="Symbol" w:hAnsi="Symbol" w:hint="default"/>
      </w:rPr>
    </w:lvl>
    <w:lvl w:ilvl="7" w:tplc="7C88F5CA" w:tentative="1">
      <w:start w:val="1"/>
      <w:numFmt w:val="bullet"/>
      <w:lvlText w:val="o"/>
      <w:lvlJc w:val="left"/>
      <w:pPr>
        <w:ind w:left="5760" w:hanging="360"/>
      </w:pPr>
      <w:rPr>
        <w:rFonts w:ascii="Courier New" w:hAnsi="Courier New" w:cs="Courier New" w:hint="default"/>
      </w:rPr>
    </w:lvl>
    <w:lvl w:ilvl="8" w:tplc="EEE8FEC6" w:tentative="1">
      <w:start w:val="1"/>
      <w:numFmt w:val="bullet"/>
      <w:lvlText w:val=""/>
      <w:lvlJc w:val="left"/>
      <w:pPr>
        <w:ind w:left="6480" w:hanging="360"/>
      </w:pPr>
      <w:rPr>
        <w:rFonts w:ascii="Wingdings" w:hAnsi="Wingdings" w:hint="default"/>
      </w:rPr>
    </w:lvl>
  </w:abstractNum>
  <w:abstractNum w:abstractNumId="69">
    <w:nsid w:val="6BBA0D67"/>
    <w:multiLevelType w:val="hybridMultilevel"/>
    <w:tmpl w:val="41E8CA4C"/>
    <w:lvl w:ilvl="0" w:tplc="04090001">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6C4A25AE"/>
    <w:multiLevelType w:val="hybridMultilevel"/>
    <w:tmpl w:val="3DF66E28"/>
    <w:lvl w:ilvl="0" w:tplc="04090001">
      <w:start w:val="1"/>
      <w:numFmt w:val="lowerLetter"/>
      <w:lvlText w:val="%1."/>
      <w:lvlJc w:val="left"/>
      <w:pPr>
        <w:ind w:left="720" w:hanging="360"/>
      </w:pPr>
      <w:rPr>
        <w:rFonts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6C827D4A"/>
    <w:multiLevelType w:val="hybridMultilevel"/>
    <w:tmpl w:val="1988E978"/>
    <w:lvl w:ilvl="0" w:tplc="04090019">
      <w:start w:val="1"/>
      <w:numFmt w:val="bullet"/>
      <w:lvlText w:val=""/>
      <w:lvlJc w:val="left"/>
      <w:pPr>
        <w:tabs>
          <w:tab w:val="num" w:pos="1080"/>
        </w:tabs>
        <w:ind w:left="792" w:hanging="72"/>
      </w:pPr>
      <w:rPr>
        <w:rFonts w:ascii="Symbol" w:hAnsi="Symbol" w:hint="default"/>
        <w:sz w:val="20"/>
      </w:rPr>
    </w:lvl>
    <w:lvl w:ilvl="1" w:tplc="04090019">
      <w:start w:val="1"/>
      <w:numFmt w:val="bullet"/>
      <w:lvlText w:val=""/>
      <w:lvlJc w:val="left"/>
      <w:pPr>
        <w:tabs>
          <w:tab w:val="num" w:pos="2088"/>
        </w:tabs>
        <w:ind w:left="1728" w:firstLine="0"/>
      </w:pPr>
      <w:rPr>
        <w:rFonts w:ascii="Symbol" w:hAnsi="Symbol" w:hint="default"/>
        <w:sz w:val="20"/>
      </w:rPr>
    </w:lvl>
    <w:lvl w:ilvl="2" w:tplc="0409001B">
      <w:numFmt w:val="bullet"/>
      <w:lvlText w:val="–"/>
      <w:lvlJc w:val="left"/>
      <w:pPr>
        <w:tabs>
          <w:tab w:val="num" w:pos="2808"/>
        </w:tabs>
        <w:ind w:left="2808" w:hanging="360"/>
      </w:pPr>
      <w:rPr>
        <w:rFonts w:ascii="Times New Roman" w:eastAsia="Times New Roman" w:hAnsi="Times New Roman" w:cs="Times New Roman" w:hint="default"/>
      </w:rPr>
    </w:lvl>
    <w:lvl w:ilvl="3" w:tplc="0409000F" w:tentative="1">
      <w:start w:val="1"/>
      <w:numFmt w:val="bullet"/>
      <w:lvlText w:val=""/>
      <w:lvlJc w:val="left"/>
      <w:pPr>
        <w:tabs>
          <w:tab w:val="num" w:pos="3528"/>
        </w:tabs>
        <w:ind w:left="3528" w:hanging="360"/>
      </w:pPr>
      <w:rPr>
        <w:rFonts w:ascii="Symbol" w:hAnsi="Symbol" w:hint="default"/>
      </w:rPr>
    </w:lvl>
    <w:lvl w:ilvl="4" w:tplc="04090019" w:tentative="1">
      <w:start w:val="1"/>
      <w:numFmt w:val="bullet"/>
      <w:lvlText w:val="o"/>
      <w:lvlJc w:val="left"/>
      <w:pPr>
        <w:tabs>
          <w:tab w:val="num" w:pos="4248"/>
        </w:tabs>
        <w:ind w:left="4248" w:hanging="360"/>
      </w:pPr>
      <w:rPr>
        <w:rFonts w:ascii="Courier New" w:hAnsi="Courier New" w:hint="default"/>
      </w:rPr>
    </w:lvl>
    <w:lvl w:ilvl="5" w:tplc="0409001B" w:tentative="1">
      <w:start w:val="1"/>
      <w:numFmt w:val="bullet"/>
      <w:lvlText w:val=""/>
      <w:lvlJc w:val="left"/>
      <w:pPr>
        <w:tabs>
          <w:tab w:val="num" w:pos="4968"/>
        </w:tabs>
        <w:ind w:left="4968" w:hanging="360"/>
      </w:pPr>
      <w:rPr>
        <w:rFonts w:ascii="Wingdings" w:hAnsi="Wingdings" w:hint="default"/>
      </w:rPr>
    </w:lvl>
    <w:lvl w:ilvl="6" w:tplc="0409000F" w:tentative="1">
      <w:start w:val="1"/>
      <w:numFmt w:val="bullet"/>
      <w:lvlText w:val=""/>
      <w:lvlJc w:val="left"/>
      <w:pPr>
        <w:tabs>
          <w:tab w:val="num" w:pos="5688"/>
        </w:tabs>
        <w:ind w:left="5688" w:hanging="360"/>
      </w:pPr>
      <w:rPr>
        <w:rFonts w:ascii="Symbol" w:hAnsi="Symbol" w:hint="default"/>
      </w:rPr>
    </w:lvl>
    <w:lvl w:ilvl="7" w:tplc="04090019" w:tentative="1">
      <w:start w:val="1"/>
      <w:numFmt w:val="bullet"/>
      <w:lvlText w:val="o"/>
      <w:lvlJc w:val="left"/>
      <w:pPr>
        <w:tabs>
          <w:tab w:val="num" w:pos="6408"/>
        </w:tabs>
        <w:ind w:left="6408" w:hanging="360"/>
      </w:pPr>
      <w:rPr>
        <w:rFonts w:ascii="Courier New" w:hAnsi="Courier New" w:hint="default"/>
      </w:rPr>
    </w:lvl>
    <w:lvl w:ilvl="8" w:tplc="0409001B" w:tentative="1">
      <w:start w:val="1"/>
      <w:numFmt w:val="bullet"/>
      <w:lvlText w:val=""/>
      <w:lvlJc w:val="left"/>
      <w:pPr>
        <w:tabs>
          <w:tab w:val="num" w:pos="7128"/>
        </w:tabs>
        <w:ind w:left="7128" w:hanging="360"/>
      </w:pPr>
      <w:rPr>
        <w:rFonts w:ascii="Wingdings" w:hAnsi="Wingdings" w:hint="default"/>
      </w:rPr>
    </w:lvl>
  </w:abstractNum>
  <w:abstractNum w:abstractNumId="72">
    <w:nsid w:val="6C8E4BE2"/>
    <w:multiLevelType w:val="hybridMultilevel"/>
    <w:tmpl w:val="CB04012C"/>
    <w:lvl w:ilvl="0" w:tplc="0409000F">
      <w:start w:val="1"/>
      <w:numFmt w:val="bullet"/>
      <w:lvlText w:val=""/>
      <w:lvlJc w:val="left"/>
      <w:pPr>
        <w:tabs>
          <w:tab w:val="num" w:pos="1152"/>
        </w:tabs>
        <w:ind w:left="1152"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nsid w:val="70D449FE"/>
    <w:multiLevelType w:val="hybridMultilevel"/>
    <w:tmpl w:val="97E268E0"/>
    <w:lvl w:ilvl="0" w:tplc="3D0C8A0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nsid w:val="726F644F"/>
    <w:multiLevelType w:val="singleLevel"/>
    <w:tmpl w:val="6FE2B6E6"/>
    <w:lvl w:ilvl="0">
      <w:start w:val="1"/>
      <w:numFmt w:val="decimal"/>
      <w:pStyle w:val="Reference"/>
      <w:lvlText w:val="%1."/>
      <w:lvlJc w:val="left"/>
      <w:pPr>
        <w:tabs>
          <w:tab w:val="num" w:pos="720"/>
        </w:tabs>
        <w:ind w:left="720" w:hanging="720"/>
      </w:pPr>
    </w:lvl>
  </w:abstractNum>
  <w:abstractNum w:abstractNumId="75">
    <w:nsid w:val="73EF68DA"/>
    <w:multiLevelType w:val="hybridMultilevel"/>
    <w:tmpl w:val="3A2029C8"/>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nsid w:val="742C0E92"/>
    <w:multiLevelType w:val="hybridMultilevel"/>
    <w:tmpl w:val="784EE792"/>
    <w:lvl w:ilvl="0" w:tplc="9E06B2E6">
      <w:start w:val="1"/>
      <w:numFmt w:val="bullet"/>
      <w:lvlText w:val=""/>
      <w:lvlJc w:val="left"/>
      <w:pPr>
        <w:ind w:left="720" w:hanging="360"/>
      </w:pPr>
      <w:rPr>
        <w:rFonts w:ascii="Symbol" w:hAnsi="Symbol" w:hint="default"/>
      </w:rPr>
    </w:lvl>
    <w:lvl w:ilvl="1" w:tplc="9CA63106">
      <w:start w:val="1"/>
      <w:numFmt w:val="bullet"/>
      <w:lvlText w:val="o"/>
      <w:lvlJc w:val="left"/>
      <w:pPr>
        <w:ind w:left="1440" w:hanging="360"/>
      </w:pPr>
      <w:rPr>
        <w:rFonts w:ascii="Courier New" w:hAnsi="Courier New" w:cs="Courier New" w:hint="default"/>
      </w:rPr>
    </w:lvl>
    <w:lvl w:ilvl="2" w:tplc="21A65E5E" w:tentative="1">
      <w:start w:val="1"/>
      <w:numFmt w:val="bullet"/>
      <w:lvlText w:val=""/>
      <w:lvlJc w:val="left"/>
      <w:pPr>
        <w:ind w:left="2160" w:hanging="360"/>
      </w:pPr>
      <w:rPr>
        <w:rFonts w:ascii="Wingdings" w:hAnsi="Wingdings" w:hint="default"/>
      </w:rPr>
    </w:lvl>
    <w:lvl w:ilvl="3" w:tplc="983E3212" w:tentative="1">
      <w:start w:val="1"/>
      <w:numFmt w:val="bullet"/>
      <w:lvlText w:val=""/>
      <w:lvlJc w:val="left"/>
      <w:pPr>
        <w:ind w:left="2880" w:hanging="360"/>
      </w:pPr>
      <w:rPr>
        <w:rFonts w:ascii="Symbol" w:hAnsi="Symbol" w:hint="default"/>
      </w:rPr>
    </w:lvl>
    <w:lvl w:ilvl="4" w:tplc="4B74362E" w:tentative="1">
      <w:start w:val="1"/>
      <w:numFmt w:val="bullet"/>
      <w:lvlText w:val="o"/>
      <w:lvlJc w:val="left"/>
      <w:pPr>
        <w:ind w:left="3600" w:hanging="360"/>
      </w:pPr>
      <w:rPr>
        <w:rFonts w:ascii="Courier New" w:hAnsi="Courier New" w:cs="Courier New" w:hint="default"/>
      </w:rPr>
    </w:lvl>
    <w:lvl w:ilvl="5" w:tplc="1220B694" w:tentative="1">
      <w:start w:val="1"/>
      <w:numFmt w:val="bullet"/>
      <w:lvlText w:val=""/>
      <w:lvlJc w:val="left"/>
      <w:pPr>
        <w:ind w:left="4320" w:hanging="360"/>
      </w:pPr>
      <w:rPr>
        <w:rFonts w:ascii="Wingdings" w:hAnsi="Wingdings" w:hint="default"/>
      </w:rPr>
    </w:lvl>
    <w:lvl w:ilvl="6" w:tplc="CA64D93E" w:tentative="1">
      <w:start w:val="1"/>
      <w:numFmt w:val="bullet"/>
      <w:lvlText w:val=""/>
      <w:lvlJc w:val="left"/>
      <w:pPr>
        <w:ind w:left="5040" w:hanging="360"/>
      </w:pPr>
      <w:rPr>
        <w:rFonts w:ascii="Symbol" w:hAnsi="Symbol" w:hint="default"/>
      </w:rPr>
    </w:lvl>
    <w:lvl w:ilvl="7" w:tplc="B7748DA0" w:tentative="1">
      <w:start w:val="1"/>
      <w:numFmt w:val="bullet"/>
      <w:lvlText w:val="o"/>
      <w:lvlJc w:val="left"/>
      <w:pPr>
        <w:ind w:left="5760" w:hanging="360"/>
      </w:pPr>
      <w:rPr>
        <w:rFonts w:ascii="Courier New" w:hAnsi="Courier New" w:cs="Courier New" w:hint="default"/>
      </w:rPr>
    </w:lvl>
    <w:lvl w:ilvl="8" w:tplc="CE9828EC" w:tentative="1">
      <w:start w:val="1"/>
      <w:numFmt w:val="bullet"/>
      <w:lvlText w:val=""/>
      <w:lvlJc w:val="left"/>
      <w:pPr>
        <w:ind w:left="6480" w:hanging="360"/>
      </w:pPr>
      <w:rPr>
        <w:rFonts w:ascii="Wingdings" w:hAnsi="Wingdings" w:hint="default"/>
      </w:rPr>
    </w:lvl>
  </w:abstractNum>
  <w:abstractNum w:abstractNumId="77">
    <w:nsid w:val="74F24973"/>
    <w:multiLevelType w:val="hybridMultilevel"/>
    <w:tmpl w:val="DBDC3D48"/>
    <w:lvl w:ilvl="0" w:tplc="84B80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70720B3"/>
    <w:multiLevelType w:val="hybridMultilevel"/>
    <w:tmpl w:val="39D896AE"/>
    <w:lvl w:ilvl="0" w:tplc="8DD0D0C6">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9">
    <w:nsid w:val="7CCE3E14"/>
    <w:multiLevelType w:val="hybridMultilevel"/>
    <w:tmpl w:val="91FAC0C2"/>
    <w:lvl w:ilvl="0" w:tplc="CAD4AE30">
      <w:start w:val="1"/>
      <w:numFmt w:val="bullet"/>
      <w:lvlText w:val=""/>
      <w:lvlJc w:val="left"/>
      <w:pPr>
        <w:ind w:left="1440" w:hanging="360"/>
      </w:pPr>
      <w:rPr>
        <w:rFonts w:ascii="Symbol" w:hAnsi="Symbol" w:hint="default"/>
      </w:rPr>
    </w:lvl>
    <w:lvl w:ilvl="1" w:tplc="C366943C" w:tentative="1">
      <w:start w:val="1"/>
      <w:numFmt w:val="bullet"/>
      <w:lvlText w:val="o"/>
      <w:lvlJc w:val="left"/>
      <w:pPr>
        <w:ind w:left="2160" w:hanging="360"/>
      </w:pPr>
      <w:rPr>
        <w:rFonts w:ascii="Courier New" w:hAnsi="Courier New" w:cs="Courier New" w:hint="default"/>
      </w:rPr>
    </w:lvl>
    <w:lvl w:ilvl="2" w:tplc="38904674"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D18566B"/>
    <w:multiLevelType w:val="hybridMultilevel"/>
    <w:tmpl w:val="41E8CA4C"/>
    <w:lvl w:ilvl="0" w:tplc="CDA014E8">
      <w:start w:val="1"/>
      <w:numFmt w:val="bullet"/>
      <w:lvlText w:val=""/>
      <w:lvlJc w:val="left"/>
      <w:pPr>
        <w:tabs>
          <w:tab w:val="num" w:pos="1152"/>
        </w:tabs>
        <w:ind w:left="792" w:firstLine="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nsid w:val="7D1C7B39"/>
    <w:multiLevelType w:val="hybridMultilevel"/>
    <w:tmpl w:val="0A5A94A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nsid w:val="7F37251A"/>
    <w:multiLevelType w:val="hybridMultilevel"/>
    <w:tmpl w:val="A43E4840"/>
    <w:lvl w:ilvl="0" w:tplc="04090005">
      <w:start w:val="1"/>
      <w:numFmt w:val="lowerLetter"/>
      <w:lvlText w:val="%1."/>
      <w:lvlJc w:val="left"/>
      <w:pPr>
        <w:ind w:left="720" w:hanging="360"/>
      </w:pPr>
      <w:rPr>
        <w:rFonts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3">
    <w:nsid w:val="7F537A35"/>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num w:numId="1">
    <w:abstractNumId w:val="10"/>
  </w:num>
  <w:num w:numId="2">
    <w:abstractNumId w:val="30"/>
  </w:num>
  <w:num w:numId="3">
    <w:abstractNumId w:val="35"/>
  </w:num>
  <w:num w:numId="4">
    <w:abstractNumId w:val="72"/>
  </w:num>
  <w:num w:numId="5">
    <w:abstractNumId w:val="32"/>
  </w:num>
  <w:num w:numId="6">
    <w:abstractNumId w:val="83"/>
  </w:num>
  <w:num w:numId="7">
    <w:abstractNumId w:val="28"/>
  </w:num>
  <w:num w:numId="8">
    <w:abstractNumId w:val="25"/>
  </w:num>
  <w:num w:numId="9">
    <w:abstractNumId w:val="42"/>
  </w:num>
  <w:num w:numId="10">
    <w:abstractNumId w:val="46"/>
  </w:num>
  <w:num w:numId="11">
    <w:abstractNumId w:val="18"/>
  </w:num>
  <w:num w:numId="12">
    <w:abstractNumId w:val="66"/>
  </w:num>
  <w:num w:numId="13">
    <w:abstractNumId w:val="38"/>
  </w:num>
  <w:num w:numId="14">
    <w:abstractNumId w:val="53"/>
  </w:num>
  <w:num w:numId="15">
    <w:abstractNumId w:val="39"/>
  </w:num>
  <w:num w:numId="16">
    <w:abstractNumId w:val="26"/>
  </w:num>
  <w:num w:numId="17">
    <w:abstractNumId w:val="37"/>
  </w:num>
  <w:num w:numId="18">
    <w:abstractNumId w:val="71"/>
  </w:num>
  <w:num w:numId="19">
    <w:abstractNumId w:val="44"/>
  </w:num>
  <w:num w:numId="20">
    <w:abstractNumId w:val="80"/>
  </w:num>
  <w:num w:numId="21">
    <w:abstractNumId w:val="29"/>
  </w:num>
  <w:num w:numId="22">
    <w:abstractNumId w:val="33"/>
  </w:num>
  <w:num w:numId="23">
    <w:abstractNumId w:val="69"/>
  </w:num>
  <w:num w:numId="24">
    <w:abstractNumId w:val="51"/>
  </w:num>
  <w:num w:numId="25">
    <w:abstractNumId w:val="56"/>
  </w:num>
  <w:num w:numId="26">
    <w:abstractNumId w:val="43"/>
  </w:num>
  <w:num w:numId="27">
    <w:abstractNumId w:val="40"/>
  </w:num>
  <w:num w:numId="28">
    <w:abstractNumId w:val="15"/>
  </w:num>
  <w:num w:numId="29">
    <w:abstractNumId w:val="63"/>
  </w:num>
  <w:num w:numId="30">
    <w:abstractNumId w:val="59"/>
  </w:num>
  <w:num w:numId="31">
    <w:abstractNumId w:val="73"/>
  </w:num>
  <w:num w:numId="32">
    <w:abstractNumId w:val="36"/>
  </w:num>
  <w:num w:numId="33">
    <w:abstractNumId w:val="79"/>
  </w:num>
  <w:num w:numId="34">
    <w:abstractNumId w:val="34"/>
  </w:num>
  <w:num w:numId="35">
    <w:abstractNumId w:val="31"/>
  </w:num>
  <w:num w:numId="36">
    <w:abstractNumId w:val="52"/>
  </w:num>
  <w:num w:numId="37">
    <w:abstractNumId w:val="0"/>
  </w:num>
  <w:num w:numId="38">
    <w:abstractNumId w:val="76"/>
  </w:num>
  <w:num w:numId="39">
    <w:abstractNumId w:val="27"/>
  </w:num>
  <w:num w:numId="40">
    <w:abstractNumId w:val="60"/>
  </w:num>
  <w:num w:numId="41">
    <w:abstractNumId w:val="20"/>
  </w:num>
  <w:num w:numId="42">
    <w:abstractNumId w:val="55"/>
  </w:num>
  <w:num w:numId="43">
    <w:abstractNumId w:val="13"/>
  </w:num>
  <w:num w:numId="44">
    <w:abstractNumId w:val="24"/>
  </w:num>
  <w:num w:numId="45">
    <w:abstractNumId w:val="16"/>
  </w:num>
  <w:num w:numId="46">
    <w:abstractNumId w:val="61"/>
  </w:num>
  <w:num w:numId="47">
    <w:abstractNumId w:val="62"/>
  </w:num>
  <w:num w:numId="48">
    <w:abstractNumId w:val="74"/>
  </w:num>
  <w:num w:numId="49">
    <w:abstractNumId w:val="9"/>
  </w:num>
  <w:num w:numId="50">
    <w:abstractNumId w:val="75"/>
  </w:num>
  <w:num w:numId="51">
    <w:abstractNumId w:val="47"/>
  </w:num>
  <w:num w:numId="52">
    <w:abstractNumId w:val="14"/>
  </w:num>
  <w:num w:numId="53">
    <w:abstractNumId w:val="7"/>
  </w:num>
  <w:num w:numId="54">
    <w:abstractNumId w:val="6"/>
  </w:num>
  <w:num w:numId="55">
    <w:abstractNumId w:val="5"/>
  </w:num>
  <w:num w:numId="56">
    <w:abstractNumId w:val="8"/>
  </w:num>
  <w:num w:numId="57">
    <w:abstractNumId w:val="4"/>
  </w:num>
  <w:num w:numId="58">
    <w:abstractNumId w:val="3"/>
  </w:num>
  <w:num w:numId="59">
    <w:abstractNumId w:val="2"/>
  </w:num>
  <w:num w:numId="60">
    <w:abstractNumId w:val="1"/>
  </w:num>
  <w:num w:numId="61">
    <w:abstractNumId w:val="19"/>
  </w:num>
  <w:num w:numId="62">
    <w:abstractNumId w:val="48"/>
  </w:num>
  <w:num w:numId="63">
    <w:abstractNumId w:val="45"/>
  </w:num>
  <w:num w:numId="64">
    <w:abstractNumId w:val="78"/>
  </w:num>
  <w:num w:numId="65">
    <w:abstractNumId w:val="54"/>
  </w:num>
  <w:num w:numId="66">
    <w:abstractNumId w:val="11"/>
  </w:num>
  <w:num w:numId="67">
    <w:abstractNumId w:val="82"/>
  </w:num>
  <w:num w:numId="68">
    <w:abstractNumId w:val="67"/>
  </w:num>
  <w:num w:numId="69">
    <w:abstractNumId w:val="70"/>
  </w:num>
  <w:num w:numId="70">
    <w:abstractNumId w:val="68"/>
  </w:num>
  <w:num w:numId="71">
    <w:abstractNumId w:val="58"/>
  </w:num>
  <w:num w:numId="72">
    <w:abstractNumId w:val="49"/>
  </w:num>
  <w:num w:numId="73">
    <w:abstractNumId w:val="65"/>
  </w:num>
  <w:num w:numId="74">
    <w:abstractNumId w:val="81"/>
  </w:num>
  <w:num w:numId="75">
    <w:abstractNumId w:val="21"/>
  </w:num>
  <w:num w:numId="76">
    <w:abstractNumId w:val="22"/>
  </w:num>
  <w:num w:numId="77">
    <w:abstractNumId w:val="50"/>
  </w:num>
  <w:num w:numId="78">
    <w:abstractNumId w:val="41"/>
  </w:num>
  <w:num w:numId="79">
    <w:abstractNumId w:val="64"/>
  </w:num>
  <w:num w:numId="80">
    <w:abstractNumId w:val="77"/>
  </w:num>
  <w:num w:numId="81">
    <w:abstractNumId w:val="17"/>
  </w:num>
  <w:num w:numId="82">
    <w:abstractNumId w:val="57"/>
  </w:num>
  <w:num w:numId="83">
    <w:abstractNumId w:val="12"/>
  </w:num>
  <w:num w:numId="84">
    <w:abstractNumId w:val="23"/>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106497"/>
  </w:hdrShapeDefaults>
  <w:footnotePr>
    <w:footnote w:id="-1"/>
    <w:footnote w:id="0"/>
  </w:footnotePr>
  <w:endnotePr>
    <w:endnote w:id="-1"/>
    <w:endnote w:id="0"/>
  </w:endnotePr>
  <w:compat/>
  <w:rsids>
    <w:rsidRoot w:val="009155BD"/>
    <w:rsid w:val="0000334E"/>
    <w:rsid w:val="000072BD"/>
    <w:rsid w:val="000204F4"/>
    <w:rsid w:val="00026651"/>
    <w:rsid w:val="000267D7"/>
    <w:rsid w:val="00035C2E"/>
    <w:rsid w:val="00036184"/>
    <w:rsid w:val="00040D19"/>
    <w:rsid w:val="00047FFE"/>
    <w:rsid w:val="00052104"/>
    <w:rsid w:val="00052ABE"/>
    <w:rsid w:val="00072ED0"/>
    <w:rsid w:val="00074BF0"/>
    <w:rsid w:val="0009449E"/>
    <w:rsid w:val="0009735C"/>
    <w:rsid w:val="000A2254"/>
    <w:rsid w:val="000A4D45"/>
    <w:rsid w:val="000B1441"/>
    <w:rsid w:val="000B1797"/>
    <w:rsid w:val="000B47AD"/>
    <w:rsid w:val="000B5F09"/>
    <w:rsid w:val="000C080B"/>
    <w:rsid w:val="000C2C12"/>
    <w:rsid w:val="000D1A87"/>
    <w:rsid w:val="000D6BC5"/>
    <w:rsid w:val="000E299A"/>
    <w:rsid w:val="000E55E1"/>
    <w:rsid w:val="000E5F05"/>
    <w:rsid w:val="000E72A9"/>
    <w:rsid w:val="000F0DFE"/>
    <w:rsid w:val="000F63F8"/>
    <w:rsid w:val="000F7267"/>
    <w:rsid w:val="001026BC"/>
    <w:rsid w:val="0011371B"/>
    <w:rsid w:val="001243A2"/>
    <w:rsid w:val="0012600D"/>
    <w:rsid w:val="00127AAE"/>
    <w:rsid w:val="00133987"/>
    <w:rsid w:val="00133C1E"/>
    <w:rsid w:val="001349B8"/>
    <w:rsid w:val="0014057A"/>
    <w:rsid w:val="00141845"/>
    <w:rsid w:val="00141F86"/>
    <w:rsid w:val="00150922"/>
    <w:rsid w:val="0015718A"/>
    <w:rsid w:val="00161727"/>
    <w:rsid w:val="00161D54"/>
    <w:rsid w:val="00164715"/>
    <w:rsid w:val="0017218C"/>
    <w:rsid w:val="00172D1C"/>
    <w:rsid w:val="00175FC0"/>
    <w:rsid w:val="00176411"/>
    <w:rsid w:val="0018660F"/>
    <w:rsid w:val="001902BE"/>
    <w:rsid w:val="00196E5A"/>
    <w:rsid w:val="001A326A"/>
    <w:rsid w:val="001A39DE"/>
    <w:rsid w:val="001A3A7E"/>
    <w:rsid w:val="001B3D97"/>
    <w:rsid w:val="001B40D4"/>
    <w:rsid w:val="001B7C5F"/>
    <w:rsid w:val="001C0C84"/>
    <w:rsid w:val="001C0CB7"/>
    <w:rsid w:val="001C2C60"/>
    <w:rsid w:val="001C63F5"/>
    <w:rsid w:val="001D022F"/>
    <w:rsid w:val="001D2BF8"/>
    <w:rsid w:val="001D3782"/>
    <w:rsid w:val="001E4D6E"/>
    <w:rsid w:val="001E5EB3"/>
    <w:rsid w:val="001E5F55"/>
    <w:rsid w:val="001E6563"/>
    <w:rsid w:val="001E66BA"/>
    <w:rsid w:val="001E7361"/>
    <w:rsid w:val="001F1D1D"/>
    <w:rsid w:val="001F27FF"/>
    <w:rsid w:val="001F5626"/>
    <w:rsid w:val="001F6F10"/>
    <w:rsid w:val="00200FF8"/>
    <w:rsid w:val="00205C9B"/>
    <w:rsid w:val="00210132"/>
    <w:rsid w:val="002155A1"/>
    <w:rsid w:val="002161CD"/>
    <w:rsid w:val="00223B0F"/>
    <w:rsid w:val="00225E51"/>
    <w:rsid w:val="00231A6D"/>
    <w:rsid w:val="0023400F"/>
    <w:rsid w:val="002346E5"/>
    <w:rsid w:val="0023636A"/>
    <w:rsid w:val="00241DBC"/>
    <w:rsid w:val="0024438A"/>
    <w:rsid w:val="00244A62"/>
    <w:rsid w:val="00245A15"/>
    <w:rsid w:val="0024676A"/>
    <w:rsid w:val="002528B9"/>
    <w:rsid w:val="00257462"/>
    <w:rsid w:val="00265267"/>
    <w:rsid w:val="00267C55"/>
    <w:rsid w:val="0027156B"/>
    <w:rsid w:val="002725E7"/>
    <w:rsid w:val="00282CED"/>
    <w:rsid w:val="00290988"/>
    <w:rsid w:val="002950CE"/>
    <w:rsid w:val="00297985"/>
    <w:rsid w:val="00297B65"/>
    <w:rsid w:val="002A0F08"/>
    <w:rsid w:val="002A3DC6"/>
    <w:rsid w:val="002A4C95"/>
    <w:rsid w:val="002A7170"/>
    <w:rsid w:val="002A75CE"/>
    <w:rsid w:val="002B19B5"/>
    <w:rsid w:val="002B2785"/>
    <w:rsid w:val="002B5EA8"/>
    <w:rsid w:val="002B6C07"/>
    <w:rsid w:val="002C2E30"/>
    <w:rsid w:val="002C3490"/>
    <w:rsid w:val="002C4119"/>
    <w:rsid w:val="002C697C"/>
    <w:rsid w:val="002C7EDF"/>
    <w:rsid w:val="002D2F13"/>
    <w:rsid w:val="002D48EA"/>
    <w:rsid w:val="002D59F5"/>
    <w:rsid w:val="002D7A21"/>
    <w:rsid w:val="002E1029"/>
    <w:rsid w:val="002E58B2"/>
    <w:rsid w:val="002E7C13"/>
    <w:rsid w:val="002E7CBA"/>
    <w:rsid w:val="002F0FD3"/>
    <w:rsid w:val="002F1795"/>
    <w:rsid w:val="002F1861"/>
    <w:rsid w:val="003039F3"/>
    <w:rsid w:val="003046F4"/>
    <w:rsid w:val="003049AD"/>
    <w:rsid w:val="00310FD9"/>
    <w:rsid w:val="00311A31"/>
    <w:rsid w:val="00311DAB"/>
    <w:rsid w:val="00316416"/>
    <w:rsid w:val="00317A71"/>
    <w:rsid w:val="003203B3"/>
    <w:rsid w:val="00322DBE"/>
    <w:rsid w:val="00325E08"/>
    <w:rsid w:val="003315EB"/>
    <w:rsid w:val="00333661"/>
    <w:rsid w:val="003347F5"/>
    <w:rsid w:val="00335D30"/>
    <w:rsid w:val="00347DB8"/>
    <w:rsid w:val="00350D65"/>
    <w:rsid w:val="0035294F"/>
    <w:rsid w:val="00352F6F"/>
    <w:rsid w:val="00353136"/>
    <w:rsid w:val="00357A90"/>
    <w:rsid w:val="00360530"/>
    <w:rsid w:val="00360DA7"/>
    <w:rsid w:val="00361B93"/>
    <w:rsid w:val="0036394F"/>
    <w:rsid w:val="003705EA"/>
    <w:rsid w:val="00382A3B"/>
    <w:rsid w:val="00382DDA"/>
    <w:rsid w:val="00386FCA"/>
    <w:rsid w:val="00391582"/>
    <w:rsid w:val="00393D0B"/>
    <w:rsid w:val="00395C2E"/>
    <w:rsid w:val="003B07B1"/>
    <w:rsid w:val="003B0DE6"/>
    <w:rsid w:val="003B3609"/>
    <w:rsid w:val="003B4C5D"/>
    <w:rsid w:val="003C031A"/>
    <w:rsid w:val="003C586E"/>
    <w:rsid w:val="003C6EDA"/>
    <w:rsid w:val="003C7A9F"/>
    <w:rsid w:val="003D3024"/>
    <w:rsid w:val="003D7B69"/>
    <w:rsid w:val="003E2688"/>
    <w:rsid w:val="003E4F73"/>
    <w:rsid w:val="003F01A5"/>
    <w:rsid w:val="003F4BF5"/>
    <w:rsid w:val="0041046E"/>
    <w:rsid w:val="00410A06"/>
    <w:rsid w:val="00410FAD"/>
    <w:rsid w:val="0041344F"/>
    <w:rsid w:val="0041730D"/>
    <w:rsid w:val="00425794"/>
    <w:rsid w:val="004366E6"/>
    <w:rsid w:val="00441A45"/>
    <w:rsid w:val="00441B0C"/>
    <w:rsid w:val="00445CDA"/>
    <w:rsid w:val="00452741"/>
    <w:rsid w:val="00452DBB"/>
    <w:rsid w:val="00457E4E"/>
    <w:rsid w:val="00461BC2"/>
    <w:rsid w:val="004668AB"/>
    <w:rsid w:val="00472133"/>
    <w:rsid w:val="00474017"/>
    <w:rsid w:val="00476732"/>
    <w:rsid w:val="00476D9E"/>
    <w:rsid w:val="0048381D"/>
    <w:rsid w:val="004873E6"/>
    <w:rsid w:val="00495296"/>
    <w:rsid w:val="00497994"/>
    <w:rsid w:val="004A2E2F"/>
    <w:rsid w:val="004A36E7"/>
    <w:rsid w:val="004A57EA"/>
    <w:rsid w:val="004A760E"/>
    <w:rsid w:val="004B603C"/>
    <w:rsid w:val="004B7154"/>
    <w:rsid w:val="004C0A29"/>
    <w:rsid w:val="004C5480"/>
    <w:rsid w:val="004D38D2"/>
    <w:rsid w:val="004D4972"/>
    <w:rsid w:val="004D6A55"/>
    <w:rsid w:val="004D6D97"/>
    <w:rsid w:val="004E09A3"/>
    <w:rsid w:val="004E186D"/>
    <w:rsid w:val="004E34C6"/>
    <w:rsid w:val="004E5C0A"/>
    <w:rsid w:val="004E7AAD"/>
    <w:rsid w:val="004F44A6"/>
    <w:rsid w:val="004F5C07"/>
    <w:rsid w:val="004F6020"/>
    <w:rsid w:val="005019E9"/>
    <w:rsid w:val="00502AE3"/>
    <w:rsid w:val="005054AF"/>
    <w:rsid w:val="00506019"/>
    <w:rsid w:val="0050601E"/>
    <w:rsid w:val="00510934"/>
    <w:rsid w:val="00510BC3"/>
    <w:rsid w:val="005116B2"/>
    <w:rsid w:val="005145C8"/>
    <w:rsid w:val="005178C4"/>
    <w:rsid w:val="005212F7"/>
    <w:rsid w:val="00521D3E"/>
    <w:rsid w:val="00523014"/>
    <w:rsid w:val="005252BA"/>
    <w:rsid w:val="005254FD"/>
    <w:rsid w:val="00530A51"/>
    <w:rsid w:val="00532F34"/>
    <w:rsid w:val="00537AC0"/>
    <w:rsid w:val="00541B7F"/>
    <w:rsid w:val="00542197"/>
    <w:rsid w:val="005444C5"/>
    <w:rsid w:val="00547487"/>
    <w:rsid w:val="00554A6B"/>
    <w:rsid w:val="00557662"/>
    <w:rsid w:val="005609E0"/>
    <w:rsid w:val="00564602"/>
    <w:rsid w:val="005660EE"/>
    <w:rsid w:val="00566F4D"/>
    <w:rsid w:val="005679DE"/>
    <w:rsid w:val="00575EA1"/>
    <w:rsid w:val="0057601F"/>
    <w:rsid w:val="00576821"/>
    <w:rsid w:val="00577246"/>
    <w:rsid w:val="00580A7F"/>
    <w:rsid w:val="005914B5"/>
    <w:rsid w:val="00592A4E"/>
    <w:rsid w:val="00595D5D"/>
    <w:rsid w:val="00595EDD"/>
    <w:rsid w:val="005A51B0"/>
    <w:rsid w:val="005B33A2"/>
    <w:rsid w:val="005B4959"/>
    <w:rsid w:val="005B511B"/>
    <w:rsid w:val="005C0920"/>
    <w:rsid w:val="005C10CF"/>
    <w:rsid w:val="005C198F"/>
    <w:rsid w:val="005C5A00"/>
    <w:rsid w:val="005C69A3"/>
    <w:rsid w:val="005C7228"/>
    <w:rsid w:val="005D0CF1"/>
    <w:rsid w:val="005D280B"/>
    <w:rsid w:val="005E075D"/>
    <w:rsid w:val="005E0E7F"/>
    <w:rsid w:val="005E0F6E"/>
    <w:rsid w:val="005E1864"/>
    <w:rsid w:val="005E1B96"/>
    <w:rsid w:val="005E1EB1"/>
    <w:rsid w:val="005E2B45"/>
    <w:rsid w:val="005E5CAF"/>
    <w:rsid w:val="00603F6F"/>
    <w:rsid w:val="006042D9"/>
    <w:rsid w:val="00610C56"/>
    <w:rsid w:val="0061303F"/>
    <w:rsid w:val="006151A3"/>
    <w:rsid w:val="00620C59"/>
    <w:rsid w:val="0062167E"/>
    <w:rsid w:val="006230E3"/>
    <w:rsid w:val="00623F06"/>
    <w:rsid w:val="00627589"/>
    <w:rsid w:val="00636895"/>
    <w:rsid w:val="00636A5A"/>
    <w:rsid w:val="00637744"/>
    <w:rsid w:val="00643F67"/>
    <w:rsid w:val="006441CF"/>
    <w:rsid w:val="00645C60"/>
    <w:rsid w:val="006565F1"/>
    <w:rsid w:val="00657446"/>
    <w:rsid w:val="00661365"/>
    <w:rsid w:val="00661EDB"/>
    <w:rsid w:val="00674A85"/>
    <w:rsid w:val="00674DA8"/>
    <w:rsid w:val="00680313"/>
    <w:rsid w:val="006847CD"/>
    <w:rsid w:val="00686246"/>
    <w:rsid w:val="00686917"/>
    <w:rsid w:val="00696B93"/>
    <w:rsid w:val="006A543C"/>
    <w:rsid w:val="006C5602"/>
    <w:rsid w:val="006D296D"/>
    <w:rsid w:val="006D3DDB"/>
    <w:rsid w:val="006D5C88"/>
    <w:rsid w:val="006E2CEA"/>
    <w:rsid w:val="006E4B9E"/>
    <w:rsid w:val="006E75E1"/>
    <w:rsid w:val="00701B05"/>
    <w:rsid w:val="00705294"/>
    <w:rsid w:val="00711A39"/>
    <w:rsid w:val="00712268"/>
    <w:rsid w:val="00712E9F"/>
    <w:rsid w:val="00717A2E"/>
    <w:rsid w:val="0072077F"/>
    <w:rsid w:val="00721DD9"/>
    <w:rsid w:val="0072346B"/>
    <w:rsid w:val="007301CC"/>
    <w:rsid w:val="00731D71"/>
    <w:rsid w:val="00734F5E"/>
    <w:rsid w:val="00743195"/>
    <w:rsid w:val="00772792"/>
    <w:rsid w:val="0077416F"/>
    <w:rsid w:val="00777528"/>
    <w:rsid w:val="007812DB"/>
    <w:rsid w:val="00783E6D"/>
    <w:rsid w:val="00784502"/>
    <w:rsid w:val="00790888"/>
    <w:rsid w:val="007923C0"/>
    <w:rsid w:val="007944DC"/>
    <w:rsid w:val="007966A3"/>
    <w:rsid w:val="007A2AFD"/>
    <w:rsid w:val="007A3B9C"/>
    <w:rsid w:val="007A501C"/>
    <w:rsid w:val="007A5231"/>
    <w:rsid w:val="007B1FFE"/>
    <w:rsid w:val="007C0191"/>
    <w:rsid w:val="007C0B4C"/>
    <w:rsid w:val="007C5423"/>
    <w:rsid w:val="007C7885"/>
    <w:rsid w:val="007D5161"/>
    <w:rsid w:val="007D5261"/>
    <w:rsid w:val="007E1F44"/>
    <w:rsid w:val="007F079B"/>
    <w:rsid w:val="007F22C7"/>
    <w:rsid w:val="007F4CCE"/>
    <w:rsid w:val="007F6CA8"/>
    <w:rsid w:val="007F6F88"/>
    <w:rsid w:val="008002A7"/>
    <w:rsid w:val="00803D03"/>
    <w:rsid w:val="008111D5"/>
    <w:rsid w:val="0081147C"/>
    <w:rsid w:val="0081770B"/>
    <w:rsid w:val="008212B1"/>
    <w:rsid w:val="00826E6C"/>
    <w:rsid w:val="008300A3"/>
    <w:rsid w:val="00831B37"/>
    <w:rsid w:val="00832C62"/>
    <w:rsid w:val="00835677"/>
    <w:rsid w:val="0084364A"/>
    <w:rsid w:val="00844ED5"/>
    <w:rsid w:val="00855790"/>
    <w:rsid w:val="008654EB"/>
    <w:rsid w:val="00865A83"/>
    <w:rsid w:val="0087005D"/>
    <w:rsid w:val="00870C54"/>
    <w:rsid w:val="0087779E"/>
    <w:rsid w:val="0088149D"/>
    <w:rsid w:val="0089200E"/>
    <w:rsid w:val="008933D7"/>
    <w:rsid w:val="00893D01"/>
    <w:rsid w:val="008B075E"/>
    <w:rsid w:val="008B1CCC"/>
    <w:rsid w:val="008B41E6"/>
    <w:rsid w:val="008B5BB3"/>
    <w:rsid w:val="008B7CD1"/>
    <w:rsid w:val="008C2A8A"/>
    <w:rsid w:val="008C66A4"/>
    <w:rsid w:val="008D39DF"/>
    <w:rsid w:val="008D6F06"/>
    <w:rsid w:val="008E784D"/>
    <w:rsid w:val="008F4904"/>
    <w:rsid w:val="008F4A9E"/>
    <w:rsid w:val="00901F45"/>
    <w:rsid w:val="0090792D"/>
    <w:rsid w:val="009155BD"/>
    <w:rsid w:val="00915F81"/>
    <w:rsid w:val="00916D46"/>
    <w:rsid w:val="00921FAD"/>
    <w:rsid w:val="00923940"/>
    <w:rsid w:val="009259B4"/>
    <w:rsid w:val="00932403"/>
    <w:rsid w:val="009357FD"/>
    <w:rsid w:val="009426C2"/>
    <w:rsid w:val="009432CD"/>
    <w:rsid w:val="0095064F"/>
    <w:rsid w:val="00953BEC"/>
    <w:rsid w:val="00954716"/>
    <w:rsid w:val="00954E51"/>
    <w:rsid w:val="0095706B"/>
    <w:rsid w:val="00965D44"/>
    <w:rsid w:val="009669C2"/>
    <w:rsid w:val="00971124"/>
    <w:rsid w:val="009767FA"/>
    <w:rsid w:val="0098040D"/>
    <w:rsid w:val="009814B6"/>
    <w:rsid w:val="00981747"/>
    <w:rsid w:val="00981AEB"/>
    <w:rsid w:val="00981EC6"/>
    <w:rsid w:val="00985ACF"/>
    <w:rsid w:val="0098670D"/>
    <w:rsid w:val="00987B8F"/>
    <w:rsid w:val="00991AF8"/>
    <w:rsid w:val="00992985"/>
    <w:rsid w:val="00993F75"/>
    <w:rsid w:val="00996143"/>
    <w:rsid w:val="00997CC9"/>
    <w:rsid w:val="009A2652"/>
    <w:rsid w:val="009A3E24"/>
    <w:rsid w:val="009A4D4C"/>
    <w:rsid w:val="009B0A92"/>
    <w:rsid w:val="009B2796"/>
    <w:rsid w:val="009C30EB"/>
    <w:rsid w:val="009C3110"/>
    <w:rsid w:val="009C39E5"/>
    <w:rsid w:val="009C4596"/>
    <w:rsid w:val="009C46B0"/>
    <w:rsid w:val="009E2666"/>
    <w:rsid w:val="009E2838"/>
    <w:rsid w:val="009E33FB"/>
    <w:rsid w:val="009E7425"/>
    <w:rsid w:val="009F4792"/>
    <w:rsid w:val="009F588B"/>
    <w:rsid w:val="009F5FB9"/>
    <w:rsid w:val="00A017AD"/>
    <w:rsid w:val="00A02EA7"/>
    <w:rsid w:val="00A12CC2"/>
    <w:rsid w:val="00A15566"/>
    <w:rsid w:val="00A209E8"/>
    <w:rsid w:val="00A21CF7"/>
    <w:rsid w:val="00A24C91"/>
    <w:rsid w:val="00A27A67"/>
    <w:rsid w:val="00A359A7"/>
    <w:rsid w:val="00A35F55"/>
    <w:rsid w:val="00A36FD5"/>
    <w:rsid w:val="00A4740F"/>
    <w:rsid w:val="00A54F8A"/>
    <w:rsid w:val="00A5540A"/>
    <w:rsid w:val="00A60A29"/>
    <w:rsid w:val="00A60C9A"/>
    <w:rsid w:val="00A63EF6"/>
    <w:rsid w:val="00A642D1"/>
    <w:rsid w:val="00A67041"/>
    <w:rsid w:val="00A70516"/>
    <w:rsid w:val="00A7715F"/>
    <w:rsid w:val="00A83016"/>
    <w:rsid w:val="00A83B72"/>
    <w:rsid w:val="00A83DDA"/>
    <w:rsid w:val="00A83F35"/>
    <w:rsid w:val="00A83F93"/>
    <w:rsid w:val="00A8404B"/>
    <w:rsid w:val="00A87238"/>
    <w:rsid w:val="00A920FD"/>
    <w:rsid w:val="00A96439"/>
    <w:rsid w:val="00A96E0A"/>
    <w:rsid w:val="00A97444"/>
    <w:rsid w:val="00A97FF2"/>
    <w:rsid w:val="00AA1576"/>
    <w:rsid w:val="00AA37B7"/>
    <w:rsid w:val="00AA5999"/>
    <w:rsid w:val="00AA60CB"/>
    <w:rsid w:val="00AB4BFB"/>
    <w:rsid w:val="00AB5B45"/>
    <w:rsid w:val="00AC1F06"/>
    <w:rsid w:val="00AC1F1A"/>
    <w:rsid w:val="00AC48C3"/>
    <w:rsid w:val="00AD147A"/>
    <w:rsid w:val="00AD2675"/>
    <w:rsid w:val="00AD5AA0"/>
    <w:rsid w:val="00AD6290"/>
    <w:rsid w:val="00AE24F0"/>
    <w:rsid w:val="00AE45F4"/>
    <w:rsid w:val="00AE4D3E"/>
    <w:rsid w:val="00AE528D"/>
    <w:rsid w:val="00AE72C0"/>
    <w:rsid w:val="00AF09BE"/>
    <w:rsid w:val="00B0169F"/>
    <w:rsid w:val="00B07AAC"/>
    <w:rsid w:val="00B12B06"/>
    <w:rsid w:val="00B16947"/>
    <w:rsid w:val="00B16EAF"/>
    <w:rsid w:val="00B206FC"/>
    <w:rsid w:val="00B25986"/>
    <w:rsid w:val="00B25C21"/>
    <w:rsid w:val="00B3160F"/>
    <w:rsid w:val="00B35CD6"/>
    <w:rsid w:val="00B37B7B"/>
    <w:rsid w:val="00B47756"/>
    <w:rsid w:val="00B479A6"/>
    <w:rsid w:val="00B56605"/>
    <w:rsid w:val="00B652A3"/>
    <w:rsid w:val="00B70BED"/>
    <w:rsid w:val="00B72786"/>
    <w:rsid w:val="00B81560"/>
    <w:rsid w:val="00B82AAC"/>
    <w:rsid w:val="00B838A2"/>
    <w:rsid w:val="00B84F13"/>
    <w:rsid w:val="00B8630D"/>
    <w:rsid w:val="00B9046C"/>
    <w:rsid w:val="00B961FA"/>
    <w:rsid w:val="00B9781C"/>
    <w:rsid w:val="00BA4381"/>
    <w:rsid w:val="00BA5D3D"/>
    <w:rsid w:val="00BA6725"/>
    <w:rsid w:val="00BA6769"/>
    <w:rsid w:val="00BB4F5E"/>
    <w:rsid w:val="00BC708A"/>
    <w:rsid w:val="00BC73A7"/>
    <w:rsid w:val="00BD1E2A"/>
    <w:rsid w:val="00BD3DBD"/>
    <w:rsid w:val="00BD535B"/>
    <w:rsid w:val="00BE01BD"/>
    <w:rsid w:val="00BF2C0F"/>
    <w:rsid w:val="00BF5014"/>
    <w:rsid w:val="00C00ED7"/>
    <w:rsid w:val="00C12ABE"/>
    <w:rsid w:val="00C12E58"/>
    <w:rsid w:val="00C13D67"/>
    <w:rsid w:val="00C21599"/>
    <w:rsid w:val="00C24AE2"/>
    <w:rsid w:val="00C25096"/>
    <w:rsid w:val="00C25C38"/>
    <w:rsid w:val="00C26884"/>
    <w:rsid w:val="00C304C1"/>
    <w:rsid w:val="00C37E50"/>
    <w:rsid w:val="00C403E5"/>
    <w:rsid w:val="00C4474C"/>
    <w:rsid w:val="00C45FE2"/>
    <w:rsid w:val="00C5118F"/>
    <w:rsid w:val="00C523EB"/>
    <w:rsid w:val="00C53DA5"/>
    <w:rsid w:val="00C60D96"/>
    <w:rsid w:val="00C644C4"/>
    <w:rsid w:val="00C64D04"/>
    <w:rsid w:val="00C67C24"/>
    <w:rsid w:val="00C7107E"/>
    <w:rsid w:val="00C81C5E"/>
    <w:rsid w:val="00C9134E"/>
    <w:rsid w:val="00C91E81"/>
    <w:rsid w:val="00C939D7"/>
    <w:rsid w:val="00CA0989"/>
    <w:rsid w:val="00CA1C02"/>
    <w:rsid w:val="00CA49CB"/>
    <w:rsid w:val="00CB3D7A"/>
    <w:rsid w:val="00CC4BD6"/>
    <w:rsid w:val="00CD500E"/>
    <w:rsid w:val="00CD7E6B"/>
    <w:rsid w:val="00CE3520"/>
    <w:rsid w:val="00CE642E"/>
    <w:rsid w:val="00CF6871"/>
    <w:rsid w:val="00D01E8C"/>
    <w:rsid w:val="00D026B0"/>
    <w:rsid w:val="00D06339"/>
    <w:rsid w:val="00D110E0"/>
    <w:rsid w:val="00D140BD"/>
    <w:rsid w:val="00D158FB"/>
    <w:rsid w:val="00D27EB3"/>
    <w:rsid w:val="00D27EC7"/>
    <w:rsid w:val="00D30A6D"/>
    <w:rsid w:val="00D36A22"/>
    <w:rsid w:val="00D4170A"/>
    <w:rsid w:val="00D421B5"/>
    <w:rsid w:val="00D554D6"/>
    <w:rsid w:val="00D569F7"/>
    <w:rsid w:val="00D67FAB"/>
    <w:rsid w:val="00D840DE"/>
    <w:rsid w:val="00D8776E"/>
    <w:rsid w:val="00D92476"/>
    <w:rsid w:val="00D92841"/>
    <w:rsid w:val="00D93E70"/>
    <w:rsid w:val="00DB0250"/>
    <w:rsid w:val="00DB3FFD"/>
    <w:rsid w:val="00DB5F9B"/>
    <w:rsid w:val="00DC0514"/>
    <w:rsid w:val="00DD211B"/>
    <w:rsid w:val="00DD21A1"/>
    <w:rsid w:val="00DE07F8"/>
    <w:rsid w:val="00DE0B10"/>
    <w:rsid w:val="00DE56C1"/>
    <w:rsid w:val="00DE69A9"/>
    <w:rsid w:val="00DF2A7C"/>
    <w:rsid w:val="00DF758E"/>
    <w:rsid w:val="00E00F57"/>
    <w:rsid w:val="00E05168"/>
    <w:rsid w:val="00E07CA8"/>
    <w:rsid w:val="00E12EB1"/>
    <w:rsid w:val="00E13434"/>
    <w:rsid w:val="00E144F2"/>
    <w:rsid w:val="00E14596"/>
    <w:rsid w:val="00E15466"/>
    <w:rsid w:val="00E17A3D"/>
    <w:rsid w:val="00E24027"/>
    <w:rsid w:val="00E241B4"/>
    <w:rsid w:val="00E262AF"/>
    <w:rsid w:val="00E3381A"/>
    <w:rsid w:val="00E35FD1"/>
    <w:rsid w:val="00E36BC5"/>
    <w:rsid w:val="00E46F0F"/>
    <w:rsid w:val="00E56ACB"/>
    <w:rsid w:val="00E734BE"/>
    <w:rsid w:val="00E74D28"/>
    <w:rsid w:val="00E838B9"/>
    <w:rsid w:val="00E85C70"/>
    <w:rsid w:val="00E87DE5"/>
    <w:rsid w:val="00E91BAE"/>
    <w:rsid w:val="00EA1C18"/>
    <w:rsid w:val="00EA35AE"/>
    <w:rsid w:val="00EA3BBB"/>
    <w:rsid w:val="00EA4F07"/>
    <w:rsid w:val="00EB0E16"/>
    <w:rsid w:val="00EB111E"/>
    <w:rsid w:val="00EB4B76"/>
    <w:rsid w:val="00EB555A"/>
    <w:rsid w:val="00EB6E55"/>
    <w:rsid w:val="00EC0F1C"/>
    <w:rsid w:val="00EC38FB"/>
    <w:rsid w:val="00EC5849"/>
    <w:rsid w:val="00ED0BFB"/>
    <w:rsid w:val="00ED0E52"/>
    <w:rsid w:val="00ED0EAE"/>
    <w:rsid w:val="00ED2466"/>
    <w:rsid w:val="00ED4791"/>
    <w:rsid w:val="00ED5C44"/>
    <w:rsid w:val="00EE0D8C"/>
    <w:rsid w:val="00EE7E8C"/>
    <w:rsid w:val="00EF35F8"/>
    <w:rsid w:val="00EF4D7C"/>
    <w:rsid w:val="00EF6E6E"/>
    <w:rsid w:val="00F01585"/>
    <w:rsid w:val="00F057B6"/>
    <w:rsid w:val="00F066D9"/>
    <w:rsid w:val="00F12053"/>
    <w:rsid w:val="00F12A60"/>
    <w:rsid w:val="00F211E3"/>
    <w:rsid w:val="00F2371F"/>
    <w:rsid w:val="00F25887"/>
    <w:rsid w:val="00F31D7A"/>
    <w:rsid w:val="00F33A7F"/>
    <w:rsid w:val="00F33E42"/>
    <w:rsid w:val="00F362C0"/>
    <w:rsid w:val="00F574FF"/>
    <w:rsid w:val="00F600BF"/>
    <w:rsid w:val="00F624FE"/>
    <w:rsid w:val="00F650D2"/>
    <w:rsid w:val="00F72566"/>
    <w:rsid w:val="00F72584"/>
    <w:rsid w:val="00F7352F"/>
    <w:rsid w:val="00F80FD8"/>
    <w:rsid w:val="00F811F7"/>
    <w:rsid w:val="00F830BC"/>
    <w:rsid w:val="00F84C59"/>
    <w:rsid w:val="00F84F4D"/>
    <w:rsid w:val="00F91A01"/>
    <w:rsid w:val="00F92F34"/>
    <w:rsid w:val="00F93802"/>
    <w:rsid w:val="00F938EB"/>
    <w:rsid w:val="00F94CF3"/>
    <w:rsid w:val="00F97AF3"/>
    <w:rsid w:val="00FA181F"/>
    <w:rsid w:val="00FA3612"/>
    <w:rsid w:val="00FA516B"/>
    <w:rsid w:val="00FB63E0"/>
    <w:rsid w:val="00FC0ABD"/>
    <w:rsid w:val="00FC159B"/>
    <w:rsid w:val="00FD06F3"/>
    <w:rsid w:val="00FD113E"/>
    <w:rsid w:val="00FD183C"/>
    <w:rsid w:val="00FD1EDF"/>
    <w:rsid w:val="00FD4187"/>
    <w:rsid w:val="00FD5E1C"/>
    <w:rsid w:val="00FD71CB"/>
    <w:rsid w:val="00FD7DAF"/>
    <w:rsid w:val="00FF2105"/>
    <w:rsid w:val="00FF432E"/>
    <w:rsid w:val="00FF5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List Bullet" w:uiPriority="99"/>
    <w:lsdException w:name="Title" w:uiPriority="10" w:qFormat="1"/>
    <w:lsdException w:name="Body Text"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297985"/>
    <w:pPr>
      <w:widowControl w:val="0"/>
      <w:adjustRightInd w:val="0"/>
    </w:pPr>
    <w:rPr>
      <w:sz w:val="24"/>
      <w:szCs w:val="24"/>
    </w:rPr>
  </w:style>
  <w:style w:type="paragraph" w:styleId="Heading1">
    <w:name w:val="heading 1"/>
    <w:basedOn w:val="Normal"/>
    <w:link w:val="Heading1Char"/>
    <w:qFormat/>
    <w:rsid w:val="00731D71"/>
    <w:pPr>
      <w:numPr>
        <w:numId w:val="2"/>
      </w:numPr>
      <w:outlineLvl w:val="0"/>
    </w:pPr>
  </w:style>
  <w:style w:type="paragraph" w:styleId="Heading2">
    <w:name w:val="heading 2"/>
    <w:basedOn w:val="Normal"/>
    <w:next w:val="Normal"/>
    <w:link w:val="Heading2Char"/>
    <w:qFormat/>
    <w:rsid w:val="00731D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1D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1D71"/>
    <w:pPr>
      <w:keepNext/>
      <w:spacing w:before="240" w:after="60"/>
      <w:outlineLvl w:val="3"/>
    </w:pPr>
    <w:rPr>
      <w:b/>
      <w:bCs/>
      <w:sz w:val="28"/>
      <w:szCs w:val="28"/>
    </w:rPr>
  </w:style>
  <w:style w:type="paragraph" w:styleId="Heading5">
    <w:name w:val="heading 5"/>
    <w:basedOn w:val="Normal"/>
    <w:next w:val="Normal"/>
    <w:link w:val="Heading5Char"/>
    <w:qFormat/>
    <w:rsid w:val="00731D71"/>
    <w:pPr>
      <w:spacing w:before="240" w:after="60"/>
      <w:outlineLvl w:val="4"/>
    </w:pPr>
    <w:rPr>
      <w:b/>
      <w:bCs/>
      <w:i/>
      <w:iCs/>
      <w:sz w:val="26"/>
      <w:szCs w:val="26"/>
    </w:rPr>
  </w:style>
  <w:style w:type="paragraph" w:styleId="Heading6">
    <w:name w:val="heading 6"/>
    <w:basedOn w:val="Normal"/>
    <w:next w:val="Normal"/>
    <w:link w:val="Heading6Char"/>
    <w:qFormat/>
    <w:rsid w:val="00731D71"/>
    <w:pPr>
      <w:spacing w:before="240" w:after="60"/>
      <w:outlineLvl w:val="5"/>
    </w:pPr>
    <w:rPr>
      <w:b/>
      <w:bCs/>
      <w:sz w:val="22"/>
      <w:szCs w:val="22"/>
    </w:rPr>
  </w:style>
  <w:style w:type="paragraph" w:styleId="Heading7">
    <w:name w:val="heading 7"/>
    <w:basedOn w:val="Normal"/>
    <w:next w:val="Normal"/>
    <w:link w:val="Heading7Char"/>
    <w:qFormat/>
    <w:rsid w:val="00731D71"/>
    <w:pPr>
      <w:spacing w:before="240" w:after="60"/>
      <w:outlineLvl w:val="6"/>
    </w:pPr>
  </w:style>
  <w:style w:type="paragraph" w:styleId="Heading8">
    <w:name w:val="heading 8"/>
    <w:basedOn w:val="Normal"/>
    <w:next w:val="Normal"/>
    <w:link w:val="Heading8Char"/>
    <w:qFormat/>
    <w:rsid w:val="00731D71"/>
    <w:pPr>
      <w:spacing w:before="240" w:after="60"/>
      <w:outlineLvl w:val="7"/>
    </w:pPr>
    <w:rPr>
      <w:i/>
      <w:iCs/>
    </w:rPr>
  </w:style>
  <w:style w:type="paragraph" w:styleId="Heading9">
    <w:name w:val="heading 9"/>
    <w:basedOn w:val="Normal"/>
    <w:next w:val="Normal"/>
    <w:link w:val="Heading9Char"/>
    <w:qFormat/>
    <w:rsid w:val="00731D71"/>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731D71"/>
  </w:style>
  <w:style w:type="paragraph" w:customStyle="1" w:styleId="Level1">
    <w:name w:val="Level 1"/>
    <w:basedOn w:val="Normal"/>
    <w:rsid w:val="00731D71"/>
    <w:pPr>
      <w:numPr>
        <w:numId w:val="1"/>
      </w:numPr>
      <w:tabs>
        <w:tab w:val="clear" w:pos="1440"/>
        <w:tab w:val="num" w:pos="360"/>
      </w:tabs>
      <w:ind w:left="0" w:firstLine="0"/>
      <w:outlineLvl w:val="0"/>
    </w:pPr>
  </w:style>
  <w:style w:type="paragraph" w:customStyle="1" w:styleId="Level2">
    <w:name w:val="Level 2"/>
    <w:basedOn w:val="Normal"/>
    <w:rsid w:val="00731D71"/>
    <w:pPr>
      <w:ind w:left="1440" w:hanging="720"/>
    </w:pPr>
  </w:style>
  <w:style w:type="paragraph" w:styleId="Header">
    <w:name w:val="header"/>
    <w:basedOn w:val="Normal"/>
    <w:link w:val="HeaderChar"/>
    <w:rsid w:val="00731D71"/>
    <w:pPr>
      <w:tabs>
        <w:tab w:val="center" w:pos="4680"/>
        <w:tab w:val="right" w:pos="9360"/>
      </w:tabs>
    </w:pPr>
  </w:style>
  <w:style w:type="paragraph" w:styleId="Footer">
    <w:name w:val="footer"/>
    <w:basedOn w:val="Normal"/>
    <w:link w:val="FooterChar"/>
    <w:uiPriority w:val="99"/>
    <w:rsid w:val="00731D71"/>
    <w:pPr>
      <w:tabs>
        <w:tab w:val="center" w:pos="4680"/>
        <w:tab w:val="right" w:pos="9360"/>
      </w:tabs>
    </w:pPr>
  </w:style>
  <w:style w:type="paragraph" w:styleId="MacroText">
    <w:name w:val="macro"/>
    <w:link w:val="MacroTextChar"/>
    <w:semiHidden/>
    <w:rsid w:val="00731D7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qFormat/>
    <w:rsid w:val="00731D71"/>
    <w:rPr>
      <w:sz w:val="20"/>
      <w:szCs w:val="20"/>
    </w:rPr>
  </w:style>
  <w:style w:type="character" w:styleId="CommentReference">
    <w:name w:val="annotation reference"/>
    <w:basedOn w:val="DefaultParagraphFont"/>
    <w:rsid w:val="00731D71"/>
    <w:rPr>
      <w:sz w:val="16"/>
      <w:szCs w:val="16"/>
    </w:rPr>
  </w:style>
  <w:style w:type="paragraph" w:styleId="CommentText">
    <w:name w:val="annotation text"/>
    <w:basedOn w:val="Normal"/>
    <w:link w:val="CommentTextChar"/>
    <w:rsid w:val="00731D71"/>
    <w:pPr>
      <w:widowControl/>
      <w:adjustRightInd/>
    </w:pPr>
    <w:rPr>
      <w:sz w:val="20"/>
      <w:szCs w:val="20"/>
    </w:rPr>
  </w:style>
  <w:style w:type="character" w:styleId="PageNumber">
    <w:name w:val="page number"/>
    <w:basedOn w:val="DefaultParagraphFont"/>
    <w:rsid w:val="00731D71"/>
  </w:style>
  <w:style w:type="paragraph" w:styleId="BalloonText">
    <w:name w:val="Balloon Text"/>
    <w:basedOn w:val="Normal"/>
    <w:link w:val="BalloonTextChar"/>
    <w:semiHidden/>
    <w:rsid w:val="00731D71"/>
    <w:rPr>
      <w:rFonts w:ascii="Tahoma" w:hAnsi="Tahoma" w:cs="Tahoma"/>
      <w:sz w:val="16"/>
      <w:szCs w:val="16"/>
    </w:rPr>
  </w:style>
  <w:style w:type="paragraph" w:styleId="BodyTextIndent">
    <w:name w:val="Body Text Indent"/>
    <w:basedOn w:val="Normal"/>
    <w:link w:val="BodyTextIndentChar"/>
    <w:rsid w:val="00731D71"/>
    <w:pPr>
      <w:widowControl/>
      <w:adjustRightInd/>
      <w:ind w:firstLine="720"/>
    </w:pPr>
    <w:rPr>
      <w:szCs w:val="20"/>
    </w:rPr>
  </w:style>
  <w:style w:type="paragraph" w:styleId="BodyTextIndent2">
    <w:name w:val="Body Text Indent 2"/>
    <w:basedOn w:val="Normal"/>
    <w:link w:val="BodyTextIndent2Char"/>
    <w:rsid w:val="00731D71"/>
    <w:pPr>
      <w:ind w:left="720" w:hanging="720"/>
    </w:pPr>
  </w:style>
  <w:style w:type="paragraph" w:styleId="DocumentMap">
    <w:name w:val="Document Map"/>
    <w:basedOn w:val="Normal"/>
    <w:link w:val="DocumentMapChar"/>
    <w:semiHidden/>
    <w:rsid w:val="00731D71"/>
    <w:pPr>
      <w:shd w:val="clear" w:color="auto" w:fill="000080"/>
    </w:pPr>
    <w:rPr>
      <w:rFonts w:ascii="Tahoma" w:hAnsi="Tahoma" w:cs="Tahoma"/>
    </w:rPr>
  </w:style>
  <w:style w:type="paragraph" w:styleId="BodyText">
    <w:name w:val="Body Text"/>
    <w:basedOn w:val="Normal"/>
    <w:link w:val="BodyTextChar"/>
    <w:qFormat/>
    <w:rsid w:val="00731D71"/>
    <w:pPr>
      <w:tabs>
        <w:tab w:val="left" w:pos="-1440"/>
      </w:tabs>
    </w:pPr>
    <w:rPr>
      <w:sz w:val="22"/>
      <w:szCs w:val="22"/>
    </w:rPr>
  </w:style>
  <w:style w:type="paragraph" w:styleId="CommentSubject">
    <w:name w:val="annotation subject"/>
    <w:basedOn w:val="CommentText"/>
    <w:next w:val="CommentText"/>
    <w:link w:val="CommentSubjectChar"/>
    <w:semiHidden/>
    <w:rsid w:val="00530A51"/>
    <w:pPr>
      <w:widowControl w:val="0"/>
      <w:adjustRightInd w:val="0"/>
    </w:pPr>
    <w:rPr>
      <w:b/>
      <w:bCs/>
    </w:rPr>
  </w:style>
  <w:style w:type="character" w:styleId="Strong">
    <w:name w:val="Strong"/>
    <w:basedOn w:val="DefaultParagraphFont"/>
    <w:qFormat/>
    <w:rsid w:val="005254FD"/>
    <w:rPr>
      <w:b/>
      <w:bCs/>
    </w:rPr>
  </w:style>
  <w:style w:type="character" w:styleId="Hyperlink">
    <w:name w:val="Hyperlink"/>
    <w:basedOn w:val="DefaultParagraphFont"/>
    <w:uiPriority w:val="99"/>
    <w:rsid w:val="00B81560"/>
    <w:rPr>
      <w:color w:val="0000FF"/>
      <w:u w:val="single"/>
    </w:rPr>
  </w:style>
  <w:style w:type="paragraph" w:styleId="NoSpacing">
    <w:name w:val="No Spacing"/>
    <w:uiPriority w:val="1"/>
    <w:qFormat/>
    <w:rsid w:val="0027156B"/>
    <w:rPr>
      <w:rFonts w:eastAsia="Calibri"/>
      <w:sz w:val="24"/>
      <w:szCs w:val="24"/>
    </w:rPr>
  </w:style>
  <w:style w:type="paragraph" w:styleId="ListParagraph">
    <w:name w:val="List Paragraph"/>
    <w:basedOn w:val="Normal"/>
    <w:uiPriority w:val="34"/>
    <w:qFormat/>
    <w:rsid w:val="00B652A3"/>
    <w:pPr>
      <w:widowControl/>
      <w:adjustRightInd/>
      <w:ind w:left="720"/>
      <w:contextualSpacing/>
    </w:pPr>
    <w:rPr>
      <w:rFonts w:ascii="Calibri" w:hAnsi="Calibri"/>
    </w:rPr>
  </w:style>
  <w:style w:type="table" w:styleId="TableGrid">
    <w:name w:val="Table Grid"/>
    <w:basedOn w:val="TableNormal"/>
    <w:rsid w:val="0089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432CD"/>
    <w:rPr>
      <w:sz w:val="24"/>
      <w:szCs w:val="24"/>
    </w:rPr>
  </w:style>
  <w:style w:type="character" w:customStyle="1" w:styleId="CommentTextChar">
    <w:name w:val="Comment Text Char"/>
    <w:basedOn w:val="DefaultParagraphFont"/>
    <w:link w:val="CommentText"/>
    <w:rsid w:val="007812DB"/>
  </w:style>
  <w:style w:type="character" w:customStyle="1" w:styleId="HeaderChar">
    <w:name w:val="Header Char"/>
    <w:basedOn w:val="DefaultParagraphFont"/>
    <w:link w:val="Header"/>
    <w:rsid w:val="00035C2E"/>
    <w:rPr>
      <w:sz w:val="24"/>
      <w:szCs w:val="24"/>
    </w:rPr>
  </w:style>
  <w:style w:type="character" w:customStyle="1" w:styleId="BodyTextIndentChar">
    <w:name w:val="Body Text Indent Char"/>
    <w:basedOn w:val="DefaultParagraphFont"/>
    <w:link w:val="BodyTextIndent"/>
    <w:rsid w:val="00035C2E"/>
    <w:rPr>
      <w:sz w:val="24"/>
    </w:rPr>
  </w:style>
  <w:style w:type="paragraph" w:styleId="EndnoteText">
    <w:name w:val="endnote text"/>
    <w:basedOn w:val="Normal"/>
    <w:link w:val="EndnoteTextChar"/>
    <w:rsid w:val="00F811F7"/>
    <w:rPr>
      <w:sz w:val="20"/>
      <w:szCs w:val="20"/>
    </w:rPr>
  </w:style>
  <w:style w:type="character" w:customStyle="1" w:styleId="EndnoteTextChar">
    <w:name w:val="Endnote Text Char"/>
    <w:basedOn w:val="DefaultParagraphFont"/>
    <w:link w:val="EndnoteText"/>
    <w:rsid w:val="00F811F7"/>
  </w:style>
  <w:style w:type="character" w:styleId="EndnoteReference">
    <w:name w:val="endnote reference"/>
    <w:basedOn w:val="DefaultParagraphFont"/>
    <w:rsid w:val="00F811F7"/>
    <w:rPr>
      <w:vertAlign w:val="superscript"/>
    </w:rPr>
  </w:style>
  <w:style w:type="paragraph" w:customStyle="1" w:styleId="8AutoList4">
    <w:name w:val="8AutoList4"/>
    <w:uiPriority w:val="99"/>
    <w:semiHidden/>
    <w:rsid w:val="0054219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LineNumber">
    <w:name w:val="line number"/>
    <w:basedOn w:val="DefaultParagraphFont"/>
    <w:rsid w:val="000D6BC5"/>
  </w:style>
  <w:style w:type="character" w:customStyle="1" w:styleId="Heading1Char">
    <w:name w:val="Heading 1 Char"/>
    <w:link w:val="Heading1"/>
    <w:rsid w:val="001B40D4"/>
    <w:rPr>
      <w:sz w:val="24"/>
      <w:szCs w:val="24"/>
    </w:rPr>
  </w:style>
  <w:style w:type="character" w:customStyle="1" w:styleId="Heading2Char">
    <w:name w:val="Heading 2 Char"/>
    <w:link w:val="Heading2"/>
    <w:rsid w:val="001B40D4"/>
    <w:rPr>
      <w:rFonts w:ascii="Arial" w:hAnsi="Arial" w:cs="Arial"/>
      <w:b/>
      <w:bCs/>
      <w:i/>
      <w:iCs/>
      <w:sz w:val="28"/>
      <w:szCs w:val="28"/>
    </w:rPr>
  </w:style>
  <w:style w:type="character" w:customStyle="1" w:styleId="Heading3Char">
    <w:name w:val="Heading 3 Char"/>
    <w:link w:val="Heading3"/>
    <w:rsid w:val="001B40D4"/>
    <w:rPr>
      <w:rFonts w:ascii="Arial" w:hAnsi="Arial" w:cs="Arial"/>
      <w:b/>
      <w:bCs/>
      <w:sz w:val="26"/>
      <w:szCs w:val="26"/>
    </w:rPr>
  </w:style>
  <w:style w:type="character" w:customStyle="1" w:styleId="Heading4Char">
    <w:name w:val="Heading 4 Char"/>
    <w:link w:val="Heading4"/>
    <w:rsid w:val="001B40D4"/>
    <w:rPr>
      <w:b/>
      <w:bCs/>
      <w:sz w:val="28"/>
      <w:szCs w:val="28"/>
    </w:rPr>
  </w:style>
  <w:style w:type="character" w:customStyle="1" w:styleId="Heading5Char">
    <w:name w:val="Heading 5 Char"/>
    <w:link w:val="Heading5"/>
    <w:rsid w:val="001B40D4"/>
    <w:rPr>
      <w:b/>
      <w:bCs/>
      <w:i/>
      <w:iCs/>
      <w:sz w:val="26"/>
      <w:szCs w:val="26"/>
    </w:rPr>
  </w:style>
  <w:style w:type="character" w:customStyle="1" w:styleId="Heading6Char">
    <w:name w:val="Heading 6 Char"/>
    <w:link w:val="Heading6"/>
    <w:rsid w:val="001B40D4"/>
    <w:rPr>
      <w:b/>
      <w:bCs/>
      <w:sz w:val="22"/>
      <w:szCs w:val="22"/>
    </w:rPr>
  </w:style>
  <w:style w:type="character" w:customStyle="1" w:styleId="Heading7Char">
    <w:name w:val="Heading 7 Char"/>
    <w:link w:val="Heading7"/>
    <w:rsid w:val="001B40D4"/>
    <w:rPr>
      <w:sz w:val="24"/>
      <w:szCs w:val="24"/>
    </w:rPr>
  </w:style>
  <w:style w:type="character" w:customStyle="1" w:styleId="Heading8Char">
    <w:name w:val="Heading 8 Char"/>
    <w:link w:val="Heading8"/>
    <w:rsid w:val="001B40D4"/>
    <w:rPr>
      <w:i/>
      <w:iCs/>
      <w:sz w:val="24"/>
      <w:szCs w:val="24"/>
    </w:rPr>
  </w:style>
  <w:style w:type="character" w:customStyle="1" w:styleId="Heading9Char">
    <w:name w:val="Heading 9 Char"/>
    <w:link w:val="Heading9"/>
    <w:rsid w:val="001B40D4"/>
    <w:rPr>
      <w:b/>
      <w:bCs/>
      <w:sz w:val="16"/>
      <w:szCs w:val="24"/>
    </w:rPr>
  </w:style>
  <w:style w:type="character" w:customStyle="1" w:styleId="BodyTextChar">
    <w:name w:val="Body Text Char"/>
    <w:link w:val="BodyText"/>
    <w:rsid w:val="001B40D4"/>
    <w:rPr>
      <w:sz w:val="22"/>
      <w:szCs w:val="22"/>
    </w:rPr>
  </w:style>
  <w:style w:type="character" w:customStyle="1" w:styleId="FootnoteTextChar">
    <w:name w:val="Footnote Text Char"/>
    <w:link w:val="FootnoteText"/>
    <w:rsid w:val="001B40D4"/>
  </w:style>
  <w:style w:type="paragraph" w:customStyle="1" w:styleId="Reference">
    <w:name w:val="Reference"/>
    <w:basedOn w:val="BodyText"/>
    <w:semiHidden/>
    <w:rsid w:val="001B40D4"/>
    <w:pPr>
      <w:widowControl/>
      <w:numPr>
        <w:numId w:val="48"/>
      </w:numPr>
      <w:tabs>
        <w:tab w:val="clear" w:pos="-1440"/>
        <w:tab w:val="left" w:pos="1080"/>
        <w:tab w:val="left" w:pos="1440"/>
        <w:tab w:val="left" w:pos="1800"/>
      </w:tabs>
      <w:adjustRightInd/>
    </w:pPr>
    <w:rPr>
      <w:szCs w:val="20"/>
    </w:rPr>
  </w:style>
  <w:style w:type="paragraph" w:customStyle="1" w:styleId="referencelist">
    <w:name w:val="reference list"/>
    <w:basedOn w:val="Normal"/>
    <w:qFormat/>
    <w:rsid w:val="001B40D4"/>
    <w:pPr>
      <w:widowControl/>
      <w:adjustRightInd/>
      <w:spacing w:before="120" w:after="120"/>
      <w:ind w:left="720" w:right="720" w:hanging="720"/>
    </w:pPr>
    <w:rPr>
      <w:sz w:val="22"/>
      <w:szCs w:val="20"/>
    </w:rPr>
  </w:style>
  <w:style w:type="paragraph" w:customStyle="1" w:styleId="TableText">
    <w:name w:val="Table Text"/>
    <w:basedOn w:val="Normal"/>
    <w:link w:val="TableTextChar"/>
    <w:qFormat/>
    <w:rsid w:val="001B40D4"/>
    <w:pPr>
      <w:keepNext/>
      <w:keepLines/>
      <w:widowControl/>
      <w:adjustRightInd/>
    </w:pPr>
    <w:rPr>
      <w:rFonts w:eastAsiaTheme="minorHAnsi"/>
      <w:sz w:val="18"/>
      <w:szCs w:val="20"/>
    </w:rPr>
  </w:style>
  <w:style w:type="character" w:customStyle="1" w:styleId="TableTextChar">
    <w:name w:val="Table Text Char"/>
    <w:link w:val="TableText"/>
    <w:rsid w:val="001B40D4"/>
    <w:rPr>
      <w:rFonts w:eastAsiaTheme="minorHAnsi"/>
      <w:sz w:val="18"/>
    </w:rPr>
  </w:style>
  <w:style w:type="paragraph" w:customStyle="1" w:styleId="TableSubtitle">
    <w:name w:val="TableSubtitle"/>
    <w:basedOn w:val="Normal"/>
    <w:qFormat/>
    <w:rsid w:val="001B40D4"/>
    <w:pPr>
      <w:keepNext/>
      <w:keepLines/>
      <w:widowControl/>
      <w:autoSpaceDE w:val="0"/>
      <w:autoSpaceDN w:val="0"/>
      <w:jc w:val="center"/>
    </w:pPr>
    <w:rPr>
      <w:b/>
      <w:bCs/>
      <w:color w:val="000000"/>
      <w:sz w:val="18"/>
      <w:szCs w:val="18"/>
    </w:rPr>
  </w:style>
  <w:style w:type="paragraph" w:customStyle="1" w:styleId="TableTitle">
    <w:name w:val="Table Title"/>
    <w:basedOn w:val="Normal"/>
    <w:next w:val="Normal"/>
    <w:link w:val="TableTitleChar"/>
    <w:qFormat/>
    <w:rsid w:val="001B40D4"/>
    <w:pPr>
      <w:adjustRightInd/>
      <w:spacing w:line="264" w:lineRule="auto"/>
    </w:pPr>
    <w:rPr>
      <w:rFonts w:ascii="Arial Bold" w:hAnsi="Arial Bold" w:cs="Arial"/>
      <w:b/>
      <w:sz w:val="20"/>
      <w:szCs w:val="20"/>
    </w:rPr>
  </w:style>
  <w:style w:type="character" w:customStyle="1" w:styleId="TableTitleChar">
    <w:name w:val="Table Title Char"/>
    <w:link w:val="TableTitle"/>
    <w:rsid w:val="001B40D4"/>
    <w:rPr>
      <w:rFonts w:ascii="Arial Bold" w:hAnsi="Arial Bold" w:cs="Arial"/>
      <w:b/>
    </w:rPr>
  </w:style>
  <w:style w:type="paragraph" w:styleId="TOCHeading">
    <w:name w:val="TOC Heading"/>
    <w:basedOn w:val="Heading1"/>
    <w:qFormat/>
    <w:rsid w:val="001B40D4"/>
    <w:pPr>
      <w:keepNext/>
      <w:keepLines/>
      <w:widowControl/>
      <w:numPr>
        <w:numId w:val="0"/>
      </w:numPr>
      <w:tabs>
        <w:tab w:val="left" w:pos="360"/>
      </w:tabs>
      <w:adjustRightInd/>
    </w:pPr>
    <w:rPr>
      <w:rFonts w:ascii="Arial Bold" w:hAnsi="Arial Bold" w:cs="Arial"/>
      <w:b/>
      <w:kern w:val="28"/>
      <w:sz w:val="28"/>
      <w:szCs w:val="20"/>
    </w:rPr>
  </w:style>
  <w:style w:type="paragraph" w:customStyle="1" w:styleId="NumberedList">
    <w:name w:val="Numbered List"/>
    <w:basedOn w:val="ListBullet"/>
    <w:rsid w:val="001B40D4"/>
    <w:pPr>
      <w:tabs>
        <w:tab w:val="clear" w:pos="360"/>
        <w:tab w:val="num" w:pos="720"/>
      </w:tabs>
      <w:spacing w:after="120"/>
      <w:ind w:left="720"/>
      <w:contextualSpacing w:val="0"/>
    </w:pPr>
  </w:style>
  <w:style w:type="paragraph" w:styleId="ListBullet">
    <w:name w:val="List Bullet"/>
    <w:basedOn w:val="Normal"/>
    <w:uiPriority w:val="99"/>
    <w:unhideWhenUsed/>
    <w:rsid w:val="001B40D4"/>
    <w:pPr>
      <w:widowControl/>
      <w:tabs>
        <w:tab w:val="num" w:pos="360"/>
      </w:tabs>
      <w:autoSpaceDE w:val="0"/>
      <w:autoSpaceDN w:val="0"/>
      <w:ind w:left="360" w:hanging="360"/>
      <w:contextualSpacing/>
    </w:pPr>
    <w:rPr>
      <w:sz w:val="20"/>
      <w:szCs w:val="20"/>
    </w:rPr>
  </w:style>
  <w:style w:type="paragraph" w:customStyle="1" w:styleId="eq">
    <w:name w:val="eq#"/>
    <w:basedOn w:val="Normal"/>
    <w:next w:val="BodyText"/>
    <w:rsid w:val="001B40D4"/>
    <w:pPr>
      <w:widowControl/>
      <w:tabs>
        <w:tab w:val="right" w:pos="9360"/>
      </w:tabs>
      <w:autoSpaceDE w:val="0"/>
      <w:autoSpaceDN w:val="0"/>
    </w:pPr>
    <w:rPr>
      <w:position w:val="-72"/>
      <w:sz w:val="20"/>
      <w:szCs w:val="20"/>
    </w:rPr>
  </w:style>
  <w:style w:type="paragraph" w:customStyle="1" w:styleId="TableTextR">
    <w:name w:val="Table TextR"/>
    <w:basedOn w:val="Normal"/>
    <w:link w:val="TableTextRChar"/>
    <w:rsid w:val="001B40D4"/>
    <w:pPr>
      <w:keepNext/>
      <w:keepLines/>
      <w:widowControl/>
      <w:autoSpaceDE w:val="0"/>
      <w:autoSpaceDN w:val="0"/>
      <w:jc w:val="right"/>
    </w:pPr>
    <w:rPr>
      <w:sz w:val="18"/>
      <w:szCs w:val="20"/>
    </w:rPr>
  </w:style>
  <w:style w:type="character" w:customStyle="1" w:styleId="TableTextRChar">
    <w:name w:val="Table TextR Char"/>
    <w:link w:val="TableTextR"/>
    <w:rsid w:val="001B40D4"/>
    <w:rPr>
      <w:sz w:val="18"/>
    </w:rPr>
  </w:style>
  <w:style w:type="paragraph" w:styleId="Caption">
    <w:name w:val="caption"/>
    <w:basedOn w:val="Normal"/>
    <w:next w:val="Normal"/>
    <w:link w:val="CaptionChar"/>
    <w:autoRedefine/>
    <w:qFormat/>
    <w:rsid w:val="001B40D4"/>
    <w:pPr>
      <w:keepNext/>
      <w:keepLines/>
      <w:widowControl/>
      <w:adjustRightInd/>
    </w:pPr>
    <w:rPr>
      <w:rFonts w:ascii="Arial" w:hAnsi="Arial" w:cs="Arial"/>
      <w:b/>
      <w:sz w:val="18"/>
      <w:szCs w:val="20"/>
    </w:rPr>
  </w:style>
  <w:style w:type="character" w:customStyle="1" w:styleId="CaptionChar">
    <w:name w:val="Caption Char"/>
    <w:basedOn w:val="DefaultParagraphFont"/>
    <w:link w:val="Caption"/>
    <w:rsid w:val="001B40D4"/>
    <w:rPr>
      <w:rFonts w:ascii="Arial" w:hAnsi="Arial" w:cs="Arial"/>
      <w:b/>
      <w:sz w:val="18"/>
    </w:rPr>
  </w:style>
  <w:style w:type="paragraph" w:styleId="Title">
    <w:name w:val="Title"/>
    <w:basedOn w:val="Normal"/>
    <w:next w:val="Normal"/>
    <w:link w:val="TitleChar"/>
    <w:uiPriority w:val="10"/>
    <w:rsid w:val="001B40D4"/>
    <w:pPr>
      <w:widowControl/>
      <w:pBdr>
        <w:bottom w:val="single" w:sz="4" w:space="1" w:color="auto"/>
      </w:pBdr>
      <w:autoSpaceDE w:val="0"/>
      <w:autoSpaceDN w:val="0"/>
      <w:contextualSpacing/>
    </w:pPr>
    <w:rPr>
      <w:rFonts w:ascii="Cambria" w:eastAsiaTheme="majorEastAsia" w:hAnsi="Cambria" w:cstheme="majorBidi"/>
      <w:spacing w:val="5"/>
      <w:sz w:val="52"/>
      <w:szCs w:val="52"/>
    </w:rPr>
  </w:style>
  <w:style w:type="character" w:customStyle="1" w:styleId="TitleChar">
    <w:name w:val="Title Char"/>
    <w:basedOn w:val="DefaultParagraphFont"/>
    <w:link w:val="Title"/>
    <w:uiPriority w:val="10"/>
    <w:rsid w:val="001B40D4"/>
    <w:rPr>
      <w:rFonts w:ascii="Cambria" w:eastAsiaTheme="majorEastAsia" w:hAnsi="Cambria" w:cstheme="majorBidi"/>
      <w:spacing w:val="5"/>
      <w:sz w:val="52"/>
      <w:szCs w:val="52"/>
    </w:rPr>
  </w:style>
  <w:style w:type="character" w:styleId="SubtleEmphasis">
    <w:name w:val="Subtle Emphasis"/>
    <w:uiPriority w:val="19"/>
    <w:rsid w:val="001B40D4"/>
    <w:rPr>
      <w:i/>
      <w:iCs/>
    </w:rPr>
  </w:style>
  <w:style w:type="character" w:styleId="SubtleReference">
    <w:name w:val="Subtle Reference"/>
    <w:uiPriority w:val="31"/>
    <w:rsid w:val="001B40D4"/>
    <w:rPr>
      <w:smallCaps/>
    </w:rPr>
  </w:style>
  <w:style w:type="paragraph" w:customStyle="1" w:styleId="numberlistintable">
    <w:name w:val="numberlistintable"/>
    <w:basedOn w:val="TableText"/>
    <w:link w:val="numberlistintableChar"/>
    <w:rsid w:val="001B40D4"/>
    <w:pPr>
      <w:ind w:left="241" w:hanging="270"/>
    </w:pPr>
  </w:style>
  <w:style w:type="character" w:customStyle="1" w:styleId="numberlistintableChar">
    <w:name w:val="numberlistintable Char"/>
    <w:basedOn w:val="TableTextChar"/>
    <w:link w:val="numberlistintable"/>
    <w:rsid w:val="001B40D4"/>
    <w:rPr>
      <w:rFonts w:eastAsiaTheme="minorHAnsi"/>
      <w:sz w:val="18"/>
    </w:rPr>
  </w:style>
  <w:style w:type="paragraph" w:customStyle="1" w:styleId="tabletextr0">
    <w:name w:val="tabletextr"/>
    <w:basedOn w:val="TableText"/>
    <w:link w:val="tabletextrChar0"/>
    <w:rsid w:val="001B40D4"/>
    <w:pPr>
      <w:jc w:val="right"/>
    </w:pPr>
  </w:style>
  <w:style w:type="character" w:customStyle="1" w:styleId="tabletextrChar0">
    <w:name w:val="tabletextr Char"/>
    <w:basedOn w:val="TableTextChar"/>
    <w:link w:val="tabletextr0"/>
    <w:rsid w:val="001B40D4"/>
    <w:rPr>
      <w:rFonts w:eastAsiaTheme="minorHAnsi"/>
      <w:sz w:val="18"/>
    </w:rPr>
  </w:style>
  <w:style w:type="paragraph" w:customStyle="1" w:styleId="referenceheading">
    <w:name w:val="reference heading"/>
    <w:basedOn w:val="Caption"/>
    <w:link w:val="referenceheadingChar"/>
    <w:rsid w:val="001B40D4"/>
    <w:rPr>
      <w:sz w:val="28"/>
      <w:szCs w:val="28"/>
    </w:rPr>
  </w:style>
  <w:style w:type="character" w:customStyle="1" w:styleId="referenceheadingChar">
    <w:name w:val="reference heading Char"/>
    <w:basedOn w:val="CaptionChar"/>
    <w:link w:val="referenceheading"/>
    <w:rsid w:val="001B40D4"/>
    <w:rPr>
      <w:rFonts w:ascii="Arial" w:hAnsi="Arial" w:cs="Arial"/>
      <w:b/>
      <w:sz w:val="28"/>
      <w:szCs w:val="28"/>
    </w:rPr>
  </w:style>
  <w:style w:type="paragraph" w:customStyle="1" w:styleId="bullist">
    <w:name w:val="bullist"/>
    <w:basedOn w:val="BodyText"/>
    <w:link w:val="bullistChar"/>
    <w:rsid w:val="001B40D4"/>
    <w:pPr>
      <w:widowControl/>
      <w:tabs>
        <w:tab w:val="clear" w:pos="-1440"/>
        <w:tab w:val="left" w:pos="720"/>
        <w:tab w:val="left" w:pos="1080"/>
        <w:tab w:val="left" w:pos="1440"/>
        <w:tab w:val="left" w:pos="1800"/>
      </w:tabs>
      <w:adjustRightInd/>
      <w:ind w:left="432" w:hanging="432"/>
    </w:pPr>
    <w:rPr>
      <w:szCs w:val="20"/>
    </w:rPr>
  </w:style>
  <w:style w:type="character" w:customStyle="1" w:styleId="bullistChar">
    <w:name w:val="bullist Char"/>
    <w:basedOn w:val="BodyTextChar"/>
    <w:link w:val="bullist"/>
    <w:rsid w:val="001B40D4"/>
    <w:rPr>
      <w:sz w:val="22"/>
      <w:szCs w:val="22"/>
    </w:rPr>
  </w:style>
  <w:style w:type="paragraph" w:customStyle="1" w:styleId="a">
    <w:name w:val=""/>
    <w:rsid w:val="001B40D4"/>
    <w:pPr>
      <w:autoSpaceDE w:val="0"/>
      <w:autoSpaceDN w:val="0"/>
      <w:adjustRightInd w:val="0"/>
      <w:ind w:left="-1440"/>
    </w:pPr>
    <w:rPr>
      <w:sz w:val="24"/>
      <w:szCs w:val="24"/>
    </w:rPr>
  </w:style>
  <w:style w:type="character" w:customStyle="1" w:styleId="SYSHYPERTEXT">
    <w:name w:val="SYS_HYPERTEXT"/>
    <w:rsid w:val="001B40D4"/>
    <w:rPr>
      <w:color w:val="0000FF"/>
      <w:u w:val="single"/>
    </w:rPr>
  </w:style>
  <w:style w:type="character" w:customStyle="1" w:styleId="GPOInlineP">
    <w:name w:val="GPO InlineP"/>
    <w:rsid w:val="001B40D4"/>
    <w:rPr>
      <w:rFonts w:ascii="Times New Roman" w:hAnsi="Times New Roman"/>
      <w:sz w:val="20"/>
    </w:rPr>
  </w:style>
  <w:style w:type="paragraph" w:customStyle="1" w:styleId="Level3">
    <w:name w:val="Level 3"/>
    <w:basedOn w:val="Normal"/>
    <w:rsid w:val="001B40D4"/>
    <w:pPr>
      <w:adjustRightInd/>
      <w:ind w:left="2160" w:hanging="720"/>
      <w:outlineLvl w:val="2"/>
    </w:pPr>
    <w:rPr>
      <w:snapToGrid w:val="0"/>
      <w:szCs w:val="20"/>
    </w:rPr>
  </w:style>
  <w:style w:type="table" w:customStyle="1" w:styleId="TableGrid1">
    <w:name w:val="Table Grid1"/>
    <w:basedOn w:val="TableNormal"/>
    <w:next w:val="TableGrid"/>
    <w:rsid w:val="001B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1B40D4"/>
    <w:rPr>
      <w:color w:val="800080"/>
      <w:u w:val="single"/>
    </w:rPr>
  </w:style>
  <w:style w:type="paragraph" w:customStyle="1" w:styleId="footnotetex">
    <w:name w:val="footnote tex"/>
    <w:basedOn w:val="Normal"/>
    <w:rsid w:val="001B40D4"/>
    <w:pPr>
      <w:autoSpaceDE w:val="0"/>
      <w:autoSpaceDN w:val="0"/>
    </w:pPr>
  </w:style>
  <w:style w:type="character" w:customStyle="1" w:styleId="CommentSubjectChar">
    <w:name w:val="Comment Subject Char"/>
    <w:basedOn w:val="CommentTextChar"/>
    <w:link w:val="CommentSubject"/>
    <w:semiHidden/>
    <w:rsid w:val="001B40D4"/>
    <w:rPr>
      <w:b/>
      <w:bCs/>
    </w:rPr>
  </w:style>
  <w:style w:type="character" w:customStyle="1" w:styleId="BalloonTextChar">
    <w:name w:val="Balloon Text Char"/>
    <w:basedOn w:val="DefaultParagraphFont"/>
    <w:link w:val="BalloonText"/>
    <w:semiHidden/>
    <w:rsid w:val="001B40D4"/>
    <w:rPr>
      <w:rFonts w:ascii="Tahoma" w:hAnsi="Tahoma" w:cs="Tahoma"/>
      <w:sz w:val="16"/>
      <w:szCs w:val="16"/>
    </w:rPr>
  </w:style>
  <w:style w:type="paragraph" w:styleId="PlainText">
    <w:name w:val="Plain Text"/>
    <w:basedOn w:val="Normal"/>
    <w:link w:val="PlainTextChar"/>
    <w:uiPriority w:val="99"/>
    <w:rsid w:val="001B40D4"/>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1B40D4"/>
    <w:rPr>
      <w:rFonts w:ascii="Courier New" w:hAnsi="Courier New" w:cs="Courier New"/>
    </w:rPr>
  </w:style>
  <w:style w:type="paragraph" w:styleId="ListBullet2">
    <w:name w:val="List Bullet 2"/>
    <w:basedOn w:val="Normal"/>
    <w:autoRedefine/>
    <w:unhideWhenUsed/>
    <w:rsid w:val="001B40D4"/>
    <w:pPr>
      <w:widowControl/>
      <w:numPr>
        <w:numId w:val="51"/>
      </w:numPr>
      <w:adjustRightInd/>
      <w:spacing w:after="180"/>
    </w:pPr>
    <w:rPr>
      <w:sz w:val="22"/>
      <w:szCs w:val="20"/>
    </w:rPr>
  </w:style>
  <w:style w:type="character" w:customStyle="1" w:styleId="tablefootnoteChar">
    <w:name w:val="table footnote Char"/>
    <w:link w:val="tablefootnote"/>
    <w:locked/>
    <w:rsid w:val="001B40D4"/>
    <w:rPr>
      <w:sz w:val="16"/>
    </w:rPr>
  </w:style>
  <w:style w:type="paragraph" w:customStyle="1" w:styleId="tablefootnote">
    <w:name w:val="table footnote"/>
    <w:basedOn w:val="Normal"/>
    <w:link w:val="tablefootnoteChar"/>
    <w:rsid w:val="001B40D4"/>
    <w:pPr>
      <w:keepNext/>
      <w:widowControl/>
      <w:adjustRightInd/>
      <w:spacing w:line="264" w:lineRule="auto"/>
    </w:pPr>
    <w:rPr>
      <w:sz w:val="16"/>
      <w:szCs w:val="20"/>
    </w:rPr>
  </w:style>
  <w:style w:type="character" w:customStyle="1" w:styleId="TableSourceChar">
    <w:name w:val="Table Source Char"/>
    <w:link w:val="TableSource"/>
    <w:locked/>
    <w:rsid w:val="001B40D4"/>
    <w:rPr>
      <w:rFonts w:eastAsiaTheme="minorHAnsi"/>
      <w:i/>
      <w:iCs/>
      <w:sz w:val="18"/>
    </w:rPr>
  </w:style>
  <w:style w:type="paragraph" w:customStyle="1" w:styleId="TableSource">
    <w:name w:val="Table Source"/>
    <w:basedOn w:val="Normal"/>
    <w:link w:val="TableSourceChar"/>
    <w:qFormat/>
    <w:rsid w:val="001B40D4"/>
    <w:pPr>
      <w:widowControl/>
      <w:adjustRightInd/>
      <w:spacing w:line="264" w:lineRule="auto"/>
    </w:pPr>
    <w:rPr>
      <w:rFonts w:eastAsiaTheme="minorHAnsi"/>
      <w:i/>
      <w:iCs/>
      <w:sz w:val="18"/>
      <w:szCs w:val="20"/>
    </w:rPr>
  </w:style>
  <w:style w:type="paragraph" w:customStyle="1" w:styleId="TableSource0">
    <w:name w:val="TableSource"/>
    <w:basedOn w:val="Normal"/>
    <w:rsid w:val="001B40D4"/>
    <w:pPr>
      <w:widowControl/>
      <w:adjustRightInd/>
      <w:spacing w:line="264" w:lineRule="auto"/>
    </w:pPr>
    <w:rPr>
      <w:i/>
      <w:iCs/>
      <w:sz w:val="18"/>
      <w:szCs w:val="20"/>
    </w:rPr>
  </w:style>
  <w:style w:type="paragraph" w:customStyle="1" w:styleId="TableSubtitle0">
    <w:name w:val="Table Subtitle"/>
    <w:basedOn w:val="BodyText"/>
    <w:qFormat/>
    <w:rsid w:val="001B40D4"/>
    <w:pPr>
      <w:keepNext/>
      <w:keepLines/>
      <w:widowControl/>
      <w:tabs>
        <w:tab w:val="clear" w:pos="-1440"/>
        <w:tab w:val="left" w:pos="0"/>
        <w:tab w:val="left" w:pos="720"/>
        <w:tab w:val="left" w:pos="1080"/>
        <w:tab w:val="left" w:pos="1440"/>
        <w:tab w:val="left" w:pos="1800"/>
        <w:tab w:val="left" w:pos="8985"/>
      </w:tabs>
      <w:autoSpaceDE w:val="0"/>
      <w:autoSpaceDN w:val="0"/>
      <w:spacing w:before="60" w:after="120" w:line="264" w:lineRule="auto"/>
      <w:ind w:firstLine="720"/>
    </w:pPr>
    <w:rPr>
      <w:b/>
      <w:bCs/>
      <w:color w:val="000000"/>
      <w:szCs w:val="20"/>
    </w:rPr>
  </w:style>
  <w:style w:type="character" w:customStyle="1" w:styleId="FootnoteCharacters">
    <w:name w:val="Footnote Characters"/>
    <w:rsid w:val="001B40D4"/>
    <w:rPr>
      <w:vertAlign w:val="superscript"/>
    </w:rPr>
  </w:style>
  <w:style w:type="paragraph" w:customStyle="1" w:styleId="RRBodyText">
    <w:name w:val="R&amp;R Body Text"/>
    <w:basedOn w:val="Normal"/>
    <w:rsid w:val="001B40D4"/>
    <w:pPr>
      <w:widowControl/>
      <w:tabs>
        <w:tab w:val="left" w:pos="0"/>
        <w:tab w:val="left" w:pos="720"/>
        <w:tab w:val="left" w:pos="1080"/>
        <w:tab w:val="left" w:pos="1440"/>
        <w:tab w:val="left" w:pos="1800"/>
        <w:tab w:val="left" w:pos="8985"/>
      </w:tabs>
      <w:autoSpaceDE w:val="0"/>
      <w:autoSpaceDN w:val="0"/>
      <w:spacing w:line="264" w:lineRule="auto"/>
    </w:pPr>
    <w:rPr>
      <w:sz w:val="22"/>
    </w:rPr>
  </w:style>
  <w:style w:type="character" w:customStyle="1" w:styleId="MacroTextChar">
    <w:name w:val="Macro Text Char"/>
    <w:basedOn w:val="DefaultParagraphFont"/>
    <w:link w:val="MacroText"/>
    <w:semiHidden/>
    <w:rsid w:val="001B40D4"/>
    <w:rPr>
      <w:rFonts w:ascii="Courier New" w:hAnsi="Courier New" w:cs="Courier New"/>
    </w:rPr>
  </w:style>
  <w:style w:type="character" w:customStyle="1" w:styleId="BodyTextIndent2Char">
    <w:name w:val="Body Text Indent 2 Char"/>
    <w:basedOn w:val="DefaultParagraphFont"/>
    <w:link w:val="BodyTextIndent2"/>
    <w:rsid w:val="001B40D4"/>
    <w:rPr>
      <w:sz w:val="24"/>
      <w:szCs w:val="24"/>
    </w:rPr>
  </w:style>
  <w:style w:type="character" w:customStyle="1" w:styleId="DocumentMapChar">
    <w:name w:val="Document Map Char"/>
    <w:basedOn w:val="DefaultParagraphFont"/>
    <w:link w:val="DocumentMap"/>
    <w:semiHidden/>
    <w:rsid w:val="001B40D4"/>
    <w:rPr>
      <w:rFonts w:ascii="Tahoma" w:hAnsi="Tahoma" w:cs="Tahoma"/>
      <w:sz w:val="24"/>
      <w:szCs w:val="24"/>
      <w:shd w:val="clear" w:color="auto" w:fill="000080"/>
    </w:rPr>
  </w:style>
  <w:style w:type="paragraph" w:styleId="Subtitle">
    <w:name w:val="Subtitle"/>
    <w:basedOn w:val="Normal"/>
    <w:next w:val="Normal"/>
    <w:link w:val="SubtitleChar"/>
    <w:uiPriority w:val="11"/>
    <w:rsid w:val="001B40D4"/>
    <w:pPr>
      <w:widowControl/>
      <w:numPr>
        <w:ilvl w:val="1"/>
      </w:numPr>
      <w:autoSpaceDE w:val="0"/>
      <w:autoSpaceDN w:val="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0D4"/>
    <w:rPr>
      <w:rFonts w:asciiTheme="majorHAnsi" w:eastAsiaTheme="majorEastAsia" w:hAnsiTheme="majorHAnsi" w:cstheme="majorBidi"/>
      <w:i/>
      <w:iCs/>
      <w:color w:val="4F81BD" w:themeColor="accent1"/>
      <w:spacing w:val="15"/>
      <w:sz w:val="24"/>
      <w:szCs w:val="24"/>
    </w:rPr>
  </w:style>
  <w:style w:type="paragraph" w:customStyle="1" w:styleId="TableText1">
    <w:name w:val="Table Text1"/>
    <w:basedOn w:val="Normal"/>
    <w:rsid w:val="001B40D4"/>
    <w:pPr>
      <w:keepNext/>
      <w:keepLines/>
      <w:widowControl/>
      <w:adjustRightInd/>
      <w:spacing w:after="200"/>
    </w:pPr>
    <w:rPr>
      <w:rFonts w:asciiTheme="minorHAnsi" w:hAnsiTheme="minorHAnsi" w:cstheme="minorBidi"/>
      <w:sz w:val="18"/>
      <w:szCs w:val="22"/>
    </w:rPr>
  </w:style>
  <w:style w:type="paragraph" w:customStyle="1" w:styleId="TableSource1">
    <w:name w:val="Table Source1"/>
    <w:basedOn w:val="Normal"/>
    <w:rsid w:val="001B40D4"/>
    <w:pPr>
      <w:widowControl/>
      <w:adjustRightInd/>
      <w:spacing w:after="200" w:line="276" w:lineRule="auto"/>
    </w:pPr>
    <w:rPr>
      <w:rFonts w:asciiTheme="minorHAnsi" w:eastAsiaTheme="minorHAnsi" w:hAnsiTheme="minorHAnsi" w:cstheme="minorBidi"/>
      <w:i/>
      <w:iCs/>
      <w:sz w:val="18"/>
      <w:szCs w:val="22"/>
    </w:rPr>
  </w:style>
  <w:style w:type="paragraph" w:customStyle="1" w:styleId="TableTitle1">
    <w:name w:val="Table Title1"/>
    <w:basedOn w:val="Normal"/>
    <w:next w:val="Normal"/>
    <w:rsid w:val="001B40D4"/>
    <w:pPr>
      <w:keepNext/>
      <w:keepLines/>
      <w:widowControl/>
      <w:adjustRightInd/>
      <w:spacing w:after="200" w:line="276" w:lineRule="auto"/>
    </w:pPr>
    <w:rPr>
      <w:rFonts w:ascii="Arial Bold" w:hAnsi="Arial Bold" w:cstheme="minorBidi"/>
      <w:sz w:val="20"/>
      <w:szCs w:val="22"/>
    </w:rPr>
  </w:style>
  <w:style w:type="paragraph" w:customStyle="1" w:styleId="TableSubtitle1">
    <w:name w:val="TableSubtitle1"/>
    <w:basedOn w:val="Normal"/>
    <w:rsid w:val="001B40D4"/>
    <w:pPr>
      <w:keepNext/>
      <w:keepLines/>
      <w:widowControl/>
      <w:autoSpaceDE w:val="0"/>
      <w:autoSpaceDN w:val="0"/>
      <w:spacing w:after="200"/>
      <w:jc w:val="center"/>
    </w:pPr>
    <w:rPr>
      <w:rFonts w:asciiTheme="minorHAnsi" w:hAnsiTheme="minorHAnsi" w:cstheme="minorBidi"/>
      <w:b/>
      <w:bCs/>
      <w:color w:val="000000"/>
      <w:sz w:val="18"/>
      <w:szCs w:val="18"/>
    </w:rPr>
  </w:style>
  <w:style w:type="numbering" w:customStyle="1" w:styleId="NoList1">
    <w:name w:val="No List1"/>
    <w:next w:val="NoList"/>
    <w:uiPriority w:val="99"/>
    <w:semiHidden/>
    <w:unhideWhenUsed/>
    <w:rsid w:val="001B40D4"/>
  </w:style>
  <w:style w:type="paragraph" w:customStyle="1" w:styleId="xl128">
    <w:name w:val="xl128"/>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29">
    <w:name w:val="xl129"/>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30">
    <w:name w:val="xl130"/>
    <w:basedOn w:val="Normal"/>
    <w:rsid w:val="001B40D4"/>
    <w:pPr>
      <w:widowControl/>
      <w:pBdr>
        <w:top w:val="single" w:sz="4" w:space="0" w:color="auto"/>
        <w:left w:val="single" w:sz="4" w:space="0" w:color="auto"/>
        <w:bottom w:val="single" w:sz="4" w:space="0" w:color="auto"/>
      </w:pBdr>
      <w:adjustRightInd/>
      <w:spacing w:before="100" w:beforeAutospacing="1" w:after="100" w:afterAutospacing="1"/>
    </w:pPr>
    <w:rPr>
      <w:b/>
      <w:bCs/>
    </w:rPr>
  </w:style>
  <w:style w:type="paragraph" w:customStyle="1" w:styleId="xl131">
    <w:name w:val="xl131"/>
    <w:basedOn w:val="Normal"/>
    <w:rsid w:val="001B40D4"/>
    <w:pPr>
      <w:widowControl/>
      <w:pBdr>
        <w:top w:val="single" w:sz="4" w:space="0" w:color="auto"/>
        <w:bottom w:val="single" w:sz="4" w:space="0" w:color="auto"/>
      </w:pBdr>
      <w:adjustRightInd/>
      <w:spacing w:before="100" w:beforeAutospacing="1" w:after="100" w:afterAutospacing="1"/>
    </w:pPr>
    <w:rPr>
      <w:b/>
      <w:bCs/>
    </w:rPr>
  </w:style>
  <w:style w:type="paragraph" w:customStyle="1" w:styleId="xl132">
    <w:name w:val="xl132"/>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pPr>
    <w:rPr>
      <w:b/>
      <w:bCs/>
    </w:rPr>
  </w:style>
  <w:style w:type="paragraph" w:customStyle="1" w:styleId="xl133">
    <w:name w:val="xl133"/>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pPr>
  </w:style>
  <w:style w:type="paragraph" w:customStyle="1" w:styleId="xl134">
    <w:name w:val="xl134"/>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5">
    <w:name w:val="xl13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6">
    <w:name w:val="xl136"/>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7">
    <w:name w:val="xl137"/>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8">
    <w:name w:val="xl138"/>
    <w:basedOn w:val="Normal"/>
    <w:rsid w:val="001B40D4"/>
    <w:pPr>
      <w:widowControl/>
      <w:pBdr>
        <w:top w:val="single" w:sz="4" w:space="0" w:color="auto"/>
        <w:left w:val="single" w:sz="8" w:space="27" w:color="auto"/>
        <w:bottom w:val="single" w:sz="4" w:space="0" w:color="auto"/>
        <w:right w:val="single" w:sz="4" w:space="0" w:color="auto"/>
      </w:pBdr>
      <w:adjustRightInd/>
      <w:spacing w:before="100" w:beforeAutospacing="1" w:after="100" w:afterAutospacing="1"/>
      <w:ind w:firstLineChars="400" w:firstLine="400"/>
    </w:pPr>
  </w:style>
  <w:style w:type="paragraph" w:customStyle="1" w:styleId="xl139">
    <w:name w:val="xl139"/>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0">
    <w:name w:val="xl140"/>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1">
    <w:name w:val="xl141"/>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2">
    <w:name w:val="xl142"/>
    <w:basedOn w:val="Normal"/>
    <w:rsid w:val="001B40D4"/>
    <w:pPr>
      <w:widowControl/>
      <w:pBdr>
        <w:top w:val="single" w:sz="4" w:space="0" w:color="auto"/>
        <w:left w:val="single" w:sz="8" w:space="14" w:color="auto"/>
        <w:bottom w:val="single" w:sz="4" w:space="0" w:color="auto"/>
        <w:right w:val="single" w:sz="4" w:space="0" w:color="auto"/>
      </w:pBdr>
      <w:adjustRightInd/>
      <w:spacing w:before="100" w:beforeAutospacing="1" w:after="100" w:afterAutospacing="1"/>
      <w:ind w:firstLineChars="200" w:firstLine="200"/>
    </w:pPr>
    <w:rPr>
      <w:sz w:val="18"/>
      <w:szCs w:val="18"/>
    </w:rPr>
  </w:style>
  <w:style w:type="paragraph" w:customStyle="1" w:styleId="xl143">
    <w:name w:val="xl143"/>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4">
    <w:name w:val="xl144"/>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5">
    <w:name w:val="xl14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6">
    <w:name w:val="xl146"/>
    <w:basedOn w:val="Normal"/>
    <w:rsid w:val="001B40D4"/>
    <w:pPr>
      <w:widowControl/>
      <w:pBdr>
        <w:top w:val="single" w:sz="4" w:space="0" w:color="auto"/>
        <w:left w:val="single" w:sz="4" w:space="0" w:color="auto"/>
        <w:bottom w:val="single" w:sz="4" w:space="0" w:color="auto"/>
      </w:pBdr>
      <w:adjustRightInd/>
      <w:spacing w:before="100" w:beforeAutospacing="1" w:after="100" w:afterAutospacing="1"/>
    </w:pPr>
    <w:rPr>
      <w:b/>
      <w:bCs/>
      <w:sz w:val="18"/>
      <w:szCs w:val="18"/>
    </w:rPr>
  </w:style>
  <w:style w:type="paragraph" w:customStyle="1" w:styleId="xl147">
    <w:name w:val="xl147"/>
    <w:basedOn w:val="Normal"/>
    <w:rsid w:val="001B40D4"/>
    <w:pPr>
      <w:widowControl/>
      <w:pBdr>
        <w:top w:val="single" w:sz="4" w:space="0" w:color="auto"/>
        <w:bottom w:val="single" w:sz="4" w:space="0" w:color="auto"/>
      </w:pBdr>
      <w:adjustRightInd/>
      <w:spacing w:before="100" w:beforeAutospacing="1" w:after="100" w:afterAutospacing="1"/>
    </w:pPr>
    <w:rPr>
      <w:b/>
      <w:bCs/>
      <w:sz w:val="18"/>
      <w:szCs w:val="18"/>
    </w:rPr>
  </w:style>
  <w:style w:type="paragraph" w:customStyle="1" w:styleId="xl148">
    <w:name w:val="xl148"/>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pPr>
    <w:rPr>
      <w:b/>
      <w:bCs/>
      <w:sz w:val="18"/>
      <w:szCs w:val="18"/>
    </w:rPr>
  </w:style>
  <w:style w:type="paragraph" w:customStyle="1" w:styleId="xl127">
    <w:name w:val="xl127"/>
    <w:basedOn w:val="Normal"/>
    <w:rsid w:val="001B40D4"/>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49">
    <w:name w:val="xl149"/>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pPr>
  </w:style>
  <w:style w:type="paragraph" w:customStyle="1" w:styleId="xl150">
    <w:name w:val="xl150"/>
    <w:basedOn w:val="Normal"/>
    <w:rsid w:val="001B40D4"/>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textAlignment w:val="top"/>
    </w:pPr>
  </w:style>
  <w:style w:type="paragraph" w:customStyle="1" w:styleId="xl151">
    <w:name w:val="xl151"/>
    <w:basedOn w:val="Normal"/>
    <w:rsid w:val="001B40D4"/>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textAlignment w:val="top"/>
    </w:pPr>
  </w:style>
  <w:style w:type="paragraph" w:styleId="Revision">
    <w:name w:val="Revision"/>
    <w:hidden/>
    <w:uiPriority w:val="99"/>
    <w:semiHidden/>
    <w:rsid w:val="001B40D4"/>
  </w:style>
  <w:style w:type="paragraph" w:customStyle="1" w:styleId="tabletextr1">
    <w:name w:val="tabletextr1"/>
    <w:basedOn w:val="TableText"/>
    <w:rsid w:val="001B40D4"/>
    <w:pPr>
      <w:spacing w:after="200"/>
      <w:jc w:val="right"/>
    </w:pPr>
    <w:rPr>
      <w:rFonts w:asciiTheme="minorHAnsi" w:eastAsia="Times New Roman" w:hAnsiTheme="minorHAnsi" w:cstheme="minorBidi"/>
      <w:szCs w:val="22"/>
    </w:rPr>
  </w:style>
  <w:style w:type="paragraph" w:customStyle="1" w:styleId="font5">
    <w:name w:val="font5"/>
    <w:basedOn w:val="Normal"/>
    <w:rsid w:val="001B40D4"/>
    <w:pPr>
      <w:widowControl/>
      <w:adjustRightInd/>
      <w:spacing w:before="100" w:beforeAutospacing="1" w:after="100" w:afterAutospacing="1"/>
    </w:pPr>
    <w:rPr>
      <w:color w:val="000000"/>
      <w:sz w:val="20"/>
      <w:szCs w:val="20"/>
    </w:rPr>
  </w:style>
  <w:style w:type="paragraph" w:customStyle="1" w:styleId="font6">
    <w:name w:val="font6"/>
    <w:basedOn w:val="Normal"/>
    <w:rsid w:val="001B40D4"/>
    <w:pPr>
      <w:widowControl/>
      <w:adjustRightInd/>
      <w:spacing w:before="100" w:beforeAutospacing="1" w:after="100" w:afterAutospacing="1"/>
    </w:pPr>
    <w:rPr>
      <w:color w:val="000000"/>
      <w:sz w:val="16"/>
      <w:szCs w:val="16"/>
    </w:rPr>
  </w:style>
  <w:style w:type="paragraph" w:customStyle="1" w:styleId="xl152">
    <w:name w:val="xl152"/>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3">
    <w:name w:val="xl153"/>
    <w:basedOn w:val="Normal"/>
    <w:rsid w:val="001B40D4"/>
    <w:pPr>
      <w:widowControl/>
      <w:pBdr>
        <w:top w:val="single" w:sz="4" w:space="0" w:color="auto"/>
        <w:left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4">
    <w:name w:val="xl154"/>
    <w:basedOn w:val="Normal"/>
    <w:rsid w:val="001B40D4"/>
    <w:pPr>
      <w:widowControl/>
      <w:pBdr>
        <w:left w:val="single" w:sz="4" w:space="0" w:color="auto"/>
        <w:bottom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5">
    <w:name w:val="xl15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56">
    <w:name w:val="xl156"/>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57">
    <w:name w:val="xl157"/>
    <w:basedOn w:val="Normal"/>
    <w:rsid w:val="001B40D4"/>
    <w:pPr>
      <w:widowControl/>
      <w:adjustRightInd/>
      <w:spacing w:before="100" w:beforeAutospacing="1" w:after="100" w:afterAutospacing="1"/>
    </w:pPr>
  </w:style>
  <w:style w:type="paragraph" w:customStyle="1" w:styleId="xl158">
    <w:name w:val="xl158"/>
    <w:basedOn w:val="Normal"/>
    <w:rsid w:val="001B40D4"/>
    <w:pPr>
      <w:widowControl/>
      <w:adjustRightInd/>
      <w:spacing w:before="100" w:beforeAutospacing="1" w:after="100" w:afterAutospacing="1"/>
      <w:textAlignment w:val="center"/>
    </w:pPr>
    <w:rPr>
      <w:sz w:val="16"/>
      <w:szCs w:val="16"/>
    </w:rPr>
  </w:style>
  <w:style w:type="paragraph" w:customStyle="1" w:styleId="xl159">
    <w:name w:val="xl159"/>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0">
    <w:name w:val="xl160"/>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1">
    <w:name w:val="xl161"/>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2">
    <w:name w:val="xl162"/>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pPr>
  </w:style>
  <w:style w:type="paragraph" w:customStyle="1" w:styleId="xl163">
    <w:name w:val="xl163"/>
    <w:basedOn w:val="Normal"/>
    <w:rsid w:val="001B40D4"/>
    <w:pPr>
      <w:widowControl/>
      <w:shd w:val="clear" w:color="000000" w:fill="FF0000"/>
      <w:adjustRightInd/>
      <w:spacing w:before="100" w:beforeAutospacing="1" w:after="100" w:afterAutospacing="1"/>
    </w:pPr>
  </w:style>
  <w:style w:type="paragraph" w:customStyle="1" w:styleId="xl164">
    <w:name w:val="xl164"/>
    <w:basedOn w:val="Normal"/>
    <w:rsid w:val="001B40D4"/>
    <w:pPr>
      <w:widowControl/>
      <w:pBdr>
        <w:top w:val="single" w:sz="4" w:space="0" w:color="auto"/>
        <w:left w:val="single" w:sz="4" w:space="14" w:color="auto"/>
        <w:bottom w:val="single" w:sz="4" w:space="0" w:color="auto"/>
        <w:right w:val="single" w:sz="4" w:space="0" w:color="auto"/>
      </w:pBdr>
      <w:shd w:val="clear" w:color="000000" w:fill="FF0000"/>
      <w:adjustRightInd/>
      <w:spacing w:before="100" w:beforeAutospacing="1" w:after="100" w:afterAutospacing="1"/>
      <w:ind w:firstLineChars="200" w:firstLine="200"/>
    </w:pPr>
    <w:rPr>
      <w:sz w:val="18"/>
      <w:szCs w:val="18"/>
    </w:rPr>
  </w:style>
  <w:style w:type="paragraph" w:customStyle="1" w:styleId="xl165">
    <w:name w:val="xl165"/>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6">
    <w:name w:val="xl166"/>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7">
    <w:name w:val="xl167"/>
    <w:basedOn w:val="Normal"/>
    <w:rsid w:val="001B40D4"/>
    <w:pPr>
      <w:widowControl/>
      <w:shd w:val="clear" w:color="000000" w:fill="FF0000"/>
      <w:adjustRightInd/>
      <w:spacing w:before="100" w:beforeAutospacing="1" w:after="100" w:afterAutospacing="1"/>
    </w:pPr>
  </w:style>
  <w:style w:type="paragraph" w:customStyle="1" w:styleId="xl168">
    <w:name w:val="xl168"/>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9">
    <w:name w:val="xl169"/>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70">
    <w:name w:val="xl170"/>
    <w:basedOn w:val="Normal"/>
    <w:rsid w:val="001B40D4"/>
    <w:pPr>
      <w:widowControl/>
      <w:pBdr>
        <w:top w:val="single" w:sz="4" w:space="0" w:color="auto"/>
        <w:left w:val="single" w:sz="8" w:space="14" w:color="auto"/>
        <w:bottom w:val="single" w:sz="4" w:space="0" w:color="auto"/>
        <w:right w:val="single" w:sz="4" w:space="0" w:color="auto"/>
      </w:pBdr>
      <w:shd w:val="clear" w:color="000000" w:fill="FF0000"/>
      <w:adjustRightInd/>
      <w:spacing w:before="100" w:beforeAutospacing="1" w:after="100" w:afterAutospacing="1"/>
      <w:ind w:firstLineChars="200" w:firstLine="200"/>
    </w:pPr>
  </w:style>
  <w:style w:type="paragraph" w:customStyle="1" w:styleId="xl171">
    <w:name w:val="xl171"/>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textAlignment w:val="top"/>
    </w:pPr>
  </w:style>
  <w:style w:type="paragraph" w:customStyle="1" w:styleId="xl172">
    <w:name w:val="xl172"/>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textAlignment w:val="top"/>
    </w:pPr>
  </w:style>
  <w:style w:type="paragraph" w:customStyle="1" w:styleId="xl173">
    <w:name w:val="xl173"/>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textAlignment w:val="top"/>
    </w:pPr>
  </w:style>
  <w:style w:type="paragraph" w:customStyle="1" w:styleId="xl174">
    <w:name w:val="xl174"/>
    <w:basedOn w:val="Normal"/>
    <w:rsid w:val="001B40D4"/>
    <w:pPr>
      <w:widowControl/>
      <w:pBdr>
        <w:top w:val="single" w:sz="4" w:space="0" w:color="auto"/>
        <w:left w:val="single" w:sz="4" w:space="0" w:color="auto"/>
        <w:bottom w:val="single" w:sz="4" w:space="0" w:color="auto"/>
        <w:right w:val="single" w:sz="8" w:space="0" w:color="auto"/>
      </w:pBdr>
      <w:shd w:val="clear" w:color="000000" w:fill="FFFF00"/>
      <w:adjustRightInd/>
      <w:spacing w:before="100" w:beforeAutospacing="1" w:after="100" w:afterAutospacing="1"/>
      <w:textAlignment w:val="top"/>
    </w:pPr>
  </w:style>
  <w:style w:type="paragraph" w:customStyle="1" w:styleId="xl175">
    <w:name w:val="xl175"/>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pPr>
  </w:style>
  <w:style w:type="paragraph" w:customStyle="1" w:styleId="xl176">
    <w:name w:val="xl176"/>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textAlignment w:val="top"/>
    </w:pPr>
  </w:style>
  <w:style w:type="paragraph" w:customStyle="1" w:styleId="xl177">
    <w:name w:val="xl177"/>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center"/>
    </w:pPr>
    <w:rPr>
      <w:b/>
      <w:bCs/>
    </w:rPr>
  </w:style>
  <w:style w:type="paragraph" w:customStyle="1" w:styleId="xl178">
    <w:name w:val="xl178"/>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textAlignment w:val="center"/>
    </w:pPr>
  </w:style>
  <w:style w:type="paragraph" w:customStyle="1" w:styleId="xl179">
    <w:name w:val="xl179"/>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80">
    <w:name w:val="xl180"/>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81">
    <w:name w:val="xl181"/>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pPr>
    <w:rPr>
      <w:b/>
      <w:bCs/>
    </w:rPr>
  </w:style>
  <w:style w:type="paragraph" w:customStyle="1" w:styleId="xl182">
    <w:name w:val="xl182"/>
    <w:basedOn w:val="Normal"/>
    <w:rsid w:val="001B40D4"/>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83">
    <w:name w:val="xl183"/>
    <w:basedOn w:val="Normal"/>
    <w:rsid w:val="001B40D4"/>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84">
    <w:name w:val="xl184"/>
    <w:basedOn w:val="Normal"/>
    <w:rsid w:val="001B40D4"/>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textAlignment w:val="top"/>
    </w:pPr>
    <w:rPr>
      <w:b/>
      <w:bCs/>
    </w:rPr>
  </w:style>
  <w:style w:type="paragraph" w:customStyle="1" w:styleId="xl185">
    <w:name w:val="xl18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style>
  <w:style w:type="paragraph" w:customStyle="1" w:styleId="xl186">
    <w:name w:val="xl186"/>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center"/>
    </w:pPr>
  </w:style>
  <w:style w:type="paragraph" w:customStyle="1" w:styleId="xl187">
    <w:name w:val="xl187"/>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b/>
      <w:bCs/>
    </w:rPr>
  </w:style>
  <w:style w:type="paragraph" w:customStyle="1" w:styleId="xl188">
    <w:name w:val="xl188"/>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style>
  <w:style w:type="paragraph" w:customStyle="1" w:styleId="xl189">
    <w:name w:val="xl189"/>
    <w:basedOn w:val="Normal"/>
    <w:rsid w:val="001B40D4"/>
    <w:pPr>
      <w:widowControl/>
      <w:pBdr>
        <w:top w:val="single" w:sz="4" w:space="0" w:color="auto"/>
        <w:left w:val="single" w:sz="8" w:space="0" w:color="auto"/>
        <w:bottom w:val="single" w:sz="4" w:space="0" w:color="auto"/>
      </w:pBdr>
      <w:adjustRightInd/>
      <w:spacing w:before="100" w:beforeAutospacing="1" w:after="100" w:afterAutospacing="1"/>
      <w:textAlignment w:val="top"/>
    </w:pPr>
    <w:rPr>
      <w:b/>
      <w:bCs/>
    </w:rPr>
  </w:style>
  <w:style w:type="paragraph" w:customStyle="1" w:styleId="xl190">
    <w:name w:val="xl190"/>
    <w:basedOn w:val="Normal"/>
    <w:rsid w:val="001B40D4"/>
    <w:pPr>
      <w:widowControl/>
      <w:pBdr>
        <w:top w:val="single" w:sz="4" w:space="0" w:color="auto"/>
        <w:bottom w:val="single" w:sz="4" w:space="0" w:color="auto"/>
      </w:pBdr>
      <w:adjustRightInd/>
      <w:spacing w:before="100" w:beforeAutospacing="1" w:after="100" w:afterAutospacing="1"/>
      <w:textAlignment w:val="top"/>
    </w:pPr>
  </w:style>
  <w:style w:type="paragraph" w:customStyle="1" w:styleId="xl191">
    <w:name w:val="xl191"/>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textAlignment w:val="top"/>
    </w:pPr>
  </w:style>
  <w:style w:type="paragraph" w:customStyle="1" w:styleId="xl192">
    <w:name w:val="xl192"/>
    <w:basedOn w:val="Normal"/>
    <w:rsid w:val="001B40D4"/>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textAlignment w:val="top"/>
    </w:pPr>
  </w:style>
  <w:style w:type="paragraph" w:customStyle="1" w:styleId="xl193">
    <w:name w:val="xl193"/>
    <w:basedOn w:val="Normal"/>
    <w:rsid w:val="001B40D4"/>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textAlignment w:val="top"/>
    </w:pPr>
  </w:style>
  <w:style w:type="paragraph" w:customStyle="1" w:styleId="xl194">
    <w:name w:val="xl194"/>
    <w:basedOn w:val="Normal"/>
    <w:rsid w:val="001B40D4"/>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textAlignment w:val="top"/>
    </w:pPr>
  </w:style>
  <w:style w:type="paragraph" w:customStyle="1" w:styleId="xl195">
    <w:name w:val="xl195"/>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pPr>
    <w:rPr>
      <w:sz w:val="18"/>
      <w:szCs w:val="18"/>
    </w:rPr>
  </w:style>
  <w:style w:type="paragraph" w:customStyle="1" w:styleId="xl196">
    <w:name w:val="xl196"/>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pPr>
    <w:rPr>
      <w:sz w:val="18"/>
      <w:szCs w:val="18"/>
    </w:rPr>
  </w:style>
  <w:style w:type="paragraph" w:customStyle="1" w:styleId="xl197">
    <w:name w:val="xl197"/>
    <w:basedOn w:val="Normal"/>
    <w:rsid w:val="001B40D4"/>
    <w:pPr>
      <w:widowControl/>
      <w:pBdr>
        <w:top w:val="single" w:sz="4" w:space="0" w:color="auto"/>
        <w:left w:val="single" w:sz="8" w:space="0" w:color="auto"/>
        <w:bottom w:val="single" w:sz="4" w:space="0" w:color="auto"/>
        <w:right w:val="single" w:sz="4" w:space="0" w:color="auto"/>
      </w:pBdr>
      <w:shd w:val="clear" w:color="000000" w:fill="FF0000"/>
      <w:adjustRightInd/>
      <w:spacing w:before="100" w:beforeAutospacing="1" w:after="100" w:afterAutospacing="1"/>
    </w:pPr>
  </w:style>
  <w:style w:type="paragraph" w:styleId="NormalWeb">
    <w:name w:val="Normal (Web)"/>
    <w:basedOn w:val="Normal"/>
    <w:uiPriority w:val="99"/>
    <w:unhideWhenUsed/>
    <w:rsid w:val="001B40D4"/>
    <w:pPr>
      <w:widowControl/>
      <w:adjustRightInd/>
      <w:spacing w:before="100" w:beforeAutospacing="1" w:after="100" w:afterAutospacing="1"/>
    </w:pPr>
  </w:style>
  <w:style w:type="paragraph" w:customStyle="1" w:styleId="ICRBodyText">
    <w:name w:val="ICRBody Text"/>
    <w:basedOn w:val="BodyText"/>
    <w:link w:val="ICRBodyTextChar"/>
    <w:qFormat/>
    <w:rsid w:val="001B40D4"/>
    <w:pPr>
      <w:widowControl/>
      <w:tabs>
        <w:tab w:val="clear" w:pos="-1440"/>
        <w:tab w:val="left" w:pos="720"/>
        <w:tab w:val="left" w:pos="1080"/>
        <w:tab w:val="left" w:pos="1440"/>
        <w:tab w:val="left" w:pos="1800"/>
      </w:tabs>
      <w:adjustRightInd/>
      <w:ind w:firstLine="720"/>
    </w:pPr>
    <w:rPr>
      <w:sz w:val="24"/>
      <w:szCs w:val="24"/>
    </w:rPr>
  </w:style>
  <w:style w:type="character" w:customStyle="1" w:styleId="ICRBodyTextChar">
    <w:name w:val="ICRBody Text Char"/>
    <w:basedOn w:val="BodyTextChar"/>
    <w:link w:val="ICRBodyText"/>
    <w:rsid w:val="001B40D4"/>
    <w:rPr>
      <w:sz w:val="24"/>
      <w:szCs w:val="24"/>
    </w:rPr>
  </w:style>
  <w:style w:type="paragraph" w:customStyle="1" w:styleId="TableTitle5">
    <w:name w:val="Table Title5"/>
    <w:basedOn w:val="Normal"/>
    <w:next w:val="Normal"/>
    <w:qFormat/>
    <w:rsid w:val="00A83DDA"/>
    <w:pPr>
      <w:keepNext/>
      <w:keepLines/>
      <w:widowControl/>
      <w:adjustRightInd/>
      <w:spacing w:line="264" w:lineRule="auto"/>
    </w:pPr>
    <w:rPr>
      <w:rFonts w:ascii="Arial Bold" w:hAnsi="Arial Bold"/>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List Bullet" w:uiPriority="99"/>
    <w:lsdException w:name="Title" w:uiPriority="10" w:qFormat="1"/>
    <w:lsdException w:name="Body Text"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297985"/>
    <w:pPr>
      <w:widowControl w:val="0"/>
      <w:adjustRightInd w:val="0"/>
    </w:pPr>
    <w:rPr>
      <w:sz w:val="24"/>
      <w:szCs w:val="24"/>
    </w:rPr>
  </w:style>
  <w:style w:type="paragraph" w:styleId="Heading1">
    <w:name w:val="heading 1"/>
    <w:basedOn w:val="Normal"/>
    <w:link w:val="Heading1Char"/>
    <w:qFormat/>
    <w:rsid w:val="00731D71"/>
    <w:pPr>
      <w:numPr>
        <w:numId w:val="2"/>
      </w:numPr>
      <w:outlineLvl w:val="0"/>
    </w:pPr>
  </w:style>
  <w:style w:type="paragraph" w:styleId="Heading2">
    <w:name w:val="heading 2"/>
    <w:basedOn w:val="Normal"/>
    <w:next w:val="Normal"/>
    <w:link w:val="Heading2Char"/>
    <w:qFormat/>
    <w:rsid w:val="00731D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1D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1D71"/>
    <w:pPr>
      <w:keepNext/>
      <w:spacing w:before="240" w:after="60"/>
      <w:outlineLvl w:val="3"/>
    </w:pPr>
    <w:rPr>
      <w:b/>
      <w:bCs/>
      <w:sz w:val="28"/>
      <w:szCs w:val="28"/>
    </w:rPr>
  </w:style>
  <w:style w:type="paragraph" w:styleId="Heading5">
    <w:name w:val="heading 5"/>
    <w:basedOn w:val="Normal"/>
    <w:next w:val="Normal"/>
    <w:link w:val="Heading5Char"/>
    <w:qFormat/>
    <w:rsid w:val="00731D71"/>
    <w:pPr>
      <w:spacing w:before="240" w:after="60"/>
      <w:outlineLvl w:val="4"/>
    </w:pPr>
    <w:rPr>
      <w:b/>
      <w:bCs/>
      <w:i/>
      <w:iCs/>
      <w:sz w:val="26"/>
      <w:szCs w:val="26"/>
    </w:rPr>
  </w:style>
  <w:style w:type="paragraph" w:styleId="Heading6">
    <w:name w:val="heading 6"/>
    <w:basedOn w:val="Normal"/>
    <w:next w:val="Normal"/>
    <w:link w:val="Heading6Char"/>
    <w:qFormat/>
    <w:rsid w:val="00731D71"/>
    <w:pPr>
      <w:spacing w:before="240" w:after="60"/>
      <w:outlineLvl w:val="5"/>
    </w:pPr>
    <w:rPr>
      <w:b/>
      <w:bCs/>
      <w:sz w:val="22"/>
      <w:szCs w:val="22"/>
    </w:rPr>
  </w:style>
  <w:style w:type="paragraph" w:styleId="Heading7">
    <w:name w:val="heading 7"/>
    <w:basedOn w:val="Normal"/>
    <w:next w:val="Normal"/>
    <w:link w:val="Heading7Char"/>
    <w:qFormat/>
    <w:rsid w:val="00731D71"/>
    <w:pPr>
      <w:spacing w:before="240" w:after="60"/>
      <w:outlineLvl w:val="6"/>
    </w:pPr>
  </w:style>
  <w:style w:type="paragraph" w:styleId="Heading8">
    <w:name w:val="heading 8"/>
    <w:basedOn w:val="Normal"/>
    <w:next w:val="Normal"/>
    <w:link w:val="Heading8Char"/>
    <w:qFormat/>
    <w:rsid w:val="00731D71"/>
    <w:pPr>
      <w:spacing w:before="240" w:after="60"/>
      <w:outlineLvl w:val="7"/>
    </w:pPr>
    <w:rPr>
      <w:i/>
      <w:iCs/>
    </w:rPr>
  </w:style>
  <w:style w:type="paragraph" w:styleId="Heading9">
    <w:name w:val="heading 9"/>
    <w:basedOn w:val="Normal"/>
    <w:next w:val="Normal"/>
    <w:link w:val="Heading9Char"/>
    <w:qFormat/>
    <w:rsid w:val="00731D71"/>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731D71"/>
  </w:style>
  <w:style w:type="paragraph" w:customStyle="1" w:styleId="Level1">
    <w:name w:val="Level 1"/>
    <w:basedOn w:val="Normal"/>
    <w:rsid w:val="00731D71"/>
    <w:pPr>
      <w:numPr>
        <w:numId w:val="1"/>
      </w:numPr>
      <w:tabs>
        <w:tab w:val="clear" w:pos="1440"/>
        <w:tab w:val="num" w:pos="360"/>
      </w:tabs>
      <w:ind w:left="0" w:firstLine="0"/>
      <w:outlineLvl w:val="0"/>
    </w:pPr>
  </w:style>
  <w:style w:type="paragraph" w:customStyle="1" w:styleId="Level2">
    <w:name w:val="Level 2"/>
    <w:basedOn w:val="Normal"/>
    <w:rsid w:val="00731D71"/>
    <w:pPr>
      <w:ind w:left="1440" w:hanging="720"/>
    </w:pPr>
  </w:style>
  <w:style w:type="paragraph" w:styleId="Header">
    <w:name w:val="header"/>
    <w:basedOn w:val="Normal"/>
    <w:link w:val="HeaderChar"/>
    <w:rsid w:val="00731D71"/>
    <w:pPr>
      <w:tabs>
        <w:tab w:val="center" w:pos="4680"/>
        <w:tab w:val="right" w:pos="9360"/>
      </w:tabs>
    </w:pPr>
  </w:style>
  <w:style w:type="paragraph" w:styleId="Footer">
    <w:name w:val="footer"/>
    <w:basedOn w:val="Normal"/>
    <w:link w:val="FooterChar"/>
    <w:uiPriority w:val="99"/>
    <w:rsid w:val="00731D71"/>
    <w:pPr>
      <w:tabs>
        <w:tab w:val="center" w:pos="4680"/>
        <w:tab w:val="right" w:pos="9360"/>
      </w:tabs>
    </w:pPr>
  </w:style>
  <w:style w:type="paragraph" w:styleId="MacroText">
    <w:name w:val="macro"/>
    <w:link w:val="MacroTextChar"/>
    <w:semiHidden/>
    <w:rsid w:val="00731D7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qFormat/>
    <w:rsid w:val="00731D71"/>
    <w:rPr>
      <w:sz w:val="20"/>
      <w:szCs w:val="20"/>
    </w:rPr>
  </w:style>
  <w:style w:type="character" w:styleId="CommentReference">
    <w:name w:val="annotation reference"/>
    <w:basedOn w:val="DefaultParagraphFont"/>
    <w:rsid w:val="00731D71"/>
    <w:rPr>
      <w:sz w:val="16"/>
      <w:szCs w:val="16"/>
    </w:rPr>
  </w:style>
  <w:style w:type="paragraph" w:styleId="CommentText">
    <w:name w:val="annotation text"/>
    <w:basedOn w:val="Normal"/>
    <w:link w:val="CommentTextChar"/>
    <w:rsid w:val="00731D71"/>
    <w:pPr>
      <w:widowControl/>
      <w:adjustRightInd/>
    </w:pPr>
    <w:rPr>
      <w:sz w:val="20"/>
      <w:szCs w:val="20"/>
    </w:rPr>
  </w:style>
  <w:style w:type="character" w:styleId="PageNumber">
    <w:name w:val="page number"/>
    <w:basedOn w:val="DefaultParagraphFont"/>
    <w:rsid w:val="00731D71"/>
  </w:style>
  <w:style w:type="paragraph" w:styleId="BalloonText">
    <w:name w:val="Balloon Text"/>
    <w:basedOn w:val="Normal"/>
    <w:link w:val="BalloonTextChar"/>
    <w:semiHidden/>
    <w:rsid w:val="00731D71"/>
    <w:rPr>
      <w:rFonts w:ascii="Tahoma" w:hAnsi="Tahoma" w:cs="Tahoma"/>
      <w:sz w:val="16"/>
      <w:szCs w:val="16"/>
    </w:rPr>
  </w:style>
  <w:style w:type="paragraph" w:styleId="BodyTextIndent">
    <w:name w:val="Body Text Indent"/>
    <w:basedOn w:val="Normal"/>
    <w:link w:val="BodyTextIndentChar"/>
    <w:rsid w:val="00731D71"/>
    <w:pPr>
      <w:widowControl/>
      <w:adjustRightInd/>
      <w:ind w:firstLine="720"/>
    </w:pPr>
    <w:rPr>
      <w:szCs w:val="20"/>
    </w:rPr>
  </w:style>
  <w:style w:type="paragraph" w:styleId="BodyTextIndent2">
    <w:name w:val="Body Text Indent 2"/>
    <w:basedOn w:val="Normal"/>
    <w:link w:val="BodyTextIndent2Char"/>
    <w:rsid w:val="00731D71"/>
    <w:pPr>
      <w:ind w:left="720" w:hanging="720"/>
    </w:pPr>
  </w:style>
  <w:style w:type="paragraph" w:styleId="DocumentMap">
    <w:name w:val="Document Map"/>
    <w:basedOn w:val="Normal"/>
    <w:link w:val="DocumentMapChar"/>
    <w:semiHidden/>
    <w:rsid w:val="00731D71"/>
    <w:pPr>
      <w:shd w:val="clear" w:color="auto" w:fill="000080"/>
    </w:pPr>
    <w:rPr>
      <w:rFonts w:ascii="Tahoma" w:hAnsi="Tahoma" w:cs="Tahoma"/>
    </w:rPr>
  </w:style>
  <w:style w:type="paragraph" w:styleId="BodyText">
    <w:name w:val="Body Text"/>
    <w:basedOn w:val="Normal"/>
    <w:link w:val="BodyTextChar"/>
    <w:qFormat/>
    <w:rsid w:val="00731D71"/>
    <w:pPr>
      <w:tabs>
        <w:tab w:val="left" w:pos="-1440"/>
      </w:tabs>
    </w:pPr>
    <w:rPr>
      <w:sz w:val="22"/>
      <w:szCs w:val="22"/>
    </w:rPr>
  </w:style>
  <w:style w:type="paragraph" w:styleId="CommentSubject">
    <w:name w:val="annotation subject"/>
    <w:basedOn w:val="CommentText"/>
    <w:next w:val="CommentText"/>
    <w:link w:val="CommentSubjectChar"/>
    <w:semiHidden/>
    <w:rsid w:val="00530A51"/>
    <w:pPr>
      <w:widowControl w:val="0"/>
      <w:adjustRightInd w:val="0"/>
    </w:pPr>
    <w:rPr>
      <w:b/>
      <w:bCs/>
    </w:rPr>
  </w:style>
  <w:style w:type="character" w:styleId="Strong">
    <w:name w:val="Strong"/>
    <w:basedOn w:val="DefaultParagraphFont"/>
    <w:qFormat/>
    <w:rsid w:val="005254FD"/>
    <w:rPr>
      <w:b/>
      <w:bCs/>
    </w:rPr>
  </w:style>
  <w:style w:type="character" w:styleId="Hyperlink">
    <w:name w:val="Hyperlink"/>
    <w:basedOn w:val="DefaultParagraphFont"/>
    <w:uiPriority w:val="99"/>
    <w:rsid w:val="00B81560"/>
    <w:rPr>
      <w:color w:val="0000FF"/>
      <w:u w:val="single"/>
    </w:rPr>
  </w:style>
  <w:style w:type="paragraph" w:styleId="NoSpacing">
    <w:name w:val="No Spacing"/>
    <w:uiPriority w:val="1"/>
    <w:qFormat/>
    <w:rsid w:val="0027156B"/>
    <w:rPr>
      <w:rFonts w:eastAsia="Calibri"/>
      <w:sz w:val="24"/>
      <w:szCs w:val="24"/>
    </w:rPr>
  </w:style>
  <w:style w:type="paragraph" w:styleId="ListParagraph">
    <w:name w:val="List Paragraph"/>
    <w:basedOn w:val="Normal"/>
    <w:uiPriority w:val="34"/>
    <w:qFormat/>
    <w:rsid w:val="00B652A3"/>
    <w:pPr>
      <w:widowControl/>
      <w:adjustRightInd/>
      <w:ind w:left="720"/>
      <w:contextualSpacing/>
    </w:pPr>
    <w:rPr>
      <w:rFonts w:ascii="Calibri" w:hAnsi="Calibri"/>
    </w:rPr>
  </w:style>
  <w:style w:type="table" w:styleId="TableGrid">
    <w:name w:val="Table Grid"/>
    <w:basedOn w:val="TableNormal"/>
    <w:rsid w:val="008920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9432CD"/>
    <w:rPr>
      <w:sz w:val="24"/>
      <w:szCs w:val="24"/>
    </w:rPr>
  </w:style>
  <w:style w:type="character" w:customStyle="1" w:styleId="CommentTextChar">
    <w:name w:val="Comment Text Char"/>
    <w:basedOn w:val="DefaultParagraphFont"/>
    <w:link w:val="CommentText"/>
    <w:rsid w:val="007812DB"/>
  </w:style>
  <w:style w:type="character" w:customStyle="1" w:styleId="HeaderChar">
    <w:name w:val="Header Char"/>
    <w:basedOn w:val="DefaultParagraphFont"/>
    <w:link w:val="Header"/>
    <w:rsid w:val="00035C2E"/>
    <w:rPr>
      <w:sz w:val="24"/>
      <w:szCs w:val="24"/>
    </w:rPr>
  </w:style>
  <w:style w:type="character" w:customStyle="1" w:styleId="BodyTextIndentChar">
    <w:name w:val="Body Text Indent Char"/>
    <w:basedOn w:val="DefaultParagraphFont"/>
    <w:link w:val="BodyTextIndent"/>
    <w:rsid w:val="00035C2E"/>
    <w:rPr>
      <w:sz w:val="24"/>
    </w:rPr>
  </w:style>
  <w:style w:type="paragraph" w:styleId="EndnoteText">
    <w:name w:val="endnote text"/>
    <w:basedOn w:val="Normal"/>
    <w:link w:val="EndnoteTextChar"/>
    <w:rsid w:val="00F811F7"/>
    <w:rPr>
      <w:sz w:val="20"/>
      <w:szCs w:val="20"/>
    </w:rPr>
  </w:style>
  <w:style w:type="character" w:customStyle="1" w:styleId="EndnoteTextChar">
    <w:name w:val="Endnote Text Char"/>
    <w:basedOn w:val="DefaultParagraphFont"/>
    <w:link w:val="EndnoteText"/>
    <w:rsid w:val="00F811F7"/>
  </w:style>
  <w:style w:type="character" w:styleId="EndnoteReference">
    <w:name w:val="endnote reference"/>
    <w:basedOn w:val="DefaultParagraphFont"/>
    <w:rsid w:val="00F811F7"/>
    <w:rPr>
      <w:vertAlign w:val="superscript"/>
    </w:rPr>
  </w:style>
  <w:style w:type="paragraph" w:customStyle="1" w:styleId="8AutoList4">
    <w:name w:val="8AutoList4"/>
    <w:uiPriority w:val="99"/>
    <w:semiHidden/>
    <w:rsid w:val="0054219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LineNumber">
    <w:name w:val="line number"/>
    <w:basedOn w:val="DefaultParagraphFont"/>
    <w:rsid w:val="000D6BC5"/>
  </w:style>
  <w:style w:type="character" w:customStyle="1" w:styleId="Heading1Char">
    <w:name w:val="Heading 1 Char"/>
    <w:link w:val="Heading1"/>
    <w:rsid w:val="001B40D4"/>
    <w:rPr>
      <w:sz w:val="24"/>
      <w:szCs w:val="24"/>
    </w:rPr>
  </w:style>
  <w:style w:type="character" w:customStyle="1" w:styleId="Heading2Char">
    <w:name w:val="Heading 2 Char"/>
    <w:link w:val="Heading2"/>
    <w:rsid w:val="001B40D4"/>
    <w:rPr>
      <w:rFonts w:ascii="Arial" w:hAnsi="Arial" w:cs="Arial"/>
      <w:b/>
      <w:bCs/>
      <w:i/>
      <w:iCs/>
      <w:sz w:val="28"/>
      <w:szCs w:val="28"/>
    </w:rPr>
  </w:style>
  <w:style w:type="character" w:customStyle="1" w:styleId="Heading3Char">
    <w:name w:val="Heading 3 Char"/>
    <w:link w:val="Heading3"/>
    <w:rsid w:val="001B40D4"/>
    <w:rPr>
      <w:rFonts w:ascii="Arial" w:hAnsi="Arial" w:cs="Arial"/>
      <w:b/>
      <w:bCs/>
      <w:sz w:val="26"/>
      <w:szCs w:val="26"/>
    </w:rPr>
  </w:style>
  <w:style w:type="character" w:customStyle="1" w:styleId="Heading4Char">
    <w:name w:val="Heading 4 Char"/>
    <w:link w:val="Heading4"/>
    <w:rsid w:val="001B40D4"/>
    <w:rPr>
      <w:b/>
      <w:bCs/>
      <w:sz w:val="28"/>
      <w:szCs w:val="28"/>
    </w:rPr>
  </w:style>
  <w:style w:type="character" w:customStyle="1" w:styleId="Heading5Char">
    <w:name w:val="Heading 5 Char"/>
    <w:link w:val="Heading5"/>
    <w:rsid w:val="001B40D4"/>
    <w:rPr>
      <w:b/>
      <w:bCs/>
      <w:i/>
      <w:iCs/>
      <w:sz w:val="26"/>
      <w:szCs w:val="26"/>
    </w:rPr>
  </w:style>
  <w:style w:type="character" w:customStyle="1" w:styleId="Heading6Char">
    <w:name w:val="Heading 6 Char"/>
    <w:link w:val="Heading6"/>
    <w:rsid w:val="001B40D4"/>
    <w:rPr>
      <w:b/>
      <w:bCs/>
      <w:sz w:val="22"/>
      <w:szCs w:val="22"/>
    </w:rPr>
  </w:style>
  <w:style w:type="character" w:customStyle="1" w:styleId="Heading7Char">
    <w:name w:val="Heading 7 Char"/>
    <w:link w:val="Heading7"/>
    <w:rsid w:val="001B40D4"/>
    <w:rPr>
      <w:sz w:val="24"/>
      <w:szCs w:val="24"/>
    </w:rPr>
  </w:style>
  <w:style w:type="character" w:customStyle="1" w:styleId="Heading8Char">
    <w:name w:val="Heading 8 Char"/>
    <w:link w:val="Heading8"/>
    <w:rsid w:val="001B40D4"/>
    <w:rPr>
      <w:i/>
      <w:iCs/>
      <w:sz w:val="24"/>
      <w:szCs w:val="24"/>
    </w:rPr>
  </w:style>
  <w:style w:type="character" w:customStyle="1" w:styleId="Heading9Char">
    <w:name w:val="Heading 9 Char"/>
    <w:link w:val="Heading9"/>
    <w:rsid w:val="001B40D4"/>
    <w:rPr>
      <w:b/>
      <w:bCs/>
      <w:sz w:val="16"/>
      <w:szCs w:val="24"/>
    </w:rPr>
  </w:style>
  <w:style w:type="character" w:customStyle="1" w:styleId="BodyTextChar">
    <w:name w:val="Body Text Char"/>
    <w:link w:val="BodyText"/>
    <w:rsid w:val="001B40D4"/>
    <w:rPr>
      <w:sz w:val="22"/>
      <w:szCs w:val="22"/>
    </w:rPr>
  </w:style>
  <w:style w:type="character" w:customStyle="1" w:styleId="FootnoteTextChar">
    <w:name w:val="Footnote Text Char"/>
    <w:link w:val="FootnoteText"/>
    <w:rsid w:val="001B40D4"/>
  </w:style>
  <w:style w:type="paragraph" w:customStyle="1" w:styleId="Reference">
    <w:name w:val="Reference"/>
    <w:basedOn w:val="BodyText"/>
    <w:semiHidden/>
    <w:rsid w:val="001B40D4"/>
    <w:pPr>
      <w:widowControl/>
      <w:numPr>
        <w:numId w:val="48"/>
      </w:numPr>
      <w:tabs>
        <w:tab w:val="clear" w:pos="-1440"/>
        <w:tab w:val="left" w:pos="1080"/>
        <w:tab w:val="left" w:pos="1440"/>
        <w:tab w:val="left" w:pos="1800"/>
      </w:tabs>
      <w:adjustRightInd/>
    </w:pPr>
    <w:rPr>
      <w:szCs w:val="20"/>
    </w:rPr>
  </w:style>
  <w:style w:type="paragraph" w:customStyle="1" w:styleId="referencelist">
    <w:name w:val="reference list"/>
    <w:basedOn w:val="Normal"/>
    <w:qFormat/>
    <w:rsid w:val="001B40D4"/>
    <w:pPr>
      <w:widowControl/>
      <w:adjustRightInd/>
      <w:spacing w:before="120" w:after="120"/>
      <w:ind w:left="720" w:right="720" w:hanging="720"/>
    </w:pPr>
    <w:rPr>
      <w:sz w:val="22"/>
      <w:szCs w:val="20"/>
    </w:rPr>
  </w:style>
  <w:style w:type="paragraph" w:customStyle="1" w:styleId="TableText">
    <w:name w:val="Table Text"/>
    <w:basedOn w:val="Normal"/>
    <w:link w:val="TableTextChar"/>
    <w:qFormat/>
    <w:rsid w:val="001B40D4"/>
    <w:pPr>
      <w:keepNext/>
      <w:keepLines/>
      <w:widowControl/>
      <w:adjustRightInd/>
    </w:pPr>
    <w:rPr>
      <w:rFonts w:eastAsiaTheme="minorHAnsi"/>
      <w:sz w:val="18"/>
      <w:szCs w:val="20"/>
    </w:rPr>
  </w:style>
  <w:style w:type="character" w:customStyle="1" w:styleId="TableTextChar">
    <w:name w:val="Table Text Char"/>
    <w:link w:val="TableText"/>
    <w:rsid w:val="001B40D4"/>
    <w:rPr>
      <w:rFonts w:eastAsiaTheme="minorHAnsi"/>
      <w:sz w:val="18"/>
    </w:rPr>
  </w:style>
  <w:style w:type="paragraph" w:customStyle="1" w:styleId="TableSubtitle">
    <w:name w:val="TableSubtitle"/>
    <w:basedOn w:val="Normal"/>
    <w:qFormat/>
    <w:rsid w:val="001B40D4"/>
    <w:pPr>
      <w:keepNext/>
      <w:keepLines/>
      <w:widowControl/>
      <w:autoSpaceDE w:val="0"/>
      <w:autoSpaceDN w:val="0"/>
      <w:jc w:val="center"/>
    </w:pPr>
    <w:rPr>
      <w:b/>
      <w:bCs/>
      <w:color w:val="000000"/>
      <w:sz w:val="18"/>
      <w:szCs w:val="18"/>
    </w:rPr>
  </w:style>
  <w:style w:type="paragraph" w:customStyle="1" w:styleId="TableTitle">
    <w:name w:val="Table Title"/>
    <w:basedOn w:val="Normal"/>
    <w:next w:val="Normal"/>
    <w:link w:val="TableTitleChar"/>
    <w:qFormat/>
    <w:rsid w:val="001B40D4"/>
    <w:pPr>
      <w:adjustRightInd/>
      <w:spacing w:line="264" w:lineRule="auto"/>
    </w:pPr>
    <w:rPr>
      <w:rFonts w:ascii="Arial Bold" w:hAnsi="Arial Bold" w:cs="Arial"/>
      <w:b/>
      <w:sz w:val="20"/>
      <w:szCs w:val="20"/>
    </w:rPr>
  </w:style>
  <w:style w:type="character" w:customStyle="1" w:styleId="TableTitleChar">
    <w:name w:val="Table Title Char"/>
    <w:link w:val="TableTitle"/>
    <w:rsid w:val="001B40D4"/>
    <w:rPr>
      <w:rFonts w:ascii="Arial Bold" w:hAnsi="Arial Bold" w:cs="Arial"/>
      <w:b/>
    </w:rPr>
  </w:style>
  <w:style w:type="paragraph" w:styleId="TOCHeading">
    <w:name w:val="TOC Heading"/>
    <w:basedOn w:val="Heading1"/>
    <w:qFormat/>
    <w:rsid w:val="001B40D4"/>
    <w:pPr>
      <w:keepNext/>
      <w:keepLines/>
      <w:widowControl/>
      <w:numPr>
        <w:numId w:val="0"/>
      </w:numPr>
      <w:tabs>
        <w:tab w:val="left" w:pos="360"/>
      </w:tabs>
      <w:adjustRightInd/>
    </w:pPr>
    <w:rPr>
      <w:rFonts w:ascii="Arial Bold" w:hAnsi="Arial Bold" w:cs="Arial"/>
      <w:b/>
      <w:kern w:val="28"/>
      <w:sz w:val="28"/>
      <w:szCs w:val="20"/>
    </w:rPr>
  </w:style>
  <w:style w:type="paragraph" w:customStyle="1" w:styleId="NumberedList">
    <w:name w:val="Numbered List"/>
    <w:basedOn w:val="ListBullet"/>
    <w:rsid w:val="001B40D4"/>
    <w:pPr>
      <w:tabs>
        <w:tab w:val="clear" w:pos="360"/>
        <w:tab w:val="num" w:pos="720"/>
      </w:tabs>
      <w:spacing w:after="120"/>
      <w:ind w:left="720"/>
      <w:contextualSpacing w:val="0"/>
    </w:pPr>
  </w:style>
  <w:style w:type="paragraph" w:styleId="ListBullet">
    <w:name w:val="List Bullet"/>
    <w:basedOn w:val="Normal"/>
    <w:uiPriority w:val="99"/>
    <w:unhideWhenUsed/>
    <w:rsid w:val="001B40D4"/>
    <w:pPr>
      <w:widowControl/>
      <w:tabs>
        <w:tab w:val="num" w:pos="360"/>
      </w:tabs>
      <w:autoSpaceDE w:val="0"/>
      <w:autoSpaceDN w:val="0"/>
      <w:ind w:left="360" w:hanging="360"/>
      <w:contextualSpacing/>
    </w:pPr>
    <w:rPr>
      <w:sz w:val="20"/>
      <w:szCs w:val="20"/>
    </w:rPr>
  </w:style>
  <w:style w:type="paragraph" w:customStyle="1" w:styleId="eq">
    <w:name w:val="eq#"/>
    <w:basedOn w:val="Normal"/>
    <w:next w:val="BodyText"/>
    <w:rsid w:val="001B40D4"/>
    <w:pPr>
      <w:widowControl/>
      <w:tabs>
        <w:tab w:val="right" w:pos="9360"/>
      </w:tabs>
      <w:autoSpaceDE w:val="0"/>
      <w:autoSpaceDN w:val="0"/>
    </w:pPr>
    <w:rPr>
      <w:position w:val="-72"/>
      <w:sz w:val="20"/>
      <w:szCs w:val="20"/>
    </w:rPr>
  </w:style>
  <w:style w:type="paragraph" w:customStyle="1" w:styleId="TableTextR">
    <w:name w:val="Table TextR"/>
    <w:basedOn w:val="Normal"/>
    <w:link w:val="TableTextRChar"/>
    <w:rsid w:val="001B40D4"/>
    <w:pPr>
      <w:keepNext/>
      <w:keepLines/>
      <w:widowControl/>
      <w:autoSpaceDE w:val="0"/>
      <w:autoSpaceDN w:val="0"/>
      <w:jc w:val="right"/>
    </w:pPr>
    <w:rPr>
      <w:sz w:val="18"/>
      <w:szCs w:val="20"/>
    </w:rPr>
  </w:style>
  <w:style w:type="character" w:customStyle="1" w:styleId="TableTextRChar">
    <w:name w:val="Table TextR Char"/>
    <w:link w:val="TableTextR"/>
    <w:rsid w:val="001B40D4"/>
    <w:rPr>
      <w:sz w:val="18"/>
    </w:rPr>
  </w:style>
  <w:style w:type="paragraph" w:styleId="Caption">
    <w:name w:val="caption"/>
    <w:basedOn w:val="Normal"/>
    <w:next w:val="Normal"/>
    <w:link w:val="CaptionChar"/>
    <w:autoRedefine/>
    <w:qFormat/>
    <w:rsid w:val="001B40D4"/>
    <w:pPr>
      <w:keepNext/>
      <w:keepLines/>
      <w:widowControl/>
      <w:adjustRightInd/>
    </w:pPr>
    <w:rPr>
      <w:rFonts w:ascii="Arial" w:hAnsi="Arial" w:cs="Arial"/>
      <w:b/>
      <w:sz w:val="18"/>
      <w:szCs w:val="20"/>
    </w:rPr>
  </w:style>
  <w:style w:type="character" w:customStyle="1" w:styleId="CaptionChar">
    <w:name w:val="Caption Char"/>
    <w:basedOn w:val="DefaultParagraphFont"/>
    <w:link w:val="Caption"/>
    <w:rsid w:val="001B40D4"/>
    <w:rPr>
      <w:rFonts w:ascii="Arial" w:hAnsi="Arial" w:cs="Arial"/>
      <w:b/>
      <w:sz w:val="18"/>
    </w:rPr>
  </w:style>
  <w:style w:type="paragraph" w:styleId="Title">
    <w:name w:val="Title"/>
    <w:basedOn w:val="Normal"/>
    <w:next w:val="Normal"/>
    <w:link w:val="TitleChar"/>
    <w:uiPriority w:val="10"/>
    <w:rsid w:val="001B40D4"/>
    <w:pPr>
      <w:widowControl/>
      <w:pBdr>
        <w:bottom w:val="single" w:sz="4" w:space="1" w:color="auto"/>
      </w:pBdr>
      <w:autoSpaceDE w:val="0"/>
      <w:autoSpaceDN w:val="0"/>
      <w:contextualSpacing/>
    </w:pPr>
    <w:rPr>
      <w:rFonts w:ascii="Cambria" w:eastAsiaTheme="majorEastAsia" w:hAnsi="Cambria" w:cstheme="majorBidi"/>
      <w:spacing w:val="5"/>
      <w:sz w:val="52"/>
      <w:szCs w:val="52"/>
    </w:rPr>
  </w:style>
  <w:style w:type="character" w:customStyle="1" w:styleId="TitleChar">
    <w:name w:val="Title Char"/>
    <w:basedOn w:val="DefaultParagraphFont"/>
    <w:link w:val="Title"/>
    <w:uiPriority w:val="10"/>
    <w:rsid w:val="001B40D4"/>
    <w:rPr>
      <w:rFonts w:ascii="Cambria" w:eastAsiaTheme="majorEastAsia" w:hAnsi="Cambria" w:cstheme="majorBidi"/>
      <w:spacing w:val="5"/>
      <w:sz w:val="52"/>
      <w:szCs w:val="52"/>
    </w:rPr>
  </w:style>
  <w:style w:type="character" w:styleId="SubtleEmphasis">
    <w:name w:val="Subtle Emphasis"/>
    <w:uiPriority w:val="19"/>
    <w:rsid w:val="001B40D4"/>
    <w:rPr>
      <w:i/>
      <w:iCs/>
    </w:rPr>
  </w:style>
  <w:style w:type="character" w:styleId="SubtleReference">
    <w:name w:val="Subtle Reference"/>
    <w:uiPriority w:val="31"/>
    <w:rsid w:val="001B40D4"/>
    <w:rPr>
      <w:smallCaps/>
    </w:rPr>
  </w:style>
  <w:style w:type="paragraph" w:customStyle="1" w:styleId="numberlistintable">
    <w:name w:val="numberlistintable"/>
    <w:basedOn w:val="TableText"/>
    <w:link w:val="numberlistintableChar"/>
    <w:rsid w:val="001B40D4"/>
    <w:pPr>
      <w:ind w:left="241" w:hanging="270"/>
    </w:pPr>
  </w:style>
  <w:style w:type="character" w:customStyle="1" w:styleId="numberlistintableChar">
    <w:name w:val="numberlistintable Char"/>
    <w:basedOn w:val="TableTextChar"/>
    <w:link w:val="numberlistintable"/>
    <w:rsid w:val="001B40D4"/>
    <w:rPr>
      <w:rFonts w:eastAsiaTheme="minorHAnsi"/>
      <w:sz w:val="18"/>
    </w:rPr>
  </w:style>
  <w:style w:type="paragraph" w:customStyle="1" w:styleId="tabletextr0">
    <w:name w:val="tabletextr"/>
    <w:basedOn w:val="TableText"/>
    <w:link w:val="tabletextrChar0"/>
    <w:rsid w:val="001B40D4"/>
    <w:pPr>
      <w:jc w:val="right"/>
    </w:pPr>
  </w:style>
  <w:style w:type="character" w:customStyle="1" w:styleId="tabletextrChar0">
    <w:name w:val="tabletextr Char"/>
    <w:basedOn w:val="TableTextChar"/>
    <w:link w:val="tabletextr0"/>
    <w:rsid w:val="001B40D4"/>
    <w:rPr>
      <w:rFonts w:eastAsiaTheme="minorHAnsi"/>
      <w:sz w:val="18"/>
    </w:rPr>
  </w:style>
  <w:style w:type="paragraph" w:customStyle="1" w:styleId="referenceheading">
    <w:name w:val="reference heading"/>
    <w:basedOn w:val="Caption"/>
    <w:link w:val="referenceheadingChar"/>
    <w:rsid w:val="001B40D4"/>
    <w:rPr>
      <w:sz w:val="28"/>
      <w:szCs w:val="28"/>
    </w:rPr>
  </w:style>
  <w:style w:type="character" w:customStyle="1" w:styleId="referenceheadingChar">
    <w:name w:val="reference heading Char"/>
    <w:basedOn w:val="CaptionChar"/>
    <w:link w:val="referenceheading"/>
    <w:rsid w:val="001B40D4"/>
    <w:rPr>
      <w:rFonts w:ascii="Arial" w:hAnsi="Arial" w:cs="Arial"/>
      <w:b/>
      <w:sz w:val="28"/>
      <w:szCs w:val="28"/>
    </w:rPr>
  </w:style>
  <w:style w:type="paragraph" w:customStyle="1" w:styleId="bullist">
    <w:name w:val="bullist"/>
    <w:basedOn w:val="BodyText"/>
    <w:link w:val="bullistChar"/>
    <w:rsid w:val="001B40D4"/>
    <w:pPr>
      <w:widowControl/>
      <w:tabs>
        <w:tab w:val="clear" w:pos="-1440"/>
        <w:tab w:val="left" w:pos="720"/>
        <w:tab w:val="left" w:pos="1080"/>
        <w:tab w:val="left" w:pos="1440"/>
        <w:tab w:val="left" w:pos="1800"/>
      </w:tabs>
      <w:adjustRightInd/>
      <w:ind w:left="432" w:hanging="432"/>
    </w:pPr>
    <w:rPr>
      <w:szCs w:val="20"/>
    </w:rPr>
  </w:style>
  <w:style w:type="character" w:customStyle="1" w:styleId="bullistChar">
    <w:name w:val="bullist Char"/>
    <w:basedOn w:val="BodyTextChar"/>
    <w:link w:val="bullist"/>
    <w:rsid w:val="001B40D4"/>
    <w:rPr>
      <w:sz w:val="22"/>
      <w:szCs w:val="22"/>
    </w:rPr>
  </w:style>
  <w:style w:type="paragraph" w:customStyle="1" w:styleId="a">
    <w:name w:val=""/>
    <w:rsid w:val="001B40D4"/>
    <w:pPr>
      <w:autoSpaceDE w:val="0"/>
      <w:autoSpaceDN w:val="0"/>
      <w:adjustRightInd w:val="0"/>
      <w:ind w:left="-1440"/>
    </w:pPr>
    <w:rPr>
      <w:sz w:val="24"/>
      <w:szCs w:val="24"/>
    </w:rPr>
  </w:style>
  <w:style w:type="character" w:customStyle="1" w:styleId="SYSHYPERTEXT">
    <w:name w:val="SYS_HYPERTEXT"/>
    <w:rsid w:val="001B40D4"/>
    <w:rPr>
      <w:color w:val="0000FF"/>
      <w:u w:val="single"/>
    </w:rPr>
  </w:style>
  <w:style w:type="character" w:customStyle="1" w:styleId="GPOInlineP">
    <w:name w:val="GPO InlineP"/>
    <w:rsid w:val="001B40D4"/>
    <w:rPr>
      <w:rFonts w:ascii="Times New Roman" w:hAnsi="Times New Roman"/>
      <w:sz w:val="20"/>
    </w:rPr>
  </w:style>
  <w:style w:type="paragraph" w:customStyle="1" w:styleId="Level3">
    <w:name w:val="Level 3"/>
    <w:basedOn w:val="Normal"/>
    <w:rsid w:val="001B40D4"/>
    <w:pPr>
      <w:adjustRightInd/>
      <w:ind w:left="2160" w:hanging="720"/>
      <w:outlineLvl w:val="2"/>
    </w:pPr>
    <w:rPr>
      <w:snapToGrid w:val="0"/>
      <w:szCs w:val="20"/>
    </w:rPr>
  </w:style>
  <w:style w:type="table" w:customStyle="1" w:styleId="TableGrid1">
    <w:name w:val="Table Grid1"/>
    <w:basedOn w:val="TableNormal"/>
    <w:next w:val="TableGrid"/>
    <w:rsid w:val="001B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1B40D4"/>
    <w:rPr>
      <w:color w:val="800080"/>
      <w:u w:val="single"/>
    </w:rPr>
  </w:style>
  <w:style w:type="paragraph" w:customStyle="1" w:styleId="footnotetex">
    <w:name w:val="footnote tex"/>
    <w:basedOn w:val="Normal"/>
    <w:rsid w:val="001B40D4"/>
    <w:pPr>
      <w:autoSpaceDE w:val="0"/>
      <w:autoSpaceDN w:val="0"/>
    </w:pPr>
  </w:style>
  <w:style w:type="character" w:customStyle="1" w:styleId="CommentSubjectChar">
    <w:name w:val="Comment Subject Char"/>
    <w:basedOn w:val="CommentTextChar"/>
    <w:link w:val="CommentSubject"/>
    <w:semiHidden/>
    <w:rsid w:val="001B40D4"/>
    <w:rPr>
      <w:b/>
      <w:bCs/>
    </w:rPr>
  </w:style>
  <w:style w:type="character" w:customStyle="1" w:styleId="BalloonTextChar">
    <w:name w:val="Balloon Text Char"/>
    <w:basedOn w:val="DefaultParagraphFont"/>
    <w:link w:val="BalloonText"/>
    <w:semiHidden/>
    <w:rsid w:val="001B40D4"/>
    <w:rPr>
      <w:rFonts w:ascii="Tahoma" w:hAnsi="Tahoma" w:cs="Tahoma"/>
      <w:sz w:val="16"/>
      <w:szCs w:val="16"/>
    </w:rPr>
  </w:style>
  <w:style w:type="paragraph" w:styleId="PlainText">
    <w:name w:val="Plain Text"/>
    <w:basedOn w:val="Normal"/>
    <w:link w:val="PlainTextChar"/>
    <w:uiPriority w:val="99"/>
    <w:rsid w:val="001B40D4"/>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1B40D4"/>
    <w:rPr>
      <w:rFonts w:ascii="Courier New" w:hAnsi="Courier New" w:cs="Courier New"/>
    </w:rPr>
  </w:style>
  <w:style w:type="paragraph" w:styleId="ListBullet2">
    <w:name w:val="List Bullet 2"/>
    <w:basedOn w:val="Normal"/>
    <w:autoRedefine/>
    <w:unhideWhenUsed/>
    <w:rsid w:val="001B40D4"/>
    <w:pPr>
      <w:widowControl/>
      <w:numPr>
        <w:numId w:val="51"/>
      </w:numPr>
      <w:adjustRightInd/>
      <w:spacing w:after="180"/>
    </w:pPr>
    <w:rPr>
      <w:sz w:val="22"/>
      <w:szCs w:val="20"/>
    </w:rPr>
  </w:style>
  <w:style w:type="character" w:customStyle="1" w:styleId="tablefootnoteChar">
    <w:name w:val="table footnote Char"/>
    <w:link w:val="tablefootnote"/>
    <w:locked/>
    <w:rsid w:val="001B40D4"/>
    <w:rPr>
      <w:sz w:val="16"/>
    </w:rPr>
  </w:style>
  <w:style w:type="paragraph" w:customStyle="1" w:styleId="tablefootnote">
    <w:name w:val="table footnote"/>
    <w:basedOn w:val="Normal"/>
    <w:link w:val="tablefootnoteChar"/>
    <w:rsid w:val="001B40D4"/>
    <w:pPr>
      <w:keepNext/>
      <w:widowControl/>
      <w:adjustRightInd/>
      <w:spacing w:line="264" w:lineRule="auto"/>
    </w:pPr>
    <w:rPr>
      <w:sz w:val="16"/>
      <w:szCs w:val="20"/>
    </w:rPr>
  </w:style>
  <w:style w:type="character" w:customStyle="1" w:styleId="TableSourceChar">
    <w:name w:val="Table Source Char"/>
    <w:link w:val="TableSource"/>
    <w:locked/>
    <w:rsid w:val="001B40D4"/>
    <w:rPr>
      <w:rFonts w:eastAsiaTheme="minorHAnsi"/>
      <w:i/>
      <w:iCs/>
      <w:sz w:val="18"/>
    </w:rPr>
  </w:style>
  <w:style w:type="paragraph" w:customStyle="1" w:styleId="TableSource">
    <w:name w:val="Table Source"/>
    <w:basedOn w:val="Normal"/>
    <w:link w:val="TableSourceChar"/>
    <w:qFormat/>
    <w:rsid w:val="001B40D4"/>
    <w:pPr>
      <w:widowControl/>
      <w:adjustRightInd/>
      <w:spacing w:line="264" w:lineRule="auto"/>
    </w:pPr>
    <w:rPr>
      <w:rFonts w:eastAsiaTheme="minorHAnsi"/>
      <w:i/>
      <w:iCs/>
      <w:sz w:val="18"/>
      <w:szCs w:val="20"/>
    </w:rPr>
  </w:style>
  <w:style w:type="paragraph" w:customStyle="1" w:styleId="TableSource0">
    <w:name w:val="TableSource"/>
    <w:basedOn w:val="Normal"/>
    <w:rsid w:val="001B40D4"/>
    <w:pPr>
      <w:widowControl/>
      <w:adjustRightInd/>
      <w:spacing w:line="264" w:lineRule="auto"/>
    </w:pPr>
    <w:rPr>
      <w:i/>
      <w:iCs/>
      <w:sz w:val="18"/>
      <w:szCs w:val="20"/>
    </w:rPr>
  </w:style>
  <w:style w:type="paragraph" w:customStyle="1" w:styleId="TableSubtitle0">
    <w:name w:val="Table Subtitle"/>
    <w:basedOn w:val="BodyText"/>
    <w:qFormat/>
    <w:rsid w:val="001B40D4"/>
    <w:pPr>
      <w:keepNext/>
      <w:keepLines/>
      <w:widowControl/>
      <w:tabs>
        <w:tab w:val="clear" w:pos="-1440"/>
        <w:tab w:val="left" w:pos="0"/>
        <w:tab w:val="left" w:pos="720"/>
        <w:tab w:val="left" w:pos="1080"/>
        <w:tab w:val="left" w:pos="1440"/>
        <w:tab w:val="left" w:pos="1800"/>
        <w:tab w:val="left" w:pos="8985"/>
      </w:tabs>
      <w:autoSpaceDE w:val="0"/>
      <w:autoSpaceDN w:val="0"/>
      <w:spacing w:before="60" w:after="120" w:line="264" w:lineRule="auto"/>
      <w:ind w:firstLine="720"/>
    </w:pPr>
    <w:rPr>
      <w:b/>
      <w:bCs/>
      <w:color w:val="000000"/>
      <w:szCs w:val="20"/>
    </w:rPr>
  </w:style>
  <w:style w:type="character" w:customStyle="1" w:styleId="FootnoteCharacters">
    <w:name w:val="Footnote Characters"/>
    <w:rsid w:val="001B40D4"/>
    <w:rPr>
      <w:vertAlign w:val="superscript"/>
    </w:rPr>
  </w:style>
  <w:style w:type="paragraph" w:customStyle="1" w:styleId="RRBodyText">
    <w:name w:val="R&amp;R Body Text"/>
    <w:basedOn w:val="Normal"/>
    <w:rsid w:val="001B40D4"/>
    <w:pPr>
      <w:widowControl/>
      <w:tabs>
        <w:tab w:val="left" w:pos="0"/>
        <w:tab w:val="left" w:pos="720"/>
        <w:tab w:val="left" w:pos="1080"/>
        <w:tab w:val="left" w:pos="1440"/>
        <w:tab w:val="left" w:pos="1800"/>
        <w:tab w:val="left" w:pos="8985"/>
      </w:tabs>
      <w:autoSpaceDE w:val="0"/>
      <w:autoSpaceDN w:val="0"/>
      <w:spacing w:line="264" w:lineRule="auto"/>
    </w:pPr>
    <w:rPr>
      <w:sz w:val="22"/>
    </w:rPr>
  </w:style>
  <w:style w:type="character" w:customStyle="1" w:styleId="MacroTextChar">
    <w:name w:val="Macro Text Char"/>
    <w:basedOn w:val="DefaultParagraphFont"/>
    <w:link w:val="MacroText"/>
    <w:semiHidden/>
    <w:rsid w:val="001B40D4"/>
    <w:rPr>
      <w:rFonts w:ascii="Courier New" w:hAnsi="Courier New" w:cs="Courier New"/>
    </w:rPr>
  </w:style>
  <w:style w:type="character" w:customStyle="1" w:styleId="BodyTextIndent2Char">
    <w:name w:val="Body Text Indent 2 Char"/>
    <w:basedOn w:val="DefaultParagraphFont"/>
    <w:link w:val="BodyTextIndent2"/>
    <w:rsid w:val="001B40D4"/>
    <w:rPr>
      <w:sz w:val="24"/>
      <w:szCs w:val="24"/>
    </w:rPr>
  </w:style>
  <w:style w:type="character" w:customStyle="1" w:styleId="DocumentMapChar">
    <w:name w:val="Document Map Char"/>
    <w:basedOn w:val="DefaultParagraphFont"/>
    <w:link w:val="DocumentMap"/>
    <w:semiHidden/>
    <w:rsid w:val="001B40D4"/>
    <w:rPr>
      <w:rFonts w:ascii="Tahoma" w:hAnsi="Tahoma" w:cs="Tahoma"/>
      <w:sz w:val="24"/>
      <w:szCs w:val="24"/>
      <w:shd w:val="clear" w:color="auto" w:fill="000080"/>
    </w:rPr>
  </w:style>
  <w:style w:type="paragraph" w:styleId="Subtitle">
    <w:name w:val="Subtitle"/>
    <w:basedOn w:val="Normal"/>
    <w:next w:val="Normal"/>
    <w:link w:val="SubtitleChar"/>
    <w:uiPriority w:val="11"/>
    <w:rsid w:val="001B40D4"/>
    <w:pPr>
      <w:widowControl/>
      <w:numPr>
        <w:ilvl w:val="1"/>
      </w:numPr>
      <w:autoSpaceDE w:val="0"/>
      <w:autoSpaceDN w:val="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0D4"/>
    <w:rPr>
      <w:rFonts w:asciiTheme="majorHAnsi" w:eastAsiaTheme="majorEastAsia" w:hAnsiTheme="majorHAnsi" w:cstheme="majorBidi"/>
      <w:i/>
      <w:iCs/>
      <w:color w:val="4F81BD" w:themeColor="accent1"/>
      <w:spacing w:val="15"/>
      <w:sz w:val="24"/>
      <w:szCs w:val="24"/>
    </w:rPr>
  </w:style>
  <w:style w:type="paragraph" w:customStyle="1" w:styleId="TableText1">
    <w:name w:val="Table Text1"/>
    <w:basedOn w:val="Normal"/>
    <w:rsid w:val="001B40D4"/>
    <w:pPr>
      <w:keepNext/>
      <w:keepLines/>
      <w:widowControl/>
      <w:adjustRightInd/>
      <w:spacing w:after="200"/>
    </w:pPr>
    <w:rPr>
      <w:rFonts w:asciiTheme="minorHAnsi" w:hAnsiTheme="minorHAnsi" w:cstheme="minorBidi"/>
      <w:sz w:val="18"/>
      <w:szCs w:val="22"/>
    </w:rPr>
  </w:style>
  <w:style w:type="paragraph" w:customStyle="1" w:styleId="TableSource1">
    <w:name w:val="Table Source1"/>
    <w:basedOn w:val="Normal"/>
    <w:rsid w:val="001B40D4"/>
    <w:pPr>
      <w:widowControl/>
      <w:adjustRightInd/>
      <w:spacing w:after="200" w:line="276" w:lineRule="auto"/>
    </w:pPr>
    <w:rPr>
      <w:rFonts w:asciiTheme="minorHAnsi" w:eastAsiaTheme="minorHAnsi" w:hAnsiTheme="minorHAnsi" w:cstheme="minorBidi"/>
      <w:i/>
      <w:iCs/>
      <w:sz w:val="18"/>
      <w:szCs w:val="22"/>
    </w:rPr>
  </w:style>
  <w:style w:type="paragraph" w:customStyle="1" w:styleId="TableTitle1">
    <w:name w:val="Table Title1"/>
    <w:basedOn w:val="Normal"/>
    <w:next w:val="Normal"/>
    <w:rsid w:val="001B40D4"/>
    <w:pPr>
      <w:keepNext/>
      <w:keepLines/>
      <w:widowControl/>
      <w:adjustRightInd/>
      <w:spacing w:after="200" w:line="276" w:lineRule="auto"/>
    </w:pPr>
    <w:rPr>
      <w:rFonts w:ascii="Arial Bold" w:hAnsi="Arial Bold" w:cstheme="minorBidi"/>
      <w:sz w:val="20"/>
      <w:szCs w:val="22"/>
    </w:rPr>
  </w:style>
  <w:style w:type="paragraph" w:customStyle="1" w:styleId="TableSubtitle1">
    <w:name w:val="TableSubtitle1"/>
    <w:basedOn w:val="Normal"/>
    <w:rsid w:val="001B40D4"/>
    <w:pPr>
      <w:keepNext/>
      <w:keepLines/>
      <w:widowControl/>
      <w:autoSpaceDE w:val="0"/>
      <w:autoSpaceDN w:val="0"/>
      <w:spacing w:after="200"/>
      <w:jc w:val="center"/>
    </w:pPr>
    <w:rPr>
      <w:rFonts w:asciiTheme="minorHAnsi" w:hAnsiTheme="minorHAnsi" w:cstheme="minorBidi"/>
      <w:b/>
      <w:bCs/>
      <w:color w:val="000000"/>
      <w:sz w:val="18"/>
      <w:szCs w:val="18"/>
    </w:rPr>
  </w:style>
  <w:style w:type="numbering" w:customStyle="1" w:styleId="NoList1">
    <w:name w:val="No List1"/>
    <w:next w:val="NoList"/>
    <w:uiPriority w:val="99"/>
    <w:semiHidden/>
    <w:unhideWhenUsed/>
    <w:rsid w:val="001B40D4"/>
  </w:style>
  <w:style w:type="paragraph" w:customStyle="1" w:styleId="xl128">
    <w:name w:val="xl128"/>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29">
    <w:name w:val="xl129"/>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30">
    <w:name w:val="xl130"/>
    <w:basedOn w:val="Normal"/>
    <w:rsid w:val="001B40D4"/>
    <w:pPr>
      <w:widowControl/>
      <w:pBdr>
        <w:top w:val="single" w:sz="4" w:space="0" w:color="auto"/>
        <w:left w:val="single" w:sz="4" w:space="0" w:color="auto"/>
        <w:bottom w:val="single" w:sz="4" w:space="0" w:color="auto"/>
      </w:pBdr>
      <w:adjustRightInd/>
      <w:spacing w:before="100" w:beforeAutospacing="1" w:after="100" w:afterAutospacing="1"/>
    </w:pPr>
    <w:rPr>
      <w:b/>
      <w:bCs/>
    </w:rPr>
  </w:style>
  <w:style w:type="paragraph" w:customStyle="1" w:styleId="xl131">
    <w:name w:val="xl131"/>
    <w:basedOn w:val="Normal"/>
    <w:rsid w:val="001B40D4"/>
    <w:pPr>
      <w:widowControl/>
      <w:pBdr>
        <w:top w:val="single" w:sz="4" w:space="0" w:color="auto"/>
        <w:bottom w:val="single" w:sz="4" w:space="0" w:color="auto"/>
      </w:pBdr>
      <w:adjustRightInd/>
      <w:spacing w:before="100" w:beforeAutospacing="1" w:after="100" w:afterAutospacing="1"/>
    </w:pPr>
    <w:rPr>
      <w:b/>
      <w:bCs/>
    </w:rPr>
  </w:style>
  <w:style w:type="paragraph" w:customStyle="1" w:styleId="xl132">
    <w:name w:val="xl132"/>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pPr>
    <w:rPr>
      <w:b/>
      <w:bCs/>
    </w:rPr>
  </w:style>
  <w:style w:type="paragraph" w:customStyle="1" w:styleId="xl133">
    <w:name w:val="xl133"/>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pPr>
  </w:style>
  <w:style w:type="paragraph" w:customStyle="1" w:styleId="xl134">
    <w:name w:val="xl134"/>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5">
    <w:name w:val="xl13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6">
    <w:name w:val="xl136"/>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7">
    <w:name w:val="xl137"/>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8">
    <w:name w:val="xl138"/>
    <w:basedOn w:val="Normal"/>
    <w:rsid w:val="001B40D4"/>
    <w:pPr>
      <w:widowControl/>
      <w:pBdr>
        <w:top w:val="single" w:sz="4" w:space="0" w:color="auto"/>
        <w:left w:val="single" w:sz="8" w:space="27" w:color="auto"/>
        <w:bottom w:val="single" w:sz="4" w:space="0" w:color="auto"/>
        <w:right w:val="single" w:sz="4" w:space="0" w:color="auto"/>
      </w:pBdr>
      <w:adjustRightInd/>
      <w:spacing w:before="100" w:beforeAutospacing="1" w:after="100" w:afterAutospacing="1"/>
      <w:ind w:firstLineChars="400" w:firstLine="400"/>
    </w:pPr>
  </w:style>
  <w:style w:type="paragraph" w:customStyle="1" w:styleId="xl139">
    <w:name w:val="xl139"/>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0">
    <w:name w:val="xl140"/>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1">
    <w:name w:val="xl141"/>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2">
    <w:name w:val="xl142"/>
    <w:basedOn w:val="Normal"/>
    <w:rsid w:val="001B40D4"/>
    <w:pPr>
      <w:widowControl/>
      <w:pBdr>
        <w:top w:val="single" w:sz="4" w:space="0" w:color="auto"/>
        <w:left w:val="single" w:sz="8" w:space="14" w:color="auto"/>
        <w:bottom w:val="single" w:sz="4" w:space="0" w:color="auto"/>
        <w:right w:val="single" w:sz="4" w:space="0" w:color="auto"/>
      </w:pBdr>
      <w:adjustRightInd/>
      <w:spacing w:before="100" w:beforeAutospacing="1" w:after="100" w:afterAutospacing="1"/>
      <w:ind w:firstLineChars="200" w:firstLine="200"/>
    </w:pPr>
    <w:rPr>
      <w:sz w:val="18"/>
      <w:szCs w:val="18"/>
    </w:rPr>
  </w:style>
  <w:style w:type="paragraph" w:customStyle="1" w:styleId="xl143">
    <w:name w:val="xl143"/>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4">
    <w:name w:val="xl144"/>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5">
    <w:name w:val="xl14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6">
    <w:name w:val="xl146"/>
    <w:basedOn w:val="Normal"/>
    <w:rsid w:val="001B40D4"/>
    <w:pPr>
      <w:widowControl/>
      <w:pBdr>
        <w:top w:val="single" w:sz="4" w:space="0" w:color="auto"/>
        <w:left w:val="single" w:sz="4" w:space="0" w:color="auto"/>
        <w:bottom w:val="single" w:sz="4" w:space="0" w:color="auto"/>
      </w:pBdr>
      <w:adjustRightInd/>
      <w:spacing w:before="100" w:beforeAutospacing="1" w:after="100" w:afterAutospacing="1"/>
    </w:pPr>
    <w:rPr>
      <w:b/>
      <w:bCs/>
      <w:sz w:val="18"/>
      <w:szCs w:val="18"/>
    </w:rPr>
  </w:style>
  <w:style w:type="paragraph" w:customStyle="1" w:styleId="xl147">
    <w:name w:val="xl147"/>
    <w:basedOn w:val="Normal"/>
    <w:rsid w:val="001B40D4"/>
    <w:pPr>
      <w:widowControl/>
      <w:pBdr>
        <w:top w:val="single" w:sz="4" w:space="0" w:color="auto"/>
        <w:bottom w:val="single" w:sz="4" w:space="0" w:color="auto"/>
      </w:pBdr>
      <w:adjustRightInd/>
      <w:spacing w:before="100" w:beforeAutospacing="1" w:after="100" w:afterAutospacing="1"/>
    </w:pPr>
    <w:rPr>
      <w:b/>
      <w:bCs/>
      <w:sz w:val="18"/>
      <w:szCs w:val="18"/>
    </w:rPr>
  </w:style>
  <w:style w:type="paragraph" w:customStyle="1" w:styleId="xl148">
    <w:name w:val="xl148"/>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pPr>
    <w:rPr>
      <w:b/>
      <w:bCs/>
      <w:sz w:val="18"/>
      <w:szCs w:val="18"/>
    </w:rPr>
  </w:style>
  <w:style w:type="paragraph" w:customStyle="1" w:styleId="xl127">
    <w:name w:val="xl127"/>
    <w:basedOn w:val="Normal"/>
    <w:rsid w:val="001B40D4"/>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49">
    <w:name w:val="xl149"/>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pPr>
  </w:style>
  <w:style w:type="paragraph" w:customStyle="1" w:styleId="xl150">
    <w:name w:val="xl150"/>
    <w:basedOn w:val="Normal"/>
    <w:rsid w:val="001B40D4"/>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textAlignment w:val="top"/>
    </w:pPr>
  </w:style>
  <w:style w:type="paragraph" w:customStyle="1" w:styleId="xl151">
    <w:name w:val="xl151"/>
    <w:basedOn w:val="Normal"/>
    <w:rsid w:val="001B40D4"/>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textAlignment w:val="top"/>
    </w:pPr>
  </w:style>
  <w:style w:type="paragraph" w:styleId="Revision">
    <w:name w:val="Revision"/>
    <w:hidden/>
    <w:uiPriority w:val="99"/>
    <w:semiHidden/>
    <w:rsid w:val="001B40D4"/>
  </w:style>
  <w:style w:type="paragraph" w:customStyle="1" w:styleId="tabletextr1">
    <w:name w:val="tabletextr1"/>
    <w:basedOn w:val="TableText"/>
    <w:rsid w:val="001B40D4"/>
    <w:pPr>
      <w:spacing w:after="200"/>
      <w:jc w:val="right"/>
    </w:pPr>
    <w:rPr>
      <w:rFonts w:asciiTheme="minorHAnsi" w:eastAsia="Times New Roman" w:hAnsiTheme="minorHAnsi" w:cstheme="minorBidi"/>
      <w:szCs w:val="22"/>
    </w:rPr>
  </w:style>
  <w:style w:type="paragraph" w:customStyle="1" w:styleId="font5">
    <w:name w:val="font5"/>
    <w:basedOn w:val="Normal"/>
    <w:rsid w:val="001B40D4"/>
    <w:pPr>
      <w:widowControl/>
      <w:adjustRightInd/>
      <w:spacing w:before="100" w:beforeAutospacing="1" w:after="100" w:afterAutospacing="1"/>
    </w:pPr>
    <w:rPr>
      <w:color w:val="000000"/>
      <w:sz w:val="20"/>
      <w:szCs w:val="20"/>
    </w:rPr>
  </w:style>
  <w:style w:type="paragraph" w:customStyle="1" w:styleId="font6">
    <w:name w:val="font6"/>
    <w:basedOn w:val="Normal"/>
    <w:rsid w:val="001B40D4"/>
    <w:pPr>
      <w:widowControl/>
      <w:adjustRightInd/>
      <w:spacing w:before="100" w:beforeAutospacing="1" w:after="100" w:afterAutospacing="1"/>
    </w:pPr>
    <w:rPr>
      <w:color w:val="000000"/>
      <w:sz w:val="16"/>
      <w:szCs w:val="16"/>
    </w:rPr>
  </w:style>
  <w:style w:type="paragraph" w:customStyle="1" w:styleId="xl152">
    <w:name w:val="xl152"/>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3">
    <w:name w:val="xl153"/>
    <w:basedOn w:val="Normal"/>
    <w:rsid w:val="001B40D4"/>
    <w:pPr>
      <w:widowControl/>
      <w:pBdr>
        <w:top w:val="single" w:sz="4" w:space="0" w:color="auto"/>
        <w:left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4">
    <w:name w:val="xl154"/>
    <w:basedOn w:val="Normal"/>
    <w:rsid w:val="001B40D4"/>
    <w:pPr>
      <w:widowControl/>
      <w:pBdr>
        <w:left w:val="single" w:sz="4" w:space="0" w:color="auto"/>
        <w:bottom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5">
    <w:name w:val="xl15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56">
    <w:name w:val="xl156"/>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57">
    <w:name w:val="xl157"/>
    <w:basedOn w:val="Normal"/>
    <w:rsid w:val="001B40D4"/>
    <w:pPr>
      <w:widowControl/>
      <w:adjustRightInd/>
      <w:spacing w:before="100" w:beforeAutospacing="1" w:after="100" w:afterAutospacing="1"/>
    </w:pPr>
  </w:style>
  <w:style w:type="paragraph" w:customStyle="1" w:styleId="xl158">
    <w:name w:val="xl158"/>
    <w:basedOn w:val="Normal"/>
    <w:rsid w:val="001B40D4"/>
    <w:pPr>
      <w:widowControl/>
      <w:adjustRightInd/>
      <w:spacing w:before="100" w:beforeAutospacing="1" w:after="100" w:afterAutospacing="1"/>
      <w:textAlignment w:val="center"/>
    </w:pPr>
    <w:rPr>
      <w:sz w:val="16"/>
      <w:szCs w:val="16"/>
    </w:rPr>
  </w:style>
  <w:style w:type="paragraph" w:customStyle="1" w:styleId="xl159">
    <w:name w:val="xl159"/>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0">
    <w:name w:val="xl160"/>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1">
    <w:name w:val="xl161"/>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2">
    <w:name w:val="xl162"/>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pPr>
  </w:style>
  <w:style w:type="paragraph" w:customStyle="1" w:styleId="xl163">
    <w:name w:val="xl163"/>
    <w:basedOn w:val="Normal"/>
    <w:rsid w:val="001B40D4"/>
    <w:pPr>
      <w:widowControl/>
      <w:shd w:val="clear" w:color="000000" w:fill="FF0000"/>
      <w:adjustRightInd/>
      <w:spacing w:before="100" w:beforeAutospacing="1" w:after="100" w:afterAutospacing="1"/>
    </w:pPr>
  </w:style>
  <w:style w:type="paragraph" w:customStyle="1" w:styleId="xl164">
    <w:name w:val="xl164"/>
    <w:basedOn w:val="Normal"/>
    <w:rsid w:val="001B40D4"/>
    <w:pPr>
      <w:widowControl/>
      <w:pBdr>
        <w:top w:val="single" w:sz="4" w:space="0" w:color="auto"/>
        <w:left w:val="single" w:sz="4" w:space="14" w:color="auto"/>
        <w:bottom w:val="single" w:sz="4" w:space="0" w:color="auto"/>
        <w:right w:val="single" w:sz="4" w:space="0" w:color="auto"/>
      </w:pBdr>
      <w:shd w:val="clear" w:color="000000" w:fill="FF0000"/>
      <w:adjustRightInd/>
      <w:spacing w:before="100" w:beforeAutospacing="1" w:after="100" w:afterAutospacing="1"/>
      <w:ind w:firstLineChars="200" w:firstLine="200"/>
    </w:pPr>
    <w:rPr>
      <w:sz w:val="18"/>
      <w:szCs w:val="18"/>
    </w:rPr>
  </w:style>
  <w:style w:type="paragraph" w:customStyle="1" w:styleId="xl165">
    <w:name w:val="xl165"/>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6">
    <w:name w:val="xl166"/>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7">
    <w:name w:val="xl167"/>
    <w:basedOn w:val="Normal"/>
    <w:rsid w:val="001B40D4"/>
    <w:pPr>
      <w:widowControl/>
      <w:shd w:val="clear" w:color="000000" w:fill="FF0000"/>
      <w:adjustRightInd/>
      <w:spacing w:before="100" w:beforeAutospacing="1" w:after="100" w:afterAutospacing="1"/>
    </w:pPr>
  </w:style>
  <w:style w:type="paragraph" w:customStyle="1" w:styleId="xl168">
    <w:name w:val="xl168"/>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9">
    <w:name w:val="xl169"/>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70">
    <w:name w:val="xl170"/>
    <w:basedOn w:val="Normal"/>
    <w:rsid w:val="001B40D4"/>
    <w:pPr>
      <w:widowControl/>
      <w:pBdr>
        <w:top w:val="single" w:sz="4" w:space="0" w:color="auto"/>
        <w:left w:val="single" w:sz="8" w:space="14" w:color="auto"/>
        <w:bottom w:val="single" w:sz="4" w:space="0" w:color="auto"/>
        <w:right w:val="single" w:sz="4" w:space="0" w:color="auto"/>
      </w:pBdr>
      <w:shd w:val="clear" w:color="000000" w:fill="FF0000"/>
      <w:adjustRightInd/>
      <w:spacing w:before="100" w:beforeAutospacing="1" w:after="100" w:afterAutospacing="1"/>
      <w:ind w:firstLineChars="200" w:firstLine="200"/>
    </w:pPr>
  </w:style>
  <w:style w:type="paragraph" w:customStyle="1" w:styleId="xl171">
    <w:name w:val="xl171"/>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textAlignment w:val="top"/>
    </w:pPr>
  </w:style>
  <w:style w:type="paragraph" w:customStyle="1" w:styleId="xl172">
    <w:name w:val="xl172"/>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textAlignment w:val="top"/>
    </w:pPr>
  </w:style>
  <w:style w:type="paragraph" w:customStyle="1" w:styleId="xl173">
    <w:name w:val="xl173"/>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textAlignment w:val="top"/>
    </w:pPr>
  </w:style>
  <w:style w:type="paragraph" w:customStyle="1" w:styleId="xl174">
    <w:name w:val="xl174"/>
    <w:basedOn w:val="Normal"/>
    <w:rsid w:val="001B40D4"/>
    <w:pPr>
      <w:widowControl/>
      <w:pBdr>
        <w:top w:val="single" w:sz="4" w:space="0" w:color="auto"/>
        <w:left w:val="single" w:sz="4" w:space="0" w:color="auto"/>
        <w:bottom w:val="single" w:sz="4" w:space="0" w:color="auto"/>
        <w:right w:val="single" w:sz="8" w:space="0" w:color="auto"/>
      </w:pBdr>
      <w:shd w:val="clear" w:color="000000" w:fill="FFFF00"/>
      <w:adjustRightInd/>
      <w:spacing w:before="100" w:beforeAutospacing="1" w:after="100" w:afterAutospacing="1"/>
      <w:textAlignment w:val="top"/>
    </w:pPr>
  </w:style>
  <w:style w:type="paragraph" w:customStyle="1" w:styleId="xl175">
    <w:name w:val="xl175"/>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pPr>
  </w:style>
  <w:style w:type="paragraph" w:customStyle="1" w:styleId="xl176">
    <w:name w:val="xl176"/>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textAlignment w:val="top"/>
    </w:pPr>
  </w:style>
  <w:style w:type="paragraph" w:customStyle="1" w:styleId="xl177">
    <w:name w:val="xl177"/>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center"/>
    </w:pPr>
    <w:rPr>
      <w:b/>
      <w:bCs/>
    </w:rPr>
  </w:style>
  <w:style w:type="paragraph" w:customStyle="1" w:styleId="xl178">
    <w:name w:val="xl178"/>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textAlignment w:val="center"/>
    </w:pPr>
  </w:style>
  <w:style w:type="paragraph" w:customStyle="1" w:styleId="xl179">
    <w:name w:val="xl179"/>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80">
    <w:name w:val="xl180"/>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81">
    <w:name w:val="xl181"/>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pPr>
    <w:rPr>
      <w:b/>
      <w:bCs/>
    </w:rPr>
  </w:style>
  <w:style w:type="paragraph" w:customStyle="1" w:styleId="xl182">
    <w:name w:val="xl182"/>
    <w:basedOn w:val="Normal"/>
    <w:rsid w:val="001B40D4"/>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83">
    <w:name w:val="xl183"/>
    <w:basedOn w:val="Normal"/>
    <w:rsid w:val="001B40D4"/>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84">
    <w:name w:val="xl184"/>
    <w:basedOn w:val="Normal"/>
    <w:rsid w:val="001B40D4"/>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textAlignment w:val="top"/>
    </w:pPr>
    <w:rPr>
      <w:b/>
      <w:bCs/>
    </w:rPr>
  </w:style>
  <w:style w:type="paragraph" w:customStyle="1" w:styleId="xl185">
    <w:name w:val="xl18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style>
  <w:style w:type="paragraph" w:customStyle="1" w:styleId="xl186">
    <w:name w:val="xl186"/>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center"/>
    </w:pPr>
  </w:style>
  <w:style w:type="paragraph" w:customStyle="1" w:styleId="xl187">
    <w:name w:val="xl187"/>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b/>
      <w:bCs/>
    </w:rPr>
  </w:style>
  <w:style w:type="paragraph" w:customStyle="1" w:styleId="xl188">
    <w:name w:val="xl188"/>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style>
  <w:style w:type="paragraph" w:customStyle="1" w:styleId="xl189">
    <w:name w:val="xl189"/>
    <w:basedOn w:val="Normal"/>
    <w:rsid w:val="001B40D4"/>
    <w:pPr>
      <w:widowControl/>
      <w:pBdr>
        <w:top w:val="single" w:sz="4" w:space="0" w:color="auto"/>
        <w:left w:val="single" w:sz="8" w:space="0" w:color="auto"/>
        <w:bottom w:val="single" w:sz="4" w:space="0" w:color="auto"/>
      </w:pBdr>
      <w:adjustRightInd/>
      <w:spacing w:before="100" w:beforeAutospacing="1" w:after="100" w:afterAutospacing="1"/>
      <w:textAlignment w:val="top"/>
    </w:pPr>
    <w:rPr>
      <w:b/>
      <w:bCs/>
    </w:rPr>
  </w:style>
  <w:style w:type="paragraph" w:customStyle="1" w:styleId="xl190">
    <w:name w:val="xl190"/>
    <w:basedOn w:val="Normal"/>
    <w:rsid w:val="001B40D4"/>
    <w:pPr>
      <w:widowControl/>
      <w:pBdr>
        <w:top w:val="single" w:sz="4" w:space="0" w:color="auto"/>
        <w:bottom w:val="single" w:sz="4" w:space="0" w:color="auto"/>
      </w:pBdr>
      <w:adjustRightInd/>
      <w:spacing w:before="100" w:beforeAutospacing="1" w:after="100" w:afterAutospacing="1"/>
      <w:textAlignment w:val="top"/>
    </w:pPr>
  </w:style>
  <w:style w:type="paragraph" w:customStyle="1" w:styleId="xl191">
    <w:name w:val="xl191"/>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textAlignment w:val="top"/>
    </w:pPr>
  </w:style>
  <w:style w:type="paragraph" w:customStyle="1" w:styleId="xl192">
    <w:name w:val="xl192"/>
    <w:basedOn w:val="Normal"/>
    <w:rsid w:val="001B40D4"/>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textAlignment w:val="top"/>
    </w:pPr>
  </w:style>
  <w:style w:type="paragraph" w:customStyle="1" w:styleId="xl193">
    <w:name w:val="xl193"/>
    <w:basedOn w:val="Normal"/>
    <w:rsid w:val="001B40D4"/>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textAlignment w:val="top"/>
    </w:pPr>
  </w:style>
  <w:style w:type="paragraph" w:customStyle="1" w:styleId="xl194">
    <w:name w:val="xl194"/>
    <w:basedOn w:val="Normal"/>
    <w:rsid w:val="001B40D4"/>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textAlignment w:val="top"/>
    </w:pPr>
  </w:style>
  <w:style w:type="paragraph" w:customStyle="1" w:styleId="xl195">
    <w:name w:val="xl195"/>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pPr>
    <w:rPr>
      <w:sz w:val="18"/>
      <w:szCs w:val="18"/>
    </w:rPr>
  </w:style>
  <w:style w:type="paragraph" w:customStyle="1" w:styleId="xl196">
    <w:name w:val="xl196"/>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pPr>
    <w:rPr>
      <w:sz w:val="18"/>
      <w:szCs w:val="18"/>
    </w:rPr>
  </w:style>
  <w:style w:type="paragraph" w:customStyle="1" w:styleId="xl197">
    <w:name w:val="xl197"/>
    <w:basedOn w:val="Normal"/>
    <w:rsid w:val="001B40D4"/>
    <w:pPr>
      <w:widowControl/>
      <w:pBdr>
        <w:top w:val="single" w:sz="4" w:space="0" w:color="auto"/>
        <w:left w:val="single" w:sz="8" w:space="0" w:color="auto"/>
        <w:bottom w:val="single" w:sz="4" w:space="0" w:color="auto"/>
        <w:right w:val="single" w:sz="4" w:space="0" w:color="auto"/>
      </w:pBdr>
      <w:shd w:val="clear" w:color="000000" w:fill="FF0000"/>
      <w:adjustRightInd/>
      <w:spacing w:before="100" w:beforeAutospacing="1" w:after="100" w:afterAutospacing="1"/>
    </w:pPr>
  </w:style>
  <w:style w:type="paragraph" w:styleId="NormalWeb">
    <w:name w:val="Normal (Web)"/>
    <w:basedOn w:val="Normal"/>
    <w:uiPriority w:val="99"/>
    <w:unhideWhenUsed/>
    <w:rsid w:val="001B40D4"/>
    <w:pPr>
      <w:widowControl/>
      <w:adjustRightInd/>
      <w:spacing w:before="100" w:beforeAutospacing="1" w:after="100" w:afterAutospacing="1"/>
    </w:pPr>
  </w:style>
  <w:style w:type="paragraph" w:customStyle="1" w:styleId="ICRBodyText">
    <w:name w:val="ICRBody Text"/>
    <w:basedOn w:val="BodyText"/>
    <w:link w:val="ICRBodyTextChar"/>
    <w:qFormat/>
    <w:rsid w:val="001B40D4"/>
    <w:pPr>
      <w:widowControl/>
      <w:tabs>
        <w:tab w:val="clear" w:pos="-1440"/>
        <w:tab w:val="left" w:pos="720"/>
        <w:tab w:val="left" w:pos="1080"/>
        <w:tab w:val="left" w:pos="1440"/>
        <w:tab w:val="left" w:pos="1800"/>
      </w:tabs>
      <w:adjustRightInd/>
      <w:ind w:firstLine="720"/>
    </w:pPr>
    <w:rPr>
      <w:sz w:val="24"/>
      <w:szCs w:val="24"/>
    </w:rPr>
  </w:style>
  <w:style w:type="character" w:customStyle="1" w:styleId="ICRBodyTextChar">
    <w:name w:val="ICRBody Text Char"/>
    <w:basedOn w:val="BodyTextChar"/>
    <w:link w:val="ICRBodyText"/>
    <w:rsid w:val="001B40D4"/>
    <w:rPr>
      <w:sz w:val="24"/>
      <w:szCs w:val="24"/>
    </w:rPr>
  </w:style>
  <w:style w:type="paragraph" w:customStyle="1" w:styleId="TableTitle5">
    <w:name w:val="Table Title5"/>
    <w:basedOn w:val="Normal"/>
    <w:next w:val="Normal"/>
    <w:qFormat/>
    <w:rsid w:val="00A83DDA"/>
    <w:pPr>
      <w:keepNext/>
      <w:keepLines/>
      <w:widowControl/>
      <w:adjustRightInd/>
      <w:spacing w:line="264" w:lineRule="auto"/>
    </w:pPr>
    <w:rPr>
      <w:rFonts w:ascii="Arial Bold" w:hAnsi="Arial Bold"/>
      <w:sz w:val="20"/>
      <w:szCs w:val="22"/>
    </w:rPr>
  </w:style>
</w:styles>
</file>

<file path=word/webSettings.xml><?xml version="1.0" encoding="utf-8"?>
<w:webSettings xmlns:r="http://schemas.openxmlformats.org/officeDocument/2006/relationships" xmlns:w="http://schemas.openxmlformats.org/wordprocessingml/2006/main">
  <w:divs>
    <w:div w:id="872229860">
      <w:bodyDiv w:val="1"/>
      <w:marLeft w:val="0"/>
      <w:marRight w:val="0"/>
      <w:marTop w:val="0"/>
      <w:marBottom w:val="0"/>
      <w:divBdr>
        <w:top w:val="none" w:sz="0" w:space="0" w:color="auto"/>
        <w:left w:val="none" w:sz="0" w:space="0" w:color="auto"/>
        <w:bottom w:val="none" w:sz="0" w:space="0" w:color="auto"/>
        <w:right w:val="none" w:sz="0" w:space="0" w:color="auto"/>
      </w:divBdr>
    </w:div>
    <w:div w:id="872882473">
      <w:bodyDiv w:val="1"/>
      <w:marLeft w:val="0"/>
      <w:marRight w:val="0"/>
      <w:marTop w:val="0"/>
      <w:marBottom w:val="0"/>
      <w:divBdr>
        <w:top w:val="none" w:sz="0" w:space="0" w:color="auto"/>
        <w:left w:val="none" w:sz="0" w:space="0" w:color="auto"/>
        <w:bottom w:val="none" w:sz="0" w:space="0" w:color="auto"/>
        <w:right w:val="none" w:sz="0" w:space="0" w:color="auto"/>
      </w:divBdr>
    </w:div>
    <w:div w:id="914823207">
      <w:bodyDiv w:val="1"/>
      <w:marLeft w:val="0"/>
      <w:marRight w:val="0"/>
      <w:marTop w:val="0"/>
      <w:marBottom w:val="0"/>
      <w:divBdr>
        <w:top w:val="none" w:sz="0" w:space="0" w:color="auto"/>
        <w:left w:val="none" w:sz="0" w:space="0" w:color="auto"/>
        <w:bottom w:val="none" w:sz="0" w:space="0" w:color="auto"/>
        <w:right w:val="none" w:sz="0" w:space="0" w:color="auto"/>
      </w:divBdr>
    </w:div>
    <w:div w:id="927231740">
      <w:bodyDiv w:val="1"/>
      <w:marLeft w:val="0"/>
      <w:marRight w:val="0"/>
      <w:marTop w:val="0"/>
      <w:marBottom w:val="0"/>
      <w:divBdr>
        <w:top w:val="none" w:sz="0" w:space="0" w:color="auto"/>
        <w:left w:val="none" w:sz="0" w:space="0" w:color="auto"/>
        <w:bottom w:val="none" w:sz="0" w:space="0" w:color="auto"/>
        <w:right w:val="none" w:sz="0" w:space="0" w:color="auto"/>
      </w:divBdr>
    </w:div>
    <w:div w:id="1275555429">
      <w:bodyDiv w:val="1"/>
      <w:marLeft w:val="0"/>
      <w:marRight w:val="0"/>
      <w:marTop w:val="0"/>
      <w:marBottom w:val="0"/>
      <w:divBdr>
        <w:top w:val="none" w:sz="0" w:space="0" w:color="auto"/>
        <w:left w:val="none" w:sz="0" w:space="0" w:color="auto"/>
        <w:bottom w:val="none" w:sz="0" w:space="0" w:color="auto"/>
        <w:right w:val="none" w:sz="0" w:space="0" w:color="auto"/>
      </w:divBdr>
    </w:div>
    <w:div w:id="20685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rb.ca.gov/toxics/compwood/outreach/11_01_advisory.pdf"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40638</Words>
  <Characters>231639</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2013-05-23T18:04:00Z</dcterms:created>
  <dcterms:modified xsi:type="dcterms:W3CDTF">2013-05-23T18:04:00Z</dcterms:modified>
</cp:coreProperties>
</file>