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Pr="00D101F1" w:rsidRDefault="00811441" w:rsidP="00A7661C">
      <w:pPr>
        <w:tabs>
          <w:tab w:val="center" w:pos="4680"/>
        </w:tabs>
        <w:jc w:val="center"/>
        <w:rPr>
          <w:b/>
          <w:bCs/>
        </w:rPr>
      </w:pPr>
    </w:p>
    <w:p w:rsidR="00CA4CD6" w:rsidRPr="00D101F1" w:rsidRDefault="00492F1E" w:rsidP="00A7661C">
      <w:pPr>
        <w:tabs>
          <w:tab w:val="center" w:pos="4680"/>
        </w:tabs>
        <w:jc w:val="center"/>
        <w:rPr>
          <w:b/>
          <w:bCs/>
        </w:rPr>
      </w:pPr>
      <w:r w:rsidRPr="00D101F1">
        <w:rPr>
          <w:b/>
          <w:bCs/>
        </w:rPr>
        <w:fldChar w:fldCharType="begin"/>
      </w:r>
      <w:r w:rsidR="00CA4CD6" w:rsidRPr="00D101F1">
        <w:rPr>
          <w:b/>
          <w:bCs/>
        </w:rPr>
        <w:instrText>tc \l2 "SF</w:instrText>
      </w:r>
      <w:r w:rsidRPr="00D101F1">
        <w:rPr>
          <w:b/>
          <w:bCs/>
        </w:rPr>
        <w:fldChar w:fldCharType="end"/>
      </w:r>
      <w:r w:rsidR="00CA4CD6" w:rsidRPr="00D101F1">
        <w:rPr>
          <w:b/>
          <w:bCs/>
        </w:rPr>
        <w:t>SUPPORTING STATEMENT</w:t>
      </w:r>
    </w:p>
    <w:p w:rsidR="00CA4CD6" w:rsidRPr="00D101F1" w:rsidRDefault="00CA4CD6">
      <w:pPr>
        <w:tabs>
          <w:tab w:val="center" w:pos="4680"/>
        </w:tabs>
      </w:pPr>
      <w:r w:rsidRPr="00D101F1">
        <w:rPr>
          <w:b/>
          <w:bCs/>
        </w:rPr>
        <w:tab/>
        <w:t>ENVIRONMENTAL PROTECTION AGENCY</w:t>
      </w:r>
    </w:p>
    <w:p w:rsidR="00CA4CD6" w:rsidRPr="00D101F1" w:rsidRDefault="00CA4CD6">
      <w:pPr>
        <w:tabs>
          <w:tab w:val="center" w:pos="4680"/>
        </w:tabs>
      </w:pPr>
      <w:r w:rsidRPr="00D101F1">
        <w:tab/>
      </w:r>
    </w:p>
    <w:p w:rsidR="00CA4CD6" w:rsidRPr="00D101F1" w:rsidRDefault="00CE5AC9">
      <w:r w:rsidRPr="00D101F1">
        <w:rPr>
          <w:b/>
        </w:rPr>
        <w:t>Emission Guidelines for Commercial and Industrial Solid Waste Incineration Units (</w:t>
      </w:r>
      <w:r w:rsidR="003637BA" w:rsidRPr="00D101F1">
        <w:rPr>
          <w:b/>
        </w:rPr>
        <w:t xml:space="preserve">40 </w:t>
      </w:r>
      <w:r w:rsidRPr="00D101F1">
        <w:rPr>
          <w:b/>
        </w:rPr>
        <w:t>CFR Part 60, Subpart DDDD)</w:t>
      </w:r>
      <w:r w:rsidR="002B29A5" w:rsidRPr="00D101F1">
        <w:rPr>
          <w:b/>
        </w:rPr>
        <w:t xml:space="preserve"> (Renewal)</w:t>
      </w:r>
    </w:p>
    <w:p w:rsidR="00CA4CD6" w:rsidRPr="00D101F1" w:rsidRDefault="00CA4CD6"/>
    <w:p w:rsidR="00CA4CD6" w:rsidRPr="00D101F1" w:rsidRDefault="00CA4CD6">
      <w:pPr>
        <w:rPr>
          <w:b/>
          <w:bCs/>
        </w:rPr>
      </w:pPr>
      <w:r w:rsidRPr="00D101F1">
        <w:rPr>
          <w:b/>
          <w:bCs/>
        </w:rPr>
        <w:t>1.  Identification of the Information Collection</w:t>
      </w:r>
    </w:p>
    <w:p w:rsidR="00CA4CD6" w:rsidRPr="00D101F1" w:rsidRDefault="00CA4CD6">
      <w:pPr>
        <w:rPr>
          <w:b/>
          <w:bCs/>
        </w:rPr>
      </w:pPr>
    </w:p>
    <w:p w:rsidR="00CA4CD6" w:rsidRPr="00D101F1" w:rsidRDefault="00CA4CD6">
      <w:pPr>
        <w:ind w:firstLine="720"/>
        <w:rPr>
          <w:b/>
          <w:bCs/>
        </w:rPr>
      </w:pPr>
      <w:r w:rsidRPr="00D101F1">
        <w:rPr>
          <w:b/>
          <w:bCs/>
        </w:rPr>
        <w:t>1(a</w:t>
      </w:r>
      <w:proofErr w:type="gramStart"/>
      <w:r w:rsidRPr="00D101F1">
        <w:rPr>
          <w:b/>
          <w:bCs/>
        </w:rPr>
        <w:t>)  Title</w:t>
      </w:r>
      <w:proofErr w:type="gramEnd"/>
      <w:r w:rsidRPr="00D101F1">
        <w:rPr>
          <w:b/>
          <w:bCs/>
        </w:rPr>
        <w:t xml:space="preserve"> of the Information Collection</w:t>
      </w:r>
    </w:p>
    <w:p w:rsidR="00CA4CD6" w:rsidRPr="00D101F1" w:rsidRDefault="00CA4CD6">
      <w:pPr>
        <w:rPr>
          <w:b/>
          <w:bCs/>
        </w:rPr>
      </w:pPr>
    </w:p>
    <w:p w:rsidR="00CA4CD6" w:rsidRPr="00D101F1" w:rsidRDefault="00CE5AC9" w:rsidP="002B29A5">
      <w:pPr>
        <w:rPr>
          <w:bCs/>
        </w:rPr>
      </w:pPr>
      <w:r w:rsidRPr="00D101F1">
        <w:rPr>
          <w:bCs/>
        </w:rPr>
        <w:t>Emission Guidelines for Commercial and Industrial Solid Waste Incineration Units (</w:t>
      </w:r>
      <w:r w:rsidR="003637BA" w:rsidRPr="00D101F1">
        <w:rPr>
          <w:bCs/>
        </w:rPr>
        <w:t xml:space="preserve">40 </w:t>
      </w:r>
      <w:r w:rsidRPr="00D101F1">
        <w:rPr>
          <w:bCs/>
        </w:rPr>
        <w:t>CFR Part 60, Subpart DDDD)</w:t>
      </w:r>
      <w:r w:rsidR="002B29A5" w:rsidRPr="00D101F1">
        <w:rPr>
          <w:bCs/>
        </w:rPr>
        <w:t xml:space="preserve"> (Renewal), EPA ICR Number</w:t>
      </w:r>
      <w:r w:rsidRPr="00D101F1">
        <w:rPr>
          <w:bCs/>
        </w:rPr>
        <w:t xml:space="preserve"> 1927.06, </w:t>
      </w:r>
      <w:r w:rsidR="002B29A5" w:rsidRPr="00D101F1">
        <w:rPr>
          <w:bCs/>
        </w:rPr>
        <w:t xml:space="preserve">OMB Control Number </w:t>
      </w:r>
      <w:r w:rsidR="00995015">
        <w:rPr>
          <w:bCs/>
        </w:rPr>
        <w:t>2060-0451</w:t>
      </w:r>
      <w:r w:rsidR="002B29A5" w:rsidRPr="00D101F1">
        <w:rPr>
          <w:bCs/>
        </w:rPr>
        <w:t xml:space="preserve"> </w:t>
      </w:r>
    </w:p>
    <w:p w:rsidR="00CA4CD6" w:rsidRPr="00D101F1" w:rsidRDefault="00CA4CD6">
      <w:pPr>
        <w:rPr>
          <w:b/>
          <w:bCs/>
        </w:rPr>
      </w:pPr>
    </w:p>
    <w:p w:rsidR="00CA4CD6" w:rsidRPr="00D101F1" w:rsidRDefault="00CA4CD6">
      <w:pPr>
        <w:ind w:firstLine="720"/>
      </w:pPr>
      <w:r w:rsidRPr="00D101F1">
        <w:rPr>
          <w:b/>
          <w:bCs/>
        </w:rPr>
        <w:t>1(b</w:t>
      </w:r>
      <w:proofErr w:type="gramStart"/>
      <w:r w:rsidRPr="00D101F1">
        <w:rPr>
          <w:b/>
          <w:bCs/>
        </w:rPr>
        <w:t>)  Short</w:t>
      </w:r>
      <w:proofErr w:type="gramEnd"/>
      <w:r w:rsidRPr="00D101F1">
        <w:rPr>
          <w:b/>
          <w:bCs/>
        </w:rPr>
        <w:t xml:space="preserve"> Characterization/Abstract</w:t>
      </w:r>
    </w:p>
    <w:p w:rsidR="00CA4CD6" w:rsidRPr="00D101F1" w:rsidRDefault="00CA4CD6"/>
    <w:p w:rsidR="00276E39" w:rsidRDefault="00CA4CD6" w:rsidP="00276E39">
      <w:pPr>
        <w:ind w:firstLine="720"/>
      </w:pPr>
      <w:r w:rsidRPr="00D101F1">
        <w:t>The</w:t>
      </w:r>
      <w:r w:rsidR="003637BA" w:rsidRPr="00D101F1">
        <w:t xml:space="preserve"> </w:t>
      </w:r>
      <w:r w:rsidR="008375BA" w:rsidRPr="00D101F1">
        <w:rPr>
          <w:bCs/>
        </w:rPr>
        <w:t xml:space="preserve">Emission Guidelines for Commercial and Industrial Solid Waste Incineration Units </w:t>
      </w:r>
      <w:r w:rsidR="00E02C78">
        <w:t>(</w:t>
      </w:r>
      <w:r w:rsidR="003637BA" w:rsidRPr="00D101F1">
        <w:t>40 CFR part 60, subpart DDDD</w:t>
      </w:r>
      <w:r w:rsidR="00E02C78">
        <w:t>)</w:t>
      </w:r>
      <w:r w:rsidR="003637BA" w:rsidRPr="00D101F1">
        <w:t xml:space="preserve"> </w:t>
      </w:r>
      <w:r w:rsidRPr="00D101F1">
        <w:t>were proposed on</w:t>
      </w:r>
      <w:r w:rsidR="004D7BA4" w:rsidRPr="00D101F1">
        <w:t xml:space="preserve"> November 30, 1999</w:t>
      </w:r>
      <w:r w:rsidRPr="00D101F1">
        <w:t xml:space="preserve">, and promulgated on </w:t>
      </w:r>
      <w:r w:rsidR="004D7BA4" w:rsidRPr="00D101F1">
        <w:t>January 30, 2001</w:t>
      </w:r>
      <w:r w:rsidRPr="00D101F1">
        <w:t xml:space="preserve">.  </w:t>
      </w:r>
      <w:r w:rsidR="004111C0" w:rsidRPr="00D101F1">
        <w:t>The guidelines were recently amended on February 7, 2013</w:t>
      </w:r>
      <w:r w:rsidR="00E02C78">
        <w:t>,</w:t>
      </w:r>
      <w:r w:rsidR="004111C0" w:rsidRPr="00D101F1">
        <w:t xml:space="preserve"> to clarify definitions, references, applicability, and compliance issues and to establish effective dates.  These </w:t>
      </w:r>
      <w:r w:rsidR="00300A96" w:rsidRPr="00D101F1">
        <w:t xml:space="preserve">guidelines fulfill the requirements of sections 111 and 129 of the Clean Air Act (CAA), and </w:t>
      </w:r>
      <w:r w:rsidR="001614F3" w:rsidRPr="00D101F1">
        <w:t>affect</w:t>
      </w:r>
      <w:r w:rsidR="00300A96" w:rsidRPr="00D101F1">
        <w:t xml:space="preserve"> the administrator of an air quality program in a state or United States </w:t>
      </w:r>
      <w:proofErr w:type="gramStart"/>
      <w:r w:rsidR="00300A96" w:rsidRPr="00D101F1">
        <w:t xml:space="preserve">protectorate </w:t>
      </w:r>
      <w:r w:rsidR="009D1AE1">
        <w:t xml:space="preserve"> </w:t>
      </w:r>
      <w:r w:rsidR="00300A96" w:rsidRPr="00D101F1">
        <w:t>with</w:t>
      </w:r>
      <w:proofErr w:type="gramEnd"/>
      <w:r w:rsidR="00300A96" w:rsidRPr="00D101F1">
        <w:t xml:space="preserve"> one or more existing commercial and industrial solid waste incineration (CISWI) units.  </w:t>
      </w:r>
      <w:r w:rsidR="009D1AE1">
        <w:t xml:space="preserve"> </w:t>
      </w:r>
      <w:r w:rsidR="00EA3751" w:rsidRPr="00EA3751">
        <w:t xml:space="preserve">The emission guidelines apply to sources </w:t>
      </w:r>
      <w:r w:rsidR="00EA3751">
        <w:t>commencing</w:t>
      </w:r>
      <w:r w:rsidR="00EA3751" w:rsidRPr="00EA3751">
        <w:t xml:space="preserve"> construction on or before June 4, 2010 </w:t>
      </w:r>
      <w:r w:rsidR="009D1AE1">
        <w:t xml:space="preserve">  </w:t>
      </w:r>
      <w:r w:rsidR="00EA3751" w:rsidRPr="00EA3751">
        <w:t xml:space="preserve">or </w:t>
      </w:r>
      <w:r w:rsidR="00EA3751">
        <w:t xml:space="preserve">to sources commencing </w:t>
      </w:r>
      <w:r w:rsidR="00EA3751" w:rsidRPr="00EA3751">
        <w:t>modification or reconstruction between June 1, 2001 and August 7, 2013</w:t>
      </w:r>
      <w:r w:rsidR="00EA3751">
        <w:t xml:space="preserve">.  </w:t>
      </w:r>
      <w:r w:rsidR="00300A96" w:rsidRPr="00D101F1">
        <w:t xml:space="preserve">The guidelines do not apply </w:t>
      </w:r>
      <w:proofErr w:type="gramStart"/>
      <w:r w:rsidR="00300A96" w:rsidRPr="00D101F1">
        <w:t xml:space="preserve">directly </w:t>
      </w:r>
      <w:r w:rsidR="00E02C78">
        <w:t xml:space="preserve"> </w:t>
      </w:r>
      <w:r w:rsidR="00300A96" w:rsidRPr="00D101F1">
        <w:t>to</w:t>
      </w:r>
      <w:proofErr w:type="gramEnd"/>
      <w:r w:rsidR="00300A96" w:rsidRPr="00D101F1">
        <w:t xml:space="preserve"> CISWI unit owners and operators</w:t>
      </w:r>
      <w:r w:rsidR="001614F3" w:rsidRPr="00D101F1">
        <w:t xml:space="preserve">, </w:t>
      </w:r>
      <w:r w:rsidR="00E02C78">
        <w:t>since</w:t>
      </w:r>
      <w:r w:rsidR="001614F3" w:rsidRPr="00D101F1">
        <w:t xml:space="preserve"> they </w:t>
      </w:r>
      <w:r w:rsidR="00300A96" w:rsidRPr="00D101F1">
        <w:t xml:space="preserve">are implemented through state implementation plans (SIP).  If a state does not develop, adopt, and submit an approved state plan, </w:t>
      </w:r>
      <w:r w:rsidR="00493765" w:rsidRPr="00D101F1">
        <w:t xml:space="preserve">or </w:t>
      </w:r>
      <w:r w:rsidR="00300A96" w:rsidRPr="00D101F1">
        <w:t xml:space="preserve">if a state’s plan is not approved, the EPA must promulgate a </w:t>
      </w:r>
      <w:r w:rsidR="00493765" w:rsidRPr="00D101F1">
        <w:t>F</w:t>
      </w:r>
      <w:r w:rsidR="00300A96" w:rsidRPr="00D101F1">
        <w:t>ederal implementation</w:t>
      </w:r>
      <w:r w:rsidR="006310FA" w:rsidRPr="00D101F1">
        <w:t xml:space="preserve"> plan to implement the emission</w:t>
      </w:r>
      <w:r w:rsidR="00300A96" w:rsidRPr="00D101F1">
        <w:t xml:space="preserve"> guidelines in a state without its own SIP.</w:t>
      </w:r>
      <w:r w:rsidR="00276E39">
        <w:t xml:space="preserve">  </w:t>
      </w:r>
      <w:r w:rsidRPr="00D101F1">
        <w:t xml:space="preserve">This information is being collected to assure compliance with 40 CFR </w:t>
      </w:r>
      <w:proofErr w:type="gramStart"/>
      <w:r w:rsidRPr="00D101F1">
        <w:t>part</w:t>
      </w:r>
      <w:proofErr w:type="gramEnd"/>
      <w:r w:rsidRPr="00D101F1">
        <w:t xml:space="preserve"> 60</w:t>
      </w:r>
      <w:r w:rsidR="00493765" w:rsidRPr="00D101F1">
        <w:t>, subpart DDDD</w:t>
      </w:r>
      <w:r w:rsidR="001614F3" w:rsidRPr="00D101F1">
        <w:t xml:space="preserve">.  </w:t>
      </w:r>
    </w:p>
    <w:p w:rsidR="00493765" w:rsidRPr="00D101F1" w:rsidRDefault="00493765"/>
    <w:p w:rsidR="00CA4CD6" w:rsidRPr="00D101F1" w:rsidRDefault="00CA4CD6">
      <w:pPr>
        <w:ind w:firstLine="720"/>
      </w:pPr>
      <w:r w:rsidRPr="00D101F1">
        <w:t>In general, all</w:t>
      </w:r>
      <w:r w:rsidR="00BF656E" w:rsidRPr="00D101F1">
        <w:t xml:space="preserve"> emission guidelines</w:t>
      </w:r>
      <w:r w:rsidRPr="00D101F1">
        <w:t xml:space="preserve"> require initial notifications, performance tests, and periodic reports by the owners/operators of the affected facilities.  They are also required to maintain records of the occurrence and duration of any startup, shutdown, or malfunction in </w:t>
      </w:r>
      <w:r w:rsidR="00E02C78">
        <w:t xml:space="preserve">    </w:t>
      </w:r>
      <w:r w:rsidRPr="00D101F1">
        <w:t>the operation of an affected facility, or any period during which the monitoring system is inoperative.  These notifications, reports, and records are essential in determining compliance, and are required of all affected facilities subject to</w:t>
      </w:r>
      <w:r w:rsidR="00BF656E" w:rsidRPr="00D101F1">
        <w:t xml:space="preserve"> the emission guidelines</w:t>
      </w:r>
      <w:r w:rsidRPr="00D101F1">
        <w:t>.</w:t>
      </w:r>
    </w:p>
    <w:p w:rsidR="00CA4CD6" w:rsidRPr="00D101F1" w:rsidRDefault="00CA4CD6"/>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Any owner/operator subject to the provisions of this part shall maintain a file of these measurements, and retain the file for at least</w:t>
      </w:r>
      <w:r w:rsidR="001614F3" w:rsidRPr="00D101F1">
        <w:t xml:space="preserve"> five </w:t>
      </w:r>
      <w:r w:rsidRPr="00D101F1">
        <w:t xml:space="preserve">years following the date of such measurements, maintenance reports, and records.  All reports are sent to the delegated state or local authority.  </w:t>
      </w:r>
      <w:r w:rsidR="00E02C78">
        <w:t xml:space="preserve"> </w:t>
      </w:r>
      <w:r w:rsidRPr="00D101F1">
        <w:t>In the event that there is no such delegated authority, the reports are sent directly to the U</w:t>
      </w:r>
      <w:r w:rsidR="00E02C78">
        <w:t>.</w:t>
      </w:r>
      <w:r w:rsidRPr="00D101F1">
        <w:t xml:space="preserve"> S</w:t>
      </w:r>
      <w:r w:rsidR="00E02C78">
        <w:t>.</w:t>
      </w:r>
      <w:r w:rsidRPr="00D101F1">
        <w:t xml:space="preserve"> Environmental Protection Agency (EPA) regional office.</w:t>
      </w:r>
    </w:p>
    <w:p w:rsidR="007213EF" w:rsidRPr="00D101F1" w:rsidRDefault="007213EF">
      <w:pPr>
        <w:pBdr>
          <w:top w:val="single" w:sz="6" w:space="0" w:color="FFFFFF"/>
          <w:left w:val="single" w:sz="6" w:space="0" w:color="FFFFFF"/>
          <w:bottom w:val="single" w:sz="6" w:space="0" w:color="FFFFFF"/>
          <w:right w:val="single" w:sz="6" w:space="0" w:color="FFFFFF"/>
        </w:pBdr>
      </w:pPr>
    </w:p>
    <w:p w:rsidR="00EA3751" w:rsidRDefault="008A5FB7" w:rsidP="00585B0E">
      <w:pPr>
        <w:pBdr>
          <w:top w:val="single" w:sz="6" w:space="0" w:color="FFFFFF"/>
          <w:left w:val="single" w:sz="6" w:space="0" w:color="FFFFFF"/>
          <w:bottom w:val="single" w:sz="6" w:space="0" w:color="FFFFFF"/>
          <w:right w:val="single" w:sz="6" w:space="0" w:color="FFFFFF"/>
        </w:pBdr>
        <w:ind w:firstLine="720"/>
      </w:pPr>
      <w:r>
        <w:t>W</w:t>
      </w:r>
      <w:r w:rsidR="006310FA" w:rsidRPr="00D101F1">
        <w:t xml:space="preserve">e estimate an average of </w:t>
      </w:r>
      <w:r w:rsidR="009F5DCD">
        <w:t>90</w:t>
      </w:r>
      <w:r w:rsidR="009F5DCD" w:rsidRPr="00D101F1">
        <w:t xml:space="preserve"> </w:t>
      </w:r>
      <w:r w:rsidR="006310FA" w:rsidRPr="00D101F1">
        <w:t>sources will be subject to the standard</w:t>
      </w:r>
      <w:r w:rsidR="00585B0E">
        <w:t>, and that</w:t>
      </w:r>
      <w:r w:rsidR="00EA3751">
        <w:t xml:space="preserve"> no</w:t>
      </w:r>
      <w:r w:rsidR="00EA3751" w:rsidRPr="00D101F1">
        <w:t xml:space="preserve"> </w:t>
      </w:r>
      <w:r w:rsidR="00585B0E">
        <w:t xml:space="preserve">new respondents will be subject </w:t>
      </w:r>
      <w:r>
        <w:t xml:space="preserve">over the three-year period of this information collection request </w:t>
      </w:r>
      <w:r>
        <w:lastRenderedPageBreak/>
        <w:t>(ICR).</w:t>
      </w:r>
      <w:r w:rsidR="006310FA" w:rsidRPr="00D101F1">
        <w:t xml:space="preserve">  The estimate</w:t>
      </w:r>
      <w:r w:rsidR="00EA3751">
        <w:t>d number of existing source</w:t>
      </w:r>
      <w:r w:rsidR="006310FA" w:rsidRPr="00D101F1">
        <w:t xml:space="preserve">s </w:t>
      </w:r>
      <w:r w:rsidR="00EA3751">
        <w:t>is</w:t>
      </w:r>
      <w:r w:rsidR="00EA3751" w:rsidRPr="00D101F1">
        <w:t xml:space="preserve"> </w:t>
      </w:r>
      <w:r w:rsidR="006310FA" w:rsidRPr="00D101F1">
        <w:t>based on the February 2011 regulatory impact analysis (RIA) conducted in support of proposed revisions to the existing emission guidelines.  The RIA can be found in the public docket under Docket ID Number EPA-HQ-OAR-2003-0119.  The RIA estimated 88 existing sources were subject to the standard</w:t>
      </w:r>
      <w:r w:rsidR="00746C80">
        <w:t xml:space="preserve"> in 2011</w:t>
      </w:r>
      <w:r w:rsidR="006310FA" w:rsidRPr="00D101F1">
        <w:t xml:space="preserve">, and that the industry would grow at a rate of one new source per year.  </w:t>
      </w:r>
      <w:r w:rsidR="00EA3751">
        <w:t>Since t</w:t>
      </w:r>
      <w:r w:rsidR="00746C80">
        <w:t>he emission guidelines</w:t>
      </w:r>
      <w:r w:rsidR="00746C80" w:rsidRPr="007213EF">
        <w:t xml:space="preserve"> </w:t>
      </w:r>
      <w:r w:rsidR="00EA3751">
        <w:t xml:space="preserve">apply to sources commencing </w:t>
      </w:r>
      <w:r w:rsidR="00EA3751" w:rsidRPr="00EA3751">
        <w:t>modification or reconstruction</w:t>
      </w:r>
      <w:r w:rsidR="00EA3751">
        <w:t xml:space="preserve"> </w:t>
      </w:r>
      <w:r w:rsidR="00D44B63">
        <w:t xml:space="preserve">before </w:t>
      </w:r>
      <w:r w:rsidR="00746C80">
        <w:t>August 7, 2013</w:t>
      </w:r>
      <w:r w:rsidR="00EA3751">
        <w:t>, w</w:t>
      </w:r>
      <w:r w:rsidR="006310FA" w:rsidRPr="00D101F1">
        <w:t xml:space="preserve">e have revised the number of sources to </w:t>
      </w:r>
      <w:r w:rsidR="004A5D53">
        <w:t>90</w:t>
      </w:r>
      <w:r w:rsidR="004A5D53" w:rsidRPr="00D101F1">
        <w:t xml:space="preserve"> </w:t>
      </w:r>
      <w:r w:rsidR="006310FA" w:rsidRPr="00D101F1">
        <w:t xml:space="preserve">to account for sources </w:t>
      </w:r>
      <w:r w:rsidR="00EA3751">
        <w:t xml:space="preserve">modified or reconstructed </w:t>
      </w:r>
      <w:r w:rsidR="006310FA" w:rsidRPr="00D101F1">
        <w:t xml:space="preserve">in the </w:t>
      </w:r>
      <w:r w:rsidR="004A5D53">
        <w:t>two</w:t>
      </w:r>
      <w:r w:rsidR="004A5D53" w:rsidRPr="00D101F1">
        <w:t xml:space="preserve"> </w:t>
      </w:r>
      <w:r w:rsidR="006310FA" w:rsidRPr="00D101F1">
        <w:t>years between RIA publication (i.e., 2011</w:t>
      </w:r>
      <w:r w:rsidR="004A5D53">
        <w:t>)</w:t>
      </w:r>
      <w:r w:rsidR="006310FA" w:rsidRPr="00D101F1">
        <w:t xml:space="preserve"> and</w:t>
      </w:r>
      <w:r w:rsidR="004A5D53">
        <w:t xml:space="preserve"> </w:t>
      </w:r>
      <w:r>
        <w:t xml:space="preserve">August </w:t>
      </w:r>
      <w:r w:rsidR="00585B0E">
        <w:t xml:space="preserve">7, </w:t>
      </w:r>
      <w:r w:rsidR="004A5D53">
        <w:t>2013</w:t>
      </w:r>
      <w:r w:rsidR="006310FA" w:rsidRPr="00D101F1">
        <w:t>.</w:t>
      </w:r>
      <w:r w:rsidR="00EA3751">
        <w:t xml:space="preserve">  </w:t>
      </w:r>
      <w:r w:rsidR="00D44B63">
        <w:t xml:space="preserve">Starting on this </w:t>
      </w:r>
      <w:r w:rsidR="00585B0E">
        <w:t xml:space="preserve">date, </w:t>
      </w:r>
      <w:r>
        <w:t xml:space="preserve">no new sources will be subject to the </w:t>
      </w:r>
      <w:r w:rsidR="00585B0E">
        <w:t>standard</w:t>
      </w:r>
      <w:r>
        <w:t>.</w:t>
      </w:r>
    </w:p>
    <w:p w:rsidR="00585B0E" w:rsidRPr="00D101F1" w:rsidRDefault="00585B0E" w:rsidP="00585B0E">
      <w:pPr>
        <w:pBdr>
          <w:top w:val="single" w:sz="6" w:space="0" w:color="FFFFFF"/>
          <w:left w:val="single" w:sz="6" w:space="0" w:color="FFFFFF"/>
          <w:bottom w:val="single" w:sz="6" w:space="0" w:color="FFFFFF"/>
          <w:right w:val="single" w:sz="6" w:space="0" w:color="FFFFFF"/>
        </w:pBdr>
        <w:ind w:firstLine="720"/>
      </w:pPr>
    </w:p>
    <w:p w:rsidR="00CA4CD6" w:rsidRPr="00D101F1" w:rsidRDefault="00160944" w:rsidP="006310FA">
      <w:pPr>
        <w:pBdr>
          <w:top w:val="single" w:sz="6" w:space="0" w:color="FFFFFF"/>
          <w:left w:val="single" w:sz="6" w:space="0" w:color="FFFFFF"/>
          <w:bottom w:val="single" w:sz="6" w:space="0" w:color="FFFFFF"/>
          <w:right w:val="single" w:sz="6" w:space="0" w:color="FFFFFF"/>
        </w:pBdr>
        <w:ind w:firstLine="720"/>
      </w:pPr>
      <w:r>
        <w:t>The Office of Management and Budget (</w:t>
      </w:r>
      <w:r w:rsidR="006310FA" w:rsidRPr="00D101F1">
        <w:t>OMB</w:t>
      </w:r>
      <w:r>
        <w:t>)</w:t>
      </w:r>
      <w:r w:rsidR="006310FA" w:rsidRPr="00D101F1">
        <w:t xml:space="preserve"> approved the currently active ICR without any “Terms of Clearance.”</w:t>
      </w:r>
    </w:p>
    <w:p w:rsidR="009D6567" w:rsidRPr="00D101F1" w:rsidRDefault="009D6567">
      <w:pPr>
        <w:pBdr>
          <w:top w:val="single" w:sz="6" w:space="0" w:color="FFFFFF"/>
          <w:left w:val="single" w:sz="6" w:space="0" w:color="FFFFFF"/>
          <w:bottom w:val="single" w:sz="6" w:space="0" w:color="FFFFFF"/>
          <w:right w:val="single" w:sz="6" w:space="0" w:color="FFFFFF"/>
        </w:pBdr>
        <w:ind w:firstLine="720"/>
      </w:pPr>
    </w:p>
    <w:p w:rsidR="00CA4CD6" w:rsidRPr="00D101F1" w:rsidRDefault="009D6567" w:rsidP="002B29A5">
      <w:r w:rsidRPr="00D101F1">
        <w:tab/>
      </w:r>
      <w:r w:rsidR="00192490" w:rsidRPr="00D101F1">
        <w:t xml:space="preserve">The “Affected Public” </w:t>
      </w:r>
      <w:proofErr w:type="gramStart"/>
      <w:r w:rsidR="00192490" w:rsidRPr="00D101F1">
        <w:t>are</w:t>
      </w:r>
      <w:proofErr w:type="gramEnd"/>
      <w:r w:rsidR="001614F3" w:rsidRPr="00D101F1">
        <w:t xml:space="preserve"> </w:t>
      </w:r>
      <w:r w:rsidR="00EE5A44">
        <w:t xml:space="preserve">CISWI units, all of which are owned by private, for-profit businesses.  </w:t>
      </w:r>
      <w:r w:rsidR="002B29A5" w:rsidRPr="00D101F1">
        <w:t xml:space="preserve">The </w:t>
      </w:r>
      <w:r w:rsidR="00E02C78">
        <w:t>“</w:t>
      </w:r>
      <w:r w:rsidR="002B29A5" w:rsidRPr="00D101F1">
        <w:t>burden</w:t>
      </w:r>
      <w:r w:rsidR="00E02C78">
        <w:t>”</w:t>
      </w:r>
      <w:r w:rsidR="004A4B25" w:rsidRPr="00D101F1">
        <w:t xml:space="preserve"> to the “Affected Public” may be found </w:t>
      </w:r>
      <w:r w:rsidR="00995015">
        <w:t xml:space="preserve">below </w:t>
      </w:r>
      <w:r w:rsidR="004A4B25" w:rsidRPr="00D101F1">
        <w:t>in Table 1</w:t>
      </w:r>
      <w:r w:rsidR="002B29A5" w:rsidRPr="00D101F1">
        <w:t>: Annual Respondent Burden and Cost –</w:t>
      </w:r>
      <w:r w:rsidR="001A2084" w:rsidRPr="00D101F1">
        <w:t xml:space="preserve"> Emission Guidelines for Commercial and Industrial Solid Waste Incineration Units (40 CFR Part 60, Subpart DDDD) </w:t>
      </w:r>
      <w:r w:rsidR="002B29A5" w:rsidRPr="00D101F1">
        <w:t>(Renewal)</w:t>
      </w:r>
      <w:r w:rsidR="001A7159">
        <w:t xml:space="preserve">.  </w:t>
      </w:r>
      <w:r w:rsidR="00192490" w:rsidRPr="00D101F1">
        <w:t>T</w:t>
      </w:r>
      <w:r w:rsidRPr="00D101F1">
        <w:t xml:space="preserve">he </w:t>
      </w:r>
      <w:r w:rsidR="00E02C78">
        <w:t>“</w:t>
      </w:r>
      <w:r w:rsidR="004A4B25" w:rsidRPr="00D101F1">
        <w:t>burden</w:t>
      </w:r>
      <w:r w:rsidR="00E02C78">
        <w:t>”</w:t>
      </w:r>
      <w:r w:rsidR="004A4B25" w:rsidRPr="00D101F1">
        <w:t xml:space="preserve"> to the </w:t>
      </w:r>
      <w:r w:rsidRPr="00D101F1">
        <w:t xml:space="preserve">Federal Government is attributed entirely to work performed by </w:t>
      </w:r>
      <w:r w:rsidR="00E02C78">
        <w:t>either F</w:t>
      </w:r>
      <w:r w:rsidRPr="00D101F1">
        <w:t>ederal employees</w:t>
      </w:r>
      <w:r w:rsidR="004A4B25" w:rsidRPr="00D101F1">
        <w:t xml:space="preserve"> or government contractor</w:t>
      </w:r>
      <w:r w:rsidR="00EF113F" w:rsidRPr="00D101F1">
        <w:t>s</w:t>
      </w:r>
      <w:r w:rsidR="00192490" w:rsidRPr="00D101F1">
        <w:t xml:space="preserve">, </w:t>
      </w:r>
      <w:r w:rsidR="004A4B25" w:rsidRPr="00D101F1">
        <w:t xml:space="preserve">and </w:t>
      </w:r>
      <w:r w:rsidR="00192490" w:rsidRPr="00D101F1">
        <w:t xml:space="preserve">may be found </w:t>
      </w:r>
      <w:r w:rsidR="00995015">
        <w:t xml:space="preserve">below </w:t>
      </w:r>
      <w:r w:rsidR="00192490" w:rsidRPr="00D101F1">
        <w:t>in</w:t>
      </w:r>
      <w:r w:rsidR="004A4B25" w:rsidRPr="00D101F1">
        <w:t xml:space="preserve"> Table 2: </w:t>
      </w:r>
      <w:r w:rsidR="002B29A5" w:rsidRPr="00D101F1">
        <w:t>Average Annual EPA Burden and Cost –</w:t>
      </w:r>
      <w:r w:rsidR="001A2084" w:rsidRPr="00D101F1">
        <w:t xml:space="preserve"> Emission Guidelines for Commercial and Industrial Solid Waste Incineration Units (40 CFR Part 60, Subpart DDDD) (Renewal).</w:t>
      </w:r>
    </w:p>
    <w:p w:rsidR="002B29A5" w:rsidRPr="00D101F1" w:rsidRDefault="002B29A5" w:rsidP="002B29A5"/>
    <w:p w:rsidR="00CA4CD6" w:rsidRPr="00D101F1" w:rsidRDefault="00CA4CD6">
      <w:pPr>
        <w:pBdr>
          <w:top w:val="single" w:sz="6" w:space="0" w:color="FFFFFF"/>
          <w:left w:val="single" w:sz="6" w:space="0" w:color="FFFFFF"/>
          <w:bottom w:val="single" w:sz="6" w:space="0" w:color="FFFFFF"/>
          <w:right w:val="single" w:sz="6" w:space="0" w:color="FFFFFF"/>
        </w:pBdr>
      </w:pPr>
      <w:r w:rsidRPr="00D101F1">
        <w:rPr>
          <w:b/>
          <w:bCs/>
        </w:rPr>
        <w:t>2.  Need for and Use of the Collection</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rPr>
          <w:b/>
          <w:bCs/>
        </w:rPr>
      </w:pPr>
      <w:r w:rsidRPr="00D101F1">
        <w:rPr>
          <w:b/>
          <w:bCs/>
        </w:rPr>
        <w:t>2(a</w:t>
      </w:r>
      <w:proofErr w:type="gramStart"/>
      <w:r w:rsidRPr="00D101F1">
        <w:rPr>
          <w:b/>
          <w:bCs/>
        </w:rPr>
        <w:t>)  Need</w:t>
      </w:r>
      <w:proofErr w:type="gramEnd"/>
      <w:r w:rsidRPr="00D101F1">
        <w:rPr>
          <w:b/>
          <w:bCs/>
        </w:rPr>
        <w:t>/Authority for the Collection</w:t>
      </w:r>
    </w:p>
    <w:p w:rsidR="00CA4CD6" w:rsidRPr="00D101F1" w:rsidRDefault="00CA4CD6">
      <w:pPr>
        <w:pBdr>
          <w:top w:val="single" w:sz="6" w:space="0" w:color="FFFFFF"/>
          <w:left w:val="single" w:sz="6" w:space="0" w:color="FFFFFF"/>
          <w:bottom w:val="single" w:sz="6" w:space="0" w:color="FFFFFF"/>
          <w:right w:val="single" w:sz="6" w:space="0" w:color="FFFFFF"/>
        </w:pBdr>
      </w:pPr>
    </w:p>
    <w:p w:rsidR="0073397D" w:rsidRPr="00D101F1" w:rsidRDefault="0073397D" w:rsidP="0073397D">
      <w:pPr>
        <w:ind w:firstLine="720"/>
      </w:pPr>
      <w:r w:rsidRPr="00D101F1">
        <w:t>The EPA is charged under section 111(d</w:t>
      </w:r>
      <w:proofErr w:type="gramStart"/>
      <w:r w:rsidRPr="00D101F1">
        <w:t>)(</w:t>
      </w:r>
      <w:proofErr w:type="gramEnd"/>
      <w:r w:rsidRPr="00D101F1">
        <w:t>1) of the Clean Air Act (CAA), as amended, to:</w:t>
      </w:r>
    </w:p>
    <w:p w:rsidR="0073397D" w:rsidRPr="00D101F1" w:rsidRDefault="0073397D" w:rsidP="0073397D"/>
    <w:p w:rsidR="0073397D" w:rsidRPr="00D101F1" w:rsidRDefault="0073397D" w:rsidP="0073397D">
      <w:pPr>
        <w:ind w:left="1440" w:right="1440"/>
      </w:pPr>
      <w:r w:rsidRPr="00D101F1">
        <w:rPr>
          <w:b/>
          <w:bCs/>
        </w:rPr>
        <w:t>. . .</w:t>
      </w:r>
      <w:r w:rsidRPr="00D101F1">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rsidRPr="00D101F1">
        <w:t>i</w:t>
      </w:r>
      <w:proofErr w:type="spellEnd"/>
      <w:r w:rsidRPr="00D101F1">
        <w:t xml:space="preserve">) for which air quality criteria have not been issued or which is not included on a list published under section 108(a) </w:t>
      </w:r>
      <w:r w:rsidRPr="00D101F1">
        <w:rPr>
          <w:b/>
          <w:bCs/>
        </w:rPr>
        <w:t>. . .</w:t>
      </w:r>
      <w:r w:rsidRPr="00D101F1">
        <w:t xml:space="preserve"> but (ii) to which a standard of performance under this section would apply if such existing source were a new source, and (B) provides for the implementation and enforcement of such standards of performance.</w:t>
      </w:r>
    </w:p>
    <w:p w:rsidR="0073397D" w:rsidRPr="00D101F1" w:rsidRDefault="0073397D" w:rsidP="0073397D"/>
    <w:p w:rsidR="0073397D" w:rsidRPr="00D101F1" w:rsidRDefault="0073397D" w:rsidP="00B15389">
      <w:pPr>
        <w:widowControl/>
        <w:ind w:firstLine="720"/>
      </w:pPr>
      <w:r w:rsidRPr="00D101F1">
        <w:t>The EPA is required under section 129 of the Act, to establish guidelines for existing stationary sources that reflect the maximum achievable control technology (MACT) for achieving continuous emission reductions:</w:t>
      </w:r>
    </w:p>
    <w:p w:rsidR="0073397D" w:rsidRPr="00D101F1" w:rsidRDefault="0073397D" w:rsidP="0073397D"/>
    <w:p w:rsidR="0073397D" w:rsidRPr="00D101F1" w:rsidRDefault="0073397D" w:rsidP="008E34DD">
      <w:pPr>
        <w:ind w:firstLine="720"/>
      </w:pPr>
      <w:r w:rsidRPr="00D101F1">
        <w:t>Section 129(a</w:t>
      </w:r>
      <w:proofErr w:type="gramStart"/>
      <w:r w:rsidRPr="00D101F1">
        <w:t>)(</w:t>
      </w:r>
      <w:proofErr w:type="gramEnd"/>
      <w:r w:rsidRPr="00D101F1">
        <w:t>1)(A) states:</w:t>
      </w:r>
    </w:p>
    <w:p w:rsidR="0073397D" w:rsidRPr="00D101F1" w:rsidRDefault="0073397D" w:rsidP="0073397D">
      <w:pPr>
        <w:ind w:left="1440" w:right="1440"/>
      </w:pPr>
      <w:r w:rsidRPr="00D101F1">
        <w:lastRenderedPageBreak/>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73397D" w:rsidRPr="00D101F1" w:rsidRDefault="0073397D" w:rsidP="0073397D"/>
    <w:p w:rsidR="0073397D" w:rsidRPr="00D101F1" w:rsidRDefault="0073397D" w:rsidP="0073397D">
      <w:pPr>
        <w:ind w:firstLine="720"/>
      </w:pPr>
      <w:r w:rsidRPr="00D101F1">
        <w:t>Section 129(a</w:t>
      </w:r>
      <w:proofErr w:type="gramStart"/>
      <w:r w:rsidRPr="00D101F1">
        <w:t>)(</w:t>
      </w:r>
      <w:proofErr w:type="gramEnd"/>
      <w:r w:rsidRPr="00D101F1">
        <w:t>2) states:</w:t>
      </w:r>
    </w:p>
    <w:p w:rsidR="0073397D" w:rsidRPr="00D101F1" w:rsidRDefault="0073397D" w:rsidP="0073397D"/>
    <w:p w:rsidR="0073397D" w:rsidRPr="00D101F1" w:rsidRDefault="0073397D" w:rsidP="0073397D">
      <w:pPr>
        <w:ind w:left="1440" w:right="1440"/>
      </w:pPr>
      <w:r w:rsidRPr="00D101F1">
        <w:t>Standards applicable to solid waste incineration units promulgated under section 111 and this section shall reflect the maximum degree of reduction in emissions of air pollutants listed under section (a</w:t>
      </w:r>
      <w:proofErr w:type="gramStart"/>
      <w:r w:rsidRPr="00D101F1">
        <w:t>)(</w:t>
      </w:r>
      <w:proofErr w:type="gramEnd"/>
      <w:r w:rsidRPr="00D101F1">
        <w:t>4) that the Administrator, taking into consideration the cost of achieving such emission reduction, and any non-air quality health and environmental impacts and energy requirements, determines is achievable for new or existing units in each category.</w:t>
      </w:r>
    </w:p>
    <w:p w:rsidR="0073397D" w:rsidRPr="00D101F1" w:rsidRDefault="0073397D" w:rsidP="0073397D"/>
    <w:p w:rsidR="0073397D" w:rsidRPr="00D101F1" w:rsidRDefault="0073397D" w:rsidP="0073397D">
      <w:pPr>
        <w:ind w:firstLine="720"/>
      </w:pPr>
      <w:r w:rsidRPr="00D101F1">
        <w:t>Section 129(b</w:t>
      </w:r>
      <w:proofErr w:type="gramStart"/>
      <w:r w:rsidRPr="00D101F1">
        <w:t>)(</w:t>
      </w:r>
      <w:proofErr w:type="gramEnd"/>
      <w:r w:rsidRPr="00D101F1">
        <w:t>1) states:</w:t>
      </w:r>
    </w:p>
    <w:p w:rsidR="0073397D" w:rsidRPr="00D101F1" w:rsidRDefault="0073397D" w:rsidP="0073397D"/>
    <w:p w:rsidR="0073397D" w:rsidRPr="00D101F1" w:rsidRDefault="0073397D" w:rsidP="0073397D">
      <w:pPr>
        <w:sectPr w:rsidR="0073397D" w:rsidRPr="00D101F1" w:rsidSect="008E34DD">
          <w:headerReference w:type="default" r:id="rId8"/>
          <w:type w:val="continuous"/>
          <w:pgSz w:w="12240" w:h="15840"/>
          <w:pgMar w:top="1440" w:right="1440" w:bottom="1440" w:left="1440" w:header="1440" w:footer="1440" w:gutter="0"/>
          <w:cols w:space="720"/>
          <w:noEndnote/>
          <w:titlePg/>
          <w:docGrid w:linePitch="326"/>
        </w:sectPr>
      </w:pPr>
    </w:p>
    <w:p w:rsidR="0073397D" w:rsidRPr="00D101F1" w:rsidRDefault="0073397D" w:rsidP="0073397D">
      <w:pPr>
        <w:ind w:left="1440" w:right="1440"/>
      </w:pPr>
      <w:r w:rsidRPr="00D101F1">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73397D" w:rsidRPr="00D101F1" w:rsidRDefault="0073397D" w:rsidP="0073397D"/>
    <w:p w:rsidR="0073397D" w:rsidRPr="00D101F1" w:rsidRDefault="0073397D" w:rsidP="0073397D">
      <w:pPr>
        <w:ind w:firstLine="720"/>
      </w:pPr>
      <w:r w:rsidRPr="00D101F1">
        <w:t>Subpart B of 40 CFR part 60 requires State plans to include monitoring, recordkeeping, and reporting provisions consistent with the emission guidelines.  In addition, section 114(a</w:t>
      </w:r>
      <w:proofErr w:type="gramStart"/>
      <w:r w:rsidRPr="00D101F1">
        <w:t>)(</w:t>
      </w:r>
      <w:proofErr w:type="gramEnd"/>
      <w:r w:rsidRPr="00D101F1">
        <w:t>1) states that:</w:t>
      </w:r>
    </w:p>
    <w:p w:rsidR="0073397D" w:rsidRPr="00D101F1" w:rsidRDefault="0073397D" w:rsidP="0073397D"/>
    <w:p w:rsidR="0073397D" w:rsidRPr="00D101F1" w:rsidRDefault="0073397D" w:rsidP="00B15389">
      <w:pPr>
        <w:widowControl/>
        <w:ind w:left="1440" w:right="1440"/>
      </w:pPr>
      <w:r w:rsidRPr="00D101F1">
        <w:rPr>
          <w:b/>
          <w:bCs/>
        </w:rPr>
        <w:t>. . .</w:t>
      </w:r>
      <w:r w:rsidRPr="00D101F1">
        <w:t xml:space="preserve"> 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w:t>
      </w:r>
    </w:p>
    <w:p w:rsidR="0073397D" w:rsidRPr="00D101F1" w:rsidRDefault="0073397D" w:rsidP="0073397D"/>
    <w:p w:rsidR="0073397D" w:rsidRPr="00D101F1" w:rsidRDefault="0073397D" w:rsidP="0073397D">
      <w:pPr>
        <w:ind w:left="2160" w:right="2160"/>
      </w:pPr>
      <w:r w:rsidRPr="00D101F1">
        <w:t xml:space="preserve">(A) </w:t>
      </w:r>
      <w:proofErr w:type="gramStart"/>
      <w:r w:rsidRPr="00D101F1">
        <w:t>establish</w:t>
      </w:r>
      <w:proofErr w:type="gramEnd"/>
      <w:r w:rsidRPr="00D101F1">
        <w:t xml:space="preserve"> and maintain such records;</w:t>
      </w:r>
    </w:p>
    <w:p w:rsidR="0073397D" w:rsidRPr="00D101F1" w:rsidRDefault="0073397D" w:rsidP="0073397D">
      <w:pPr>
        <w:ind w:left="2160" w:right="2160"/>
      </w:pPr>
      <w:r w:rsidRPr="00D101F1">
        <w:t xml:space="preserve">(B) </w:t>
      </w:r>
      <w:proofErr w:type="gramStart"/>
      <w:r w:rsidRPr="00D101F1">
        <w:t>make</w:t>
      </w:r>
      <w:proofErr w:type="gramEnd"/>
      <w:r w:rsidRPr="00D101F1">
        <w:t xml:space="preserve"> such reports;</w:t>
      </w:r>
    </w:p>
    <w:p w:rsidR="0073397D" w:rsidRPr="00D101F1" w:rsidRDefault="0073397D" w:rsidP="0073397D">
      <w:pPr>
        <w:ind w:left="2160" w:right="2160"/>
      </w:pPr>
      <w:r w:rsidRPr="00D101F1">
        <w:lastRenderedPageBreak/>
        <w:t xml:space="preserve">(C) </w:t>
      </w:r>
      <w:proofErr w:type="gramStart"/>
      <w:r w:rsidRPr="00D101F1">
        <w:t>install</w:t>
      </w:r>
      <w:proofErr w:type="gramEnd"/>
      <w:r w:rsidRPr="00D101F1">
        <w:t xml:space="preserve">, use, and maintain such monitoring equipment, and use such audit procedures, </w:t>
      </w:r>
    </w:p>
    <w:p w:rsidR="0073397D" w:rsidRPr="00D101F1" w:rsidRDefault="0073397D" w:rsidP="0073397D">
      <w:pPr>
        <w:ind w:left="2160" w:right="2160"/>
      </w:pPr>
      <w:proofErr w:type="gramStart"/>
      <w:r w:rsidRPr="00D101F1">
        <w:t>or</w:t>
      </w:r>
      <w:proofErr w:type="gramEnd"/>
      <w:r w:rsidRPr="00D101F1">
        <w:t xml:space="preserve"> methods;</w:t>
      </w:r>
    </w:p>
    <w:p w:rsidR="0073397D" w:rsidRPr="00D101F1" w:rsidRDefault="0073397D" w:rsidP="0073397D">
      <w:pPr>
        <w:ind w:left="2160" w:right="2160"/>
      </w:pPr>
      <w:r w:rsidRPr="00D101F1">
        <w:t xml:space="preserve">(D) </w:t>
      </w:r>
      <w:proofErr w:type="gramStart"/>
      <w:r w:rsidRPr="00D101F1">
        <w:t>sample</w:t>
      </w:r>
      <w:proofErr w:type="gramEnd"/>
      <w:r w:rsidRPr="00D101F1">
        <w:t xml:space="preserve"> such emissions (in accordance with such procedures or methods, at such locations, at such intervals, during such periods and in such manner as the Administer shall prescribe); </w:t>
      </w:r>
    </w:p>
    <w:p w:rsidR="0073397D" w:rsidRPr="00D101F1" w:rsidRDefault="0073397D" w:rsidP="0073397D">
      <w:pPr>
        <w:ind w:left="2160" w:right="2160"/>
      </w:pPr>
      <w:r w:rsidRPr="00D101F1">
        <w:t xml:space="preserve">(E) </w:t>
      </w:r>
      <w:proofErr w:type="gramStart"/>
      <w:r w:rsidRPr="00D101F1">
        <w:t>keep</w:t>
      </w:r>
      <w:proofErr w:type="gramEnd"/>
      <w:r w:rsidRPr="00D101F1">
        <w:t xml:space="preserve"> records on control equipment parameters, production variables or other indirect data when direct monitoring of emissions is impractical;</w:t>
      </w:r>
    </w:p>
    <w:p w:rsidR="0073397D" w:rsidRPr="00D101F1" w:rsidRDefault="0073397D" w:rsidP="0073397D">
      <w:pPr>
        <w:ind w:left="2160" w:right="2160"/>
      </w:pPr>
      <w:r w:rsidRPr="00D101F1">
        <w:t xml:space="preserve">(F) </w:t>
      </w:r>
      <w:proofErr w:type="gramStart"/>
      <w:r w:rsidRPr="00D101F1">
        <w:t>submit</w:t>
      </w:r>
      <w:proofErr w:type="gramEnd"/>
      <w:r w:rsidRPr="00D101F1">
        <w:t xml:space="preserve"> compliance certifications in accordance with section 114(a)(3); and</w:t>
      </w:r>
    </w:p>
    <w:p w:rsidR="0073397D" w:rsidRPr="00D101F1" w:rsidRDefault="0073397D" w:rsidP="0073397D">
      <w:pPr>
        <w:ind w:left="2160" w:right="2160"/>
      </w:pPr>
      <w:r w:rsidRPr="00D101F1">
        <w:t xml:space="preserve">(G) </w:t>
      </w:r>
      <w:proofErr w:type="gramStart"/>
      <w:r w:rsidRPr="00D101F1">
        <w:t>provide</w:t>
      </w:r>
      <w:proofErr w:type="gramEnd"/>
      <w:r w:rsidRPr="00D101F1">
        <w:t xml:space="preserve"> such other information, as the Administrator may reasonably require;</w:t>
      </w:r>
      <w:r w:rsidRPr="00D101F1">
        <w:rPr>
          <w:b/>
          <w:bCs/>
        </w:rPr>
        <w:t xml:space="preserve"> . . . .</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t>In the Administrator's judgment, emissions from</w:t>
      </w:r>
      <w:r w:rsidR="0073397D" w:rsidRPr="00D101F1">
        <w:t xml:space="preserve"> CISWI units </w:t>
      </w:r>
      <w:r w:rsidR="00D504C7">
        <w:t xml:space="preserve">either </w:t>
      </w:r>
      <w:r w:rsidRPr="00D101F1">
        <w:t xml:space="preserve">cause or contribute to air pollution that may reasonably be anticipated to endanger public health </w:t>
      </w:r>
      <w:r w:rsidR="00D504C7">
        <w:t>and/</w:t>
      </w:r>
      <w:r w:rsidRPr="00D101F1">
        <w:t>or welfare.  Therefore, the</w:t>
      </w:r>
      <w:r w:rsidR="0073397D" w:rsidRPr="00D101F1">
        <w:t xml:space="preserve"> emission guidelines </w:t>
      </w:r>
      <w:r w:rsidRPr="00D101F1">
        <w:t xml:space="preserve">were promulgated for this source category at 40 CFR </w:t>
      </w:r>
      <w:proofErr w:type="gramStart"/>
      <w:r w:rsidRPr="00D101F1">
        <w:t>part</w:t>
      </w:r>
      <w:proofErr w:type="gramEnd"/>
      <w:r w:rsidRPr="00D101F1">
        <w:t xml:space="preserve"> 60,</w:t>
      </w:r>
      <w:r w:rsidRPr="00D101F1">
        <w:rPr>
          <w:b/>
          <w:bCs/>
          <w:i/>
          <w:iCs/>
        </w:rPr>
        <w:t xml:space="preserve"> </w:t>
      </w:r>
      <w:r w:rsidRPr="00D101F1">
        <w:t>subpart</w:t>
      </w:r>
      <w:r w:rsidR="0073397D" w:rsidRPr="00D101F1">
        <w:t xml:space="preserve"> DDDD</w:t>
      </w:r>
      <w:r w:rsidRPr="00D101F1">
        <w:t>.</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rPr>
          <w:b/>
          <w:bCs/>
        </w:rPr>
        <w:t>2(b</w:t>
      </w:r>
      <w:proofErr w:type="gramStart"/>
      <w:r w:rsidRPr="00D101F1">
        <w:rPr>
          <w:b/>
          <w:bCs/>
        </w:rPr>
        <w:t>)  Practical</w:t>
      </w:r>
      <w:proofErr w:type="gramEnd"/>
      <w:r w:rsidRPr="00D101F1">
        <w:rPr>
          <w:b/>
          <w:bCs/>
        </w:rPr>
        <w:t xml:space="preserve"> Utility/Users of the Data</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t>The recordkeeping and reporting requirements in the standard ensure</w:t>
      </w:r>
      <w:r w:rsidR="0073397D" w:rsidRPr="00D101F1">
        <w:t>s</w:t>
      </w:r>
      <w:r w:rsidRPr="00D101F1">
        <w:t xml:space="preserve"> compliance with the applicable regulations which where promulgated in accordance with the Clean Air Act.  The collected information is also used for targeting inspections and as evidence in legal proceedings.</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6310FA">
      <w:pPr>
        <w:widowControl/>
        <w:pBdr>
          <w:top w:val="single" w:sz="6" w:space="1" w:color="FFFFFF"/>
          <w:left w:val="single" w:sz="6" w:space="0" w:color="FFFFFF"/>
          <w:bottom w:val="single" w:sz="6" w:space="0" w:color="FFFFFF"/>
          <w:right w:val="single" w:sz="6" w:space="0" w:color="FFFFFF"/>
        </w:pBdr>
        <w:ind w:firstLine="720"/>
      </w:pPr>
      <w:r w:rsidRPr="00D101F1">
        <w:t>Performance tests are required in order to determine an affected facility</w:t>
      </w:r>
      <w:r w:rsidR="005D6E82" w:rsidRPr="00D101F1">
        <w:t>’</w:t>
      </w:r>
      <w:r w:rsidRPr="00D101F1">
        <w:t>s initial capability to comply with the emission standard. Continuous emission monitors are used to ensure compliance with the standard</w:t>
      </w:r>
      <w:r w:rsidR="006310FA" w:rsidRPr="00D101F1">
        <w:t xml:space="preserve"> </w:t>
      </w:r>
      <w:r w:rsidRPr="00D101F1">
        <w:t xml:space="preserve">at all times.  </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the standard</w:t>
      </w:r>
      <w:r w:rsidR="006310FA" w:rsidRPr="00D101F1">
        <w:t xml:space="preserve"> is </w:t>
      </w:r>
      <w:r w:rsidRPr="00D101F1">
        <w:t>being met.  The performance test may also be observed.</w:t>
      </w: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p>
    <w:p w:rsidR="00CA4CD6" w:rsidRDefault="00CA4CD6" w:rsidP="0073397D">
      <w:pPr>
        <w:pBdr>
          <w:top w:val="single" w:sz="6" w:space="1" w:color="FFFFFF"/>
          <w:left w:val="single" w:sz="6" w:space="0" w:color="FFFFFF"/>
          <w:bottom w:val="single" w:sz="6" w:space="0" w:color="FFFFFF"/>
          <w:right w:val="single" w:sz="6" w:space="0" w:color="FFFFFF"/>
        </w:pBdr>
        <w:ind w:firstLine="720"/>
      </w:pPr>
      <w:r w:rsidRPr="00D101F1">
        <w:t xml:space="preserve">The required </w:t>
      </w:r>
      <w:r w:rsidR="00C9466B" w:rsidRPr="00D101F1">
        <w:t xml:space="preserve">semiannual </w:t>
      </w:r>
      <w:r w:rsidRPr="00D101F1">
        <w:t>reports are used to determine periods of excess emissions, identify problems at the facility, verify operation/maintenance procedures and for compliance determinations.</w:t>
      </w:r>
    </w:p>
    <w:p w:rsidR="00276E39" w:rsidRDefault="00276E39" w:rsidP="0073397D">
      <w:pPr>
        <w:pBdr>
          <w:top w:val="single" w:sz="6" w:space="1" w:color="FFFFFF"/>
          <w:left w:val="single" w:sz="6" w:space="0" w:color="FFFFFF"/>
          <w:bottom w:val="single" w:sz="6" w:space="0" w:color="FFFFFF"/>
          <w:right w:val="single" w:sz="6" w:space="0" w:color="FFFFFF"/>
        </w:pBdr>
        <w:ind w:firstLine="720"/>
      </w:pPr>
    </w:p>
    <w:p w:rsidR="00CA4CD6" w:rsidRPr="00D101F1" w:rsidRDefault="00276E39" w:rsidP="00E43FC7">
      <w:pPr>
        <w:ind w:firstLine="720"/>
      </w:pPr>
      <w:r w:rsidRPr="00EE5A44">
        <w:t xml:space="preserve">The information will be used by enforcement and compliance authorities to ensure that the requirements of the state or Federal plans are implemented and that the subject facilities comply with the plans on a continuous basis.  Specifically, the information will be used by the authorities to: (1) identify existing sources subject to the standards; (2) ensure those existing sources have a control plan to achieve compliance by the final compliance date; (3) ensure that </w:t>
      </w:r>
      <w:r w:rsidRPr="00EE5A44">
        <w:lastRenderedPageBreak/>
        <w:t>subpart DDDD is being properly applied; (4) ensure compliance with the emission standards; and (5) ensure, on a continuous basis, that the operating parameters established during the initial stack test are not exceeded.</w:t>
      </w:r>
    </w:p>
    <w:p w:rsidR="00DA4BAB" w:rsidRDefault="00DA4BAB" w:rsidP="0073397D">
      <w:pPr>
        <w:pBdr>
          <w:top w:val="single" w:sz="6" w:space="1" w:color="FFFFFF"/>
          <w:left w:val="single" w:sz="6" w:space="0" w:color="FFFFFF"/>
          <w:bottom w:val="single" w:sz="6" w:space="0" w:color="FFFFFF"/>
          <w:right w:val="single" w:sz="6" w:space="0" w:color="FFFFFF"/>
        </w:pBdr>
        <w:rPr>
          <w:b/>
          <w:bCs/>
        </w:rPr>
      </w:pPr>
    </w:p>
    <w:p w:rsidR="00CA4CD6" w:rsidRPr="00D101F1" w:rsidRDefault="00CA4CD6" w:rsidP="0073397D">
      <w:pPr>
        <w:pBdr>
          <w:top w:val="single" w:sz="6" w:space="1" w:color="FFFFFF"/>
          <w:left w:val="single" w:sz="6" w:space="0" w:color="FFFFFF"/>
          <w:bottom w:val="single" w:sz="6" w:space="0" w:color="FFFFFF"/>
          <w:right w:val="single" w:sz="6" w:space="0" w:color="FFFFFF"/>
        </w:pBdr>
        <w:rPr>
          <w:b/>
          <w:bCs/>
        </w:rPr>
      </w:pPr>
      <w:r w:rsidRPr="00D101F1">
        <w:rPr>
          <w:b/>
          <w:bCs/>
        </w:rPr>
        <w:t>3.  Non</w:t>
      </w:r>
      <w:r w:rsidR="00717D5B">
        <w:rPr>
          <w:b/>
          <w:bCs/>
        </w:rPr>
        <w:t>-</w:t>
      </w:r>
      <w:r w:rsidRPr="00D101F1">
        <w:rPr>
          <w:b/>
          <w:bCs/>
        </w:rPr>
        <w:t>duplication, Consultations, and Other Collection Criteria</w:t>
      </w:r>
    </w:p>
    <w:p w:rsidR="00CA4CD6" w:rsidRPr="00D101F1" w:rsidRDefault="00CA4CD6" w:rsidP="0073397D">
      <w:pPr>
        <w:pBdr>
          <w:top w:val="single" w:sz="6" w:space="1" w:color="FFFFFF"/>
          <w:left w:val="single" w:sz="6" w:space="0" w:color="FFFFFF"/>
          <w:bottom w:val="single" w:sz="6" w:space="0" w:color="FFFFFF"/>
          <w:right w:val="single" w:sz="6" w:space="0" w:color="FFFFFF"/>
        </w:pBdr>
        <w:rPr>
          <w:b/>
          <w:bCs/>
        </w:rP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rPr>
          <w:b/>
          <w:bCs/>
        </w:rPr>
      </w:pPr>
      <w:r w:rsidRPr="00D101F1">
        <w:t>The requested recordkeeping and reporting are required under 40 CFR part 60, subpart</w:t>
      </w:r>
      <w:r w:rsidR="0073397D" w:rsidRPr="00D101F1">
        <w:t xml:space="preserve"> DDDD</w:t>
      </w:r>
      <w:r w:rsidRPr="00D101F1">
        <w:t>.</w:t>
      </w:r>
    </w:p>
    <w:p w:rsidR="00CA4CD6" w:rsidRPr="00D101F1" w:rsidRDefault="00CA4CD6" w:rsidP="0073397D">
      <w:pPr>
        <w:pBdr>
          <w:top w:val="single" w:sz="6" w:space="1" w:color="FFFFFF"/>
          <w:left w:val="single" w:sz="6" w:space="0" w:color="FFFFFF"/>
          <w:bottom w:val="single" w:sz="6" w:space="0" w:color="FFFFFF"/>
          <w:right w:val="single" w:sz="6" w:space="0" w:color="FFFFFF"/>
        </w:pBdr>
        <w:rPr>
          <w:b/>
          <w:bCs/>
        </w:rP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rPr>
          <w:b/>
          <w:bCs/>
        </w:rPr>
        <w:t>3(a</w:t>
      </w:r>
      <w:proofErr w:type="gramStart"/>
      <w:r w:rsidRPr="00D101F1">
        <w:rPr>
          <w:b/>
          <w:bCs/>
        </w:rPr>
        <w:t>)  Non</w:t>
      </w:r>
      <w:proofErr w:type="gramEnd"/>
      <w:r w:rsidR="00717D5B">
        <w:rPr>
          <w:b/>
          <w:bCs/>
        </w:rPr>
        <w:t>-</w:t>
      </w:r>
      <w:r w:rsidRPr="00D101F1">
        <w:rPr>
          <w:b/>
          <w:bCs/>
        </w:rPr>
        <w:t>duplication</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D101F1">
        <w:t>,  duplication</w:t>
      </w:r>
      <w:proofErr w:type="gramEnd"/>
      <w:r w:rsidRPr="00D101F1">
        <w:t xml:space="preserve"> </w:t>
      </w:r>
      <w:r w:rsidR="00D504C7">
        <w:t xml:space="preserve">does not </w:t>
      </w:r>
      <w:r w:rsidRPr="00D101F1">
        <w:t>exist.</w:t>
      </w:r>
    </w:p>
    <w:p w:rsidR="00CA4CD6" w:rsidRPr="00D101F1" w:rsidRDefault="00CA4CD6" w:rsidP="0073397D">
      <w:pPr>
        <w:pBdr>
          <w:top w:val="single" w:sz="6" w:space="1" w:color="FFFFFF"/>
          <w:left w:val="single" w:sz="6" w:space="0" w:color="FFFFFF"/>
          <w:bottom w:val="single" w:sz="6" w:space="0" w:color="FFFFFF"/>
          <w:right w:val="single" w:sz="6" w:space="0" w:color="FFFFFF"/>
        </w:pBdr>
      </w:pPr>
    </w:p>
    <w:p w:rsidR="00CA4CD6" w:rsidRPr="00D101F1" w:rsidRDefault="00CA4CD6" w:rsidP="0073397D">
      <w:pPr>
        <w:pBdr>
          <w:top w:val="single" w:sz="6" w:space="1" w:color="FFFFFF"/>
          <w:left w:val="single" w:sz="6" w:space="0" w:color="FFFFFF"/>
          <w:bottom w:val="single" w:sz="6" w:space="0" w:color="FFFFFF"/>
          <w:right w:val="single" w:sz="6" w:space="0" w:color="FFFFFF"/>
        </w:pBdr>
        <w:ind w:firstLine="720"/>
      </w:pPr>
      <w:r w:rsidRPr="00D101F1">
        <w:rPr>
          <w:b/>
          <w:bCs/>
        </w:rPr>
        <w:t>3(b</w:t>
      </w:r>
      <w:proofErr w:type="gramStart"/>
      <w:r w:rsidRPr="00D101F1">
        <w:rPr>
          <w:b/>
          <w:bCs/>
        </w:rPr>
        <w:t>)  Public</w:t>
      </w:r>
      <w:proofErr w:type="gramEnd"/>
      <w:r w:rsidRPr="00D101F1">
        <w:rPr>
          <w:b/>
          <w:bCs/>
        </w:rPr>
        <w:t xml:space="preserve"> Notice Required Prior to ICR Submission to OMB</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An announcement of a public comment period for the renewal of this ICR was published in the </w:t>
      </w:r>
      <w:r w:rsidRPr="00D101F1">
        <w:rPr>
          <w:u w:val="single"/>
        </w:rPr>
        <w:t>Federal Register</w:t>
      </w:r>
      <w:r w:rsidRPr="00D101F1">
        <w:t xml:space="preserve"> (</w:t>
      </w:r>
      <w:r w:rsidR="0073397D" w:rsidRPr="00D101F1">
        <w:t>77</w:t>
      </w:r>
      <w:r w:rsidRPr="00D101F1">
        <w:t xml:space="preserve"> </w:t>
      </w:r>
      <w:r w:rsidRPr="00D101F1">
        <w:rPr>
          <w:u w:val="single"/>
        </w:rPr>
        <w:t>FR</w:t>
      </w:r>
      <w:r w:rsidRPr="00D101F1">
        <w:t xml:space="preserve"> </w:t>
      </w:r>
      <w:r w:rsidR="0073397D" w:rsidRPr="00D101F1">
        <w:t>63813)</w:t>
      </w:r>
      <w:r w:rsidRPr="00D101F1">
        <w:t xml:space="preserve"> on</w:t>
      </w:r>
      <w:r w:rsidR="00023B96" w:rsidRPr="00D101F1">
        <w:t xml:space="preserve"> October 17, 2012</w:t>
      </w:r>
      <w:r w:rsidRPr="00D101F1">
        <w:t xml:space="preserve">.  No comments were received on the burden published in the </w:t>
      </w:r>
      <w:r w:rsidRPr="00D101F1">
        <w:rPr>
          <w:u w:val="single"/>
        </w:rPr>
        <w:t>Federal Register</w:t>
      </w:r>
      <w:r w:rsidRPr="00D101F1">
        <w:t xml:space="preserve">. </w:t>
      </w:r>
    </w:p>
    <w:p w:rsidR="00CA4CD6" w:rsidRPr="00D101F1" w:rsidRDefault="00CA4CD6">
      <w:pPr>
        <w:pBdr>
          <w:top w:val="single" w:sz="6" w:space="0" w:color="FFFFFF"/>
          <w:left w:val="single" w:sz="6" w:space="0" w:color="FFFFFF"/>
          <w:bottom w:val="single" w:sz="6" w:space="0" w:color="FFFFFF"/>
          <w:right w:val="single" w:sz="6" w:space="0" w:color="FFFFFF"/>
        </w:pBdr>
      </w:pPr>
    </w:p>
    <w:p w:rsidR="00123889" w:rsidRPr="00D101F1" w:rsidRDefault="00123889" w:rsidP="00123889">
      <w:pPr>
        <w:pBdr>
          <w:top w:val="single" w:sz="6" w:space="0" w:color="FFFFFF"/>
          <w:left w:val="single" w:sz="6" w:space="0" w:color="FFFFFF"/>
          <w:bottom w:val="single" w:sz="6" w:space="0" w:color="FFFFFF"/>
          <w:right w:val="single" w:sz="6" w:space="0" w:color="FFFFFF"/>
        </w:pBdr>
        <w:ind w:firstLine="720"/>
      </w:pPr>
      <w:r w:rsidRPr="00D101F1">
        <w:rPr>
          <w:b/>
          <w:bCs/>
        </w:rPr>
        <w:t>3(c</w:t>
      </w:r>
      <w:proofErr w:type="gramStart"/>
      <w:r w:rsidRPr="00D101F1">
        <w:rPr>
          <w:b/>
          <w:bCs/>
        </w:rPr>
        <w:t>)  Consultations</w:t>
      </w:r>
      <w:proofErr w:type="gramEnd"/>
    </w:p>
    <w:p w:rsidR="00E53137" w:rsidRPr="00D101F1" w:rsidRDefault="00E53137" w:rsidP="00D92F66">
      <w:pPr>
        <w:spacing w:line="244" w:lineRule="exact"/>
      </w:pPr>
    </w:p>
    <w:p w:rsidR="00A27248" w:rsidRPr="00D101F1" w:rsidRDefault="00A27248" w:rsidP="00A27248">
      <w:pPr>
        <w:widowControl/>
        <w:ind w:firstLine="720"/>
      </w:pPr>
      <w:r w:rsidRPr="00D101F1">
        <w:t xml:space="preserve">The Agency’s industry experts have been consulted, and the Agency’s internal data sources and projections of industry growth over the next three years have been considered.  </w:t>
      </w:r>
      <w:r w:rsidR="00D504C7">
        <w:t xml:space="preserve">   </w:t>
      </w:r>
      <w:r w:rsidRPr="00D101F1">
        <w:t xml:space="preserve">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27248" w:rsidRPr="00D101F1" w:rsidRDefault="00A27248" w:rsidP="00A27248">
      <w:pPr>
        <w:widowControl/>
        <w:ind w:firstLine="720"/>
      </w:pPr>
    </w:p>
    <w:p w:rsidR="00A27248" w:rsidRPr="00D101F1" w:rsidRDefault="00A27248" w:rsidP="00A27248">
      <w:pPr>
        <w:widowControl/>
        <w:ind w:firstLine="720"/>
      </w:pPr>
      <w:r w:rsidRPr="00D101F1">
        <w:t>Consultations with industry representatives (i.e., respondents) were conducted to determine if there is any way for EPA to reduce the recordkeeping and reporting burden or improve the language in the standard to make it easier to comply.  In dev</w:t>
      </w:r>
      <w:r w:rsidR="00641EF8">
        <w:t>eloping this ICR, EPA contacted</w:t>
      </w:r>
      <w:r w:rsidR="0023417D">
        <w:t xml:space="preserve">: 1) the </w:t>
      </w:r>
      <w:r w:rsidRPr="00D101F1">
        <w:t>Solid Waste Association of North America (SWANA)</w:t>
      </w:r>
      <w:r w:rsidR="0023417D">
        <w:t>,</w:t>
      </w:r>
      <w:r w:rsidRPr="00D101F1">
        <w:t xml:space="preserve"> at (240) 494-2253</w:t>
      </w:r>
      <w:r w:rsidR="00861FEF">
        <w:t>;</w:t>
      </w:r>
      <w:r w:rsidRPr="00D101F1">
        <w:t xml:space="preserve"> and </w:t>
      </w:r>
      <w:r w:rsidR="00D504C7">
        <w:t>2</w:t>
      </w:r>
      <w:r w:rsidR="0023417D">
        <w:t xml:space="preserve">) </w:t>
      </w:r>
      <w:r w:rsidRPr="00D101F1">
        <w:t>the National Solid Waste Management Association (NSWMA)</w:t>
      </w:r>
      <w:r w:rsidR="0023417D">
        <w:t>,</w:t>
      </w:r>
      <w:r w:rsidR="00C45E51">
        <w:t xml:space="preserve"> at (202) 364-3773.  </w:t>
      </w:r>
      <w:r w:rsidRPr="00D101F1">
        <w:t>EPA did not receive any comments from the consultations.</w:t>
      </w:r>
    </w:p>
    <w:p w:rsidR="00A27248" w:rsidRPr="00D101F1" w:rsidRDefault="00A27248" w:rsidP="00A27248">
      <w:pPr>
        <w:widowControl/>
        <w:ind w:firstLine="720"/>
      </w:pPr>
    </w:p>
    <w:p w:rsidR="00A27248" w:rsidRPr="00D101F1" w:rsidRDefault="00A27248" w:rsidP="00A27248">
      <w:pPr>
        <w:widowControl/>
        <w:ind w:firstLine="720"/>
      </w:pPr>
      <w:r w:rsidRPr="00D101F1">
        <w:t xml:space="preserve">It is our policy to respond after a thorough review of comments received since the </w:t>
      </w:r>
      <w:r w:rsidR="00D504C7">
        <w:t xml:space="preserve">       </w:t>
      </w:r>
      <w:r w:rsidRPr="00D101F1">
        <w:t xml:space="preserve">last ICR renewal as well as those submitted in response to the first </w:t>
      </w:r>
      <w:r w:rsidR="00EE5A44" w:rsidRPr="00EE5A44">
        <w:rPr>
          <w:u w:val="single"/>
        </w:rPr>
        <w:t>Federal Register</w:t>
      </w:r>
      <w:r w:rsidR="00EE5A44" w:rsidRPr="00D101F1">
        <w:t xml:space="preserve"> </w:t>
      </w:r>
      <w:r w:rsidRPr="00D101F1">
        <w:t>notice.</w:t>
      </w:r>
    </w:p>
    <w:p w:rsidR="00123889" w:rsidRDefault="00123889">
      <w:pPr>
        <w:pBdr>
          <w:top w:val="single" w:sz="6" w:space="0" w:color="FFFFFF"/>
          <w:left w:val="single" w:sz="6" w:space="0" w:color="FFFFFF"/>
          <w:bottom w:val="single" w:sz="6" w:space="0" w:color="FFFFFF"/>
          <w:right w:val="single" w:sz="6" w:space="0" w:color="FFFFFF"/>
        </w:pBdr>
      </w:pPr>
    </w:p>
    <w:p w:rsidR="008A1A32" w:rsidRDefault="008A1A32">
      <w:pPr>
        <w:pBdr>
          <w:top w:val="single" w:sz="6" w:space="0" w:color="FFFFFF"/>
          <w:left w:val="single" w:sz="6" w:space="0" w:color="FFFFFF"/>
          <w:bottom w:val="single" w:sz="6" w:space="0" w:color="FFFFFF"/>
          <w:right w:val="single" w:sz="6" w:space="0" w:color="FFFFFF"/>
        </w:pBdr>
      </w:pPr>
    </w:p>
    <w:p w:rsidR="009D1AE1" w:rsidRDefault="009D1AE1">
      <w:pPr>
        <w:pBdr>
          <w:top w:val="single" w:sz="6" w:space="0" w:color="FFFFFF"/>
          <w:left w:val="single" w:sz="6" w:space="0" w:color="FFFFFF"/>
          <w:bottom w:val="single" w:sz="6" w:space="0" w:color="FFFFFF"/>
          <w:right w:val="single" w:sz="6" w:space="0" w:color="FFFFFF"/>
        </w:pBdr>
        <w:ind w:firstLine="720"/>
        <w:rPr>
          <w:b/>
          <w:bCs/>
        </w:rP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lastRenderedPageBreak/>
        <w:t>3(d</w:t>
      </w:r>
      <w:proofErr w:type="gramStart"/>
      <w:r w:rsidRPr="00D101F1">
        <w:rPr>
          <w:b/>
          <w:bCs/>
        </w:rPr>
        <w:t>)  Effects</w:t>
      </w:r>
      <w:proofErr w:type="gramEnd"/>
      <w:r w:rsidRPr="00D101F1">
        <w:rPr>
          <w:b/>
          <w:bCs/>
        </w:rPr>
        <w:t xml:space="preserve"> of Less Frequent Collection</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D101F1">
        <w:t xml:space="preserve">the proper </w:t>
      </w:r>
      <w:r w:rsidRPr="00D101F1">
        <w:t xml:space="preserve">operation and maintenance of control equipment </w:t>
      </w:r>
      <w:r w:rsidR="002C1F95" w:rsidRPr="00D101F1">
        <w:t>and the possibility of detecting violations would be less likely.</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3(e</w:t>
      </w:r>
      <w:proofErr w:type="gramStart"/>
      <w:r w:rsidRPr="00D101F1">
        <w:rPr>
          <w:b/>
          <w:bCs/>
        </w:rPr>
        <w:t>)  General</w:t>
      </w:r>
      <w:proofErr w:type="gramEnd"/>
      <w:r w:rsidRPr="00D101F1">
        <w:rPr>
          <w:b/>
          <w:bCs/>
        </w:rPr>
        <w:t xml:space="preserve"> Guidelines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101B40">
      <w:pPr>
        <w:pBdr>
          <w:top w:val="single" w:sz="6" w:space="0" w:color="FFFFFF"/>
          <w:left w:val="single" w:sz="6" w:space="0" w:color="FFFFFF"/>
          <w:bottom w:val="single" w:sz="6" w:space="0" w:color="FFFFFF"/>
          <w:right w:val="single" w:sz="6" w:space="0" w:color="FFFFFF"/>
        </w:pBdr>
        <w:ind w:firstLine="720"/>
      </w:pPr>
      <w:r w:rsidRPr="00D101F1">
        <w:t>T</w:t>
      </w:r>
      <w:r w:rsidR="00CA4CD6" w:rsidRPr="00D101F1">
        <w:t xml:space="preserve">hese reporting or recordkeeping requirements </w:t>
      </w:r>
      <w:r w:rsidRPr="00D101F1">
        <w:t xml:space="preserve">do not </w:t>
      </w:r>
      <w:r w:rsidR="00A36CBE" w:rsidRPr="00D101F1">
        <w:t xml:space="preserve">violate any of the regulations </w:t>
      </w:r>
      <w:r w:rsidR="00206932" w:rsidRPr="00D101F1">
        <w:t>promulgated by</w:t>
      </w:r>
      <w:r w:rsidRPr="00D101F1">
        <w:t xml:space="preserve"> </w:t>
      </w:r>
      <w:r w:rsidR="00CA4CD6" w:rsidRPr="00D101F1">
        <w:t xml:space="preserve">OMB </w:t>
      </w:r>
      <w:r w:rsidRPr="00D101F1">
        <w:t>under</w:t>
      </w:r>
      <w:r w:rsidR="00CA4CD6" w:rsidRPr="00D101F1">
        <w:t xml:space="preserve"> 5 CFR part 1320, section 1320.5.</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rsidP="00A36CBE">
      <w:pPr>
        <w:pBdr>
          <w:top w:val="single" w:sz="6" w:space="0" w:color="FFFFFF"/>
          <w:left w:val="single" w:sz="6" w:space="0" w:color="FFFFFF"/>
          <w:bottom w:val="single" w:sz="6" w:space="0" w:color="FFFFFF"/>
          <w:right w:val="single" w:sz="6" w:space="0" w:color="FFFFFF"/>
        </w:pBdr>
        <w:ind w:firstLine="720"/>
      </w:pPr>
      <w:r w:rsidRPr="00D101F1">
        <w:t>These standards require the respondents to maintain all records, including reports and notifications for at least five years.  This is consistent with the General Provisions as applied to the standar</w:t>
      </w:r>
      <w:r w:rsidR="002B2198">
        <w:t>ds.  EPA believes that the five</w:t>
      </w:r>
      <w:r w:rsidR="00D504C7">
        <w:t>-</w:t>
      </w:r>
      <w:r w:rsidRPr="00D101F1">
        <w:t xml:space="preserve">year records retention requirement is consistent </w:t>
      </w:r>
      <w:r w:rsidR="002B2198">
        <w:t xml:space="preserve">with </w:t>
      </w:r>
      <w:r w:rsidRPr="00D101F1">
        <w:t>the Part</w:t>
      </w:r>
      <w:r w:rsidR="002B2198">
        <w:t xml:space="preserve"> 70 permit program and the five-</w:t>
      </w:r>
      <w:r w:rsidRPr="00D101F1">
        <w:t xml:space="preserve">year statute of limitations on which the permit program is based.  </w:t>
      </w:r>
      <w:r w:rsidR="005F42F8" w:rsidRPr="00D101F1">
        <w:t>T</w:t>
      </w:r>
      <w:r w:rsidRPr="00D101F1">
        <w:t>h</w:t>
      </w:r>
      <w:r w:rsidR="002B2198">
        <w:t>e retention of records for five</w:t>
      </w:r>
      <w:r w:rsidR="009D1AE1">
        <w:t xml:space="preserve"> </w:t>
      </w:r>
      <w:r w:rsidRPr="00D101F1">
        <w:t>years allow</w:t>
      </w:r>
      <w:r w:rsidR="005F42F8" w:rsidRPr="00D101F1">
        <w:t>s</w:t>
      </w:r>
      <w:r w:rsidRPr="00D101F1">
        <w:t xml:space="preserve"> EPA to establish the compliance history of a source</w:t>
      </w:r>
      <w:r w:rsidR="005F42F8" w:rsidRPr="00D101F1">
        <w:t xml:space="preserve">, </w:t>
      </w:r>
      <w:r w:rsidRPr="00D101F1">
        <w:t xml:space="preserve">any pattern of </w:t>
      </w:r>
      <w:r w:rsidR="005F42F8" w:rsidRPr="00D101F1">
        <w:t>non-</w:t>
      </w:r>
      <w:r w:rsidRPr="00D101F1">
        <w:t>compliance</w:t>
      </w:r>
      <w:r w:rsidR="005F42F8" w:rsidRPr="00D101F1">
        <w:t xml:space="preserve"> and to determine the appropriate level of enforcement action.  </w:t>
      </w:r>
      <w:r w:rsidRPr="00D101F1">
        <w:t xml:space="preserve">EPA has found that the most flagrant violators have violations extending beyond five years.  </w:t>
      </w:r>
      <w:r w:rsidR="005F42F8" w:rsidRPr="00D101F1">
        <w:t xml:space="preserve">In addition, </w:t>
      </w:r>
      <w:r w:rsidRPr="00D101F1">
        <w:t xml:space="preserve">EPA would be prevented from pursuing the violators due to the destruction or nonexistence of </w:t>
      </w:r>
      <w:r w:rsidR="005F42F8" w:rsidRPr="00D101F1">
        <w:t xml:space="preserve">essential </w:t>
      </w:r>
      <w:r w:rsidRPr="00D101F1">
        <w:t>records</w:t>
      </w:r>
      <w:r w:rsidR="00A36CBE" w:rsidRPr="00D101F1">
        <w:t>.</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3(f</w:t>
      </w:r>
      <w:proofErr w:type="gramStart"/>
      <w:r w:rsidRPr="00D101F1">
        <w:rPr>
          <w:b/>
          <w:bCs/>
        </w:rPr>
        <w:t>)  Confidentiality</w:t>
      </w:r>
      <w:proofErr w:type="gramEnd"/>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Any information submitted to the Agency for which a claim of confidentiality is made will be safeguarded according to the Agency policies set forth in Title 40, chapter 1, part 2, subpart B - Confidentiality of Business Information </w:t>
      </w:r>
      <w:r w:rsidR="00B570F1">
        <w:t xml:space="preserve">(CBI) </w:t>
      </w:r>
      <w:r w:rsidRPr="00D101F1">
        <w:t xml:space="preserve">(see 40 CFR 2; 41 </w:t>
      </w:r>
      <w:r w:rsidRPr="00D101F1">
        <w:rPr>
          <w:u w:val="single"/>
        </w:rPr>
        <w:t>FR</w:t>
      </w:r>
      <w:r w:rsidRPr="00D101F1">
        <w:t xml:space="preserve"> 36902, September 1, 1976; amended by 43 </w:t>
      </w:r>
      <w:r w:rsidRPr="00D101F1">
        <w:rPr>
          <w:u w:val="single"/>
        </w:rPr>
        <w:t>FR</w:t>
      </w:r>
      <w:r w:rsidRPr="00D101F1">
        <w:t xml:space="preserve"> 40000, September 8, 1978; 43 </w:t>
      </w:r>
      <w:r w:rsidRPr="00D101F1">
        <w:rPr>
          <w:u w:val="single"/>
        </w:rPr>
        <w:t>FR</w:t>
      </w:r>
      <w:r w:rsidRPr="00D101F1">
        <w:t xml:space="preserve"> 42251, September 20, 1978; 44 </w:t>
      </w:r>
      <w:r w:rsidRPr="00D101F1">
        <w:rPr>
          <w:u w:val="single"/>
        </w:rPr>
        <w:t>FR</w:t>
      </w:r>
      <w:r w:rsidRPr="00D101F1">
        <w:t xml:space="preserve"> 17674, March 23, 1979).</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rsidP="00B15389">
      <w:pPr>
        <w:keepNext/>
        <w:pBdr>
          <w:top w:val="single" w:sz="6" w:space="0" w:color="FFFFFF"/>
          <w:left w:val="single" w:sz="6" w:space="0" w:color="FFFFFF"/>
          <w:bottom w:val="single" w:sz="6" w:space="0" w:color="FFFFFF"/>
          <w:right w:val="single" w:sz="6" w:space="0" w:color="FFFFFF"/>
        </w:pBdr>
        <w:ind w:firstLine="720"/>
      </w:pPr>
      <w:r w:rsidRPr="00D101F1">
        <w:rPr>
          <w:b/>
          <w:bCs/>
        </w:rPr>
        <w:t>3(g</w:t>
      </w:r>
      <w:proofErr w:type="gramStart"/>
      <w:r w:rsidRPr="00D101F1">
        <w:rPr>
          <w:b/>
          <w:bCs/>
        </w:rPr>
        <w:t>)  Sensitive</w:t>
      </w:r>
      <w:proofErr w:type="gramEnd"/>
      <w:r w:rsidRPr="00D101F1">
        <w:rPr>
          <w:b/>
          <w:bCs/>
        </w:rPr>
        <w:t xml:space="preserve"> Questions</w:t>
      </w:r>
    </w:p>
    <w:p w:rsidR="00CA4CD6" w:rsidRPr="00D101F1" w:rsidRDefault="00CA4CD6" w:rsidP="00B15389">
      <w:pPr>
        <w:keepNext/>
        <w:pBdr>
          <w:top w:val="single" w:sz="6" w:space="0" w:color="FFFFFF"/>
          <w:left w:val="single" w:sz="6" w:space="0" w:color="FFFFFF"/>
          <w:bottom w:val="single" w:sz="6" w:space="0" w:color="FFFFFF"/>
          <w:right w:val="single" w:sz="6" w:space="0" w:color="FFFFFF"/>
        </w:pBdr>
      </w:pPr>
    </w:p>
    <w:p w:rsidR="00CA4CD6" w:rsidRPr="00D101F1" w:rsidRDefault="0040391F" w:rsidP="00B15389">
      <w:pPr>
        <w:keepNext/>
        <w:widowControl/>
        <w:pBdr>
          <w:top w:val="single" w:sz="6" w:space="0" w:color="FFFFFF"/>
          <w:left w:val="single" w:sz="6" w:space="0" w:color="FFFFFF"/>
          <w:bottom w:val="single" w:sz="6" w:space="0" w:color="FFFFFF"/>
          <w:right w:val="single" w:sz="6" w:space="0" w:color="FFFFFF"/>
        </w:pBdr>
        <w:ind w:firstLine="720"/>
      </w:pPr>
      <w:r w:rsidRPr="00D101F1">
        <w:t>T</w:t>
      </w:r>
      <w:r w:rsidR="00CA4CD6" w:rsidRPr="00D101F1">
        <w:t xml:space="preserve">he reporting or recordkeeping requirements </w:t>
      </w:r>
      <w:r w:rsidRPr="00D101F1">
        <w:t xml:space="preserve">in the standard do not </w:t>
      </w:r>
      <w:r w:rsidR="00B46A57" w:rsidRPr="00D101F1">
        <w:t xml:space="preserve">include </w:t>
      </w:r>
      <w:r w:rsidR="00CA4CD6" w:rsidRPr="00D101F1">
        <w:t>sensitive questions.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rPr>
          <w:b/>
          <w:bCs/>
        </w:rPr>
      </w:pPr>
      <w:r w:rsidRPr="00D101F1">
        <w:rPr>
          <w:b/>
          <w:bCs/>
        </w:rPr>
        <w:t>4.  The Respondents and the Information Requested</w:t>
      </w:r>
    </w:p>
    <w:p w:rsidR="00CA4CD6" w:rsidRPr="00D101F1" w:rsidRDefault="00CA4CD6">
      <w:pPr>
        <w:pBdr>
          <w:top w:val="single" w:sz="6" w:space="0" w:color="FFFFFF"/>
          <w:left w:val="single" w:sz="6" w:space="0" w:color="FFFFFF"/>
          <w:bottom w:val="single" w:sz="6" w:space="0" w:color="FFFFFF"/>
          <w:right w:val="single" w:sz="6" w:space="0" w:color="FFFFFF"/>
        </w:pBdr>
        <w:rPr>
          <w:b/>
          <w:bCs/>
        </w:rP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4(a</w:t>
      </w:r>
      <w:proofErr w:type="gramStart"/>
      <w:r w:rsidRPr="00D101F1">
        <w:rPr>
          <w:b/>
          <w:bCs/>
        </w:rPr>
        <w:t>)  Respondents</w:t>
      </w:r>
      <w:proofErr w:type="gramEnd"/>
      <w:r w:rsidRPr="00D101F1">
        <w:rPr>
          <w:b/>
          <w:bCs/>
        </w:rPr>
        <w:t>/SIC Codes</w:t>
      </w:r>
    </w:p>
    <w:p w:rsidR="00CA4CD6" w:rsidRPr="00D101F1" w:rsidRDefault="00CA4CD6">
      <w:pPr>
        <w:pBdr>
          <w:top w:val="single" w:sz="6" w:space="0" w:color="FFFFFF"/>
          <w:left w:val="single" w:sz="6" w:space="0" w:color="FFFFFF"/>
          <w:bottom w:val="single" w:sz="6" w:space="0" w:color="FFFFFF"/>
          <w:right w:val="single" w:sz="6" w:space="0" w:color="FFFFFF"/>
        </w:pBdr>
      </w:pPr>
    </w:p>
    <w:p w:rsidR="00E43FC7" w:rsidRDefault="00CA4CD6" w:rsidP="00050E3B">
      <w:pPr>
        <w:pBdr>
          <w:top w:val="single" w:sz="6" w:space="0" w:color="FFFFFF"/>
          <w:left w:val="single" w:sz="6" w:space="0" w:color="FFFFFF"/>
          <w:bottom w:val="single" w:sz="6" w:space="0" w:color="FFFFFF"/>
          <w:right w:val="single" w:sz="6" w:space="0" w:color="FFFFFF"/>
        </w:pBdr>
        <w:ind w:firstLine="720"/>
      </w:pPr>
      <w:r w:rsidRPr="00D101F1">
        <w:t>The respondents to the recordkeeping and reporting requirements are</w:t>
      </w:r>
      <w:r w:rsidR="00A36CBE" w:rsidRPr="00D101F1">
        <w:t xml:space="preserve"> CISWI units</w:t>
      </w:r>
      <w:r w:rsidRPr="00D101F1">
        <w:t>.  The United States Standard Industrial Classification</w:t>
      </w:r>
      <w:r w:rsidR="00A36CBE" w:rsidRPr="00D101F1">
        <w:t xml:space="preserve"> (SIC) codes and corresponding </w:t>
      </w:r>
      <w:r w:rsidRPr="00D101F1">
        <w:t>North American Industry Classification System</w:t>
      </w:r>
      <w:r w:rsidR="00A36CBE" w:rsidRPr="00D101F1">
        <w:t xml:space="preserve"> (NAICS) codes for CISWI unit owners and operators are provided in the following table</w:t>
      </w:r>
      <w:r w:rsidR="00D504C7">
        <w:t>:</w:t>
      </w:r>
    </w:p>
    <w:tbl>
      <w:tblPr>
        <w:tblW w:w="9437" w:type="dxa"/>
        <w:jc w:val="center"/>
        <w:tblInd w:w="112" w:type="dxa"/>
        <w:tblLayout w:type="fixed"/>
        <w:tblCellMar>
          <w:left w:w="112" w:type="dxa"/>
          <w:right w:w="112" w:type="dxa"/>
        </w:tblCellMar>
        <w:tblLook w:val="0000"/>
      </w:tblPr>
      <w:tblGrid>
        <w:gridCol w:w="6413"/>
        <w:gridCol w:w="1325"/>
        <w:gridCol w:w="1699"/>
      </w:tblGrid>
      <w:tr w:rsidR="00CA4CD6"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CA4CD6" w:rsidRPr="00D101F1" w:rsidRDefault="00CA4CD6">
            <w:pPr>
              <w:spacing w:line="120" w:lineRule="exact"/>
            </w:pPr>
          </w:p>
          <w:p w:rsidR="00CA4CD6" w:rsidRPr="00D101F1" w:rsidRDefault="00CA4CD6" w:rsidP="00E43FC7">
            <w:pPr>
              <w:pBdr>
                <w:top w:val="single" w:sz="6" w:space="0" w:color="FFFFFF"/>
                <w:left w:val="single" w:sz="6" w:space="0" w:color="FFFFFF"/>
                <w:bottom w:val="single" w:sz="6" w:space="0" w:color="FFFFFF"/>
                <w:right w:val="single" w:sz="6" w:space="0" w:color="FFFFFF"/>
              </w:pBdr>
              <w:spacing w:after="54"/>
              <w:jc w:val="center"/>
              <w:rPr>
                <w:b/>
                <w:bCs/>
              </w:rPr>
            </w:pPr>
            <w:r w:rsidRPr="00D101F1">
              <w:rPr>
                <w:b/>
                <w:bCs/>
              </w:rPr>
              <w:t>Standard</w:t>
            </w:r>
            <w:r w:rsidR="004C701D" w:rsidRPr="00D101F1">
              <w:rPr>
                <w:b/>
                <w:bCs/>
              </w:rPr>
              <w:t xml:space="preserve"> </w:t>
            </w:r>
            <w:r w:rsidR="004C701D" w:rsidRPr="00D101F1">
              <w:rPr>
                <w:b/>
              </w:rPr>
              <w:t>(</w:t>
            </w:r>
            <w:r w:rsidR="005F3429" w:rsidRPr="00D101F1">
              <w:rPr>
                <w:b/>
              </w:rPr>
              <w:t xml:space="preserve">40 CFR </w:t>
            </w:r>
            <w:r w:rsidR="007F3247">
              <w:rPr>
                <w:b/>
              </w:rPr>
              <w:t>P</w:t>
            </w:r>
            <w:r w:rsidR="005F3429" w:rsidRPr="00D101F1">
              <w:rPr>
                <w:b/>
              </w:rPr>
              <w:t xml:space="preserve">art 60, </w:t>
            </w:r>
            <w:r w:rsidR="007F3247">
              <w:rPr>
                <w:b/>
              </w:rPr>
              <w:t>S</w:t>
            </w:r>
            <w:r w:rsidR="005F3429" w:rsidRPr="00D101F1">
              <w:rPr>
                <w:b/>
              </w:rPr>
              <w:t>ubpart DDDD</w:t>
            </w:r>
            <w:r w:rsidR="004C701D" w:rsidRPr="00D101F1">
              <w:rPr>
                <w:b/>
              </w:rPr>
              <w:t>)</w:t>
            </w:r>
          </w:p>
        </w:tc>
        <w:tc>
          <w:tcPr>
            <w:tcW w:w="1325" w:type="dxa"/>
            <w:tcBorders>
              <w:top w:val="single" w:sz="7" w:space="0" w:color="000000"/>
              <w:left w:val="single" w:sz="7" w:space="0" w:color="000000"/>
              <w:bottom w:val="single" w:sz="6" w:space="0" w:color="FFFFFF"/>
              <w:right w:val="single" w:sz="6" w:space="0" w:color="FFFFFF"/>
            </w:tcBorders>
          </w:tcPr>
          <w:p w:rsidR="00CA4CD6" w:rsidRPr="00D101F1" w:rsidRDefault="00CA4CD6" w:rsidP="0082607C">
            <w:pPr>
              <w:spacing w:line="120" w:lineRule="exact"/>
              <w:jc w:val="center"/>
              <w:rPr>
                <w:b/>
                <w:bCs/>
              </w:rPr>
            </w:pPr>
          </w:p>
          <w:p w:rsidR="00CA4CD6" w:rsidRPr="00D101F1" w:rsidRDefault="00CA4CD6" w:rsidP="0082607C">
            <w:pPr>
              <w:pBdr>
                <w:top w:val="single" w:sz="6" w:space="0" w:color="FFFFFF"/>
                <w:left w:val="single" w:sz="6" w:space="0" w:color="FFFFFF"/>
                <w:bottom w:val="single" w:sz="6" w:space="0" w:color="FFFFFF"/>
                <w:right w:val="single" w:sz="6" w:space="0" w:color="FFFFFF"/>
              </w:pBdr>
              <w:spacing w:after="54"/>
              <w:jc w:val="center"/>
              <w:rPr>
                <w:b/>
                <w:bCs/>
              </w:rPr>
            </w:pPr>
            <w:r w:rsidRPr="00D101F1">
              <w:rPr>
                <w:b/>
                <w:bCs/>
              </w:rPr>
              <w:t>SIC Codes</w:t>
            </w:r>
          </w:p>
        </w:tc>
        <w:tc>
          <w:tcPr>
            <w:tcW w:w="1699" w:type="dxa"/>
            <w:tcBorders>
              <w:top w:val="single" w:sz="7" w:space="0" w:color="000000"/>
              <w:left w:val="single" w:sz="7" w:space="0" w:color="000000"/>
              <w:bottom w:val="single" w:sz="6" w:space="0" w:color="FFFFFF"/>
              <w:right w:val="single" w:sz="7" w:space="0" w:color="000000"/>
            </w:tcBorders>
          </w:tcPr>
          <w:p w:rsidR="00CA4CD6" w:rsidRPr="00D101F1" w:rsidRDefault="00CA4CD6" w:rsidP="0082607C">
            <w:pPr>
              <w:spacing w:line="120" w:lineRule="exact"/>
              <w:jc w:val="center"/>
              <w:rPr>
                <w:b/>
                <w:bCs/>
              </w:rPr>
            </w:pPr>
          </w:p>
          <w:p w:rsidR="00CA4CD6" w:rsidRPr="00D101F1" w:rsidRDefault="00CA4CD6" w:rsidP="0082607C">
            <w:pPr>
              <w:pBdr>
                <w:top w:val="single" w:sz="6" w:space="0" w:color="FFFFFF"/>
                <w:left w:val="single" w:sz="6" w:space="0" w:color="FFFFFF"/>
                <w:bottom w:val="single" w:sz="6" w:space="0" w:color="FFFFFF"/>
                <w:right w:val="single" w:sz="6" w:space="0" w:color="FFFFFF"/>
              </w:pBdr>
              <w:spacing w:after="54"/>
              <w:jc w:val="center"/>
              <w:rPr>
                <w:b/>
                <w:bCs/>
              </w:rPr>
            </w:pPr>
            <w:r w:rsidRPr="00D101F1">
              <w:rPr>
                <w:b/>
                <w:bCs/>
              </w:rPr>
              <w:t>NAICS Codes</w:t>
            </w:r>
          </w:p>
        </w:tc>
      </w:tr>
      <w:tr w:rsidR="005F3429"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pPr>
          </w:p>
          <w:p w:rsidR="005F3429" w:rsidRPr="00D101F1" w:rsidRDefault="005F3429" w:rsidP="002B3846">
            <w:pPr>
              <w:pBdr>
                <w:top w:val="single" w:sz="6" w:space="0" w:color="FFFFFF"/>
                <w:left w:val="single" w:sz="6" w:space="0" w:color="FFFFFF"/>
                <w:bottom w:val="single" w:sz="6" w:space="0" w:color="FFFFFF"/>
                <w:right w:val="single" w:sz="6" w:space="0" w:color="FFFFFF"/>
              </w:pBdr>
              <w:spacing w:after="54"/>
            </w:pPr>
            <w:r w:rsidRPr="00D101F1">
              <w:t>Manufacturers of chemicals and allied products</w:t>
            </w:r>
          </w:p>
        </w:tc>
        <w:tc>
          <w:tcPr>
            <w:tcW w:w="1325"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28</w:t>
            </w:r>
          </w:p>
        </w:tc>
        <w:tc>
          <w:tcPr>
            <w:tcW w:w="1699" w:type="dxa"/>
            <w:tcBorders>
              <w:top w:val="single" w:sz="7" w:space="0" w:color="000000"/>
              <w:left w:val="single" w:sz="7" w:space="0" w:color="000000"/>
              <w:bottom w:val="single" w:sz="6" w:space="0" w:color="FFFFFF"/>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325</w:t>
            </w:r>
          </w:p>
        </w:tc>
      </w:tr>
      <w:tr w:rsidR="005F3429"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rPr>
                <w:b/>
                <w:bCs/>
              </w:rPr>
            </w:pPr>
          </w:p>
          <w:p w:rsidR="005F3429" w:rsidRPr="00D101F1" w:rsidRDefault="005F3429" w:rsidP="004C701D">
            <w:pPr>
              <w:pBdr>
                <w:top w:val="single" w:sz="6" w:space="0" w:color="FFFFFF"/>
                <w:left w:val="single" w:sz="6" w:space="0" w:color="FFFFFF"/>
                <w:bottom w:val="single" w:sz="6" w:space="0" w:color="FFFFFF"/>
                <w:right w:val="single" w:sz="6" w:space="0" w:color="FFFFFF"/>
              </w:pBdr>
              <w:spacing w:after="54"/>
            </w:pPr>
            <w:r w:rsidRPr="00D101F1">
              <w:t>Manufacturers of electronic equipment</w:t>
            </w:r>
          </w:p>
        </w:tc>
        <w:tc>
          <w:tcPr>
            <w:tcW w:w="1325"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34</w:t>
            </w:r>
          </w:p>
        </w:tc>
        <w:tc>
          <w:tcPr>
            <w:tcW w:w="1699" w:type="dxa"/>
            <w:tcBorders>
              <w:top w:val="single" w:sz="7" w:space="0" w:color="000000"/>
              <w:left w:val="single" w:sz="7" w:space="0" w:color="000000"/>
              <w:bottom w:val="single" w:sz="6" w:space="0" w:color="FFFFFF"/>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325</w:t>
            </w:r>
          </w:p>
        </w:tc>
      </w:tr>
      <w:tr w:rsidR="005F3429"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pPr>
          </w:p>
          <w:p w:rsidR="005F3429" w:rsidRPr="00D101F1" w:rsidRDefault="005F3429">
            <w:pPr>
              <w:pBdr>
                <w:top w:val="single" w:sz="6" w:space="0" w:color="FFFFFF"/>
                <w:left w:val="single" w:sz="6" w:space="0" w:color="FFFFFF"/>
                <w:bottom w:val="single" w:sz="6" w:space="0" w:color="FFFFFF"/>
                <w:right w:val="single" w:sz="6" w:space="0" w:color="FFFFFF"/>
              </w:pBdr>
              <w:spacing w:after="54"/>
            </w:pPr>
            <w:r w:rsidRPr="00D101F1">
              <w:t>Manufacturers of wholesale trade, durable goods</w:t>
            </w:r>
          </w:p>
        </w:tc>
        <w:tc>
          <w:tcPr>
            <w:tcW w:w="1325"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25, 36</w:t>
            </w:r>
          </w:p>
        </w:tc>
        <w:tc>
          <w:tcPr>
            <w:tcW w:w="1699" w:type="dxa"/>
            <w:tcBorders>
              <w:top w:val="single" w:sz="7" w:space="0" w:color="000000"/>
              <w:left w:val="single" w:sz="7" w:space="0" w:color="000000"/>
              <w:bottom w:val="single" w:sz="6" w:space="0" w:color="FFFFFF"/>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337, 421</w:t>
            </w:r>
          </w:p>
        </w:tc>
      </w:tr>
      <w:tr w:rsidR="005F3429"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pPr>
          </w:p>
          <w:p w:rsidR="005F3429" w:rsidRPr="00D101F1" w:rsidRDefault="005F3429" w:rsidP="002B3846">
            <w:pPr>
              <w:pBdr>
                <w:top w:val="single" w:sz="6" w:space="0" w:color="FFFFFF"/>
                <w:left w:val="single" w:sz="6" w:space="0" w:color="FFFFFF"/>
                <w:bottom w:val="single" w:sz="6" w:space="0" w:color="FFFFFF"/>
                <w:right w:val="single" w:sz="6" w:space="0" w:color="FFFFFF"/>
              </w:pBdr>
              <w:spacing w:after="54"/>
            </w:pPr>
            <w:r w:rsidRPr="00D101F1">
              <w:t>Manufacturers of lumber and wood furniture</w:t>
            </w:r>
          </w:p>
        </w:tc>
        <w:tc>
          <w:tcPr>
            <w:tcW w:w="1325"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24</w:t>
            </w:r>
          </w:p>
        </w:tc>
        <w:tc>
          <w:tcPr>
            <w:tcW w:w="1699" w:type="dxa"/>
            <w:tcBorders>
              <w:top w:val="single" w:sz="7" w:space="0" w:color="000000"/>
              <w:left w:val="single" w:sz="7" w:space="0" w:color="000000"/>
              <w:bottom w:val="single" w:sz="6" w:space="0" w:color="FFFFFF"/>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321</w:t>
            </w:r>
          </w:p>
        </w:tc>
      </w:tr>
      <w:tr w:rsidR="005F3429"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pPr>
          </w:p>
          <w:p w:rsidR="005F3429" w:rsidRPr="00D101F1" w:rsidRDefault="005F3429">
            <w:pPr>
              <w:pBdr>
                <w:top w:val="single" w:sz="6" w:space="0" w:color="FFFFFF"/>
                <w:left w:val="single" w:sz="6" w:space="0" w:color="FFFFFF"/>
                <w:bottom w:val="single" w:sz="6" w:space="0" w:color="FFFFFF"/>
                <w:right w:val="single" w:sz="6" w:space="0" w:color="FFFFFF"/>
              </w:pBdr>
              <w:spacing w:after="54"/>
            </w:pPr>
            <w:r w:rsidRPr="00D101F1">
              <w:t>Law enforcement agencies</w:t>
            </w:r>
          </w:p>
        </w:tc>
        <w:tc>
          <w:tcPr>
            <w:tcW w:w="1325"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9229</w:t>
            </w:r>
          </w:p>
        </w:tc>
        <w:tc>
          <w:tcPr>
            <w:tcW w:w="1699" w:type="dxa"/>
            <w:tcBorders>
              <w:top w:val="single" w:sz="7" w:space="0" w:color="000000"/>
              <w:left w:val="single" w:sz="7" w:space="0" w:color="000000"/>
              <w:bottom w:val="single" w:sz="6" w:space="0" w:color="FFFFFF"/>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922</w:t>
            </w:r>
          </w:p>
        </w:tc>
      </w:tr>
      <w:tr w:rsidR="005F3429" w:rsidRPr="00D101F1" w:rsidTr="0082607C">
        <w:trPr>
          <w:jc w:val="center"/>
        </w:trPr>
        <w:tc>
          <w:tcPr>
            <w:tcW w:w="6413"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pPr>
          </w:p>
          <w:p w:rsidR="005F3429" w:rsidRPr="00D101F1" w:rsidRDefault="005F3429">
            <w:pPr>
              <w:pBdr>
                <w:top w:val="single" w:sz="6" w:space="0" w:color="FFFFFF"/>
                <w:left w:val="single" w:sz="6" w:space="0" w:color="FFFFFF"/>
                <w:bottom w:val="single" w:sz="6" w:space="0" w:color="FFFFFF"/>
                <w:right w:val="single" w:sz="6" w:space="0" w:color="FFFFFF"/>
              </w:pBdr>
              <w:spacing w:after="54"/>
            </w:pPr>
            <w:r w:rsidRPr="00D101F1">
              <w:t>Department of Defense (labs, military bases, munition facilities)</w:t>
            </w:r>
          </w:p>
        </w:tc>
        <w:tc>
          <w:tcPr>
            <w:tcW w:w="1325" w:type="dxa"/>
            <w:tcBorders>
              <w:top w:val="single" w:sz="7" w:space="0" w:color="000000"/>
              <w:left w:val="single" w:sz="7" w:space="0" w:color="000000"/>
              <w:bottom w:val="single" w:sz="6" w:space="0" w:color="FFFFFF"/>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9711</w:t>
            </w:r>
          </w:p>
        </w:tc>
        <w:tc>
          <w:tcPr>
            <w:tcW w:w="1699" w:type="dxa"/>
            <w:tcBorders>
              <w:top w:val="single" w:sz="7" w:space="0" w:color="000000"/>
              <w:left w:val="single" w:sz="7" w:space="0" w:color="000000"/>
              <w:bottom w:val="single" w:sz="6" w:space="0" w:color="FFFFFF"/>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54"/>
              <w:jc w:val="center"/>
            </w:pPr>
            <w:r w:rsidRPr="00D101F1">
              <w:t>928</w:t>
            </w:r>
          </w:p>
        </w:tc>
      </w:tr>
      <w:tr w:rsidR="005F3429" w:rsidRPr="00D101F1" w:rsidTr="0082607C">
        <w:trPr>
          <w:jc w:val="center"/>
        </w:trPr>
        <w:tc>
          <w:tcPr>
            <w:tcW w:w="6413" w:type="dxa"/>
            <w:tcBorders>
              <w:top w:val="single" w:sz="7" w:space="0" w:color="000000"/>
              <w:left w:val="single" w:sz="7" w:space="0" w:color="000000"/>
              <w:bottom w:val="single" w:sz="7" w:space="0" w:color="000000"/>
              <w:right w:val="single" w:sz="6" w:space="0" w:color="FFFFFF"/>
            </w:tcBorders>
          </w:tcPr>
          <w:p w:rsidR="005F3429" w:rsidRPr="00D101F1" w:rsidRDefault="005F3429" w:rsidP="002B3846">
            <w:pPr>
              <w:spacing w:line="120" w:lineRule="exact"/>
            </w:pPr>
          </w:p>
          <w:p w:rsidR="005F3429" w:rsidRPr="00D101F1" w:rsidRDefault="005F3429">
            <w:pPr>
              <w:pBdr>
                <w:top w:val="single" w:sz="6" w:space="0" w:color="FFFFFF"/>
                <w:left w:val="single" w:sz="6" w:space="0" w:color="FFFFFF"/>
                <w:bottom w:val="single" w:sz="6" w:space="0" w:color="FFFFFF"/>
                <w:right w:val="single" w:sz="6" w:space="0" w:color="FFFFFF"/>
              </w:pBdr>
              <w:spacing w:after="73"/>
            </w:pPr>
            <w:r w:rsidRPr="00D101F1">
              <w:t>Research Centers</w:t>
            </w:r>
          </w:p>
        </w:tc>
        <w:tc>
          <w:tcPr>
            <w:tcW w:w="1325" w:type="dxa"/>
            <w:tcBorders>
              <w:top w:val="single" w:sz="7" w:space="0" w:color="000000"/>
              <w:left w:val="single" w:sz="7" w:space="0" w:color="000000"/>
              <w:bottom w:val="single" w:sz="7" w:space="0" w:color="000000"/>
              <w:right w:val="single" w:sz="6" w:space="0" w:color="FFFFFF"/>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73"/>
              <w:jc w:val="center"/>
            </w:pPr>
            <w:r w:rsidRPr="00D101F1">
              <w:t>8221</w:t>
            </w:r>
          </w:p>
        </w:tc>
        <w:tc>
          <w:tcPr>
            <w:tcW w:w="1699" w:type="dxa"/>
            <w:tcBorders>
              <w:top w:val="single" w:sz="7" w:space="0" w:color="000000"/>
              <w:left w:val="single" w:sz="7" w:space="0" w:color="000000"/>
              <w:bottom w:val="single" w:sz="7" w:space="0" w:color="000000"/>
              <w:right w:val="single" w:sz="7" w:space="0" w:color="000000"/>
            </w:tcBorders>
          </w:tcPr>
          <w:p w:rsidR="005F3429" w:rsidRPr="00D101F1" w:rsidRDefault="005F3429" w:rsidP="002B3846">
            <w:pPr>
              <w:spacing w:line="120" w:lineRule="exact"/>
              <w:jc w:val="center"/>
            </w:pPr>
          </w:p>
          <w:p w:rsidR="005F3429" w:rsidRPr="00D101F1" w:rsidRDefault="005F3429" w:rsidP="00A36CBE">
            <w:pPr>
              <w:pBdr>
                <w:top w:val="single" w:sz="6" w:space="0" w:color="FFFFFF"/>
                <w:left w:val="single" w:sz="6" w:space="0" w:color="FFFFFF"/>
                <w:bottom w:val="single" w:sz="6" w:space="0" w:color="FFFFFF"/>
                <w:right w:val="single" w:sz="6" w:space="0" w:color="FFFFFF"/>
              </w:pBdr>
              <w:spacing w:after="73"/>
              <w:jc w:val="center"/>
            </w:pPr>
            <w:r w:rsidRPr="00D101F1">
              <w:t>6113</w:t>
            </w:r>
          </w:p>
        </w:tc>
      </w:tr>
    </w:tbl>
    <w:p w:rsidR="00CA4CD6" w:rsidRPr="00D101F1" w:rsidRDefault="00CA4CD6">
      <w:pPr>
        <w:pBdr>
          <w:top w:val="single" w:sz="6" w:space="0" w:color="FFFFFF"/>
          <w:left w:val="single" w:sz="6" w:space="0" w:color="FFFFFF"/>
          <w:bottom w:val="single" w:sz="6" w:space="0" w:color="FFFFFF"/>
          <w:right w:val="single" w:sz="6" w:space="0" w:color="FFFFFF"/>
        </w:pBdr>
      </w:pPr>
      <w:r w:rsidRPr="00D101F1">
        <w:t xml:space="preserve">  </w:t>
      </w: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4(b</w:t>
      </w:r>
      <w:proofErr w:type="gramStart"/>
      <w:r w:rsidRPr="00D101F1">
        <w:rPr>
          <w:b/>
          <w:bCs/>
        </w:rPr>
        <w:t>)  Information</w:t>
      </w:r>
      <w:proofErr w:type="gramEnd"/>
      <w:r w:rsidRPr="00D101F1">
        <w:rPr>
          <w:b/>
          <w:bCs/>
        </w:rPr>
        <w:t xml:space="preserve"> Requested</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1440"/>
      </w:pPr>
      <w:r w:rsidRPr="00D101F1">
        <w:rPr>
          <w:b/>
          <w:bCs/>
        </w:rPr>
        <w:t>(</w:t>
      </w:r>
      <w:proofErr w:type="spellStart"/>
      <w:r w:rsidRPr="00D101F1">
        <w:rPr>
          <w:b/>
          <w:bCs/>
        </w:rPr>
        <w:t>i</w:t>
      </w:r>
      <w:proofErr w:type="spellEnd"/>
      <w:r w:rsidRPr="00D101F1">
        <w:rPr>
          <w:b/>
          <w:bCs/>
        </w:rPr>
        <w:t>)  Data Items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817E8B" w:rsidP="00E43FC7">
      <w:pPr>
        <w:pBdr>
          <w:top w:val="single" w:sz="6" w:space="0" w:color="FFFFFF"/>
          <w:left w:val="single" w:sz="6" w:space="0" w:color="FFFFFF"/>
          <w:bottom w:val="single" w:sz="6" w:space="0" w:color="FFFFFF"/>
          <w:right w:val="single" w:sz="6" w:space="0" w:color="FFFFFF"/>
        </w:pBdr>
        <w:ind w:firstLine="720"/>
      </w:pPr>
      <w:r w:rsidRPr="00D101F1">
        <w:t>I</w:t>
      </w:r>
      <w:r w:rsidR="00CA4CD6" w:rsidRPr="00D101F1">
        <w:t>n this ICR</w:t>
      </w:r>
      <w:r w:rsidRPr="00D101F1">
        <w:t>, all the data</w:t>
      </w:r>
      <w:r w:rsidR="00CA4CD6" w:rsidRPr="00D101F1">
        <w:t xml:space="preserve"> </w:t>
      </w:r>
      <w:r w:rsidRPr="00D101F1">
        <w:t xml:space="preserve">that is </w:t>
      </w:r>
      <w:r w:rsidR="00CA4CD6" w:rsidRPr="00D101F1">
        <w:t xml:space="preserve">recorded or reported </w:t>
      </w:r>
      <w:r w:rsidRPr="00D101F1">
        <w:t>is</w:t>
      </w:r>
      <w:r w:rsidR="00CA4CD6" w:rsidRPr="00D101F1">
        <w:t xml:space="preserve"> required by</w:t>
      </w:r>
      <w:r w:rsidR="005F3429" w:rsidRPr="00D101F1">
        <w:t xml:space="preserve"> the Emission Guidelines for Commercial and Industrial Solid Waste Incineration Units (40 CFR Part 60, Subpart DDDD).</w:t>
      </w:r>
      <w:r w:rsidR="00CA4CD6" w:rsidRPr="00D101F1">
        <w:t>A source must make the following reports:</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7020"/>
        <w:gridCol w:w="2340"/>
      </w:tblGrid>
      <w:tr w:rsidR="005F3429" w:rsidRPr="00D101F1" w:rsidTr="002B3846">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5F3429" w:rsidRPr="00D101F1" w:rsidRDefault="005F3429" w:rsidP="00B15389">
            <w:pPr>
              <w:keepNext/>
              <w:jc w:val="center"/>
            </w:pPr>
            <w:r w:rsidRPr="00D101F1">
              <w:rPr>
                <w:b/>
              </w:rPr>
              <w:t>Notifications/Reports</w:t>
            </w:r>
          </w:p>
        </w:tc>
      </w:tr>
      <w:tr w:rsidR="000C6C13"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Notification of construction/reconstruction</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60.7(a)(1)</w:t>
            </w:r>
          </w:p>
        </w:tc>
      </w:tr>
      <w:tr w:rsidR="000C6C13"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0C6C13">
            <w:pPr>
              <w:keepNext/>
            </w:pPr>
            <w:r w:rsidRPr="00D101F1">
              <w:t>Notification of initial startup date</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60.7(a)(3)</w:t>
            </w:r>
          </w:p>
        </w:tc>
      </w:tr>
      <w:tr w:rsidR="000C6C13"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Notification of physical or operational change</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60.7(a)(4)</w:t>
            </w:r>
          </w:p>
        </w:tc>
      </w:tr>
      <w:tr w:rsidR="000C6C13"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Notification of demonstration date of continuous monitoring system performance</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60.7(a)(5)</w:t>
            </w:r>
          </w:p>
        </w:tc>
      </w:tr>
      <w:tr w:rsidR="000C6C13"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575448">
            <w:pPr>
              <w:keepNext/>
            </w:pPr>
            <w:r w:rsidRPr="00D101F1">
              <w:t>Notification of anticipated date for conducting opacity observations</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60.7(a)(6)</w:t>
            </w:r>
          </w:p>
        </w:tc>
      </w:tr>
      <w:tr w:rsidR="000C6C13"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Notification of use of continuous opacity monitoring system data</w:t>
            </w:r>
            <w:r w:rsidR="00575448" w:rsidRPr="00D101F1">
              <w:t xml:space="preserve"> results </w:t>
            </w:r>
            <w:r w:rsidRPr="00D101F1">
              <w:t>to determine compliance with opacity standard during performance test</w:t>
            </w:r>
            <w:r w:rsidR="00575448" w:rsidRPr="00D101F1">
              <w:t>ing.</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824E91">
            <w:pPr>
              <w:keepNext/>
            </w:pPr>
            <w:r w:rsidRPr="00D101F1">
              <w:t>60.7(a)(7)</w:t>
            </w:r>
          </w:p>
        </w:tc>
      </w:tr>
      <w:tr w:rsidR="000C6C13"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B15389">
            <w:pPr>
              <w:keepNext/>
            </w:pPr>
            <w:r w:rsidRPr="00D101F1">
              <w:t>Notification of final control plan</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2A707D">
            <w:pPr>
              <w:keepNext/>
            </w:pPr>
            <w:r w:rsidRPr="00D101F1">
              <w:t>60.2575</w:t>
            </w:r>
            <w:r w:rsidR="007C2ED1" w:rsidRPr="00D101F1">
              <w:t>,</w:t>
            </w:r>
            <w:r w:rsidRPr="00D101F1">
              <w:t xml:space="preserve"> 60.2600</w:t>
            </w:r>
            <w:r w:rsidR="007C2ED1" w:rsidRPr="00D101F1">
              <w:t>, 60.2610</w:t>
            </w:r>
          </w:p>
        </w:tc>
      </w:tr>
      <w:tr w:rsidR="000C6C13"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2B3846">
            <w:r w:rsidRPr="00D101F1">
              <w:t>Notification of final compliance</w:t>
            </w:r>
            <w:r w:rsidR="00575448" w:rsidRPr="00D101F1">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0C6C13" w:rsidRPr="00D101F1" w:rsidRDefault="000C6C13" w:rsidP="002A707D">
            <w:r w:rsidRPr="00D101F1">
              <w:t>60.2575</w:t>
            </w:r>
            <w:r w:rsidR="007C2ED1" w:rsidRPr="00D101F1">
              <w:t xml:space="preserve">, </w:t>
            </w:r>
            <w:r w:rsidRPr="00D101F1">
              <w:t>60.2605</w:t>
            </w:r>
            <w:r w:rsidR="002A707D">
              <w:t>,</w:t>
            </w:r>
            <w:r w:rsidR="007C2ED1" w:rsidRPr="00D101F1">
              <w:t xml:space="preserve"> 60.2610</w:t>
            </w:r>
          </w:p>
        </w:tc>
      </w:tr>
      <w:tr w:rsidR="00A561F1"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764F0">
            <w:r w:rsidRPr="00D101F1">
              <w:t>Notifications until increments of progress are met.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764F0">
            <w:r w:rsidRPr="00D101F1">
              <w:t>60.2595</w:t>
            </w:r>
          </w:p>
        </w:tc>
      </w:tr>
      <w:tr w:rsidR="00A561F1"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764F0">
            <w:r w:rsidRPr="00D101F1">
              <w:lastRenderedPageBreak/>
              <w:t>Notification of closure.</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764F0">
            <w:r w:rsidRPr="00D101F1">
              <w:t>60.2615</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Waste management plan.</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 xml:space="preserve">60.2755 </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Initial and subsequent performance test reports.</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60.2760</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Annual report.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E62532">
            <w:r w:rsidRPr="00D101F1">
              <w:t>60.2765</w:t>
            </w:r>
            <w:r w:rsidR="00E62532">
              <w:t>,</w:t>
            </w:r>
            <w:r w:rsidRPr="00D101F1">
              <w:t xml:space="preserve"> 60.2770</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Emission limitation or operating limit deviation report.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E62532">
            <w:r w:rsidRPr="00D101F1">
              <w:t>60.2775</w:t>
            </w:r>
            <w:r w:rsidR="00E62532">
              <w:t>,</w:t>
            </w:r>
            <w:r w:rsidRPr="00D101F1">
              <w:t xml:space="preserve"> 60.2780</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Qualified operator deviation notification.</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60.2785(a)(1)</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4F0CCC">
            <w:r w:rsidRPr="00D101F1">
              <w:t>Qualified operator deviation status report.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60.2785(a)(2)</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4F0CCC">
            <w:r w:rsidRPr="00D101F1">
              <w:t>Qualified operator deviation notification of resumed operation.</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2B3846">
            <w:r w:rsidRPr="00D101F1">
              <w:t>60.2785(b)</w:t>
            </w:r>
          </w:p>
        </w:tc>
      </w:tr>
      <w:tr w:rsidR="00A561F1" w:rsidRPr="00D101F1" w:rsidTr="00A764F0">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764F0">
            <w:r w:rsidRPr="00D101F1">
              <w:t>Notification of waste-to-fuel switch.</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E62532">
            <w:r w:rsidRPr="00D101F1">
              <w:t>60.2710(a)(4)</w:t>
            </w:r>
            <w:r w:rsidR="00E62532">
              <w:t>,</w:t>
            </w:r>
            <w:r w:rsidRPr="00D101F1">
              <w:t xml:space="preserve"> 60.2790(b)</w:t>
            </w:r>
          </w:p>
        </w:tc>
      </w:tr>
      <w:tr w:rsidR="00A561F1" w:rsidRPr="00D101F1" w:rsidTr="002B3846">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349B5">
            <w:r w:rsidRPr="00D101F1">
              <w:t>Notification of air curtain incinerator closure.</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A561F1" w:rsidRPr="00D101F1" w:rsidRDefault="00A561F1" w:rsidP="00A349B5">
            <w:r w:rsidRPr="00D101F1">
              <w:t>60.2855</w:t>
            </w:r>
          </w:p>
        </w:tc>
      </w:tr>
    </w:tbl>
    <w:p w:rsidR="00CA4CD6" w:rsidRPr="00D101F1" w:rsidRDefault="00CA4CD6" w:rsidP="00161AE0">
      <w:pPr>
        <w:pBdr>
          <w:top w:val="single" w:sz="6" w:space="0" w:color="FFFFFF"/>
          <w:left w:val="single" w:sz="6" w:space="0" w:color="FFFFFF"/>
          <w:bottom w:val="single" w:sz="6" w:space="0" w:color="FFFFFF"/>
          <w:right w:val="single" w:sz="6" w:space="0" w:color="FFFFFF"/>
        </w:pBdr>
      </w:pPr>
    </w:p>
    <w:p w:rsidR="00CA4CD6" w:rsidRPr="00D101F1" w:rsidRDefault="00CA4CD6" w:rsidP="00A561F1">
      <w:pPr>
        <w:keepNext/>
        <w:pBdr>
          <w:top w:val="single" w:sz="6" w:space="0" w:color="FFFFFF"/>
          <w:left w:val="single" w:sz="6" w:space="0" w:color="FFFFFF"/>
          <w:bottom w:val="single" w:sz="6" w:space="0" w:color="FFFFFF"/>
          <w:right w:val="single" w:sz="6" w:space="0" w:color="FFFFFF"/>
        </w:pBdr>
        <w:ind w:firstLine="720"/>
      </w:pPr>
      <w:r w:rsidRPr="00D101F1">
        <w:t>A source must keep the following records:</w:t>
      </w:r>
    </w:p>
    <w:p w:rsidR="005F3429" w:rsidRPr="00D101F1" w:rsidRDefault="005F3429" w:rsidP="00A561F1">
      <w:pPr>
        <w:keepNext/>
        <w:pBdr>
          <w:top w:val="single" w:sz="6" w:space="0" w:color="FFFFFF"/>
          <w:left w:val="single" w:sz="6" w:space="0" w:color="FFFFFF"/>
          <w:bottom w:val="single" w:sz="6" w:space="0" w:color="FFFFFF"/>
          <w:right w:val="single" w:sz="6" w:space="0" w:color="FFFFFF"/>
        </w:pBdr>
        <w:ind w:firstLine="720"/>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6840"/>
        <w:gridCol w:w="2520"/>
      </w:tblGrid>
      <w:tr w:rsidR="005F3429" w:rsidRPr="00D101F1" w:rsidTr="002B3846">
        <w:trPr>
          <w:cantSplit/>
          <w:tblHeader/>
          <w:jc w:val="center"/>
        </w:trPr>
        <w:tc>
          <w:tcPr>
            <w:tcW w:w="9360" w:type="dxa"/>
            <w:gridSpan w:val="2"/>
            <w:tcMar>
              <w:top w:w="120" w:type="dxa"/>
              <w:left w:w="120" w:type="dxa"/>
              <w:bottom w:w="58" w:type="dxa"/>
              <w:right w:w="120" w:type="dxa"/>
            </w:tcMar>
          </w:tcPr>
          <w:p w:rsidR="005F3429" w:rsidRPr="00D101F1" w:rsidRDefault="005F3429" w:rsidP="00A561F1">
            <w:pPr>
              <w:keepNext/>
              <w:jc w:val="center"/>
            </w:pPr>
            <w:r w:rsidRPr="00D101F1">
              <w:rPr>
                <w:b/>
              </w:rPr>
              <w:t>Recordkeeping</w:t>
            </w:r>
          </w:p>
        </w:tc>
      </w:tr>
      <w:tr w:rsidR="00547A42"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547A42" w:rsidRPr="00D101F1" w:rsidRDefault="00547A42" w:rsidP="00575448">
            <w:r w:rsidRPr="00D101F1">
              <w:t>Maintain records of startups, shutdowns, or malfunctions.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547A42" w:rsidRPr="00D101F1" w:rsidRDefault="00547A42" w:rsidP="00575448">
            <w:r w:rsidRPr="00D101F1">
              <w:t>60.7(b)</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Retain records for five years.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60.2740</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Maintain calendar date of each record.</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60.2740(a)</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Maintain records of operating parameters.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60.2740(b)</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5B7CAD">
            <w:r w:rsidRPr="00D101F1">
              <w:t>Maintain records of dates when deviation from operating limits has occurred, including reasons for deviations and descriptions of corrective actions taken.</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2B3846">
            <w:r w:rsidRPr="00D101F1">
              <w:t>60.2740(e)</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5B7CAD">
            <w:r w:rsidRPr="00D101F1">
              <w:t>Maintain records of initial, annual, and any subsequent performance tests.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4F0CCC">
            <w:r w:rsidRPr="00D101F1">
              <w:t>60.2740(f)</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5B7CAD">
            <w:r w:rsidRPr="00D101F1">
              <w:t>Maintain records of CISWI unit operators who have completed the operator training requirements.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2B3846">
            <w:r w:rsidRPr="00D101F1">
              <w:t>60.2740(h)</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5B7CAD">
            <w:r w:rsidRPr="00D101F1">
              <w:t>Maintain records of phone and/or pager numbers of CISWI unit operators having met the operator qualification criteria.</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2B3846">
            <w:r w:rsidRPr="00D101F1">
              <w:t>60.2740(</w:t>
            </w:r>
            <w:proofErr w:type="spellStart"/>
            <w:r w:rsidRPr="00D101F1">
              <w:t>i</w:t>
            </w:r>
            <w:proofErr w:type="spellEnd"/>
            <w:r w:rsidRPr="00D101F1">
              <w:t>)</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5B7CAD">
            <w:r w:rsidRPr="00D101F1">
              <w:t>Maintain records of monitoring device calibrations.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8B155C" w:rsidP="002B3846">
            <w:r>
              <w:t xml:space="preserve">60.7(f), </w:t>
            </w:r>
            <w:r w:rsidR="00A561F1" w:rsidRPr="00D101F1">
              <w:t>60.2740(j)</w:t>
            </w:r>
          </w:p>
        </w:tc>
      </w:tr>
      <w:tr w:rsidR="00A561F1" w:rsidRPr="00D101F1" w:rsidTr="007B77EC">
        <w:trPr>
          <w:cantSplit/>
          <w:trHeight w:val="763"/>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E71AC9">
            <w:r w:rsidRPr="00D101F1">
              <w:lastRenderedPageBreak/>
              <w:t>Maintain records of equipment vendor specifications and operation and maintenance requirements for incinerators, emission controls, and monitoring equipment.</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2B3846">
            <w:r w:rsidRPr="00D101F1">
              <w:t>60.2740(k)</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547A42">
            <w:r w:rsidRPr="00D101F1">
              <w:t>Maintain records of site-specific procedures; CISWI unit operator review of site-specific procedures; and operator training documentation and contact information.</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7B77EC">
            <w:pPr>
              <w:rPr>
                <w:highlight w:val="cyan"/>
              </w:rPr>
            </w:pPr>
            <w:r w:rsidRPr="00D101F1">
              <w:t xml:space="preserve">60.2660(a), </w:t>
            </w:r>
            <w:r w:rsidR="007B77EC">
              <w:t>60.2740(l),</w:t>
            </w:r>
            <w:r w:rsidR="00171876">
              <w:t xml:space="preserve">  </w:t>
            </w:r>
            <w:r w:rsidRPr="00D101F1">
              <w:t xml:space="preserve">60.2660(c), 60.2740(g)  </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2B3846">
            <w:r w:rsidRPr="00D101F1">
              <w:t>Maintain records of daily log of quantity and types of waste burned.</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2B3846">
            <w:r w:rsidRPr="00D101F1">
              <w:t>60.2740(m)</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BC33AC">
            <w:r w:rsidRPr="00D101F1">
              <w:t>Maintain records of annual inspections of air pollution control devices, any required maintenance, and any repairs not completed within the established timeframe.</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472F94">
            <w:r w:rsidRPr="00D101F1">
              <w:t>60.2740(n)</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FF309E">
            <w:r w:rsidRPr="00D101F1">
              <w:t>Maintain records of continuous monitoring systems parameter measurements.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7B77EC">
            <w:r w:rsidRPr="00D101F1">
              <w:t>60.7(f)</w:t>
            </w:r>
            <w:r w:rsidR="007B77EC">
              <w:t>,</w:t>
            </w:r>
            <w:r w:rsidRPr="00D101F1">
              <w:t xml:space="preserve"> 60.2740(</w:t>
            </w:r>
            <w:r w:rsidR="007B77EC">
              <w:t>o</w:t>
            </w:r>
            <w:r w:rsidRPr="00D101F1">
              <w:t>)</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t>Maintain records indicating date, time, and duration of bypass stack use.</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A764F0">
            <w:r w:rsidRPr="00D101F1" w:rsidDel="00575448">
              <w:t>60.2740(p)</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6329A0">
            <w:r w:rsidRPr="00D101F1">
              <w:t xml:space="preserve">Maintain annual records showing previous stack test emission was below 75 percent of applicable </w:t>
            </w:r>
            <w:r w:rsidR="00D25E0D" w:rsidRPr="00D101F1">
              <w:t>limit</w:t>
            </w:r>
            <w:r w:rsidRPr="00D101F1">
              <w:t xml:space="preserve"> and that no source operation changes occurred that would increase emissions within the past</w:t>
            </w:r>
            <w:r w:rsidR="00161AE0">
              <w:t xml:space="preserve"> year.</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8C33AA">
            <w:r w:rsidRPr="00D101F1">
              <w:t>60.2740(q)</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8C33AA">
            <w:r w:rsidRPr="00D101F1">
              <w:t>Maintain records of occurrence and duration of process equipment, air control, or monitoring equipment malfunctions.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8C33AA">
            <w:r w:rsidRPr="00D101F1">
              <w:t>60.2740(r)</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8C33AA">
            <w:r w:rsidRPr="00D101F1">
              <w:t>Maintain records of all required maintenance performed on air pollution control and monitoring equipment.</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8C33AA">
            <w:r w:rsidRPr="00D101F1">
              <w:t>60.2740(s)</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6329A0">
            <w:r w:rsidRPr="00D101F1">
              <w:t>Maintain records of actions taken to minimize emissions from process, air pollution control, and monitoring equipment during periods of malfunction.</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6329A0">
            <w:r w:rsidRPr="00D101F1">
              <w:t>60.2740(t)</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4F0CCC">
            <w:r w:rsidRPr="00D101F1">
              <w:t>Maintain records showing how non-hazardous secondary materials meet legitimacy criteria or petition process requirements, or showing how materials are listed as non-wastes.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4F0CCC">
            <w:r w:rsidRPr="00D101F1">
              <w:t>60.2740(u)</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BB3FA0">
            <w:r w:rsidRPr="00D101F1">
              <w:t>Maintain records of criteria establishing unit qualification as a small power production facility, and that proposed waste materials are homogeneous.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6329A0">
            <w:r w:rsidRPr="00D101F1">
              <w:t>60.2740(v)</w:t>
            </w:r>
          </w:p>
        </w:tc>
      </w:tr>
      <w:tr w:rsidR="00A561F1" w:rsidRPr="00D101F1" w:rsidTr="007B77EC">
        <w:trPr>
          <w:cantSplit/>
          <w:jc w:val="center"/>
        </w:trPr>
        <w:tc>
          <w:tcPr>
            <w:tcW w:w="68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BB3FA0">
            <w:r w:rsidRPr="00D101F1">
              <w:t>Maintain records of criteria establishing unit qualification as a cogeneration facility, and that proposed waste materials are homogeneous.</w:t>
            </w:r>
          </w:p>
        </w:tc>
        <w:tc>
          <w:tcPr>
            <w:tcW w:w="25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561F1" w:rsidRPr="00D101F1" w:rsidRDefault="00A561F1" w:rsidP="004F0CCC">
            <w:r w:rsidRPr="00D101F1">
              <w:t>60.2740(w)</w:t>
            </w:r>
          </w:p>
        </w:tc>
      </w:tr>
    </w:tbl>
    <w:p w:rsidR="00CA4CD6" w:rsidRPr="00D101F1" w:rsidRDefault="00CA4CD6">
      <w:pPr>
        <w:pBdr>
          <w:top w:val="single" w:sz="6" w:space="0" w:color="FFFFFF"/>
          <w:left w:val="single" w:sz="6" w:space="0" w:color="FFFFFF"/>
          <w:bottom w:val="single" w:sz="6" w:space="0" w:color="FFFFFF"/>
          <w:right w:val="single" w:sz="6" w:space="0" w:color="FFFFFF"/>
        </w:pBdr>
      </w:pPr>
      <w:r w:rsidRPr="00D101F1">
        <w:rPr>
          <w:u w:val="single"/>
        </w:rPr>
        <w:lastRenderedPageBreak/>
        <w:t>Electronic Reporting</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2743D2">
      <w:pPr>
        <w:pBdr>
          <w:top w:val="single" w:sz="6" w:space="0" w:color="FFFFFF"/>
          <w:left w:val="single" w:sz="6" w:space="0" w:color="FFFFFF"/>
          <w:bottom w:val="single" w:sz="6" w:space="0" w:color="FFFFFF"/>
          <w:right w:val="single" w:sz="6" w:space="0" w:color="FFFFFF"/>
        </w:pBdr>
        <w:ind w:firstLine="720"/>
      </w:pPr>
      <w:r w:rsidRPr="00D101F1">
        <w:t>Some of the r</w:t>
      </w:r>
      <w:r w:rsidR="00CA4CD6" w:rsidRPr="00D101F1">
        <w:t xml:space="preserve">espondents are using monitoring equipment that automatically records parameter data.  Although personnel at the affected facility must </w:t>
      </w:r>
      <w:r w:rsidRPr="00D101F1">
        <w:t xml:space="preserve">still </w:t>
      </w:r>
      <w:r w:rsidR="00CA4CD6" w:rsidRPr="00D101F1">
        <w:t xml:space="preserve">evaluate the data, internal automation has significantly reduced the burden associated with monitoring and recordkeeping at </w:t>
      </w:r>
      <w:r w:rsidRPr="00D101F1">
        <w:t>a</w:t>
      </w:r>
      <w:r w:rsidR="00CA4CD6" w:rsidRPr="00D101F1">
        <w:t xml:space="preserve"> plant site.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Also, regulatory agencies</w:t>
      </w:r>
      <w:r w:rsidR="001F62D4" w:rsidRPr="00D101F1">
        <w:t>,</w:t>
      </w:r>
      <w:r w:rsidRPr="00D101F1">
        <w:t xml:space="preserve">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rsidP="00A561F1">
      <w:pPr>
        <w:keepNext/>
        <w:pBdr>
          <w:top w:val="single" w:sz="6" w:space="0" w:color="FFFFFF"/>
          <w:left w:val="single" w:sz="6" w:space="0" w:color="FFFFFF"/>
          <w:bottom w:val="single" w:sz="6" w:space="0" w:color="FFFFFF"/>
          <w:right w:val="single" w:sz="6" w:space="0" w:color="FFFFFF"/>
        </w:pBdr>
        <w:ind w:firstLine="1440"/>
        <w:rPr>
          <w:b/>
          <w:bCs/>
        </w:rPr>
      </w:pPr>
      <w:r w:rsidRPr="00D101F1">
        <w:rPr>
          <w:b/>
          <w:bCs/>
        </w:rPr>
        <w:t>(ii)  Respondent Activities</w:t>
      </w:r>
      <w:r w:rsidRPr="00D101F1">
        <w:rPr>
          <w:b/>
          <w:bCs/>
        </w:rPr>
        <w:tab/>
      </w:r>
    </w:p>
    <w:p w:rsidR="00CA4CD6" w:rsidRPr="00D101F1" w:rsidRDefault="00CA4CD6" w:rsidP="00A561F1">
      <w:pPr>
        <w:keepNext/>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D101F1">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rsidP="00A561F1">
            <w:pPr>
              <w:keepNext/>
              <w:spacing w:line="120" w:lineRule="exact"/>
            </w:pPr>
          </w:p>
          <w:p w:rsidR="00CA4CD6" w:rsidRPr="00D101F1" w:rsidRDefault="00CA4CD6" w:rsidP="00A561F1">
            <w:pPr>
              <w:keepNext/>
              <w:pBdr>
                <w:top w:val="single" w:sz="6" w:space="0" w:color="FFFFFF"/>
                <w:left w:val="single" w:sz="6" w:space="0" w:color="FFFFFF"/>
                <w:bottom w:val="single" w:sz="6" w:space="0" w:color="FFFFFF"/>
                <w:right w:val="single" w:sz="6" w:space="0" w:color="FFFFFF"/>
              </w:pBdr>
              <w:spacing w:after="55"/>
              <w:jc w:val="center"/>
              <w:rPr>
                <w:b/>
                <w:bCs/>
              </w:rPr>
            </w:pPr>
            <w:r w:rsidRPr="00D101F1">
              <w:rPr>
                <w:b/>
                <w:bCs/>
              </w:rPr>
              <w:t>Respondent Activities</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rsidP="00A561F1">
            <w:pPr>
              <w:keepNext/>
              <w:spacing w:line="120" w:lineRule="exact"/>
              <w:rPr>
                <w:b/>
                <w:bCs/>
              </w:rPr>
            </w:pPr>
          </w:p>
          <w:p w:rsidR="00CA4CD6" w:rsidRPr="00D101F1" w:rsidRDefault="00CA4CD6" w:rsidP="00A561F1">
            <w:pPr>
              <w:keepNext/>
              <w:pBdr>
                <w:top w:val="single" w:sz="6" w:space="0" w:color="FFFFFF"/>
                <w:left w:val="single" w:sz="6" w:space="0" w:color="FFFFFF"/>
                <w:bottom w:val="single" w:sz="6" w:space="0" w:color="FFFFFF"/>
                <w:right w:val="single" w:sz="6" w:space="0" w:color="FFFFFF"/>
              </w:pBdr>
              <w:spacing w:after="55"/>
            </w:pPr>
            <w:r w:rsidRPr="00D101F1">
              <w:t>Read instructions.</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rsidP="00A561F1">
            <w:pPr>
              <w:keepNext/>
              <w:spacing w:line="120" w:lineRule="exact"/>
            </w:pPr>
          </w:p>
          <w:p w:rsidR="00CA4CD6" w:rsidRPr="00D101F1" w:rsidRDefault="00D82CA1" w:rsidP="00A561F1">
            <w:pPr>
              <w:keepNext/>
              <w:pBdr>
                <w:top w:val="single" w:sz="6" w:space="0" w:color="FFFFFF"/>
                <w:left w:val="single" w:sz="6" w:space="0" w:color="FFFFFF"/>
                <w:bottom w:val="single" w:sz="6" w:space="0" w:color="FFFFFF"/>
                <w:right w:val="single" w:sz="6" w:space="0" w:color="FFFFFF"/>
              </w:pBdr>
              <w:spacing w:after="55"/>
            </w:pPr>
            <w:r w:rsidRPr="00D101F1">
              <w:t>Install, calibrate, maintain, and operate</w:t>
            </w:r>
            <w:r w:rsidR="00A561F1" w:rsidRPr="00D101F1">
              <w:t xml:space="preserve"> pollutant</w:t>
            </w:r>
            <w:r w:rsidRPr="00D101F1">
              <w:t xml:space="preserve"> control devices</w:t>
            </w:r>
            <w:r w:rsidR="00A561F1" w:rsidRPr="00D101F1">
              <w:t>.</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D82CA1" w:rsidP="005F3429">
            <w:pPr>
              <w:pBdr>
                <w:top w:val="single" w:sz="6" w:space="0" w:color="FFFFFF"/>
                <w:left w:val="single" w:sz="6" w:space="0" w:color="FFFFFF"/>
                <w:bottom w:val="single" w:sz="6" w:space="0" w:color="FFFFFF"/>
                <w:right w:val="single" w:sz="6" w:space="0" w:color="FFFFFF"/>
              </w:pBdr>
              <w:spacing w:after="55"/>
            </w:pPr>
            <w:r w:rsidRPr="00D101F1">
              <w:t xml:space="preserve"> Perform initial and annual performance tests.</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5"/>
            </w:pPr>
            <w:r w:rsidRPr="00D101F1">
              <w:t>Write the notifications and reports listed above.</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5"/>
            </w:pPr>
            <w:r w:rsidRPr="00D101F1">
              <w:t>Enter information required to be recorded above.</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5"/>
            </w:pPr>
            <w:r w:rsidRPr="00D101F1">
              <w:t>Submit the required reports developing, acquiring, installing, and utilizing technology and systems for the purpose of collecting, validating, and verifying information.</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5"/>
            </w:pPr>
            <w:r w:rsidRPr="00D101F1">
              <w:t>Develop, acquire, install, and utilize technology and systems for the purpose of processing and maintaining information.</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5"/>
            </w:pPr>
            <w:r w:rsidRPr="00D101F1">
              <w:t>Develop, acquire, install, and utilize technology and systems for the purpose of disclosing and providing information.</w:t>
            </w:r>
          </w:p>
        </w:tc>
      </w:tr>
      <w:tr w:rsidR="00CA4CD6" w:rsidRPr="00D101F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5"/>
            </w:pPr>
            <w:r w:rsidRPr="00D101F1">
              <w:t>Train personnel to be able to respond to a collection of information.</w:t>
            </w:r>
          </w:p>
        </w:tc>
      </w:tr>
      <w:tr w:rsidR="00CA4CD6" w:rsidRPr="00D101F1">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D101F1" w:rsidRDefault="00CA4CD6">
            <w:pPr>
              <w:spacing w:line="120" w:lineRule="exact"/>
            </w:pPr>
          </w:p>
          <w:p w:rsidR="00CA4CD6" w:rsidRPr="00D101F1" w:rsidRDefault="00811441">
            <w:pPr>
              <w:pBdr>
                <w:top w:val="single" w:sz="6" w:space="0" w:color="FFFFFF"/>
                <w:left w:val="single" w:sz="6" w:space="0" w:color="FFFFFF"/>
                <w:bottom w:val="single" w:sz="6" w:space="0" w:color="FFFFFF"/>
                <w:right w:val="single" w:sz="6" w:space="0" w:color="FFFFFF"/>
              </w:pBdr>
              <w:spacing w:after="74"/>
            </w:pPr>
            <w:r w:rsidRPr="00D101F1">
              <w:t>Transmit</w:t>
            </w:r>
            <w:r w:rsidR="00CA4CD6" w:rsidRPr="00D101F1">
              <w:t xml:space="preserve"> or otherwise disclose the information.</w:t>
            </w:r>
          </w:p>
        </w:tc>
      </w:tr>
    </w:tbl>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D82CA1" w:rsidP="00D82CA1">
      <w:pPr>
        <w:pBdr>
          <w:top w:val="single" w:sz="6" w:space="0" w:color="FFFFFF"/>
          <w:left w:val="single" w:sz="6" w:space="0" w:color="FFFFFF"/>
          <w:bottom w:val="single" w:sz="6" w:space="0" w:color="FFFFFF"/>
          <w:right w:val="single" w:sz="6" w:space="0" w:color="FFFFFF"/>
        </w:pBdr>
        <w:ind w:firstLine="720"/>
      </w:pPr>
      <w:r w:rsidRPr="00D101F1">
        <w:t>Currently</w:t>
      </w:r>
      <w:r w:rsidR="00D504C7">
        <w:t>,</w:t>
      </w:r>
      <w:r w:rsidRPr="00D101F1">
        <w:t xml:space="preserve"> sources are using monitoring and reporting equipment that provide parameter data in an automated way </w:t>
      </w:r>
      <w:r w:rsidR="00D25E0D">
        <w:t>(</w:t>
      </w:r>
      <w:r w:rsidRPr="00D101F1">
        <w:t>e.g., continuous parameter monitoring system</w:t>
      </w:r>
      <w:r w:rsidR="00D25E0D">
        <w:t>)</w:t>
      </w:r>
      <w:r w:rsidRPr="00D101F1">
        <w:t>.  Although personnel at the source still need to evaluate the data, this type of monitoring equipment has significantly reduced the burden associated with monitoring and recordkeeping.</w:t>
      </w:r>
    </w:p>
    <w:p w:rsidR="00606DEF" w:rsidRPr="00D101F1" w:rsidRDefault="00606DEF">
      <w:pPr>
        <w:pBdr>
          <w:top w:val="single" w:sz="6" w:space="0" w:color="FFFFFF"/>
          <w:left w:val="single" w:sz="6" w:space="0" w:color="FFFFFF"/>
          <w:bottom w:val="single" w:sz="6" w:space="0" w:color="FFFFFF"/>
          <w:right w:val="single" w:sz="6" w:space="0" w:color="FFFFFF"/>
        </w:pBdr>
        <w:rPr>
          <w:b/>
          <w:bCs/>
        </w:rPr>
      </w:pPr>
    </w:p>
    <w:p w:rsidR="009D1AE1" w:rsidRDefault="009D1AE1">
      <w:pPr>
        <w:pBdr>
          <w:top w:val="single" w:sz="6" w:space="0" w:color="FFFFFF"/>
          <w:left w:val="single" w:sz="6" w:space="0" w:color="FFFFFF"/>
          <w:bottom w:val="single" w:sz="6" w:space="0" w:color="FFFFFF"/>
          <w:right w:val="single" w:sz="6" w:space="0" w:color="FFFFFF"/>
        </w:pBdr>
        <w:rPr>
          <w:b/>
          <w:bCs/>
        </w:rPr>
      </w:pPr>
    </w:p>
    <w:p w:rsidR="009D1AE1" w:rsidRDefault="009D1AE1">
      <w:pPr>
        <w:pBdr>
          <w:top w:val="single" w:sz="6" w:space="0" w:color="FFFFFF"/>
          <w:left w:val="single" w:sz="6" w:space="0" w:color="FFFFFF"/>
          <w:bottom w:val="single" w:sz="6" w:space="0" w:color="FFFFFF"/>
          <w:right w:val="single" w:sz="6" w:space="0" w:color="FFFFFF"/>
        </w:pBdr>
        <w:rPr>
          <w:b/>
          <w:bCs/>
        </w:rPr>
      </w:pPr>
    </w:p>
    <w:p w:rsidR="00CA4CD6" w:rsidRPr="00D101F1" w:rsidRDefault="00CA4CD6">
      <w:pPr>
        <w:pBdr>
          <w:top w:val="single" w:sz="6" w:space="0" w:color="FFFFFF"/>
          <w:left w:val="single" w:sz="6" w:space="0" w:color="FFFFFF"/>
          <w:bottom w:val="single" w:sz="6" w:space="0" w:color="FFFFFF"/>
          <w:right w:val="single" w:sz="6" w:space="0" w:color="FFFFFF"/>
        </w:pBdr>
        <w:rPr>
          <w:b/>
          <w:bCs/>
        </w:rPr>
      </w:pPr>
      <w:r w:rsidRPr="00D101F1">
        <w:rPr>
          <w:b/>
          <w:bCs/>
        </w:rPr>
        <w:lastRenderedPageBreak/>
        <w:t>5.  The Information Collected:  Agency Activities, Collection Methodology, and Information Management</w:t>
      </w:r>
    </w:p>
    <w:p w:rsidR="00CA4CD6" w:rsidRPr="00D101F1" w:rsidRDefault="00CA4CD6">
      <w:pPr>
        <w:pBdr>
          <w:top w:val="single" w:sz="6" w:space="0" w:color="FFFFFF"/>
          <w:left w:val="single" w:sz="6" w:space="0" w:color="FFFFFF"/>
          <w:bottom w:val="single" w:sz="6" w:space="0" w:color="FFFFFF"/>
          <w:right w:val="single" w:sz="6" w:space="0" w:color="FFFFFF"/>
        </w:pBdr>
        <w:rPr>
          <w:b/>
          <w:bCs/>
        </w:rP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5(a</w:t>
      </w:r>
      <w:proofErr w:type="gramStart"/>
      <w:r w:rsidRPr="00D101F1">
        <w:rPr>
          <w:b/>
          <w:bCs/>
        </w:rPr>
        <w:t>)  Agency</w:t>
      </w:r>
      <w:proofErr w:type="gramEnd"/>
      <w:r w:rsidRPr="00D101F1">
        <w:rPr>
          <w:b/>
          <w:bCs/>
        </w:rPr>
        <w:t xml:space="preserve"> Activities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EPA conducts the following activities in connection with the acquisition, analysis, storage, and distribution of the required information.</w:t>
      </w:r>
    </w:p>
    <w:p w:rsidR="00CA4CD6" w:rsidRPr="00D101F1"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D101F1">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101F1">
              <w:rPr>
                <w:b/>
                <w:bCs/>
              </w:rPr>
              <w:t>Agency Activities</w:t>
            </w:r>
          </w:p>
        </w:tc>
      </w:tr>
      <w:tr w:rsidR="00CA4CD6" w:rsidRPr="00D101F1">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2"/>
            </w:pPr>
            <w:r w:rsidRPr="00D101F1">
              <w:t>Review notifications and reports, including performance test reports, and excess emissions reports, required to be submitted by industry.</w:t>
            </w:r>
          </w:p>
        </w:tc>
      </w:tr>
      <w:tr w:rsidR="00D82CA1" w:rsidRPr="00D101F1" w:rsidTr="002B3846">
        <w:tc>
          <w:tcPr>
            <w:tcW w:w="9360" w:type="dxa"/>
            <w:tcBorders>
              <w:top w:val="single" w:sz="7" w:space="0" w:color="000000"/>
              <w:left w:val="single" w:sz="7" w:space="0" w:color="000000"/>
              <w:bottom w:val="single" w:sz="6" w:space="0" w:color="FFFFFF"/>
              <w:right w:val="single" w:sz="7" w:space="0" w:color="000000"/>
            </w:tcBorders>
          </w:tcPr>
          <w:p w:rsidR="00D82CA1" w:rsidRPr="00D101F1" w:rsidRDefault="00D82CA1" w:rsidP="002B3846">
            <w:pPr>
              <w:spacing w:line="120" w:lineRule="exact"/>
            </w:pPr>
          </w:p>
          <w:p w:rsidR="00D82CA1" w:rsidRPr="00D101F1" w:rsidRDefault="00D82CA1" w:rsidP="002B3846">
            <w:pPr>
              <w:pBdr>
                <w:top w:val="single" w:sz="6" w:space="0" w:color="FFFFFF"/>
                <w:left w:val="single" w:sz="6" w:space="0" w:color="FFFFFF"/>
                <w:bottom w:val="single" w:sz="6" w:space="0" w:color="FFFFFF"/>
                <w:right w:val="single" w:sz="6" w:space="0" w:color="FFFFFF"/>
              </w:pBdr>
              <w:spacing w:after="52"/>
            </w:pPr>
            <w:r w:rsidRPr="00D101F1">
              <w:t>Audit facility records.</w:t>
            </w:r>
          </w:p>
        </w:tc>
      </w:tr>
      <w:tr w:rsidR="00CA4CD6" w:rsidRPr="00D101F1">
        <w:tc>
          <w:tcPr>
            <w:tcW w:w="9360" w:type="dxa"/>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D82CA1">
            <w:pPr>
              <w:pBdr>
                <w:top w:val="single" w:sz="6" w:space="0" w:color="FFFFFF"/>
                <w:left w:val="single" w:sz="6" w:space="0" w:color="FFFFFF"/>
                <w:bottom w:val="single" w:sz="6" w:space="0" w:color="FFFFFF"/>
                <w:right w:val="single" w:sz="6" w:space="0" w:color="FFFFFF"/>
              </w:pBdr>
              <w:spacing w:after="52"/>
            </w:pPr>
            <w:r w:rsidRPr="00D101F1">
              <w:t xml:space="preserve">Input, analyze, and maintain data in the Online Tracking Information System (OTIS). </w:t>
            </w:r>
          </w:p>
        </w:tc>
      </w:tr>
      <w:tr w:rsidR="00CA4CD6" w:rsidRPr="00D101F1">
        <w:tc>
          <w:tcPr>
            <w:tcW w:w="9360" w:type="dxa"/>
            <w:tcBorders>
              <w:top w:val="single" w:sz="7" w:space="0" w:color="000000"/>
              <w:left w:val="single" w:sz="7" w:space="0" w:color="000000"/>
              <w:bottom w:val="single" w:sz="7" w:space="0" w:color="000000"/>
              <w:right w:val="single" w:sz="7" w:space="0" w:color="000000"/>
            </w:tcBorders>
          </w:tcPr>
          <w:p w:rsidR="00CA4CD6" w:rsidRPr="00D101F1" w:rsidRDefault="00CA4CD6">
            <w:pPr>
              <w:spacing w:line="120" w:lineRule="exact"/>
            </w:pPr>
          </w:p>
          <w:p w:rsidR="00CA4CD6" w:rsidRPr="00D101F1" w:rsidRDefault="00D82CA1" w:rsidP="004C701D">
            <w:pPr>
              <w:pBdr>
                <w:top w:val="single" w:sz="6" w:space="0" w:color="FFFFFF"/>
                <w:left w:val="single" w:sz="6" w:space="0" w:color="FFFFFF"/>
                <w:bottom w:val="single" w:sz="6" w:space="0" w:color="FFFFFF"/>
                <w:right w:val="single" w:sz="6" w:space="0" w:color="FFFFFF"/>
              </w:pBdr>
              <w:spacing w:after="72"/>
            </w:pPr>
            <w:r w:rsidRPr="00D101F1">
              <w:t>Observe compliance tests (optional).</w:t>
            </w:r>
          </w:p>
        </w:tc>
      </w:tr>
    </w:tbl>
    <w:p w:rsidR="00CA4CD6" w:rsidRPr="00D101F1" w:rsidRDefault="00CA4CD6">
      <w:pPr>
        <w:pBdr>
          <w:top w:val="single" w:sz="6" w:space="0" w:color="FFFFFF"/>
          <w:left w:val="single" w:sz="6" w:space="0" w:color="FFFFFF"/>
          <w:bottom w:val="single" w:sz="6" w:space="0" w:color="FFFFFF"/>
          <w:right w:val="single" w:sz="6" w:space="0" w:color="FFFFFF"/>
        </w:pBdr>
        <w:rPr>
          <w:b/>
          <w:bCs/>
        </w:rPr>
      </w:pPr>
    </w:p>
    <w:p w:rsidR="00CA4CD6" w:rsidRPr="00D101F1" w:rsidRDefault="00CA4CD6" w:rsidP="00B15389">
      <w:pPr>
        <w:keepNext/>
        <w:pBdr>
          <w:top w:val="single" w:sz="6" w:space="0" w:color="FFFFFF"/>
          <w:left w:val="single" w:sz="6" w:space="0" w:color="FFFFFF"/>
          <w:bottom w:val="single" w:sz="6" w:space="0" w:color="FFFFFF"/>
          <w:right w:val="single" w:sz="6" w:space="0" w:color="FFFFFF"/>
        </w:pBdr>
        <w:ind w:firstLine="720"/>
      </w:pPr>
      <w:r w:rsidRPr="00D101F1">
        <w:rPr>
          <w:b/>
          <w:bCs/>
        </w:rPr>
        <w:t>5(b</w:t>
      </w:r>
      <w:proofErr w:type="gramStart"/>
      <w:r w:rsidRPr="00D101F1">
        <w:rPr>
          <w:b/>
          <w:bCs/>
        </w:rPr>
        <w:t>)  Collection</w:t>
      </w:r>
      <w:proofErr w:type="gramEnd"/>
      <w:r w:rsidRPr="00D101F1">
        <w:rPr>
          <w:b/>
          <w:bCs/>
        </w:rPr>
        <w:t xml:space="preserve"> Methodology and Management</w:t>
      </w:r>
    </w:p>
    <w:p w:rsidR="00CA4CD6" w:rsidRPr="00D101F1" w:rsidRDefault="00CA4CD6" w:rsidP="00B15389">
      <w:pPr>
        <w:keepNext/>
        <w:pBdr>
          <w:top w:val="single" w:sz="6" w:space="0" w:color="FFFFFF"/>
          <w:left w:val="single" w:sz="6" w:space="0" w:color="FFFFFF"/>
          <w:bottom w:val="single" w:sz="6" w:space="0" w:color="FFFFFF"/>
          <w:right w:val="single" w:sz="6" w:space="0" w:color="FFFFFF"/>
        </w:pBdr>
      </w:pPr>
    </w:p>
    <w:p w:rsidR="00CA4CD6" w:rsidRPr="00D101F1" w:rsidRDefault="00CA4CD6" w:rsidP="00B15389">
      <w:pPr>
        <w:keepNext/>
        <w:widowControl/>
        <w:pBdr>
          <w:top w:val="single" w:sz="6" w:space="0" w:color="FFFFFF"/>
          <w:left w:val="single" w:sz="6" w:space="0" w:color="FFFFFF"/>
          <w:bottom w:val="single" w:sz="6" w:space="0" w:color="FFFFFF"/>
          <w:right w:val="single" w:sz="6" w:space="0" w:color="FFFFFF"/>
        </w:pBdr>
        <w:ind w:firstLine="720"/>
      </w:pPr>
      <w:r w:rsidRPr="00D101F1">
        <w:t xml:space="preserve">Following notification of startup, the reviewing authority </w:t>
      </w:r>
      <w:r w:rsidR="002B29A7" w:rsidRPr="00D101F1">
        <w:t xml:space="preserve">could </w:t>
      </w:r>
      <w:r w:rsidRPr="00D101F1">
        <w:t>inspect the source to determine whether the pollution control devices are properly installed and operated.</w:t>
      </w:r>
      <w:r w:rsidR="00D82CA1" w:rsidRPr="00D101F1">
        <w:t xml:space="preserve">  Performance </w:t>
      </w:r>
      <w:r w:rsidRPr="00D101F1">
        <w:t>test reports are used by the Agency to discern a source</w:t>
      </w:r>
      <w:r w:rsidR="004C701D" w:rsidRPr="00D101F1">
        <w:t>’</w:t>
      </w:r>
      <w:r w:rsidRPr="00D101F1">
        <w:t>s initial capability to comply with the emission standard</w:t>
      </w:r>
      <w:r w:rsidR="00743235" w:rsidRPr="00D101F1">
        <w:t xml:space="preserve">, and to </w:t>
      </w:r>
      <w:r w:rsidRPr="00D101F1">
        <w:t>note the operating conditions under</w:t>
      </w:r>
      <w:r w:rsidR="00D82CA1" w:rsidRPr="00D101F1">
        <w:t xml:space="preserve"> which compliance was achieved.</w:t>
      </w:r>
      <w:r w:rsidRPr="00D101F1">
        <w:t xml:space="preserve">  Data and records maintained by the respondents are tabulated and published for use in compliance and enforcement programs.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Information contained in </w:t>
      </w:r>
      <w:r w:rsidR="004C701D" w:rsidRPr="00D101F1">
        <w:t xml:space="preserve">the reports is entered into OTIS </w:t>
      </w:r>
      <w:r w:rsidRPr="00D101F1">
        <w:t xml:space="preserve">which is operated and maintained by EPA's Office of Compliance.  </w:t>
      </w:r>
      <w:r w:rsidR="004C701D" w:rsidRPr="00D101F1">
        <w:t xml:space="preserve">OTIS </w:t>
      </w:r>
      <w:r w:rsidRPr="00D101F1">
        <w:t>is EPA</w:t>
      </w:r>
      <w:r w:rsidR="004C701D" w:rsidRPr="00D101F1">
        <w:t>’</w:t>
      </w:r>
      <w:r w:rsidRPr="00D101F1">
        <w:t xml:space="preserve">s database for the collection, maintenance, and retrieval of compliance data for approximately 125,000 industrial and government-owned facilities.  EPA uses the </w:t>
      </w:r>
      <w:r w:rsidR="004C701D" w:rsidRPr="00D101F1">
        <w:t>OTIS</w:t>
      </w:r>
      <w:r w:rsidRPr="00D101F1">
        <w:t xml:space="preserve"> for tracking air pollution compliance and enforcement by local and state regulatory agencies, EPA regional offices and EPA headquarters.  EPA and its delegated Authorities can edit, store, retrieve and analyze the data.</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 The records required by this regulation must be retained by the owner/operator for </w:t>
      </w:r>
      <w:r w:rsidR="00D82CA1" w:rsidRPr="00D101F1">
        <w:t xml:space="preserve">five </w:t>
      </w:r>
      <w:r w:rsidRPr="00D101F1">
        <w:t>years.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5(c</w:t>
      </w:r>
      <w:proofErr w:type="gramStart"/>
      <w:r w:rsidRPr="00D101F1">
        <w:rPr>
          <w:b/>
          <w:bCs/>
        </w:rPr>
        <w:t>)  Small</w:t>
      </w:r>
      <w:proofErr w:type="gramEnd"/>
      <w:r w:rsidRPr="00D101F1">
        <w:rPr>
          <w:b/>
          <w:bCs/>
        </w:rPr>
        <w:t xml:space="preserve"> Entity Flexibility</w:t>
      </w:r>
    </w:p>
    <w:p w:rsidR="00CA4CD6" w:rsidRPr="00D101F1" w:rsidRDefault="00CA4CD6" w:rsidP="006E4A6E">
      <w:pPr>
        <w:pBdr>
          <w:top w:val="single" w:sz="6" w:space="0" w:color="FFFFFF"/>
          <w:left w:val="single" w:sz="6" w:space="0" w:color="FFFFFF"/>
          <w:bottom w:val="single" w:sz="6" w:space="0" w:color="FFFFFF"/>
          <w:right w:val="single" w:sz="6" w:space="0" w:color="FFFFFF"/>
        </w:pBdr>
      </w:pPr>
    </w:p>
    <w:p w:rsidR="00B15389" w:rsidRPr="00D101F1" w:rsidRDefault="00B15389" w:rsidP="00B15389">
      <w:pPr>
        <w:keepNext/>
        <w:widowControl/>
        <w:pBdr>
          <w:top w:val="single" w:sz="6" w:space="0" w:color="FFFFFF"/>
          <w:left w:val="single" w:sz="6" w:space="0" w:color="FFFFFF"/>
          <w:bottom w:val="single" w:sz="6" w:space="0" w:color="FFFFFF"/>
          <w:right w:val="single" w:sz="6" w:space="0" w:color="FFFFFF"/>
        </w:pBdr>
        <w:ind w:firstLine="720"/>
      </w:pPr>
      <w:r w:rsidRPr="00D101F1">
        <w:t xml:space="preserve">A majority of the respondents are large entities (i.e., large businesses).  A RIA published in February 2011 by EPA estimated that 88 </w:t>
      </w:r>
      <w:r w:rsidR="00D504C7" w:rsidRPr="00D101F1">
        <w:t>entities</w:t>
      </w:r>
      <w:r w:rsidR="00D504C7">
        <w:t xml:space="preserve"> (from a total of 90) </w:t>
      </w:r>
      <w:r w:rsidRPr="00D101F1">
        <w:t xml:space="preserve">were subject to the regulation.  Of these facilities, ten were considered to be small businesses.  Due to technical considerations involving the process operations and the types of control equipment employed, the recordkeeping and reporting requirements are the same for both small and large entities.  </w:t>
      </w:r>
      <w:r w:rsidR="00DF2AE9">
        <w:t xml:space="preserve"> </w:t>
      </w:r>
      <w:r w:rsidRPr="00D101F1">
        <w:lastRenderedPageBreak/>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D82CA1" w:rsidRPr="00D101F1" w:rsidRDefault="00D82CA1" w:rsidP="00D82CA1"/>
    <w:p w:rsidR="00D82CA1" w:rsidRPr="00D101F1" w:rsidRDefault="00D82CA1" w:rsidP="00D82CA1">
      <w:pPr>
        <w:ind w:firstLine="720"/>
      </w:pPr>
      <w:r w:rsidRPr="00D101F1">
        <w:t xml:space="preserve">The rules contain provisions that reduce the impact of the rule on all regulated entities which includes small entities.  These are: </w:t>
      </w:r>
    </w:p>
    <w:p w:rsidR="00D82CA1" w:rsidRPr="00D101F1" w:rsidRDefault="00D82CA1" w:rsidP="00D82CA1"/>
    <w:p w:rsidR="00D82CA1" w:rsidRPr="00D101F1" w:rsidRDefault="00D82CA1" w:rsidP="00F367AD">
      <w:pPr>
        <w:pStyle w:val="ListParagraph"/>
        <w:numPr>
          <w:ilvl w:val="0"/>
          <w:numId w:val="3"/>
        </w:numPr>
      </w:pPr>
      <w:r w:rsidRPr="00D101F1">
        <w:t>Operating parameter monitoring is required instead of continuous emissions monitoring systems (CEMS).</w:t>
      </w:r>
    </w:p>
    <w:p w:rsidR="00D82CA1" w:rsidRPr="00D101F1" w:rsidRDefault="00D82CA1" w:rsidP="00D82CA1">
      <w:pPr>
        <w:ind w:left="720"/>
      </w:pPr>
    </w:p>
    <w:p w:rsidR="00D82CA1" w:rsidRPr="00D101F1" w:rsidRDefault="00D82CA1" w:rsidP="00F367AD">
      <w:pPr>
        <w:pStyle w:val="ListParagraph"/>
        <w:numPr>
          <w:ilvl w:val="0"/>
          <w:numId w:val="3"/>
        </w:numPr>
      </w:pPr>
      <w:r w:rsidRPr="00D101F1">
        <w:t xml:space="preserve">The owner or operator is allowed to skip two annual performance tests for a pollutant if </w:t>
      </w:r>
      <w:r w:rsidR="00A561F1" w:rsidRPr="00D101F1">
        <w:t xml:space="preserve">previous </w:t>
      </w:r>
      <w:r w:rsidRPr="00D101F1">
        <w:t xml:space="preserve">performance tests </w:t>
      </w:r>
      <w:r w:rsidR="00A561F1" w:rsidRPr="00D101F1">
        <w:t xml:space="preserve">demonstrate </w:t>
      </w:r>
      <w:r w:rsidRPr="00D101F1">
        <w:t>compliance.</w:t>
      </w:r>
    </w:p>
    <w:p w:rsidR="00D82CA1" w:rsidRPr="00D101F1" w:rsidRDefault="00D82CA1" w:rsidP="00D82CA1">
      <w:pPr>
        <w:ind w:left="720"/>
      </w:pPr>
    </w:p>
    <w:p w:rsidR="00D82CA1" w:rsidRPr="00D101F1" w:rsidRDefault="00D82CA1" w:rsidP="00F367AD">
      <w:pPr>
        <w:pStyle w:val="ListParagraph"/>
        <w:numPr>
          <w:ilvl w:val="0"/>
          <w:numId w:val="3"/>
        </w:numPr>
      </w:pPr>
      <w:r w:rsidRPr="00D101F1">
        <w:t>Deviation reports only required if there is a deviation, otherwise reporting is annual.</w:t>
      </w:r>
    </w:p>
    <w:p w:rsidR="00CA4CD6" w:rsidRPr="00D101F1" w:rsidRDefault="00CA4CD6">
      <w:pPr>
        <w:pBdr>
          <w:top w:val="single" w:sz="6" w:space="0" w:color="FFFFFF"/>
          <w:left w:val="single" w:sz="6" w:space="0" w:color="FFFFFF"/>
          <w:bottom w:val="single" w:sz="6" w:space="0" w:color="FFFFFF"/>
          <w:right w:val="single" w:sz="6" w:space="0" w:color="FFFFFF"/>
        </w:pBdr>
        <w:rPr>
          <w:b/>
          <w:bCs/>
        </w:rP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5(d</w:t>
      </w:r>
      <w:proofErr w:type="gramStart"/>
      <w:r w:rsidRPr="00D101F1">
        <w:rPr>
          <w:b/>
          <w:bCs/>
        </w:rPr>
        <w:t>)  Collection</w:t>
      </w:r>
      <w:proofErr w:type="gramEnd"/>
      <w:r w:rsidRPr="00D101F1">
        <w:rPr>
          <w:b/>
          <w:bCs/>
        </w:rPr>
        <w:t xml:space="preserve"> Schedule</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rPr>
          <w:b/>
          <w:bCs/>
        </w:rPr>
      </w:pPr>
      <w:r w:rsidRPr="00D101F1">
        <w:t xml:space="preserve">The specific frequency for each information collection activity within this request is shown </w:t>
      </w:r>
      <w:r w:rsidR="007A458D" w:rsidRPr="00D101F1">
        <w:t xml:space="preserve">below </w:t>
      </w:r>
      <w:r w:rsidR="00DA4BAB">
        <w:t xml:space="preserve">in </w:t>
      </w:r>
      <w:r w:rsidRPr="00D101F1">
        <w:t>Table 1</w:t>
      </w:r>
      <w:r w:rsidR="001A2084" w:rsidRPr="00D101F1">
        <w:t>: Annual Respondent Burden and Cost – Emission Guidelines for Commercial and Industrial Solid Waste Incineration Units (40 CFR Part 60, Subpart DDDD) (Renewal)</w:t>
      </w:r>
      <w:r w:rsidRPr="00D101F1">
        <w:t>.</w:t>
      </w:r>
    </w:p>
    <w:p w:rsidR="00CA4CD6" w:rsidRPr="00D101F1" w:rsidRDefault="00CA4CD6">
      <w:pPr>
        <w:pBdr>
          <w:top w:val="single" w:sz="6" w:space="0" w:color="FFFFFF"/>
          <w:left w:val="single" w:sz="6" w:space="0" w:color="FFFFFF"/>
          <w:bottom w:val="single" w:sz="6" w:space="0" w:color="FFFFFF"/>
          <w:right w:val="single" w:sz="6" w:space="0" w:color="FFFFFF"/>
        </w:pBdr>
        <w:rPr>
          <w:b/>
          <w:bCs/>
        </w:rPr>
      </w:pPr>
    </w:p>
    <w:p w:rsidR="00CA4CD6" w:rsidRPr="00D101F1" w:rsidRDefault="00CA4CD6" w:rsidP="004C701D">
      <w:pPr>
        <w:pBdr>
          <w:top w:val="single" w:sz="6" w:space="1" w:color="FFFFFF"/>
          <w:left w:val="single" w:sz="6" w:space="0" w:color="FFFFFF"/>
          <w:bottom w:val="single" w:sz="6" w:space="0" w:color="FFFFFF"/>
          <w:right w:val="single" w:sz="6" w:space="0" w:color="FFFFFF"/>
        </w:pBdr>
        <w:rPr>
          <w:b/>
          <w:bCs/>
        </w:rPr>
      </w:pPr>
      <w:r w:rsidRPr="00D101F1">
        <w:rPr>
          <w:b/>
          <w:bCs/>
        </w:rPr>
        <w:t>6.  Estimating the Burden and Cost of the Collection</w:t>
      </w:r>
    </w:p>
    <w:p w:rsidR="00CA4CD6" w:rsidRPr="00D101F1"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D101F1" w:rsidRDefault="00CA4CD6" w:rsidP="004C701D">
      <w:pPr>
        <w:pBdr>
          <w:top w:val="single" w:sz="6" w:space="1" w:color="FFFFFF"/>
          <w:left w:val="single" w:sz="6" w:space="0" w:color="FFFFFF"/>
          <w:bottom w:val="single" w:sz="6" w:space="0" w:color="FFFFFF"/>
          <w:right w:val="single" w:sz="6" w:space="0" w:color="FFFFFF"/>
        </w:pBdr>
        <w:ind w:firstLine="720"/>
      </w:pPr>
      <w:r w:rsidRPr="00D101F1">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D101F1" w:rsidRDefault="00CA4CD6" w:rsidP="004C701D">
      <w:pPr>
        <w:pBdr>
          <w:top w:val="single" w:sz="6" w:space="1" w:color="FFFFFF"/>
          <w:left w:val="single" w:sz="6" w:space="0" w:color="FFFFFF"/>
          <w:bottom w:val="single" w:sz="6" w:space="0" w:color="FFFFFF"/>
          <w:right w:val="single" w:sz="6" w:space="0" w:color="FFFFFF"/>
        </w:pBdr>
      </w:pPr>
    </w:p>
    <w:p w:rsidR="00CA4CD6" w:rsidRPr="00D101F1" w:rsidRDefault="00CA4CD6" w:rsidP="004C701D">
      <w:pPr>
        <w:pBdr>
          <w:top w:val="single" w:sz="6" w:space="1" w:color="FFFFFF"/>
          <w:left w:val="single" w:sz="6" w:space="0" w:color="FFFFFF"/>
          <w:bottom w:val="single" w:sz="6" w:space="0" w:color="FFFFFF"/>
          <w:right w:val="single" w:sz="6" w:space="0" w:color="FFFFFF"/>
        </w:pBdr>
        <w:ind w:firstLine="720"/>
      </w:pPr>
      <w:r w:rsidRPr="00D101F1">
        <w:t>The Agency may not conduct or sponsor, and a person is not required to respond to, a collection of information unless it displays a currently valid OMB Control Number.</w:t>
      </w:r>
    </w:p>
    <w:p w:rsidR="00CA4CD6" w:rsidRPr="00D101F1" w:rsidRDefault="00CA4CD6" w:rsidP="004C701D">
      <w:pPr>
        <w:pBdr>
          <w:top w:val="single" w:sz="6" w:space="1" w:color="FFFFFF"/>
          <w:left w:val="single" w:sz="6" w:space="0" w:color="FFFFFF"/>
          <w:bottom w:val="single" w:sz="6" w:space="0" w:color="FFFFFF"/>
          <w:right w:val="single" w:sz="6" w:space="0" w:color="FFFFFF"/>
        </w:pBdr>
      </w:pPr>
    </w:p>
    <w:p w:rsidR="00CA4CD6" w:rsidRPr="00D101F1" w:rsidRDefault="00CA4CD6" w:rsidP="004C701D">
      <w:pPr>
        <w:pBdr>
          <w:top w:val="single" w:sz="6" w:space="1" w:color="FFFFFF"/>
          <w:left w:val="single" w:sz="6" w:space="0" w:color="FFFFFF"/>
          <w:bottom w:val="single" w:sz="6" w:space="0" w:color="FFFFFF"/>
          <w:right w:val="single" w:sz="6" w:space="0" w:color="FFFFFF"/>
        </w:pBdr>
        <w:ind w:firstLine="720"/>
      </w:pPr>
      <w:r w:rsidRPr="00D101F1">
        <w:rPr>
          <w:b/>
          <w:bCs/>
        </w:rPr>
        <w:t>6(a</w:t>
      </w:r>
      <w:proofErr w:type="gramStart"/>
      <w:r w:rsidRPr="00D101F1">
        <w:rPr>
          <w:b/>
          <w:bCs/>
        </w:rPr>
        <w:t>)  Estimating</w:t>
      </w:r>
      <w:proofErr w:type="gramEnd"/>
      <w:r w:rsidRPr="00D101F1">
        <w:rPr>
          <w:b/>
          <w:bCs/>
        </w:rPr>
        <w:t xml:space="preserve"> Respondent Burden</w:t>
      </w:r>
    </w:p>
    <w:p w:rsidR="00CA4CD6" w:rsidRPr="00D101F1" w:rsidRDefault="00CA4CD6" w:rsidP="004C701D">
      <w:pPr>
        <w:pBdr>
          <w:top w:val="single" w:sz="6" w:space="1" w:color="FFFFFF"/>
          <w:left w:val="single" w:sz="6" w:space="0" w:color="FFFFFF"/>
          <w:bottom w:val="single" w:sz="6" w:space="0" w:color="FFFFFF"/>
          <w:right w:val="single" w:sz="6" w:space="0" w:color="FFFFFF"/>
        </w:pBdr>
      </w:pPr>
    </w:p>
    <w:p w:rsidR="00CA4CD6" w:rsidRPr="00D101F1" w:rsidRDefault="00CA4CD6" w:rsidP="008C077C">
      <w:pPr>
        <w:pBdr>
          <w:top w:val="single" w:sz="6" w:space="1" w:color="FFFFFF"/>
          <w:left w:val="single" w:sz="6" w:space="0" w:color="FFFFFF"/>
          <w:bottom w:val="single" w:sz="6" w:space="0" w:color="FFFFFF"/>
          <w:right w:val="single" w:sz="6" w:space="0" w:color="FFFFFF"/>
        </w:pBdr>
        <w:ind w:firstLine="720"/>
      </w:pPr>
      <w:r w:rsidRPr="00D101F1">
        <w:t>The average annual burden to industry over the next three years from these recordkeeping and reporting requirement</w:t>
      </w:r>
      <w:r w:rsidR="004C701D" w:rsidRPr="00D101F1">
        <w:t>s is estimated to be</w:t>
      </w:r>
      <w:r w:rsidR="00225615" w:rsidRPr="00D101F1">
        <w:t xml:space="preserve"> </w:t>
      </w:r>
      <w:r w:rsidR="00E90811" w:rsidRPr="00E90811">
        <w:t>18,061</w:t>
      </w:r>
      <w:r w:rsidR="00225615" w:rsidRPr="00D101F1">
        <w:t xml:space="preserve"> hours </w:t>
      </w:r>
      <w:r w:rsidR="004C701D" w:rsidRPr="00D101F1">
        <w:t>(</w:t>
      </w:r>
      <w:r w:rsidRPr="00D101F1">
        <w:t>Total Labor Hours from Table 1</w:t>
      </w:r>
      <w:r w:rsidR="00653931">
        <w:t xml:space="preserve"> below</w:t>
      </w:r>
      <w:r w:rsidRPr="00D101F1">
        <w:t xml:space="preserve">). </w:t>
      </w:r>
      <w:r w:rsidR="001C5991" w:rsidRPr="00D101F1">
        <w:t xml:space="preserve"> T</w:t>
      </w:r>
      <w:r w:rsidRPr="00D101F1">
        <w:t>hese hours are based on Agency studies and background documen</w:t>
      </w:r>
      <w:r w:rsidR="004C701D" w:rsidRPr="00D101F1">
        <w:t xml:space="preserve">ts from the development of the </w:t>
      </w:r>
      <w:r w:rsidRPr="00D101F1">
        <w:t>regulation, Agency knowledge and experience with the</w:t>
      </w:r>
      <w:r w:rsidR="00D82CA1" w:rsidRPr="00D101F1">
        <w:t xml:space="preserve"> emission guidelines</w:t>
      </w:r>
      <w:r w:rsidRPr="00D101F1">
        <w:t>, the previously approved ICR, and any comments received.</w:t>
      </w:r>
    </w:p>
    <w:p w:rsidR="00DF2AE9" w:rsidRDefault="00DF2AE9" w:rsidP="004C701D">
      <w:pPr>
        <w:pBdr>
          <w:top w:val="single" w:sz="6" w:space="1" w:color="FFFFFF"/>
          <w:left w:val="single" w:sz="6" w:space="0" w:color="FFFFFF"/>
          <w:bottom w:val="single" w:sz="6" w:space="0" w:color="FFFFFF"/>
          <w:right w:val="single" w:sz="6" w:space="0" w:color="FFFFFF"/>
        </w:pBdr>
        <w:ind w:firstLine="720"/>
        <w:rPr>
          <w:b/>
          <w:bCs/>
        </w:rPr>
      </w:pPr>
    </w:p>
    <w:p w:rsidR="002712EB" w:rsidRPr="00D101F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D101F1">
        <w:rPr>
          <w:b/>
          <w:bCs/>
        </w:rPr>
        <w:t>6(b</w:t>
      </w:r>
      <w:proofErr w:type="gramStart"/>
      <w:r w:rsidRPr="00D101F1">
        <w:rPr>
          <w:b/>
          <w:bCs/>
        </w:rPr>
        <w:t>)  Estimating</w:t>
      </w:r>
      <w:proofErr w:type="gramEnd"/>
      <w:r w:rsidRPr="00D101F1">
        <w:rPr>
          <w:b/>
          <w:bCs/>
        </w:rPr>
        <w:t xml:space="preserve"> Respondent Costs</w:t>
      </w:r>
    </w:p>
    <w:p w:rsidR="002712EB" w:rsidRPr="00D101F1"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D101F1" w:rsidRDefault="002712EB" w:rsidP="004C701D">
      <w:pPr>
        <w:pBdr>
          <w:top w:val="single" w:sz="6" w:space="1" w:color="FFFFFF"/>
          <w:left w:val="single" w:sz="6" w:space="0" w:color="FFFFFF"/>
          <w:bottom w:val="single" w:sz="6" w:space="0" w:color="FFFFFF"/>
          <w:right w:val="single" w:sz="6" w:space="0" w:color="FFFFFF"/>
        </w:pBdr>
        <w:ind w:firstLine="1440"/>
      </w:pPr>
      <w:r w:rsidRPr="00D101F1">
        <w:rPr>
          <w:b/>
          <w:bCs/>
        </w:rPr>
        <w:t>(</w:t>
      </w:r>
      <w:proofErr w:type="spellStart"/>
      <w:r w:rsidRPr="00D101F1">
        <w:rPr>
          <w:b/>
          <w:bCs/>
        </w:rPr>
        <w:t>i</w:t>
      </w:r>
      <w:proofErr w:type="spellEnd"/>
      <w:r w:rsidRPr="00D101F1">
        <w:rPr>
          <w:b/>
          <w:bCs/>
        </w:rPr>
        <w:t>)  Estimating Labor Costs</w:t>
      </w:r>
      <w:r w:rsidRPr="00D101F1">
        <w:t xml:space="preserve"> </w:t>
      </w:r>
    </w:p>
    <w:p w:rsidR="002712EB" w:rsidRPr="00D101F1" w:rsidRDefault="002712EB" w:rsidP="004C701D">
      <w:pPr>
        <w:pBdr>
          <w:top w:val="single" w:sz="6" w:space="1" w:color="FFFFFF"/>
          <w:left w:val="single" w:sz="6" w:space="0" w:color="FFFFFF"/>
          <w:bottom w:val="single" w:sz="6" w:space="0" w:color="FFFFFF"/>
          <w:right w:val="single" w:sz="6" w:space="0" w:color="FFFFFF"/>
        </w:pBdr>
      </w:pPr>
      <w:r w:rsidRPr="00D101F1">
        <w:t xml:space="preserve"> </w:t>
      </w:r>
    </w:p>
    <w:p w:rsidR="002712EB" w:rsidRPr="00D101F1" w:rsidRDefault="002712EB" w:rsidP="004C701D">
      <w:pPr>
        <w:pBdr>
          <w:top w:val="single" w:sz="6" w:space="1" w:color="FFFFFF"/>
          <w:left w:val="single" w:sz="6" w:space="0" w:color="FFFFFF"/>
          <w:bottom w:val="single" w:sz="6" w:space="0" w:color="FFFFFF"/>
          <w:right w:val="single" w:sz="6" w:space="0" w:color="FFFFFF"/>
        </w:pBdr>
        <w:ind w:firstLine="720"/>
      </w:pPr>
      <w:r w:rsidRPr="00D101F1">
        <w:lastRenderedPageBreak/>
        <w:t xml:space="preserve">This ICR uses the following labor rates: </w:t>
      </w:r>
    </w:p>
    <w:p w:rsidR="002712EB" w:rsidRPr="00D101F1" w:rsidRDefault="002712EB" w:rsidP="004C701D">
      <w:pPr>
        <w:pBdr>
          <w:top w:val="single" w:sz="6" w:space="1" w:color="FFFFFF"/>
          <w:left w:val="single" w:sz="6" w:space="0" w:color="FFFFFF"/>
          <w:bottom w:val="single" w:sz="6" w:space="0" w:color="FFFFFF"/>
          <w:right w:val="single" w:sz="6" w:space="0" w:color="FFFFFF"/>
        </w:pBdr>
      </w:pPr>
    </w:p>
    <w:p w:rsidR="002712EB" w:rsidRPr="00D101F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101F1">
        <w:t>Managerial</w:t>
      </w:r>
      <w:r w:rsidRPr="00D101F1">
        <w:tab/>
        <w:t>$1</w:t>
      </w:r>
      <w:r w:rsidR="00861489" w:rsidRPr="00D101F1">
        <w:t>21</w:t>
      </w:r>
      <w:r w:rsidR="004F6FCD" w:rsidRPr="00D101F1">
        <w:t>.</w:t>
      </w:r>
      <w:r w:rsidR="00861489" w:rsidRPr="00D101F1">
        <w:t>4</w:t>
      </w:r>
      <w:r w:rsidR="00102B52" w:rsidRPr="00D101F1">
        <w:t>4</w:t>
      </w:r>
      <w:r w:rsidRPr="00D101F1">
        <w:t xml:space="preserve"> ($5</w:t>
      </w:r>
      <w:r w:rsidR="00861489" w:rsidRPr="00D101F1">
        <w:t>7</w:t>
      </w:r>
      <w:r w:rsidR="004F6FCD" w:rsidRPr="00D101F1">
        <w:t>.</w:t>
      </w:r>
      <w:r w:rsidR="00861489" w:rsidRPr="00D101F1">
        <w:t>8</w:t>
      </w:r>
      <w:r w:rsidR="00102B52" w:rsidRPr="00D101F1">
        <w:t>3</w:t>
      </w:r>
      <w:r w:rsidRPr="00D101F1">
        <w:t xml:space="preserve">+ 110%)   </w:t>
      </w:r>
    </w:p>
    <w:p w:rsidR="002712EB" w:rsidRPr="00D101F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101F1">
        <w:t>Technical</w:t>
      </w:r>
      <w:r w:rsidRPr="00D101F1">
        <w:tab/>
        <w:t>$</w:t>
      </w:r>
      <w:r w:rsidR="00102B52" w:rsidRPr="00D101F1">
        <w:t>100</w:t>
      </w:r>
      <w:r w:rsidR="00861489" w:rsidRPr="00D101F1">
        <w:t>.</w:t>
      </w:r>
      <w:r w:rsidR="00102B52" w:rsidRPr="00D101F1">
        <w:t>23</w:t>
      </w:r>
      <w:r w:rsidRPr="00D101F1">
        <w:t xml:space="preserve"> ($4</w:t>
      </w:r>
      <w:r w:rsidR="00861489" w:rsidRPr="00D101F1">
        <w:t>7</w:t>
      </w:r>
      <w:r w:rsidRPr="00D101F1">
        <w:t>.</w:t>
      </w:r>
      <w:r w:rsidR="00102B52" w:rsidRPr="00D101F1">
        <w:t>73</w:t>
      </w:r>
      <w:r w:rsidRPr="00D101F1">
        <w:t xml:space="preserve"> + 110%)</w:t>
      </w:r>
    </w:p>
    <w:p w:rsidR="002712EB" w:rsidRPr="00D101F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101F1">
        <w:t>Clerical</w:t>
      </w:r>
      <w:r w:rsidRPr="00D101F1">
        <w:tab/>
        <w:t>$</w:t>
      </w:r>
      <w:r w:rsidR="00102B52" w:rsidRPr="00D101F1">
        <w:t>50</w:t>
      </w:r>
      <w:r w:rsidRPr="00D101F1">
        <w:t>.</w:t>
      </w:r>
      <w:r w:rsidR="00102B52" w:rsidRPr="00D101F1">
        <w:t>5</w:t>
      </w:r>
      <w:r w:rsidR="00861489" w:rsidRPr="00D101F1">
        <w:t>1</w:t>
      </w:r>
      <w:r w:rsidRPr="00D101F1">
        <w:t xml:space="preserve"> ($2</w:t>
      </w:r>
      <w:r w:rsidR="00102B52" w:rsidRPr="00D101F1">
        <w:t>4</w:t>
      </w:r>
      <w:r w:rsidRPr="00D101F1">
        <w:t>.</w:t>
      </w:r>
      <w:r w:rsidR="00102B52" w:rsidRPr="00D101F1">
        <w:t>05</w:t>
      </w:r>
      <w:r w:rsidRPr="00D101F1">
        <w:t xml:space="preserve"> + 110%)</w:t>
      </w:r>
    </w:p>
    <w:p w:rsidR="002712EB" w:rsidRPr="00D101F1" w:rsidRDefault="002712EB" w:rsidP="002712EB">
      <w:pPr>
        <w:pBdr>
          <w:top w:val="single" w:sz="6" w:space="0" w:color="FFFFFF"/>
          <w:left w:val="single" w:sz="6" w:space="0" w:color="FFFFFF"/>
          <w:bottom w:val="single" w:sz="6" w:space="0" w:color="FFFFFF"/>
          <w:right w:val="single" w:sz="6" w:space="0" w:color="FFFFFF"/>
        </w:pBdr>
      </w:pPr>
    </w:p>
    <w:p w:rsidR="002712EB" w:rsidRPr="00D101F1" w:rsidRDefault="002712EB" w:rsidP="002712EB">
      <w:pPr>
        <w:pBdr>
          <w:top w:val="single" w:sz="6" w:space="0" w:color="FFFFFF"/>
          <w:left w:val="single" w:sz="6" w:space="0" w:color="FFFFFF"/>
          <w:bottom w:val="single" w:sz="6" w:space="0" w:color="FFFFFF"/>
          <w:right w:val="single" w:sz="6" w:space="0" w:color="FFFFFF"/>
        </w:pBdr>
      </w:pPr>
      <w:r w:rsidRPr="00D101F1">
        <w:t xml:space="preserve">These rates are from the United States Department of Labor, Bureau of Labor Statistics, </w:t>
      </w:r>
      <w:r w:rsidR="00102B52" w:rsidRPr="00D101F1">
        <w:t>March 2012</w:t>
      </w:r>
      <w:r w:rsidRPr="00D101F1">
        <w:t xml:space="preserve">, </w:t>
      </w:r>
      <w:r w:rsidR="004C701D" w:rsidRPr="00D101F1">
        <w:t>“</w:t>
      </w:r>
      <w:r w:rsidRPr="00D101F1">
        <w:t>Table 2. Civilian Workers, by occupational and industry group.</w:t>
      </w:r>
      <w:r w:rsidR="004C701D" w:rsidRPr="00D101F1">
        <w:t>”</w:t>
      </w:r>
      <w:r w:rsidRPr="00D101F1">
        <w:t xml:space="preserve">  The rates are from column 1, </w:t>
      </w:r>
      <w:r w:rsidR="004C701D" w:rsidRPr="00D101F1">
        <w:t>“</w:t>
      </w:r>
      <w:r w:rsidRPr="00D101F1">
        <w:t>Total compensation.</w:t>
      </w:r>
      <w:r w:rsidR="004C701D" w:rsidRPr="00D101F1">
        <w:t>”</w:t>
      </w:r>
      <w:r w:rsidRPr="00D101F1">
        <w:t xml:space="preserve">  The rates have been increased by 110 percent to account for the benefit packages available to those employed by private industry.</w:t>
      </w:r>
    </w:p>
    <w:p w:rsidR="009D1AE1" w:rsidRDefault="009D1AE1" w:rsidP="00B15389">
      <w:pPr>
        <w:keepNext/>
        <w:pBdr>
          <w:top w:val="single" w:sz="6" w:space="0" w:color="FFFFFF"/>
          <w:left w:val="single" w:sz="6" w:space="0" w:color="FFFFFF"/>
          <w:bottom w:val="single" w:sz="6" w:space="0" w:color="FFFFFF"/>
          <w:right w:val="single" w:sz="6" w:space="0" w:color="FFFFFF"/>
        </w:pBdr>
        <w:ind w:firstLine="1440"/>
        <w:rPr>
          <w:b/>
          <w:bCs/>
        </w:rPr>
      </w:pPr>
    </w:p>
    <w:p w:rsidR="00CA4CD6" w:rsidRPr="00D101F1" w:rsidRDefault="00CA4CD6" w:rsidP="00B15389">
      <w:pPr>
        <w:keepNext/>
        <w:pBdr>
          <w:top w:val="single" w:sz="6" w:space="0" w:color="FFFFFF"/>
          <w:left w:val="single" w:sz="6" w:space="0" w:color="FFFFFF"/>
          <w:bottom w:val="single" w:sz="6" w:space="0" w:color="FFFFFF"/>
          <w:right w:val="single" w:sz="6" w:space="0" w:color="FFFFFF"/>
        </w:pBdr>
        <w:ind w:firstLine="1440"/>
      </w:pPr>
      <w:r w:rsidRPr="00D101F1">
        <w:rPr>
          <w:b/>
          <w:bCs/>
        </w:rPr>
        <w:t>(ii)  Estimating Capital/Startup and Operation and Maintenance Costs</w:t>
      </w:r>
    </w:p>
    <w:p w:rsidR="00D82CA1" w:rsidRPr="00D101F1" w:rsidRDefault="00D82CA1" w:rsidP="00B15389">
      <w:pPr>
        <w:keepNext/>
        <w:pBdr>
          <w:top w:val="single" w:sz="6" w:space="0" w:color="FFFFFF"/>
          <w:left w:val="single" w:sz="6" w:space="0" w:color="FFFFFF"/>
          <w:bottom w:val="single" w:sz="6" w:space="0" w:color="FFFFFF"/>
          <w:right w:val="single" w:sz="6" w:space="0" w:color="FFFFFF"/>
        </w:pBdr>
        <w:ind w:firstLine="720"/>
      </w:pPr>
    </w:p>
    <w:p w:rsidR="00CA4CD6" w:rsidRPr="00D101F1" w:rsidRDefault="00CA4CD6" w:rsidP="00B15389">
      <w:pPr>
        <w:keepNext/>
        <w:widowControl/>
        <w:pBdr>
          <w:top w:val="single" w:sz="6" w:space="0" w:color="FFFFFF"/>
          <w:left w:val="single" w:sz="6" w:space="0" w:color="FFFFFF"/>
          <w:bottom w:val="single" w:sz="6" w:space="0" w:color="FFFFFF"/>
          <w:right w:val="single" w:sz="6" w:space="0" w:color="FFFFFF"/>
        </w:pBdr>
        <w:ind w:firstLine="720"/>
      </w:pPr>
      <w:r w:rsidRPr="00D101F1">
        <w:t>The type of industry costs associated with the information collection acti</w:t>
      </w:r>
      <w:r w:rsidR="00D82CA1" w:rsidRPr="00D101F1">
        <w:t>vities in the subject standard</w:t>
      </w:r>
      <w:r w:rsidRPr="00D101F1">
        <w:t xml:space="preserve"> are both labor costs</w:t>
      </w:r>
      <w:r w:rsidR="00CC5A94" w:rsidRPr="00D101F1">
        <w:t>,</w:t>
      </w:r>
      <w:r w:rsidRPr="00D101F1">
        <w:t xml:space="preserve"> which are addressed elsewhere in this ICR</w:t>
      </w:r>
      <w:r w:rsidR="00CC5A94" w:rsidRPr="00D101F1">
        <w:t>,</w:t>
      </w:r>
      <w:r w:rsidRPr="00D101F1">
        <w:t xml:space="preserve"> and the costs associated with continuous monitoring.  Th</w:t>
      </w:r>
      <w:r w:rsidR="00D82CA1" w:rsidRPr="00D101F1">
        <w:t>e capital/startup costs are one-</w:t>
      </w:r>
      <w:r w:rsidRPr="00D101F1">
        <w:t xml:space="preserve">time costs when a facility becomes subject to the regulation.  The annual operation and maintenance </w:t>
      </w:r>
      <w:r w:rsidR="00F42E26" w:rsidRPr="00D101F1">
        <w:t>(O</w:t>
      </w:r>
      <w:r w:rsidR="00081CEF" w:rsidRPr="00D101F1">
        <w:t xml:space="preserve">&amp;M) </w:t>
      </w:r>
      <w:r w:rsidRPr="00D101F1">
        <w:t>costs are the ongoing costs to maintain the monitor(s) and other costs su</w:t>
      </w:r>
      <w:r w:rsidR="00D82CA1" w:rsidRPr="00D101F1">
        <w:t>ch as photocopying and postage.</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1440"/>
      </w:pPr>
      <w:r w:rsidRPr="00D101F1">
        <w:rPr>
          <w:b/>
          <w:bCs/>
        </w:rPr>
        <w:t>(iii)  Capital/Startup vs. Operation and Maintenance (O&amp;M) Costs</w:t>
      </w:r>
    </w:p>
    <w:p w:rsidR="00CA4CD6" w:rsidRPr="00D101F1" w:rsidRDefault="00CA4CD6">
      <w:pPr>
        <w:pBdr>
          <w:top w:val="single" w:sz="6" w:space="0" w:color="FFFFFF"/>
          <w:left w:val="single" w:sz="6" w:space="0" w:color="FFFFFF"/>
          <w:bottom w:val="single" w:sz="6" w:space="0" w:color="FFFFFF"/>
          <w:right w:val="single" w:sz="6" w:space="0" w:color="FFFFFF"/>
        </w:pBdr>
      </w:pPr>
    </w:p>
    <w:tbl>
      <w:tblPr>
        <w:tblW w:w="9813" w:type="dxa"/>
        <w:jc w:val="center"/>
        <w:tblInd w:w="-330" w:type="dxa"/>
        <w:tblLayout w:type="fixed"/>
        <w:tblCellMar>
          <w:left w:w="72" w:type="dxa"/>
          <w:right w:w="72" w:type="dxa"/>
        </w:tblCellMar>
        <w:tblLook w:val="0000"/>
      </w:tblPr>
      <w:tblGrid>
        <w:gridCol w:w="1980"/>
        <w:gridCol w:w="1440"/>
        <w:gridCol w:w="1173"/>
        <w:gridCol w:w="1440"/>
        <w:gridCol w:w="1350"/>
        <w:gridCol w:w="1260"/>
        <w:gridCol w:w="1170"/>
      </w:tblGrid>
      <w:tr w:rsidR="00A73600" w:rsidRPr="00D101F1" w:rsidTr="00784D12">
        <w:trPr>
          <w:tblHeader/>
          <w:jc w:val="center"/>
        </w:trPr>
        <w:tc>
          <w:tcPr>
            <w:tcW w:w="9813" w:type="dxa"/>
            <w:gridSpan w:val="7"/>
            <w:tcBorders>
              <w:top w:val="single" w:sz="7" w:space="0" w:color="000000"/>
              <w:left w:val="single" w:sz="7" w:space="0" w:color="000000"/>
              <w:bottom w:val="single" w:sz="6" w:space="0" w:color="FFFFFF"/>
              <w:right w:val="single" w:sz="7" w:space="0" w:color="000000"/>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101F1">
              <w:rPr>
                <w:b/>
                <w:bCs/>
              </w:rPr>
              <w:t>Capital/Startup vs. Operation and Maintenance (O&amp;M) Costs</w:t>
            </w:r>
          </w:p>
        </w:tc>
      </w:tr>
      <w:tr w:rsidR="00CA4CD6" w:rsidRPr="00D101F1" w:rsidTr="00784D12">
        <w:trPr>
          <w:jc w:val="center"/>
        </w:trPr>
        <w:tc>
          <w:tcPr>
            <w:tcW w:w="1980" w:type="dxa"/>
            <w:tcBorders>
              <w:top w:val="single" w:sz="7" w:space="0" w:color="000000"/>
              <w:left w:val="single" w:sz="7" w:space="0" w:color="000000"/>
              <w:bottom w:val="single" w:sz="6" w:space="0" w:color="FFFFFF"/>
              <w:right w:val="single" w:sz="6" w:space="0" w:color="FFFFFF"/>
            </w:tcBorders>
          </w:tcPr>
          <w:p w:rsidR="00CA4CD6" w:rsidRPr="00D101F1" w:rsidRDefault="00CA4CD6" w:rsidP="00E8178E">
            <w:pPr>
              <w:spacing w:line="120" w:lineRule="exact"/>
              <w:jc w:val="center"/>
              <w:rPr>
                <w:b/>
                <w:bCs/>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(A)</w:t>
            </w:r>
          </w:p>
          <w:p w:rsidR="00CA4CD6" w:rsidRPr="00D101F1" w:rsidRDefault="00CA4CD6" w:rsidP="00E8178E">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D101F1" w:rsidRDefault="00CA4CD6" w:rsidP="00E8178E">
            <w:pPr>
              <w:spacing w:line="120" w:lineRule="exact"/>
              <w:jc w:val="center"/>
              <w:rPr>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(B)</w:t>
            </w:r>
          </w:p>
          <w:p w:rsidR="00CA4CD6" w:rsidRPr="00D101F1" w:rsidRDefault="00CA4CD6" w:rsidP="00E8178E">
            <w:pPr>
              <w:pBdr>
                <w:top w:val="single" w:sz="6" w:space="0" w:color="FFFFFF"/>
                <w:left w:val="single" w:sz="6" w:space="0" w:color="FFFFFF"/>
                <w:bottom w:val="single" w:sz="6" w:space="0" w:color="FFFFFF"/>
                <w:right w:val="single" w:sz="6" w:space="0" w:color="FFFFFF"/>
              </w:pBdr>
              <w:spacing w:after="52"/>
              <w:jc w:val="center"/>
              <w:rPr>
                <w:sz w:val="20"/>
                <w:szCs w:val="20"/>
                <w:vertAlign w:val="superscript"/>
              </w:rPr>
            </w:pPr>
            <w:r w:rsidRPr="00D101F1">
              <w:rPr>
                <w:sz w:val="20"/>
                <w:szCs w:val="20"/>
              </w:rPr>
              <w:t>Capital/Startup Cost for One Respondent</w:t>
            </w:r>
          </w:p>
        </w:tc>
        <w:tc>
          <w:tcPr>
            <w:tcW w:w="1173" w:type="dxa"/>
            <w:tcBorders>
              <w:top w:val="single" w:sz="7" w:space="0" w:color="000000"/>
              <w:left w:val="single" w:sz="7" w:space="0" w:color="000000"/>
              <w:bottom w:val="single" w:sz="6" w:space="0" w:color="FFFFFF"/>
              <w:right w:val="single" w:sz="6" w:space="0" w:color="FFFFFF"/>
            </w:tcBorders>
          </w:tcPr>
          <w:p w:rsidR="00CA4CD6" w:rsidRPr="00D101F1" w:rsidRDefault="00CA4CD6" w:rsidP="00E8178E">
            <w:pPr>
              <w:spacing w:line="120" w:lineRule="exact"/>
              <w:jc w:val="center"/>
              <w:rPr>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(C)</w:t>
            </w:r>
          </w:p>
          <w:p w:rsidR="00CA4CD6" w:rsidRPr="00D101F1" w:rsidRDefault="00223096" w:rsidP="00E8178E">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Number of New Respondent</w:t>
            </w:r>
            <w:r w:rsidR="00E8178E" w:rsidRPr="00D101F1">
              <w:rPr>
                <w:sz w:val="20"/>
                <w:szCs w:val="20"/>
              </w:rPr>
              <w:t>s</w:t>
            </w:r>
          </w:p>
        </w:tc>
        <w:tc>
          <w:tcPr>
            <w:tcW w:w="1440" w:type="dxa"/>
            <w:tcBorders>
              <w:top w:val="single" w:sz="7" w:space="0" w:color="000000"/>
              <w:left w:val="single" w:sz="7" w:space="0" w:color="000000"/>
              <w:bottom w:val="single" w:sz="6" w:space="0" w:color="FFFFFF"/>
              <w:right w:val="single" w:sz="6" w:space="0" w:color="FFFFFF"/>
            </w:tcBorders>
          </w:tcPr>
          <w:p w:rsidR="00CA4CD6" w:rsidRPr="00D101F1" w:rsidRDefault="00CA4CD6" w:rsidP="00E8178E">
            <w:pPr>
              <w:spacing w:line="120" w:lineRule="exact"/>
              <w:jc w:val="center"/>
              <w:rPr>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(D)</w:t>
            </w:r>
          </w:p>
          <w:p w:rsidR="00CA4CD6" w:rsidRPr="00D101F1" w:rsidRDefault="00CA4CD6" w:rsidP="00E8178E">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D101F1" w:rsidRDefault="00CA4CD6" w:rsidP="00E8178E">
            <w:pPr>
              <w:spacing w:line="120" w:lineRule="exact"/>
              <w:jc w:val="center"/>
              <w:rPr>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(E)</w:t>
            </w:r>
          </w:p>
          <w:p w:rsidR="00CA4CD6" w:rsidRPr="00D101F1" w:rsidRDefault="00CA4CD6" w:rsidP="00E8178E">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D101F1" w:rsidRDefault="00CA4CD6" w:rsidP="00E8178E">
            <w:pPr>
              <w:spacing w:line="120" w:lineRule="exact"/>
              <w:jc w:val="center"/>
              <w:rPr>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(F)</w:t>
            </w:r>
          </w:p>
          <w:p w:rsidR="00CA4CD6" w:rsidRPr="00D101F1" w:rsidRDefault="00CA4CD6" w:rsidP="00E8178E">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CA4CD6" w:rsidRPr="00D101F1" w:rsidRDefault="00CA4CD6" w:rsidP="00E8178E">
            <w:pPr>
              <w:spacing w:line="120" w:lineRule="exact"/>
              <w:jc w:val="center"/>
              <w:rPr>
                <w:sz w:val="20"/>
                <w:szCs w:val="20"/>
              </w:rPr>
            </w:pP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(G)</w:t>
            </w:r>
          </w:p>
          <w:p w:rsidR="00CA4CD6" w:rsidRPr="00D101F1" w:rsidRDefault="00CA4CD6" w:rsidP="00E8178E">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Total O&amp;M,</w:t>
            </w:r>
          </w:p>
          <w:p w:rsidR="00CA4CD6" w:rsidRPr="00D101F1" w:rsidRDefault="00CA4CD6" w:rsidP="00E8178E">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(E X F)</w:t>
            </w:r>
          </w:p>
        </w:tc>
      </w:tr>
      <w:tr w:rsidR="00B15389" w:rsidRPr="00D101F1" w:rsidTr="00784D12">
        <w:trPr>
          <w:jc w:val="center"/>
        </w:trPr>
        <w:tc>
          <w:tcPr>
            <w:tcW w:w="1980" w:type="dxa"/>
            <w:tcBorders>
              <w:top w:val="single" w:sz="7" w:space="0" w:color="000000"/>
              <w:left w:val="single" w:sz="7" w:space="0" w:color="000000"/>
              <w:bottom w:val="single" w:sz="7" w:space="0" w:color="000000"/>
              <w:right w:val="single" w:sz="6" w:space="0" w:color="FFFFFF"/>
            </w:tcBorders>
          </w:tcPr>
          <w:p w:rsidR="00B15389" w:rsidRPr="00D101F1" w:rsidRDefault="00B15389" w:rsidP="00E8178E">
            <w:pPr>
              <w:pBdr>
                <w:top w:val="single" w:sz="6" w:space="0" w:color="FFFFFF"/>
                <w:left w:val="single" w:sz="6" w:space="0" w:color="FFFFFF"/>
                <w:bottom w:val="single" w:sz="6" w:space="0" w:color="FFFFFF"/>
                <w:right w:val="single" w:sz="6" w:space="0" w:color="FFFFFF"/>
              </w:pBdr>
              <w:spacing w:after="72"/>
              <w:rPr>
                <w:sz w:val="20"/>
                <w:szCs w:val="20"/>
              </w:rPr>
            </w:pPr>
            <w:r w:rsidRPr="00D101F1">
              <w:rPr>
                <w:sz w:val="20"/>
                <w:szCs w:val="20"/>
              </w:rPr>
              <w:t>Wet</w:t>
            </w:r>
            <w:r w:rsidR="00E8178E" w:rsidRPr="00D101F1">
              <w:rPr>
                <w:sz w:val="20"/>
                <w:szCs w:val="20"/>
              </w:rPr>
              <w:t xml:space="preserve"> s</w:t>
            </w:r>
            <w:r w:rsidRPr="00D101F1">
              <w:rPr>
                <w:sz w:val="20"/>
                <w:szCs w:val="20"/>
              </w:rPr>
              <w:t xml:space="preserve">crubber </w:t>
            </w:r>
            <w:r w:rsidRPr="00D101F1">
              <w:rPr>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$2,240</w:t>
            </w:r>
          </w:p>
        </w:tc>
        <w:tc>
          <w:tcPr>
            <w:tcW w:w="1173"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E90811"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E90811">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w:t>
            </w:r>
            <w:r w:rsidR="00E9081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r>
      <w:tr w:rsidR="00B15389" w:rsidRPr="00D101F1" w:rsidTr="00784D12">
        <w:trPr>
          <w:jc w:val="center"/>
        </w:trPr>
        <w:tc>
          <w:tcPr>
            <w:tcW w:w="1980" w:type="dxa"/>
            <w:tcBorders>
              <w:top w:val="single" w:sz="7" w:space="0" w:color="000000"/>
              <w:left w:val="single" w:sz="7" w:space="0" w:color="000000"/>
              <w:bottom w:val="single" w:sz="7" w:space="0" w:color="000000"/>
              <w:right w:val="single" w:sz="6" w:space="0" w:color="FFFFFF"/>
            </w:tcBorders>
          </w:tcPr>
          <w:p w:rsidR="00B15389" w:rsidRPr="00D101F1" w:rsidRDefault="00B15389" w:rsidP="00A921A9">
            <w:pPr>
              <w:pBdr>
                <w:top w:val="single" w:sz="6" w:space="0" w:color="FFFFFF"/>
                <w:left w:val="single" w:sz="6" w:space="0" w:color="FFFFFF"/>
                <w:bottom w:val="single" w:sz="6" w:space="0" w:color="FFFFFF"/>
                <w:right w:val="single" w:sz="6" w:space="0" w:color="FFFFFF"/>
              </w:pBdr>
              <w:spacing w:after="72"/>
              <w:rPr>
                <w:sz w:val="20"/>
                <w:szCs w:val="20"/>
              </w:rPr>
            </w:pPr>
            <w:r w:rsidRPr="00D101F1">
              <w:rPr>
                <w:sz w:val="20"/>
                <w:szCs w:val="20"/>
              </w:rPr>
              <w:t>Annual stack test</w:t>
            </w:r>
            <w:r w:rsidR="00A921A9" w:rsidRPr="00D101F1">
              <w:rPr>
                <w:sz w:val="20"/>
                <w:szCs w:val="20"/>
              </w:rPr>
              <w:t>ing</w:t>
            </w:r>
            <w:r w:rsidRPr="00D101F1">
              <w:rPr>
                <w:sz w:val="20"/>
                <w:szCs w:val="20"/>
              </w:rPr>
              <w:t xml:space="preserve"> </w:t>
            </w:r>
            <w:r w:rsidRPr="00D101F1">
              <w:rPr>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c>
          <w:tcPr>
            <w:tcW w:w="1173"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E90811"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$12,500</w:t>
            </w:r>
          </w:p>
        </w:tc>
        <w:tc>
          <w:tcPr>
            <w:tcW w:w="126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E8178E"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90</w:t>
            </w:r>
          </w:p>
        </w:tc>
        <w:tc>
          <w:tcPr>
            <w:tcW w:w="1170" w:type="dxa"/>
            <w:tcBorders>
              <w:top w:val="single" w:sz="7" w:space="0" w:color="000000"/>
              <w:left w:val="single" w:sz="7" w:space="0" w:color="000000"/>
              <w:bottom w:val="single" w:sz="7" w:space="0" w:color="000000"/>
              <w:right w:val="single" w:sz="7" w:space="0" w:color="000000"/>
            </w:tcBorders>
            <w:vAlign w:val="center"/>
          </w:tcPr>
          <w:p w:rsidR="00B15389" w:rsidRPr="00D101F1" w:rsidRDefault="002D1733"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$1,125,000</w:t>
            </w:r>
          </w:p>
        </w:tc>
      </w:tr>
      <w:tr w:rsidR="00B15389" w:rsidRPr="00D101F1" w:rsidTr="00784D12">
        <w:trPr>
          <w:jc w:val="center"/>
        </w:trPr>
        <w:tc>
          <w:tcPr>
            <w:tcW w:w="1980" w:type="dxa"/>
            <w:tcBorders>
              <w:top w:val="single" w:sz="7" w:space="0" w:color="000000"/>
              <w:left w:val="single" w:sz="7" w:space="0" w:color="000000"/>
              <w:bottom w:val="single" w:sz="7" w:space="0" w:color="000000"/>
              <w:right w:val="single" w:sz="6" w:space="0" w:color="FFFFFF"/>
            </w:tcBorders>
          </w:tcPr>
          <w:p w:rsidR="00B15389" w:rsidRPr="00D101F1" w:rsidRDefault="00B15389">
            <w:pPr>
              <w:pBdr>
                <w:top w:val="single" w:sz="6" w:space="0" w:color="FFFFFF"/>
                <w:left w:val="single" w:sz="6" w:space="0" w:color="FFFFFF"/>
                <w:bottom w:val="single" w:sz="6" w:space="0" w:color="FFFFFF"/>
                <w:right w:val="single" w:sz="6" w:space="0" w:color="FFFFFF"/>
              </w:pBdr>
              <w:spacing w:after="72"/>
              <w:rPr>
                <w:sz w:val="20"/>
                <w:szCs w:val="20"/>
              </w:rPr>
            </w:pPr>
            <w:r w:rsidRPr="00D101F1">
              <w:rPr>
                <w:sz w:val="20"/>
                <w:szCs w:val="20"/>
              </w:rPr>
              <w:t xml:space="preserve">Continuous parameter monitoring (including bypass stack) </w:t>
            </w:r>
            <w:r w:rsidRPr="00D101F1">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c>
          <w:tcPr>
            <w:tcW w:w="1173"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E90811"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B15389"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$211</w:t>
            </w:r>
          </w:p>
        </w:tc>
        <w:tc>
          <w:tcPr>
            <w:tcW w:w="1260" w:type="dxa"/>
            <w:tcBorders>
              <w:top w:val="single" w:sz="7" w:space="0" w:color="000000"/>
              <w:left w:val="single" w:sz="7" w:space="0" w:color="000000"/>
              <w:bottom w:val="single" w:sz="7" w:space="0" w:color="000000"/>
              <w:right w:val="single" w:sz="6" w:space="0" w:color="FFFFFF"/>
            </w:tcBorders>
            <w:vAlign w:val="center"/>
          </w:tcPr>
          <w:p w:rsidR="00E8178E" w:rsidRPr="00D101F1" w:rsidRDefault="00B15389"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9</w:t>
            </w:r>
            <w:r w:rsidR="00E8178E" w:rsidRPr="00D101F1">
              <w:rPr>
                <w:sz w:val="20"/>
                <w:szCs w:val="20"/>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B15389" w:rsidRPr="00D101F1" w:rsidRDefault="002D1733"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$18,990</w:t>
            </w:r>
          </w:p>
        </w:tc>
      </w:tr>
      <w:tr w:rsidR="00784D12" w:rsidRPr="00D101F1" w:rsidTr="00784D12">
        <w:trPr>
          <w:jc w:val="center"/>
        </w:trPr>
        <w:tc>
          <w:tcPr>
            <w:tcW w:w="1980" w:type="dxa"/>
            <w:tcBorders>
              <w:top w:val="single" w:sz="7" w:space="0" w:color="000000"/>
              <w:left w:val="single" w:sz="7" w:space="0" w:color="000000"/>
              <w:bottom w:val="single" w:sz="7" w:space="0" w:color="000000"/>
              <w:right w:val="single" w:sz="6" w:space="0" w:color="FFFFFF"/>
            </w:tcBorders>
          </w:tcPr>
          <w:p w:rsidR="00784D12" w:rsidRPr="00D101F1" w:rsidRDefault="00784D12">
            <w:pPr>
              <w:pBdr>
                <w:top w:val="single" w:sz="6" w:space="0" w:color="FFFFFF"/>
                <w:left w:val="single" w:sz="6" w:space="0" w:color="FFFFFF"/>
                <w:bottom w:val="single" w:sz="6" w:space="0" w:color="FFFFFF"/>
                <w:right w:val="single" w:sz="6" w:space="0" w:color="FFFFFF"/>
              </w:pBdr>
              <w:spacing w:after="72"/>
              <w:rPr>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784D12" w:rsidRPr="00D101F1" w:rsidRDefault="00784D12"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173" w:type="dxa"/>
            <w:tcBorders>
              <w:top w:val="single" w:sz="7" w:space="0" w:color="000000"/>
              <w:left w:val="single" w:sz="7" w:space="0" w:color="000000"/>
              <w:bottom w:val="single" w:sz="7" w:space="0" w:color="000000"/>
              <w:right w:val="single" w:sz="6" w:space="0" w:color="FFFFFF"/>
            </w:tcBorders>
            <w:vAlign w:val="center"/>
          </w:tcPr>
          <w:p w:rsidR="00784D12" w:rsidRPr="00D101F1" w:rsidRDefault="00784D12"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784D12" w:rsidRPr="00D101F1" w:rsidRDefault="00784D12" w:rsidP="00E90811">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w:t>
            </w:r>
            <w:r w:rsidR="00E9081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784D12" w:rsidRPr="00D101F1" w:rsidRDefault="00784D12"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84D12" w:rsidRPr="00D101F1" w:rsidRDefault="00784D12"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784D12" w:rsidRPr="00D101F1" w:rsidRDefault="00784D12" w:rsidP="00784D1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$1,143,990</w:t>
            </w:r>
          </w:p>
        </w:tc>
      </w:tr>
    </w:tbl>
    <w:p w:rsidR="00E8178E" w:rsidRPr="00CF5812" w:rsidRDefault="00E8178E" w:rsidP="00E8178E">
      <w:pPr>
        <w:pBdr>
          <w:top w:val="single" w:sz="6" w:space="0" w:color="FFFFFF"/>
          <w:left w:val="single" w:sz="6" w:space="0" w:color="FFFFFF"/>
          <w:bottom w:val="single" w:sz="6" w:space="0" w:color="FFFFFF"/>
          <w:right w:val="single" w:sz="6" w:space="0" w:color="FFFFFF"/>
        </w:pBdr>
        <w:ind w:left="90" w:hanging="90"/>
        <w:rPr>
          <w:sz w:val="18"/>
          <w:szCs w:val="18"/>
        </w:rPr>
      </w:pPr>
      <w:r w:rsidRPr="00CF5812">
        <w:rPr>
          <w:sz w:val="18"/>
          <w:szCs w:val="18"/>
          <w:vertAlign w:val="superscript"/>
        </w:rPr>
        <w:t>1</w:t>
      </w:r>
      <w:r w:rsidRPr="00CF5812">
        <w:rPr>
          <w:sz w:val="18"/>
          <w:szCs w:val="18"/>
        </w:rPr>
        <w:t xml:space="preserve"> Total capital cost of parameter monitoring for wet scrubbers minus planning and equipment selecting cost equals: $18,786 - $800 = $17,986.  Based on 0.11746 capital recovery factor, 10 percent interest rate, and 20 year lifetime of the units = $2,113; $2,113 x 1.06 cost adjustment = $2,240.</w:t>
      </w:r>
    </w:p>
    <w:p w:rsidR="00E8178E" w:rsidRPr="00CF5812" w:rsidRDefault="00E8178E" w:rsidP="00E8178E">
      <w:pPr>
        <w:pBdr>
          <w:top w:val="single" w:sz="6" w:space="0" w:color="FFFFFF"/>
          <w:left w:val="single" w:sz="6" w:space="0" w:color="FFFFFF"/>
          <w:bottom w:val="single" w:sz="6" w:space="0" w:color="FFFFFF"/>
          <w:right w:val="single" w:sz="6" w:space="0" w:color="FFFFFF"/>
        </w:pBdr>
        <w:ind w:left="90" w:hanging="90"/>
        <w:rPr>
          <w:sz w:val="18"/>
          <w:szCs w:val="18"/>
        </w:rPr>
      </w:pPr>
      <w:r w:rsidRPr="00CF5812">
        <w:rPr>
          <w:sz w:val="18"/>
          <w:szCs w:val="18"/>
          <w:vertAlign w:val="superscript"/>
        </w:rPr>
        <w:t>2</w:t>
      </w:r>
      <w:r w:rsidRPr="00CF5812">
        <w:rPr>
          <w:sz w:val="18"/>
          <w:szCs w:val="18"/>
        </w:rPr>
        <w:t xml:space="preserve"> Assume 125 contractor hours per respondent and an average contractor labor rate of $100 per hour; 125 x $100 = $12,500.</w:t>
      </w:r>
    </w:p>
    <w:p w:rsidR="00127DE4" w:rsidRPr="001D6B36" w:rsidRDefault="00E8178E" w:rsidP="001D6B36">
      <w:pPr>
        <w:pBdr>
          <w:top w:val="single" w:sz="6" w:space="0" w:color="FFFFFF"/>
          <w:left w:val="single" w:sz="6" w:space="0" w:color="FFFFFF"/>
          <w:bottom w:val="single" w:sz="6" w:space="0" w:color="FFFFFF"/>
          <w:right w:val="single" w:sz="6" w:space="0" w:color="FFFFFF"/>
        </w:pBdr>
        <w:ind w:left="90" w:hanging="90"/>
        <w:rPr>
          <w:sz w:val="18"/>
          <w:szCs w:val="18"/>
        </w:rPr>
      </w:pPr>
      <w:r w:rsidRPr="00CF5812">
        <w:rPr>
          <w:sz w:val="18"/>
          <w:szCs w:val="18"/>
          <w:vertAlign w:val="superscript"/>
        </w:rPr>
        <w:t>3</w:t>
      </w:r>
      <w:r w:rsidRPr="00CF5812">
        <w:rPr>
          <w:sz w:val="18"/>
          <w:szCs w:val="18"/>
        </w:rPr>
        <w:t xml:space="preserve"> Based on the memorandum titled "</w:t>
      </w:r>
      <w:r w:rsidR="00A706AF" w:rsidRPr="00CF5812">
        <w:rPr>
          <w:sz w:val="18"/>
          <w:szCs w:val="18"/>
        </w:rPr>
        <w:t xml:space="preserve"> Revised Testing and Monitoring Options and Costs for Medical Waste Incinerators (MWIs) - Methodology and Assumptions (A-91-61</w:t>
      </w:r>
      <w:proofErr w:type="gramStart"/>
      <w:r w:rsidR="00A706AF" w:rsidRPr="00CF5812">
        <w:rPr>
          <w:sz w:val="18"/>
          <w:szCs w:val="18"/>
        </w:rPr>
        <w:t>,IV</w:t>
      </w:r>
      <w:proofErr w:type="gramEnd"/>
      <w:r w:rsidR="00A706AF" w:rsidRPr="00CF5812">
        <w:rPr>
          <w:sz w:val="18"/>
          <w:szCs w:val="18"/>
        </w:rPr>
        <w:t>-B-66)</w:t>
      </w:r>
      <w:r w:rsidRPr="00CF5812">
        <w:rPr>
          <w:sz w:val="18"/>
          <w:szCs w:val="18"/>
        </w:rPr>
        <w:t>," O&amp;M cost = $1,693 x 0.11746 = $199; $199 x 1.06 cost adjustment = $211.</w:t>
      </w:r>
    </w:p>
    <w:p w:rsidR="00DF2AE9" w:rsidRDefault="00DF2AE9">
      <w:pPr>
        <w:pBdr>
          <w:top w:val="single" w:sz="6" w:space="0" w:color="FFFFFF"/>
          <w:left w:val="single" w:sz="6" w:space="0" w:color="FFFFFF"/>
          <w:bottom w:val="single" w:sz="6" w:space="0" w:color="FFFFFF"/>
          <w:right w:val="single" w:sz="6" w:space="0" w:color="FFFFFF"/>
        </w:pBdr>
        <w:ind w:firstLine="720"/>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The total capital/startup costs for this ICR are </w:t>
      </w:r>
      <w:r w:rsidR="00E90811">
        <w:t>$0</w:t>
      </w:r>
      <w:r w:rsidRPr="00D101F1">
        <w:t>.  This is the total o</w:t>
      </w:r>
      <w:r w:rsidR="00507EC5" w:rsidRPr="00D101F1">
        <w:t xml:space="preserve">f column D in the above table.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lastRenderedPageBreak/>
        <w:t xml:space="preserve">The total O&amp;M costs for this ICR are </w:t>
      </w:r>
      <w:r w:rsidR="00F16C41" w:rsidRPr="00D101F1">
        <w:t>$1,143,990</w:t>
      </w:r>
      <w:r w:rsidRPr="00D101F1">
        <w:t xml:space="preserve">.  </w:t>
      </w:r>
      <w:r w:rsidR="00507EC5" w:rsidRPr="00D101F1">
        <w:t xml:space="preserve">This is the total of column G. </w:t>
      </w:r>
    </w:p>
    <w:p w:rsidR="004C701D" w:rsidRPr="00D101F1" w:rsidRDefault="004C701D">
      <w:pPr>
        <w:pBdr>
          <w:top w:val="single" w:sz="6" w:space="0" w:color="FFFFFF"/>
          <w:left w:val="single" w:sz="6" w:space="0" w:color="FFFFFF"/>
          <w:bottom w:val="single" w:sz="6" w:space="0" w:color="FFFFFF"/>
          <w:right w:val="single" w:sz="6" w:space="0" w:color="FFFFFF"/>
        </w:pBdr>
        <w:ind w:firstLine="720"/>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The average annual cost for capital/startup and operation and maintenance costs to industry over the next three years of the IC</w:t>
      </w:r>
      <w:r w:rsidR="00F6112F" w:rsidRPr="00D101F1">
        <w:t xml:space="preserve">R is estimated to be </w:t>
      </w:r>
      <w:r w:rsidR="00E90811" w:rsidRPr="00E90811">
        <w:t>$1,143,990</w:t>
      </w:r>
      <w:r w:rsidRPr="00D101F1">
        <w:t>.</w:t>
      </w:r>
      <w:r w:rsidR="001C5991" w:rsidRPr="00D101F1">
        <w:t xml:space="preserve">  These are</w:t>
      </w:r>
      <w:r w:rsidR="00DF2AE9">
        <w:t xml:space="preserve"> the</w:t>
      </w:r>
      <w:r w:rsidR="001C5991" w:rsidRPr="00D101F1">
        <w:t xml:space="preserve"> costs</w:t>
      </w:r>
      <w:r w:rsidR="00DF2AE9">
        <w:t xml:space="preserve"> of recordke</w:t>
      </w:r>
      <w:r w:rsidR="009D1AE1">
        <w:t>e</w:t>
      </w:r>
      <w:r w:rsidR="00DF2AE9">
        <w:t>ping</w:t>
      </w:r>
      <w:r w:rsidR="00127DE4" w:rsidRPr="00D101F1">
        <w:t>.</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rsidP="00B57BF7">
      <w:pPr>
        <w:keepNext/>
        <w:pBdr>
          <w:top w:val="single" w:sz="6" w:space="0" w:color="FFFFFF"/>
          <w:left w:val="single" w:sz="6" w:space="0" w:color="FFFFFF"/>
          <w:bottom w:val="single" w:sz="6" w:space="0" w:color="FFFFFF"/>
          <w:right w:val="single" w:sz="6" w:space="0" w:color="FFFFFF"/>
        </w:pBdr>
        <w:ind w:firstLine="720"/>
      </w:pPr>
      <w:r w:rsidRPr="00D101F1">
        <w:rPr>
          <w:b/>
          <w:bCs/>
        </w:rPr>
        <w:t>6(c</w:t>
      </w:r>
      <w:proofErr w:type="gramStart"/>
      <w:r w:rsidRPr="00D101F1">
        <w:rPr>
          <w:b/>
          <w:bCs/>
        </w:rPr>
        <w:t>)  Estimating</w:t>
      </w:r>
      <w:proofErr w:type="gramEnd"/>
      <w:r w:rsidRPr="00D101F1">
        <w:rPr>
          <w:b/>
          <w:bCs/>
        </w:rPr>
        <w:t xml:space="preserve"> Agency Burden and Cost</w:t>
      </w:r>
    </w:p>
    <w:p w:rsidR="00CA4CD6" w:rsidRPr="00D101F1" w:rsidRDefault="00CA4CD6" w:rsidP="00B57BF7">
      <w:pPr>
        <w:keepNext/>
        <w:pBdr>
          <w:top w:val="single" w:sz="6" w:space="0" w:color="FFFFFF"/>
          <w:left w:val="single" w:sz="6" w:space="0" w:color="FFFFFF"/>
          <w:bottom w:val="single" w:sz="6" w:space="0" w:color="FFFFFF"/>
          <w:right w:val="single" w:sz="6" w:space="0" w:color="FFFFFF"/>
        </w:pBdr>
      </w:pPr>
    </w:p>
    <w:p w:rsidR="00CA4CD6" w:rsidRPr="00D101F1" w:rsidRDefault="00CA4CD6" w:rsidP="00B57BF7">
      <w:pPr>
        <w:keepNext/>
        <w:pBdr>
          <w:top w:val="single" w:sz="6" w:space="0" w:color="FFFFFF"/>
          <w:left w:val="single" w:sz="6" w:space="0" w:color="FFFFFF"/>
          <w:bottom w:val="single" w:sz="6" w:space="0" w:color="FFFFFF"/>
          <w:right w:val="single" w:sz="6" w:space="0" w:color="FFFFFF"/>
        </w:pBdr>
        <w:ind w:firstLine="720"/>
      </w:pPr>
      <w:r w:rsidRPr="00D101F1">
        <w:t>The only costs to the Agency are those costs associated with analysis of the reported information.  EPA's overall compliance and enforcement program i</w:t>
      </w:r>
      <w:r w:rsidR="005C42AC" w:rsidRPr="00D101F1">
        <w:t xml:space="preserve">ncludes activities such as </w:t>
      </w:r>
      <w:r w:rsidR="00DF2AE9">
        <w:t xml:space="preserve">   </w:t>
      </w:r>
      <w:r w:rsidR="005C42AC" w:rsidRPr="00D101F1">
        <w:t xml:space="preserve">the </w:t>
      </w:r>
      <w:r w:rsidRPr="00D101F1">
        <w:t xml:space="preserve">examination of records maintained by the respondents, periodic inspection of sources of emissions, and the publication and distribution of collected information.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The average annual Agency cost during the three years of the ICR is estimated to be </w:t>
      </w:r>
      <w:r w:rsidR="00E90811">
        <w:t>$</w:t>
      </w:r>
      <w:r w:rsidR="00E90811" w:rsidRPr="00E90811">
        <w:t>46,642</w:t>
      </w:r>
      <w:r w:rsidRPr="00D101F1">
        <w:t xml:space="preserve">.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This cost is based on the average hourly labor rate as follows:</w:t>
      </w:r>
    </w:p>
    <w:p w:rsidR="00D2273E" w:rsidRPr="00D101F1" w:rsidRDefault="00D2273E" w:rsidP="00D2273E"/>
    <w:p w:rsidR="00CA4CD6" w:rsidRPr="00D101F1" w:rsidRDefault="00D2273E" w:rsidP="00D2273E">
      <w:r w:rsidRPr="00D101F1">
        <w:tab/>
      </w:r>
      <w:r w:rsidRPr="00D101F1">
        <w:tab/>
      </w:r>
      <w:r w:rsidR="00CA4CD6" w:rsidRPr="00D101F1">
        <w:t>Managerial</w:t>
      </w:r>
      <w:r w:rsidR="00CA4CD6" w:rsidRPr="00D101F1">
        <w:tab/>
        <w:t>$</w:t>
      </w:r>
      <w:r w:rsidR="00A038EC" w:rsidRPr="00D101F1">
        <w:t>6</w:t>
      </w:r>
      <w:r w:rsidR="002B517F" w:rsidRPr="00D101F1">
        <w:t>2.27</w:t>
      </w:r>
      <w:r w:rsidR="00CA4CD6" w:rsidRPr="00D101F1">
        <w:t xml:space="preserve"> (GS-13, Step 5, $</w:t>
      </w:r>
      <w:r w:rsidR="009018EC" w:rsidRPr="00D101F1">
        <w:t>3</w:t>
      </w:r>
      <w:r w:rsidR="00A038EC" w:rsidRPr="00D101F1">
        <w:t>8.</w:t>
      </w:r>
      <w:r w:rsidR="002B517F" w:rsidRPr="00D101F1">
        <w:t>92</w:t>
      </w:r>
      <w:r w:rsidR="00CA4CD6" w:rsidRPr="00D101F1">
        <w:t xml:space="preserve"> </w:t>
      </w:r>
      <w:r w:rsidR="00E77D5E" w:rsidRPr="00D101F1">
        <w:t>+ 60%</w:t>
      </w:r>
      <w:r w:rsidR="00D46FA2" w:rsidRPr="00D101F1">
        <w:t xml:space="preserve">) </w:t>
      </w:r>
    </w:p>
    <w:p w:rsidR="00CA4CD6" w:rsidRPr="00D101F1" w:rsidRDefault="00D2273E" w:rsidP="00D2273E">
      <w:r w:rsidRPr="00D101F1">
        <w:tab/>
      </w:r>
      <w:r w:rsidRPr="00D101F1">
        <w:tab/>
      </w:r>
      <w:r w:rsidR="00CA4CD6" w:rsidRPr="00D101F1">
        <w:t>Technical</w:t>
      </w:r>
      <w:r w:rsidR="00CA4CD6" w:rsidRPr="00D101F1">
        <w:tab/>
        <w:t>$</w:t>
      </w:r>
      <w:r w:rsidR="009018EC" w:rsidRPr="00D101F1">
        <w:t>4</w:t>
      </w:r>
      <w:r w:rsidR="002B517F" w:rsidRPr="00D101F1">
        <w:t>6</w:t>
      </w:r>
      <w:r w:rsidR="00A038EC" w:rsidRPr="00D101F1">
        <w:t>.</w:t>
      </w:r>
      <w:r w:rsidR="002B517F" w:rsidRPr="00D101F1">
        <w:t>21</w:t>
      </w:r>
      <w:r w:rsidR="00CA4CD6" w:rsidRPr="00D101F1">
        <w:t xml:space="preserve"> (GS-12, Step 1, $</w:t>
      </w:r>
      <w:r w:rsidR="00A038EC" w:rsidRPr="00D101F1">
        <w:t>28.</w:t>
      </w:r>
      <w:r w:rsidR="002B517F" w:rsidRPr="00D101F1">
        <w:t>88</w:t>
      </w:r>
      <w:r w:rsidR="00CA4CD6" w:rsidRPr="00D101F1">
        <w:t xml:space="preserve"> </w:t>
      </w:r>
      <w:r w:rsidR="00E77D5E" w:rsidRPr="00D101F1">
        <w:t>+ 60%</w:t>
      </w:r>
      <w:r w:rsidR="00CA4CD6" w:rsidRPr="00D101F1">
        <w:t>)</w:t>
      </w:r>
    </w:p>
    <w:p w:rsidR="00CA4CD6" w:rsidRPr="00D101F1" w:rsidRDefault="00D2273E" w:rsidP="00D2273E">
      <w:r w:rsidRPr="00D101F1">
        <w:tab/>
      </w:r>
      <w:r w:rsidRPr="00D101F1">
        <w:tab/>
      </w:r>
      <w:r w:rsidR="00CA4CD6" w:rsidRPr="00D101F1">
        <w:t>Clerical</w:t>
      </w:r>
      <w:r w:rsidR="00CA4CD6" w:rsidRPr="00D101F1">
        <w:tab/>
        <w:t>$2</w:t>
      </w:r>
      <w:r w:rsidR="002B517F" w:rsidRPr="00D101F1">
        <w:t>5.01</w:t>
      </w:r>
      <w:r w:rsidR="00CA4CD6" w:rsidRPr="00D101F1">
        <w:t xml:space="preserve"> (GS-6, Step 3, $</w:t>
      </w:r>
      <w:r w:rsidR="00A038EC" w:rsidRPr="00D101F1">
        <w:t>15.</w:t>
      </w:r>
      <w:r w:rsidR="002B517F" w:rsidRPr="00D101F1">
        <w:t>63</w:t>
      </w:r>
      <w:r w:rsidR="00CA4CD6" w:rsidRPr="00D101F1">
        <w:t xml:space="preserve"> </w:t>
      </w:r>
      <w:r w:rsidR="00E77D5E" w:rsidRPr="00D101F1">
        <w:t>+ 60%</w:t>
      </w:r>
      <w:r w:rsidR="00CA4CD6" w:rsidRPr="00D101F1">
        <w:t>)</w:t>
      </w:r>
    </w:p>
    <w:p w:rsidR="00CA4CD6" w:rsidRPr="00D101F1" w:rsidRDefault="00CA4CD6">
      <w:pPr>
        <w:pBdr>
          <w:top w:val="single" w:sz="6" w:space="0" w:color="FFFFFF"/>
          <w:left w:val="single" w:sz="6" w:space="0" w:color="FFFFFF"/>
          <w:bottom w:val="single" w:sz="6" w:space="0" w:color="FFFFFF"/>
          <w:right w:val="single" w:sz="6" w:space="0" w:color="FFFFFF"/>
        </w:pBdr>
      </w:pPr>
    </w:p>
    <w:p w:rsidR="001A2084" w:rsidRPr="00D101F1" w:rsidRDefault="00CA4CD6">
      <w:pPr>
        <w:pBdr>
          <w:top w:val="single" w:sz="6" w:space="0" w:color="FFFFFF"/>
          <w:left w:val="single" w:sz="6" w:space="0" w:color="FFFFFF"/>
          <w:bottom w:val="single" w:sz="6" w:space="0" w:color="FFFFFF"/>
          <w:right w:val="single" w:sz="6" w:space="0" w:color="FFFFFF"/>
        </w:pBdr>
      </w:pPr>
      <w:r w:rsidRPr="00D101F1">
        <w:t>These rates are from the Office of Personnel Management (OPM)</w:t>
      </w:r>
      <w:r w:rsidR="007A458D" w:rsidRPr="00D101F1">
        <w:t>,</w:t>
      </w:r>
      <w:r w:rsidRPr="00D101F1">
        <w:t xml:space="preserve"> 20</w:t>
      </w:r>
      <w:r w:rsidR="002B517F" w:rsidRPr="00D101F1">
        <w:t>1</w:t>
      </w:r>
      <w:r w:rsidR="00281CAE" w:rsidRPr="00D101F1">
        <w:t>1</w:t>
      </w:r>
      <w:r w:rsidRPr="00D101F1">
        <w:t xml:space="preserve"> General Schedule</w:t>
      </w:r>
      <w:r w:rsidR="007A458D" w:rsidRPr="00D101F1">
        <w:t>,</w:t>
      </w:r>
      <w:r w:rsidRPr="00D101F1">
        <w:t xml:space="preserve"> which excludes locality</w:t>
      </w:r>
      <w:r w:rsidR="00C741BA">
        <w:t>,</w:t>
      </w:r>
      <w:r w:rsidRPr="00D101F1">
        <w:t xml:space="preserve"> rates of pay.</w:t>
      </w:r>
      <w:r w:rsidR="00E77D5E" w:rsidRPr="00D101F1">
        <w:t xml:space="preserve">  The rates have been increased by 60</w:t>
      </w:r>
      <w:r w:rsidR="00D2273E" w:rsidRPr="00D101F1">
        <w:t xml:space="preserve"> percent</w:t>
      </w:r>
      <w:r w:rsidR="00E77D5E" w:rsidRPr="00D101F1">
        <w:t xml:space="preserve"> to account for the benefit packages available to government employees.  </w:t>
      </w:r>
      <w:r w:rsidRPr="00D101F1">
        <w:t xml:space="preserve">Details upon which this estimate is based appear </w:t>
      </w:r>
      <w:r w:rsidR="007A458D" w:rsidRPr="00D101F1">
        <w:t xml:space="preserve">below in </w:t>
      </w:r>
      <w:r w:rsidRPr="00D101F1">
        <w:t>Table 2</w:t>
      </w:r>
      <w:r w:rsidR="001A2084" w:rsidRPr="00D101F1">
        <w:t>: Average Annual EPA Burden and Cost – Emission Guidelines for Commercial and Industrial Solid Waste Incineration Units (40 CFR Part 60, Subpart DDDD) (Renewal).</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rPr>
          <w:b/>
          <w:bCs/>
        </w:rPr>
      </w:pPr>
      <w:r w:rsidRPr="00D101F1">
        <w:rPr>
          <w:b/>
          <w:bCs/>
        </w:rPr>
        <w:t>6(d</w:t>
      </w:r>
      <w:proofErr w:type="gramStart"/>
      <w:r w:rsidRPr="00D101F1">
        <w:rPr>
          <w:b/>
          <w:bCs/>
        </w:rPr>
        <w:t>)  Estimating</w:t>
      </w:r>
      <w:proofErr w:type="gramEnd"/>
      <w:r w:rsidRPr="00D101F1">
        <w:rPr>
          <w:b/>
          <w:bCs/>
        </w:rPr>
        <w:t xml:space="preserve"> the Respondent Universe and Total Burden and Costs</w:t>
      </w:r>
    </w:p>
    <w:p w:rsidR="00CA4CD6" w:rsidRPr="00D101F1" w:rsidRDefault="00CA4CD6">
      <w:pPr>
        <w:pBdr>
          <w:top w:val="single" w:sz="6" w:space="0" w:color="FFFFFF"/>
          <w:left w:val="single" w:sz="6" w:space="0" w:color="FFFFFF"/>
          <w:bottom w:val="single" w:sz="6" w:space="0" w:color="FFFFFF"/>
          <w:right w:val="single" w:sz="6" w:space="0" w:color="FFFFFF"/>
        </w:pBdr>
        <w:rPr>
          <w:b/>
          <w:bCs/>
        </w:rP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 xml:space="preserve">Based on our research for this ICR, on average over the next three years, approximately </w:t>
      </w:r>
      <w:r w:rsidR="00B57BF7" w:rsidRPr="00D101F1">
        <w:t xml:space="preserve">90 </w:t>
      </w:r>
      <w:r w:rsidRPr="00D101F1">
        <w:t xml:space="preserve">existing respondents will be subject to the standard.  </w:t>
      </w:r>
      <w:r w:rsidR="00A75E5F">
        <w:t xml:space="preserve">No new respondents </w:t>
      </w:r>
      <w:r w:rsidRPr="00D101F1">
        <w:t>will become subject.  The overall average number of respondent</w:t>
      </w:r>
      <w:r w:rsidR="00F6112F" w:rsidRPr="00D101F1">
        <w:t>s, as shown in the table below,</w:t>
      </w:r>
      <w:r w:rsidRPr="00D101F1">
        <w:t xml:space="preserve"> is </w:t>
      </w:r>
      <w:r w:rsidR="00A75E5F">
        <w:t>90</w:t>
      </w:r>
      <w:r w:rsidR="00A75E5F" w:rsidRPr="00D101F1">
        <w:t xml:space="preserve"> </w:t>
      </w:r>
      <w:r w:rsidRPr="00D101F1">
        <w:t>per year.</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D101F1">
        <w:t xml:space="preserve">The number of respondents is calculated using the following table </w:t>
      </w:r>
      <w:r w:rsidR="002B29A7" w:rsidRPr="00D101F1">
        <w:t xml:space="preserve">that </w:t>
      </w:r>
      <w:r w:rsidRPr="00D101F1">
        <w:t xml:space="preserve">addresses the three years covered by this ICR.  </w:t>
      </w:r>
    </w:p>
    <w:p w:rsidR="0045738C" w:rsidRDefault="0045738C">
      <w:pPr>
        <w:pBdr>
          <w:top w:val="single" w:sz="6" w:space="0" w:color="FFFFFF"/>
          <w:left w:val="single" w:sz="6" w:space="0" w:color="FFFFFF"/>
          <w:bottom w:val="single" w:sz="6" w:space="0" w:color="FFFFFF"/>
          <w:right w:val="single" w:sz="6" w:space="0" w:color="FFFFFF"/>
        </w:pBdr>
        <w:ind w:firstLine="720"/>
      </w:pPr>
    </w:p>
    <w:p w:rsidR="0045738C" w:rsidRDefault="0045738C">
      <w:pPr>
        <w:pBdr>
          <w:top w:val="single" w:sz="6" w:space="0" w:color="FFFFFF"/>
          <w:left w:val="single" w:sz="6" w:space="0" w:color="FFFFFF"/>
          <w:bottom w:val="single" w:sz="6" w:space="0" w:color="FFFFFF"/>
          <w:right w:val="single" w:sz="6" w:space="0" w:color="FFFFFF"/>
        </w:pBdr>
        <w:ind w:firstLine="720"/>
      </w:pPr>
    </w:p>
    <w:p w:rsidR="0045738C" w:rsidRDefault="0045738C">
      <w:pPr>
        <w:pBdr>
          <w:top w:val="single" w:sz="6" w:space="0" w:color="FFFFFF"/>
          <w:left w:val="single" w:sz="6" w:space="0" w:color="FFFFFF"/>
          <w:bottom w:val="single" w:sz="6" w:space="0" w:color="FFFFFF"/>
          <w:right w:val="single" w:sz="6" w:space="0" w:color="FFFFFF"/>
        </w:pBdr>
        <w:ind w:firstLine="720"/>
      </w:pPr>
    </w:p>
    <w:p w:rsidR="0045738C" w:rsidRDefault="0045738C">
      <w:pPr>
        <w:pBdr>
          <w:top w:val="single" w:sz="6" w:space="0" w:color="FFFFFF"/>
          <w:left w:val="single" w:sz="6" w:space="0" w:color="FFFFFF"/>
          <w:bottom w:val="single" w:sz="6" w:space="0" w:color="FFFFFF"/>
          <w:right w:val="single" w:sz="6" w:space="0" w:color="FFFFFF"/>
        </w:pBdr>
        <w:ind w:firstLine="720"/>
      </w:pPr>
    </w:p>
    <w:p w:rsidR="0045738C" w:rsidRDefault="0045738C">
      <w:pPr>
        <w:pBdr>
          <w:top w:val="single" w:sz="6" w:space="0" w:color="FFFFFF"/>
          <w:left w:val="single" w:sz="6" w:space="0" w:color="FFFFFF"/>
          <w:bottom w:val="single" w:sz="6" w:space="0" w:color="FFFFFF"/>
          <w:right w:val="single" w:sz="6" w:space="0" w:color="FFFFFF"/>
        </w:pBdr>
        <w:ind w:firstLine="720"/>
      </w:pPr>
    </w:p>
    <w:p w:rsidR="0045738C" w:rsidRPr="00D101F1" w:rsidRDefault="0045738C">
      <w:pPr>
        <w:pBdr>
          <w:top w:val="single" w:sz="6" w:space="0" w:color="FFFFFF"/>
          <w:left w:val="single" w:sz="6" w:space="0" w:color="FFFFFF"/>
          <w:bottom w:val="single" w:sz="6" w:space="0" w:color="FFFFFF"/>
          <w:right w:val="single" w:sz="6" w:space="0" w:color="FFFFFF"/>
        </w:pBdr>
        <w:ind w:firstLine="720"/>
      </w:pPr>
    </w:p>
    <w:p w:rsidR="00552F9F" w:rsidRDefault="00552F9F">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D101F1" w:rsidTr="001111AB">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101F1">
              <w:rPr>
                <w:b/>
                <w:bCs/>
              </w:rPr>
              <w:t>Number of Respondents</w:t>
            </w:r>
          </w:p>
        </w:tc>
      </w:tr>
      <w:tr w:rsidR="00CA4CD6" w:rsidRPr="00D101F1" w:rsidTr="001111AB">
        <w:trPr>
          <w:trHeight w:val="1234"/>
          <w:tblHeader/>
        </w:trPr>
        <w:tc>
          <w:tcPr>
            <w:tcW w:w="900" w:type="dxa"/>
            <w:tcBorders>
              <w:top w:val="single" w:sz="4" w:space="0" w:color="auto"/>
              <w:left w:val="single" w:sz="4" w:space="0" w:color="auto"/>
              <w:bottom w:val="single" w:sz="4" w:space="0" w:color="auto"/>
              <w:right w:val="single" w:sz="4" w:space="0" w:color="auto"/>
            </w:tcBorders>
          </w:tcPr>
          <w:p w:rsidR="00CA4CD6" w:rsidRPr="00D101F1" w:rsidRDefault="00CA4CD6">
            <w:pPr>
              <w:spacing w:line="120" w:lineRule="exact"/>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Pr="00D101F1" w:rsidRDefault="00CA4CD6" w:rsidP="001111AB">
            <w:pPr>
              <w:spacing w:line="120" w:lineRule="exact"/>
              <w:jc w:val="center"/>
              <w:rPr>
                <w:sz w:val="20"/>
                <w:szCs w:val="20"/>
              </w:rPr>
            </w:pPr>
          </w:p>
          <w:p w:rsidR="00CA4CD6" w:rsidRPr="00D101F1" w:rsidRDefault="00CA4CD6" w:rsidP="001111AB">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(A)</w:t>
            </w:r>
          </w:p>
          <w:p w:rsidR="00CA4CD6" w:rsidRPr="00D101F1" w:rsidRDefault="00CA4CD6" w:rsidP="001111AB">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 xml:space="preserve">Number of New Respondents </w:t>
            </w:r>
            <w:r w:rsidRPr="00D101F1">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Pr="00D101F1" w:rsidRDefault="00CA4CD6">
            <w:pPr>
              <w:spacing w:line="120" w:lineRule="exact"/>
              <w:rPr>
                <w:sz w:val="20"/>
                <w:szCs w:val="20"/>
              </w:rPr>
            </w:pPr>
          </w:p>
          <w:p w:rsidR="00CA4CD6" w:rsidRPr="00D101F1" w:rsidRDefault="00CA4CD6" w:rsidP="001111AB">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(B)</w:t>
            </w:r>
          </w:p>
          <w:p w:rsidR="00CA4CD6" w:rsidRPr="00D101F1" w:rsidRDefault="00CA4CD6" w:rsidP="001111AB">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D101F1" w:rsidRDefault="00CA4CD6">
            <w:pPr>
              <w:spacing w:line="120" w:lineRule="exact"/>
              <w:rPr>
                <w:sz w:val="20"/>
                <w:szCs w:val="20"/>
              </w:rPr>
            </w:pP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(C)</w:t>
            </w:r>
          </w:p>
          <w:p w:rsidR="00CA4CD6" w:rsidRPr="00D101F1" w:rsidRDefault="00CA4CD6" w:rsidP="001111AB">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D101F1" w:rsidRDefault="00CA4CD6" w:rsidP="001111AB">
            <w:pPr>
              <w:spacing w:line="120" w:lineRule="exact"/>
              <w:jc w:val="center"/>
              <w:rPr>
                <w:sz w:val="20"/>
                <w:szCs w:val="20"/>
              </w:rPr>
            </w:pPr>
          </w:p>
          <w:p w:rsidR="00CA4CD6" w:rsidRPr="00D101F1" w:rsidRDefault="00CA4CD6" w:rsidP="001111AB">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(D)</w:t>
            </w:r>
          </w:p>
          <w:p w:rsidR="00CA4CD6" w:rsidRPr="00D101F1" w:rsidRDefault="00CA4CD6" w:rsidP="001111AB">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D101F1" w:rsidRDefault="00CA4CD6" w:rsidP="001111AB">
            <w:pPr>
              <w:spacing w:line="120" w:lineRule="exact"/>
              <w:jc w:val="center"/>
              <w:rPr>
                <w:sz w:val="20"/>
                <w:szCs w:val="20"/>
              </w:rPr>
            </w:pPr>
          </w:p>
          <w:p w:rsidR="00CA4CD6" w:rsidRPr="00D101F1" w:rsidRDefault="00CA4CD6" w:rsidP="001111AB">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(E)</w:t>
            </w:r>
          </w:p>
          <w:p w:rsidR="00CA4CD6" w:rsidRPr="00D101F1" w:rsidRDefault="00CA4CD6" w:rsidP="001111AB">
            <w:pPr>
              <w:pBdr>
                <w:top w:val="single" w:sz="6" w:space="0" w:color="FFFFFF"/>
                <w:left w:val="single" w:sz="6" w:space="0" w:color="FFFFFF"/>
                <w:bottom w:val="single" w:sz="6" w:space="0" w:color="FFFFFF"/>
                <w:right w:val="single" w:sz="6" w:space="0" w:color="FFFFFF"/>
              </w:pBdr>
              <w:jc w:val="center"/>
              <w:rPr>
                <w:sz w:val="20"/>
                <w:szCs w:val="20"/>
              </w:rPr>
            </w:pPr>
            <w:r w:rsidRPr="00D101F1">
              <w:rPr>
                <w:sz w:val="20"/>
                <w:szCs w:val="20"/>
              </w:rPr>
              <w:t>Number of Respondents</w:t>
            </w:r>
          </w:p>
          <w:p w:rsidR="00CA4CD6" w:rsidRPr="00D101F1" w:rsidRDefault="00CA4CD6" w:rsidP="001111AB">
            <w:pPr>
              <w:pBdr>
                <w:top w:val="single" w:sz="6" w:space="0" w:color="FFFFFF"/>
                <w:left w:val="single" w:sz="6" w:space="0" w:color="FFFFFF"/>
                <w:bottom w:val="single" w:sz="6" w:space="0" w:color="FFFFFF"/>
                <w:right w:val="single" w:sz="6" w:space="0" w:color="FFFFFF"/>
              </w:pBdr>
              <w:spacing w:after="52"/>
              <w:jc w:val="center"/>
              <w:rPr>
                <w:sz w:val="20"/>
                <w:szCs w:val="20"/>
              </w:rPr>
            </w:pPr>
            <w:r w:rsidRPr="00D101F1">
              <w:rPr>
                <w:sz w:val="20"/>
                <w:szCs w:val="20"/>
              </w:rPr>
              <w:t>(E=A+B+C-D)</w:t>
            </w:r>
          </w:p>
        </w:tc>
      </w:tr>
      <w:tr w:rsidR="00B57BF7" w:rsidRPr="00D101F1" w:rsidTr="00B57BF7">
        <w:tc>
          <w:tcPr>
            <w:tcW w:w="900" w:type="dxa"/>
            <w:tcBorders>
              <w:top w:val="single" w:sz="4" w:space="0" w:color="auto"/>
              <w:left w:val="single" w:sz="8" w:space="0" w:color="000000"/>
              <w:bottom w:val="single" w:sz="6" w:space="0" w:color="000000"/>
              <w:right w:val="single" w:sz="6" w:space="0" w:color="000000"/>
            </w:tcBorders>
          </w:tcPr>
          <w:p w:rsidR="00B57BF7" w:rsidRPr="00D101F1" w:rsidRDefault="00B57BF7">
            <w:pPr>
              <w:spacing w:line="120" w:lineRule="exact"/>
              <w:rPr>
                <w:sz w:val="20"/>
                <w:szCs w:val="20"/>
              </w:rPr>
            </w:pPr>
          </w:p>
          <w:p w:rsidR="00B57BF7" w:rsidRPr="00D101F1" w:rsidRDefault="00B57BF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A75E5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A75E5F">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90</w:t>
            </w:r>
          </w:p>
        </w:tc>
        <w:tc>
          <w:tcPr>
            <w:tcW w:w="2070" w:type="dxa"/>
            <w:tcBorders>
              <w:top w:val="single" w:sz="4" w:space="0" w:color="auto"/>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90</w:t>
            </w:r>
          </w:p>
        </w:tc>
      </w:tr>
      <w:tr w:rsidR="003F4CB2" w:rsidRPr="00D101F1" w:rsidTr="00D504C7">
        <w:trPr>
          <w:trHeight w:val="291"/>
        </w:trPr>
        <w:tc>
          <w:tcPr>
            <w:tcW w:w="900" w:type="dxa"/>
            <w:tcBorders>
              <w:top w:val="single" w:sz="6" w:space="0" w:color="000000"/>
              <w:left w:val="single" w:sz="8" w:space="0" w:color="000000"/>
              <w:bottom w:val="single" w:sz="6" w:space="0" w:color="000000"/>
              <w:right w:val="single" w:sz="6" w:space="0" w:color="000000"/>
            </w:tcBorders>
          </w:tcPr>
          <w:p w:rsidR="003F4CB2" w:rsidRPr="00D101F1" w:rsidRDefault="003F4CB2" w:rsidP="00D504C7">
            <w:pPr>
              <w:spacing w:line="120" w:lineRule="exact"/>
              <w:rPr>
                <w:sz w:val="20"/>
                <w:szCs w:val="20"/>
              </w:rPr>
            </w:pPr>
          </w:p>
          <w:p w:rsidR="003F4CB2" w:rsidRPr="00D101F1" w:rsidRDefault="003F4CB2" w:rsidP="00D504C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597" w:type="dxa"/>
            <w:tcBorders>
              <w:top w:val="single" w:sz="6" w:space="0" w:color="000000"/>
              <w:left w:val="single" w:sz="6" w:space="0" w:color="000000"/>
              <w:bottom w:val="single" w:sz="6" w:space="0" w:color="000000"/>
              <w:right w:val="single" w:sz="6" w:space="0" w:color="000000"/>
            </w:tcBorders>
          </w:tcPr>
          <w:p w:rsidR="003F4CB2" w:rsidRPr="00D101F1" w:rsidRDefault="003F4CB2" w:rsidP="00D504C7">
            <w:pPr>
              <w:spacing w:line="120" w:lineRule="exact"/>
              <w:rPr>
                <w:sz w:val="18"/>
                <w:szCs w:val="18"/>
              </w:rPr>
            </w:pPr>
          </w:p>
          <w:p w:rsidR="003F4CB2" w:rsidRPr="00D101F1" w:rsidRDefault="003F4CB2" w:rsidP="00D504C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3F4CB2" w:rsidRPr="00D101F1" w:rsidRDefault="003F4CB2" w:rsidP="00D504C7">
            <w:pPr>
              <w:spacing w:line="120" w:lineRule="exact"/>
              <w:rPr>
                <w:sz w:val="18"/>
                <w:szCs w:val="18"/>
              </w:rPr>
            </w:pPr>
          </w:p>
          <w:p w:rsidR="003F4CB2" w:rsidRPr="00D101F1" w:rsidRDefault="003F4CB2" w:rsidP="00D504C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90</w:t>
            </w:r>
          </w:p>
        </w:tc>
        <w:tc>
          <w:tcPr>
            <w:tcW w:w="2070" w:type="dxa"/>
            <w:tcBorders>
              <w:top w:val="single" w:sz="6" w:space="0" w:color="000000"/>
              <w:left w:val="single" w:sz="6" w:space="0" w:color="000000"/>
              <w:bottom w:val="single" w:sz="6" w:space="0" w:color="000000"/>
              <w:right w:val="single" w:sz="6" w:space="0" w:color="000000"/>
            </w:tcBorders>
          </w:tcPr>
          <w:p w:rsidR="003F4CB2" w:rsidRPr="00D101F1" w:rsidRDefault="003F4CB2" w:rsidP="00D504C7">
            <w:pPr>
              <w:spacing w:line="120" w:lineRule="exact"/>
              <w:rPr>
                <w:sz w:val="18"/>
                <w:szCs w:val="18"/>
              </w:rPr>
            </w:pPr>
          </w:p>
          <w:p w:rsidR="003F4CB2" w:rsidRPr="00D101F1" w:rsidRDefault="003F4CB2" w:rsidP="00D504C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3F4CB2" w:rsidRPr="00D101F1" w:rsidRDefault="003F4CB2" w:rsidP="00D504C7">
            <w:pPr>
              <w:spacing w:line="120" w:lineRule="exact"/>
              <w:rPr>
                <w:sz w:val="18"/>
                <w:szCs w:val="18"/>
              </w:rPr>
            </w:pPr>
          </w:p>
          <w:p w:rsidR="003F4CB2" w:rsidRPr="00D101F1" w:rsidRDefault="003F4CB2" w:rsidP="00D504C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3F4CB2" w:rsidRPr="00D101F1" w:rsidRDefault="003F4CB2" w:rsidP="00D504C7">
            <w:pPr>
              <w:spacing w:line="120" w:lineRule="exact"/>
              <w:rPr>
                <w:sz w:val="18"/>
                <w:szCs w:val="18"/>
              </w:rPr>
            </w:pPr>
          </w:p>
          <w:p w:rsidR="003F4CB2" w:rsidRPr="00D101F1" w:rsidRDefault="003F4CB2" w:rsidP="00D504C7">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90</w:t>
            </w:r>
          </w:p>
        </w:tc>
      </w:tr>
      <w:tr w:rsidR="00B57BF7" w:rsidRPr="00D101F1">
        <w:tc>
          <w:tcPr>
            <w:tcW w:w="900" w:type="dxa"/>
            <w:tcBorders>
              <w:top w:val="single" w:sz="6" w:space="0" w:color="000000"/>
              <w:left w:val="single" w:sz="8" w:space="0" w:color="000000"/>
              <w:bottom w:val="single" w:sz="6" w:space="0" w:color="000000"/>
              <w:right w:val="single" w:sz="6" w:space="0" w:color="000000"/>
            </w:tcBorders>
          </w:tcPr>
          <w:p w:rsidR="00B57BF7" w:rsidRPr="00D101F1" w:rsidRDefault="00B57BF7">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r w:rsidRPr="00D101F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A75E5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A75E5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90</w:t>
            </w:r>
          </w:p>
        </w:tc>
        <w:tc>
          <w:tcPr>
            <w:tcW w:w="2070" w:type="dxa"/>
            <w:tcBorders>
              <w:top w:val="single" w:sz="6" w:space="0" w:color="000000"/>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r w:rsidRPr="00D101F1">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r w:rsidRPr="00D101F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B57BF7" w:rsidRPr="00D101F1" w:rsidRDefault="00B57BF7" w:rsidP="00472F94">
            <w:pPr>
              <w:spacing w:line="120" w:lineRule="exact"/>
              <w:rPr>
                <w:sz w:val="18"/>
                <w:szCs w:val="18"/>
              </w:rPr>
            </w:pPr>
          </w:p>
          <w:p w:rsidR="00B57BF7" w:rsidRPr="00D101F1" w:rsidRDefault="00A75E5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90</w:t>
            </w:r>
          </w:p>
        </w:tc>
      </w:tr>
      <w:tr w:rsidR="00B57BF7" w:rsidRPr="00D101F1">
        <w:tc>
          <w:tcPr>
            <w:tcW w:w="900" w:type="dxa"/>
            <w:tcBorders>
              <w:top w:val="single" w:sz="6" w:space="0" w:color="000000"/>
              <w:left w:val="single" w:sz="8" w:space="0" w:color="000000"/>
              <w:bottom w:val="single" w:sz="8" w:space="0" w:color="000000"/>
              <w:right w:val="single" w:sz="6" w:space="0" w:color="000000"/>
            </w:tcBorders>
          </w:tcPr>
          <w:p w:rsidR="00B57BF7" w:rsidRPr="00D101F1" w:rsidRDefault="00B57BF7">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r w:rsidRPr="00D101F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784D1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90</w:t>
            </w:r>
          </w:p>
        </w:tc>
        <w:tc>
          <w:tcPr>
            <w:tcW w:w="2070" w:type="dxa"/>
            <w:tcBorders>
              <w:top w:val="single" w:sz="6" w:space="0" w:color="000000"/>
              <w:left w:val="single" w:sz="6" w:space="0" w:color="000000"/>
              <w:bottom w:val="single" w:sz="8"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B57BF7" w:rsidRPr="00D101F1" w:rsidRDefault="00B57BF7" w:rsidP="00472F94">
            <w:pPr>
              <w:spacing w:line="120" w:lineRule="exact"/>
              <w:rPr>
                <w:sz w:val="18"/>
                <w:szCs w:val="18"/>
              </w:rPr>
            </w:pPr>
          </w:p>
          <w:p w:rsidR="00B57BF7" w:rsidRPr="00D101F1" w:rsidRDefault="00B57BF7">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B57BF7" w:rsidRPr="00D101F1" w:rsidRDefault="00B57BF7" w:rsidP="00472F94">
            <w:pPr>
              <w:spacing w:line="120" w:lineRule="exact"/>
              <w:rPr>
                <w:sz w:val="18"/>
                <w:szCs w:val="18"/>
              </w:rPr>
            </w:pPr>
          </w:p>
          <w:p w:rsidR="00B57BF7" w:rsidRPr="00D101F1" w:rsidRDefault="00A75E5F">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90</w:t>
            </w:r>
          </w:p>
        </w:tc>
      </w:tr>
    </w:tbl>
    <w:p w:rsidR="00CA4CD6" w:rsidRPr="00D101F1" w:rsidRDefault="00CA4CD6" w:rsidP="00B57BF7">
      <w:pPr>
        <w:pBdr>
          <w:top w:val="single" w:sz="6" w:space="0" w:color="FFFFFF"/>
          <w:left w:val="single" w:sz="6" w:space="0" w:color="FFFFFF"/>
          <w:bottom w:val="single" w:sz="6" w:space="0" w:color="FFFFFF"/>
          <w:right w:val="single" w:sz="6" w:space="9" w:color="FFFFFF"/>
        </w:pBdr>
        <w:ind w:firstLine="720"/>
        <w:rPr>
          <w:sz w:val="20"/>
          <w:szCs w:val="20"/>
        </w:rPr>
      </w:pPr>
      <w:r w:rsidRPr="00D101F1">
        <w:rPr>
          <w:sz w:val="20"/>
          <w:szCs w:val="20"/>
          <w:vertAlign w:val="superscript"/>
        </w:rPr>
        <w:t>1</w:t>
      </w:r>
      <w:r w:rsidRPr="00D101F1">
        <w:rPr>
          <w:sz w:val="20"/>
          <w:szCs w:val="20"/>
        </w:rPr>
        <w:t xml:space="preserve"> New respondent include sources with constructed, reconstructed and modified affected facilities</w:t>
      </w:r>
    </w:p>
    <w:p w:rsidR="0045738C" w:rsidRDefault="0045738C" w:rsidP="00B57BF7">
      <w:pPr>
        <w:pBdr>
          <w:top w:val="single" w:sz="6" w:space="0" w:color="FFFFFF"/>
          <w:left w:val="single" w:sz="6" w:space="0" w:color="FFFFFF"/>
          <w:bottom w:val="single" w:sz="6" w:space="0" w:color="FFFFFF"/>
          <w:right w:val="single" w:sz="6" w:space="9" w:color="FFFFFF"/>
        </w:pBdr>
        <w:ind w:firstLine="720"/>
      </w:pPr>
    </w:p>
    <w:p w:rsidR="00CA4CD6" w:rsidRPr="00D101F1" w:rsidRDefault="002B29A7" w:rsidP="00B57BF7">
      <w:pPr>
        <w:pBdr>
          <w:top w:val="single" w:sz="6" w:space="0" w:color="FFFFFF"/>
          <w:left w:val="single" w:sz="6" w:space="0" w:color="FFFFFF"/>
          <w:bottom w:val="single" w:sz="6" w:space="0" w:color="FFFFFF"/>
          <w:right w:val="single" w:sz="6" w:space="9" w:color="FFFFFF"/>
        </w:pBdr>
        <w:ind w:firstLine="720"/>
      </w:pPr>
      <w:r w:rsidRPr="00D101F1">
        <w:t>C</w:t>
      </w:r>
      <w:r w:rsidR="00CA4CD6" w:rsidRPr="00D101F1">
        <w:t>olumn D is subtracted</w:t>
      </w:r>
      <w:r w:rsidRPr="00D101F1">
        <w:t xml:space="preserve"> to avoid double-counting respondents</w:t>
      </w:r>
      <w:r w:rsidR="00CA4CD6" w:rsidRPr="00D101F1">
        <w:t>.</w:t>
      </w:r>
      <w:r w:rsidRPr="00D101F1">
        <w:t xml:space="preserve">  </w:t>
      </w:r>
      <w:r w:rsidR="00CA4CD6" w:rsidRPr="00D101F1">
        <w:t>As shown above, the average Number of Respondents over the three year period of this ICR is</w:t>
      </w:r>
      <w:r w:rsidR="00B57BF7" w:rsidRPr="00D101F1">
        <w:t xml:space="preserve"> </w:t>
      </w:r>
      <w:r w:rsidR="00A75E5F">
        <w:t>90</w:t>
      </w:r>
      <w:r w:rsidR="00B57BF7" w:rsidRPr="00D101F1">
        <w:t>.</w:t>
      </w:r>
    </w:p>
    <w:p w:rsidR="00CA4CD6" w:rsidRPr="00D101F1" w:rsidRDefault="00CA4CD6" w:rsidP="00B57BF7">
      <w:pPr>
        <w:pBdr>
          <w:top w:val="single" w:sz="6" w:space="0" w:color="FFFFFF"/>
          <w:left w:val="single" w:sz="6" w:space="0" w:color="FFFFFF"/>
          <w:bottom w:val="single" w:sz="6" w:space="0" w:color="FFFFFF"/>
          <w:right w:val="single" w:sz="6" w:space="9" w:color="FFFFFF"/>
        </w:pBdr>
      </w:pPr>
    </w:p>
    <w:p w:rsidR="00CA4CD6" w:rsidRPr="00D101F1" w:rsidRDefault="00CA4CD6" w:rsidP="00B57BF7">
      <w:pPr>
        <w:pBdr>
          <w:top w:val="single" w:sz="6" w:space="0" w:color="FFFFFF"/>
          <w:left w:val="single" w:sz="6" w:space="0" w:color="FFFFFF"/>
          <w:bottom w:val="single" w:sz="6" w:space="0" w:color="FFFFFF"/>
          <w:right w:val="single" w:sz="6" w:space="9" w:color="FFFFFF"/>
        </w:pBdr>
        <w:ind w:firstLine="720"/>
      </w:pPr>
      <w:r w:rsidRPr="00D101F1">
        <w:t>The total number of annual responses per year is calculated using the following table:</w:t>
      </w:r>
    </w:p>
    <w:p w:rsidR="00CA4CD6" w:rsidRPr="00D101F1" w:rsidRDefault="00CA4CD6" w:rsidP="00B57BF7">
      <w:pPr>
        <w:pBdr>
          <w:top w:val="single" w:sz="6" w:space="0" w:color="FFFFFF"/>
          <w:left w:val="single" w:sz="6" w:space="0" w:color="FFFFFF"/>
          <w:bottom w:val="single" w:sz="6" w:space="0" w:color="FFFFFF"/>
          <w:right w:val="single" w:sz="6" w:space="9"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90"/>
        <w:gridCol w:w="1260"/>
        <w:gridCol w:w="1260"/>
        <w:gridCol w:w="1890"/>
        <w:gridCol w:w="2070"/>
      </w:tblGrid>
      <w:tr w:rsidR="00A73600" w:rsidRPr="00D101F1" w:rsidTr="006D5CD2">
        <w:trPr>
          <w:tblHeader/>
        </w:trPr>
        <w:tc>
          <w:tcPr>
            <w:tcW w:w="9270" w:type="dxa"/>
            <w:gridSpan w:val="5"/>
          </w:tcPr>
          <w:p w:rsidR="00CA4CD6" w:rsidRPr="00D101F1" w:rsidRDefault="00CA4CD6">
            <w:pPr>
              <w:spacing w:line="120" w:lineRule="exact"/>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101F1">
              <w:rPr>
                <w:b/>
                <w:bCs/>
              </w:rPr>
              <w:t>Total Annual Responses</w:t>
            </w:r>
          </w:p>
        </w:tc>
      </w:tr>
      <w:tr w:rsidR="00CA4CD6" w:rsidRPr="00D101F1" w:rsidTr="006D5CD2">
        <w:trPr>
          <w:tblHeader/>
        </w:trPr>
        <w:tc>
          <w:tcPr>
            <w:tcW w:w="2790" w:type="dxa"/>
          </w:tcPr>
          <w:p w:rsidR="00CA4CD6" w:rsidRPr="00D101F1" w:rsidRDefault="00CA4CD6">
            <w:pPr>
              <w:spacing w:line="120" w:lineRule="exact"/>
              <w:rPr>
                <w:b/>
                <w:bCs/>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(A)</w:t>
            </w: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Information Collection Activity</w:t>
            </w:r>
          </w:p>
        </w:tc>
        <w:tc>
          <w:tcPr>
            <w:tcW w:w="1260" w:type="dxa"/>
          </w:tcPr>
          <w:p w:rsidR="00CA4CD6" w:rsidRPr="00D101F1" w:rsidRDefault="00CA4CD6">
            <w:pPr>
              <w:spacing w:line="120" w:lineRule="exact"/>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(B)</w:t>
            </w: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 xml:space="preserve">Number of Respondents  </w:t>
            </w:r>
          </w:p>
        </w:tc>
        <w:tc>
          <w:tcPr>
            <w:tcW w:w="1260" w:type="dxa"/>
          </w:tcPr>
          <w:p w:rsidR="00CA4CD6" w:rsidRPr="00D101F1" w:rsidRDefault="00CA4CD6">
            <w:pPr>
              <w:spacing w:line="120" w:lineRule="exact"/>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(C)</w:t>
            </w: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Number of Responses</w:t>
            </w:r>
          </w:p>
        </w:tc>
        <w:tc>
          <w:tcPr>
            <w:tcW w:w="1890" w:type="dxa"/>
          </w:tcPr>
          <w:p w:rsidR="00CA4CD6" w:rsidRPr="00D101F1" w:rsidRDefault="00CA4CD6">
            <w:pPr>
              <w:spacing w:line="120" w:lineRule="exact"/>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(D)</w:t>
            </w:r>
          </w:p>
          <w:p w:rsidR="00CA4CD6" w:rsidRPr="00D101F1" w:rsidRDefault="00CA4CD6" w:rsidP="003F4CB2">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Number of Existing Respondents That Keep Records But Do Not Submit Reports</w:t>
            </w:r>
          </w:p>
        </w:tc>
        <w:tc>
          <w:tcPr>
            <w:tcW w:w="2070" w:type="dxa"/>
          </w:tcPr>
          <w:p w:rsidR="00CA4CD6" w:rsidRPr="00D101F1" w:rsidRDefault="00CA4CD6">
            <w:pPr>
              <w:spacing w:line="120" w:lineRule="exact"/>
              <w:rPr>
                <w:sz w:val="18"/>
                <w:szCs w:val="18"/>
              </w:rPr>
            </w:pP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(E)</w:t>
            </w:r>
          </w:p>
          <w:p w:rsidR="00CA4CD6" w:rsidRPr="00D101F1"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D101F1">
              <w:rPr>
                <w:sz w:val="18"/>
                <w:szCs w:val="18"/>
              </w:rPr>
              <w:t xml:space="preserve">Total Annual  Responses </w:t>
            </w:r>
          </w:p>
          <w:p w:rsidR="00CA4CD6" w:rsidRPr="00D101F1"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E=(</w:t>
            </w:r>
            <w:proofErr w:type="spellStart"/>
            <w:r w:rsidRPr="00D101F1">
              <w:rPr>
                <w:sz w:val="18"/>
                <w:szCs w:val="18"/>
              </w:rPr>
              <w:t>BxC</w:t>
            </w:r>
            <w:proofErr w:type="spellEnd"/>
            <w:r w:rsidRPr="00D101F1">
              <w:rPr>
                <w:sz w:val="18"/>
                <w:szCs w:val="18"/>
              </w:rPr>
              <w:t>)+D</w:t>
            </w:r>
          </w:p>
        </w:tc>
      </w:tr>
      <w:tr w:rsidR="009D7AB3" w:rsidRPr="00D101F1" w:rsidTr="00A764F0">
        <w:tc>
          <w:tcPr>
            <w:tcW w:w="2790" w:type="dxa"/>
            <w:vAlign w:val="center"/>
          </w:tcPr>
          <w:p w:rsidR="009D7AB3" w:rsidRPr="00D101F1" w:rsidRDefault="009D7AB3" w:rsidP="00A764F0">
            <w:pPr>
              <w:spacing w:line="120" w:lineRule="exact"/>
              <w:rPr>
                <w:sz w:val="18"/>
                <w:szCs w:val="18"/>
              </w:rPr>
            </w:pPr>
          </w:p>
          <w:p w:rsidR="009D7AB3" w:rsidRPr="00D101F1" w:rsidRDefault="009D7AB3" w:rsidP="009D7AB3">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Construction/reconstruction notification</w:t>
            </w:r>
          </w:p>
        </w:tc>
        <w:tc>
          <w:tcPr>
            <w:tcW w:w="1260" w:type="dxa"/>
            <w:vAlign w:val="center"/>
          </w:tcPr>
          <w:p w:rsidR="009D7AB3"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D7AB3" w:rsidRPr="00D101F1" w:rsidRDefault="009D7AB3" w:rsidP="00A764F0">
            <w:pPr>
              <w:spacing w:line="120" w:lineRule="exact"/>
              <w:jc w:val="center"/>
              <w:rPr>
                <w:sz w:val="18"/>
                <w:szCs w:val="18"/>
              </w:rPr>
            </w:pPr>
          </w:p>
          <w:p w:rsidR="009D7AB3" w:rsidRPr="00D101F1" w:rsidRDefault="009D7AB3"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D7AB3" w:rsidRPr="00D101F1" w:rsidRDefault="009D7AB3" w:rsidP="00A764F0">
            <w:pPr>
              <w:spacing w:line="120" w:lineRule="exact"/>
              <w:jc w:val="center"/>
              <w:rPr>
                <w:sz w:val="18"/>
                <w:szCs w:val="18"/>
              </w:rPr>
            </w:pPr>
          </w:p>
          <w:p w:rsidR="009D7AB3" w:rsidRPr="00D101F1" w:rsidRDefault="009D7AB3"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D7AB3" w:rsidRPr="00D101F1" w:rsidRDefault="009D7AB3" w:rsidP="00A764F0">
            <w:pPr>
              <w:spacing w:line="120" w:lineRule="exact"/>
              <w:jc w:val="center"/>
              <w:rPr>
                <w:sz w:val="18"/>
                <w:szCs w:val="18"/>
              </w:rPr>
            </w:pPr>
          </w:p>
          <w:p w:rsidR="009D7AB3"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D7AB3" w:rsidRPr="00D101F1" w:rsidTr="00A764F0">
        <w:tc>
          <w:tcPr>
            <w:tcW w:w="2790" w:type="dxa"/>
            <w:vAlign w:val="center"/>
          </w:tcPr>
          <w:p w:rsidR="009D7AB3" w:rsidRPr="00D101F1" w:rsidRDefault="009D7AB3" w:rsidP="00A764F0">
            <w:pPr>
              <w:spacing w:line="120" w:lineRule="exact"/>
              <w:rPr>
                <w:sz w:val="18"/>
                <w:szCs w:val="18"/>
              </w:rPr>
            </w:pPr>
          </w:p>
          <w:p w:rsidR="009D7AB3" w:rsidRPr="00D101F1" w:rsidRDefault="009D7AB3" w:rsidP="009D7AB3">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Startup notification</w:t>
            </w:r>
          </w:p>
        </w:tc>
        <w:tc>
          <w:tcPr>
            <w:tcW w:w="1260" w:type="dxa"/>
            <w:vAlign w:val="center"/>
          </w:tcPr>
          <w:p w:rsidR="009D7AB3"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D7AB3" w:rsidRPr="00D101F1" w:rsidRDefault="009D7AB3" w:rsidP="00A764F0">
            <w:pPr>
              <w:spacing w:line="120" w:lineRule="exact"/>
              <w:jc w:val="center"/>
              <w:rPr>
                <w:sz w:val="18"/>
                <w:szCs w:val="18"/>
              </w:rPr>
            </w:pPr>
          </w:p>
          <w:p w:rsidR="009D7AB3" w:rsidRPr="00D101F1" w:rsidRDefault="009D7AB3"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D7AB3" w:rsidRPr="00D101F1" w:rsidRDefault="009D7AB3" w:rsidP="00A764F0">
            <w:pPr>
              <w:spacing w:line="120" w:lineRule="exact"/>
              <w:jc w:val="center"/>
              <w:rPr>
                <w:sz w:val="18"/>
                <w:szCs w:val="18"/>
              </w:rPr>
            </w:pPr>
          </w:p>
          <w:p w:rsidR="009D7AB3" w:rsidRPr="00D101F1" w:rsidRDefault="009D7AB3"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D7AB3" w:rsidRPr="00D101F1" w:rsidRDefault="009D7AB3" w:rsidP="00A764F0">
            <w:pPr>
              <w:spacing w:line="120" w:lineRule="exact"/>
              <w:jc w:val="center"/>
              <w:rPr>
                <w:sz w:val="18"/>
                <w:szCs w:val="18"/>
              </w:rPr>
            </w:pPr>
          </w:p>
          <w:p w:rsidR="009D7AB3"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A764F0">
        <w:tc>
          <w:tcPr>
            <w:tcW w:w="279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Demonstration date of continuous monitoring system performance notification</w:t>
            </w:r>
          </w:p>
        </w:tc>
        <w:tc>
          <w:tcPr>
            <w:tcW w:w="126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A764F0">
        <w:tc>
          <w:tcPr>
            <w:tcW w:w="279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Anticipated date for conducting opacity observations notification</w:t>
            </w:r>
          </w:p>
        </w:tc>
        <w:tc>
          <w:tcPr>
            <w:tcW w:w="126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A764F0">
        <w:tc>
          <w:tcPr>
            <w:tcW w:w="2790" w:type="dxa"/>
            <w:vAlign w:val="center"/>
          </w:tcPr>
          <w:p w:rsidR="009C47F5" w:rsidRPr="00D101F1" w:rsidRDefault="009C47F5" w:rsidP="009C47F5">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Use of continuous opacity monitoring system data notification</w:t>
            </w:r>
          </w:p>
        </w:tc>
        <w:tc>
          <w:tcPr>
            <w:tcW w:w="126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6D5CD2">
        <w:tc>
          <w:tcPr>
            <w:tcW w:w="2790" w:type="dxa"/>
            <w:vAlign w:val="center"/>
          </w:tcPr>
          <w:p w:rsidR="009C47F5" w:rsidRPr="00D101F1" w:rsidRDefault="009C47F5" w:rsidP="00A764F0">
            <w:pPr>
              <w:spacing w:line="120" w:lineRule="exact"/>
              <w:rPr>
                <w:sz w:val="18"/>
                <w:szCs w:val="18"/>
              </w:rPr>
            </w:pPr>
          </w:p>
          <w:p w:rsidR="009C47F5" w:rsidRPr="00D101F1" w:rsidRDefault="009C47F5" w:rsidP="009D7AB3">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Final control plan notification</w:t>
            </w:r>
          </w:p>
        </w:tc>
        <w:tc>
          <w:tcPr>
            <w:tcW w:w="1260" w:type="dxa"/>
            <w:vAlign w:val="center"/>
          </w:tcPr>
          <w:p w:rsidR="009C47F5" w:rsidRPr="00D101F1" w:rsidRDefault="00A75E5F"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A75E5F"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3F4CB2">
        <w:trPr>
          <w:trHeight w:val="282"/>
        </w:trPr>
        <w:tc>
          <w:tcPr>
            <w:tcW w:w="2790" w:type="dxa"/>
            <w:vAlign w:val="center"/>
          </w:tcPr>
          <w:p w:rsidR="009C47F5" w:rsidRPr="00D101F1" w:rsidRDefault="009C47F5" w:rsidP="00A764F0">
            <w:pPr>
              <w:spacing w:line="120" w:lineRule="exact"/>
              <w:rPr>
                <w:sz w:val="18"/>
                <w:szCs w:val="18"/>
              </w:rPr>
            </w:pPr>
          </w:p>
          <w:p w:rsidR="009C47F5" w:rsidRPr="00D101F1" w:rsidRDefault="009C47F5" w:rsidP="009D7AB3">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Final compliance notification</w:t>
            </w:r>
          </w:p>
        </w:tc>
        <w:tc>
          <w:tcPr>
            <w:tcW w:w="126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A764F0">
        <w:tc>
          <w:tcPr>
            <w:tcW w:w="2790" w:type="dxa"/>
            <w:vAlign w:val="center"/>
          </w:tcPr>
          <w:p w:rsidR="009C47F5" w:rsidRPr="00D101F1" w:rsidRDefault="009C47F5" w:rsidP="00A764F0">
            <w:pPr>
              <w:spacing w:line="120" w:lineRule="exact"/>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Waste management plan</w:t>
            </w:r>
          </w:p>
        </w:tc>
        <w:tc>
          <w:tcPr>
            <w:tcW w:w="126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A75E5F"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6D5CD2">
        <w:tc>
          <w:tcPr>
            <w:tcW w:w="2790" w:type="dxa"/>
            <w:vAlign w:val="center"/>
          </w:tcPr>
          <w:p w:rsidR="009C47F5" w:rsidRPr="00D101F1" w:rsidRDefault="009C47F5" w:rsidP="00A764F0">
            <w:pPr>
              <w:spacing w:line="120" w:lineRule="exact"/>
              <w:rPr>
                <w:sz w:val="18"/>
                <w:szCs w:val="18"/>
              </w:rPr>
            </w:pPr>
          </w:p>
          <w:p w:rsidR="009C47F5" w:rsidRPr="00D101F1" w:rsidRDefault="009C47F5" w:rsidP="00BC04B5">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Initial performance test report</w:t>
            </w:r>
          </w:p>
        </w:tc>
        <w:tc>
          <w:tcPr>
            <w:tcW w:w="1260" w:type="dxa"/>
            <w:vAlign w:val="center"/>
          </w:tcPr>
          <w:p w:rsidR="009C47F5" w:rsidRPr="00D101F1" w:rsidRDefault="00A75E5F"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A75E5F"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9C47F5" w:rsidRPr="00D101F1" w:rsidTr="00A764F0">
        <w:tc>
          <w:tcPr>
            <w:tcW w:w="2790" w:type="dxa"/>
            <w:vAlign w:val="center"/>
          </w:tcPr>
          <w:p w:rsidR="009C47F5" w:rsidRPr="00D101F1" w:rsidRDefault="009C47F5" w:rsidP="00A764F0">
            <w:pPr>
              <w:spacing w:line="120" w:lineRule="exact"/>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Annual report </w:t>
            </w:r>
            <w:r w:rsidRPr="00D101F1">
              <w:rPr>
                <w:sz w:val="18"/>
                <w:szCs w:val="18"/>
                <w:vertAlign w:val="superscript"/>
              </w:rPr>
              <w:t>1</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90</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90</w:t>
            </w:r>
          </w:p>
        </w:tc>
      </w:tr>
      <w:tr w:rsidR="009C47F5" w:rsidRPr="00D101F1" w:rsidTr="00A764F0">
        <w:tc>
          <w:tcPr>
            <w:tcW w:w="2790" w:type="dxa"/>
            <w:vAlign w:val="center"/>
          </w:tcPr>
          <w:p w:rsidR="009C47F5" w:rsidRPr="00D101F1" w:rsidRDefault="009C47F5" w:rsidP="009C47F5">
            <w:pPr>
              <w:keepNext/>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lastRenderedPageBreak/>
              <w:t xml:space="preserve">Emission limitation or operating limit deviation report </w:t>
            </w:r>
            <w:r w:rsidRPr="00D101F1">
              <w:rPr>
                <w:sz w:val="18"/>
                <w:szCs w:val="18"/>
                <w:vertAlign w:val="superscript"/>
              </w:rPr>
              <w:t>2</w:t>
            </w:r>
          </w:p>
        </w:tc>
        <w:tc>
          <w:tcPr>
            <w:tcW w:w="1260" w:type="dxa"/>
            <w:vAlign w:val="center"/>
          </w:tcPr>
          <w:p w:rsidR="009C47F5" w:rsidRPr="00D101F1" w:rsidRDefault="009C47F5" w:rsidP="00A764F0">
            <w:pPr>
              <w:keepNext/>
              <w:spacing w:line="120" w:lineRule="exact"/>
              <w:jc w:val="center"/>
              <w:rPr>
                <w:sz w:val="18"/>
                <w:szCs w:val="18"/>
              </w:rPr>
            </w:pPr>
          </w:p>
          <w:p w:rsidR="009C47F5" w:rsidRPr="00D101F1" w:rsidRDefault="009C47F5" w:rsidP="00A764F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rsidR="009C47F5" w:rsidRPr="00D101F1" w:rsidRDefault="009C47F5" w:rsidP="00A764F0">
            <w:pPr>
              <w:keepNext/>
              <w:spacing w:line="120" w:lineRule="exact"/>
              <w:jc w:val="center"/>
              <w:rPr>
                <w:sz w:val="18"/>
                <w:szCs w:val="18"/>
              </w:rPr>
            </w:pPr>
          </w:p>
          <w:p w:rsidR="009C47F5" w:rsidRPr="00D101F1" w:rsidRDefault="009C47F5" w:rsidP="00A764F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2</w:t>
            </w:r>
          </w:p>
        </w:tc>
        <w:tc>
          <w:tcPr>
            <w:tcW w:w="1890" w:type="dxa"/>
            <w:vAlign w:val="center"/>
          </w:tcPr>
          <w:p w:rsidR="009C47F5" w:rsidRPr="00D101F1" w:rsidRDefault="009C47F5" w:rsidP="00A764F0">
            <w:pPr>
              <w:keepNext/>
              <w:spacing w:line="120" w:lineRule="exact"/>
              <w:jc w:val="center"/>
              <w:rPr>
                <w:sz w:val="18"/>
                <w:szCs w:val="18"/>
              </w:rPr>
            </w:pPr>
          </w:p>
          <w:p w:rsidR="009C47F5" w:rsidRPr="00D101F1" w:rsidRDefault="009C47F5" w:rsidP="00A764F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keepNext/>
              <w:spacing w:line="120" w:lineRule="exact"/>
              <w:jc w:val="center"/>
              <w:rPr>
                <w:sz w:val="18"/>
                <w:szCs w:val="18"/>
              </w:rPr>
            </w:pPr>
          </w:p>
          <w:p w:rsidR="009C47F5" w:rsidRPr="00D101F1" w:rsidRDefault="009C47F5" w:rsidP="00A764F0">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18</w:t>
            </w:r>
          </w:p>
        </w:tc>
      </w:tr>
      <w:tr w:rsidR="009C47F5" w:rsidRPr="00D101F1" w:rsidTr="00A764F0">
        <w:tc>
          <w:tcPr>
            <w:tcW w:w="2790" w:type="dxa"/>
            <w:vAlign w:val="center"/>
          </w:tcPr>
          <w:p w:rsidR="009C47F5" w:rsidRPr="00D101F1" w:rsidRDefault="009C47F5" w:rsidP="009C47F5">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Qualified operator deviation notification </w:t>
            </w:r>
            <w:r w:rsidRPr="00D101F1">
              <w:rPr>
                <w:sz w:val="18"/>
                <w:szCs w:val="18"/>
                <w:vertAlign w:val="superscript"/>
              </w:rPr>
              <w:t>2</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9C47F5" w:rsidP="00A764F0">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r>
      <w:tr w:rsidR="009C47F5" w:rsidRPr="00D101F1" w:rsidTr="006D5CD2">
        <w:tc>
          <w:tcPr>
            <w:tcW w:w="2790" w:type="dxa"/>
            <w:vAlign w:val="center"/>
          </w:tcPr>
          <w:p w:rsidR="009C47F5" w:rsidRPr="00D101F1" w:rsidRDefault="009C47F5" w:rsidP="009C47F5">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Qualified operator deviation status report </w:t>
            </w:r>
            <w:r w:rsidRPr="00D101F1">
              <w:rPr>
                <w:sz w:val="18"/>
                <w:szCs w:val="18"/>
                <w:vertAlign w:val="superscript"/>
              </w:rPr>
              <w:t>2</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9C47F5" w:rsidP="00472F94">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r>
      <w:tr w:rsidR="009C47F5" w:rsidRPr="00D101F1" w:rsidTr="006D5CD2">
        <w:tc>
          <w:tcPr>
            <w:tcW w:w="2790" w:type="dxa"/>
            <w:vAlign w:val="center"/>
          </w:tcPr>
          <w:p w:rsidR="009C47F5" w:rsidRPr="00D101F1" w:rsidRDefault="009C47F5" w:rsidP="009C47F5">
            <w:pPr>
              <w:pBdr>
                <w:top w:val="single" w:sz="6" w:space="0" w:color="FFFFFF"/>
                <w:left w:val="single" w:sz="6" w:space="0" w:color="FFFFFF"/>
                <w:bottom w:val="single" w:sz="6" w:space="0" w:color="FFFFFF"/>
                <w:right w:val="single" w:sz="6" w:space="0" w:color="FFFFFF"/>
              </w:pBdr>
              <w:spacing w:after="52"/>
              <w:rPr>
                <w:sz w:val="18"/>
                <w:szCs w:val="18"/>
              </w:rPr>
            </w:pPr>
            <w:r w:rsidRPr="00D101F1">
              <w:rPr>
                <w:sz w:val="18"/>
                <w:szCs w:val="18"/>
              </w:rPr>
              <w:t xml:space="preserve">Qualified operator deviation notification of resumed operation </w:t>
            </w:r>
            <w:r w:rsidRPr="00D101F1">
              <w:rPr>
                <w:sz w:val="18"/>
                <w:szCs w:val="18"/>
                <w:vertAlign w:val="superscript"/>
              </w:rPr>
              <w:t>2</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BC04B5">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c>
          <w:tcPr>
            <w:tcW w:w="1260" w:type="dxa"/>
            <w:vAlign w:val="center"/>
          </w:tcPr>
          <w:p w:rsidR="009C47F5" w:rsidRPr="00D101F1" w:rsidRDefault="009C47F5" w:rsidP="00A764F0">
            <w:pPr>
              <w:spacing w:line="120" w:lineRule="exact"/>
              <w:jc w:val="center"/>
              <w:rPr>
                <w:sz w:val="18"/>
                <w:szCs w:val="18"/>
              </w:rPr>
            </w:pPr>
          </w:p>
          <w:p w:rsidR="009C47F5" w:rsidRPr="00D101F1" w:rsidRDefault="009C47F5" w:rsidP="00BC04B5">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1</w:t>
            </w:r>
          </w:p>
        </w:tc>
        <w:tc>
          <w:tcPr>
            <w:tcW w:w="1890" w:type="dxa"/>
            <w:vAlign w:val="center"/>
          </w:tcPr>
          <w:p w:rsidR="009C47F5" w:rsidRPr="00D101F1" w:rsidRDefault="009C47F5" w:rsidP="00A764F0">
            <w:pPr>
              <w:spacing w:line="120" w:lineRule="exact"/>
              <w:jc w:val="center"/>
              <w:rPr>
                <w:sz w:val="18"/>
                <w:szCs w:val="18"/>
              </w:rPr>
            </w:pPr>
          </w:p>
          <w:p w:rsidR="009C47F5" w:rsidRPr="00D101F1" w:rsidRDefault="009C47F5" w:rsidP="00BC04B5">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0</w:t>
            </w:r>
          </w:p>
        </w:tc>
        <w:tc>
          <w:tcPr>
            <w:tcW w:w="2070" w:type="dxa"/>
            <w:vAlign w:val="center"/>
          </w:tcPr>
          <w:p w:rsidR="009C47F5" w:rsidRPr="00D101F1" w:rsidRDefault="009C47F5" w:rsidP="00A764F0">
            <w:pPr>
              <w:spacing w:line="120" w:lineRule="exact"/>
              <w:jc w:val="center"/>
              <w:rPr>
                <w:sz w:val="18"/>
                <w:szCs w:val="18"/>
              </w:rPr>
            </w:pPr>
          </w:p>
          <w:p w:rsidR="009C47F5" w:rsidRPr="00D101F1" w:rsidRDefault="009C47F5" w:rsidP="00BC04B5">
            <w:pPr>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9</w:t>
            </w:r>
          </w:p>
        </w:tc>
      </w:tr>
      <w:tr w:rsidR="009C47F5" w:rsidRPr="00D101F1" w:rsidTr="006D5CD2">
        <w:tc>
          <w:tcPr>
            <w:tcW w:w="2790" w:type="dxa"/>
          </w:tcPr>
          <w:p w:rsidR="009C47F5" w:rsidRPr="00D101F1" w:rsidRDefault="009C47F5" w:rsidP="006D5CD2">
            <w:pPr>
              <w:keepNext/>
              <w:spacing w:line="120" w:lineRule="exact"/>
              <w:rPr>
                <w:sz w:val="18"/>
                <w:szCs w:val="18"/>
              </w:rPr>
            </w:pPr>
          </w:p>
          <w:p w:rsidR="009C47F5" w:rsidRPr="00D101F1" w:rsidRDefault="009C47F5" w:rsidP="006D5CD2">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9C47F5" w:rsidRPr="00D101F1" w:rsidRDefault="009C47F5" w:rsidP="006D5CD2">
            <w:pPr>
              <w:keepNext/>
              <w:spacing w:line="120" w:lineRule="exact"/>
              <w:jc w:val="center"/>
              <w:rPr>
                <w:sz w:val="18"/>
                <w:szCs w:val="18"/>
              </w:rPr>
            </w:pPr>
          </w:p>
          <w:p w:rsidR="009C47F5" w:rsidRPr="00D101F1" w:rsidRDefault="009C47F5" w:rsidP="006D5CD2">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vAlign w:val="center"/>
          </w:tcPr>
          <w:p w:rsidR="009C47F5" w:rsidRPr="00D101F1" w:rsidRDefault="009C47F5" w:rsidP="006D5CD2">
            <w:pPr>
              <w:keepNext/>
              <w:spacing w:line="120" w:lineRule="exact"/>
              <w:jc w:val="center"/>
              <w:rPr>
                <w:sz w:val="18"/>
                <w:szCs w:val="18"/>
              </w:rPr>
            </w:pPr>
          </w:p>
          <w:p w:rsidR="009C47F5" w:rsidRPr="00D101F1" w:rsidRDefault="009C47F5" w:rsidP="006D5CD2">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vAlign w:val="center"/>
          </w:tcPr>
          <w:p w:rsidR="009C47F5" w:rsidRPr="00D101F1" w:rsidRDefault="009C47F5" w:rsidP="006D5CD2">
            <w:pPr>
              <w:keepNext/>
              <w:spacing w:line="120" w:lineRule="exact"/>
              <w:jc w:val="center"/>
              <w:rPr>
                <w:sz w:val="18"/>
                <w:szCs w:val="18"/>
              </w:rPr>
            </w:pPr>
          </w:p>
          <w:p w:rsidR="009C47F5" w:rsidRPr="00D101F1" w:rsidRDefault="009C47F5" w:rsidP="006D5CD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101F1">
              <w:rPr>
                <w:sz w:val="18"/>
                <w:szCs w:val="18"/>
              </w:rPr>
              <w:t>Total</w:t>
            </w:r>
          </w:p>
        </w:tc>
        <w:tc>
          <w:tcPr>
            <w:tcW w:w="2070" w:type="dxa"/>
            <w:vAlign w:val="center"/>
          </w:tcPr>
          <w:p w:rsidR="009C47F5" w:rsidRPr="00D101F1" w:rsidRDefault="009C47F5" w:rsidP="006D5CD2">
            <w:pPr>
              <w:keepNext/>
              <w:spacing w:line="120" w:lineRule="exact"/>
              <w:jc w:val="center"/>
              <w:rPr>
                <w:sz w:val="18"/>
                <w:szCs w:val="18"/>
              </w:rPr>
            </w:pPr>
          </w:p>
          <w:p w:rsidR="009C47F5" w:rsidRPr="00D101F1" w:rsidRDefault="00A75E5F" w:rsidP="006D5CD2">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135</w:t>
            </w:r>
          </w:p>
        </w:tc>
      </w:tr>
    </w:tbl>
    <w:p w:rsidR="00A921A9" w:rsidRPr="00D101F1" w:rsidRDefault="00A921A9" w:rsidP="00A921A9">
      <w:pPr>
        <w:pBdr>
          <w:top w:val="single" w:sz="6" w:space="0" w:color="FFFFFF"/>
          <w:left w:val="single" w:sz="6" w:space="0" w:color="FFFFFF"/>
          <w:bottom w:val="single" w:sz="6" w:space="0" w:color="FFFFFF"/>
          <w:right w:val="single" w:sz="6" w:space="0" w:color="FFFFFF"/>
        </w:pBdr>
        <w:ind w:left="180" w:hanging="90"/>
        <w:rPr>
          <w:sz w:val="20"/>
          <w:szCs w:val="20"/>
        </w:rPr>
      </w:pPr>
      <w:r w:rsidRPr="00D101F1">
        <w:rPr>
          <w:sz w:val="20"/>
          <w:szCs w:val="20"/>
          <w:vertAlign w:val="superscript"/>
        </w:rPr>
        <w:t>1</w:t>
      </w:r>
      <w:r w:rsidRPr="00D101F1">
        <w:rPr>
          <w:sz w:val="20"/>
          <w:szCs w:val="20"/>
        </w:rPr>
        <w:t xml:space="preserve"> Annual </w:t>
      </w:r>
      <w:proofErr w:type="gramStart"/>
      <w:r w:rsidR="003F4CB2" w:rsidRPr="00D101F1">
        <w:rPr>
          <w:sz w:val="20"/>
          <w:szCs w:val="20"/>
        </w:rPr>
        <w:t>report</w:t>
      </w:r>
      <w:r w:rsidR="003F4CB2">
        <w:rPr>
          <w:sz w:val="20"/>
          <w:szCs w:val="20"/>
        </w:rPr>
        <w:t>s</w:t>
      </w:r>
      <w:proofErr w:type="gramEnd"/>
      <w:r w:rsidRPr="00D101F1">
        <w:rPr>
          <w:sz w:val="20"/>
          <w:szCs w:val="20"/>
        </w:rPr>
        <w:t xml:space="preserve"> are not required until the second year that units are in operation; therefore, annual reports will only apply to existing sources (i.e., 90 respondents).</w:t>
      </w:r>
    </w:p>
    <w:p w:rsidR="00A921A9" w:rsidRPr="00D101F1" w:rsidRDefault="00A921A9" w:rsidP="00A921A9">
      <w:pPr>
        <w:pBdr>
          <w:top w:val="single" w:sz="6" w:space="0" w:color="FFFFFF"/>
          <w:left w:val="single" w:sz="6" w:space="0" w:color="FFFFFF"/>
          <w:bottom w:val="single" w:sz="6" w:space="0" w:color="FFFFFF"/>
          <w:right w:val="single" w:sz="6" w:space="0" w:color="FFFFFF"/>
        </w:pBdr>
        <w:ind w:left="180" w:hanging="90"/>
        <w:rPr>
          <w:sz w:val="20"/>
          <w:szCs w:val="20"/>
        </w:rPr>
      </w:pPr>
      <w:r w:rsidRPr="00D101F1">
        <w:rPr>
          <w:sz w:val="20"/>
          <w:szCs w:val="20"/>
          <w:vertAlign w:val="superscript"/>
        </w:rPr>
        <w:t>2</w:t>
      </w:r>
      <w:r w:rsidRPr="00D101F1">
        <w:rPr>
          <w:sz w:val="20"/>
          <w:szCs w:val="20"/>
        </w:rPr>
        <w:t xml:space="preserve"> Assume that these activities will apply to 10 percent of </w:t>
      </w:r>
      <w:r w:rsidR="00793F56" w:rsidRPr="00D101F1">
        <w:rPr>
          <w:sz w:val="20"/>
          <w:szCs w:val="20"/>
        </w:rPr>
        <w:t>existing sources</w:t>
      </w:r>
      <w:r w:rsidRPr="00D101F1">
        <w:rPr>
          <w:sz w:val="20"/>
          <w:szCs w:val="20"/>
        </w:rPr>
        <w:t>.</w:t>
      </w:r>
    </w:p>
    <w:p w:rsidR="00BA7B07" w:rsidRPr="00D101F1" w:rsidRDefault="00BA7B07">
      <w:pPr>
        <w:pBdr>
          <w:top w:val="single" w:sz="6" w:space="0" w:color="FFFFFF"/>
          <w:left w:val="single" w:sz="6" w:space="0" w:color="FFFFFF"/>
          <w:bottom w:val="single" w:sz="6" w:space="0" w:color="FFFFFF"/>
          <w:right w:val="single" w:sz="6" w:space="0" w:color="FFFFFF"/>
        </w:pBdr>
      </w:pPr>
    </w:p>
    <w:p w:rsidR="00CA4CD6" w:rsidRPr="00D101F1" w:rsidRDefault="00CA4CD6" w:rsidP="00BA7B07">
      <w:pPr>
        <w:pBdr>
          <w:top w:val="single" w:sz="6" w:space="0" w:color="FFFFFF"/>
          <w:left w:val="single" w:sz="6" w:space="0" w:color="FFFFFF"/>
          <w:bottom w:val="single" w:sz="6" w:space="0" w:color="FFFFFF"/>
          <w:right w:val="single" w:sz="6" w:space="0" w:color="FFFFFF"/>
        </w:pBdr>
        <w:ind w:firstLine="720"/>
      </w:pPr>
      <w:r w:rsidRPr="00D101F1">
        <w:t>The number of Total Annual Responses is</w:t>
      </w:r>
      <w:r w:rsidR="008726F8" w:rsidRPr="00D101F1">
        <w:t xml:space="preserve"> </w:t>
      </w:r>
      <w:r w:rsidR="00A75E5F">
        <w:t>135</w:t>
      </w:r>
      <w:r w:rsidR="008726F8" w:rsidRPr="00D101F1">
        <w:t>.</w:t>
      </w:r>
      <w:r w:rsidRPr="00D101F1">
        <w:t xml:space="preserve">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rsidP="001A2084">
      <w:pPr>
        <w:pBdr>
          <w:top w:val="single" w:sz="6" w:space="0" w:color="FFFFFF"/>
          <w:left w:val="single" w:sz="6" w:space="0" w:color="FFFFFF"/>
          <w:bottom w:val="single" w:sz="6" w:space="0" w:color="FFFFFF"/>
          <w:right w:val="single" w:sz="6" w:space="0" w:color="FFFFFF"/>
        </w:pBdr>
        <w:ind w:firstLine="720"/>
      </w:pPr>
      <w:r w:rsidRPr="00D101F1">
        <w:t xml:space="preserve">The total annual labor costs are </w:t>
      </w:r>
      <w:r w:rsidR="00E90811">
        <w:t>$</w:t>
      </w:r>
      <w:r w:rsidR="00E90811" w:rsidRPr="00E90811">
        <w:t>1,748,799</w:t>
      </w:r>
      <w:r w:rsidRPr="00D101F1">
        <w:t>.</w:t>
      </w:r>
      <w:r w:rsidR="00507EC5" w:rsidRPr="00D101F1">
        <w:t xml:space="preserve">  </w:t>
      </w:r>
      <w:r w:rsidRPr="00D101F1">
        <w:t xml:space="preserve">Details regarding these estimates may be found </w:t>
      </w:r>
      <w:r w:rsidR="007A458D" w:rsidRPr="00D101F1">
        <w:t xml:space="preserve">below </w:t>
      </w:r>
      <w:r w:rsidRPr="00D101F1">
        <w:t>in Table 1</w:t>
      </w:r>
      <w:r w:rsidR="001A2084" w:rsidRPr="00D101F1">
        <w:t xml:space="preserve">: Annual Respondent Burden and Cost – Emission Guidelines for Commercial and Industrial Solid Waste Incineration Units (40 CFR Part 60, Subpart DDDD) (Renewal).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rPr>
          <w:b/>
          <w:bCs/>
        </w:rPr>
        <w:t>6(e</w:t>
      </w:r>
      <w:proofErr w:type="gramStart"/>
      <w:r w:rsidRPr="00D101F1">
        <w:rPr>
          <w:b/>
          <w:bCs/>
        </w:rPr>
        <w:t>)  Bottom</w:t>
      </w:r>
      <w:proofErr w:type="gramEnd"/>
      <w:r w:rsidRPr="00D101F1">
        <w:rPr>
          <w:b/>
          <w:bCs/>
        </w:rPr>
        <w:t xml:space="preserve"> Line Burden Hours and Cost Tables</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The detailed bottom line burden hours and cost calculations for the respondents and the Agency are shown in Tables 1 and 2</w:t>
      </w:r>
      <w:r w:rsidR="00FE2099" w:rsidRPr="00D101F1">
        <w:t xml:space="preserve"> (below)</w:t>
      </w:r>
      <w:r w:rsidRPr="00D101F1">
        <w:t xml:space="preserve">, respectively, and summarized below.  </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D101F1" w:rsidRDefault="00CA4CD6">
      <w:pPr>
        <w:pBdr>
          <w:top w:val="single" w:sz="6" w:space="0" w:color="FFFFFF"/>
          <w:left w:val="single" w:sz="6" w:space="0" w:color="FFFFFF"/>
          <w:bottom w:val="single" w:sz="6" w:space="0" w:color="FFFFFF"/>
          <w:right w:val="single" w:sz="6" w:space="0" w:color="FFFFFF"/>
        </w:pBdr>
        <w:ind w:firstLine="1440"/>
      </w:pPr>
      <w:r w:rsidRPr="00D101F1">
        <w:rPr>
          <w:b/>
          <w:bCs/>
        </w:rPr>
        <w:t>(</w:t>
      </w:r>
      <w:proofErr w:type="spellStart"/>
      <w:r w:rsidRPr="00D101F1">
        <w:rPr>
          <w:b/>
          <w:bCs/>
        </w:rPr>
        <w:t>i</w:t>
      </w:r>
      <w:proofErr w:type="spellEnd"/>
      <w:r w:rsidRPr="00D101F1">
        <w:rPr>
          <w:b/>
          <w:bCs/>
        </w:rPr>
        <w:t>) Respondent Tally</w:t>
      </w:r>
    </w:p>
    <w:p w:rsidR="00CA4CD6" w:rsidRPr="00D101F1" w:rsidRDefault="00CA4CD6">
      <w:pPr>
        <w:pBdr>
          <w:top w:val="single" w:sz="6" w:space="0" w:color="FFFFFF"/>
          <w:left w:val="single" w:sz="6" w:space="0" w:color="FFFFFF"/>
          <w:bottom w:val="single" w:sz="6" w:space="0" w:color="FFFFFF"/>
          <w:right w:val="single" w:sz="6" w:space="0" w:color="FFFFFF"/>
        </w:pBdr>
      </w:pPr>
    </w:p>
    <w:p w:rsidR="00144F35" w:rsidRPr="00D101F1" w:rsidRDefault="00CA4CD6" w:rsidP="0021722B">
      <w:pPr>
        <w:pBdr>
          <w:top w:val="single" w:sz="6" w:space="0" w:color="FFFFFF"/>
          <w:left w:val="single" w:sz="6" w:space="0" w:color="FFFFFF"/>
          <w:bottom w:val="single" w:sz="6" w:space="0" w:color="FFFFFF"/>
          <w:right w:val="single" w:sz="6" w:space="0" w:color="FFFFFF"/>
        </w:pBdr>
        <w:ind w:firstLine="720"/>
      </w:pPr>
      <w:r w:rsidRPr="00D101F1">
        <w:t xml:space="preserve">The total annual labor </w:t>
      </w:r>
      <w:r w:rsidR="002C416A" w:rsidRPr="00D101F1">
        <w:t>hours are</w:t>
      </w:r>
      <w:r w:rsidRPr="00D101F1">
        <w:t xml:space="preserve"> </w:t>
      </w:r>
      <w:r w:rsidR="00E90811" w:rsidRPr="00E90811">
        <w:t>18,061</w:t>
      </w:r>
      <w:r w:rsidR="003B0A44">
        <w:t xml:space="preserve"> </w:t>
      </w:r>
      <w:r w:rsidR="00257C11">
        <w:t xml:space="preserve">hours </w:t>
      </w:r>
      <w:r w:rsidR="003B0A44">
        <w:t>at a cost of $1,748,799</w:t>
      </w:r>
      <w:r w:rsidRPr="00D101F1">
        <w:t>.</w:t>
      </w:r>
      <w:r w:rsidR="00507EC5" w:rsidRPr="00D101F1">
        <w:t xml:space="preserve">  </w:t>
      </w:r>
      <w:r w:rsidRPr="00D101F1">
        <w:t xml:space="preserve">Details regarding these estimates may be found </w:t>
      </w:r>
      <w:r w:rsidR="003F4CB2">
        <w:t xml:space="preserve">below </w:t>
      </w:r>
      <w:r w:rsidRPr="00D101F1">
        <w:t>in Table 1</w:t>
      </w:r>
      <w:r w:rsidR="001A2084" w:rsidRPr="00D101F1">
        <w:t>: Annual Respondent Burden and Cost – Emission Guidelines for Commercial and Industrial Solid Waste Incineration Units (40 CFR Part 60, Subpart DDDD) (Renewal).</w:t>
      </w:r>
    </w:p>
    <w:p w:rsidR="00144F35" w:rsidRPr="00D101F1"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D101F1" w:rsidRDefault="00CA4CD6" w:rsidP="0021722B">
      <w:pPr>
        <w:pBdr>
          <w:top w:val="single" w:sz="6" w:space="0" w:color="FFFFFF"/>
          <w:left w:val="single" w:sz="6" w:space="0" w:color="FFFFFF"/>
          <w:bottom w:val="single" w:sz="6" w:space="0" w:color="FFFFFF"/>
          <w:right w:val="single" w:sz="6" w:space="0" w:color="FFFFFF"/>
        </w:pBdr>
        <w:ind w:firstLine="720"/>
      </w:pPr>
      <w:r w:rsidRPr="00D101F1">
        <w:t xml:space="preserve">Furthermore, the annual public reporting and recordkeeping burden for this collection of information is estimated to average </w:t>
      </w:r>
      <w:r w:rsidR="00EA017F">
        <w:t>134</w:t>
      </w:r>
      <w:r w:rsidRPr="00D101F1">
        <w:t xml:space="preserve"> hours per response</w:t>
      </w:r>
      <w:r w:rsidR="0021722B" w:rsidRPr="00D101F1">
        <w:t>.</w:t>
      </w:r>
    </w:p>
    <w:p w:rsidR="0021722B" w:rsidRPr="00D101F1"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D101F1" w:rsidRDefault="00CA4CD6">
      <w:pPr>
        <w:pBdr>
          <w:top w:val="single" w:sz="6" w:space="0" w:color="FFFFFF"/>
          <w:left w:val="single" w:sz="6" w:space="0" w:color="FFFFFF"/>
          <w:bottom w:val="single" w:sz="6" w:space="0" w:color="FFFFFF"/>
          <w:right w:val="single" w:sz="6" w:space="0" w:color="FFFFFF"/>
        </w:pBdr>
        <w:ind w:firstLine="720"/>
      </w:pPr>
      <w:r w:rsidRPr="00D101F1">
        <w:t>The total annual capital/startup and O&amp;M cos</w:t>
      </w:r>
      <w:r w:rsidR="008726F8" w:rsidRPr="00D101F1">
        <w:t xml:space="preserve">ts to the regulated entity are </w:t>
      </w:r>
      <w:r w:rsidR="00E90811">
        <w:t>$</w:t>
      </w:r>
      <w:r w:rsidR="00E90811" w:rsidRPr="00E90811">
        <w:t>1,143,990</w:t>
      </w:r>
      <w:r w:rsidR="00507EC5" w:rsidRPr="00D101F1">
        <w:t xml:space="preserve">.  </w:t>
      </w:r>
      <w:r w:rsidRPr="00D101F1">
        <w:t>The cost calculations are detailed in Section 6(b</w:t>
      </w:r>
      <w:proofErr w:type="gramStart"/>
      <w:r w:rsidRPr="00D101F1">
        <w:t>)(</w:t>
      </w:r>
      <w:proofErr w:type="gramEnd"/>
      <w:r w:rsidRPr="00D101F1">
        <w:t>iii), Capital/Startup vs. Operation and Maintenance (O&amp;M) Costs.</w:t>
      </w:r>
    </w:p>
    <w:p w:rsidR="00CA4CD6" w:rsidRPr="00D101F1" w:rsidRDefault="00CA4CD6">
      <w:pPr>
        <w:pBdr>
          <w:top w:val="single" w:sz="6" w:space="0" w:color="FFFFFF"/>
          <w:left w:val="single" w:sz="6" w:space="0" w:color="FFFFFF"/>
          <w:bottom w:val="single" w:sz="6" w:space="0" w:color="FFFFFF"/>
          <w:right w:val="single" w:sz="6" w:space="0" w:color="FFFFFF"/>
        </w:pBdr>
        <w:ind w:firstLine="2160"/>
      </w:pPr>
    </w:p>
    <w:p w:rsidR="00CA4CD6" w:rsidRPr="00D101F1" w:rsidRDefault="00CA4CD6" w:rsidP="008E0C21">
      <w:pPr>
        <w:keepNext/>
        <w:pBdr>
          <w:top w:val="single" w:sz="6" w:space="0" w:color="FFFFFF"/>
          <w:left w:val="single" w:sz="6" w:space="0" w:color="FFFFFF"/>
          <w:bottom w:val="single" w:sz="6" w:space="0" w:color="FFFFFF"/>
          <w:right w:val="single" w:sz="6" w:space="0" w:color="FFFFFF"/>
        </w:pBdr>
        <w:ind w:firstLine="1440"/>
      </w:pPr>
      <w:r w:rsidRPr="00D101F1">
        <w:rPr>
          <w:b/>
          <w:bCs/>
        </w:rPr>
        <w:lastRenderedPageBreak/>
        <w:t>(ii) The Agency Tally</w:t>
      </w:r>
    </w:p>
    <w:p w:rsidR="00CA4CD6" w:rsidRPr="00D101F1" w:rsidRDefault="00CA4CD6" w:rsidP="008E0C21">
      <w:pPr>
        <w:keepNext/>
        <w:pBdr>
          <w:top w:val="single" w:sz="6" w:space="0" w:color="FFFFFF"/>
          <w:left w:val="single" w:sz="6" w:space="0" w:color="FFFFFF"/>
          <w:bottom w:val="single" w:sz="6" w:space="0" w:color="FFFFFF"/>
          <w:right w:val="single" w:sz="6" w:space="0" w:color="FFFFFF"/>
        </w:pBdr>
      </w:pPr>
    </w:p>
    <w:p w:rsidR="00CA4CD6" w:rsidRPr="00D101F1" w:rsidRDefault="00CA4CD6" w:rsidP="008E0C21">
      <w:pPr>
        <w:keepNext/>
        <w:pBdr>
          <w:top w:val="single" w:sz="6" w:space="0" w:color="FFFFFF"/>
          <w:left w:val="single" w:sz="6" w:space="0" w:color="FFFFFF"/>
          <w:bottom w:val="single" w:sz="6" w:space="0" w:color="FFFFFF"/>
          <w:right w:val="single" w:sz="6" w:space="0" w:color="FFFFFF"/>
        </w:pBdr>
        <w:ind w:firstLine="720"/>
      </w:pPr>
      <w:r w:rsidRPr="00D101F1">
        <w:t xml:space="preserve">The average annual Agency burden and cost over next three years is estimated to be </w:t>
      </w:r>
      <w:r w:rsidR="00E90811" w:rsidRPr="00E90811">
        <w:t>1,035</w:t>
      </w:r>
      <w:r w:rsidRPr="00D101F1">
        <w:t xml:space="preserve"> labor hours at a cost of</w:t>
      </w:r>
      <w:r w:rsidR="00225615" w:rsidRPr="00D101F1">
        <w:t xml:space="preserve"> </w:t>
      </w:r>
      <w:r w:rsidR="00E90811">
        <w:t>$</w:t>
      </w:r>
      <w:r w:rsidR="00E90811" w:rsidRPr="00E90811">
        <w:t>46,642</w:t>
      </w:r>
      <w:r w:rsidR="00144F35" w:rsidRPr="00D101F1">
        <w:t xml:space="preserve">.  See </w:t>
      </w:r>
      <w:r w:rsidR="00645BA6">
        <w:t xml:space="preserve">below </w:t>
      </w:r>
      <w:r w:rsidR="00144F35" w:rsidRPr="00D101F1">
        <w:t>Table 2</w:t>
      </w:r>
      <w:r w:rsidR="001A2084" w:rsidRPr="00D101F1">
        <w:t xml:space="preserve">: Average Annual EPA Burden and Cost – Emission Guidelines for Commercial and Industrial Solid Waste Incineration Units (40 CFR </w:t>
      </w:r>
      <w:proofErr w:type="gramStart"/>
      <w:r w:rsidR="001A2084" w:rsidRPr="00D101F1">
        <w:t>Part</w:t>
      </w:r>
      <w:proofErr w:type="gramEnd"/>
      <w:r w:rsidR="001A2084" w:rsidRPr="00D101F1">
        <w:t xml:space="preserve"> 60, Subpart DDDD) (Renewal).</w:t>
      </w:r>
    </w:p>
    <w:p w:rsidR="00CA4CD6" w:rsidRPr="00D101F1" w:rsidRDefault="00CA4CD6">
      <w:pPr>
        <w:pBdr>
          <w:top w:val="single" w:sz="6" w:space="0" w:color="FFFFFF"/>
          <w:left w:val="single" w:sz="6" w:space="0" w:color="FFFFFF"/>
          <w:bottom w:val="single" w:sz="6" w:space="0" w:color="FFFFFF"/>
          <w:right w:val="single" w:sz="6" w:space="0" w:color="FFFFFF"/>
        </w:pBdr>
      </w:pPr>
    </w:p>
    <w:p w:rsidR="00CA4CD6" w:rsidRPr="00F01911" w:rsidRDefault="00CA4CD6">
      <w:pPr>
        <w:pBdr>
          <w:top w:val="single" w:sz="6" w:space="0" w:color="FFFFFF"/>
          <w:left w:val="single" w:sz="6" w:space="0" w:color="FFFFFF"/>
          <w:bottom w:val="single" w:sz="6" w:space="0" w:color="FFFFFF"/>
          <w:right w:val="single" w:sz="6" w:space="0" w:color="FFFFFF"/>
        </w:pBdr>
        <w:ind w:firstLine="720"/>
      </w:pPr>
      <w:r w:rsidRPr="00D101F1">
        <w:rPr>
          <w:b/>
          <w:bCs/>
        </w:rPr>
        <w:t>6(f</w:t>
      </w:r>
      <w:proofErr w:type="gramStart"/>
      <w:r w:rsidRPr="00D101F1">
        <w:rPr>
          <w:b/>
          <w:bCs/>
        </w:rPr>
        <w:t>)  Reasons</w:t>
      </w:r>
      <w:proofErr w:type="gramEnd"/>
      <w:r w:rsidRPr="00D101F1">
        <w:rPr>
          <w:b/>
          <w:bCs/>
        </w:rPr>
        <w:t xml:space="preserve"> for Change in </w:t>
      </w:r>
      <w:r w:rsidRPr="00F01911">
        <w:rPr>
          <w:b/>
          <w:bCs/>
        </w:rPr>
        <w:t>Burden</w:t>
      </w:r>
    </w:p>
    <w:p w:rsidR="00CA4CD6" w:rsidRPr="00F01911" w:rsidRDefault="00CA4CD6">
      <w:pPr>
        <w:pBdr>
          <w:top w:val="single" w:sz="6" w:space="0" w:color="FFFFFF"/>
          <w:left w:val="single" w:sz="6" w:space="0" w:color="FFFFFF"/>
          <w:bottom w:val="single" w:sz="6" w:space="0" w:color="FFFFFF"/>
          <w:right w:val="single" w:sz="6" w:space="0" w:color="FFFFFF"/>
        </w:pBdr>
      </w:pPr>
    </w:p>
    <w:p w:rsidR="00F01911" w:rsidRPr="004B6D57" w:rsidRDefault="00CB1F07" w:rsidP="00F01911">
      <w:pPr>
        <w:pBdr>
          <w:top w:val="single" w:sz="6" w:space="0" w:color="FFFFFF"/>
          <w:left w:val="single" w:sz="6" w:space="0" w:color="FFFFFF"/>
          <w:bottom w:val="single" w:sz="6" w:space="0" w:color="FFFFFF"/>
          <w:right w:val="single" w:sz="6" w:space="0" w:color="FFFFFF"/>
        </w:pBdr>
        <w:ind w:firstLine="720"/>
      </w:pPr>
      <w:r>
        <w:t xml:space="preserve">There is a change in the total estimated respondent and Agency burden and cost as currently identified in the OMB Inventory of Approved Burdens.  The change from the most </w:t>
      </w:r>
      <w:r w:rsidRPr="004B6D57">
        <w:t>recently approved ICR is due to several reasons.</w:t>
      </w:r>
    </w:p>
    <w:p w:rsidR="00F01911" w:rsidRPr="004B6D57" w:rsidRDefault="00F01911" w:rsidP="00F01911">
      <w:pPr>
        <w:pBdr>
          <w:top w:val="single" w:sz="6" w:space="0" w:color="FFFFFF"/>
          <w:left w:val="single" w:sz="6" w:space="0" w:color="FFFFFF"/>
          <w:bottom w:val="single" w:sz="6" w:space="0" w:color="FFFFFF"/>
          <w:right w:val="single" w:sz="6" w:space="0" w:color="FFFFFF"/>
        </w:pBdr>
        <w:ind w:firstLine="720"/>
      </w:pPr>
    </w:p>
    <w:p w:rsidR="00F01911" w:rsidRPr="004B6D57" w:rsidRDefault="00CB1F07" w:rsidP="00F01911">
      <w:pPr>
        <w:pBdr>
          <w:top w:val="single" w:sz="6" w:space="0" w:color="FFFFFF"/>
          <w:left w:val="single" w:sz="6" w:space="0" w:color="FFFFFF"/>
          <w:bottom w:val="single" w:sz="6" w:space="0" w:color="FFFFFF"/>
          <w:right w:val="single" w:sz="6" w:space="0" w:color="FFFFFF"/>
        </w:pBdr>
        <w:ind w:firstLine="720"/>
      </w:pPr>
      <w:r w:rsidRPr="004B6D57">
        <w:t>First, the previous ICR included contractor labor costs associated with annual stack testing and continuous parameter monitoring as a respondent burden.  Since the contractor labor costs apply solely to O&amp;M activities, we have revised the ICR to reflect these as O&amp;M costs, resulting in an apparent decrease in the total respondent labor burden.</w:t>
      </w:r>
    </w:p>
    <w:p w:rsidR="00F01911" w:rsidRPr="004B6D57" w:rsidRDefault="00F01911" w:rsidP="00F01911">
      <w:pPr>
        <w:pBdr>
          <w:top w:val="single" w:sz="6" w:space="0" w:color="FFFFFF"/>
          <w:left w:val="single" w:sz="6" w:space="0" w:color="FFFFFF"/>
          <w:bottom w:val="single" w:sz="6" w:space="0" w:color="FFFFFF"/>
          <w:right w:val="single" w:sz="6" w:space="0" w:color="FFFFFF"/>
        </w:pBdr>
        <w:ind w:firstLine="720"/>
      </w:pPr>
    </w:p>
    <w:p w:rsidR="00F01911" w:rsidRPr="004B6D57" w:rsidRDefault="00CB1F07" w:rsidP="00F01911">
      <w:pPr>
        <w:pBdr>
          <w:top w:val="single" w:sz="6" w:space="0" w:color="FFFFFF"/>
          <w:left w:val="single" w:sz="6" w:space="0" w:color="FFFFFF"/>
          <w:bottom w:val="single" w:sz="6" w:space="0" w:color="FFFFFF"/>
          <w:right w:val="single" w:sz="6" w:space="0" w:color="FFFFFF"/>
        </w:pBdr>
        <w:ind w:firstLine="720"/>
      </w:pPr>
      <w:r w:rsidRPr="004B6D57">
        <w:t xml:space="preserve">Second, this ICR revises the number of respondents based on more recent information obtained from a 2011 </w:t>
      </w:r>
      <w:r w:rsidR="00861C96" w:rsidRPr="008B1FB2">
        <w:t>R</w:t>
      </w:r>
      <w:r w:rsidR="00861C96">
        <w:t xml:space="preserve">egulatory </w:t>
      </w:r>
      <w:r w:rsidR="00861C96" w:rsidRPr="008B1FB2">
        <w:t>I</w:t>
      </w:r>
      <w:r w:rsidR="00861C96">
        <w:t xml:space="preserve">mpact </w:t>
      </w:r>
      <w:r w:rsidR="00861C96" w:rsidRPr="008B1FB2">
        <w:t>A</w:t>
      </w:r>
      <w:r w:rsidR="00861C96">
        <w:t>nalysis (</w:t>
      </w:r>
      <w:r w:rsidRPr="004B6D57">
        <w:t>RIA</w:t>
      </w:r>
      <w:r w:rsidR="00861C96">
        <w:t>)</w:t>
      </w:r>
      <w:r w:rsidRPr="004B6D57">
        <w:t xml:space="preserve"> conducted by EPA.  The previous ICR estimated 97 existing sources were subject to the standard</w:t>
      </w:r>
      <w:r w:rsidR="00D106CD" w:rsidRPr="004B6D57">
        <w:t>; however</w:t>
      </w:r>
      <w:r w:rsidRPr="004B6D57">
        <w:t xml:space="preserve">, </w:t>
      </w:r>
      <w:r w:rsidR="00D106CD" w:rsidRPr="004B6D57">
        <w:t>t</w:t>
      </w:r>
      <w:r w:rsidRPr="004B6D57">
        <w:t>he RIA indicate</w:t>
      </w:r>
      <w:r w:rsidR="00D106CD" w:rsidRPr="004B6D57">
        <w:t xml:space="preserve">s </w:t>
      </w:r>
      <w:r w:rsidRPr="004B6D57">
        <w:t xml:space="preserve">there are </w:t>
      </w:r>
      <w:r w:rsidR="00D106CD" w:rsidRPr="004B6D57">
        <w:t xml:space="preserve">approximately </w:t>
      </w:r>
      <w:r w:rsidRPr="004B6D57">
        <w:t xml:space="preserve">90 existing sources.  This ICR reflects the most recent information obtained from the 2011 RIA, and contributes to the </w:t>
      </w:r>
      <w:r w:rsidR="00554602">
        <w:t>apparent decrease in the respondent and Agency labor burdens.</w:t>
      </w:r>
    </w:p>
    <w:p w:rsidR="00F01911" w:rsidRPr="004B6D57" w:rsidRDefault="00F01911" w:rsidP="00F01911">
      <w:pPr>
        <w:pBdr>
          <w:top w:val="single" w:sz="6" w:space="0" w:color="FFFFFF"/>
          <w:left w:val="single" w:sz="6" w:space="0" w:color="FFFFFF"/>
          <w:bottom w:val="single" w:sz="6" w:space="0" w:color="FFFFFF"/>
          <w:right w:val="single" w:sz="6" w:space="0" w:color="FFFFFF"/>
        </w:pBdr>
        <w:ind w:firstLine="720"/>
      </w:pPr>
    </w:p>
    <w:p w:rsidR="00F01911" w:rsidRPr="004B6D57" w:rsidRDefault="00F01911" w:rsidP="00F01911">
      <w:pPr>
        <w:pBdr>
          <w:top w:val="single" w:sz="6" w:space="0" w:color="FFFFFF"/>
          <w:left w:val="single" w:sz="6" w:space="0" w:color="FFFFFF"/>
          <w:bottom w:val="single" w:sz="6" w:space="0" w:color="FFFFFF"/>
          <w:right w:val="single" w:sz="6" w:space="0" w:color="FFFFFF"/>
        </w:pBdr>
        <w:ind w:firstLine="720"/>
      </w:pPr>
      <w:r w:rsidRPr="004B6D57">
        <w:t>Finally, t</w:t>
      </w:r>
      <w:r w:rsidR="00CB1F07" w:rsidRPr="004B6D57">
        <w:t>here is a</w:t>
      </w:r>
      <w:r w:rsidR="00A32B4B" w:rsidRPr="004B6D57">
        <w:t xml:space="preserve"> slight</w:t>
      </w:r>
      <w:r w:rsidR="00CB1F07" w:rsidRPr="004B6D57">
        <w:t xml:space="preserve"> increase in Agency burden costs from the most recently approved ICR due to the use of updated labor rates.  This ICR references labor rates from the Bureau of Labor Statistics to calculate respondent burden costs and references labor rates from OPM to calculate Agency burden costs.</w:t>
      </w:r>
    </w:p>
    <w:p w:rsidR="00F01911" w:rsidRPr="004B6D57" w:rsidRDefault="00F01911" w:rsidP="00F01911">
      <w:pPr>
        <w:pBdr>
          <w:top w:val="single" w:sz="6" w:space="0" w:color="FFFFFF"/>
          <w:left w:val="single" w:sz="6" w:space="0" w:color="FFFFFF"/>
          <w:bottom w:val="single" w:sz="6" w:space="0" w:color="FFFFFF"/>
          <w:right w:val="single" w:sz="6" w:space="0" w:color="FFFFFF"/>
        </w:pBdr>
      </w:pPr>
    </w:p>
    <w:p w:rsidR="00F01911" w:rsidRPr="004B6D57" w:rsidRDefault="00CB1F07" w:rsidP="00F01911">
      <w:pPr>
        <w:pBdr>
          <w:top w:val="single" w:sz="6" w:space="0" w:color="FFFFFF"/>
          <w:left w:val="single" w:sz="6" w:space="0" w:color="FFFFFF"/>
          <w:bottom w:val="single" w:sz="6" w:space="0" w:color="FFFFFF"/>
          <w:right w:val="single" w:sz="6" w:space="0" w:color="FFFFFF"/>
        </w:pBdr>
        <w:ind w:firstLine="720"/>
      </w:pPr>
      <w:r w:rsidRPr="004B6D57">
        <w:t xml:space="preserve">There is an apparent increase in the O&amp;M costs as compared to the previous ICR.  </w:t>
      </w:r>
      <w:r w:rsidR="00D106CD" w:rsidRPr="004B6D57">
        <w:t>A</w:t>
      </w:r>
      <w:r w:rsidRPr="004B6D57">
        <w:t>s described above, the previous ICR included contractor labor costs associated with annual stack testing and continuous parameter monitoring as a respondent burden.  The revision to reflect these activities as O&amp;M costs resulted in the apparent increase of the total O&amp;M cost.</w:t>
      </w:r>
    </w:p>
    <w:p w:rsidR="00BB5F5F" w:rsidRPr="004B6D57" w:rsidRDefault="00BB5F5F">
      <w:pPr>
        <w:pBdr>
          <w:top w:val="single" w:sz="6" w:space="0" w:color="FFFFFF"/>
          <w:left w:val="single" w:sz="6" w:space="0" w:color="FFFFFF"/>
          <w:bottom w:val="single" w:sz="6" w:space="0" w:color="FFFFFF"/>
          <w:right w:val="single" w:sz="6" w:space="0" w:color="FFFFFF"/>
        </w:pBdr>
      </w:pPr>
    </w:p>
    <w:p w:rsidR="00CA4CD6" w:rsidRPr="00F01911" w:rsidRDefault="00CB1F07">
      <w:pPr>
        <w:pBdr>
          <w:top w:val="single" w:sz="6" w:space="0" w:color="FFFFFF"/>
          <w:left w:val="single" w:sz="6" w:space="0" w:color="FFFFFF"/>
          <w:bottom w:val="single" w:sz="6" w:space="0" w:color="FFFFFF"/>
          <w:right w:val="single" w:sz="6" w:space="0" w:color="FFFFFF"/>
        </w:pBdr>
        <w:ind w:firstLine="720"/>
      </w:pPr>
      <w:r w:rsidRPr="004B6D57">
        <w:rPr>
          <w:b/>
          <w:bCs/>
        </w:rPr>
        <w:t>6(g</w:t>
      </w:r>
      <w:proofErr w:type="gramStart"/>
      <w:r w:rsidRPr="004B6D57">
        <w:rPr>
          <w:b/>
          <w:bCs/>
        </w:rPr>
        <w:t>)  Burden</w:t>
      </w:r>
      <w:proofErr w:type="gramEnd"/>
      <w:r w:rsidRPr="004B6D57">
        <w:rPr>
          <w:b/>
          <w:bCs/>
        </w:rPr>
        <w:t xml:space="preserve"> Statement</w:t>
      </w:r>
    </w:p>
    <w:p w:rsidR="00CA4CD6" w:rsidRPr="00F01911" w:rsidRDefault="00CA4CD6">
      <w:pPr>
        <w:pBdr>
          <w:top w:val="single" w:sz="6" w:space="0" w:color="FFFFFF"/>
          <w:left w:val="single" w:sz="6" w:space="0" w:color="FFFFFF"/>
          <w:bottom w:val="single" w:sz="6" w:space="0" w:color="FFFFFF"/>
          <w:right w:val="single" w:sz="6" w:space="0" w:color="FFFFFF"/>
        </w:pBdr>
      </w:pPr>
    </w:p>
    <w:p w:rsidR="00CA4CD6" w:rsidRPr="00BB5F5F" w:rsidRDefault="00CB1F07" w:rsidP="008E0C21">
      <w:pPr>
        <w:widowControl/>
        <w:pBdr>
          <w:top w:val="single" w:sz="6" w:space="0" w:color="FFFFFF"/>
          <w:left w:val="single" w:sz="6" w:space="0" w:color="FFFFFF"/>
          <w:bottom w:val="single" w:sz="6" w:space="0" w:color="FFFFFF"/>
          <w:right w:val="single" w:sz="6" w:space="0" w:color="FFFFFF"/>
        </w:pBdr>
        <w:ind w:firstLine="720"/>
      </w:pPr>
      <w:r>
        <w:t>The annual public reporting and recordkeeping</w:t>
      </w:r>
      <w:r w:rsidR="00CA4CD6" w:rsidRPr="00BB5F5F">
        <w:t xml:space="preserve"> burden for this collection of information is estimated to average</w:t>
      </w:r>
      <w:r w:rsidR="00225615" w:rsidRPr="00BB5F5F">
        <w:t xml:space="preserve"> </w:t>
      </w:r>
      <w:r w:rsidR="00D106CD">
        <w:t>134</w:t>
      </w:r>
      <w:r w:rsidR="00225615" w:rsidRPr="00BB5F5F">
        <w:t xml:space="preserve"> </w:t>
      </w:r>
      <w:r w:rsidR="00CA4CD6" w:rsidRPr="00BB5F5F">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sidR="00CA4CD6" w:rsidRPr="00BB5F5F">
        <w:lastRenderedPageBreak/>
        <w:t>sources; complete and review the collection of information; and transmit or otherwise disclose the information.</w:t>
      </w:r>
    </w:p>
    <w:p w:rsidR="00CA4CD6" w:rsidRPr="00BB5F5F" w:rsidRDefault="00CA4CD6">
      <w:pPr>
        <w:pBdr>
          <w:top w:val="single" w:sz="6" w:space="0" w:color="FFFFFF"/>
          <w:left w:val="single" w:sz="6" w:space="0" w:color="FFFFFF"/>
          <w:bottom w:val="single" w:sz="6" w:space="0" w:color="FFFFFF"/>
          <w:right w:val="single" w:sz="6" w:space="0" w:color="FFFFFF"/>
        </w:pBdr>
      </w:pPr>
    </w:p>
    <w:p w:rsidR="00CA4CD6" w:rsidRPr="00BB5F5F" w:rsidRDefault="00CA4CD6">
      <w:pPr>
        <w:pBdr>
          <w:top w:val="single" w:sz="6" w:space="0" w:color="FFFFFF"/>
          <w:left w:val="single" w:sz="6" w:space="0" w:color="FFFFFF"/>
          <w:bottom w:val="single" w:sz="6" w:space="0" w:color="FFFFFF"/>
          <w:right w:val="single" w:sz="6" w:space="0" w:color="FFFFFF"/>
        </w:pBdr>
        <w:ind w:firstLine="720"/>
      </w:pPr>
      <w:r w:rsidRPr="00BB5F5F">
        <w:t>An agency may not conduct or sponsor, and a person is not required to respond to, a collection of information unless it displays a valid OMB Control Number.  The OMB Control Numbers for EPA</w:t>
      </w:r>
      <w:r w:rsidR="00906EDB" w:rsidRPr="00BB5F5F">
        <w:t xml:space="preserve"> </w:t>
      </w:r>
      <w:r w:rsidRPr="00BB5F5F">
        <w:t>regulations are listed at 40 CFR part 9 and 48 CFR chapter 15.</w:t>
      </w:r>
    </w:p>
    <w:p w:rsidR="006741F7" w:rsidRPr="00BB5F5F" w:rsidRDefault="006741F7" w:rsidP="00354C15"/>
    <w:p w:rsidR="00354C15" w:rsidRPr="00BB5F5F" w:rsidRDefault="00FB0650" w:rsidP="001A2084">
      <w:r w:rsidRPr="00BB5F5F">
        <w:tab/>
      </w:r>
      <w:r w:rsidR="00CA4CD6" w:rsidRPr="00BB5F5F">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1A2084" w:rsidRPr="00BB5F5F">
        <w:t xml:space="preserve"> EPA-HQ-OECA-2012-0685.  </w:t>
      </w:r>
      <w:r w:rsidR="00354C15" w:rsidRPr="00BB5F5F">
        <w:t>An electronic version of the public docket is available at</w:t>
      </w:r>
      <w:r w:rsidR="00354C15" w:rsidRPr="00354C15">
        <w:t xml:space="preserve"> </w:t>
      </w:r>
      <w:hyperlink r:id="rId9" w:history="1">
        <w:r w:rsidR="00C04D72" w:rsidRPr="00257C11">
          <w:rPr>
            <w:rStyle w:val="Hyperlink"/>
            <w:color w:val="auto"/>
          </w:rPr>
          <w:t>http://www.regulations.gov</w:t>
        </w:r>
      </w:hyperlink>
      <w:r w:rsidR="00C04D72" w:rsidRPr="00257C11">
        <w:t>,</w:t>
      </w:r>
      <w:r w:rsidR="00354C15" w:rsidRPr="00257C11">
        <w:t xml:space="preserve"> </w:t>
      </w:r>
      <w:r w:rsidR="00354C15" w:rsidRPr="00BB5F5F">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BB5F5F">
        <w:rPr>
          <w:rStyle w:val="1"/>
        </w:rPr>
        <w:t xml:space="preserve">, select “search,” then key in the docket ID number identified in this document.  The documents are also </w:t>
      </w:r>
      <w:r w:rsidR="00CA4CD6" w:rsidRPr="00BB5F5F">
        <w:t xml:space="preserve">available for public viewing at the Enforcement and Compliance Docket and Information Center in the EPA Docket Center (EPA/DC), </w:t>
      </w:r>
      <w:r w:rsidR="00D95819" w:rsidRPr="00BB5F5F">
        <w:t>EPA West, Room 3334</w:t>
      </w:r>
      <w:r w:rsidR="00CA4CD6" w:rsidRPr="00BB5F5F">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BB5F5F">
        <w:t>for the docket center i</w:t>
      </w:r>
      <w:r w:rsidR="00CA4CD6" w:rsidRPr="00BB5F5F">
        <w:t>s (202) 566-</w:t>
      </w:r>
      <w:r w:rsidR="00850ACF" w:rsidRPr="00BB5F5F">
        <w:t>17</w:t>
      </w:r>
      <w:r w:rsidR="00F95A98">
        <w:t>52</w:t>
      </w:r>
      <w:r w:rsidR="00354C15" w:rsidRPr="00BB5F5F">
        <w:t xml:space="preserve">.  </w:t>
      </w:r>
      <w:r w:rsidR="00CA4CD6" w:rsidRPr="00BB5F5F">
        <w:t xml:space="preserve">Also, you can send comments to the Office of Information and Regulatory Affairs, Office of Management and Budget, 725 17th Street, NW, Washington, DC 20503, Attention: Desk Officer for EPA.  Please include the EPA Docket ID Number </w:t>
      </w:r>
      <w:r w:rsidR="001A2084" w:rsidRPr="00BB5F5F">
        <w:t xml:space="preserve">EPA-HQ-OECA-2012-0685 </w:t>
      </w:r>
      <w:r w:rsidR="00CA4CD6" w:rsidRPr="00BB5F5F">
        <w:t>and OMB Control Number</w:t>
      </w:r>
      <w:r w:rsidR="001A2084" w:rsidRPr="00BB5F5F">
        <w:t xml:space="preserve"> 2060-0451 </w:t>
      </w:r>
      <w:r w:rsidR="00CA4CD6" w:rsidRPr="00BB5F5F">
        <w:t xml:space="preserve">in any correspondence. </w:t>
      </w:r>
    </w:p>
    <w:p w:rsidR="00F340DF" w:rsidRPr="00BB5F5F" w:rsidRDefault="00F340DF" w:rsidP="00F340DF">
      <w:pPr>
        <w:rPr>
          <w:rStyle w:val="1"/>
          <w:rFonts w:ascii="WP TypographicSymbols" w:hAnsi="WP TypographicSymbols" w:cs="WP TypographicSymbols"/>
        </w:rPr>
      </w:pPr>
    </w:p>
    <w:p w:rsidR="00F340DF" w:rsidRPr="00BB5F5F" w:rsidRDefault="00CA4CD6" w:rsidP="00F340DF">
      <w:pPr>
        <w:rPr>
          <w:b/>
          <w:bCs/>
        </w:rPr>
      </w:pPr>
      <w:r w:rsidRPr="00BB5F5F">
        <w:rPr>
          <w:b/>
          <w:bCs/>
        </w:rPr>
        <w:t>Part B of the Supporting Statement</w:t>
      </w:r>
    </w:p>
    <w:p w:rsidR="00F340DF" w:rsidRPr="00BB5F5F" w:rsidRDefault="00F340DF" w:rsidP="00F340DF">
      <w:pPr>
        <w:rPr>
          <w:b/>
          <w:bCs/>
        </w:rPr>
      </w:pPr>
    </w:p>
    <w:p w:rsidR="00CA4CD6" w:rsidRPr="00BB5F5F" w:rsidRDefault="00CA4CD6" w:rsidP="00F340DF">
      <w:r w:rsidRPr="00BB5F5F">
        <w:t>This part is not applicable because no statistical methods were used in collecting this information.</w:t>
      </w:r>
    </w:p>
    <w:p w:rsidR="00144F35" w:rsidRPr="00BB5F5F" w:rsidRDefault="00144F35" w:rsidP="00F340DF">
      <w:pPr>
        <w:sectPr w:rsidR="00144F35" w:rsidRPr="00BB5F5F" w:rsidSect="00A7661C">
          <w:headerReference w:type="default" r:id="rId10"/>
          <w:type w:val="continuous"/>
          <w:pgSz w:w="12240" w:h="15840"/>
          <w:pgMar w:top="1350" w:right="1440" w:bottom="1440" w:left="1440" w:header="1350" w:footer="1440" w:gutter="0"/>
          <w:cols w:space="720"/>
          <w:noEndnote/>
          <w:titlePg/>
          <w:docGrid w:linePitch="326"/>
        </w:sectPr>
      </w:pPr>
    </w:p>
    <w:p w:rsidR="00D67C48" w:rsidRDefault="00144F35" w:rsidP="00A764F0">
      <w:pPr>
        <w:jc w:val="center"/>
        <w:rPr>
          <w:b/>
          <w:bCs/>
        </w:rPr>
      </w:pPr>
      <w:r w:rsidRPr="00BB5F5F">
        <w:rPr>
          <w:b/>
          <w:bCs/>
        </w:rPr>
        <w:lastRenderedPageBreak/>
        <w:t>Table 1</w:t>
      </w:r>
      <w:r w:rsidR="001A2084" w:rsidRPr="00BB5F5F">
        <w:rPr>
          <w:b/>
          <w:bCs/>
        </w:rPr>
        <w:t>: Annual Respondent Burden and Cost – Emission Guidelines for Commercial and Industrial Solid Waste Incineration</w:t>
      </w:r>
    </w:p>
    <w:p w:rsidR="00144F35" w:rsidRPr="00BB5F5F" w:rsidRDefault="001A2084" w:rsidP="00D67C48">
      <w:pPr>
        <w:rPr>
          <w:b/>
          <w:bCs/>
        </w:rPr>
      </w:pPr>
      <w:r w:rsidRPr="00BB5F5F">
        <w:rPr>
          <w:b/>
          <w:bCs/>
        </w:rPr>
        <w:t xml:space="preserve"> Units (40 CFR Part 60, Subpart DDDD) (Renewal)</w:t>
      </w:r>
    </w:p>
    <w:p w:rsidR="00144F35" w:rsidRPr="00BB5F5F" w:rsidRDefault="00144F35" w:rsidP="00F340DF">
      <w:pPr>
        <w:rPr>
          <w:b/>
          <w:bCs/>
        </w:rPr>
      </w:pPr>
    </w:p>
    <w:tbl>
      <w:tblPr>
        <w:tblW w:w="14104" w:type="dxa"/>
        <w:jc w:val="center"/>
        <w:tblLayout w:type="fixed"/>
        <w:tblCellMar>
          <w:left w:w="72" w:type="dxa"/>
          <w:right w:w="72" w:type="dxa"/>
        </w:tblCellMar>
        <w:tblLook w:val="0000"/>
      </w:tblPr>
      <w:tblGrid>
        <w:gridCol w:w="3934"/>
        <w:gridCol w:w="1194"/>
        <w:gridCol w:w="1513"/>
        <w:gridCol w:w="1476"/>
        <w:gridCol w:w="1248"/>
        <w:gridCol w:w="1008"/>
        <w:gridCol w:w="1343"/>
        <w:gridCol w:w="965"/>
        <w:gridCol w:w="1423"/>
      </w:tblGrid>
      <w:tr w:rsidR="004E301F" w:rsidRPr="00BB5F5F" w:rsidTr="00FC1EB8">
        <w:trPr>
          <w:trHeight w:val="288"/>
          <w:tblHeader/>
          <w:jc w:val="center"/>
        </w:trPr>
        <w:tc>
          <w:tcPr>
            <w:tcW w:w="3934" w:type="dxa"/>
            <w:vMerge w:val="restart"/>
            <w:tcBorders>
              <w:top w:val="single" w:sz="6" w:space="0" w:color="auto"/>
              <w:left w:val="single" w:sz="6" w:space="0" w:color="auto"/>
              <w:right w:val="single" w:sz="6" w:space="0" w:color="auto"/>
            </w:tcBorders>
            <w:vAlign w:val="bottom"/>
          </w:tcPr>
          <w:p w:rsidR="004E301F" w:rsidRDefault="004E301F" w:rsidP="00A764F0">
            <w:pPr>
              <w:widowControl/>
              <w:jc w:val="center"/>
              <w:rPr>
                <w:b/>
                <w:bCs/>
                <w:sz w:val="20"/>
                <w:szCs w:val="20"/>
              </w:rPr>
            </w:pPr>
            <w:r w:rsidRPr="00BB5F5F">
              <w:rPr>
                <w:b/>
                <w:bCs/>
                <w:sz w:val="20"/>
                <w:szCs w:val="20"/>
              </w:rPr>
              <w:t>Burden Item</w:t>
            </w:r>
          </w:p>
          <w:p w:rsidR="00E93463" w:rsidRDefault="00E93463" w:rsidP="00A764F0">
            <w:pPr>
              <w:widowControl/>
              <w:jc w:val="center"/>
              <w:rPr>
                <w:b/>
                <w:bCs/>
                <w:sz w:val="20"/>
                <w:szCs w:val="20"/>
              </w:rPr>
            </w:pPr>
          </w:p>
          <w:p w:rsidR="00E93463" w:rsidRDefault="00E93463" w:rsidP="00A764F0">
            <w:pPr>
              <w:widowControl/>
              <w:jc w:val="center"/>
              <w:rPr>
                <w:b/>
                <w:bCs/>
                <w:sz w:val="20"/>
                <w:szCs w:val="20"/>
              </w:rPr>
            </w:pPr>
          </w:p>
          <w:p w:rsidR="00E93463" w:rsidRPr="00BB5F5F" w:rsidRDefault="00E93463" w:rsidP="00A764F0">
            <w:pPr>
              <w:widowControl/>
              <w:jc w:val="center"/>
              <w:rPr>
                <w:b/>
                <w:bCs/>
                <w:sz w:val="20"/>
                <w:szCs w:val="20"/>
              </w:rPr>
            </w:pPr>
          </w:p>
        </w:tc>
        <w:tc>
          <w:tcPr>
            <w:tcW w:w="1194"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A</w:t>
            </w:r>
          </w:p>
        </w:tc>
        <w:tc>
          <w:tcPr>
            <w:tcW w:w="1513"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B</w:t>
            </w:r>
          </w:p>
        </w:tc>
        <w:tc>
          <w:tcPr>
            <w:tcW w:w="1476"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C</w:t>
            </w:r>
          </w:p>
        </w:tc>
        <w:tc>
          <w:tcPr>
            <w:tcW w:w="1248"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D</w:t>
            </w:r>
          </w:p>
        </w:tc>
        <w:tc>
          <w:tcPr>
            <w:tcW w:w="1008"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E</w:t>
            </w:r>
          </w:p>
        </w:tc>
        <w:tc>
          <w:tcPr>
            <w:tcW w:w="1343"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F</w:t>
            </w:r>
          </w:p>
        </w:tc>
        <w:tc>
          <w:tcPr>
            <w:tcW w:w="965"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G</w:t>
            </w:r>
          </w:p>
        </w:tc>
        <w:tc>
          <w:tcPr>
            <w:tcW w:w="1423"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H</w:t>
            </w:r>
          </w:p>
        </w:tc>
      </w:tr>
      <w:tr w:rsidR="004E301F" w:rsidRPr="00BB5F5F" w:rsidTr="00FC1EB8">
        <w:trPr>
          <w:trHeight w:val="1398"/>
          <w:tblHeader/>
          <w:jc w:val="center"/>
        </w:trPr>
        <w:tc>
          <w:tcPr>
            <w:tcW w:w="3934" w:type="dxa"/>
            <w:vMerge/>
            <w:tcBorders>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p>
        </w:tc>
        <w:tc>
          <w:tcPr>
            <w:tcW w:w="1194" w:type="dxa"/>
            <w:tcBorders>
              <w:top w:val="single" w:sz="6" w:space="0" w:color="auto"/>
              <w:left w:val="single" w:sz="6" w:space="0" w:color="auto"/>
              <w:bottom w:val="single" w:sz="6" w:space="0" w:color="auto"/>
              <w:right w:val="single" w:sz="6" w:space="0" w:color="auto"/>
            </w:tcBorders>
            <w:vAlign w:val="bottom"/>
          </w:tcPr>
          <w:p w:rsidR="004E301F" w:rsidRDefault="004E301F" w:rsidP="00A764F0">
            <w:pPr>
              <w:widowControl/>
              <w:jc w:val="center"/>
              <w:rPr>
                <w:b/>
                <w:bCs/>
                <w:sz w:val="20"/>
                <w:szCs w:val="20"/>
              </w:rPr>
            </w:pPr>
            <w:r w:rsidRPr="00BB5F5F">
              <w:rPr>
                <w:b/>
                <w:bCs/>
                <w:sz w:val="20"/>
                <w:szCs w:val="20"/>
              </w:rPr>
              <w:t>Technical person-hours per occurrence</w:t>
            </w:r>
          </w:p>
          <w:p w:rsidR="00E93463" w:rsidRDefault="00E93463" w:rsidP="00A764F0">
            <w:pPr>
              <w:widowControl/>
              <w:jc w:val="center"/>
              <w:rPr>
                <w:b/>
                <w:bCs/>
                <w:sz w:val="20"/>
                <w:szCs w:val="20"/>
              </w:rPr>
            </w:pPr>
          </w:p>
          <w:p w:rsidR="00E93463" w:rsidRDefault="00E93463" w:rsidP="00A764F0">
            <w:pPr>
              <w:widowControl/>
              <w:jc w:val="center"/>
              <w:rPr>
                <w:b/>
                <w:bCs/>
                <w:sz w:val="20"/>
                <w:szCs w:val="20"/>
              </w:rPr>
            </w:pPr>
          </w:p>
          <w:p w:rsidR="00E93463" w:rsidRPr="00BB5F5F" w:rsidRDefault="00E93463" w:rsidP="00A764F0">
            <w:pPr>
              <w:widowControl/>
              <w:jc w:val="center"/>
              <w:rPr>
                <w:b/>
                <w:bCs/>
                <w:sz w:val="20"/>
                <w:szCs w:val="20"/>
              </w:rPr>
            </w:pPr>
          </w:p>
        </w:tc>
        <w:tc>
          <w:tcPr>
            <w:tcW w:w="1513" w:type="dxa"/>
            <w:tcBorders>
              <w:top w:val="single" w:sz="6" w:space="0" w:color="auto"/>
              <w:left w:val="single" w:sz="6" w:space="0" w:color="auto"/>
              <w:bottom w:val="single" w:sz="6" w:space="0" w:color="auto"/>
              <w:right w:val="single" w:sz="6" w:space="0" w:color="auto"/>
            </w:tcBorders>
            <w:vAlign w:val="bottom"/>
          </w:tcPr>
          <w:p w:rsidR="004E301F" w:rsidRDefault="004E301F" w:rsidP="00A764F0">
            <w:pPr>
              <w:widowControl/>
              <w:jc w:val="center"/>
              <w:rPr>
                <w:b/>
                <w:bCs/>
                <w:sz w:val="20"/>
                <w:szCs w:val="20"/>
              </w:rPr>
            </w:pPr>
            <w:r w:rsidRPr="00BB5F5F">
              <w:rPr>
                <w:b/>
                <w:bCs/>
                <w:sz w:val="20"/>
                <w:szCs w:val="20"/>
              </w:rPr>
              <w:t>No. of occurrences per respondent per year</w:t>
            </w:r>
          </w:p>
          <w:p w:rsidR="00E93463" w:rsidRDefault="00E93463" w:rsidP="00A764F0">
            <w:pPr>
              <w:widowControl/>
              <w:jc w:val="center"/>
              <w:rPr>
                <w:b/>
                <w:bCs/>
                <w:sz w:val="20"/>
                <w:szCs w:val="20"/>
              </w:rPr>
            </w:pPr>
          </w:p>
          <w:p w:rsidR="00E93463" w:rsidRDefault="00E93463" w:rsidP="00A764F0">
            <w:pPr>
              <w:widowControl/>
              <w:jc w:val="center"/>
              <w:rPr>
                <w:b/>
                <w:bCs/>
                <w:sz w:val="20"/>
                <w:szCs w:val="20"/>
              </w:rPr>
            </w:pPr>
          </w:p>
          <w:p w:rsidR="000531E5" w:rsidRPr="00BB5F5F" w:rsidRDefault="000531E5" w:rsidP="00A764F0">
            <w:pPr>
              <w:widowControl/>
              <w:jc w:val="center"/>
              <w:rPr>
                <w:b/>
                <w:bCs/>
                <w:sz w:val="20"/>
                <w:szCs w:val="20"/>
              </w:rPr>
            </w:pPr>
          </w:p>
        </w:tc>
        <w:tc>
          <w:tcPr>
            <w:tcW w:w="1476" w:type="dxa"/>
            <w:tcBorders>
              <w:top w:val="single" w:sz="6" w:space="0" w:color="auto"/>
              <w:left w:val="single" w:sz="6" w:space="0" w:color="auto"/>
              <w:bottom w:val="single" w:sz="6" w:space="0" w:color="auto"/>
              <w:right w:val="single" w:sz="6" w:space="0" w:color="auto"/>
            </w:tcBorders>
            <w:vAlign w:val="bottom"/>
          </w:tcPr>
          <w:p w:rsidR="00A32B4B" w:rsidRDefault="004E301F" w:rsidP="00A764F0">
            <w:pPr>
              <w:widowControl/>
              <w:jc w:val="center"/>
              <w:rPr>
                <w:b/>
                <w:bCs/>
                <w:sz w:val="20"/>
                <w:szCs w:val="20"/>
              </w:rPr>
            </w:pPr>
            <w:r w:rsidRPr="00BB5F5F">
              <w:rPr>
                <w:b/>
                <w:bCs/>
                <w:sz w:val="20"/>
                <w:szCs w:val="20"/>
              </w:rPr>
              <w:t xml:space="preserve">Technical person-hours per respondent per year </w:t>
            </w:r>
          </w:p>
          <w:p w:rsidR="004E301F" w:rsidRDefault="004E301F" w:rsidP="00A764F0">
            <w:pPr>
              <w:widowControl/>
              <w:jc w:val="center"/>
              <w:rPr>
                <w:b/>
                <w:bCs/>
                <w:sz w:val="20"/>
                <w:szCs w:val="20"/>
              </w:rPr>
            </w:pPr>
            <w:r w:rsidRPr="00BB5F5F">
              <w:rPr>
                <w:b/>
                <w:bCs/>
                <w:sz w:val="20"/>
                <w:szCs w:val="20"/>
              </w:rPr>
              <w:t>(</w:t>
            </w:r>
            <w:proofErr w:type="spellStart"/>
            <w:r w:rsidRPr="00BB5F5F">
              <w:rPr>
                <w:b/>
                <w:bCs/>
                <w:sz w:val="20"/>
                <w:szCs w:val="20"/>
              </w:rPr>
              <w:t>AxB</w:t>
            </w:r>
            <w:proofErr w:type="spellEnd"/>
            <w:r w:rsidRPr="00BB5F5F">
              <w:rPr>
                <w:b/>
                <w:bCs/>
                <w:sz w:val="20"/>
                <w:szCs w:val="20"/>
              </w:rPr>
              <w:t>)</w:t>
            </w:r>
          </w:p>
          <w:p w:rsidR="00E93463" w:rsidRDefault="00E93463" w:rsidP="00A764F0">
            <w:pPr>
              <w:widowControl/>
              <w:jc w:val="center"/>
              <w:rPr>
                <w:b/>
                <w:bCs/>
                <w:sz w:val="20"/>
                <w:szCs w:val="20"/>
              </w:rPr>
            </w:pPr>
          </w:p>
          <w:p w:rsidR="000531E5" w:rsidRPr="00BB5F5F" w:rsidRDefault="000531E5" w:rsidP="00A764F0">
            <w:pPr>
              <w:widowControl/>
              <w:jc w:val="center"/>
              <w:rPr>
                <w:b/>
                <w:bCs/>
                <w:sz w:val="20"/>
                <w:szCs w:val="20"/>
              </w:rPr>
            </w:pPr>
          </w:p>
        </w:tc>
        <w:tc>
          <w:tcPr>
            <w:tcW w:w="1248" w:type="dxa"/>
            <w:tcBorders>
              <w:top w:val="single" w:sz="6" w:space="0" w:color="auto"/>
              <w:left w:val="single" w:sz="6" w:space="0" w:color="auto"/>
              <w:bottom w:val="single" w:sz="6" w:space="0" w:color="auto"/>
              <w:right w:val="single" w:sz="6" w:space="0" w:color="auto"/>
            </w:tcBorders>
            <w:vAlign w:val="bottom"/>
          </w:tcPr>
          <w:p w:rsidR="004E301F" w:rsidRDefault="004E301F" w:rsidP="00A764F0">
            <w:pPr>
              <w:widowControl/>
              <w:jc w:val="center"/>
              <w:rPr>
                <w:b/>
                <w:bCs/>
                <w:sz w:val="20"/>
                <w:szCs w:val="20"/>
                <w:vertAlign w:val="superscript"/>
              </w:rPr>
            </w:pPr>
            <w:r w:rsidRPr="00BB5F5F">
              <w:rPr>
                <w:b/>
                <w:bCs/>
                <w:sz w:val="20"/>
                <w:szCs w:val="20"/>
              </w:rPr>
              <w:t xml:space="preserve">Respondents per year </w:t>
            </w:r>
            <w:r w:rsidRPr="00BB5F5F">
              <w:rPr>
                <w:b/>
                <w:bCs/>
                <w:sz w:val="20"/>
                <w:szCs w:val="20"/>
                <w:vertAlign w:val="superscript"/>
              </w:rPr>
              <w:t>a</w:t>
            </w:r>
          </w:p>
          <w:p w:rsidR="00E93463" w:rsidRDefault="00E93463" w:rsidP="00A764F0">
            <w:pPr>
              <w:widowControl/>
              <w:jc w:val="center"/>
              <w:rPr>
                <w:b/>
                <w:bCs/>
                <w:sz w:val="20"/>
                <w:szCs w:val="20"/>
                <w:vertAlign w:val="superscript"/>
              </w:rPr>
            </w:pPr>
          </w:p>
          <w:p w:rsidR="00E93463" w:rsidRDefault="00E93463" w:rsidP="00A764F0">
            <w:pPr>
              <w:widowControl/>
              <w:jc w:val="center"/>
              <w:rPr>
                <w:b/>
                <w:bCs/>
                <w:sz w:val="20"/>
                <w:szCs w:val="20"/>
                <w:vertAlign w:val="superscript"/>
              </w:rPr>
            </w:pPr>
          </w:p>
          <w:p w:rsidR="00E93463" w:rsidRDefault="00E93463" w:rsidP="00A764F0">
            <w:pPr>
              <w:widowControl/>
              <w:jc w:val="center"/>
              <w:rPr>
                <w:b/>
                <w:bCs/>
                <w:sz w:val="20"/>
                <w:szCs w:val="20"/>
                <w:vertAlign w:val="superscript"/>
              </w:rPr>
            </w:pPr>
          </w:p>
          <w:p w:rsidR="00E93463" w:rsidRDefault="00E93463" w:rsidP="00A764F0">
            <w:pPr>
              <w:widowControl/>
              <w:jc w:val="center"/>
              <w:rPr>
                <w:b/>
                <w:bCs/>
                <w:sz w:val="20"/>
                <w:szCs w:val="20"/>
                <w:vertAlign w:val="superscript"/>
              </w:rPr>
            </w:pPr>
          </w:p>
          <w:p w:rsidR="000531E5" w:rsidRPr="00BB5F5F" w:rsidRDefault="000531E5" w:rsidP="00A764F0">
            <w:pPr>
              <w:widowControl/>
              <w:jc w:val="center"/>
              <w:rPr>
                <w:b/>
                <w:bCs/>
                <w:sz w:val="20"/>
                <w:szCs w:val="20"/>
                <w:vertAlign w:val="superscript"/>
              </w:rPr>
            </w:pPr>
          </w:p>
        </w:tc>
        <w:tc>
          <w:tcPr>
            <w:tcW w:w="1008" w:type="dxa"/>
            <w:tcBorders>
              <w:top w:val="single" w:sz="6" w:space="0" w:color="auto"/>
              <w:left w:val="single" w:sz="6" w:space="0" w:color="auto"/>
              <w:bottom w:val="single" w:sz="6" w:space="0" w:color="auto"/>
              <w:right w:val="single" w:sz="6" w:space="0" w:color="auto"/>
            </w:tcBorders>
            <w:vAlign w:val="bottom"/>
          </w:tcPr>
          <w:p w:rsidR="004E301F" w:rsidRDefault="004E301F" w:rsidP="00A764F0">
            <w:pPr>
              <w:widowControl/>
              <w:jc w:val="center"/>
              <w:rPr>
                <w:b/>
                <w:bCs/>
                <w:sz w:val="20"/>
                <w:szCs w:val="20"/>
              </w:rPr>
            </w:pPr>
            <w:r w:rsidRPr="00BB5F5F">
              <w:rPr>
                <w:b/>
                <w:bCs/>
                <w:sz w:val="20"/>
                <w:szCs w:val="20"/>
              </w:rPr>
              <w:t xml:space="preserve">Technical </w:t>
            </w:r>
            <w:r w:rsidR="00E93463">
              <w:rPr>
                <w:b/>
                <w:bCs/>
                <w:sz w:val="20"/>
                <w:szCs w:val="20"/>
              </w:rPr>
              <w:t xml:space="preserve">person </w:t>
            </w:r>
            <w:r w:rsidRPr="00BB5F5F">
              <w:rPr>
                <w:b/>
                <w:bCs/>
                <w:sz w:val="20"/>
                <w:szCs w:val="20"/>
              </w:rPr>
              <w:t>hours per year (</w:t>
            </w:r>
            <w:proofErr w:type="spellStart"/>
            <w:r w:rsidRPr="00BB5F5F">
              <w:rPr>
                <w:b/>
                <w:bCs/>
                <w:sz w:val="20"/>
                <w:szCs w:val="20"/>
              </w:rPr>
              <w:t>CxD</w:t>
            </w:r>
            <w:proofErr w:type="spellEnd"/>
            <w:r w:rsidRPr="00BB5F5F">
              <w:rPr>
                <w:b/>
                <w:bCs/>
                <w:sz w:val="20"/>
                <w:szCs w:val="20"/>
              </w:rPr>
              <w:t>)</w:t>
            </w:r>
          </w:p>
          <w:p w:rsidR="00E93463" w:rsidRDefault="00E93463" w:rsidP="00A764F0">
            <w:pPr>
              <w:widowControl/>
              <w:jc w:val="center"/>
              <w:rPr>
                <w:b/>
                <w:bCs/>
                <w:sz w:val="20"/>
                <w:szCs w:val="20"/>
              </w:rPr>
            </w:pPr>
          </w:p>
          <w:p w:rsidR="000531E5" w:rsidRPr="00BB5F5F" w:rsidRDefault="000531E5" w:rsidP="00A764F0">
            <w:pPr>
              <w:widowControl/>
              <w:jc w:val="center"/>
              <w:rPr>
                <w:b/>
                <w:bCs/>
                <w:sz w:val="20"/>
                <w:szCs w:val="20"/>
              </w:rPr>
            </w:pPr>
          </w:p>
        </w:tc>
        <w:tc>
          <w:tcPr>
            <w:tcW w:w="1343" w:type="dxa"/>
            <w:tcBorders>
              <w:top w:val="single" w:sz="6" w:space="0" w:color="auto"/>
              <w:left w:val="single" w:sz="6" w:space="0" w:color="auto"/>
              <w:bottom w:val="single" w:sz="6" w:space="0" w:color="auto"/>
              <w:right w:val="single" w:sz="6" w:space="0" w:color="auto"/>
            </w:tcBorders>
            <w:vAlign w:val="bottom"/>
          </w:tcPr>
          <w:p w:rsidR="00E93463" w:rsidRDefault="004E301F" w:rsidP="00A764F0">
            <w:pPr>
              <w:widowControl/>
              <w:jc w:val="center"/>
              <w:rPr>
                <w:b/>
                <w:bCs/>
                <w:sz w:val="20"/>
                <w:szCs w:val="20"/>
              </w:rPr>
            </w:pPr>
            <w:r w:rsidRPr="00BB5F5F">
              <w:rPr>
                <w:b/>
                <w:bCs/>
                <w:sz w:val="20"/>
                <w:szCs w:val="20"/>
              </w:rPr>
              <w:t xml:space="preserve">Management </w:t>
            </w:r>
          </w:p>
          <w:p w:rsidR="00E93463" w:rsidRDefault="00E93463" w:rsidP="00A764F0">
            <w:pPr>
              <w:widowControl/>
              <w:jc w:val="center"/>
              <w:rPr>
                <w:b/>
                <w:bCs/>
                <w:sz w:val="20"/>
                <w:szCs w:val="20"/>
              </w:rPr>
            </w:pPr>
            <w:r>
              <w:rPr>
                <w:b/>
                <w:bCs/>
                <w:sz w:val="20"/>
                <w:szCs w:val="20"/>
              </w:rPr>
              <w:t>person</w:t>
            </w:r>
          </w:p>
          <w:p w:rsidR="004E301F" w:rsidRDefault="004E301F" w:rsidP="00A764F0">
            <w:pPr>
              <w:widowControl/>
              <w:jc w:val="center"/>
              <w:rPr>
                <w:b/>
                <w:bCs/>
                <w:sz w:val="20"/>
                <w:szCs w:val="20"/>
              </w:rPr>
            </w:pPr>
            <w:r w:rsidRPr="00BB5F5F">
              <w:rPr>
                <w:b/>
                <w:bCs/>
                <w:sz w:val="20"/>
                <w:szCs w:val="20"/>
              </w:rPr>
              <w:t>hours per year  (Ex0.05)</w:t>
            </w:r>
          </w:p>
          <w:p w:rsidR="00E93463" w:rsidRDefault="00E93463" w:rsidP="00A764F0">
            <w:pPr>
              <w:widowControl/>
              <w:jc w:val="center"/>
              <w:rPr>
                <w:b/>
                <w:bCs/>
                <w:sz w:val="20"/>
                <w:szCs w:val="20"/>
              </w:rPr>
            </w:pPr>
          </w:p>
          <w:p w:rsidR="00E93463" w:rsidRDefault="00E93463" w:rsidP="00A764F0">
            <w:pPr>
              <w:widowControl/>
              <w:jc w:val="center"/>
              <w:rPr>
                <w:b/>
                <w:bCs/>
                <w:sz w:val="20"/>
                <w:szCs w:val="20"/>
              </w:rPr>
            </w:pPr>
          </w:p>
          <w:p w:rsidR="000531E5" w:rsidRPr="00BB5F5F" w:rsidRDefault="000531E5" w:rsidP="00A764F0">
            <w:pPr>
              <w:widowControl/>
              <w:jc w:val="center"/>
              <w:rPr>
                <w:b/>
                <w:bCs/>
                <w:sz w:val="20"/>
                <w:szCs w:val="20"/>
              </w:rPr>
            </w:pPr>
          </w:p>
        </w:tc>
        <w:tc>
          <w:tcPr>
            <w:tcW w:w="965" w:type="dxa"/>
            <w:tcBorders>
              <w:top w:val="single" w:sz="6" w:space="0" w:color="auto"/>
              <w:left w:val="single" w:sz="6" w:space="0" w:color="auto"/>
              <w:bottom w:val="single" w:sz="6" w:space="0" w:color="auto"/>
              <w:right w:val="single" w:sz="6" w:space="0" w:color="auto"/>
            </w:tcBorders>
            <w:vAlign w:val="bottom"/>
          </w:tcPr>
          <w:p w:rsidR="00E93463" w:rsidRDefault="004E301F" w:rsidP="00A764F0">
            <w:pPr>
              <w:widowControl/>
              <w:jc w:val="center"/>
              <w:rPr>
                <w:b/>
                <w:bCs/>
                <w:sz w:val="20"/>
                <w:szCs w:val="20"/>
              </w:rPr>
            </w:pPr>
            <w:r w:rsidRPr="00BB5F5F">
              <w:rPr>
                <w:b/>
                <w:bCs/>
                <w:sz w:val="20"/>
                <w:szCs w:val="20"/>
              </w:rPr>
              <w:t>Clerical</w:t>
            </w:r>
          </w:p>
          <w:p w:rsidR="004E301F" w:rsidRDefault="00E93463" w:rsidP="00A764F0">
            <w:pPr>
              <w:widowControl/>
              <w:jc w:val="center"/>
              <w:rPr>
                <w:b/>
                <w:bCs/>
                <w:sz w:val="20"/>
                <w:szCs w:val="20"/>
              </w:rPr>
            </w:pPr>
            <w:r>
              <w:rPr>
                <w:b/>
                <w:bCs/>
                <w:sz w:val="20"/>
                <w:szCs w:val="20"/>
              </w:rPr>
              <w:t>person</w:t>
            </w:r>
            <w:r w:rsidR="004E301F" w:rsidRPr="00BB5F5F">
              <w:rPr>
                <w:b/>
                <w:bCs/>
                <w:sz w:val="20"/>
                <w:szCs w:val="20"/>
              </w:rPr>
              <w:t xml:space="preserve"> hours per year (Ex0.10)</w:t>
            </w:r>
          </w:p>
          <w:p w:rsidR="00E93463" w:rsidRDefault="00E93463" w:rsidP="00A764F0">
            <w:pPr>
              <w:widowControl/>
              <w:jc w:val="center"/>
              <w:rPr>
                <w:b/>
                <w:bCs/>
                <w:sz w:val="20"/>
                <w:szCs w:val="20"/>
              </w:rPr>
            </w:pPr>
          </w:p>
          <w:p w:rsidR="000531E5" w:rsidRPr="00BB5F5F" w:rsidRDefault="000531E5" w:rsidP="00A764F0">
            <w:pPr>
              <w:widowControl/>
              <w:jc w:val="center"/>
              <w:rPr>
                <w:b/>
                <w:bCs/>
                <w:sz w:val="20"/>
                <w:szCs w:val="20"/>
              </w:rPr>
            </w:pPr>
          </w:p>
        </w:tc>
        <w:tc>
          <w:tcPr>
            <w:tcW w:w="1423" w:type="dxa"/>
            <w:tcBorders>
              <w:top w:val="single" w:sz="6" w:space="0" w:color="auto"/>
              <w:left w:val="single" w:sz="6" w:space="0" w:color="auto"/>
              <w:bottom w:val="single" w:sz="6" w:space="0" w:color="auto"/>
              <w:right w:val="single" w:sz="6" w:space="0" w:color="auto"/>
            </w:tcBorders>
            <w:vAlign w:val="bottom"/>
          </w:tcPr>
          <w:p w:rsidR="004E301F" w:rsidRPr="00BB5F5F" w:rsidRDefault="004E301F" w:rsidP="00A764F0">
            <w:pPr>
              <w:widowControl/>
              <w:jc w:val="center"/>
              <w:rPr>
                <w:b/>
                <w:bCs/>
                <w:sz w:val="20"/>
                <w:szCs w:val="20"/>
              </w:rPr>
            </w:pPr>
            <w:r w:rsidRPr="00BB5F5F">
              <w:rPr>
                <w:b/>
                <w:bCs/>
                <w:sz w:val="20"/>
                <w:szCs w:val="20"/>
              </w:rPr>
              <w:t xml:space="preserve">Total cost per year </w:t>
            </w:r>
          </w:p>
          <w:p w:rsidR="004E301F" w:rsidRDefault="004E301F" w:rsidP="00A764F0">
            <w:pPr>
              <w:widowControl/>
              <w:jc w:val="center"/>
              <w:rPr>
                <w:b/>
                <w:bCs/>
                <w:sz w:val="20"/>
                <w:szCs w:val="20"/>
                <w:vertAlign w:val="superscript"/>
              </w:rPr>
            </w:pPr>
            <w:r w:rsidRPr="00BB5F5F">
              <w:rPr>
                <w:b/>
                <w:bCs/>
                <w:sz w:val="20"/>
                <w:szCs w:val="20"/>
              </w:rPr>
              <w:t xml:space="preserve">($) </w:t>
            </w:r>
            <w:r w:rsidRPr="00BB5F5F">
              <w:rPr>
                <w:b/>
                <w:bCs/>
                <w:sz w:val="20"/>
                <w:szCs w:val="20"/>
                <w:vertAlign w:val="superscript"/>
              </w:rPr>
              <w:t>b</w:t>
            </w:r>
          </w:p>
          <w:p w:rsidR="00E93463" w:rsidRDefault="00E93463" w:rsidP="00A764F0">
            <w:pPr>
              <w:widowControl/>
              <w:jc w:val="center"/>
              <w:rPr>
                <w:b/>
                <w:bCs/>
                <w:sz w:val="20"/>
                <w:szCs w:val="20"/>
                <w:vertAlign w:val="superscript"/>
              </w:rPr>
            </w:pPr>
          </w:p>
          <w:p w:rsidR="00E93463" w:rsidRDefault="00E93463" w:rsidP="00A764F0">
            <w:pPr>
              <w:widowControl/>
              <w:jc w:val="center"/>
              <w:rPr>
                <w:b/>
                <w:bCs/>
                <w:sz w:val="20"/>
                <w:szCs w:val="20"/>
                <w:vertAlign w:val="superscript"/>
              </w:rPr>
            </w:pPr>
          </w:p>
          <w:p w:rsidR="00E93463" w:rsidRDefault="00E93463" w:rsidP="00A764F0">
            <w:pPr>
              <w:widowControl/>
              <w:jc w:val="center"/>
              <w:rPr>
                <w:b/>
                <w:bCs/>
                <w:sz w:val="20"/>
                <w:szCs w:val="20"/>
                <w:vertAlign w:val="superscript"/>
              </w:rPr>
            </w:pPr>
          </w:p>
          <w:p w:rsidR="000531E5" w:rsidRPr="00BB5F5F" w:rsidRDefault="000531E5" w:rsidP="00A764F0">
            <w:pPr>
              <w:widowControl/>
              <w:jc w:val="center"/>
              <w:rPr>
                <w:b/>
                <w:bCs/>
                <w:sz w:val="20"/>
                <w:szCs w:val="20"/>
                <w:vertAlign w:val="superscript"/>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tcPr>
          <w:p w:rsidR="004E301F" w:rsidRPr="00BB5F5F" w:rsidRDefault="004E301F" w:rsidP="00E93463">
            <w:pPr>
              <w:widowControl/>
              <w:rPr>
                <w:sz w:val="20"/>
                <w:szCs w:val="20"/>
              </w:rPr>
            </w:pPr>
            <w:r w:rsidRPr="00BB5F5F">
              <w:rPr>
                <w:sz w:val="20"/>
                <w:szCs w:val="20"/>
              </w:rPr>
              <w:t>1.  A</w:t>
            </w:r>
            <w:r w:rsidR="00E93463">
              <w:rPr>
                <w:sz w:val="20"/>
                <w:szCs w:val="20"/>
              </w:rPr>
              <w:t>pplications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tcPr>
          <w:p w:rsidR="004E301F" w:rsidRPr="00BB5F5F" w:rsidRDefault="004E301F" w:rsidP="00E93463">
            <w:pPr>
              <w:widowControl/>
              <w:rPr>
                <w:sz w:val="20"/>
                <w:szCs w:val="20"/>
              </w:rPr>
            </w:pPr>
            <w:r w:rsidRPr="00BB5F5F">
              <w:rPr>
                <w:sz w:val="20"/>
                <w:szCs w:val="20"/>
              </w:rPr>
              <w:t xml:space="preserve">2.  </w:t>
            </w:r>
            <w:r w:rsidR="00E93463">
              <w:rPr>
                <w:sz w:val="20"/>
                <w:szCs w:val="20"/>
              </w:rPr>
              <w:t>Survey and Studies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N/A</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tcPr>
          <w:p w:rsidR="004E301F" w:rsidRPr="00BB5F5F" w:rsidRDefault="004E301F" w:rsidP="00E93463">
            <w:pPr>
              <w:widowControl/>
              <w:rPr>
                <w:sz w:val="20"/>
                <w:szCs w:val="20"/>
              </w:rPr>
            </w:pPr>
            <w:r w:rsidRPr="00BB5F5F">
              <w:rPr>
                <w:sz w:val="20"/>
                <w:szCs w:val="20"/>
              </w:rPr>
              <w:t>3.  R</w:t>
            </w:r>
            <w:r w:rsidR="00E93463">
              <w:rPr>
                <w:sz w:val="20"/>
                <w:szCs w:val="20"/>
              </w:rPr>
              <w:t>eporting</w:t>
            </w:r>
            <w:r w:rsidRPr="00BB5F5F">
              <w:rPr>
                <w:sz w:val="20"/>
                <w:szCs w:val="20"/>
              </w:rPr>
              <w:t xml:space="preserve"> R</w:t>
            </w:r>
            <w:r w:rsidR="00E93463">
              <w:rPr>
                <w:sz w:val="20"/>
                <w:szCs w:val="20"/>
              </w:rPr>
              <w:t>equirements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172"/>
              <w:rPr>
                <w:sz w:val="20"/>
                <w:szCs w:val="20"/>
                <w:vertAlign w:val="superscript"/>
              </w:rPr>
            </w:pPr>
            <w:r w:rsidRPr="00BB5F5F">
              <w:rPr>
                <w:sz w:val="20"/>
                <w:szCs w:val="20"/>
              </w:rPr>
              <w:t xml:space="preserve">A.  Read Instructions </w:t>
            </w:r>
            <w:r w:rsidRPr="00BB5F5F">
              <w:rPr>
                <w:sz w:val="20"/>
                <w:szCs w:val="20"/>
                <w:vertAlign w:val="superscript"/>
              </w:rPr>
              <w:t>c, d</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B.  Required Activities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262"/>
              <w:rPr>
                <w:sz w:val="20"/>
                <w:szCs w:val="20"/>
                <w:vertAlign w:val="superscript"/>
              </w:rPr>
            </w:pPr>
            <w:r w:rsidRPr="00BB5F5F">
              <w:rPr>
                <w:sz w:val="20"/>
                <w:szCs w:val="20"/>
              </w:rPr>
              <w:t xml:space="preserve">1)  Initial requirements </w:t>
            </w:r>
            <w:r w:rsidRPr="00BB5F5F">
              <w:rPr>
                <w:sz w:val="20"/>
                <w:szCs w:val="20"/>
                <w:vertAlign w:val="superscript"/>
              </w:rPr>
              <w:t>c</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532"/>
              <w:rPr>
                <w:sz w:val="20"/>
                <w:szCs w:val="20"/>
              </w:rPr>
            </w:pPr>
            <w:r w:rsidRPr="00BB5F5F">
              <w:rPr>
                <w:sz w:val="20"/>
                <w:szCs w:val="20"/>
              </w:rPr>
              <w:t>a)  Initial stack test</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320A44" w:rsidRDefault="00D106CD" w:rsidP="004E301F">
            <w:pPr>
              <w:widowControl/>
              <w:ind w:left="532"/>
              <w:rPr>
                <w:sz w:val="20"/>
                <w:szCs w:val="20"/>
              </w:rPr>
            </w:pPr>
            <w:r w:rsidRPr="00BB5F5F">
              <w:rPr>
                <w:sz w:val="20"/>
                <w:szCs w:val="20"/>
              </w:rPr>
              <w:t>b)  Establish and teach operator</w:t>
            </w:r>
          </w:p>
          <w:p w:rsidR="00D106CD" w:rsidRPr="00BB5F5F" w:rsidRDefault="00D106CD" w:rsidP="004E301F">
            <w:pPr>
              <w:widowControl/>
              <w:ind w:left="532"/>
              <w:rPr>
                <w:sz w:val="20"/>
                <w:szCs w:val="20"/>
              </w:rPr>
            </w:pPr>
            <w:r w:rsidRPr="00BB5F5F">
              <w:rPr>
                <w:sz w:val="20"/>
                <w:szCs w:val="20"/>
              </w:rPr>
              <w:t xml:space="preserve"> </w:t>
            </w:r>
            <w:r w:rsidR="005F70B0">
              <w:rPr>
                <w:sz w:val="20"/>
                <w:szCs w:val="20"/>
              </w:rPr>
              <w:t xml:space="preserve">    </w:t>
            </w:r>
            <w:r w:rsidRPr="00BB5F5F">
              <w:rPr>
                <w:sz w:val="20"/>
                <w:szCs w:val="20"/>
              </w:rPr>
              <w:t xml:space="preserve">qualification course </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64</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64</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532"/>
              <w:rPr>
                <w:sz w:val="20"/>
                <w:szCs w:val="20"/>
              </w:rPr>
            </w:pPr>
            <w:r w:rsidRPr="00BB5F5F">
              <w:rPr>
                <w:sz w:val="20"/>
                <w:szCs w:val="20"/>
              </w:rPr>
              <w:t>c)  Obtain operator qualification</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72</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72</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802" w:hanging="270"/>
              <w:rPr>
                <w:sz w:val="20"/>
                <w:szCs w:val="20"/>
              </w:rPr>
            </w:pPr>
            <w:r w:rsidRPr="00BB5F5F">
              <w:rPr>
                <w:sz w:val="20"/>
                <w:szCs w:val="20"/>
              </w:rPr>
              <w:t xml:space="preserve">d)  Establish operating parameters (maximum and minimum) </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160</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160</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E93463" w:rsidP="004E301F">
            <w:pPr>
              <w:widowControl/>
              <w:ind w:left="802" w:hanging="270"/>
              <w:rPr>
                <w:sz w:val="20"/>
                <w:szCs w:val="20"/>
                <w:vertAlign w:val="superscript"/>
              </w:rPr>
            </w:pPr>
            <w:r>
              <w:rPr>
                <w:sz w:val="20"/>
                <w:szCs w:val="20"/>
              </w:rPr>
              <w:t xml:space="preserve">e)  Continuous parameter </w:t>
            </w:r>
            <w:r w:rsidR="00D106CD" w:rsidRPr="00BB5F5F">
              <w:rPr>
                <w:sz w:val="20"/>
                <w:szCs w:val="20"/>
              </w:rPr>
              <w:t xml:space="preserve">monitoring (including by-pass stack) </w:t>
            </w:r>
            <w:r w:rsidR="00D106CD" w:rsidRPr="00BB5F5F">
              <w:rPr>
                <w:sz w:val="20"/>
                <w:szCs w:val="20"/>
                <w:vertAlign w:val="superscript"/>
              </w:rPr>
              <w:t>e</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9</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9</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262"/>
              <w:rPr>
                <w:sz w:val="20"/>
                <w:szCs w:val="20"/>
              </w:rPr>
            </w:pPr>
            <w:r w:rsidRPr="00BB5F5F">
              <w:rPr>
                <w:sz w:val="20"/>
                <w:szCs w:val="20"/>
              </w:rPr>
              <w:t xml:space="preserve">2)  Periodic requirements </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a)  Annual stack test and test report</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12</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12</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1,080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54</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108</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120,261.24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b)  Annual refresher operator training course</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12</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12</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1,080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54</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108</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120,261.24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c)  Annual review of site-specific information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36</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80,174.16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vertAlign w:val="superscript"/>
              </w:rPr>
            </w:pPr>
            <w:r w:rsidRPr="00BB5F5F">
              <w:rPr>
                <w:sz w:val="20"/>
                <w:szCs w:val="20"/>
              </w:rPr>
              <w:t xml:space="preserve">d)  Continuous parameter monitoring (including by-pass stack) </w:t>
            </w:r>
            <w:r w:rsidRPr="00BB5F5F">
              <w:rPr>
                <w:sz w:val="20"/>
                <w:szCs w:val="20"/>
                <w:vertAlign w:val="superscript"/>
              </w:rPr>
              <w:t>f</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83</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83</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7,470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373.5</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747</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831,806.91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C.  Create Information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E93463"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D.  Gather Information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E93463" w:rsidP="00A764F0">
            <w:pPr>
              <w:widowControl/>
              <w:jc w:val="center"/>
              <w:rPr>
                <w:sz w:val="20"/>
                <w:szCs w:val="20"/>
              </w:rPr>
            </w:pPr>
            <w:r>
              <w:rPr>
                <w:sz w:val="20"/>
                <w:szCs w:val="20"/>
              </w:rPr>
              <w:t>See</w:t>
            </w:r>
            <w:r w:rsidR="004E301F" w:rsidRPr="00BB5F5F">
              <w:rPr>
                <w:sz w:val="20"/>
                <w:szCs w:val="20"/>
              </w:rPr>
              <w:t xml:space="preserve"> 3E</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lastRenderedPageBreak/>
              <w:t>E.  Report Preparation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262"/>
              <w:rPr>
                <w:sz w:val="20"/>
                <w:szCs w:val="20"/>
              </w:rPr>
            </w:pPr>
            <w:r w:rsidRPr="00BB5F5F">
              <w:rPr>
                <w:sz w:val="20"/>
                <w:szCs w:val="20"/>
              </w:rPr>
              <w:t>1)  Control plan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40</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40</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262"/>
              <w:rPr>
                <w:sz w:val="20"/>
                <w:szCs w:val="20"/>
              </w:rPr>
            </w:pPr>
            <w:r w:rsidRPr="00BB5F5F">
              <w:rPr>
                <w:sz w:val="20"/>
                <w:szCs w:val="20"/>
              </w:rPr>
              <w:t xml:space="preserve">2)  Notification of final compliance </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4</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4</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262"/>
              <w:rPr>
                <w:sz w:val="20"/>
                <w:szCs w:val="20"/>
              </w:rPr>
            </w:pPr>
            <w:r w:rsidRPr="00BB5F5F">
              <w:rPr>
                <w:sz w:val="20"/>
                <w:szCs w:val="20"/>
              </w:rPr>
              <w:t>3)  Report of initial performance test</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532" w:hanging="270"/>
              <w:rPr>
                <w:sz w:val="20"/>
                <w:szCs w:val="20"/>
              </w:rPr>
            </w:pPr>
            <w:r w:rsidRPr="00BB5F5F">
              <w:rPr>
                <w:sz w:val="20"/>
                <w:szCs w:val="20"/>
              </w:rPr>
              <w:t>4)  Siting analysis for new units only (established values for site-specific operating parameters)</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D106CD"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4E301F">
            <w:pPr>
              <w:widowControl/>
              <w:ind w:left="262"/>
              <w:rPr>
                <w:sz w:val="20"/>
                <w:szCs w:val="20"/>
              </w:rPr>
            </w:pPr>
            <w:r w:rsidRPr="00BB5F5F">
              <w:rPr>
                <w:sz w:val="20"/>
                <w:szCs w:val="20"/>
              </w:rPr>
              <w:t>5)  Waste management plan</w:t>
            </w:r>
          </w:p>
        </w:tc>
        <w:tc>
          <w:tcPr>
            <w:tcW w:w="1194"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160</w:t>
            </w:r>
          </w:p>
        </w:tc>
        <w:tc>
          <w:tcPr>
            <w:tcW w:w="151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sidRPr="00BB5F5F">
              <w:rPr>
                <w:sz w:val="20"/>
                <w:szCs w:val="20"/>
              </w:rPr>
              <w:t>160</w:t>
            </w:r>
          </w:p>
        </w:tc>
        <w:tc>
          <w:tcPr>
            <w:tcW w:w="124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008"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343"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965" w:type="dxa"/>
            <w:tcBorders>
              <w:top w:val="single" w:sz="6" w:space="0" w:color="auto"/>
              <w:left w:val="single" w:sz="6" w:space="0" w:color="auto"/>
              <w:bottom w:val="single" w:sz="6" w:space="0" w:color="auto"/>
              <w:right w:val="single" w:sz="6" w:space="0" w:color="auto"/>
            </w:tcBorders>
            <w:vAlign w:val="center"/>
          </w:tcPr>
          <w:p w:rsidR="00D106CD" w:rsidRPr="00BB5F5F" w:rsidRDefault="00D106CD" w:rsidP="00A764F0">
            <w:pPr>
              <w:widowControl/>
              <w:jc w:val="center"/>
              <w:rPr>
                <w:sz w:val="20"/>
                <w:szCs w:val="20"/>
              </w:rPr>
            </w:pPr>
            <w:r>
              <w:rPr>
                <w:sz w:val="20"/>
                <w:szCs w:val="20"/>
              </w:rPr>
              <w:t>0</w:t>
            </w:r>
          </w:p>
        </w:tc>
        <w:tc>
          <w:tcPr>
            <w:tcW w:w="1423" w:type="dxa"/>
            <w:tcBorders>
              <w:top w:val="single" w:sz="6" w:space="0" w:color="auto"/>
              <w:left w:val="single" w:sz="6" w:space="0" w:color="auto"/>
              <w:bottom w:val="single" w:sz="6" w:space="0" w:color="auto"/>
              <w:right w:val="single" w:sz="6" w:space="0" w:color="auto"/>
            </w:tcBorders>
            <w:vAlign w:val="center"/>
          </w:tcPr>
          <w:p w:rsidR="00D106CD" w:rsidRPr="00BB5F5F" w:rsidRDefault="00FC1EB8" w:rsidP="00A764F0">
            <w:pPr>
              <w:widowControl/>
              <w:jc w:val="right"/>
              <w:rPr>
                <w:sz w:val="20"/>
                <w:szCs w:val="20"/>
              </w:rPr>
            </w:pPr>
            <w:r>
              <w:rPr>
                <w:sz w:val="20"/>
                <w:szCs w:val="20"/>
              </w:rPr>
              <w:t>$</w:t>
            </w:r>
            <w:r w:rsidR="00D106CD">
              <w:rPr>
                <w:sz w:val="20"/>
                <w:szCs w:val="20"/>
              </w:rPr>
              <w:t>0</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262"/>
              <w:rPr>
                <w:sz w:val="20"/>
                <w:szCs w:val="20"/>
                <w:vertAlign w:val="superscript"/>
              </w:rPr>
            </w:pPr>
            <w:r w:rsidRPr="00BB5F5F">
              <w:rPr>
                <w:sz w:val="20"/>
                <w:szCs w:val="20"/>
              </w:rPr>
              <w:t xml:space="preserve">6)  Annual Report: </w:t>
            </w:r>
            <w:r w:rsidRPr="00BB5F5F">
              <w:rPr>
                <w:sz w:val="20"/>
                <w:szCs w:val="20"/>
                <w:vertAlign w:val="superscript"/>
              </w:rPr>
              <w:t>g</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88"/>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a)  Site specific operating parameters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36</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80,174.16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 xml:space="preserve">b)  Emissions/parameter exceedances and malfunctions </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3E</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88"/>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c)  Results of stack tests conducted during the year</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317"/>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 xml:space="preserve">d)  Statement of no exceedances </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36</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80,174.16 </w:t>
            </w:r>
          </w:p>
        </w:tc>
      </w:tr>
      <w:tr w:rsidR="004E301F" w:rsidRPr="00BB5F5F" w:rsidTr="00FC1EB8">
        <w:trPr>
          <w:trHeight w:val="288"/>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e)  Documentation of use of by-pass stack</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r w:rsidRPr="00BB5F5F">
              <w:rPr>
                <w:sz w:val="20"/>
                <w:szCs w:val="20"/>
              </w:rPr>
              <w:t xml:space="preserve">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802" w:hanging="270"/>
              <w:rPr>
                <w:sz w:val="20"/>
                <w:szCs w:val="20"/>
              </w:rPr>
            </w:pPr>
            <w:r w:rsidRPr="00BB5F5F">
              <w:rPr>
                <w:sz w:val="20"/>
                <w:szCs w:val="20"/>
              </w:rPr>
              <w:t>f)  Documentation for periods when all qualified operators were unavailable for more than 8 hours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36</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80,174.16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vertAlign w:val="superscript"/>
              </w:rPr>
            </w:pPr>
            <w:r w:rsidRPr="00BB5F5F">
              <w:rPr>
                <w:sz w:val="20"/>
                <w:szCs w:val="20"/>
              </w:rPr>
              <w:t>7)  Status report for operators that are off-site for more than 2 weeks</w:t>
            </w:r>
            <w:r w:rsidRPr="00BB5F5F">
              <w:rPr>
                <w:sz w:val="20"/>
                <w:szCs w:val="20"/>
                <w:vertAlign w:val="superscript"/>
              </w:rPr>
              <w:t xml:space="preserve"> h</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3.6</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8,017.42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vertAlign w:val="superscript"/>
              </w:rPr>
            </w:pPr>
            <w:r w:rsidRPr="00BB5F5F">
              <w:rPr>
                <w:sz w:val="20"/>
                <w:szCs w:val="20"/>
              </w:rPr>
              <w:t xml:space="preserve">8)  Corrective action summary for operators that are off-site for more than 2 weeks </w:t>
            </w:r>
            <w:r w:rsidRPr="00BB5F5F">
              <w:rPr>
                <w:sz w:val="20"/>
                <w:szCs w:val="20"/>
                <w:vertAlign w:val="superscript"/>
              </w:rPr>
              <w:t>h</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16</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144</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14.4</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16,034.83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9)  Qualified operator deviation notification of resumed</w:t>
            </w:r>
            <w:r w:rsidRPr="00BB5F5F">
              <w:rPr>
                <w:sz w:val="20"/>
                <w:szCs w:val="20"/>
                <w:vertAlign w:val="superscript"/>
              </w:rPr>
              <w:t xml:space="preserve"> </w:t>
            </w:r>
            <w:r w:rsidRPr="00BB5F5F">
              <w:rPr>
                <w:sz w:val="20"/>
                <w:szCs w:val="20"/>
              </w:rPr>
              <w:t>operation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8</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3.6</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7.2</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8,017.42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vertAlign w:val="superscript"/>
              </w:rPr>
            </w:pPr>
            <w:r w:rsidRPr="00BB5F5F">
              <w:rPr>
                <w:sz w:val="20"/>
                <w:szCs w:val="20"/>
              </w:rPr>
              <w:t xml:space="preserve">10)  Semiannual report of emissions/parameter exceedances </w:t>
            </w:r>
            <w:proofErr w:type="spellStart"/>
            <w:r w:rsidRPr="00BB5F5F">
              <w:rPr>
                <w:sz w:val="20"/>
                <w:szCs w:val="20"/>
                <w:vertAlign w:val="superscript"/>
              </w:rPr>
              <w:t>i</w:t>
            </w:r>
            <w:proofErr w:type="spellEnd"/>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12</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24</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216</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10.8</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21.6</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24,052.25 </w:t>
            </w:r>
          </w:p>
        </w:tc>
      </w:tr>
      <w:tr w:rsidR="004E301F" w:rsidRPr="00B503FD" w:rsidTr="00FC1EB8">
        <w:trPr>
          <w:trHeight w:val="288"/>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503FD" w:rsidRDefault="00E93463" w:rsidP="004E301F">
            <w:pPr>
              <w:widowControl/>
              <w:rPr>
                <w:b/>
                <w:sz w:val="20"/>
                <w:szCs w:val="20"/>
              </w:rPr>
            </w:pPr>
            <w:r>
              <w:rPr>
                <w:b/>
                <w:sz w:val="20"/>
                <w:szCs w:val="20"/>
              </w:rPr>
              <w:lastRenderedPageBreak/>
              <w:t>Subtotal for Reporting Requirements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3316" w:type="dxa"/>
            <w:gridSpan w:val="3"/>
            <w:tcBorders>
              <w:top w:val="single" w:sz="6" w:space="0" w:color="auto"/>
              <w:left w:val="single" w:sz="6" w:space="0" w:color="auto"/>
              <w:bottom w:val="single" w:sz="6" w:space="0" w:color="auto"/>
              <w:right w:val="single" w:sz="6" w:space="0" w:color="auto"/>
            </w:tcBorders>
            <w:vAlign w:val="center"/>
          </w:tcPr>
          <w:p w:rsidR="004E301F" w:rsidRPr="00B503FD" w:rsidRDefault="00C973F2" w:rsidP="00C973F2">
            <w:pPr>
              <w:widowControl/>
              <w:jc w:val="center"/>
              <w:rPr>
                <w:b/>
                <w:sz w:val="20"/>
                <w:szCs w:val="20"/>
              </w:rPr>
            </w:pPr>
            <w:r w:rsidRPr="00C973F2">
              <w:rPr>
                <w:b/>
                <w:sz w:val="20"/>
                <w:szCs w:val="20"/>
              </w:rPr>
              <w:t>14,966</w:t>
            </w:r>
            <w:r w:rsidR="008910D5">
              <w:rPr>
                <w:b/>
                <w:sz w:val="20"/>
                <w:szCs w:val="20"/>
              </w:rPr>
              <w:t>.1</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503FD" w:rsidRDefault="00FC1EB8" w:rsidP="00C973F2">
            <w:pPr>
              <w:widowControl/>
              <w:jc w:val="right"/>
              <w:rPr>
                <w:b/>
                <w:sz w:val="20"/>
                <w:szCs w:val="20"/>
              </w:rPr>
            </w:pPr>
            <w:r>
              <w:rPr>
                <w:b/>
                <w:sz w:val="20"/>
                <w:szCs w:val="20"/>
              </w:rPr>
              <w:t>$</w:t>
            </w:r>
            <w:r w:rsidR="00C973F2" w:rsidRPr="00C973F2">
              <w:rPr>
                <w:b/>
                <w:sz w:val="20"/>
                <w:szCs w:val="20"/>
              </w:rPr>
              <w:t>1,449,147.94</w:t>
            </w:r>
            <w:r w:rsidR="004E301F" w:rsidRPr="00B503FD">
              <w:rPr>
                <w:b/>
                <w:sz w:val="20"/>
                <w:szCs w:val="20"/>
              </w:rPr>
              <w:t xml:space="preserve">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DC0002">
            <w:pPr>
              <w:widowControl/>
              <w:rPr>
                <w:sz w:val="20"/>
                <w:szCs w:val="20"/>
              </w:rPr>
            </w:pPr>
            <w:r w:rsidRPr="00BB5F5F">
              <w:rPr>
                <w:sz w:val="20"/>
                <w:szCs w:val="20"/>
              </w:rPr>
              <w:t>4. R</w:t>
            </w:r>
            <w:r w:rsidR="00DC0002">
              <w:rPr>
                <w:sz w:val="20"/>
                <w:szCs w:val="20"/>
              </w:rPr>
              <w:t>ecordkeeping</w:t>
            </w:r>
            <w:r w:rsidRPr="00BB5F5F">
              <w:rPr>
                <w:sz w:val="20"/>
                <w:szCs w:val="20"/>
              </w:rPr>
              <w:t xml:space="preserve"> R</w:t>
            </w:r>
            <w:r w:rsidR="00DC0002">
              <w:rPr>
                <w:sz w:val="20"/>
                <w:szCs w:val="20"/>
              </w:rPr>
              <w:t>equirements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r w:rsidRPr="00BB5F5F">
              <w:rPr>
                <w:sz w:val="20"/>
                <w:szCs w:val="20"/>
              </w:rPr>
              <w:t xml:space="preserve">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A.  Read Instructions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3A</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r w:rsidRPr="00BB5F5F">
              <w:rPr>
                <w:sz w:val="20"/>
                <w:szCs w:val="20"/>
              </w:rPr>
              <w:t xml:space="preserve">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B.  Plan Activities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C.  Implement Activities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D.  Develop Record System</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N/A</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 xml:space="preserve">E.  Record Information </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1)  Records of operating parameters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2)  Records of periods for which minimum amount of data on operating parameters were not obtained</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0.5</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52</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26</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234</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11.7</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23.4</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26,056.6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3)  Records of malfunction of the unit</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1.5</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1.5</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13.5</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0.68</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1.35</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1,503.27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4)  Records of exceedances of the operating parameters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1.5</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1.5</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13.5</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0.68</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1.35</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1,503.27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5)  Records of stack tests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3E</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6)  Records of persons who have reviewed operating procedures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4.5</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10,021.77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7)  Records of persons who have completed operator training</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4.5</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10,021.77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8)  Records of persons who meet operator qualification criteria</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4.5</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10,021.77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532" w:hanging="270"/>
              <w:rPr>
                <w:sz w:val="20"/>
                <w:szCs w:val="20"/>
              </w:rPr>
            </w:pPr>
            <w:r w:rsidRPr="00BB5F5F">
              <w:rPr>
                <w:sz w:val="20"/>
                <w:szCs w:val="20"/>
              </w:rPr>
              <w:t>9)  Records of monitoring device calibration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r w:rsidRPr="00BB5F5F">
              <w:rPr>
                <w:sz w:val="20"/>
                <w:szCs w:val="20"/>
              </w:rPr>
              <w:t xml:space="preserve">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C61EDF" w:rsidP="00C61EDF">
            <w:pPr>
              <w:widowControl/>
              <w:rPr>
                <w:sz w:val="20"/>
                <w:szCs w:val="20"/>
              </w:rPr>
            </w:pPr>
            <w:r>
              <w:rPr>
                <w:sz w:val="20"/>
                <w:szCs w:val="20"/>
              </w:rPr>
              <w:t xml:space="preserve">    </w:t>
            </w:r>
            <w:r w:rsidR="004E301F" w:rsidRPr="00BB5F5F">
              <w:rPr>
                <w:sz w:val="20"/>
                <w:szCs w:val="20"/>
              </w:rPr>
              <w:t>10) Records of site-specific documentation</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24</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w:t>
            </w: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24</w:t>
            </w: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90</w:t>
            </w: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2,160</w:t>
            </w: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108</w:t>
            </w: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216</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FC1EB8" w:rsidP="00A764F0">
            <w:pPr>
              <w:widowControl/>
              <w:jc w:val="right"/>
              <w:rPr>
                <w:sz w:val="20"/>
                <w:szCs w:val="20"/>
              </w:rPr>
            </w:pPr>
            <w:r>
              <w:rPr>
                <w:sz w:val="20"/>
                <w:szCs w:val="20"/>
              </w:rPr>
              <w:t>$</w:t>
            </w:r>
            <w:r w:rsidR="004E301F" w:rsidRPr="00BB5F5F">
              <w:rPr>
                <w:sz w:val="20"/>
                <w:szCs w:val="20"/>
              </w:rPr>
              <w:t xml:space="preserve">240,522.48 </w:t>
            </w: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4E301F">
            <w:pPr>
              <w:widowControl/>
              <w:ind w:left="172"/>
              <w:rPr>
                <w:sz w:val="20"/>
                <w:szCs w:val="20"/>
              </w:rPr>
            </w:pPr>
            <w:r w:rsidRPr="00BB5F5F">
              <w:rPr>
                <w:sz w:val="20"/>
                <w:szCs w:val="20"/>
              </w:rPr>
              <w:t>F.  Personnel Training</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0531E5" w:rsidP="00A764F0">
            <w:pPr>
              <w:widowControl/>
              <w:jc w:val="center"/>
              <w:rPr>
                <w:sz w:val="20"/>
                <w:szCs w:val="20"/>
              </w:rPr>
            </w:pPr>
            <w:r>
              <w:rPr>
                <w:sz w:val="20"/>
                <w:szCs w:val="20"/>
              </w:rPr>
              <w:t>See</w:t>
            </w:r>
            <w:r w:rsidR="004E301F" w:rsidRPr="00BB5F5F">
              <w:rPr>
                <w:sz w:val="20"/>
                <w:szCs w:val="20"/>
              </w:rPr>
              <w:t xml:space="preserve"> 3B</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B5F5F" w:rsidTr="00FC1EB8">
        <w:trPr>
          <w:trHeight w:val="245"/>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B5F5F" w:rsidRDefault="002C0D5D" w:rsidP="002C0D5D">
            <w:pPr>
              <w:widowControl/>
              <w:rPr>
                <w:sz w:val="20"/>
                <w:szCs w:val="20"/>
              </w:rPr>
            </w:pPr>
            <w:r>
              <w:rPr>
                <w:sz w:val="20"/>
                <w:szCs w:val="20"/>
              </w:rPr>
              <w:t xml:space="preserve">   </w:t>
            </w:r>
            <w:r w:rsidR="004E301F" w:rsidRPr="00BB5F5F">
              <w:rPr>
                <w:sz w:val="20"/>
                <w:szCs w:val="20"/>
              </w:rPr>
              <w:t>G.  Time for Audits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r w:rsidRPr="00BB5F5F">
              <w:rPr>
                <w:sz w:val="20"/>
                <w:szCs w:val="20"/>
              </w:rPr>
              <w:t>N/A</w:t>
            </w: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008"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34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center"/>
              <w:rPr>
                <w:sz w:val="20"/>
                <w:szCs w:val="20"/>
              </w:rPr>
            </w:pP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B5F5F" w:rsidRDefault="004E301F" w:rsidP="00A764F0">
            <w:pPr>
              <w:widowControl/>
              <w:jc w:val="right"/>
              <w:rPr>
                <w:sz w:val="20"/>
                <w:szCs w:val="20"/>
              </w:rPr>
            </w:pPr>
          </w:p>
        </w:tc>
      </w:tr>
      <w:tr w:rsidR="004E301F" w:rsidRPr="00B503FD" w:rsidTr="00FC1EB8">
        <w:trPr>
          <w:trHeight w:val="288"/>
          <w:jc w:val="center"/>
        </w:trPr>
        <w:tc>
          <w:tcPr>
            <w:tcW w:w="3934" w:type="dxa"/>
            <w:tcBorders>
              <w:top w:val="single" w:sz="6" w:space="0" w:color="auto"/>
              <w:left w:val="single" w:sz="6" w:space="0" w:color="auto"/>
              <w:bottom w:val="single" w:sz="6" w:space="0" w:color="auto"/>
              <w:right w:val="single" w:sz="6" w:space="0" w:color="auto"/>
            </w:tcBorders>
            <w:vAlign w:val="center"/>
          </w:tcPr>
          <w:p w:rsidR="004E301F" w:rsidRPr="00B503FD" w:rsidRDefault="00E93463" w:rsidP="00E93463">
            <w:pPr>
              <w:widowControl/>
              <w:rPr>
                <w:b/>
                <w:sz w:val="20"/>
                <w:szCs w:val="20"/>
              </w:rPr>
            </w:pPr>
            <w:r>
              <w:rPr>
                <w:b/>
                <w:sz w:val="20"/>
                <w:szCs w:val="20"/>
              </w:rPr>
              <w:t>Subtotal for Recordkeeping Requirements</w:t>
            </w:r>
          </w:p>
        </w:tc>
        <w:tc>
          <w:tcPr>
            <w:tcW w:w="1194"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1513"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1248" w:type="dxa"/>
            <w:tcBorders>
              <w:top w:val="single" w:sz="6" w:space="0" w:color="auto"/>
              <w:left w:val="single" w:sz="6" w:space="0" w:color="auto"/>
              <w:bottom w:val="single" w:sz="6" w:space="0" w:color="auto"/>
              <w:right w:val="single" w:sz="6" w:space="0" w:color="auto"/>
            </w:tcBorders>
            <w:vAlign w:val="center"/>
          </w:tcPr>
          <w:p w:rsidR="004E301F" w:rsidRPr="00B503FD" w:rsidRDefault="004E301F" w:rsidP="00A764F0">
            <w:pPr>
              <w:widowControl/>
              <w:jc w:val="center"/>
              <w:rPr>
                <w:b/>
                <w:sz w:val="20"/>
                <w:szCs w:val="20"/>
              </w:rPr>
            </w:pPr>
          </w:p>
        </w:tc>
        <w:tc>
          <w:tcPr>
            <w:tcW w:w="3316" w:type="dxa"/>
            <w:gridSpan w:val="3"/>
            <w:tcBorders>
              <w:top w:val="single" w:sz="6" w:space="0" w:color="auto"/>
              <w:left w:val="single" w:sz="6" w:space="0" w:color="auto"/>
              <w:bottom w:val="single" w:sz="6" w:space="0" w:color="auto"/>
              <w:right w:val="single" w:sz="6" w:space="0" w:color="auto"/>
            </w:tcBorders>
            <w:vAlign w:val="center"/>
          </w:tcPr>
          <w:p w:rsidR="004E301F" w:rsidRPr="00B503FD" w:rsidRDefault="004E301F" w:rsidP="008C0033">
            <w:pPr>
              <w:widowControl/>
              <w:jc w:val="center"/>
              <w:rPr>
                <w:b/>
                <w:sz w:val="20"/>
                <w:szCs w:val="20"/>
              </w:rPr>
            </w:pPr>
            <w:r w:rsidRPr="00B503FD">
              <w:rPr>
                <w:b/>
                <w:sz w:val="20"/>
                <w:szCs w:val="20"/>
              </w:rPr>
              <w:t>3,09</w:t>
            </w:r>
            <w:r w:rsidR="008C0033">
              <w:rPr>
                <w:b/>
                <w:sz w:val="20"/>
                <w:szCs w:val="20"/>
              </w:rPr>
              <w:t>4.66</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503FD" w:rsidRDefault="00FC1EB8" w:rsidP="00A764F0">
            <w:pPr>
              <w:widowControl/>
              <w:jc w:val="right"/>
              <w:rPr>
                <w:b/>
                <w:sz w:val="20"/>
                <w:szCs w:val="20"/>
              </w:rPr>
            </w:pPr>
            <w:r>
              <w:rPr>
                <w:b/>
                <w:sz w:val="20"/>
                <w:szCs w:val="20"/>
              </w:rPr>
              <w:t>$</w:t>
            </w:r>
            <w:r w:rsidR="004E301F" w:rsidRPr="00B503FD">
              <w:rPr>
                <w:b/>
                <w:sz w:val="20"/>
                <w:szCs w:val="20"/>
              </w:rPr>
              <w:t xml:space="preserve">299,650.92 </w:t>
            </w:r>
          </w:p>
        </w:tc>
      </w:tr>
      <w:tr w:rsidR="004E301F" w:rsidRPr="00B503FD" w:rsidTr="00FC1EB8">
        <w:trPr>
          <w:trHeight w:val="288"/>
          <w:jc w:val="center"/>
        </w:trPr>
        <w:tc>
          <w:tcPr>
            <w:tcW w:w="9365" w:type="dxa"/>
            <w:gridSpan w:val="5"/>
            <w:tcBorders>
              <w:top w:val="single" w:sz="6" w:space="0" w:color="auto"/>
              <w:left w:val="single" w:sz="6" w:space="0" w:color="auto"/>
              <w:bottom w:val="single" w:sz="6" w:space="0" w:color="auto"/>
              <w:right w:val="single" w:sz="6" w:space="0" w:color="auto"/>
            </w:tcBorders>
            <w:vAlign w:val="center"/>
          </w:tcPr>
          <w:p w:rsidR="004E301F" w:rsidRPr="00B503FD" w:rsidRDefault="004E301F" w:rsidP="00FC1EB8">
            <w:pPr>
              <w:widowControl/>
              <w:rPr>
                <w:b/>
                <w:sz w:val="20"/>
                <w:szCs w:val="20"/>
              </w:rPr>
            </w:pPr>
            <w:r w:rsidRPr="00B503FD">
              <w:rPr>
                <w:b/>
                <w:bCs/>
                <w:sz w:val="20"/>
                <w:szCs w:val="20"/>
              </w:rPr>
              <w:lastRenderedPageBreak/>
              <w:t xml:space="preserve">TOTAL ANNUAL BURDEN AND COST </w:t>
            </w:r>
            <w:r w:rsidR="00FC1EB8">
              <w:rPr>
                <w:b/>
                <w:bCs/>
                <w:sz w:val="20"/>
                <w:szCs w:val="20"/>
              </w:rPr>
              <w:t>(rounded</w:t>
            </w:r>
            <w:r w:rsidRPr="00B503FD">
              <w:rPr>
                <w:b/>
                <w:bCs/>
                <w:sz w:val="20"/>
                <w:szCs w:val="20"/>
              </w:rPr>
              <w:t>)</w:t>
            </w:r>
          </w:p>
        </w:tc>
        <w:tc>
          <w:tcPr>
            <w:tcW w:w="3316" w:type="dxa"/>
            <w:gridSpan w:val="3"/>
            <w:tcBorders>
              <w:top w:val="single" w:sz="6" w:space="0" w:color="auto"/>
              <w:left w:val="single" w:sz="6" w:space="0" w:color="auto"/>
              <w:bottom w:val="single" w:sz="6" w:space="0" w:color="auto"/>
              <w:right w:val="single" w:sz="6" w:space="0" w:color="auto"/>
            </w:tcBorders>
            <w:vAlign w:val="center"/>
          </w:tcPr>
          <w:p w:rsidR="004E301F" w:rsidRPr="00B503FD" w:rsidRDefault="00C973F2" w:rsidP="00C973F2">
            <w:pPr>
              <w:widowControl/>
              <w:jc w:val="center"/>
              <w:rPr>
                <w:b/>
                <w:sz w:val="20"/>
                <w:szCs w:val="20"/>
              </w:rPr>
            </w:pPr>
            <w:r w:rsidRPr="00C973F2">
              <w:rPr>
                <w:b/>
                <w:sz w:val="20"/>
                <w:szCs w:val="20"/>
              </w:rPr>
              <w:t>18,061</w:t>
            </w:r>
          </w:p>
        </w:tc>
        <w:tc>
          <w:tcPr>
            <w:tcW w:w="1423" w:type="dxa"/>
            <w:tcBorders>
              <w:top w:val="single" w:sz="6" w:space="0" w:color="auto"/>
              <w:left w:val="single" w:sz="6" w:space="0" w:color="auto"/>
              <w:bottom w:val="single" w:sz="6" w:space="0" w:color="auto"/>
              <w:right w:val="single" w:sz="6" w:space="0" w:color="auto"/>
            </w:tcBorders>
            <w:vAlign w:val="center"/>
          </w:tcPr>
          <w:p w:rsidR="004E301F" w:rsidRPr="00B503FD" w:rsidRDefault="00FC1EB8" w:rsidP="00C973F2">
            <w:pPr>
              <w:widowControl/>
              <w:jc w:val="right"/>
              <w:rPr>
                <w:b/>
                <w:sz w:val="20"/>
                <w:szCs w:val="20"/>
              </w:rPr>
            </w:pPr>
            <w:r>
              <w:rPr>
                <w:b/>
                <w:sz w:val="20"/>
                <w:szCs w:val="20"/>
              </w:rPr>
              <w:t>$</w:t>
            </w:r>
            <w:r w:rsidR="00C973F2" w:rsidRPr="00C973F2">
              <w:rPr>
                <w:b/>
                <w:sz w:val="20"/>
                <w:szCs w:val="20"/>
              </w:rPr>
              <w:t>1,748,799</w:t>
            </w:r>
          </w:p>
        </w:tc>
      </w:tr>
    </w:tbl>
    <w:p w:rsidR="00FC1EB8" w:rsidRDefault="00FC1EB8" w:rsidP="004E301F">
      <w:pPr>
        <w:ind w:left="-360"/>
        <w:rPr>
          <w:bCs/>
          <w:sz w:val="20"/>
          <w:szCs w:val="20"/>
        </w:rPr>
      </w:pPr>
    </w:p>
    <w:p w:rsidR="004E301F" w:rsidRPr="00FC1EB8" w:rsidRDefault="004E301F" w:rsidP="004E301F">
      <w:pPr>
        <w:ind w:left="-360"/>
        <w:rPr>
          <w:b/>
          <w:bCs/>
          <w:sz w:val="20"/>
          <w:szCs w:val="20"/>
        </w:rPr>
      </w:pPr>
      <w:r w:rsidRPr="00FC1EB8">
        <w:rPr>
          <w:b/>
          <w:bCs/>
          <w:sz w:val="20"/>
          <w:szCs w:val="20"/>
        </w:rPr>
        <w:t>Assumptions:</w:t>
      </w:r>
    </w:p>
    <w:p w:rsidR="004E301F" w:rsidRPr="00BB5F5F" w:rsidRDefault="004E301F" w:rsidP="004E301F">
      <w:pPr>
        <w:ind w:left="-90" w:hanging="270"/>
        <w:rPr>
          <w:bCs/>
          <w:sz w:val="20"/>
          <w:szCs w:val="20"/>
        </w:rPr>
      </w:pPr>
      <w:proofErr w:type="gramStart"/>
      <w:r w:rsidRPr="00FC1EB8">
        <w:rPr>
          <w:bCs/>
          <w:sz w:val="20"/>
          <w:szCs w:val="20"/>
          <w:vertAlign w:val="superscript"/>
        </w:rPr>
        <w:t>a.</w:t>
      </w:r>
      <w:r w:rsidRPr="00BB5F5F">
        <w:rPr>
          <w:bCs/>
          <w:sz w:val="20"/>
          <w:szCs w:val="20"/>
        </w:rPr>
        <w:t xml:space="preserve">  We</w:t>
      </w:r>
      <w:proofErr w:type="gramEnd"/>
      <w:r w:rsidRPr="00BB5F5F">
        <w:rPr>
          <w:bCs/>
          <w:sz w:val="20"/>
          <w:szCs w:val="20"/>
        </w:rPr>
        <w:t xml:space="preserve"> estimate that an average of 90 existing respondents and </w:t>
      </w:r>
      <w:r w:rsidR="00D106CD">
        <w:rPr>
          <w:bCs/>
          <w:sz w:val="20"/>
          <w:szCs w:val="20"/>
        </w:rPr>
        <w:t xml:space="preserve">zero </w:t>
      </w:r>
      <w:r w:rsidRPr="00BB5F5F">
        <w:rPr>
          <w:bCs/>
          <w:sz w:val="20"/>
          <w:szCs w:val="20"/>
        </w:rPr>
        <w:t>new respondent</w:t>
      </w:r>
      <w:r w:rsidR="00D106CD">
        <w:rPr>
          <w:bCs/>
          <w:sz w:val="20"/>
          <w:szCs w:val="20"/>
        </w:rPr>
        <w:t>s</w:t>
      </w:r>
      <w:r w:rsidRPr="00BB5F5F">
        <w:rPr>
          <w:bCs/>
          <w:sz w:val="20"/>
          <w:szCs w:val="20"/>
        </w:rPr>
        <w:t xml:space="preserve"> per year will be subject to the rule over the three-year period of this ICR.</w:t>
      </w:r>
    </w:p>
    <w:p w:rsidR="004E301F" w:rsidRPr="00BB5F5F" w:rsidRDefault="004E301F" w:rsidP="004E301F">
      <w:pPr>
        <w:ind w:left="-90" w:hanging="270"/>
        <w:rPr>
          <w:bCs/>
          <w:sz w:val="20"/>
          <w:szCs w:val="20"/>
        </w:rPr>
      </w:pPr>
      <w:proofErr w:type="gramStart"/>
      <w:r w:rsidRPr="00FC1EB8">
        <w:rPr>
          <w:bCs/>
          <w:sz w:val="20"/>
          <w:szCs w:val="20"/>
          <w:vertAlign w:val="superscript"/>
        </w:rPr>
        <w:t>b.</w:t>
      </w:r>
      <w:r w:rsidRPr="00BB5F5F">
        <w:rPr>
          <w:bCs/>
          <w:sz w:val="20"/>
          <w:szCs w:val="20"/>
        </w:rPr>
        <w:t xml:space="preserve">  This</w:t>
      </w:r>
      <w:proofErr w:type="gramEnd"/>
      <w:r w:rsidRPr="00BB5F5F">
        <w:rPr>
          <w:bCs/>
          <w:sz w:val="20"/>
          <w:szCs w:val="20"/>
        </w:rPr>
        <w:t xml:space="preserve"> ICR uses the following labor rates: $100.23 for technical, $121.44 for managerial, and $50.51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4E301F" w:rsidRPr="00BB5F5F" w:rsidRDefault="004E301F" w:rsidP="004E301F">
      <w:pPr>
        <w:ind w:left="-90" w:hanging="270"/>
        <w:rPr>
          <w:bCs/>
          <w:sz w:val="20"/>
          <w:szCs w:val="20"/>
        </w:rPr>
      </w:pPr>
      <w:proofErr w:type="gramStart"/>
      <w:r w:rsidRPr="00FC1EB8">
        <w:rPr>
          <w:bCs/>
          <w:sz w:val="20"/>
          <w:szCs w:val="20"/>
          <w:vertAlign w:val="superscript"/>
        </w:rPr>
        <w:t>c.</w:t>
      </w:r>
      <w:r w:rsidRPr="00BB5F5F">
        <w:rPr>
          <w:bCs/>
          <w:sz w:val="20"/>
          <w:szCs w:val="20"/>
        </w:rPr>
        <w:t xml:space="preserve">  This</w:t>
      </w:r>
      <w:proofErr w:type="gramEnd"/>
      <w:r w:rsidRPr="00BB5F5F">
        <w:rPr>
          <w:bCs/>
          <w:sz w:val="20"/>
          <w:szCs w:val="20"/>
        </w:rPr>
        <w:t xml:space="preserve"> activity is based on a one-time cost only.</w:t>
      </w:r>
    </w:p>
    <w:p w:rsidR="004E301F" w:rsidRPr="00BB5F5F" w:rsidRDefault="004E301F" w:rsidP="004E301F">
      <w:pPr>
        <w:ind w:left="-90" w:hanging="270"/>
        <w:rPr>
          <w:bCs/>
          <w:sz w:val="20"/>
          <w:szCs w:val="20"/>
        </w:rPr>
      </w:pPr>
      <w:proofErr w:type="gramStart"/>
      <w:r w:rsidRPr="00FC1EB8">
        <w:rPr>
          <w:bCs/>
          <w:sz w:val="20"/>
          <w:szCs w:val="20"/>
          <w:vertAlign w:val="superscript"/>
        </w:rPr>
        <w:t>d.</w:t>
      </w:r>
      <w:r w:rsidRPr="00BB5F5F">
        <w:rPr>
          <w:bCs/>
          <w:sz w:val="20"/>
          <w:szCs w:val="20"/>
        </w:rPr>
        <w:t xml:space="preserve">  This</w:t>
      </w:r>
      <w:proofErr w:type="gramEnd"/>
      <w:r w:rsidRPr="00BB5F5F">
        <w:rPr>
          <w:bCs/>
          <w:sz w:val="20"/>
          <w:szCs w:val="20"/>
        </w:rPr>
        <w:t xml:space="preserve"> cost is incurred by a facility regardless of the number of affected units at the plant.</w:t>
      </w:r>
    </w:p>
    <w:p w:rsidR="004E301F" w:rsidRPr="00BB5F5F" w:rsidRDefault="004E301F" w:rsidP="004E301F">
      <w:pPr>
        <w:ind w:left="-90" w:hanging="270"/>
        <w:rPr>
          <w:bCs/>
          <w:sz w:val="20"/>
          <w:szCs w:val="20"/>
        </w:rPr>
      </w:pPr>
      <w:proofErr w:type="gramStart"/>
      <w:r w:rsidRPr="00FC1EB8">
        <w:rPr>
          <w:bCs/>
          <w:sz w:val="20"/>
          <w:szCs w:val="20"/>
          <w:vertAlign w:val="superscript"/>
        </w:rPr>
        <w:t>e.</w:t>
      </w:r>
      <w:r w:rsidRPr="00BB5F5F">
        <w:rPr>
          <w:bCs/>
          <w:sz w:val="20"/>
          <w:szCs w:val="20"/>
        </w:rPr>
        <w:t xml:space="preserve">  Based</w:t>
      </w:r>
      <w:proofErr w:type="gramEnd"/>
      <w:r w:rsidRPr="00BB5F5F">
        <w:rPr>
          <w:bCs/>
          <w:sz w:val="20"/>
          <w:szCs w:val="20"/>
        </w:rPr>
        <w:t xml:space="preserve"> on the “Revised Testing and Monitoring Options and Costs for Medical Waste Incinerators (MWIs) - Methodology and Assumptions (A-91-61,IV-B-66)," we assume 9 hours (($300 for planning + $500 for selection)/$89.94 per hour = 9 hours).</w:t>
      </w:r>
    </w:p>
    <w:p w:rsidR="004E301F" w:rsidRPr="00BB5F5F" w:rsidRDefault="004E301F" w:rsidP="004E301F">
      <w:pPr>
        <w:ind w:left="-90" w:hanging="270"/>
        <w:rPr>
          <w:bCs/>
          <w:sz w:val="20"/>
          <w:szCs w:val="20"/>
        </w:rPr>
      </w:pPr>
      <w:proofErr w:type="gramStart"/>
      <w:r w:rsidRPr="00FC1EB8">
        <w:rPr>
          <w:bCs/>
          <w:sz w:val="20"/>
          <w:szCs w:val="20"/>
          <w:vertAlign w:val="superscript"/>
        </w:rPr>
        <w:t>f.</w:t>
      </w:r>
      <w:r w:rsidRPr="00BB5F5F">
        <w:rPr>
          <w:bCs/>
          <w:sz w:val="20"/>
          <w:szCs w:val="20"/>
        </w:rPr>
        <w:t xml:space="preserve">  Based</w:t>
      </w:r>
      <w:proofErr w:type="gramEnd"/>
      <w:r w:rsidRPr="00BB5F5F">
        <w:rPr>
          <w:bCs/>
          <w:sz w:val="20"/>
          <w:szCs w:val="20"/>
        </w:rPr>
        <w:t xml:space="preserve"> on the "Revised Testing and Monitoring Options and Costs for Medical Waste Incinerators (MWIs) - Methodology and Assumptions (A-91-61, IV-B-66)," respondents spend 83 hours for reporting.</w:t>
      </w:r>
    </w:p>
    <w:p w:rsidR="004E301F" w:rsidRPr="00BB5F5F" w:rsidRDefault="004E301F" w:rsidP="004E301F">
      <w:pPr>
        <w:ind w:left="-90" w:hanging="270"/>
        <w:rPr>
          <w:bCs/>
          <w:sz w:val="20"/>
          <w:szCs w:val="20"/>
        </w:rPr>
      </w:pPr>
      <w:proofErr w:type="gramStart"/>
      <w:r w:rsidRPr="00FC1EB8">
        <w:rPr>
          <w:bCs/>
          <w:sz w:val="20"/>
          <w:szCs w:val="20"/>
          <w:vertAlign w:val="superscript"/>
        </w:rPr>
        <w:t>g.</w:t>
      </w:r>
      <w:r w:rsidRPr="00BB5F5F">
        <w:rPr>
          <w:bCs/>
          <w:sz w:val="20"/>
          <w:szCs w:val="20"/>
        </w:rPr>
        <w:t xml:space="preserve">  Respondents</w:t>
      </w:r>
      <w:proofErr w:type="gramEnd"/>
      <w:r w:rsidRPr="00BB5F5F">
        <w:rPr>
          <w:bCs/>
          <w:sz w:val="20"/>
          <w:szCs w:val="20"/>
        </w:rPr>
        <w:t xml:space="preserve"> make one combined annual report per year.</w:t>
      </w:r>
    </w:p>
    <w:p w:rsidR="004E301F" w:rsidRPr="00BB5F5F" w:rsidRDefault="004E301F" w:rsidP="004E301F">
      <w:pPr>
        <w:ind w:left="-90" w:hanging="270"/>
        <w:rPr>
          <w:bCs/>
          <w:sz w:val="20"/>
          <w:szCs w:val="20"/>
        </w:rPr>
      </w:pPr>
      <w:proofErr w:type="gramStart"/>
      <w:r w:rsidRPr="00FC1EB8">
        <w:rPr>
          <w:bCs/>
          <w:sz w:val="20"/>
          <w:szCs w:val="20"/>
          <w:vertAlign w:val="superscript"/>
        </w:rPr>
        <w:t>h.</w:t>
      </w:r>
      <w:r w:rsidRPr="00BB5F5F">
        <w:rPr>
          <w:bCs/>
          <w:sz w:val="20"/>
          <w:szCs w:val="20"/>
        </w:rPr>
        <w:t xml:space="preserve">  Assume</w:t>
      </w:r>
      <w:proofErr w:type="gramEnd"/>
      <w:r w:rsidRPr="00BB5F5F">
        <w:rPr>
          <w:bCs/>
          <w:sz w:val="20"/>
          <w:szCs w:val="20"/>
        </w:rPr>
        <w:t xml:space="preserve"> that 10 percent of facilities will not have a qualified operator available for more than two weeks at least once a year, and that two corrective action summaries will be required.</w:t>
      </w:r>
    </w:p>
    <w:p w:rsidR="00264417" w:rsidRPr="00BB5F5F" w:rsidRDefault="004E301F" w:rsidP="00264417">
      <w:pPr>
        <w:ind w:left="-90" w:hanging="270"/>
        <w:rPr>
          <w:bCs/>
          <w:sz w:val="20"/>
          <w:szCs w:val="20"/>
        </w:rPr>
      </w:pPr>
      <w:proofErr w:type="spellStart"/>
      <w:proofErr w:type="gramStart"/>
      <w:r w:rsidRPr="00FC1EB8">
        <w:rPr>
          <w:bCs/>
          <w:sz w:val="20"/>
          <w:szCs w:val="20"/>
          <w:vertAlign w:val="superscript"/>
        </w:rPr>
        <w:t>i</w:t>
      </w:r>
      <w:proofErr w:type="spellEnd"/>
      <w:r w:rsidRPr="00FC1EB8">
        <w:rPr>
          <w:bCs/>
          <w:sz w:val="20"/>
          <w:szCs w:val="20"/>
          <w:vertAlign w:val="superscript"/>
        </w:rPr>
        <w:t>.</w:t>
      </w:r>
      <w:r w:rsidRPr="00BB5F5F">
        <w:rPr>
          <w:bCs/>
          <w:sz w:val="20"/>
          <w:szCs w:val="20"/>
        </w:rPr>
        <w:t xml:space="preserve">  Assume</w:t>
      </w:r>
      <w:proofErr w:type="gramEnd"/>
      <w:r w:rsidRPr="00BB5F5F">
        <w:rPr>
          <w:bCs/>
          <w:sz w:val="20"/>
          <w:szCs w:val="20"/>
        </w:rPr>
        <w:t xml:space="preserve"> that 10 percent of the facilities will have an exceedance during the year.</w:t>
      </w:r>
    </w:p>
    <w:p w:rsidR="00A864BD" w:rsidRDefault="00144F35" w:rsidP="00264417">
      <w:pPr>
        <w:ind w:left="-90" w:hanging="270"/>
        <w:jc w:val="center"/>
        <w:rPr>
          <w:b/>
          <w:bCs/>
        </w:rPr>
      </w:pPr>
      <w:r w:rsidRPr="00BB5F5F">
        <w:rPr>
          <w:b/>
          <w:bCs/>
        </w:rPr>
        <w:br w:type="page"/>
      </w:r>
      <w:r w:rsidRPr="00BB5F5F">
        <w:rPr>
          <w:b/>
          <w:bCs/>
        </w:rPr>
        <w:lastRenderedPageBreak/>
        <w:t>Table 2</w:t>
      </w:r>
      <w:r w:rsidR="001A2084" w:rsidRPr="00BB5F5F">
        <w:rPr>
          <w:b/>
          <w:bCs/>
        </w:rPr>
        <w:t>: Average Annual EPA Burden and Cost – Emission Guidelines for Commercial and Industrial Solid Waste Incineration</w:t>
      </w:r>
    </w:p>
    <w:p w:rsidR="00144F35" w:rsidRPr="00BB5F5F" w:rsidRDefault="00A864BD" w:rsidP="00A864BD">
      <w:pPr>
        <w:ind w:left="-90" w:hanging="270"/>
        <w:rPr>
          <w:b/>
          <w:bCs/>
        </w:rPr>
      </w:pPr>
      <w:r>
        <w:rPr>
          <w:b/>
          <w:bCs/>
        </w:rPr>
        <w:t xml:space="preserve">   </w:t>
      </w:r>
      <w:r w:rsidR="001A2084" w:rsidRPr="00BB5F5F">
        <w:rPr>
          <w:b/>
          <w:bCs/>
        </w:rPr>
        <w:t xml:space="preserve"> Units (40 CFR Part 60, Subpart DDDD) (Renewal)</w:t>
      </w:r>
    </w:p>
    <w:p w:rsidR="00144F35" w:rsidRPr="00BB5F5F" w:rsidRDefault="00144F35" w:rsidP="00F340DF">
      <w:pPr>
        <w:rPr>
          <w:b/>
          <w:bCs/>
        </w:rPr>
      </w:pPr>
    </w:p>
    <w:tbl>
      <w:tblPr>
        <w:tblW w:w="13458" w:type="dxa"/>
        <w:jc w:val="center"/>
        <w:tblInd w:w="78" w:type="dxa"/>
        <w:tblLayout w:type="fixed"/>
        <w:tblCellMar>
          <w:left w:w="72" w:type="dxa"/>
          <w:right w:w="72" w:type="dxa"/>
        </w:tblCellMar>
        <w:tblLook w:val="0000"/>
      </w:tblPr>
      <w:tblGrid>
        <w:gridCol w:w="3372"/>
        <w:gridCol w:w="1170"/>
        <w:gridCol w:w="1530"/>
        <w:gridCol w:w="1530"/>
        <w:gridCol w:w="1314"/>
        <w:gridCol w:w="1170"/>
        <w:gridCol w:w="1350"/>
        <w:gridCol w:w="959"/>
        <w:gridCol w:w="1063"/>
      </w:tblGrid>
      <w:tr w:rsidR="00264417" w:rsidRPr="00BB5F5F" w:rsidTr="00B503FD">
        <w:trPr>
          <w:trHeight w:val="245"/>
          <w:jc w:val="center"/>
        </w:trPr>
        <w:tc>
          <w:tcPr>
            <w:tcW w:w="3372" w:type="dxa"/>
            <w:vMerge w:val="restart"/>
            <w:tcBorders>
              <w:top w:val="single" w:sz="6" w:space="0" w:color="auto"/>
              <w:left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Burden Item</w:t>
            </w:r>
          </w:p>
        </w:tc>
        <w:tc>
          <w:tcPr>
            <w:tcW w:w="1170"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A</w:t>
            </w:r>
          </w:p>
        </w:tc>
        <w:tc>
          <w:tcPr>
            <w:tcW w:w="1530"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B</w:t>
            </w:r>
          </w:p>
        </w:tc>
        <w:tc>
          <w:tcPr>
            <w:tcW w:w="1530"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C</w:t>
            </w:r>
          </w:p>
        </w:tc>
        <w:tc>
          <w:tcPr>
            <w:tcW w:w="1314"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D</w:t>
            </w:r>
          </w:p>
        </w:tc>
        <w:tc>
          <w:tcPr>
            <w:tcW w:w="1170"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E</w:t>
            </w:r>
          </w:p>
        </w:tc>
        <w:tc>
          <w:tcPr>
            <w:tcW w:w="1350"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F</w:t>
            </w:r>
          </w:p>
        </w:tc>
        <w:tc>
          <w:tcPr>
            <w:tcW w:w="959"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G</w:t>
            </w:r>
          </w:p>
        </w:tc>
        <w:tc>
          <w:tcPr>
            <w:tcW w:w="1063" w:type="dxa"/>
            <w:tcBorders>
              <w:top w:val="single" w:sz="6" w:space="0" w:color="auto"/>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r w:rsidRPr="00BB5F5F">
              <w:rPr>
                <w:b/>
                <w:bCs/>
                <w:sz w:val="20"/>
                <w:szCs w:val="20"/>
              </w:rPr>
              <w:t>H</w:t>
            </w:r>
          </w:p>
        </w:tc>
      </w:tr>
      <w:tr w:rsidR="00264417" w:rsidRPr="00BB5F5F" w:rsidTr="00B503FD">
        <w:trPr>
          <w:trHeight w:val="979"/>
          <w:jc w:val="center"/>
        </w:trPr>
        <w:tc>
          <w:tcPr>
            <w:tcW w:w="3372" w:type="dxa"/>
            <w:vMerge/>
            <w:tcBorders>
              <w:left w:val="single" w:sz="6" w:space="0" w:color="auto"/>
              <w:bottom w:val="single" w:sz="6" w:space="0" w:color="auto"/>
              <w:right w:val="single" w:sz="6" w:space="0" w:color="auto"/>
            </w:tcBorders>
            <w:vAlign w:val="bottom"/>
          </w:tcPr>
          <w:p w:rsidR="00264417" w:rsidRPr="00BB5F5F" w:rsidRDefault="00264417" w:rsidP="000C04DC">
            <w:pPr>
              <w:widowControl/>
              <w:jc w:val="center"/>
              <w:rPr>
                <w:b/>
                <w:bCs/>
                <w:sz w:val="20"/>
                <w:szCs w:val="20"/>
              </w:rPr>
            </w:pPr>
          </w:p>
        </w:tc>
        <w:tc>
          <w:tcPr>
            <w:tcW w:w="1170" w:type="dxa"/>
            <w:tcBorders>
              <w:top w:val="single" w:sz="6" w:space="0" w:color="auto"/>
              <w:left w:val="single" w:sz="6" w:space="0" w:color="auto"/>
              <w:bottom w:val="single" w:sz="6" w:space="0" w:color="auto"/>
              <w:right w:val="single" w:sz="6" w:space="0" w:color="auto"/>
            </w:tcBorders>
            <w:vAlign w:val="bottom"/>
          </w:tcPr>
          <w:p w:rsidR="00264417" w:rsidRDefault="00264417" w:rsidP="000C04DC">
            <w:pPr>
              <w:widowControl/>
              <w:jc w:val="center"/>
              <w:rPr>
                <w:b/>
                <w:bCs/>
                <w:sz w:val="20"/>
                <w:szCs w:val="20"/>
              </w:rPr>
            </w:pPr>
            <w:r w:rsidRPr="00BB5F5F">
              <w:rPr>
                <w:b/>
                <w:bCs/>
                <w:sz w:val="20"/>
                <w:szCs w:val="20"/>
              </w:rPr>
              <w:t>Technical person-hours per occurrence</w:t>
            </w:r>
          </w:p>
          <w:p w:rsidR="00E41211" w:rsidRPr="00BB5F5F" w:rsidRDefault="00E41211" w:rsidP="000C04DC">
            <w:pPr>
              <w:widowControl/>
              <w:jc w:val="center"/>
              <w:rPr>
                <w:b/>
                <w:bCs/>
                <w:sz w:val="20"/>
                <w:szCs w:val="20"/>
              </w:rPr>
            </w:pPr>
          </w:p>
        </w:tc>
        <w:tc>
          <w:tcPr>
            <w:tcW w:w="1530" w:type="dxa"/>
            <w:tcBorders>
              <w:top w:val="single" w:sz="6" w:space="0" w:color="auto"/>
              <w:left w:val="single" w:sz="6" w:space="0" w:color="auto"/>
              <w:bottom w:val="single" w:sz="6" w:space="0" w:color="auto"/>
              <w:right w:val="single" w:sz="6" w:space="0" w:color="auto"/>
            </w:tcBorders>
            <w:vAlign w:val="bottom"/>
          </w:tcPr>
          <w:p w:rsidR="00264417" w:rsidRDefault="00264417" w:rsidP="000C04DC">
            <w:pPr>
              <w:widowControl/>
              <w:jc w:val="center"/>
              <w:rPr>
                <w:b/>
                <w:bCs/>
                <w:sz w:val="20"/>
                <w:szCs w:val="20"/>
              </w:rPr>
            </w:pPr>
            <w:r w:rsidRPr="00BB5F5F">
              <w:rPr>
                <w:b/>
                <w:bCs/>
                <w:sz w:val="20"/>
                <w:szCs w:val="20"/>
              </w:rPr>
              <w:t>No. of occurrences per respondent per year</w:t>
            </w:r>
          </w:p>
          <w:p w:rsidR="00E41211" w:rsidRPr="00BB5F5F" w:rsidRDefault="00E41211" w:rsidP="000C04DC">
            <w:pPr>
              <w:widowControl/>
              <w:jc w:val="center"/>
              <w:rPr>
                <w:b/>
                <w:bCs/>
                <w:sz w:val="20"/>
                <w:szCs w:val="20"/>
              </w:rPr>
            </w:pPr>
          </w:p>
        </w:tc>
        <w:tc>
          <w:tcPr>
            <w:tcW w:w="1530" w:type="dxa"/>
            <w:tcBorders>
              <w:top w:val="single" w:sz="6" w:space="0" w:color="auto"/>
              <w:left w:val="single" w:sz="6" w:space="0" w:color="auto"/>
              <w:bottom w:val="single" w:sz="6" w:space="0" w:color="auto"/>
              <w:right w:val="single" w:sz="6" w:space="0" w:color="auto"/>
            </w:tcBorders>
            <w:vAlign w:val="bottom"/>
          </w:tcPr>
          <w:p w:rsidR="00B503FD" w:rsidRDefault="00264417" w:rsidP="000C04DC">
            <w:pPr>
              <w:widowControl/>
              <w:jc w:val="center"/>
              <w:rPr>
                <w:b/>
                <w:bCs/>
                <w:sz w:val="20"/>
                <w:szCs w:val="20"/>
              </w:rPr>
            </w:pPr>
            <w:r w:rsidRPr="00BB5F5F">
              <w:rPr>
                <w:b/>
                <w:bCs/>
                <w:sz w:val="20"/>
                <w:szCs w:val="20"/>
              </w:rPr>
              <w:t xml:space="preserve">Technical person-hours per respondent per year </w:t>
            </w:r>
          </w:p>
          <w:p w:rsidR="00264417" w:rsidRPr="00BB5F5F" w:rsidRDefault="00264417" w:rsidP="000C04DC">
            <w:pPr>
              <w:widowControl/>
              <w:jc w:val="center"/>
              <w:rPr>
                <w:b/>
                <w:bCs/>
                <w:sz w:val="20"/>
                <w:szCs w:val="20"/>
              </w:rPr>
            </w:pPr>
            <w:r w:rsidRPr="00BB5F5F">
              <w:rPr>
                <w:b/>
                <w:bCs/>
                <w:sz w:val="20"/>
                <w:szCs w:val="20"/>
              </w:rPr>
              <w:t>(</w:t>
            </w:r>
            <w:proofErr w:type="spellStart"/>
            <w:r w:rsidRPr="00BB5F5F">
              <w:rPr>
                <w:b/>
                <w:bCs/>
                <w:sz w:val="20"/>
                <w:szCs w:val="20"/>
              </w:rPr>
              <w:t>AxB</w:t>
            </w:r>
            <w:proofErr w:type="spellEnd"/>
            <w:r w:rsidRPr="00BB5F5F">
              <w:rPr>
                <w:b/>
                <w:bCs/>
                <w:sz w:val="20"/>
                <w:szCs w:val="20"/>
              </w:rPr>
              <w:t>)</w:t>
            </w:r>
          </w:p>
        </w:tc>
        <w:tc>
          <w:tcPr>
            <w:tcW w:w="1314" w:type="dxa"/>
            <w:tcBorders>
              <w:top w:val="single" w:sz="6" w:space="0" w:color="auto"/>
              <w:left w:val="single" w:sz="6" w:space="0" w:color="auto"/>
              <w:bottom w:val="single" w:sz="6" w:space="0" w:color="auto"/>
              <w:right w:val="single" w:sz="6" w:space="0" w:color="auto"/>
            </w:tcBorders>
            <w:vAlign w:val="bottom"/>
          </w:tcPr>
          <w:p w:rsidR="00264417" w:rsidRDefault="00264417" w:rsidP="000C04DC">
            <w:pPr>
              <w:widowControl/>
              <w:jc w:val="center"/>
              <w:rPr>
                <w:b/>
                <w:bCs/>
                <w:sz w:val="20"/>
                <w:szCs w:val="20"/>
              </w:rPr>
            </w:pPr>
            <w:r w:rsidRPr="00BB5F5F">
              <w:rPr>
                <w:b/>
                <w:bCs/>
                <w:sz w:val="20"/>
                <w:szCs w:val="20"/>
              </w:rPr>
              <w:t>Respondents per year</w:t>
            </w:r>
          </w:p>
          <w:p w:rsidR="00E41211" w:rsidRDefault="00E41211" w:rsidP="000C04DC">
            <w:pPr>
              <w:widowControl/>
              <w:jc w:val="center"/>
              <w:rPr>
                <w:b/>
                <w:bCs/>
                <w:sz w:val="20"/>
                <w:szCs w:val="20"/>
              </w:rPr>
            </w:pPr>
          </w:p>
          <w:p w:rsidR="00E41211" w:rsidRDefault="00E41211" w:rsidP="000C04DC">
            <w:pPr>
              <w:widowControl/>
              <w:jc w:val="center"/>
              <w:rPr>
                <w:b/>
                <w:bCs/>
                <w:sz w:val="20"/>
                <w:szCs w:val="20"/>
              </w:rPr>
            </w:pPr>
          </w:p>
          <w:p w:rsidR="00E41211" w:rsidRPr="00BB5F5F" w:rsidRDefault="00E41211" w:rsidP="000C04DC">
            <w:pPr>
              <w:widowControl/>
              <w:jc w:val="center"/>
              <w:rPr>
                <w:b/>
                <w:bCs/>
                <w:sz w:val="20"/>
                <w:szCs w:val="20"/>
              </w:rPr>
            </w:pPr>
          </w:p>
        </w:tc>
        <w:tc>
          <w:tcPr>
            <w:tcW w:w="1170" w:type="dxa"/>
            <w:tcBorders>
              <w:top w:val="single" w:sz="6" w:space="0" w:color="auto"/>
              <w:left w:val="single" w:sz="6" w:space="0" w:color="auto"/>
              <w:bottom w:val="single" w:sz="6" w:space="0" w:color="auto"/>
              <w:right w:val="single" w:sz="6" w:space="0" w:color="auto"/>
            </w:tcBorders>
            <w:vAlign w:val="bottom"/>
          </w:tcPr>
          <w:p w:rsidR="00B503FD" w:rsidRDefault="00264417" w:rsidP="000C04DC">
            <w:pPr>
              <w:widowControl/>
              <w:jc w:val="center"/>
              <w:rPr>
                <w:b/>
                <w:bCs/>
                <w:sz w:val="20"/>
                <w:szCs w:val="20"/>
              </w:rPr>
            </w:pPr>
            <w:r w:rsidRPr="00BB5F5F">
              <w:rPr>
                <w:b/>
                <w:bCs/>
                <w:sz w:val="20"/>
                <w:szCs w:val="20"/>
              </w:rPr>
              <w:t xml:space="preserve">Technical hours per year </w:t>
            </w:r>
          </w:p>
          <w:p w:rsidR="00264417" w:rsidRDefault="00264417" w:rsidP="000C04DC">
            <w:pPr>
              <w:widowControl/>
              <w:jc w:val="center"/>
              <w:rPr>
                <w:b/>
                <w:bCs/>
                <w:sz w:val="20"/>
                <w:szCs w:val="20"/>
              </w:rPr>
            </w:pPr>
            <w:r w:rsidRPr="00BB5F5F">
              <w:rPr>
                <w:b/>
                <w:bCs/>
                <w:sz w:val="20"/>
                <w:szCs w:val="20"/>
              </w:rPr>
              <w:t>(</w:t>
            </w:r>
            <w:proofErr w:type="spellStart"/>
            <w:r w:rsidRPr="00BB5F5F">
              <w:rPr>
                <w:b/>
                <w:bCs/>
                <w:sz w:val="20"/>
                <w:szCs w:val="20"/>
              </w:rPr>
              <w:t>CxD</w:t>
            </w:r>
            <w:proofErr w:type="spellEnd"/>
            <w:r w:rsidRPr="00BB5F5F">
              <w:rPr>
                <w:b/>
                <w:bCs/>
                <w:sz w:val="20"/>
                <w:szCs w:val="20"/>
              </w:rPr>
              <w:t>)</w:t>
            </w:r>
          </w:p>
          <w:p w:rsidR="00E41211" w:rsidRPr="00BB5F5F" w:rsidRDefault="00E41211" w:rsidP="000C04DC">
            <w:pPr>
              <w:widowControl/>
              <w:jc w:val="center"/>
              <w:rPr>
                <w:b/>
                <w:bCs/>
                <w:sz w:val="20"/>
                <w:szCs w:val="20"/>
              </w:rPr>
            </w:pPr>
          </w:p>
        </w:tc>
        <w:tc>
          <w:tcPr>
            <w:tcW w:w="1350" w:type="dxa"/>
            <w:tcBorders>
              <w:top w:val="single" w:sz="6" w:space="0" w:color="auto"/>
              <w:left w:val="single" w:sz="6" w:space="0" w:color="auto"/>
              <w:bottom w:val="single" w:sz="6" w:space="0" w:color="auto"/>
              <w:right w:val="single" w:sz="6" w:space="0" w:color="auto"/>
            </w:tcBorders>
            <w:vAlign w:val="bottom"/>
          </w:tcPr>
          <w:p w:rsidR="00B503FD" w:rsidRDefault="00264417" w:rsidP="000C04DC">
            <w:pPr>
              <w:widowControl/>
              <w:jc w:val="center"/>
              <w:rPr>
                <w:b/>
                <w:bCs/>
                <w:sz w:val="20"/>
                <w:szCs w:val="20"/>
              </w:rPr>
            </w:pPr>
            <w:r w:rsidRPr="00BB5F5F">
              <w:rPr>
                <w:b/>
                <w:bCs/>
                <w:sz w:val="20"/>
                <w:szCs w:val="20"/>
              </w:rPr>
              <w:t xml:space="preserve">Management hours per year  </w:t>
            </w:r>
          </w:p>
          <w:p w:rsidR="00264417" w:rsidRDefault="00264417" w:rsidP="000C04DC">
            <w:pPr>
              <w:widowControl/>
              <w:jc w:val="center"/>
              <w:rPr>
                <w:b/>
                <w:bCs/>
                <w:sz w:val="20"/>
                <w:szCs w:val="20"/>
              </w:rPr>
            </w:pPr>
            <w:r w:rsidRPr="00BB5F5F">
              <w:rPr>
                <w:b/>
                <w:bCs/>
                <w:sz w:val="20"/>
                <w:szCs w:val="20"/>
              </w:rPr>
              <w:t>(Ex0.05)</w:t>
            </w:r>
          </w:p>
          <w:p w:rsidR="00E41211" w:rsidRPr="00BB5F5F" w:rsidRDefault="00E41211" w:rsidP="000C04DC">
            <w:pPr>
              <w:widowControl/>
              <w:jc w:val="center"/>
              <w:rPr>
                <w:b/>
                <w:bCs/>
                <w:sz w:val="20"/>
                <w:szCs w:val="20"/>
              </w:rPr>
            </w:pPr>
          </w:p>
        </w:tc>
        <w:tc>
          <w:tcPr>
            <w:tcW w:w="959" w:type="dxa"/>
            <w:tcBorders>
              <w:top w:val="single" w:sz="6" w:space="0" w:color="auto"/>
              <w:left w:val="single" w:sz="6" w:space="0" w:color="auto"/>
              <w:bottom w:val="single" w:sz="6" w:space="0" w:color="auto"/>
              <w:right w:val="single" w:sz="6" w:space="0" w:color="auto"/>
            </w:tcBorders>
            <w:vAlign w:val="bottom"/>
          </w:tcPr>
          <w:p w:rsidR="00264417" w:rsidRDefault="00264417" w:rsidP="000C04DC">
            <w:pPr>
              <w:widowControl/>
              <w:jc w:val="center"/>
              <w:rPr>
                <w:b/>
                <w:bCs/>
                <w:sz w:val="20"/>
                <w:szCs w:val="20"/>
              </w:rPr>
            </w:pPr>
            <w:r w:rsidRPr="00BB5F5F">
              <w:rPr>
                <w:b/>
                <w:bCs/>
                <w:sz w:val="20"/>
                <w:szCs w:val="20"/>
              </w:rPr>
              <w:t>Clerical hours per year (Ex0.10)</w:t>
            </w:r>
          </w:p>
          <w:p w:rsidR="00E41211" w:rsidRPr="00BB5F5F" w:rsidRDefault="00E41211" w:rsidP="000C04DC">
            <w:pPr>
              <w:widowControl/>
              <w:jc w:val="center"/>
              <w:rPr>
                <w:b/>
                <w:bCs/>
                <w:sz w:val="20"/>
                <w:szCs w:val="20"/>
              </w:rPr>
            </w:pPr>
          </w:p>
        </w:tc>
        <w:tc>
          <w:tcPr>
            <w:tcW w:w="1063" w:type="dxa"/>
            <w:tcBorders>
              <w:top w:val="single" w:sz="6" w:space="0" w:color="auto"/>
              <w:left w:val="single" w:sz="6" w:space="0" w:color="auto"/>
              <w:bottom w:val="single" w:sz="6" w:space="0" w:color="auto"/>
              <w:right w:val="single" w:sz="6" w:space="0" w:color="auto"/>
            </w:tcBorders>
            <w:vAlign w:val="bottom"/>
          </w:tcPr>
          <w:p w:rsidR="00B503FD" w:rsidRDefault="00264417" w:rsidP="000C04DC">
            <w:pPr>
              <w:widowControl/>
              <w:jc w:val="center"/>
              <w:rPr>
                <w:b/>
                <w:bCs/>
                <w:sz w:val="20"/>
                <w:szCs w:val="20"/>
              </w:rPr>
            </w:pPr>
            <w:r w:rsidRPr="00BB5F5F">
              <w:rPr>
                <w:b/>
                <w:bCs/>
                <w:sz w:val="20"/>
                <w:szCs w:val="20"/>
              </w:rPr>
              <w:t xml:space="preserve">Total cost per year </w:t>
            </w:r>
          </w:p>
          <w:p w:rsidR="00264417" w:rsidRDefault="00264417" w:rsidP="000C04DC">
            <w:pPr>
              <w:widowControl/>
              <w:jc w:val="center"/>
              <w:rPr>
                <w:b/>
                <w:bCs/>
                <w:sz w:val="20"/>
                <w:szCs w:val="20"/>
                <w:vertAlign w:val="superscript"/>
              </w:rPr>
            </w:pPr>
            <w:r w:rsidRPr="00BB5F5F">
              <w:rPr>
                <w:b/>
                <w:bCs/>
                <w:sz w:val="20"/>
                <w:szCs w:val="20"/>
              </w:rPr>
              <w:t xml:space="preserve">($) </w:t>
            </w:r>
            <w:r w:rsidRPr="00BB5F5F">
              <w:rPr>
                <w:b/>
                <w:bCs/>
                <w:sz w:val="20"/>
                <w:szCs w:val="20"/>
                <w:vertAlign w:val="superscript"/>
              </w:rPr>
              <w:t>a</w:t>
            </w:r>
          </w:p>
          <w:p w:rsidR="00E41211" w:rsidRDefault="00E41211" w:rsidP="000C04DC">
            <w:pPr>
              <w:widowControl/>
              <w:jc w:val="center"/>
              <w:rPr>
                <w:b/>
                <w:bCs/>
                <w:sz w:val="20"/>
                <w:szCs w:val="20"/>
                <w:vertAlign w:val="superscript"/>
              </w:rPr>
            </w:pPr>
          </w:p>
          <w:p w:rsidR="00E41211" w:rsidRPr="00BB5F5F" w:rsidRDefault="00E41211" w:rsidP="000C04DC">
            <w:pPr>
              <w:widowControl/>
              <w:jc w:val="center"/>
              <w:rPr>
                <w:b/>
                <w:bCs/>
                <w:sz w:val="20"/>
                <w:szCs w:val="20"/>
                <w:vertAlign w:val="superscript"/>
              </w:rPr>
            </w:pP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9448F5">
            <w:pPr>
              <w:widowControl/>
              <w:rPr>
                <w:sz w:val="20"/>
                <w:szCs w:val="20"/>
              </w:rPr>
            </w:pPr>
            <w:r w:rsidRPr="00BB5F5F">
              <w:rPr>
                <w:sz w:val="20"/>
                <w:szCs w:val="20"/>
              </w:rPr>
              <w:t>1.  A</w:t>
            </w:r>
            <w:r w:rsidR="009448F5">
              <w:rPr>
                <w:sz w:val="20"/>
                <w:szCs w:val="20"/>
              </w:rPr>
              <w:t>pplications</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N/A</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right"/>
              <w:rPr>
                <w:sz w:val="20"/>
                <w:szCs w:val="20"/>
              </w:rPr>
            </w:pP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9448F5">
            <w:pPr>
              <w:widowControl/>
              <w:ind w:left="246" w:hanging="246"/>
              <w:rPr>
                <w:sz w:val="20"/>
                <w:szCs w:val="20"/>
              </w:rPr>
            </w:pPr>
            <w:r w:rsidRPr="00BB5F5F">
              <w:rPr>
                <w:sz w:val="20"/>
                <w:szCs w:val="20"/>
              </w:rPr>
              <w:t xml:space="preserve">2.  </w:t>
            </w:r>
            <w:r w:rsidR="009448F5">
              <w:rPr>
                <w:sz w:val="20"/>
                <w:szCs w:val="20"/>
              </w:rPr>
              <w:t>Read rule</w:t>
            </w:r>
            <w:r w:rsidRPr="00BB5F5F">
              <w:rPr>
                <w:sz w:val="20"/>
                <w:szCs w:val="20"/>
              </w:rPr>
              <w:t xml:space="preserve"> </w:t>
            </w:r>
            <w:r w:rsidR="009448F5">
              <w:rPr>
                <w:sz w:val="20"/>
                <w:szCs w:val="20"/>
              </w:rPr>
              <w:t>requirements</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16</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0</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0</w:t>
            </w: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C973F2" w:rsidP="00264417">
            <w:pPr>
              <w:widowControl/>
              <w:jc w:val="center"/>
              <w:rPr>
                <w:sz w:val="20"/>
                <w:szCs w:val="20"/>
              </w:rPr>
            </w:pPr>
            <w:r>
              <w:rPr>
                <w:sz w:val="20"/>
                <w:szCs w:val="20"/>
              </w:rPr>
              <w:t>0</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0</w:t>
            </w: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0</w:t>
            </w: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0</w:t>
            </w: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9448F5" w:rsidP="00264417">
            <w:pPr>
              <w:widowControl/>
              <w:jc w:val="right"/>
              <w:rPr>
                <w:sz w:val="20"/>
                <w:szCs w:val="20"/>
              </w:rPr>
            </w:pPr>
            <w:r>
              <w:rPr>
                <w:sz w:val="20"/>
                <w:szCs w:val="20"/>
              </w:rPr>
              <w:t>$</w:t>
            </w:r>
            <w:r w:rsidR="00264417" w:rsidRPr="00BB5F5F">
              <w:rPr>
                <w:sz w:val="20"/>
                <w:szCs w:val="20"/>
              </w:rPr>
              <w:t>0</w:t>
            </w: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9448F5">
            <w:pPr>
              <w:widowControl/>
              <w:rPr>
                <w:sz w:val="20"/>
                <w:szCs w:val="20"/>
              </w:rPr>
            </w:pPr>
            <w:r w:rsidRPr="00BB5F5F">
              <w:rPr>
                <w:sz w:val="20"/>
                <w:szCs w:val="20"/>
              </w:rPr>
              <w:t>3.  R</w:t>
            </w:r>
            <w:r w:rsidR="009448F5">
              <w:rPr>
                <w:sz w:val="20"/>
                <w:szCs w:val="20"/>
              </w:rPr>
              <w:t>equired</w:t>
            </w:r>
            <w:r w:rsidRPr="00BB5F5F">
              <w:rPr>
                <w:sz w:val="20"/>
                <w:szCs w:val="20"/>
              </w:rPr>
              <w:t xml:space="preserve"> A</w:t>
            </w:r>
            <w:r w:rsidR="009448F5">
              <w:rPr>
                <w:sz w:val="20"/>
                <w:szCs w:val="20"/>
              </w:rPr>
              <w:t>ctivities</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right"/>
              <w:rPr>
                <w:sz w:val="20"/>
                <w:szCs w:val="20"/>
              </w:rPr>
            </w:pP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ind w:left="282"/>
              <w:rPr>
                <w:sz w:val="20"/>
                <w:szCs w:val="20"/>
              </w:rPr>
            </w:pPr>
            <w:r w:rsidRPr="00BB5F5F">
              <w:rPr>
                <w:sz w:val="20"/>
                <w:szCs w:val="20"/>
              </w:rPr>
              <w:t>Report Reviews</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right"/>
              <w:rPr>
                <w:sz w:val="20"/>
                <w:szCs w:val="20"/>
              </w:rPr>
            </w:pPr>
          </w:p>
        </w:tc>
      </w:tr>
      <w:tr w:rsidR="00C973F2" w:rsidRPr="00BB5F5F" w:rsidTr="00C973F2">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ind w:left="282"/>
              <w:rPr>
                <w:sz w:val="20"/>
                <w:szCs w:val="20"/>
              </w:rPr>
            </w:pPr>
            <w:r w:rsidRPr="00BB5F5F">
              <w:rPr>
                <w:sz w:val="20"/>
                <w:szCs w:val="20"/>
              </w:rPr>
              <w:t xml:space="preserve">1)  Review control plan </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8</w:t>
            </w:r>
          </w:p>
        </w:tc>
        <w:tc>
          <w:tcPr>
            <w:tcW w:w="1314" w:type="dxa"/>
            <w:tcBorders>
              <w:top w:val="single" w:sz="6" w:space="0" w:color="auto"/>
              <w:left w:val="single" w:sz="6" w:space="0" w:color="auto"/>
              <w:bottom w:val="single" w:sz="6" w:space="0" w:color="auto"/>
              <w:right w:val="single" w:sz="6" w:space="0" w:color="auto"/>
            </w:tcBorders>
          </w:tcPr>
          <w:p w:rsidR="00C973F2" w:rsidRPr="00BB5F5F" w:rsidRDefault="00C973F2" w:rsidP="00264417">
            <w:pPr>
              <w:widowControl/>
              <w:jc w:val="center"/>
              <w:rPr>
                <w:sz w:val="20"/>
                <w:szCs w:val="20"/>
              </w:rPr>
            </w:pPr>
            <w:r w:rsidRPr="000A1709">
              <w:rPr>
                <w:sz w:val="20"/>
                <w:szCs w:val="20"/>
              </w:rPr>
              <w:t>0</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135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959"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1063" w:type="dxa"/>
            <w:tcBorders>
              <w:top w:val="single" w:sz="6" w:space="0" w:color="auto"/>
              <w:left w:val="single" w:sz="6" w:space="0" w:color="auto"/>
              <w:bottom w:val="single" w:sz="6" w:space="0" w:color="auto"/>
              <w:right w:val="single" w:sz="6" w:space="0" w:color="auto"/>
            </w:tcBorders>
            <w:vAlign w:val="center"/>
          </w:tcPr>
          <w:p w:rsidR="00C973F2" w:rsidRPr="00BB5F5F" w:rsidRDefault="009448F5" w:rsidP="00264417">
            <w:pPr>
              <w:widowControl/>
              <w:jc w:val="right"/>
              <w:rPr>
                <w:sz w:val="20"/>
                <w:szCs w:val="20"/>
              </w:rPr>
            </w:pPr>
            <w:r>
              <w:rPr>
                <w:sz w:val="20"/>
                <w:szCs w:val="20"/>
              </w:rPr>
              <w:t>$</w:t>
            </w:r>
            <w:r w:rsidR="00C973F2" w:rsidRPr="00BB5F5F">
              <w:rPr>
                <w:sz w:val="20"/>
                <w:szCs w:val="20"/>
              </w:rPr>
              <w:t>0</w:t>
            </w:r>
          </w:p>
        </w:tc>
      </w:tr>
      <w:tr w:rsidR="00C973F2" w:rsidRPr="00BB5F5F" w:rsidTr="00C973F2">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C973F2">
            <w:pPr>
              <w:widowControl/>
              <w:ind w:left="492" w:hanging="210"/>
              <w:rPr>
                <w:sz w:val="20"/>
                <w:szCs w:val="20"/>
              </w:rPr>
            </w:pPr>
            <w:r w:rsidRPr="00BB5F5F">
              <w:rPr>
                <w:sz w:val="20"/>
                <w:szCs w:val="20"/>
              </w:rPr>
              <w:t xml:space="preserve">2)  Review notification of final compliance </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8</w:t>
            </w:r>
          </w:p>
        </w:tc>
        <w:tc>
          <w:tcPr>
            <w:tcW w:w="1314"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C973F2">
            <w:pPr>
              <w:widowControl/>
              <w:jc w:val="center"/>
              <w:rPr>
                <w:sz w:val="20"/>
                <w:szCs w:val="20"/>
              </w:rPr>
            </w:pPr>
            <w:r w:rsidRPr="000A1709">
              <w:rPr>
                <w:sz w:val="20"/>
                <w:szCs w:val="20"/>
              </w:rPr>
              <w:t>0</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C973F2">
            <w:pPr>
              <w:widowControl/>
              <w:jc w:val="center"/>
              <w:rPr>
                <w:sz w:val="20"/>
                <w:szCs w:val="20"/>
              </w:rPr>
            </w:pPr>
            <w:r w:rsidRPr="00BB5F5F">
              <w:rPr>
                <w:sz w:val="20"/>
                <w:szCs w:val="20"/>
              </w:rPr>
              <w:t>0</w:t>
            </w:r>
          </w:p>
        </w:tc>
        <w:tc>
          <w:tcPr>
            <w:tcW w:w="135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C973F2">
            <w:pPr>
              <w:widowControl/>
              <w:jc w:val="center"/>
              <w:rPr>
                <w:sz w:val="20"/>
                <w:szCs w:val="20"/>
              </w:rPr>
            </w:pPr>
            <w:r w:rsidRPr="00BB5F5F">
              <w:rPr>
                <w:sz w:val="20"/>
                <w:szCs w:val="20"/>
              </w:rPr>
              <w:t>0</w:t>
            </w:r>
          </w:p>
        </w:tc>
        <w:tc>
          <w:tcPr>
            <w:tcW w:w="959"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C973F2">
            <w:pPr>
              <w:widowControl/>
              <w:jc w:val="center"/>
              <w:rPr>
                <w:sz w:val="20"/>
                <w:szCs w:val="20"/>
              </w:rPr>
            </w:pPr>
            <w:r w:rsidRPr="00BB5F5F">
              <w:rPr>
                <w:sz w:val="20"/>
                <w:szCs w:val="20"/>
              </w:rPr>
              <w:t>0</w:t>
            </w:r>
          </w:p>
        </w:tc>
        <w:tc>
          <w:tcPr>
            <w:tcW w:w="1063" w:type="dxa"/>
            <w:tcBorders>
              <w:top w:val="single" w:sz="6" w:space="0" w:color="auto"/>
              <w:left w:val="single" w:sz="6" w:space="0" w:color="auto"/>
              <w:bottom w:val="single" w:sz="6" w:space="0" w:color="auto"/>
              <w:right w:val="single" w:sz="6" w:space="0" w:color="auto"/>
            </w:tcBorders>
            <w:vAlign w:val="center"/>
          </w:tcPr>
          <w:p w:rsidR="00C973F2" w:rsidRPr="00BB5F5F" w:rsidRDefault="009448F5" w:rsidP="00264417">
            <w:pPr>
              <w:widowControl/>
              <w:jc w:val="right"/>
              <w:rPr>
                <w:sz w:val="20"/>
                <w:szCs w:val="20"/>
              </w:rPr>
            </w:pPr>
            <w:r>
              <w:rPr>
                <w:sz w:val="20"/>
                <w:szCs w:val="20"/>
              </w:rPr>
              <w:t>$</w:t>
            </w:r>
            <w:r w:rsidR="00C973F2" w:rsidRPr="00BB5F5F">
              <w:rPr>
                <w:sz w:val="20"/>
                <w:szCs w:val="20"/>
              </w:rPr>
              <w:t>0</w:t>
            </w:r>
          </w:p>
        </w:tc>
      </w:tr>
      <w:tr w:rsidR="00C973F2" w:rsidRPr="00BB5F5F" w:rsidTr="00C973F2">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ind w:left="282"/>
              <w:rPr>
                <w:sz w:val="20"/>
                <w:szCs w:val="20"/>
                <w:vertAlign w:val="superscript"/>
              </w:rPr>
            </w:pPr>
            <w:r w:rsidRPr="00BB5F5F">
              <w:rPr>
                <w:sz w:val="20"/>
                <w:szCs w:val="20"/>
              </w:rPr>
              <w:t>3)  Review waste management plan</w:t>
            </w:r>
            <w:r w:rsidRPr="00BB5F5F">
              <w:rPr>
                <w:sz w:val="20"/>
                <w:szCs w:val="20"/>
                <w:vertAlign w:val="superscript"/>
              </w:rPr>
              <w:t xml:space="preserve"> </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8</w:t>
            </w:r>
          </w:p>
        </w:tc>
        <w:tc>
          <w:tcPr>
            <w:tcW w:w="1314" w:type="dxa"/>
            <w:tcBorders>
              <w:top w:val="single" w:sz="6" w:space="0" w:color="auto"/>
              <w:left w:val="single" w:sz="6" w:space="0" w:color="auto"/>
              <w:bottom w:val="single" w:sz="6" w:space="0" w:color="auto"/>
              <w:right w:val="single" w:sz="6" w:space="0" w:color="auto"/>
            </w:tcBorders>
          </w:tcPr>
          <w:p w:rsidR="00C973F2" w:rsidRPr="00BB5F5F" w:rsidRDefault="00C973F2" w:rsidP="00264417">
            <w:pPr>
              <w:widowControl/>
              <w:jc w:val="center"/>
              <w:rPr>
                <w:sz w:val="20"/>
                <w:szCs w:val="20"/>
              </w:rPr>
            </w:pPr>
            <w:r w:rsidRPr="000A1709">
              <w:rPr>
                <w:sz w:val="20"/>
                <w:szCs w:val="20"/>
              </w:rPr>
              <w:t>0</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135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959"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1063" w:type="dxa"/>
            <w:tcBorders>
              <w:top w:val="single" w:sz="6" w:space="0" w:color="auto"/>
              <w:left w:val="single" w:sz="6" w:space="0" w:color="auto"/>
              <w:bottom w:val="single" w:sz="6" w:space="0" w:color="auto"/>
              <w:right w:val="single" w:sz="6" w:space="0" w:color="auto"/>
            </w:tcBorders>
            <w:vAlign w:val="center"/>
          </w:tcPr>
          <w:p w:rsidR="00C973F2" w:rsidRPr="00BB5F5F" w:rsidRDefault="009448F5" w:rsidP="00264417">
            <w:pPr>
              <w:widowControl/>
              <w:jc w:val="right"/>
              <w:rPr>
                <w:sz w:val="20"/>
                <w:szCs w:val="20"/>
              </w:rPr>
            </w:pPr>
            <w:r>
              <w:rPr>
                <w:sz w:val="20"/>
                <w:szCs w:val="20"/>
              </w:rPr>
              <w:t>$</w:t>
            </w:r>
            <w:r w:rsidR="00C973F2" w:rsidRPr="00BB5F5F">
              <w:rPr>
                <w:sz w:val="20"/>
                <w:szCs w:val="20"/>
              </w:rPr>
              <w:t>0</w:t>
            </w:r>
          </w:p>
        </w:tc>
      </w:tr>
      <w:tr w:rsidR="00C973F2" w:rsidRPr="00BB5F5F" w:rsidTr="00C973F2">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ind w:left="282"/>
              <w:rPr>
                <w:sz w:val="20"/>
                <w:szCs w:val="20"/>
              </w:rPr>
            </w:pPr>
            <w:r w:rsidRPr="00BB5F5F">
              <w:rPr>
                <w:sz w:val="20"/>
                <w:szCs w:val="20"/>
              </w:rPr>
              <w:t xml:space="preserve">4)  Review initial stack test report </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40</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40</w:t>
            </w:r>
          </w:p>
        </w:tc>
        <w:tc>
          <w:tcPr>
            <w:tcW w:w="1314" w:type="dxa"/>
            <w:tcBorders>
              <w:top w:val="single" w:sz="6" w:space="0" w:color="auto"/>
              <w:left w:val="single" w:sz="6" w:space="0" w:color="auto"/>
              <w:bottom w:val="single" w:sz="6" w:space="0" w:color="auto"/>
              <w:right w:val="single" w:sz="6" w:space="0" w:color="auto"/>
            </w:tcBorders>
          </w:tcPr>
          <w:p w:rsidR="00C973F2" w:rsidRPr="00BB5F5F" w:rsidRDefault="00C973F2" w:rsidP="00264417">
            <w:pPr>
              <w:widowControl/>
              <w:jc w:val="center"/>
              <w:rPr>
                <w:sz w:val="20"/>
                <w:szCs w:val="20"/>
              </w:rPr>
            </w:pPr>
            <w:r w:rsidRPr="000A1709">
              <w:rPr>
                <w:sz w:val="20"/>
                <w:szCs w:val="20"/>
              </w:rPr>
              <w:t>0</w:t>
            </w:r>
          </w:p>
        </w:tc>
        <w:tc>
          <w:tcPr>
            <w:tcW w:w="117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1350"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959" w:type="dxa"/>
            <w:tcBorders>
              <w:top w:val="single" w:sz="6" w:space="0" w:color="auto"/>
              <w:left w:val="single" w:sz="6" w:space="0" w:color="auto"/>
              <w:bottom w:val="single" w:sz="6" w:space="0" w:color="auto"/>
              <w:right w:val="single" w:sz="6" w:space="0" w:color="auto"/>
            </w:tcBorders>
            <w:vAlign w:val="center"/>
          </w:tcPr>
          <w:p w:rsidR="00C973F2" w:rsidRPr="00BB5F5F" w:rsidRDefault="00C973F2" w:rsidP="00264417">
            <w:pPr>
              <w:widowControl/>
              <w:jc w:val="center"/>
              <w:rPr>
                <w:sz w:val="20"/>
                <w:szCs w:val="20"/>
              </w:rPr>
            </w:pPr>
            <w:r w:rsidRPr="00BB5F5F">
              <w:rPr>
                <w:sz w:val="20"/>
                <w:szCs w:val="20"/>
              </w:rPr>
              <w:t>0</w:t>
            </w:r>
          </w:p>
        </w:tc>
        <w:tc>
          <w:tcPr>
            <w:tcW w:w="1063" w:type="dxa"/>
            <w:tcBorders>
              <w:top w:val="single" w:sz="6" w:space="0" w:color="auto"/>
              <w:left w:val="single" w:sz="6" w:space="0" w:color="auto"/>
              <w:bottom w:val="single" w:sz="6" w:space="0" w:color="auto"/>
              <w:right w:val="single" w:sz="6" w:space="0" w:color="auto"/>
            </w:tcBorders>
            <w:vAlign w:val="center"/>
          </w:tcPr>
          <w:p w:rsidR="00C973F2" w:rsidRPr="00BB5F5F" w:rsidRDefault="009448F5" w:rsidP="00264417">
            <w:pPr>
              <w:widowControl/>
              <w:jc w:val="right"/>
              <w:rPr>
                <w:sz w:val="20"/>
                <w:szCs w:val="20"/>
              </w:rPr>
            </w:pPr>
            <w:r>
              <w:rPr>
                <w:sz w:val="20"/>
                <w:szCs w:val="20"/>
              </w:rPr>
              <w:t>$</w:t>
            </w:r>
            <w:r w:rsidR="00C973F2" w:rsidRPr="00BB5F5F">
              <w:rPr>
                <w:sz w:val="20"/>
                <w:szCs w:val="20"/>
              </w:rPr>
              <w:t>0</w:t>
            </w: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C973F2">
            <w:pPr>
              <w:widowControl/>
              <w:ind w:left="492" w:hanging="210"/>
              <w:rPr>
                <w:sz w:val="20"/>
                <w:szCs w:val="20"/>
              </w:rPr>
            </w:pPr>
            <w:r w:rsidRPr="00BB5F5F">
              <w:rPr>
                <w:sz w:val="20"/>
                <w:szCs w:val="20"/>
              </w:rPr>
              <w:t>5)  Review annual compliance report</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8</w:t>
            </w: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90</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720</w:t>
            </w: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36</w:t>
            </w: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72</w:t>
            </w: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9448F5" w:rsidP="00264417">
            <w:pPr>
              <w:widowControl/>
              <w:jc w:val="right"/>
              <w:rPr>
                <w:sz w:val="20"/>
                <w:szCs w:val="20"/>
              </w:rPr>
            </w:pPr>
            <w:r>
              <w:rPr>
                <w:sz w:val="20"/>
                <w:szCs w:val="20"/>
              </w:rPr>
              <w:t>$</w:t>
            </w:r>
            <w:r w:rsidR="00264417" w:rsidRPr="00BB5F5F">
              <w:rPr>
                <w:sz w:val="20"/>
                <w:szCs w:val="20"/>
              </w:rPr>
              <w:t>37,313.64</w:t>
            </w: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C973F2" w:rsidRDefault="00264417" w:rsidP="00C973F2">
            <w:pPr>
              <w:widowControl/>
              <w:ind w:left="492" w:hanging="210"/>
              <w:rPr>
                <w:sz w:val="20"/>
                <w:szCs w:val="20"/>
              </w:rPr>
            </w:pPr>
            <w:r w:rsidRPr="00BB5F5F">
              <w:rPr>
                <w:sz w:val="20"/>
                <w:szCs w:val="20"/>
              </w:rPr>
              <w:t xml:space="preserve">6)  Review semi-annual excess emission and parameter exceedance report </w:t>
            </w:r>
            <w:r w:rsidRPr="00C973F2">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16</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16</w:t>
            </w: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9</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144</w:t>
            </w: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7.2</w:t>
            </w: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14.4</w:t>
            </w: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9448F5" w:rsidP="00264417">
            <w:pPr>
              <w:widowControl/>
              <w:jc w:val="right"/>
              <w:rPr>
                <w:sz w:val="20"/>
                <w:szCs w:val="20"/>
              </w:rPr>
            </w:pPr>
            <w:r>
              <w:rPr>
                <w:sz w:val="20"/>
                <w:szCs w:val="20"/>
              </w:rPr>
              <w:t>$</w:t>
            </w:r>
            <w:r w:rsidR="00264417" w:rsidRPr="00BB5F5F">
              <w:rPr>
                <w:sz w:val="20"/>
                <w:szCs w:val="20"/>
              </w:rPr>
              <w:t>7,462.73</w:t>
            </w:r>
          </w:p>
        </w:tc>
      </w:tr>
      <w:tr w:rsidR="00264417" w:rsidRPr="00BB5F5F" w:rsidTr="00B503FD">
        <w:trPr>
          <w:trHeight w:val="245"/>
          <w:jc w:val="center"/>
        </w:trPr>
        <w:tc>
          <w:tcPr>
            <w:tcW w:w="3372"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C973F2">
            <w:pPr>
              <w:widowControl/>
              <w:ind w:left="492" w:hanging="210"/>
              <w:rPr>
                <w:sz w:val="20"/>
                <w:szCs w:val="20"/>
                <w:vertAlign w:val="superscript"/>
              </w:rPr>
            </w:pPr>
            <w:r w:rsidRPr="00BB5F5F">
              <w:rPr>
                <w:sz w:val="20"/>
                <w:szCs w:val="20"/>
              </w:rPr>
              <w:t xml:space="preserve">7)  Review status reports and corrective action summary for operators off-site </w:t>
            </w:r>
            <w:r w:rsidRPr="00C973F2">
              <w:rPr>
                <w:sz w:val="20"/>
                <w:szCs w:val="20"/>
                <w:vertAlign w:val="superscript"/>
              </w:rPr>
              <w:t>b</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4</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4</w:t>
            </w:r>
          </w:p>
        </w:tc>
        <w:tc>
          <w:tcPr>
            <w:tcW w:w="1314"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9</w:t>
            </w:r>
          </w:p>
        </w:tc>
        <w:tc>
          <w:tcPr>
            <w:tcW w:w="117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36</w:t>
            </w:r>
          </w:p>
        </w:tc>
        <w:tc>
          <w:tcPr>
            <w:tcW w:w="1350"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1.8</w:t>
            </w:r>
          </w:p>
        </w:tc>
        <w:tc>
          <w:tcPr>
            <w:tcW w:w="959" w:type="dxa"/>
            <w:tcBorders>
              <w:top w:val="single" w:sz="6" w:space="0" w:color="auto"/>
              <w:left w:val="single" w:sz="6" w:space="0" w:color="auto"/>
              <w:bottom w:val="single" w:sz="6" w:space="0" w:color="auto"/>
              <w:right w:val="single" w:sz="6" w:space="0" w:color="auto"/>
            </w:tcBorders>
            <w:vAlign w:val="center"/>
          </w:tcPr>
          <w:p w:rsidR="00264417" w:rsidRPr="00BB5F5F" w:rsidRDefault="00264417" w:rsidP="00264417">
            <w:pPr>
              <w:widowControl/>
              <w:jc w:val="center"/>
              <w:rPr>
                <w:sz w:val="20"/>
                <w:szCs w:val="20"/>
              </w:rPr>
            </w:pPr>
            <w:r w:rsidRPr="00BB5F5F">
              <w:rPr>
                <w:sz w:val="20"/>
                <w:szCs w:val="20"/>
              </w:rPr>
              <w:t>3.6</w:t>
            </w: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B5F5F" w:rsidRDefault="009448F5" w:rsidP="00264417">
            <w:pPr>
              <w:widowControl/>
              <w:jc w:val="right"/>
              <w:rPr>
                <w:sz w:val="20"/>
                <w:szCs w:val="20"/>
              </w:rPr>
            </w:pPr>
            <w:r>
              <w:rPr>
                <w:sz w:val="20"/>
                <w:szCs w:val="20"/>
              </w:rPr>
              <w:t>$</w:t>
            </w:r>
            <w:r w:rsidR="00264417" w:rsidRPr="00BB5F5F">
              <w:rPr>
                <w:sz w:val="20"/>
                <w:szCs w:val="20"/>
              </w:rPr>
              <w:t>1,865.68</w:t>
            </w:r>
          </w:p>
        </w:tc>
      </w:tr>
      <w:tr w:rsidR="00264417" w:rsidRPr="00BB5F5F" w:rsidTr="00B503FD">
        <w:trPr>
          <w:trHeight w:val="245"/>
          <w:jc w:val="center"/>
        </w:trPr>
        <w:tc>
          <w:tcPr>
            <w:tcW w:w="8916" w:type="dxa"/>
            <w:gridSpan w:val="5"/>
            <w:tcBorders>
              <w:top w:val="single" w:sz="6" w:space="0" w:color="auto"/>
              <w:left w:val="single" w:sz="6" w:space="0" w:color="auto"/>
              <w:bottom w:val="single" w:sz="6" w:space="0" w:color="auto"/>
              <w:right w:val="single" w:sz="6" w:space="0" w:color="auto"/>
            </w:tcBorders>
            <w:vAlign w:val="center"/>
          </w:tcPr>
          <w:p w:rsidR="00264417" w:rsidRPr="00BB5F5F" w:rsidRDefault="00264417" w:rsidP="009448F5">
            <w:pPr>
              <w:widowControl/>
              <w:rPr>
                <w:sz w:val="20"/>
                <w:szCs w:val="20"/>
              </w:rPr>
            </w:pPr>
            <w:r w:rsidRPr="00BB5F5F">
              <w:rPr>
                <w:b/>
                <w:bCs/>
                <w:sz w:val="20"/>
                <w:szCs w:val="20"/>
              </w:rPr>
              <w:t>TOTAL ANNUAL BURDEN AND COST (</w:t>
            </w:r>
            <w:r w:rsidR="009448F5">
              <w:rPr>
                <w:b/>
                <w:bCs/>
                <w:sz w:val="20"/>
                <w:szCs w:val="20"/>
              </w:rPr>
              <w:t>rounded</w:t>
            </w:r>
            <w:r w:rsidRPr="00BB5F5F">
              <w:rPr>
                <w:b/>
                <w:bCs/>
                <w:sz w:val="20"/>
                <w:szCs w:val="20"/>
              </w:rPr>
              <w:t>)</w:t>
            </w:r>
          </w:p>
        </w:tc>
        <w:tc>
          <w:tcPr>
            <w:tcW w:w="3479" w:type="dxa"/>
            <w:gridSpan w:val="3"/>
            <w:tcBorders>
              <w:top w:val="single" w:sz="6" w:space="0" w:color="auto"/>
              <w:left w:val="single" w:sz="6" w:space="0" w:color="auto"/>
              <w:bottom w:val="single" w:sz="6" w:space="0" w:color="auto"/>
              <w:right w:val="single" w:sz="6" w:space="0" w:color="auto"/>
            </w:tcBorders>
            <w:vAlign w:val="center"/>
          </w:tcPr>
          <w:p w:rsidR="00264417" w:rsidRPr="00B503FD" w:rsidRDefault="00C973F2" w:rsidP="00C973F2">
            <w:pPr>
              <w:widowControl/>
              <w:jc w:val="center"/>
              <w:rPr>
                <w:b/>
                <w:sz w:val="20"/>
                <w:szCs w:val="20"/>
              </w:rPr>
            </w:pPr>
            <w:r w:rsidRPr="00C973F2">
              <w:rPr>
                <w:b/>
                <w:sz w:val="20"/>
                <w:szCs w:val="20"/>
              </w:rPr>
              <w:t>1,035</w:t>
            </w:r>
          </w:p>
        </w:tc>
        <w:tc>
          <w:tcPr>
            <w:tcW w:w="1063" w:type="dxa"/>
            <w:tcBorders>
              <w:top w:val="single" w:sz="6" w:space="0" w:color="auto"/>
              <w:left w:val="single" w:sz="6" w:space="0" w:color="auto"/>
              <w:bottom w:val="single" w:sz="6" w:space="0" w:color="auto"/>
              <w:right w:val="single" w:sz="6" w:space="0" w:color="auto"/>
            </w:tcBorders>
            <w:vAlign w:val="center"/>
          </w:tcPr>
          <w:p w:rsidR="00264417" w:rsidRPr="00B503FD" w:rsidRDefault="003855E7" w:rsidP="00C973F2">
            <w:pPr>
              <w:widowControl/>
              <w:jc w:val="right"/>
              <w:rPr>
                <w:b/>
                <w:sz w:val="20"/>
                <w:szCs w:val="20"/>
              </w:rPr>
            </w:pPr>
            <w:r>
              <w:rPr>
                <w:b/>
                <w:sz w:val="20"/>
                <w:szCs w:val="20"/>
              </w:rPr>
              <w:t>$</w:t>
            </w:r>
            <w:r w:rsidR="00C973F2" w:rsidRPr="00C973F2">
              <w:rPr>
                <w:b/>
                <w:sz w:val="20"/>
                <w:szCs w:val="20"/>
              </w:rPr>
              <w:t>46,642</w:t>
            </w:r>
          </w:p>
        </w:tc>
      </w:tr>
    </w:tbl>
    <w:p w:rsidR="000C04DC" w:rsidRPr="00BB5F5F" w:rsidRDefault="000C04DC" w:rsidP="009448F5">
      <w:pPr>
        <w:rPr>
          <w:bCs/>
          <w:sz w:val="20"/>
          <w:szCs w:val="20"/>
        </w:rPr>
      </w:pPr>
    </w:p>
    <w:p w:rsidR="000C04DC" w:rsidRPr="00BB5F5F" w:rsidRDefault="000C04DC" w:rsidP="00264417">
      <w:pPr>
        <w:ind w:left="-90"/>
        <w:rPr>
          <w:bCs/>
          <w:sz w:val="20"/>
          <w:szCs w:val="20"/>
        </w:rPr>
      </w:pPr>
      <w:r w:rsidRPr="00BB5F5F">
        <w:rPr>
          <w:bCs/>
          <w:sz w:val="20"/>
          <w:szCs w:val="20"/>
        </w:rPr>
        <w:t>Assumptions:</w:t>
      </w:r>
    </w:p>
    <w:p w:rsidR="00264417" w:rsidRPr="00BB5F5F" w:rsidRDefault="00264417" w:rsidP="00264417">
      <w:pPr>
        <w:ind w:left="180" w:hanging="270"/>
        <w:rPr>
          <w:bCs/>
          <w:sz w:val="20"/>
          <w:szCs w:val="20"/>
        </w:rPr>
      </w:pPr>
      <w:proofErr w:type="gramStart"/>
      <w:r w:rsidRPr="001E40CE">
        <w:rPr>
          <w:bCs/>
          <w:sz w:val="20"/>
          <w:szCs w:val="20"/>
          <w:vertAlign w:val="superscript"/>
        </w:rPr>
        <w:t>a.</w:t>
      </w:r>
      <w:r w:rsidRPr="00BB5F5F">
        <w:rPr>
          <w:bCs/>
          <w:sz w:val="20"/>
          <w:szCs w:val="20"/>
        </w:rPr>
        <w:t xml:space="preserve">  This</w:t>
      </w:r>
      <w:proofErr w:type="gramEnd"/>
      <w:r w:rsidRPr="00BB5F5F">
        <w:rPr>
          <w:bCs/>
          <w:sz w:val="20"/>
          <w:szCs w:val="20"/>
        </w:rPr>
        <w:t xml:space="preserve"> ICR uses the following labor rates: $46.21 for technical, $62.27 for managerial, and $25.01 for clerical labor.  These rates are from the Office of Personnel Management (OPM), 2011 General Schedule, which excludes locality</w:t>
      </w:r>
      <w:r w:rsidR="003855E7">
        <w:rPr>
          <w:bCs/>
          <w:sz w:val="20"/>
          <w:szCs w:val="20"/>
        </w:rPr>
        <w:t>,</w:t>
      </w:r>
      <w:r w:rsidRPr="00BB5F5F">
        <w:rPr>
          <w:bCs/>
          <w:sz w:val="20"/>
          <w:szCs w:val="20"/>
        </w:rPr>
        <w:t xml:space="preserve"> rates of pay.  The rates have been increased by 60 percent to account for the benefit packages available to government employees.</w:t>
      </w:r>
    </w:p>
    <w:p w:rsidR="00264417" w:rsidRPr="00BB5F5F" w:rsidRDefault="00264417" w:rsidP="00264417">
      <w:pPr>
        <w:ind w:left="180" w:hanging="270"/>
        <w:rPr>
          <w:bCs/>
          <w:sz w:val="20"/>
          <w:szCs w:val="20"/>
        </w:rPr>
      </w:pPr>
      <w:proofErr w:type="gramStart"/>
      <w:r w:rsidRPr="001E40CE">
        <w:rPr>
          <w:bCs/>
          <w:sz w:val="20"/>
          <w:szCs w:val="20"/>
          <w:vertAlign w:val="superscript"/>
        </w:rPr>
        <w:t>b.</w:t>
      </w:r>
      <w:r w:rsidRPr="00BB5F5F">
        <w:rPr>
          <w:bCs/>
          <w:sz w:val="20"/>
          <w:szCs w:val="20"/>
        </w:rPr>
        <w:t xml:space="preserve">  We</w:t>
      </w:r>
      <w:proofErr w:type="gramEnd"/>
      <w:r w:rsidRPr="00BB5F5F">
        <w:rPr>
          <w:bCs/>
          <w:sz w:val="20"/>
          <w:szCs w:val="20"/>
        </w:rPr>
        <w:t xml:space="preserve"> assume that 10 percent of the facilities will have exceedance reports and operator off-site reports.</w:t>
      </w:r>
    </w:p>
    <w:p w:rsidR="00144F35" w:rsidRPr="00BB5F5F" w:rsidRDefault="00144F35" w:rsidP="00264417">
      <w:pPr>
        <w:ind w:left="180" w:hanging="270"/>
        <w:rPr>
          <w:bCs/>
          <w:sz w:val="20"/>
          <w:szCs w:val="20"/>
        </w:rPr>
      </w:pPr>
    </w:p>
    <w:sectPr w:rsidR="00144F35" w:rsidRPr="00BB5F5F" w:rsidSect="00144F35">
      <w:headerReference w:type="default" r:id="rId11"/>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4C7" w:rsidRDefault="00D504C7">
      <w:r>
        <w:separator/>
      </w:r>
    </w:p>
  </w:endnote>
  <w:endnote w:type="continuationSeparator" w:id="0">
    <w:p w:rsidR="00D504C7" w:rsidRDefault="00D50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4C7" w:rsidRDefault="00D504C7">
      <w:r>
        <w:separator/>
      </w:r>
    </w:p>
  </w:footnote>
  <w:footnote w:type="continuationSeparator" w:id="0">
    <w:p w:rsidR="00D504C7" w:rsidRDefault="00D50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085"/>
      <w:docPartObj>
        <w:docPartGallery w:val="Page Numbers (Top of Page)"/>
        <w:docPartUnique/>
      </w:docPartObj>
    </w:sdtPr>
    <w:sdtContent>
      <w:p w:rsidR="00D504C7" w:rsidRDefault="00492F1E">
        <w:pPr>
          <w:pStyle w:val="Header"/>
          <w:jc w:val="center"/>
        </w:pPr>
        <w:fldSimple w:instr=" PAGE   \* MERGEFORMAT ">
          <w:r w:rsidR="00C04229">
            <w:rPr>
              <w:noProof/>
            </w:rPr>
            <w:t>3</w:t>
          </w:r>
        </w:fldSimple>
      </w:p>
    </w:sdtContent>
  </w:sdt>
  <w:p w:rsidR="00D504C7" w:rsidRDefault="00D504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C7" w:rsidRDefault="00492F1E">
    <w:pPr>
      <w:framePr w:w="9361" w:wrap="notBeside" w:vAnchor="text" w:hAnchor="text" w:x="1" w:y="1"/>
      <w:jc w:val="center"/>
    </w:pPr>
    <w:fldSimple w:instr="PAGE ">
      <w:r w:rsidR="00C04229">
        <w:rPr>
          <w:noProof/>
        </w:rPr>
        <w:t>17</w:t>
      </w:r>
    </w:fldSimple>
  </w:p>
  <w:p w:rsidR="00D504C7" w:rsidRDefault="00D504C7"/>
  <w:p w:rsidR="00D504C7" w:rsidRDefault="00D504C7">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C7" w:rsidRDefault="00492F1E" w:rsidP="00A61AFE">
    <w:pPr>
      <w:framePr w:w="12960" w:wrap="notBeside" w:vAnchor="text" w:hAnchor="text" w:x="1" w:y="1"/>
      <w:jc w:val="center"/>
    </w:pPr>
    <w:fldSimple w:instr="PAGE ">
      <w:r w:rsidR="00C04229">
        <w:rPr>
          <w:noProof/>
        </w:rPr>
        <w:t>23</w:t>
      </w:r>
    </w:fldSimple>
  </w:p>
  <w:p w:rsidR="00D504C7" w:rsidRDefault="00D504C7"/>
  <w:p w:rsidR="00D504C7" w:rsidRDefault="00D504C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nsid w:val="79C66214"/>
    <w:multiLevelType w:val="hybridMultilevel"/>
    <w:tmpl w:val="B616ED6A"/>
    <w:lvl w:ilvl="0" w:tplc="2938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97A"/>
    <w:rsid w:val="0000687D"/>
    <w:rsid w:val="000103FE"/>
    <w:rsid w:val="00023A8D"/>
    <w:rsid w:val="00023B96"/>
    <w:rsid w:val="0003619B"/>
    <w:rsid w:val="00036B8D"/>
    <w:rsid w:val="00050E3B"/>
    <w:rsid w:val="000531E5"/>
    <w:rsid w:val="00055BDF"/>
    <w:rsid w:val="00055DC5"/>
    <w:rsid w:val="00072811"/>
    <w:rsid w:val="00080F29"/>
    <w:rsid w:val="00081CEF"/>
    <w:rsid w:val="00095C92"/>
    <w:rsid w:val="000A1FBB"/>
    <w:rsid w:val="000A687C"/>
    <w:rsid w:val="000C04DC"/>
    <w:rsid w:val="000C6C13"/>
    <w:rsid w:val="000D2272"/>
    <w:rsid w:val="000F772C"/>
    <w:rsid w:val="001017C4"/>
    <w:rsid w:val="00101B40"/>
    <w:rsid w:val="00102B52"/>
    <w:rsid w:val="0010697C"/>
    <w:rsid w:val="001111AB"/>
    <w:rsid w:val="001147D6"/>
    <w:rsid w:val="00123889"/>
    <w:rsid w:val="00126793"/>
    <w:rsid w:val="00126A7C"/>
    <w:rsid w:val="00127DE4"/>
    <w:rsid w:val="0013290E"/>
    <w:rsid w:val="001348A2"/>
    <w:rsid w:val="0014079D"/>
    <w:rsid w:val="00144978"/>
    <w:rsid w:val="00144A82"/>
    <w:rsid w:val="00144F35"/>
    <w:rsid w:val="001464FC"/>
    <w:rsid w:val="0015433E"/>
    <w:rsid w:val="00160944"/>
    <w:rsid w:val="001614F3"/>
    <w:rsid w:val="00161AE0"/>
    <w:rsid w:val="00171876"/>
    <w:rsid w:val="00186DA3"/>
    <w:rsid w:val="001900B3"/>
    <w:rsid w:val="00192490"/>
    <w:rsid w:val="00195753"/>
    <w:rsid w:val="001A0B41"/>
    <w:rsid w:val="001A2084"/>
    <w:rsid w:val="001A7159"/>
    <w:rsid w:val="001B0B9A"/>
    <w:rsid w:val="001B35F2"/>
    <w:rsid w:val="001C5991"/>
    <w:rsid w:val="001D0484"/>
    <w:rsid w:val="001D6B36"/>
    <w:rsid w:val="001D762C"/>
    <w:rsid w:val="001E2FAA"/>
    <w:rsid w:val="001E40CE"/>
    <w:rsid w:val="001F19FF"/>
    <w:rsid w:val="001F6270"/>
    <w:rsid w:val="001F62D4"/>
    <w:rsid w:val="0020327C"/>
    <w:rsid w:val="002041C5"/>
    <w:rsid w:val="002063FE"/>
    <w:rsid w:val="00206932"/>
    <w:rsid w:val="002131F1"/>
    <w:rsid w:val="0021722B"/>
    <w:rsid w:val="0022288F"/>
    <w:rsid w:val="00223096"/>
    <w:rsid w:val="00223E02"/>
    <w:rsid w:val="00225615"/>
    <w:rsid w:val="0022738C"/>
    <w:rsid w:val="0023417D"/>
    <w:rsid w:val="00234A28"/>
    <w:rsid w:val="00236DB3"/>
    <w:rsid w:val="00242B7A"/>
    <w:rsid w:val="002431D9"/>
    <w:rsid w:val="00257C11"/>
    <w:rsid w:val="00262CD3"/>
    <w:rsid w:val="002638A0"/>
    <w:rsid w:val="00264417"/>
    <w:rsid w:val="00266CAD"/>
    <w:rsid w:val="002712EB"/>
    <w:rsid w:val="0027222A"/>
    <w:rsid w:val="002743D2"/>
    <w:rsid w:val="00276E39"/>
    <w:rsid w:val="00277F42"/>
    <w:rsid w:val="00281CAE"/>
    <w:rsid w:val="002864BB"/>
    <w:rsid w:val="00287403"/>
    <w:rsid w:val="0029006A"/>
    <w:rsid w:val="002904E7"/>
    <w:rsid w:val="0029457A"/>
    <w:rsid w:val="002976E9"/>
    <w:rsid w:val="002A2588"/>
    <w:rsid w:val="002A4F3B"/>
    <w:rsid w:val="002A707D"/>
    <w:rsid w:val="002B2198"/>
    <w:rsid w:val="002B29A5"/>
    <w:rsid w:val="002B29A7"/>
    <w:rsid w:val="002B3846"/>
    <w:rsid w:val="002B517F"/>
    <w:rsid w:val="002B6993"/>
    <w:rsid w:val="002C0D5D"/>
    <w:rsid w:val="002C1F95"/>
    <w:rsid w:val="002C416A"/>
    <w:rsid w:val="002C77DF"/>
    <w:rsid w:val="002D1733"/>
    <w:rsid w:val="002D2AED"/>
    <w:rsid w:val="002D7683"/>
    <w:rsid w:val="002F674B"/>
    <w:rsid w:val="002F6DB3"/>
    <w:rsid w:val="00300A96"/>
    <w:rsid w:val="003139FC"/>
    <w:rsid w:val="00315E09"/>
    <w:rsid w:val="00320A44"/>
    <w:rsid w:val="00341540"/>
    <w:rsid w:val="00344A7C"/>
    <w:rsid w:val="003511C6"/>
    <w:rsid w:val="00354C15"/>
    <w:rsid w:val="003613FC"/>
    <w:rsid w:val="003637BA"/>
    <w:rsid w:val="003714A4"/>
    <w:rsid w:val="0037387F"/>
    <w:rsid w:val="003808F5"/>
    <w:rsid w:val="003855E7"/>
    <w:rsid w:val="003B0A44"/>
    <w:rsid w:val="003B14B0"/>
    <w:rsid w:val="003B78F5"/>
    <w:rsid w:val="003C42EC"/>
    <w:rsid w:val="003C4B46"/>
    <w:rsid w:val="003C5023"/>
    <w:rsid w:val="003D4D39"/>
    <w:rsid w:val="003E30B5"/>
    <w:rsid w:val="003E4C18"/>
    <w:rsid w:val="003F4CB2"/>
    <w:rsid w:val="0040391F"/>
    <w:rsid w:val="004101BF"/>
    <w:rsid w:val="004111C0"/>
    <w:rsid w:val="0044133C"/>
    <w:rsid w:val="00455557"/>
    <w:rsid w:val="0045738C"/>
    <w:rsid w:val="00472F94"/>
    <w:rsid w:val="00484A45"/>
    <w:rsid w:val="00492F1E"/>
    <w:rsid w:val="00493765"/>
    <w:rsid w:val="004A4B25"/>
    <w:rsid w:val="004A5D53"/>
    <w:rsid w:val="004A65C8"/>
    <w:rsid w:val="004B2155"/>
    <w:rsid w:val="004B50E6"/>
    <w:rsid w:val="004B6D57"/>
    <w:rsid w:val="004C16D9"/>
    <w:rsid w:val="004C5E95"/>
    <w:rsid w:val="004C701D"/>
    <w:rsid w:val="004D1ADA"/>
    <w:rsid w:val="004D7BA4"/>
    <w:rsid w:val="004E301F"/>
    <w:rsid w:val="004F0CCC"/>
    <w:rsid w:val="004F1469"/>
    <w:rsid w:val="004F6FCD"/>
    <w:rsid w:val="00507EC5"/>
    <w:rsid w:val="00516952"/>
    <w:rsid w:val="005253D4"/>
    <w:rsid w:val="0052598B"/>
    <w:rsid w:val="00547A42"/>
    <w:rsid w:val="00551815"/>
    <w:rsid w:val="00552F9F"/>
    <w:rsid w:val="00554602"/>
    <w:rsid w:val="00560AD2"/>
    <w:rsid w:val="00565A51"/>
    <w:rsid w:val="00571260"/>
    <w:rsid w:val="00575448"/>
    <w:rsid w:val="005808AF"/>
    <w:rsid w:val="00583626"/>
    <w:rsid w:val="00585B0E"/>
    <w:rsid w:val="005A1986"/>
    <w:rsid w:val="005A7095"/>
    <w:rsid w:val="005B5DE8"/>
    <w:rsid w:val="005B7CAD"/>
    <w:rsid w:val="005C3665"/>
    <w:rsid w:val="005C42AC"/>
    <w:rsid w:val="005D385C"/>
    <w:rsid w:val="005D3F63"/>
    <w:rsid w:val="005D6D1B"/>
    <w:rsid w:val="005D6E82"/>
    <w:rsid w:val="005E194B"/>
    <w:rsid w:val="005F3262"/>
    <w:rsid w:val="005F3429"/>
    <w:rsid w:val="005F42F8"/>
    <w:rsid w:val="005F70B0"/>
    <w:rsid w:val="00601205"/>
    <w:rsid w:val="00606DEF"/>
    <w:rsid w:val="00610D1E"/>
    <w:rsid w:val="006154E7"/>
    <w:rsid w:val="00630160"/>
    <w:rsid w:val="006310FA"/>
    <w:rsid w:val="00631517"/>
    <w:rsid w:val="006329A0"/>
    <w:rsid w:val="00635DBD"/>
    <w:rsid w:val="00641EF8"/>
    <w:rsid w:val="00645BA6"/>
    <w:rsid w:val="00653931"/>
    <w:rsid w:val="006741F7"/>
    <w:rsid w:val="00686ACD"/>
    <w:rsid w:val="00694B55"/>
    <w:rsid w:val="006A4C08"/>
    <w:rsid w:val="006D1B12"/>
    <w:rsid w:val="006D5CD2"/>
    <w:rsid w:val="006E4A6E"/>
    <w:rsid w:val="006E4F4E"/>
    <w:rsid w:val="006E642B"/>
    <w:rsid w:val="006F27F6"/>
    <w:rsid w:val="007179C6"/>
    <w:rsid w:val="00717D5B"/>
    <w:rsid w:val="007213EF"/>
    <w:rsid w:val="00721DFB"/>
    <w:rsid w:val="007243C1"/>
    <w:rsid w:val="0073397D"/>
    <w:rsid w:val="00743235"/>
    <w:rsid w:val="00746C80"/>
    <w:rsid w:val="0076179B"/>
    <w:rsid w:val="00763160"/>
    <w:rsid w:val="00780612"/>
    <w:rsid w:val="00784D12"/>
    <w:rsid w:val="00786A20"/>
    <w:rsid w:val="00793F56"/>
    <w:rsid w:val="007A0634"/>
    <w:rsid w:val="007A16F4"/>
    <w:rsid w:val="007A458D"/>
    <w:rsid w:val="007B77EC"/>
    <w:rsid w:val="007C0FAA"/>
    <w:rsid w:val="007C2ED1"/>
    <w:rsid w:val="007D6AA5"/>
    <w:rsid w:val="007E48D3"/>
    <w:rsid w:val="007F07FB"/>
    <w:rsid w:val="007F3247"/>
    <w:rsid w:val="008040B7"/>
    <w:rsid w:val="00805762"/>
    <w:rsid w:val="00810507"/>
    <w:rsid w:val="00811441"/>
    <w:rsid w:val="00813444"/>
    <w:rsid w:val="00813E69"/>
    <w:rsid w:val="00817E8B"/>
    <w:rsid w:val="00824E91"/>
    <w:rsid w:val="0082607C"/>
    <w:rsid w:val="008338D4"/>
    <w:rsid w:val="00835404"/>
    <w:rsid w:val="008375BA"/>
    <w:rsid w:val="0084255D"/>
    <w:rsid w:val="00850ACF"/>
    <w:rsid w:val="00852038"/>
    <w:rsid w:val="00861489"/>
    <w:rsid w:val="00861C96"/>
    <w:rsid w:val="00861FEF"/>
    <w:rsid w:val="00866148"/>
    <w:rsid w:val="008726F8"/>
    <w:rsid w:val="00877D96"/>
    <w:rsid w:val="0088639E"/>
    <w:rsid w:val="008910D5"/>
    <w:rsid w:val="00896D6E"/>
    <w:rsid w:val="008A1A32"/>
    <w:rsid w:val="008A46EB"/>
    <w:rsid w:val="008A5FB7"/>
    <w:rsid w:val="008A7B1B"/>
    <w:rsid w:val="008B155C"/>
    <w:rsid w:val="008B407C"/>
    <w:rsid w:val="008C0033"/>
    <w:rsid w:val="008C01EE"/>
    <w:rsid w:val="008C077C"/>
    <w:rsid w:val="008C33AA"/>
    <w:rsid w:val="008E0C21"/>
    <w:rsid w:val="008E34DD"/>
    <w:rsid w:val="008E65E6"/>
    <w:rsid w:val="008F285B"/>
    <w:rsid w:val="008F4564"/>
    <w:rsid w:val="009018EC"/>
    <w:rsid w:val="00906EDB"/>
    <w:rsid w:val="00912E00"/>
    <w:rsid w:val="00923C46"/>
    <w:rsid w:val="009448F5"/>
    <w:rsid w:val="009711DB"/>
    <w:rsid w:val="009944AC"/>
    <w:rsid w:val="00995015"/>
    <w:rsid w:val="00995749"/>
    <w:rsid w:val="009A0200"/>
    <w:rsid w:val="009A0F50"/>
    <w:rsid w:val="009A16CD"/>
    <w:rsid w:val="009A37BC"/>
    <w:rsid w:val="009C06F5"/>
    <w:rsid w:val="009C47F5"/>
    <w:rsid w:val="009D1AE1"/>
    <w:rsid w:val="009D6567"/>
    <w:rsid w:val="009D7AB3"/>
    <w:rsid w:val="009E0F31"/>
    <w:rsid w:val="009F1F20"/>
    <w:rsid w:val="009F5DCD"/>
    <w:rsid w:val="00A007F5"/>
    <w:rsid w:val="00A038EC"/>
    <w:rsid w:val="00A06C7A"/>
    <w:rsid w:val="00A145B0"/>
    <w:rsid w:val="00A15172"/>
    <w:rsid w:val="00A26EF7"/>
    <w:rsid w:val="00A27248"/>
    <w:rsid w:val="00A277D6"/>
    <w:rsid w:val="00A30096"/>
    <w:rsid w:val="00A32B4B"/>
    <w:rsid w:val="00A349B5"/>
    <w:rsid w:val="00A36CBE"/>
    <w:rsid w:val="00A379F8"/>
    <w:rsid w:val="00A54EEA"/>
    <w:rsid w:val="00A561F1"/>
    <w:rsid w:val="00A56BFF"/>
    <w:rsid w:val="00A61AFE"/>
    <w:rsid w:val="00A64942"/>
    <w:rsid w:val="00A706AF"/>
    <w:rsid w:val="00A73600"/>
    <w:rsid w:val="00A74C1E"/>
    <w:rsid w:val="00A75E5F"/>
    <w:rsid w:val="00A764F0"/>
    <w:rsid w:val="00A7661C"/>
    <w:rsid w:val="00A864BD"/>
    <w:rsid w:val="00A921A9"/>
    <w:rsid w:val="00A95BC7"/>
    <w:rsid w:val="00A962DF"/>
    <w:rsid w:val="00AD1C6F"/>
    <w:rsid w:val="00AD7314"/>
    <w:rsid w:val="00AE40D1"/>
    <w:rsid w:val="00AF70A1"/>
    <w:rsid w:val="00B02EC7"/>
    <w:rsid w:val="00B07F79"/>
    <w:rsid w:val="00B15389"/>
    <w:rsid w:val="00B15FE6"/>
    <w:rsid w:val="00B16C07"/>
    <w:rsid w:val="00B2353A"/>
    <w:rsid w:val="00B26557"/>
    <w:rsid w:val="00B46A57"/>
    <w:rsid w:val="00B46FF0"/>
    <w:rsid w:val="00B503FD"/>
    <w:rsid w:val="00B570F1"/>
    <w:rsid w:val="00B57BF7"/>
    <w:rsid w:val="00B65754"/>
    <w:rsid w:val="00B66231"/>
    <w:rsid w:val="00B769F1"/>
    <w:rsid w:val="00B82025"/>
    <w:rsid w:val="00BA0A91"/>
    <w:rsid w:val="00BA16D8"/>
    <w:rsid w:val="00BA4887"/>
    <w:rsid w:val="00BA7B07"/>
    <w:rsid w:val="00BB151B"/>
    <w:rsid w:val="00BB3390"/>
    <w:rsid w:val="00BB3C1A"/>
    <w:rsid w:val="00BB3FA0"/>
    <w:rsid w:val="00BB5F5F"/>
    <w:rsid w:val="00BC04B5"/>
    <w:rsid w:val="00BC33AC"/>
    <w:rsid w:val="00BC6DEF"/>
    <w:rsid w:val="00BE1F44"/>
    <w:rsid w:val="00BE2989"/>
    <w:rsid w:val="00BE410B"/>
    <w:rsid w:val="00BE53EB"/>
    <w:rsid w:val="00BE6F0B"/>
    <w:rsid w:val="00BE7A11"/>
    <w:rsid w:val="00BF656E"/>
    <w:rsid w:val="00BF722F"/>
    <w:rsid w:val="00C03A28"/>
    <w:rsid w:val="00C04229"/>
    <w:rsid w:val="00C04D72"/>
    <w:rsid w:val="00C068A7"/>
    <w:rsid w:val="00C13FE8"/>
    <w:rsid w:val="00C30A60"/>
    <w:rsid w:val="00C33ABA"/>
    <w:rsid w:val="00C37BB6"/>
    <w:rsid w:val="00C45E51"/>
    <w:rsid w:val="00C52EFD"/>
    <w:rsid w:val="00C54FF6"/>
    <w:rsid w:val="00C61EDF"/>
    <w:rsid w:val="00C63399"/>
    <w:rsid w:val="00C64378"/>
    <w:rsid w:val="00C741BA"/>
    <w:rsid w:val="00C75CF0"/>
    <w:rsid w:val="00C808B5"/>
    <w:rsid w:val="00C82DB6"/>
    <w:rsid w:val="00C9466B"/>
    <w:rsid w:val="00C973F2"/>
    <w:rsid w:val="00C97C2C"/>
    <w:rsid w:val="00CA4CD6"/>
    <w:rsid w:val="00CB1F07"/>
    <w:rsid w:val="00CC071C"/>
    <w:rsid w:val="00CC48AB"/>
    <w:rsid w:val="00CC58F6"/>
    <w:rsid w:val="00CC5A94"/>
    <w:rsid w:val="00CD2069"/>
    <w:rsid w:val="00CD280D"/>
    <w:rsid w:val="00CE5AC9"/>
    <w:rsid w:val="00CF5812"/>
    <w:rsid w:val="00D101F1"/>
    <w:rsid w:val="00D106CD"/>
    <w:rsid w:val="00D12876"/>
    <w:rsid w:val="00D137DA"/>
    <w:rsid w:val="00D13D9A"/>
    <w:rsid w:val="00D14A8D"/>
    <w:rsid w:val="00D175BE"/>
    <w:rsid w:val="00D21198"/>
    <w:rsid w:val="00D2273E"/>
    <w:rsid w:val="00D24E54"/>
    <w:rsid w:val="00D25E0D"/>
    <w:rsid w:val="00D3265C"/>
    <w:rsid w:val="00D42D52"/>
    <w:rsid w:val="00D44B63"/>
    <w:rsid w:val="00D46FA2"/>
    <w:rsid w:val="00D504C7"/>
    <w:rsid w:val="00D5080D"/>
    <w:rsid w:val="00D56F5F"/>
    <w:rsid w:val="00D61B37"/>
    <w:rsid w:val="00D63B96"/>
    <w:rsid w:val="00D67C48"/>
    <w:rsid w:val="00D82CA1"/>
    <w:rsid w:val="00D924AE"/>
    <w:rsid w:val="00D92F66"/>
    <w:rsid w:val="00D95819"/>
    <w:rsid w:val="00DA4BAB"/>
    <w:rsid w:val="00DA7285"/>
    <w:rsid w:val="00DB228C"/>
    <w:rsid w:val="00DB59E1"/>
    <w:rsid w:val="00DB7AE3"/>
    <w:rsid w:val="00DC0002"/>
    <w:rsid w:val="00DD1AC1"/>
    <w:rsid w:val="00DD3201"/>
    <w:rsid w:val="00DD7D49"/>
    <w:rsid w:val="00DF2AE9"/>
    <w:rsid w:val="00DF5C4E"/>
    <w:rsid w:val="00E02261"/>
    <w:rsid w:val="00E02C78"/>
    <w:rsid w:val="00E10DA7"/>
    <w:rsid w:val="00E1538C"/>
    <w:rsid w:val="00E25DB6"/>
    <w:rsid w:val="00E276CD"/>
    <w:rsid w:val="00E32EDA"/>
    <w:rsid w:val="00E41211"/>
    <w:rsid w:val="00E43FC7"/>
    <w:rsid w:val="00E53137"/>
    <w:rsid w:val="00E558F0"/>
    <w:rsid w:val="00E62532"/>
    <w:rsid w:val="00E65AC7"/>
    <w:rsid w:val="00E67000"/>
    <w:rsid w:val="00E702F6"/>
    <w:rsid w:val="00E71AC9"/>
    <w:rsid w:val="00E75730"/>
    <w:rsid w:val="00E77D5E"/>
    <w:rsid w:val="00E8178E"/>
    <w:rsid w:val="00E83863"/>
    <w:rsid w:val="00E868BB"/>
    <w:rsid w:val="00E90811"/>
    <w:rsid w:val="00E93463"/>
    <w:rsid w:val="00E93E2F"/>
    <w:rsid w:val="00EA017F"/>
    <w:rsid w:val="00EA3751"/>
    <w:rsid w:val="00EA37A9"/>
    <w:rsid w:val="00EA7026"/>
    <w:rsid w:val="00EB03E2"/>
    <w:rsid w:val="00EB2593"/>
    <w:rsid w:val="00EB4016"/>
    <w:rsid w:val="00EB4A22"/>
    <w:rsid w:val="00EC4074"/>
    <w:rsid w:val="00ED386B"/>
    <w:rsid w:val="00ED741E"/>
    <w:rsid w:val="00EE5A44"/>
    <w:rsid w:val="00EF113F"/>
    <w:rsid w:val="00EF4966"/>
    <w:rsid w:val="00EF6A6A"/>
    <w:rsid w:val="00F01911"/>
    <w:rsid w:val="00F03803"/>
    <w:rsid w:val="00F0526A"/>
    <w:rsid w:val="00F066C9"/>
    <w:rsid w:val="00F16C41"/>
    <w:rsid w:val="00F20822"/>
    <w:rsid w:val="00F340DF"/>
    <w:rsid w:val="00F367AD"/>
    <w:rsid w:val="00F42E26"/>
    <w:rsid w:val="00F45DA3"/>
    <w:rsid w:val="00F51963"/>
    <w:rsid w:val="00F538BC"/>
    <w:rsid w:val="00F6112F"/>
    <w:rsid w:val="00F853E1"/>
    <w:rsid w:val="00F9092B"/>
    <w:rsid w:val="00F90AB1"/>
    <w:rsid w:val="00F92D22"/>
    <w:rsid w:val="00F95A98"/>
    <w:rsid w:val="00FB0650"/>
    <w:rsid w:val="00FB4D98"/>
    <w:rsid w:val="00FB6378"/>
    <w:rsid w:val="00FB7BCE"/>
    <w:rsid w:val="00FC1EB8"/>
    <w:rsid w:val="00FC4E09"/>
    <w:rsid w:val="00FE2099"/>
    <w:rsid w:val="00FF309E"/>
    <w:rsid w:val="00FF4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character" w:styleId="PageNumber">
    <w:name w:val="page number"/>
    <w:basedOn w:val="DefaultParagraphFont"/>
    <w:rsid w:val="00D82CA1"/>
  </w:style>
  <w:style w:type="paragraph" w:styleId="ListParagraph">
    <w:name w:val="List Paragraph"/>
    <w:basedOn w:val="Normal"/>
    <w:uiPriority w:val="34"/>
    <w:qFormat/>
    <w:rsid w:val="00F367AD"/>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28588111">
      <w:bodyDiv w:val="1"/>
      <w:marLeft w:val="0"/>
      <w:marRight w:val="0"/>
      <w:marTop w:val="0"/>
      <w:marBottom w:val="0"/>
      <w:divBdr>
        <w:top w:val="none" w:sz="0" w:space="0" w:color="auto"/>
        <w:left w:val="none" w:sz="0" w:space="0" w:color="auto"/>
        <w:bottom w:val="none" w:sz="0" w:space="0" w:color="auto"/>
        <w:right w:val="none" w:sz="0" w:space="0" w:color="auto"/>
      </w:divBdr>
    </w:div>
    <w:div w:id="1458525774">
      <w:bodyDiv w:val="1"/>
      <w:marLeft w:val="0"/>
      <w:marRight w:val="0"/>
      <w:marTop w:val="0"/>
      <w:marBottom w:val="0"/>
      <w:divBdr>
        <w:top w:val="none" w:sz="0" w:space="0" w:color="auto"/>
        <w:left w:val="none" w:sz="0" w:space="0" w:color="auto"/>
        <w:bottom w:val="none" w:sz="0" w:space="0" w:color="auto"/>
        <w:right w:val="none" w:sz="0" w:space="0" w:color="auto"/>
      </w:divBdr>
    </w:div>
    <w:div w:id="17328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7C24-AE29-4965-8130-81473CF3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6893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EPA</cp:lastModifiedBy>
  <cp:revision>2</cp:revision>
  <dcterms:created xsi:type="dcterms:W3CDTF">2013-06-20T13:55:00Z</dcterms:created>
  <dcterms:modified xsi:type="dcterms:W3CDTF">2013-06-20T13:55:00Z</dcterms:modified>
</cp:coreProperties>
</file>