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C2660" w14:textId="77777777" w:rsidR="007D7836" w:rsidRPr="007D7836" w:rsidRDefault="007D7836" w:rsidP="007D7836">
      <w:pPr>
        <w:pStyle w:val="NoSpacing"/>
        <w:jc w:val="center"/>
        <w:rPr>
          <w:rFonts w:ascii="Arial" w:hAnsi="Arial" w:cs="Arial"/>
          <w:b/>
          <w:sz w:val="28"/>
          <w:szCs w:val="28"/>
        </w:rPr>
      </w:pPr>
      <w:r w:rsidRPr="007D7836">
        <w:rPr>
          <w:rFonts w:ascii="Arial" w:hAnsi="Arial" w:cs="Arial"/>
          <w:b/>
          <w:sz w:val="28"/>
          <w:szCs w:val="28"/>
        </w:rPr>
        <w:t>Part B</w:t>
      </w:r>
    </w:p>
    <w:p w14:paraId="014915E2" w14:textId="77777777" w:rsidR="007D7836" w:rsidRDefault="007D7836" w:rsidP="007D7836">
      <w:pPr>
        <w:pStyle w:val="NoSpacing"/>
        <w:jc w:val="center"/>
        <w:rPr>
          <w:rFonts w:ascii="Arial" w:hAnsi="Arial" w:cs="Arial"/>
          <w:b/>
          <w:sz w:val="28"/>
          <w:szCs w:val="28"/>
        </w:rPr>
      </w:pPr>
      <w:r w:rsidRPr="007D7836">
        <w:rPr>
          <w:rFonts w:ascii="Arial" w:hAnsi="Arial" w:cs="Arial"/>
          <w:b/>
          <w:sz w:val="28"/>
          <w:szCs w:val="28"/>
        </w:rPr>
        <w:t>Collection of Information Employing Statistical Methods</w:t>
      </w:r>
    </w:p>
    <w:p w14:paraId="6BD92CE1" w14:textId="77777777" w:rsidR="007D7836" w:rsidRPr="007D7836" w:rsidRDefault="007D7836" w:rsidP="007D7836">
      <w:pPr>
        <w:pStyle w:val="NoSpacing"/>
        <w:jc w:val="center"/>
        <w:rPr>
          <w:rFonts w:ascii="Arial" w:hAnsi="Arial" w:cs="Arial"/>
          <w:b/>
          <w:sz w:val="28"/>
          <w:szCs w:val="28"/>
        </w:rPr>
      </w:pPr>
    </w:p>
    <w:p w14:paraId="059BB345" w14:textId="77777777" w:rsidR="00B76D69" w:rsidRDefault="007D7836" w:rsidP="00F15421">
      <w:pPr>
        <w:pStyle w:val="NoSpacing"/>
        <w:ind w:firstLine="360"/>
        <w:rPr>
          <w:rFonts w:ascii="Arial" w:hAnsi="Arial" w:cs="Arial"/>
          <w:b/>
          <w:sz w:val="28"/>
          <w:szCs w:val="28"/>
        </w:rPr>
      </w:pPr>
      <w:r w:rsidRPr="007D7836">
        <w:rPr>
          <w:rFonts w:ascii="Arial" w:hAnsi="Arial" w:cs="Arial"/>
          <w:b/>
          <w:sz w:val="28"/>
          <w:szCs w:val="28"/>
        </w:rPr>
        <w:t>B.1. Respondent Universe</w:t>
      </w:r>
      <w:bookmarkStart w:id="0" w:name="_GoBack"/>
      <w:bookmarkEnd w:id="0"/>
    </w:p>
    <w:p w14:paraId="413922ED" w14:textId="77777777" w:rsidR="007D7836" w:rsidRPr="007D7836" w:rsidRDefault="007D7836" w:rsidP="00B76D69">
      <w:pPr>
        <w:pStyle w:val="NoSpacing"/>
        <w:rPr>
          <w:rFonts w:ascii="Arial" w:hAnsi="Arial" w:cs="Arial"/>
          <w:b/>
          <w:sz w:val="28"/>
          <w:szCs w:val="28"/>
        </w:rPr>
      </w:pPr>
    </w:p>
    <w:p w14:paraId="47FDB52A" w14:textId="77777777" w:rsidR="00B76D69" w:rsidRDefault="00B76D69" w:rsidP="00B76D69">
      <w:pPr>
        <w:pStyle w:val="NoSpacing"/>
        <w:rPr>
          <w:rFonts w:ascii="Times New Roman" w:hAnsi="Times New Roman"/>
        </w:rPr>
      </w:pPr>
      <w:r w:rsidRPr="00896056">
        <w:rPr>
          <w:rFonts w:ascii="Times New Roman" w:hAnsi="Times New Roman"/>
        </w:rPr>
        <w:t>The potential respondent universe for this collection is based on the number of known electricity providers as determined by For</w:t>
      </w:r>
      <w:r w:rsidR="007D7836">
        <w:rPr>
          <w:rFonts w:ascii="Times New Roman" w:hAnsi="Times New Roman"/>
        </w:rPr>
        <w:t>m EIA-861 to be 3,261.</w:t>
      </w:r>
      <w:r w:rsidR="001D49FE">
        <w:rPr>
          <w:rStyle w:val="FootnoteReference"/>
          <w:rFonts w:ascii="Times New Roman" w:hAnsi="Times New Roman"/>
        </w:rPr>
        <w:footnoteReference w:id="2"/>
      </w:r>
      <w:r w:rsidR="007D7836">
        <w:rPr>
          <w:rFonts w:ascii="Times New Roman" w:hAnsi="Times New Roman"/>
        </w:rPr>
        <w:t xml:space="preserve"> </w:t>
      </w:r>
      <w:r w:rsidRPr="00896056">
        <w:rPr>
          <w:rFonts w:ascii="Times New Roman" w:hAnsi="Times New Roman"/>
        </w:rPr>
        <w:t xml:space="preserve">The distribution of electricity providers according to EIA is as follows: </w:t>
      </w:r>
      <w:r w:rsidR="005D6D46">
        <w:rPr>
          <w:rFonts w:ascii="Times New Roman" w:hAnsi="Times New Roman"/>
        </w:rPr>
        <w:t>Publicly-owned utilities – 2,006,</w:t>
      </w:r>
      <w:r w:rsidRPr="00896056">
        <w:rPr>
          <w:rFonts w:ascii="Times New Roman" w:hAnsi="Times New Roman"/>
        </w:rPr>
        <w:t xml:space="preserve"> Investor-owned utilities – 200, Cooperatives – 875, Federal power agenci</w:t>
      </w:r>
      <w:r w:rsidR="007D7836">
        <w:rPr>
          <w:rFonts w:ascii="Times New Roman" w:hAnsi="Times New Roman"/>
        </w:rPr>
        <w:t xml:space="preserve">es – 9, Power Marketers – 171. </w:t>
      </w:r>
      <w:r w:rsidRPr="00896056">
        <w:rPr>
          <w:rFonts w:ascii="Times New Roman" w:hAnsi="Times New Roman"/>
        </w:rPr>
        <w:t xml:space="preserve">These electricity providers serve a total of 143,494,481 customers, either </w:t>
      </w:r>
      <w:r w:rsidR="003D06D0">
        <w:rPr>
          <w:rFonts w:ascii="Times New Roman" w:hAnsi="Times New Roman"/>
        </w:rPr>
        <w:t>full-service or delivery-only.</w:t>
      </w:r>
      <w:r w:rsidR="001D49FE">
        <w:rPr>
          <w:rFonts w:ascii="Times New Roman" w:hAnsi="Times New Roman"/>
        </w:rPr>
        <w:t xml:space="preserve"> </w:t>
      </w:r>
      <w:r w:rsidRPr="00896056">
        <w:rPr>
          <w:rFonts w:ascii="Times New Roman" w:hAnsi="Times New Roman"/>
        </w:rPr>
        <w:t>DOE will seek responses from t</w:t>
      </w:r>
      <w:r w:rsidR="007D7836">
        <w:rPr>
          <w:rFonts w:ascii="Times New Roman" w:hAnsi="Times New Roman"/>
        </w:rPr>
        <w:t xml:space="preserve">he </w:t>
      </w:r>
      <w:r w:rsidR="003D06D0">
        <w:rPr>
          <w:rFonts w:ascii="Times New Roman" w:hAnsi="Times New Roman"/>
        </w:rPr>
        <w:t xml:space="preserve">entire respondent universe. </w:t>
      </w:r>
      <w:r w:rsidRPr="00896056">
        <w:rPr>
          <w:rFonts w:ascii="Times New Roman" w:hAnsi="Times New Roman"/>
        </w:rPr>
        <w:t xml:space="preserve">DOE is not utilizing sampling since the data collected is likely to vary within a </w:t>
      </w:r>
      <w:r w:rsidR="007D7836" w:rsidRPr="00896056">
        <w:rPr>
          <w:rFonts w:ascii="Times New Roman" w:hAnsi="Times New Roman"/>
        </w:rPr>
        <w:t>state</w:t>
      </w:r>
      <w:r w:rsidR="007D7836">
        <w:rPr>
          <w:rFonts w:ascii="Times New Roman" w:hAnsi="Times New Roman"/>
        </w:rPr>
        <w:t xml:space="preserve"> </w:t>
      </w:r>
      <w:r w:rsidRPr="00896056">
        <w:rPr>
          <w:rFonts w:ascii="Times New Roman" w:hAnsi="Times New Roman"/>
        </w:rPr>
        <w:t xml:space="preserve">and DOE wishes to provide data without aggregation. </w:t>
      </w:r>
    </w:p>
    <w:p w14:paraId="6B1BE8A4" w14:textId="77777777" w:rsidR="00B76D69" w:rsidRPr="00896056" w:rsidRDefault="00B76D69" w:rsidP="00B76D69">
      <w:pPr>
        <w:pStyle w:val="NoSpacing"/>
        <w:rPr>
          <w:rFonts w:ascii="Times New Roman" w:hAnsi="Times New Roman"/>
          <w:b/>
        </w:rPr>
      </w:pPr>
    </w:p>
    <w:p w14:paraId="28B8DA5C" w14:textId="77777777" w:rsidR="00F15421" w:rsidRDefault="00F15421" w:rsidP="00F15421">
      <w:pPr>
        <w:pStyle w:val="NoSpacing"/>
        <w:ind w:firstLine="360"/>
        <w:rPr>
          <w:rFonts w:ascii="Arial" w:hAnsi="Arial" w:cs="Arial"/>
          <w:b/>
          <w:sz w:val="28"/>
          <w:szCs w:val="28"/>
        </w:rPr>
      </w:pPr>
      <w:r>
        <w:rPr>
          <w:rFonts w:ascii="Arial" w:hAnsi="Arial" w:cs="Arial"/>
          <w:b/>
          <w:sz w:val="28"/>
          <w:szCs w:val="28"/>
        </w:rPr>
        <w:t>B.2</w:t>
      </w:r>
      <w:r w:rsidRPr="007D7836">
        <w:rPr>
          <w:rFonts w:ascii="Arial" w:hAnsi="Arial" w:cs="Arial"/>
          <w:b/>
          <w:sz w:val="28"/>
          <w:szCs w:val="28"/>
        </w:rPr>
        <w:t xml:space="preserve">. </w:t>
      </w:r>
      <w:r>
        <w:rPr>
          <w:rFonts w:ascii="Arial" w:hAnsi="Arial" w:cs="Arial"/>
          <w:b/>
          <w:sz w:val="28"/>
          <w:szCs w:val="28"/>
        </w:rPr>
        <w:t>Statistical Methodology</w:t>
      </w:r>
    </w:p>
    <w:p w14:paraId="569DBBC9" w14:textId="77777777" w:rsidR="00F15421" w:rsidRPr="00F15421" w:rsidRDefault="00F15421" w:rsidP="00B76D69">
      <w:pPr>
        <w:pStyle w:val="NoSpacing"/>
        <w:rPr>
          <w:rFonts w:ascii="Times New Roman" w:hAnsi="Times New Roman"/>
        </w:rPr>
      </w:pPr>
    </w:p>
    <w:p w14:paraId="7C39E8FB" w14:textId="77777777" w:rsidR="008C5052" w:rsidRDefault="003D06D0" w:rsidP="00B76D69">
      <w:pPr>
        <w:pStyle w:val="NoSpacing"/>
        <w:rPr>
          <w:rFonts w:ascii="Times New Roman" w:hAnsi="Times New Roman"/>
        </w:rPr>
      </w:pPr>
      <w:r w:rsidRPr="00896056">
        <w:rPr>
          <w:rFonts w:ascii="Times New Roman" w:hAnsi="Times New Roman"/>
        </w:rPr>
        <w:t>Because of the nature of this pro</w:t>
      </w:r>
      <w:r w:rsidR="008C5052">
        <w:rPr>
          <w:rFonts w:ascii="Times New Roman" w:hAnsi="Times New Roman"/>
        </w:rPr>
        <w:t>ject</w:t>
      </w:r>
      <w:r w:rsidRPr="00896056">
        <w:rPr>
          <w:rFonts w:ascii="Times New Roman" w:hAnsi="Times New Roman"/>
        </w:rPr>
        <w:t>, no statistical inferences w</w:t>
      </w:r>
      <w:r>
        <w:rPr>
          <w:rFonts w:ascii="Times New Roman" w:hAnsi="Times New Roman"/>
        </w:rPr>
        <w:t xml:space="preserve">ill be drawn from the data. </w:t>
      </w:r>
      <w:r w:rsidRPr="00896056">
        <w:rPr>
          <w:rFonts w:ascii="Times New Roman" w:hAnsi="Times New Roman"/>
        </w:rPr>
        <w:t xml:space="preserve">Rather, the responses </w:t>
      </w:r>
      <w:r w:rsidR="008C5052">
        <w:rPr>
          <w:rFonts w:ascii="Times New Roman" w:hAnsi="Times New Roman"/>
        </w:rPr>
        <w:t xml:space="preserve">are ranked according to DOE-developed ranking criteria based on industry best practices (see Supporting Statement A, Appendix 1). For individual data access categories such as time period, mode of delivery, </w:t>
      </w:r>
      <w:r w:rsidR="008C5052" w:rsidRPr="008C5052">
        <w:rPr>
          <w:rFonts w:ascii="Times New Roman" w:hAnsi="Times New Roman"/>
        </w:rPr>
        <w:t>frequency of data, or acc</w:t>
      </w:r>
      <w:r w:rsidR="008C5052">
        <w:rPr>
          <w:rFonts w:ascii="Times New Roman" w:hAnsi="Times New Roman"/>
        </w:rPr>
        <w:t>ess to data, each response is</w:t>
      </w:r>
      <w:r w:rsidR="008C5052" w:rsidRPr="008C5052">
        <w:rPr>
          <w:rFonts w:ascii="Times New Roman" w:hAnsi="Times New Roman"/>
        </w:rPr>
        <w:t xml:space="preserve"> compared to the criteria and assigned a tier status. For example, if th</w:t>
      </w:r>
      <w:r w:rsidR="008C5052">
        <w:rPr>
          <w:rFonts w:ascii="Times New Roman" w:hAnsi="Times New Roman"/>
        </w:rPr>
        <w:t xml:space="preserve">e utility responds that it only </w:t>
      </w:r>
      <w:r w:rsidR="008C5052" w:rsidRPr="008C5052">
        <w:rPr>
          <w:rFonts w:ascii="Times New Roman" w:hAnsi="Times New Roman"/>
        </w:rPr>
        <w:t>del</w:t>
      </w:r>
      <w:r w:rsidR="008C5052">
        <w:rPr>
          <w:rFonts w:ascii="Times New Roman" w:hAnsi="Times New Roman"/>
        </w:rPr>
        <w:t>ivers energy data by mail, that utility would be assigned tier 3</w:t>
      </w:r>
      <w:r w:rsidR="008C5052" w:rsidRPr="008C5052">
        <w:rPr>
          <w:rFonts w:ascii="Times New Roman" w:hAnsi="Times New Roman"/>
        </w:rPr>
        <w:t xml:space="preserve"> st</w:t>
      </w:r>
      <w:r w:rsidR="008C5052">
        <w:rPr>
          <w:rFonts w:ascii="Times New Roman" w:hAnsi="Times New Roman"/>
        </w:rPr>
        <w:t xml:space="preserve">atus (Standard Access) for this </w:t>
      </w:r>
      <w:r w:rsidR="008C5052" w:rsidRPr="008C5052">
        <w:rPr>
          <w:rFonts w:ascii="Times New Roman" w:hAnsi="Times New Roman"/>
        </w:rPr>
        <w:t>categor</w:t>
      </w:r>
      <w:r w:rsidR="008C5052">
        <w:rPr>
          <w:rFonts w:ascii="Times New Roman" w:hAnsi="Times New Roman"/>
        </w:rPr>
        <w:t xml:space="preserve">y, as indicated in Appendix 1. The </w:t>
      </w:r>
      <w:r w:rsidR="008C5052" w:rsidRPr="008C5052">
        <w:rPr>
          <w:rFonts w:ascii="Times New Roman" w:hAnsi="Times New Roman"/>
        </w:rPr>
        <w:t>region corresponding to the utility’</w:t>
      </w:r>
      <w:r w:rsidR="008C5052">
        <w:rPr>
          <w:rFonts w:ascii="Times New Roman" w:hAnsi="Times New Roman"/>
        </w:rPr>
        <w:t xml:space="preserve">s service area </w:t>
      </w:r>
      <w:r w:rsidR="00B4579D">
        <w:rPr>
          <w:rFonts w:ascii="Times New Roman" w:hAnsi="Times New Roman"/>
        </w:rPr>
        <w:t>would be</w:t>
      </w:r>
      <w:r w:rsidR="008C5052">
        <w:rPr>
          <w:rFonts w:ascii="Times New Roman" w:hAnsi="Times New Roman"/>
        </w:rPr>
        <w:t xml:space="preserve"> colored </w:t>
      </w:r>
      <w:r w:rsidR="008C5052" w:rsidRPr="008C5052">
        <w:rPr>
          <w:rFonts w:ascii="Times New Roman" w:hAnsi="Times New Roman"/>
        </w:rPr>
        <w:t xml:space="preserve">on the </w:t>
      </w:r>
      <w:r w:rsidR="008C5052">
        <w:rPr>
          <w:rFonts w:ascii="Times New Roman" w:hAnsi="Times New Roman"/>
        </w:rPr>
        <w:t xml:space="preserve">map to reflect the tier status. </w:t>
      </w:r>
      <w:r w:rsidR="008C5052" w:rsidRPr="008C5052">
        <w:rPr>
          <w:rFonts w:ascii="Times New Roman" w:hAnsi="Times New Roman"/>
        </w:rPr>
        <w:t>For the “Standard Access” tier, th</w:t>
      </w:r>
      <w:r w:rsidR="008C5052">
        <w:rPr>
          <w:rFonts w:ascii="Times New Roman" w:hAnsi="Times New Roman"/>
        </w:rPr>
        <w:t xml:space="preserve">e service area is colored light gray. </w:t>
      </w:r>
    </w:p>
    <w:p w14:paraId="54ABD2A7" w14:textId="77777777" w:rsidR="008C5052" w:rsidRDefault="008C5052" w:rsidP="00B76D69">
      <w:pPr>
        <w:pStyle w:val="NoSpacing"/>
        <w:rPr>
          <w:rFonts w:ascii="Times New Roman" w:hAnsi="Times New Roman"/>
        </w:rPr>
      </w:pPr>
    </w:p>
    <w:p w14:paraId="5EBD390B" w14:textId="77777777" w:rsidR="008C5052" w:rsidRDefault="008C5052" w:rsidP="00B76D69">
      <w:pPr>
        <w:pStyle w:val="NoSpacing"/>
        <w:rPr>
          <w:rFonts w:ascii="Times New Roman" w:hAnsi="Times New Roman"/>
        </w:rPr>
      </w:pPr>
      <w:r w:rsidRPr="008C5052">
        <w:rPr>
          <w:rFonts w:ascii="Times New Roman" w:hAnsi="Times New Roman"/>
        </w:rPr>
        <w:t>For the p</w:t>
      </w:r>
      <w:r>
        <w:rPr>
          <w:rFonts w:ascii="Times New Roman" w:hAnsi="Times New Roman"/>
        </w:rPr>
        <w:t xml:space="preserve">olicy cases, i.e., Benchmarking </w:t>
      </w:r>
      <w:r w:rsidRPr="008C5052">
        <w:rPr>
          <w:rFonts w:ascii="Times New Roman" w:hAnsi="Times New Roman"/>
        </w:rPr>
        <w:t>and Demand Response/Energy E</w:t>
      </w:r>
      <w:r>
        <w:rPr>
          <w:rFonts w:ascii="Times New Roman" w:hAnsi="Times New Roman"/>
        </w:rPr>
        <w:t xml:space="preserve">fficiency, responses to each of </w:t>
      </w:r>
      <w:r w:rsidRPr="008C5052">
        <w:rPr>
          <w:rFonts w:ascii="Times New Roman" w:hAnsi="Times New Roman"/>
        </w:rPr>
        <w:t>the individual d</w:t>
      </w:r>
      <w:r>
        <w:rPr>
          <w:rFonts w:ascii="Times New Roman" w:hAnsi="Times New Roman"/>
        </w:rPr>
        <w:t xml:space="preserve">ata access categories (time </w:t>
      </w:r>
      <w:r w:rsidRPr="008C5052">
        <w:rPr>
          <w:rFonts w:ascii="Times New Roman" w:hAnsi="Times New Roman"/>
        </w:rPr>
        <w:t xml:space="preserve">period, mode of delivery, etc.) </w:t>
      </w:r>
      <w:r>
        <w:rPr>
          <w:rFonts w:ascii="Times New Roman" w:hAnsi="Times New Roman"/>
        </w:rPr>
        <w:t xml:space="preserve">are compared to the ranking </w:t>
      </w:r>
      <w:r w:rsidRPr="008C5052">
        <w:rPr>
          <w:rFonts w:ascii="Times New Roman" w:hAnsi="Times New Roman"/>
        </w:rPr>
        <w:t xml:space="preserve">criteria. </w:t>
      </w:r>
      <w:r>
        <w:rPr>
          <w:rFonts w:ascii="Times New Roman" w:hAnsi="Times New Roman"/>
        </w:rPr>
        <w:t xml:space="preserve">Based on these comparisons, the </w:t>
      </w:r>
      <w:r w:rsidRPr="008C5052">
        <w:rPr>
          <w:rFonts w:ascii="Times New Roman" w:hAnsi="Times New Roman"/>
        </w:rPr>
        <w:t xml:space="preserve">utility </w:t>
      </w:r>
      <w:r>
        <w:rPr>
          <w:rFonts w:ascii="Times New Roman" w:hAnsi="Times New Roman"/>
        </w:rPr>
        <w:t>is</w:t>
      </w:r>
      <w:r w:rsidRPr="008C5052">
        <w:rPr>
          <w:rFonts w:ascii="Times New Roman" w:hAnsi="Times New Roman"/>
        </w:rPr>
        <w:t xml:space="preserve"> assigned a tier statu</w:t>
      </w:r>
      <w:r>
        <w:rPr>
          <w:rFonts w:ascii="Times New Roman" w:hAnsi="Times New Roman"/>
        </w:rPr>
        <w:t xml:space="preserve">s for each policy case. Appendix 1 </w:t>
      </w:r>
      <w:r w:rsidRPr="008C5052">
        <w:rPr>
          <w:rFonts w:ascii="Times New Roman" w:hAnsi="Times New Roman"/>
        </w:rPr>
        <w:t>illust</w:t>
      </w:r>
      <w:r>
        <w:rPr>
          <w:rFonts w:ascii="Times New Roman" w:hAnsi="Times New Roman"/>
        </w:rPr>
        <w:t xml:space="preserve">rates the criteria necessary to </w:t>
      </w:r>
      <w:r w:rsidRPr="008C5052">
        <w:rPr>
          <w:rFonts w:ascii="Times New Roman" w:hAnsi="Times New Roman"/>
        </w:rPr>
        <w:t xml:space="preserve">achieve each of the tiers. Utilities must </w:t>
      </w:r>
      <w:r>
        <w:rPr>
          <w:rFonts w:ascii="Times New Roman" w:hAnsi="Times New Roman"/>
        </w:rPr>
        <w:t xml:space="preserve">provide all services designated </w:t>
      </w:r>
      <w:r w:rsidRPr="008C5052">
        <w:rPr>
          <w:rFonts w:ascii="Times New Roman" w:hAnsi="Times New Roman"/>
        </w:rPr>
        <w:t>by an “X” in the table to reach each tier. For example, in order to achie</w:t>
      </w:r>
      <w:r>
        <w:rPr>
          <w:rFonts w:ascii="Times New Roman" w:hAnsi="Times New Roman"/>
        </w:rPr>
        <w:t xml:space="preserve">ve Tier 1 status for commercial benchmarking, a utility must </w:t>
      </w:r>
      <w:r w:rsidRPr="008C5052">
        <w:rPr>
          <w:rFonts w:ascii="Times New Roman" w:hAnsi="Times New Roman"/>
        </w:rPr>
        <w:t>provide energy</w:t>
      </w:r>
      <w:r w:rsidR="005526ED">
        <w:rPr>
          <w:rFonts w:ascii="Times New Roman" w:hAnsi="Times New Roman"/>
        </w:rPr>
        <w:t xml:space="preserve"> data that is available online in easily downloadable and machine-readable format</w:t>
      </w:r>
      <w:r w:rsidRPr="008C5052">
        <w:rPr>
          <w:rFonts w:ascii="Times New Roman" w:hAnsi="Times New Roman"/>
        </w:rPr>
        <w:t>, in aggregate fo</w:t>
      </w:r>
      <w:r>
        <w:rPr>
          <w:rFonts w:ascii="Times New Roman" w:hAnsi="Times New Roman"/>
        </w:rPr>
        <w:t xml:space="preserve">r all meters in </w:t>
      </w:r>
      <w:r w:rsidRPr="008C5052">
        <w:rPr>
          <w:rFonts w:ascii="Times New Roman" w:hAnsi="Times New Roman"/>
        </w:rPr>
        <w:t xml:space="preserve">a building, provides downloadable access to the last 13 months of </w:t>
      </w:r>
      <w:r>
        <w:rPr>
          <w:rFonts w:ascii="Times New Roman" w:hAnsi="Times New Roman"/>
        </w:rPr>
        <w:t xml:space="preserve">data and allows the customer to authorize third-party access </w:t>
      </w:r>
      <w:r w:rsidRPr="008C5052">
        <w:rPr>
          <w:rFonts w:ascii="Times New Roman" w:hAnsi="Times New Roman"/>
        </w:rPr>
        <w:t>to the data. If the ut</w:t>
      </w:r>
      <w:r>
        <w:rPr>
          <w:rFonts w:ascii="Times New Roman" w:hAnsi="Times New Roman"/>
        </w:rPr>
        <w:t xml:space="preserve">ility meets these criteria, its service area </w:t>
      </w:r>
      <w:r w:rsidR="00424C89">
        <w:rPr>
          <w:rFonts w:ascii="Times New Roman" w:hAnsi="Times New Roman"/>
        </w:rPr>
        <w:t>is</w:t>
      </w:r>
      <w:r>
        <w:rPr>
          <w:rFonts w:ascii="Times New Roman" w:hAnsi="Times New Roman"/>
        </w:rPr>
        <w:t xml:space="preserve"> coded </w:t>
      </w:r>
      <w:r w:rsidRPr="008C5052">
        <w:rPr>
          <w:rFonts w:ascii="Times New Roman" w:hAnsi="Times New Roman"/>
        </w:rPr>
        <w:t>dark blue to reflect a superior level of data acces</w:t>
      </w:r>
      <w:r>
        <w:rPr>
          <w:rFonts w:ascii="Times New Roman" w:hAnsi="Times New Roman"/>
        </w:rPr>
        <w:t xml:space="preserve">s. The result </w:t>
      </w:r>
      <w:r w:rsidR="00424C89">
        <w:rPr>
          <w:rFonts w:ascii="Times New Roman" w:hAnsi="Times New Roman"/>
        </w:rPr>
        <w:t>is</w:t>
      </w:r>
      <w:r>
        <w:rPr>
          <w:rFonts w:ascii="Times New Roman" w:hAnsi="Times New Roman"/>
        </w:rPr>
        <w:t xml:space="preserve"> displayed on a map so all visitors </w:t>
      </w:r>
      <w:r w:rsidR="00424C89">
        <w:rPr>
          <w:rFonts w:ascii="Times New Roman" w:hAnsi="Times New Roman"/>
        </w:rPr>
        <w:t>can</w:t>
      </w:r>
      <w:r w:rsidRPr="008C5052">
        <w:rPr>
          <w:rFonts w:ascii="Times New Roman" w:hAnsi="Times New Roman"/>
        </w:rPr>
        <w:t xml:space="preserve"> easily locate their electricity provide</w:t>
      </w:r>
      <w:r>
        <w:rPr>
          <w:rFonts w:ascii="Times New Roman" w:hAnsi="Times New Roman"/>
        </w:rPr>
        <w:t>r based on its service area</w:t>
      </w:r>
      <w:r w:rsidR="00424C89">
        <w:rPr>
          <w:rFonts w:ascii="Times New Roman" w:hAnsi="Times New Roman"/>
        </w:rPr>
        <w:t>.</w:t>
      </w:r>
      <w:r>
        <w:rPr>
          <w:rFonts w:ascii="Times New Roman" w:hAnsi="Times New Roman"/>
        </w:rPr>
        <w:t xml:space="preserve"> </w:t>
      </w:r>
      <w:r w:rsidRPr="008C5052">
        <w:rPr>
          <w:rFonts w:ascii="Times New Roman" w:hAnsi="Times New Roman"/>
        </w:rPr>
        <w:t>The information gathered by this</w:t>
      </w:r>
      <w:r>
        <w:rPr>
          <w:rFonts w:ascii="Times New Roman" w:hAnsi="Times New Roman"/>
        </w:rPr>
        <w:t xml:space="preserve"> collection will not be used to make assumptions about the </w:t>
      </w:r>
      <w:r w:rsidR="005526ED">
        <w:rPr>
          <w:rFonts w:ascii="Times New Roman" w:hAnsi="Times New Roman"/>
        </w:rPr>
        <w:t>sample</w:t>
      </w:r>
      <w:r>
        <w:rPr>
          <w:rFonts w:ascii="Times New Roman" w:hAnsi="Times New Roman"/>
        </w:rPr>
        <w:t xml:space="preserve">. </w:t>
      </w:r>
    </w:p>
    <w:p w14:paraId="1C4235D0" w14:textId="77777777" w:rsidR="008C5052" w:rsidRDefault="008C5052" w:rsidP="00B76D69">
      <w:pPr>
        <w:pStyle w:val="NoSpacing"/>
        <w:rPr>
          <w:rFonts w:ascii="Times New Roman" w:hAnsi="Times New Roman"/>
        </w:rPr>
      </w:pPr>
    </w:p>
    <w:p w14:paraId="331725BC" w14:textId="77777777" w:rsidR="008C5052" w:rsidRDefault="008C5052" w:rsidP="00B76D69">
      <w:pPr>
        <w:pStyle w:val="NoSpacing"/>
        <w:rPr>
          <w:rFonts w:ascii="Times New Roman" w:hAnsi="Times New Roman"/>
        </w:rPr>
      </w:pPr>
      <w:r w:rsidRPr="008C5052">
        <w:rPr>
          <w:rFonts w:ascii="Times New Roman" w:hAnsi="Times New Roman"/>
        </w:rPr>
        <w:t xml:space="preserve">DOE consulted with </w:t>
      </w:r>
      <w:r w:rsidR="00424C89">
        <w:rPr>
          <w:rFonts w:ascii="Times New Roman" w:hAnsi="Times New Roman"/>
        </w:rPr>
        <w:t xml:space="preserve">ACEEE, EPA, </w:t>
      </w:r>
      <w:r w:rsidRPr="008C5052">
        <w:rPr>
          <w:rFonts w:ascii="Times New Roman" w:hAnsi="Times New Roman"/>
        </w:rPr>
        <w:t>EIA, Edison Electric Ins</w:t>
      </w:r>
      <w:r>
        <w:rPr>
          <w:rFonts w:ascii="Times New Roman" w:hAnsi="Times New Roman"/>
        </w:rPr>
        <w:t xml:space="preserve">titute, National Association of Regulatory Utility </w:t>
      </w:r>
      <w:r w:rsidRPr="008C5052">
        <w:rPr>
          <w:rFonts w:ascii="Times New Roman" w:hAnsi="Times New Roman"/>
        </w:rPr>
        <w:t>Commissioners, National Association of State Utility Consumer Advocates,</w:t>
      </w:r>
      <w:r>
        <w:rPr>
          <w:rFonts w:ascii="Times New Roman" w:hAnsi="Times New Roman"/>
        </w:rPr>
        <w:t xml:space="preserve"> Critical Consumer Issues </w:t>
      </w:r>
      <w:r w:rsidRPr="008C5052">
        <w:rPr>
          <w:rFonts w:ascii="Times New Roman" w:hAnsi="Times New Roman"/>
        </w:rPr>
        <w:t>Forum, National Rural Electric Cooperative Asso</w:t>
      </w:r>
      <w:r>
        <w:rPr>
          <w:rFonts w:ascii="Times New Roman" w:hAnsi="Times New Roman"/>
        </w:rPr>
        <w:t>ciation, Institute for Electric Efficiency and Tendril</w:t>
      </w:r>
      <w:r w:rsidR="00424C89">
        <w:rPr>
          <w:rFonts w:ascii="Times New Roman" w:hAnsi="Times New Roman"/>
        </w:rPr>
        <w:t xml:space="preserve"> as well as various private organizations</w:t>
      </w:r>
      <w:r>
        <w:rPr>
          <w:rFonts w:ascii="Times New Roman" w:hAnsi="Times New Roman"/>
        </w:rPr>
        <w:t xml:space="preserve"> to </w:t>
      </w:r>
      <w:r w:rsidRPr="008C5052">
        <w:rPr>
          <w:rFonts w:ascii="Times New Roman" w:hAnsi="Times New Roman"/>
        </w:rPr>
        <w:t>design the qu</w:t>
      </w:r>
      <w:r>
        <w:rPr>
          <w:rFonts w:ascii="Times New Roman" w:hAnsi="Times New Roman"/>
        </w:rPr>
        <w:t xml:space="preserve">estionnaire device and website. </w:t>
      </w:r>
      <w:r w:rsidRPr="008C5052">
        <w:rPr>
          <w:rFonts w:ascii="Times New Roman" w:hAnsi="Times New Roman"/>
        </w:rPr>
        <w:t xml:space="preserve">We </w:t>
      </w:r>
      <w:r w:rsidR="00424C89">
        <w:rPr>
          <w:rFonts w:ascii="Times New Roman" w:hAnsi="Times New Roman"/>
        </w:rPr>
        <w:t xml:space="preserve">have </w:t>
      </w:r>
      <w:r>
        <w:rPr>
          <w:rFonts w:ascii="Times New Roman" w:hAnsi="Times New Roman"/>
        </w:rPr>
        <w:t>invite</w:t>
      </w:r>
      <w:r w:rsidR="00424C89">
        <w:rPr>
          <w:rFonts w:ascii="Times New Roman" w:hAnsi="Times New Roman"/>
        </w:rPr>
        <w:t>d</w:t>
      </w:r>
      <w:r>
        <w:rPr>
          <w:rFonts w:ascii="Times New Roman" w:hAnsi="Times New Roman"/>
        </w:rPr>
        <w:t xml:space="preserve"> electricity providers </w:t>
      </w:r>
      <w:r w:rsidRPr="008C5052">
        <w:rPr>
          <w:rFonts w:ascii="Times New Roman" w:hAnsi="Times New Roman"/>
        </w:rPr>
        <w:t>and visitors to the website to provide feed</w:t>
      </w:r>
      <w:r>
        <w:rPr>
          <w:rFonts w:ascii="Times New Roman" w:hAnsi="Times New Roman"/>
        </w:rPr>
        <w:t xml:space="preserve">back on the information </w:t>
      </w:r>
      <w:r w:rsidRPr="008C5052">
        <w:rPr>
          <w:rFonts w:ascii="Times New Roman" w:hAnsi="Times New Roman"/>
        </w:rPr>
        <w:t>displayed in the map in order to maximize accuracy and verify results.</w:t>
      </w:r>
      <w:r w:rsidRPr="008C5052" w:rsidDel="008C5052">
        <w:rPr>
          <w:rFonts w:ascii="Times New Roman" w:hAnsi="Times New Roman"/>
        </w:rPr>
        <w:t xml:space="preserve"> </w:t>
      </w:r>
    </w:p>
    <w:p w14:paraId="1A0F677B" w14:textId="77777777" w:rsidR="00F15421" w:rsidRDefault="00F15421" w:rsidP="00B76D69">
      <w:pPr>
        <w:pStyle w:val="NoSpacing"/>
        <w:rPr>
          <w:rFonts w:ascii="Times New Roman" w:hAnsi="Times New Roman"/>
        </w:rPr>
      </w:pPr>
    </w:p>
    <w:p w14:paraId="5C01866A" w14:textId="77777777" w:rsidR="003D06D0" w:rsidRDefault="00683B02" w:rsidP="003D06D0">
      <w:pPr>
        <w:pStyle w:val="NoSpacing"/>
        <w:ind w:firstLine="360"/>
        <w:rPr>
          <w:rFonts w:ascii="Arial" w:hAnsi="Arial" w:cs="Arial"/>
          <w:b/>
          <w:sz w:val="28"/>
          <w:szCs w:val="28"/>
        </w:rPr>
      </w:pPr>
      <w:r>
        <w:rPr>
          <w:rFonts w:ascii="Arial" w:hAnsi="Arial" w:cs="Arial"/>
          <w:b/>
          <w:sz w:val="28"/>
          <w:szCs w:val="28"/>
        </w:rPr>
        <w:t>B.3</w:t>
      </w:r>
      <w:r w:rsidR="003D06D0" w:rsidRPr="007D7836">
        <w:rPr>
          <w:rFonts w:ascii="Arial" w:hAnsi="Arial" w:cs="Arial"/>
          <w:b/>
          <w:sz w:val="28"/>
          <w:szCs w:val="28"/>
        </w:rPr>
        <w:t xml:space="preserve">. </w:t>
      </w:r>
      <w:r w:rsidR="003D06D0">
        <w:rPr>
          <w:rFonts w:ascii="Arial" w:hAnsi="Arial" w:cs="Arial"/>
          <w:b/>
          <w:sz w:val="28"/>
          <w:szCs w:val="28"/>
        </w:rPr>
        <w:t>Methods to Maximize Response Rates</w:t>
      </w:r>
    </w:p>
    <w:p w14:paraId="418E7B35" w14:textId="77777777" w:rsidR="00424C89" w:rsidRDefault="00424C89" w:rsidP="00B76D69">
      <w:pPr>
        <w:pStyle w:val="NoSpacing"/>
        <w:rPr>
          <w:rFonts w:ascii="Times New Roman" w:hAnsi="Times New Roman"/>
        </w:rPr>
      </w:pPr>
    </w:p>
    <w:p w14:paraId="12196CE9" w14:textId="77777777" w:rsidR="00761252" w:rsidRDefault="00424C89" w:rsidP="00813965">
      <w:pPr>
        <w:pStyle w:val="NoSpacing"/>
        <w:rPr>
          <w:rFonts w:ascii="Times New Roman" w:hAnsi="Times New Roman"/>
        </w:rPr>
      </w:pPr>
      <w:r>
        <w:rPr>
          <w:rFonts w:ascii="Times New Roman" w:hAnsi="Times New Roman"/>
        </w:rPr>
        <w:lastRenderedPageBreak/>
        <w:t xml:space="preserve">During the first 6 months of the collection, DOE received responses from 796 </w:t>
      </w:r>
      <w:r w:rsidR="00BB5511">
        <w:rPr>
          <w:rFonts w:ascii="Times New Roman" w:hAnsi="Times New Roman"/>
        </w:rPr>
        <w:t xml:space="preserve">of 2,962 </w:t>
      </w:r>
      <w:r>
        <w:rPr>
          <w:rFonts w:ascii="Times New Roman" w:hAnsi="Times New Roman"/>
        </w:rPr>
        <w:t>electric ut</w:t>
      </w:r>
      <w:r w:rsidR="00255FB6">
        <w:rPr>
          <w:rFonts w:ascii="Times New Roman" w:hAnsi="Times New Roman"/>
        </w:rPr>
        <w:t>ility contacts</w:t>
      </w:r>
      <w:r>
        <w:rPr>
          <w:rFonts w:ascii="Times New Roman" w:hAnsi="Times New Roman"/>
        </w:rPr>
        <w:t xml:space="preserve"> representing 26.87% of the respondent universe. Though this is below our ultimate goal of 100% response rate, we have determined that some of the contact information for the utilities was either absent or inaccurate. We were able to gather contact information for some of those utilities and </w:t>
      </w:r>
      <w:r w:rsidR="00813965">
        <w:rPr>
          <w:rFonts w:ascii="Times New Roman" w:hAnsi="Times New Roman"/>
        </w:rPr>
        <w:t xml:space="preserve">send follow-up </w:t>
      </w:r>
      <w:r>
        <w:rPr>
          <w:rFonts w:ascii="Times New Roman" w:hAnsi="Times New Roman"/>
        </w:rPr>
        <w:t>request</w:t>
      </w:r>
      <w:r w:rsidR="00813965">
        <w:rPr>
          <w:rFonts w:ascii="Times New Roman" w:hAnsi="Times New Roman"/>
        </w:rPr>
        <w:t>s</w:t>
      </w:r>
      <w:r>
        <w:rPr>
          <w:rFonts w:ascii="Times New Roman" w:hAnsi="Times New Roman"/>
        </w:rPr>
        <w:t xml:space="preserve"> </w:t>
      </w:r>
      <w:r w:rsidR="00813965">
        <w:rPr>
          <w:rFonts w:ascii="Times New Roman" w:hAnsi="Times New Roman"/>
        </w:rPr>
        <w:t>for their participation</w:t>
      </w:r>
      <w:r>
        <w:rPr>
          <w:rFonts w:ascii="Times New Roman" w:hAnsi="Times New Roman"/>
        </w:rPr>
        <w:t xml:space="preserve">.  </w:t>
      </w:r>
    </w:p>
    <w:p w14:paraId="7473D326" w14:textId="77777777" w:rsidR="00761252" w:rsidRDefault="00761252" w:rsidP="00813965">
      <w:pPr>
        <w:pStyle w:val="NoSpacing"/>
        <w:rPr>
          <w:rFonts w:ascii="Times New Roman" w:hAnsi="Times New Roman"/>
        </w:rPr>
      </w:pPr>
    </w:p>
    <w:p w14:paraId="1A7854F7" w14:textId="77777777" w:rsidR="00B76D69" w:rsidRDefault="00813965" w:rsidP="00813965">
      <w:pPr>
        <w:pStyle w:val="NoSpacing"/>
        <w:rPr>
          <w:rFonts w:ascii="Times New Roman" w:hAnsi="Times New Roman"/>
        </w:rPr>
      </w:pPr>
      <w:r w:rsidRPr="00813965">
        <w:rPr>
          <w:rFonts w:ascii="Times New Roman" w:hAnsi="Times New Roman"/>
        </w:rPr>
        <w:t>DOE expects electric</w:t>
      </w:r>
      <w:r>
        <w:rPr>
          <w:rFonts w:ascii="Times New Roman" w:hAnsi="Times New Roman"/>
        </w:rPr>
        <w:t xml:space="preserve">ity providers to understand and </w:t>
      </w:r>
      <w:r w:rsidRPr="00813965">
        <w:rPr>
          <w:rFonts w:ascii="Times New Roman" w:hAnsi="Times New Roman"/>
        </w:rPr>
        <w:t>appreciate the value of informing consumers of their degr</w:t>
      </w:r>
      <w:r>
        <w:rPr>
          <w:rFonts w:ascii="Times New Roman" w:hAnsi="Times New Roman"/>
        </w:rPr>
        <w:t xml:space="preserve">ee of </w:t>
      </w:r>
      <w:r w:rsidRPr="00813965">
        <w:rPr>
          <w:rFonts w:ascii="Times New Roman" w:hAnsi="Times New Roman"/>
        </w:rPr>
        <w:t>access to t</w:t>
      </w:r>
      <w:r>
        <w:rPr>
          <w:rFonts w:ascii="Times New Roman" w:hAnsi="Times New Roman"/>
        </w:rPr>
        <w:t>heir electricity usage data. We ackno</w:t>
      </w:r>
      <w:r w:rsidR="00255FB6">
        <w:rPr>
          <w:rFonts w:ascii="Times New Roman" w:hAnsi="Times New Roman"/>
        </w:rPr>
        <w:t xml:space="preserve">wledge there </w:t>
      </w:r>
      <w:r>
        <w:rPr>
          <w:rFonts w:ascii="Times New Roman" w:hAnsi="Times New Roman"/>
        </w:rPr>
        <w:t xml:space="preserve">continues to be </w:t>
      </w:r>
      <w:r w:rsidRPr="00813965">
        <w:rPr>
          <w:rFonts w:ascii="Times New Roman" w:hAnsi="Times New Roman"/>
        </w:rPr>
        <w:t>po</w:t>
      </w:r>
      <w:r>
        <w:rPr>
          <w:rFonts w:ascii="Times New Roman" w:hAnsi="Times New Roman"/>
        </w:rPr>
        <w:t xml:space="preserve">tential for a non-response bias </w:t>
      </w:r>
      <w:r w:rsidRPr="00813965">
        <w:rPr>
          <w:rFonts w:ascii="Times New Roman" w:hAnsi="Times New Roman"/>
        </w:rPr>
        <w:t xml:space="preserve">during the </w:t>
      </w:r>
      <w:r>
        <w:rPr>
          <w:rFonts w:ascii="Times New Roman" w:hAnsi="Times New Roman"/>
        </w:rPr>
        <w:t xml:space="preserve">early stage of this </w:t>
      </w:r>
      <w:r w:rsidRPr="00813965">
        <w:rPr>
          <w:rFonts w:ascii="Times New Roman" w:hAnsi="Times New Roman"/>
        </w:rPr>
        <w:t>collection. This may occur due t</w:t>
      </w:r>
      <w:r>
        <w:rPr>
          <w:rFonts w:ascii="Times New Roman" w:hAnsi="Times New Roman"/>
        </w:rPr>
        <w:t>o var</w:t>
      </w:r>
      <w:r w:rsidR="005526ED">
        <w:rPr>
          <w:rFonts w:ascii="Times New Roman" w:hAnsi="Times New Roman"/>
        </w:rPr>
        <w:t>ying</w:t>
      </w:r>
      <w:r>
        <w:rPr>
          <w:rFonts w:ascii="Times New Roman" w:hAnsi="Times New Roman"/>
        </w:rPr>
        <w:t xml:space="preserve"> levels of enthusiasm </w:t>
      </w:r>
      <w:r w:rsidRPr="00813965">
        <w:rPr>
          <w:rFonts w:ascii="Times New Roman" w:hAnsi="Times New Roman"/>
        </w:rPr>
        <w:t>among electricity providers to share the</w:t>
      </w:r>
      <w:r>
        <w:rPr>
          <w:rFonts w:ascii="Times New Roman" w:hAnsi="Times New Roman"/>
        </w:rPr>
        <w:t xml:space="preserve">ir </w:t>
      </w:r>
      <w:r w:rsidRPr="00813965">
        <w:rPr>
          <w:rFonts w:ascii="Times New Roman" w:hAnsi="Times New Roman"/>
        </w:rPr>
        <w:t>information. Fo</w:t>
      </w:r>
      <w:r>
        <w:rPr>
          <w:rFonts w:ascii="Times New Roman" w:hAnsi="Times New Roman"/>
        </w:rPr>
        <w:t xml:space="preserve">r example, providers who offer </w:t>
      </w:r>
      <w:r w:rsidRPr="00813965">
        <w:rPr>
          <w:rFonts w:ascii="Times New Roman" w:hAnsi="Times New Roman"/>
        </w:rPr>
        <w:t>superior levels</w:t>
      </w:r>
      <w:r>
        <w:rPr>
          <w:rFonts w:ascii="Times New Roman" w:hAnsi="Times New Roman"/>
        </w:rPr>
        <w:t xml:space="preserve"> of access to customer data and </w:t>
      </w:r>
      <w:r w:rsidRPr="00813965">
        <w:rPr>
          <w:rFonts w:ascii="Times New Roman" w:hAnsi="Times New Roman"/>
        </w:rPr>
        <w:t>who allow for third pa</w:t>
      </w:r>
      <w:r>
        <w:rPr>
          <w:rFonts w:ascii="Times New Roman" w:hAnsi="Times New Roman"/>
        </w:rPr>
        <w:t xml:space="preserve">rty data sharing are more </w:t>
      </w:r>
      <w:r w:rsidRPr="00813965">
        <w:rPr>
          <w:rFonts w:ascii="Times New Roman" w:hAnsi="Times New Roman"/>
        </w:rPr>
        <w:t>likely to quickly r</w:t>
      </w:r>
      <w:r>
        <w:rPr>
          <w:rFonts w:ascii="Times New Roman" w:hAnsi="Times New Roman"/>
        </w:rPr>
        <w:t xml:space="preserve">espond. </w:t>
      </w:r>
      <w:r w:rsidRPr="004941BB">
        <w:rPr>
          <w:rFonts w:ascii="Times New Roman" w:hAnsi="Times New Roman"/>
        </w:rPr>
        <w:t xml:space="preserve">Non-respondents will be contacted by email and telephone </w:t>
      </w:r>
      <w:r w:rsidR="00DE610F" w:rsidRPr="004941BB">
        <w:rPr>
          <w:rFonts w:ascii="Times New Roman" w:hAnsi="Times New Roman"/>
        </w:rPr>
        <w:t>to find out if there was some technical issue preventing an electronic response</w:t>
      </w:r>
      <w:r w:rsidRPr="0024200E">
        <w:rPr>
          <w:rFonts w:ascii="Times New Roman" w:hAnsi="Times New Roman"/>
          <w:b/>
        </w:rPr>
        <w:t>.</w:t>
      </w:r>
      <w:r w:rsidR="0040763A" w:rsidRPr="004941BB">
        <w:rPr>
          <w:rFonts w:ascii="Times New Roman" w:hAnsi="Times New Roman"/>
          <w:b/>
          <w:color w:val="FF0000"/>
        </w:rPr>
        <w:t xml:space="preserve"> </w:t>
      </w:r>
      <w:r w:rsidR="00B76D69" w:rsidRPr="0040763A">
        <w:rPr>
          <w:rFonts w:ascii="Times New Roman" w:hAnsi="Times New Roman"/>
          <w:b/>
          <w:color w:val="FF0000"/>
        </w:rPr>
        <w:t xml:space="preserve"> </w:t>
      </w:r>
    </w:p>
    <w:p w14:paraId="15603A76" w14:textId="77777777" w:rsidR="00D10515" w:rsidRPr="00896056" w:rsidRDefault="00D10515" w:rsidP="00B76D69">
      <w:pPr>
        <w:pStyle w:val="NoSpacing"/>
        <w:rPr>
          <w:rFonts w:ascii="Times New Roman" w:hAnsi="Times New Roman"/>
        </w:rPr>
      </w:pPr>
    </w:p>
    <w:p w14:paraId="27AF7339" w14:textId="77777777" w:rsidR="00683B02" w:rsidRDefault="00683B02" w:rsidP="00683B02">
      <w:pPr>
        <w:pStyle w:val="NoSpacing"/>
        <w:ind w:firstLine="360"/>
        <w:rPr>
          <w:rFonts w:ascii="Arial" w:hAnsi="Arial" w:cs="Arial"/>
          <w:b/>
          <w:sz w:val="28"/>
          <w:szCs w:val="28"/>
        </w:rPr>
      </w:pPr>
      <w:r>
        <w:rPr>
          <w:rFonts w:ascii="Arial" w:hAnsi="Arial" w:cs="Arial"/>
          <w:b/>
          <w:sz w:val="28"/>
          <w:szCs w:val="28"/>
        </w:rPr>
        <w:t>B.4</w:t>
      </w:r>
      <w:r w:rsidRPr="007D7836">
        <w:rPr>
          <w:rFonts w:ascii="Arial" w:hAnsi="Arial" w:cs="Arial"/>
          <w:b/>
          <w:sz w:val="28"/>
          <w:szCs w:val="28"/>
        </w:rPr>
        <w:t xml:space="preserve">. </w:t>
      </w:r>
      <w:r>
        <w:rPr>
          <w:rFonts w:ascii="Arial" w:hAnsi="Arial" w:cs="Arial"/>
          <w:b/>
          <w:sz w:val="28"/>
          <w:szCs w:val="28"/>
        </w:rPr>
        <w:t>Tests of Procedures</w:t>
      </w:r>
    </w:p>
    <w:p w14:paraId="10E40795" w14:textId="77777777" w:rsidR="00683B02" w:rsidRDefault="00683B02" w:rsidP="00B76D69">
      <w:pPr>
        <w:pStyle w:val="NoSpacing"/>
        <w:rPr>
          <w:rFonts w:ascii="Times New Roman" w:hAnsi="Times New Roman"/>
          <w:b/>
        </w:rPr>
      </w:pPr>
    </w:p>
    <w:p w14:paraId="1703A99C" w14:textId="77777777" w:rsidR="00813965" w:rsidRDefault="00813965" w:rsidP="00813965">
      <w:pPr>
        <w:pStyle w:val="NoSpacing"/>
        <w:rPr>
          <w:rFonts w:ascii="Times New Roman" w:hAnsi="Times New Roman"/>
        </w:rPr>
      </w:pPr>
      <w:r w:rsidRPr="00813965">
        <w:rPr>
          <w:rFonts w:ascii="Times New Roman" w:hAnsi="Times New Roman"/>
        </w:rPr>
        <w:t>DOE worked with a survey professional to develop appropriate wording of</w:t>
      </w:r>
      <w:r w:rsidR="005526ED">
        <w:rPr>
          <w:rFonts w:ascii="Times New Roman" w:hAnsi="Times New Roman"/>
        </w:rPr>
        <w:t xml:space="preserve"> the questions. Two</w:t>
      </w:r>
      <w:r w:rsidRPr="005526ED">
        <w:rPr>
          <w:rFonts w:ascii="Times New Roman" w:hAnsi="Times New Roman"/>
        </w:rPr>
        <w:t xml:space="preserve"> potential utility </w:t>
      </w:r>
      <w:r w:rsidR="005526ED" w:rsidRPr="005526ED">
        <w:rPr>
          <w:rFonts w:ascii="Times New Roman" w:hAnsi="Times New Roman"/>
        </w:rPr>
        <w:t>respondents</w:t>
      </w:r>
      <w:r w:rsidRPr="005526ED">
        <w:rPr>
          <w:rFonts w:ascii="Times New Roman" w:hAnsi="Times New Roman"/>
        </w:rPr>
        <w:t xml:space="preserve"> reviewed</w:t>
      </w:r>
      <w:r>
        <w:rPr>
          <w:rFonts w:ascii="Times New Roman" w:hAnsi="Times New Roman"/>
        </w:rPr>
        <w:t xml:space="preserve"> or tested the draft </w:t>
      </w:r>
      <w:r w:rsidRPr="00813965">
        <w:rPr>
          <w:rFonts w:ascii="Times New Roman" w:hAnsi="Times New Roman"/>
        </w:rPr>
        <w:t xml:space="preserve">questionnaire. The test consisted of emailing the draft questionnaire to </w:t>
      </w:r>
      <w:r>
        <w:rPr>
          <w:rFonts w:ascii="Times New Roman" w:hAnsi="Times New Roman"/>
        </w:rPr>
        <w:t xml:space="preserve">the volunteer test subjects and </w:t>
      </w:r>
      <w:r w:rsidRPr="00813965">
        <w:rPr>
          <w:rFonts w:ascii="Times New Roman" w:hAnsi="Times New Roman"/>
        </w:rPr>
        <w:t>gathering feedback by email and telephone. The test was designed to a</w:t>
      </w:r>
      <w:r>
        <w:rPr>
          <w:rFonts w:ascii="Times New Roman" w:hAnsi="Times New Roman"/>
        </w:rPr>
        <w:t xml:space="preserve">scertain language improvements, </w:t>
      </w:r>
      <w:r w:rsidRPr="00813965">
        <w:rPr>
          <w:rFonts w:ascii="Times New Roman" w:hAnsi="Times New Roman"/>
        </w:rPr>
        <w:t>troubleshooting opportunities, time and cost burden, and overall imp</w:t>
      </w:r>
      <w:r>
        <w:rPr>
          <w:rFonts w:ascii="Times New Roman" w:hAnsi="Times New Roman"/>
        </w:rPr>
        <w:t xml:space="preserve">rovements to the questionnaire. </w:t>
      </w:r>
      <w:r w:rsidRPr="00813965">
        <w:rPr>
          <w:rFonts w:ascii="Times New Roman" w:hAnsi="Times New Roman"/>
        </w:rPr>
        <w:t>Feedback was largely positive with minimal suggestions to change</w:t>
      </w:r>
      <w:r>
        <w:rPr>
          <w:rFonts w:ascii="Times New Roman" w:hAnsi="Times New Roman"/>
        </w:rPr>
        <w:t xml:space="preserve"> order or wording of questions. </w:t>
      </w:r>
      <w:r w:rsidRPr="00813965">
        <w:rPr>
          <w:rFonts w:ascii="Times New Roman" w:hAnsi="Times New Roman"/>
        </w:rPr>
        <w:t>Respondents requested that we include a short description of the goal</w:t>
      </w:r>
      <w:r>
        <w:rPr>
          <w:rFonts w:ascii="Times New Roman" w:hAnsi="Times New Roman"/>
        </w:rPr>
        <w:t xml:space="preserve">s of the questionnaire. Changes were </w:t>
      </w:r>
      <w:r w:rsidRPr="00813965">
        <w:rPr>
          <w:rFonts w:ascii="Times New Roman" w:hAnsi="Times New Roman"/>
        </w:rPr>
        <w:t>made at all stages of t</w:t>
      </w:r>
      <w:r>
        <w:rPr>
          <w:rFonts w:ascii="Times New Roman" w:hAnsi="Times New Roman"/>
        </w:rPr>
        <w:t xml:space="preserve">esting to incorporate feedback. </w:t>
      </w:r>
    </w:p>
    <w:p w14:paraId="028E8E48" w14:textId="77777777" w:rsidR="00813965" w:rsidRDefault="00813965" w:rsidP="00813965">
      <w:pPr>
        <w:pStyle w:val="NoSpacing"/>
        <w:rPr>
          <w:rFonts w:ascii="Times New Roman" w:hAnsi="Times New Roman"/>
        </w:rPr>
      </w:pPr>
    </w:p>
    <w:p w14:paraId="31F51402" w14:textId="77777777" w:rsidR="00B76D69" w:rsidRPr="00896056" w:rsidRDefault="00813965" w:rsidP="00813965">
      <w:pPr>
        <w:pStyle w:val="NoSpacing"/>
        <w:rPr>
          <w:rFonts w:ascii="Times New Roman" w:hAnsi="Times New Roman"/>
        </w:rPr>
      </w:pPr>
      <w:r w:rsidRPr="00813965">
        <w:rPr>
          <w:rFonts w:ascii="Times New Roman" w:hAnsi="Times New Roman"/>
        </w:rPr>
        <w:t>DOE worked c</w:t>
      </w:r>
      <w:r>
        <w:rPr>
          <w:rFonts w:ascii="Times New Roman" w:hAnsi="Times New Roman"/>
        </w:rPr>
        <w:t xml:space="preserve">losely with NREL to develop the </w:t>
      </w:r>
      <w:r w:rsidRPr="00813965">
        <w:rPr>
          <w:rFonts w:ascii="Times New Roman" w:hAnsi="Times New Roman"/>
        </w:rPr>
        <w:t>website and test it for proper functionality and ac</w:t>
      </w:r>
      <w:r>
        <w:rPr>
          <w:rFonts w:ascii="Times New Roman" w:hAnsi="Times New Roman"/>
        </w:rPr>
        <w:t xml:space="preserve">curate </w:t>
      </w:r>
      <w:r w:rsidRPr="00813965">
        <w:rPr>
          <w:rFonts w:ascii="Times New Roman" w:hAnsi="Times New Roman"/>
        </w:rPr>
        <w:t>reporting of the data.</w:t>
      </w:r>
    </w:p>
    <w:p w14:paraId="220D5EE2" w14:textId="77777777" w:rsidR="00B76D69" w:rsidRPr="00896056" w:rsidRDefault="00B76D69" w:rsidP="00B76D69">
      <w:pPr>
        <w:pStyle w:val="NoSpacing"/>
        <w:rPr>
          <w:rFonts w:ascii="Times New Roman" w:hAnsi="Times New Roman"/>
        </w:rPr>
      </w:pPr>
    </w:p>
    <w:p w14:paraId="75FDB986" w14:textId="77777777" w:rsidR="00C21F2F" w:rsidRDefault="00C21F2F" w:rsidP="00C21F2F">
      <w:pPr>
        <w:pStyle w:val="NoSpacing"/>
        <w:ind w:firstLine="360"/>
        <w:rPr>
          <w:rFonts w:ascii="Arial" w:hAnsi="Arial" w:cs="Arial"/>
          <w:b/>
          <w:sz w:val="28"/>
          <w:szCs w:val="28"/>
        </w:rPr>
      </w:pPr>
      <w:r>
        <w:rPr>
          <w:rFonts w:ascii="Arial" w:hAnsi="Arial" w:cs="Arial"/>
          <w:b/>
          <w:sz w:val="28"/>
          <w:szCs w:val="28"/>
        </w:rPr>
        <w:t>B.5</w:t>
      </w:r>
      <w:r w:rsidRPr="007D7836">
        <w:rPr>
          <w:rFonts w:ascii="Arial" w:hAnsi="Arial" w:cs="Arial"/>
          <w:b/>
          <w:sz w:val="28"/>
          <w:szCs w:val="28"/>
        </w:rPr>
        <w:t xml:space="preserve">. </w:t>
      </w:r>
      <w:r>
        <w:rPr>
          <w:rFonts w:ascii="Arial" w:hAnsi="Arial" w:cs="Arial"/>
          <w:b/>
          <w:sz w:val="28"/>
          <w:szCs w:val="28"/>
        </w:rPr>
        <w:t>Consultation</w:t>
      </w:r>
    </w:p>
    <w:p w14:paraId="21C33714" w14:textId="77777777" w:rsidR="00C21F2F" w:rsidRDefault="00C21F2F" w:rsidP="00B76D69">
      <w:pPr>
        <w:pStyle w:val="NoSpacing"/>
        <w:rPr>
          <w:rFonts w:ascii="Times New Roman" w:hAnsi="Times New Roman"/>
          <w:b/>
        </w:rPr>
      </w:pPr>
    </w:p>
    <w:p w14:paraId="5924B53C" w14:textId="77777777" w:rsidR="00B76D69" w:rsidRPr="001D49FE" w:rsidRDefault="00B76D69" w:rsidP="00B76D69">
      <w:pPr>
        <w:pStyle w:val="NoSpacing"/>
        <w:rPr>
          <w:rFonts w:ascii="Times New Roman" w:hAnsi="Times New Roman"/>
          <w:b/>
        </w:rPr>
      </w:pPr>
      <w:r w:rsidRPr="001D49FE">
        <w:rPr>
          <w:rFonts w:ascii="Times New Roman" w:hAnsi="Times New Roman"/>
          <w:b/>
        </w:rPr>
        <w:t>EIA:</w:t>
      </w:r>
      <w:r w:rsidR="001D49FE">
        <w:rPr>
          <w:rFonts w:ascii="Times New Roman" w:hAnsi="Times New Roman"/>
          <w:b/>
        </w:rPr>
        <w:tab/>
      </w:r>
      <w:r w:rsidR="001D49FE">
        <w:rPr>
          <w:rFonts w:ascii="Times New Roman" w:hAnsi="Times New Roman"/>
          <w:b/>
        </w:rPr>
        <w:tab/>
      </w:r>
      <w:r w:rsidR="001D49FE">
        <w:rPr>
          <w:rFonts w:ascii="Times New Roman" w:hAnsi="Times New Roman"/>
          <w:b/>
        </w:rPr>
        <w:tab/>
      </w:r>
      <w:r w:rsidR="001D49FE">
        <w:rPr>
          <w:rFonts w:ascii="Times New Roman" w:hAnsi="Times New Roman"/>
          <w:b/>
        </w:rPr>
        <w:tab/>
      </w:r>
      <w:r w:rsidR="001D49FE">
        <w:rPr>
          <w:rFonts w:ascii="Times New Roman" w:hAnsi="Times New Roman"/>
          <w:b/>
        </w:rPr>
        <w:tab/>
        <w:t>Phone:</w:t>
      </w:r>
    </w:p>
    <w:p w14:paraId="704996C3" w14:textId="77777777" w:rsidR="00B76D69" w:rsidRPr="00896056" w:rsidRDefault="00B76D69" w:rsidP="00B76D69">
      <w:pPr>
        <w:pStyle w:val="NoSpacing"/>
        <w:rPr>
          <w:rFonts w:ascii="Times New Roman" w:hAnsi="Times New Roman"/>
        </w:rPr>
      </w:pPr>
      <w:r w:rsidRPr="00896056">
        <w:rPr>
          <w:rFonts w:ascii="Times New Roman" w:hAnsi="Times New Roman"/>
        </w:rPr>
        <w:t>Broene, Thomas (EIA)</w:t>
      </w:r>
      <w:r w:rsidR="001D49FE">
        <w:rPr>
          <w:rFonts w:ascii="Times New Roman" w:hAnsi="Times New Roman"/>
        </w:rPr>
        <w:tab/>
      </w:r>
      <w:r w:rsidR="001D49FE">
        <w:rPr>
          <w:rFonts w:ascii="Times New Roman" w:hAnsi="Times New Roman"/>
        </w:rPr>
        <w:tab/>
      </w:r>
      <w:r w:rsidR="001D49FE">
        <w:rPr>
          <w:rFonts w:ascii="Times New Roman" w:hAnsi="Times New Roman"/>
        </w:rPr>
        <w:tab/>
        <w:t>202-</w:t>
      </w:r>
      <w:r w:rsidR="001D49FE" w:rsidRPr="001D49FE">
        <w:rPr>
          <w:rFonts w:ascii="Times New Roman" w:hAnsi="Times New Roman"/>
        </w:rPr>
        <w:t>586-5774</w:t>
      </w:r>
    </w:p>
    <w:p w14:paraId="52299A1E" w14:textId="77777777" w:rsidR="00B76D69" w:rsidRPr="00896056" w:rsidRDefault="00B76D69" w:rsidP="00B76D69">
      <w:pPr>
        <w:pStyle w:val="NoSpacing"/>
        <w:rPr>
          <w:rFonts w:ascii="Times New Roman" w:hAnsi="Times New Roman"/>
        </w:rPr>
      </w:pPr>
      <w:r w:rsidRPr="00896056">
        <w:rPr>
          <w:rFonts w:ascii="Times New Roman" w:hAnsi="Times New Roman"/>
        </w:rPr>
        <w:t>Pick, Kenneth (EIA)</w:t>
      </w:r>
      <w:r w:rsidR="001D49FE">
        <w:rPr>
          <w:rFonts w:ascii="Times New Roman" w:hAnsi="Times New Roman"/>
        </w:rPr>
        <w:tab/>
      </w:r>
      <w:r w:rsidR="001D49FE">
        <w:rPr>
          <w:rFonts w:ascii="Times New Roman" w:hAnsi="Times New Roman"/>
        </w:rPr>
        <w:tab/>
      </w:r>
      <w:r w:rsidR="001D49FE">
        <w:rPr>
          <w:rFonts w:ascii="Times New Roman" w:hAnsi="Times New Roman"/>
        </w:rPr>
        <w:tab/>
      </w:r>
      <w:r w:rsidR="001D49FE" w:rsidRPr="001D49FE">
        <w:rPr>
          <w:rFonts w:ascii="Times New Roman" w:hAnsi="Times New Roman"/>
        </w:rPr>
        <w:t>202-568-9938</w:t>
      </w:r>
    </w:p>
    <w:p w14:paraId="210A64AA" w14:textId="77777777" w:rsidR="00B76D69" w:rsidRPr="00896056" w:rsidRDefault="00B76D69" w:rsidP="00B76D69">
      <w:pPr>
        <w:pStyle w:val="NoSpacing"/>
        <w:rPr>
          <w:rFonts w:ascii="Times New Roman" w:hAnsi="Times New Roman"/>
        </w:rPr>
      </w:pPr>
      <w:r w:rsidRPr="00896056">
        <w:rPr>
          <w:rFonts w:ascii="Times New Roman" w:hAnsi="Times New Roman"/>
        </w:rPr>
        <w:t>O'Neill, Grace (EIA)</w:t>
      </w:r>
      <w:r w:rsidR="001D49FE">
        <w:rPr>
          <w:rFonts w:ascii="Times New Roman" w:hAnsi="Times New Roman"/>
        </w:rPr>
        <w:tab/>
      </w:r>
      <w:r w:rsidR="001D49FE">
        <w:rPr>
          <w:rFonts w:ascii="Times New Roman" w:hAnsi="Times New Roman"/>
        </w:rPr>
        <w:tab/>
      </w:r>
      <w:r w:rsidR="001D49FE">
        <w:rPr>
          <w:rFonts w:ascii="Times New Roman" w:hAnsi="Times New Roman"/>
        </w:rPr>
        <w:tab/>
        <w:t>202-</w:t>
      </w:r>
      <w:r w:rsidR="001D49FE" w:rsidRPr="001D49FE">
        <w:rPr>
          <w:rFonts w:ascii="Times New Roman" w:hAnsi="Times New Roman"/>
        </w:rPr>
        <w:t>586-6485</w:t>
      </w:r>
    </w:p>
    <w:p w14:paraId="26C49996" w14:textId="77777777" w:rsidR="00B76D69" w:rsidRPr="00896056" w:rsidRDefault="00B76D69" w:rsidP="00B76D69">
      <w:pPr>
        <w:pStyle w:val="NoSpacing"/>
        <w:rPr>
          <w:rFonts w:ascii="Times New Roman" w:hAnsi="Times New Roman"/>
        </w:rPr>
      </w:pPr>
      <w:r w:rsidRPr="00896056">
        <w:rPr>
          <w:rFonts w:ascii="Times New Roman" w:hAnsi="Times New Roman"/>
        </w:rPr>
        <w:t>Lu, Ruey-Pyng (EIA)</w:t>
      </w:r>
      <w:r w:rsidR="001D49FE">
        <w:rPr>
          <w:rFonts w:ascii="Times New Roman" w:hAnsi="Times New Roman"/>
        </w:rPr>
        <w:tab/>
      </w:r>
      <w:r w:rsidR="001D49FE">
        <w:rPr>
          <w:rFonts w:ascii="Times New Roman" w:hAnsi="Times New Roman"/>
        </w:rPr>
        <w:tab/>
      </w:r>
      <w:r w:rsidR="001D49FE">
        <w:rPr>
          <w:rFonts w:ascii="Times New Roman" w:hAnsi="Times New Roman"/>
        </w:rPr>
        <w:tab/>
        <w:t>202-</w:t>
      </w:r>
      <w:r w:rsidR="001D49FE" w:rsidRPr="001D49FE">
        <w:rPr>
          <w:rFonts w:ascii="Times New Roman" w:hAnsi="Times New Roman"/>
        </w:rPr>
        <w:t>586-5985</w:t>
      </w:r>
    </w:p>
    <w:p w14:paraId="5F44E270" w14:textId="77777777" w:rsidR="00B76D69" w:rsidRPr="00896056" w:rsidRDefault="00B76D69" w:rsidP="00B76D69">
      <w:pPr>
        <w:pStyle w:val="NoSpacing"/>
        <w:rPr>
          <w:rFonts w:ascii="Times New Roman" w:hAnsi="Times New Roman"/>
        </w:rPr>
      </w:pPr>
      <w:r w:rsidRPr="00896056">
        <w:rPr>
          <w:rFonts w:ascii="Times New Roman" w:hAnsi="Times New Roman"/>
        </w:rPr>
        <w:t>Miller, Renee (EIA)</w:t>
      </w:r>
      <w:r w:rsidR="001D49FE">
        <w:rPr>
          <w:rFonts w:ascii="Times New Roman" w:hAnsi="Times New Roman"/>
        </w:rPr>
        <w:tab/>
      </w:r>
      <w:r w:rsidR="001D49FE">
        <w:rPr>
          <w:rFonts w:ascii="Times New Roman" w:hAnsi="Times New Roman"/>
        </w:rPr>
        <w:tab/>
      </w:r>
      <w:r w:rsidR="001D49FE">
        <w:rPr>
          <w:rFonts w:ascii="Times New Roman" w:hAnsi="Times New Roman"/>
        </w:rPr>
        <w:tab/>
        <w:t>202-</w:t>
      </w:r>
      <w:r w:rsidR="001D49FE" w:rsidRPr="001D49FE">
        <w:rPr>
          <w:rFonts w:ascii="Times New Roman" w:hAnsi="Times New Roman"/>
        </w:rPr>
        <w:t>586-6070</w:t>
      </w:r>
    </w:p>
    <w:p w14:paraId="70AFBF72" w14:textId="77777777" w:rsidR="00B76D69" w:rsidRPr="00896056" w:rsidRDefault="00B76D69" w:rsidP="00B76D69">
      <w:pPr>
        <w:pStyle w:val="NoSpacing"/>
        <w:rPr>
          <w:rFonts w:ascii="Times New Roman" w:hAnsi="Times New Roman"/>
        </w:rPr>
      </w:pPr>
      <w:r w:rsidRPr="00896056">
        <w:rPr>
          <w:rFonts w:ascii="Times New Roman" w:hAnsi="Times New Roman"/>
        </w:rPr>
        <w:t>Jennings, Alethea (EIA)</w:t>
      </w:r>
      <w:r w:rsidR="001D49FE">
        <w:rPr>
          <w:rFonts w:ascii="Times New Roman" w:hAnsi="Times New Roman"/>
        </w:rPr>
        <w:tab/>
      </w:r>
      <w:r w:rsidR="001D49FE">
        <w:rPr>
          <w:rFonts w:ascii="Times New Roman" w:hAnsi="Times New Roman"/>
        </w:rPr>
        <w:tab/>
      </w:r>
      <w:r w:rsidR="001D49FE">
        <w:rPr>
          <w:rFonts w:ascii="Times New Roman" w:hAnsi="Times New Roman"/>
        </w:rPr>
        <w:tab/>
        <w:t>202-</w:t>
      </w:r>
      <w:r w:rsidR="001D49FE" w:rsidRPr="001D49FE">
        <w:rPr>
          <w:rFonts w:ascii="Times New Roman" w:hAnsi="Times New Roman"/>
        </w:rPr>
        <w:t>586-5879</w:t>
      </w:r>
    </w:p>
    <w:p w14:paraId="215073AC" w14:textId="77777777" w:rsidR="00B76D69" w:rsidRPr="00896056" w:rsidRDefault="00B76D69" w:rsidP="00B76D69">
      <w:pPr>
        <w:pStyle w:val="NoSpacing"/>
        <w:rPr>
          <w:rFonts w:ascii="Times New Roman" w:hAnsi="Times New Roman"/>
        </w:rPr>
      </w:pPr>
    </w:p>
    <w:p w14:paraId="26725FAF" w14:textId="77777777" w:rsidR="00B76D69" w:rsidRPr="001D49FE" w:rsidRDefault="00B76D69" w:rsidP="00B76D69">
      <w:pPr>
        <w:pStyle w:val="NoSpacing"/>
        <w:rPr>
          <w:rFonts w:ascii="Times New Roman" w:hAnsi="Times New Roman"/>
          <w:b/>
        </w:rPr>
      </w:pPr>
      <w:r w:rsidRPr="001D49FE">
        <w:rPr>
          <w:rFonts w:ascii="Times New Roman" w:hAnsi="Times New Roman"/>
          <w:b/>
        </w:rPr>
        <w:t>NREL:</w:t>
      </w:r>
    </w:p>
    <w:p w14:paraId="0CCD7A05" w14:textId="77777777" w:rsidR="00B76D69" w:rsidRPr="00896056" w:rsidRDefault="00B76D69" w:rsidP="00B76D69">
      <w:pPr>
        <w:pStyle w:val="NoSpacing"/>
        <w:rPr>
          <w:rFonts w:ascii="Times New Roman" w:hAnsi="Times New Roman"/>
        </w:rPr>
      </w:pPr>
      <w:r w:rsidRPr="00896056">
        <w:rPr>
          <w:rFonts w:ascii="Times New Roman" w:hAnsi="Times New Roman"/>
        </w:rPr>
        <w:t>Debbie Brodt-Giles (NREL)</w:t>
      </w:r>
      <w:r w:rsidR="001D49FE">
        <w:rPr>
          <w:rFonts w:ascii="Times New Roman" w:hAnsi="Times New Roman"/>
        </w:rPr>
        <w:tab/>
      </w:r>
      <w:r w:rsidR="001D49FE">
        <w:rPr>
          <w:rFonts w:ascii="Times New Roman" w:hAnsi="Times New Roman"/>
        </w:rPr>
        <w:tab/>
      </w:r>
      <w:r w:rsidR="001D49FE" w:rsidRPr="001D49FE">
        <w:rPr>
          <w:rFonts w:ascii="Times New Roman" w:hAnsi="Times New Roman"/>
        </w:rPr>
        <w:t>303-275-4440</w:t>
      </w:r>
    </w:p>
    <w:p w14:paraId="41CEC332" w14:textId="77777777" w:rsidR="00B76D69" w:rsidRPr="00896056" w:rsidRDefault="00B76D69" w:rsidP="00B76D69">
      <w:pPr>
        <w:pStyle w:val="NoSpacing"/>
        <w:rPr>
          <w:rFonts w:ascii="Times New Roman" w:hAnsi="Times New Roman"/>
        </w:rPr>
      </w:pPr>
      <w:r w:rsidRPr="00896056">
        <w:rPr>
          <w:rFonts w:ascii="Times New Roman" w:hAnsi="Times New Roman"/>
        </w:rPr>
        <w:t>Ryan McKeel (NREL)</w:t>
      </w:r>
      <w:r w:rsidR="001D49FE">
        <w:rPr>
          <w:rFonts w:ascii="Times New Roman" w:hAnsi="Times New Roman"/>
        </w:rPr>
        <w:tab/>
      </w:r>
      <w:r w:rsidR="001D49FE">
        <w:rPr>
          <w:rFonts w:ascii="Times New Roman" w:hAnsi="Times New Roman"/>
        </w:rPr>
        <w:tab/>
      </w:r>
      <w:r w:rsidR="001D49FE">
        <w:rPr>
          <w:rFonts w:ascii="Times New Roman" w:hAnsi="Times New Roman"/>
        </w:rPr>
        <w:tab/>
      </w:r>
      <w:r w:rsidR="001D49FE" w:rsidRPr="001D49FE">
        <w:rPr>
          <w:rFonts w:ascii="Times New Roman" w:hAnsi="Times New Roman"/>
        </w:rPr>
        <w:t>303-275-3819</w:t>
      </w:r>
    </w:p>
    <w:p w14:paraId="3423238A" w14:textId="77777777" w:rsidR="00B76D69" w:rsidRPr="00896056" w:rsidRDefault="00B76D69" w:rsidP="00B76D69">
      <w:pPr>
        <w:pStyle w:val="NoSpacing"/>
        <w:rPr>
          <w:rFonts w:ascii="Times New Roman" w:hAnsi="Times New Roman"/>
        </w:rPr>
      </w:pPr>
    </w:p>
    <w:p w14:paraId="43173ED2" w14:textId="77777777" w:rsidR="00C21F2F" w:rsidRDefault="00C21F2F" w:rsidP="00B76D69">
      <w:pPr>
        <w:pStyle w:val="NoSpacing"/>
        <w:rPr>
          <w:rFonts w:ascii="Times New Roman" w:hAnsi="Times New Roman"/>
        </w:rPr>
      </w:pPr>
    </w:p>
    <w:p w14:paraId="6DD1E863" w14:textId="77777777" w:rsidR="00B76D69" w:rsidRPr="001D49FE" w:rsidRDefault="00B76D69" w:rsidP="00B76D69">
      <w:pPr>
        <w:pStyle w:val="NoSpacing"/>
        <w:rPr>
          <w:rFonts w:ascii="Times New Roman" w:hAnsi="Times New Roman"/>
          <w:b/>
        </w:rPr>
      </w:pPr>
      <w:r w:rsidRPr="001D49FE">
        <w:rPr>
          <w:rFonts w:ascii="Times New Roman" w:hAnsi="Times New Roman"/>
          <w:b/>
        </w:rPr>
        <w:t>DOE:</w:t>
      </w:r>
    </w:p>
    <w:p w14:paraId="28CCFF99" w14:textId="77777777" w:rsidR="00B76D69" w:rsidRPr="00896056" w:rsidRDefault="00B76D69" w:rsidP="00B76D69">
      <w:pPr>
        <w:pStyle w:val="NoSpacing"/>
        <w:rPr>
          <w:rFonts w:ascii="Times New Roman" w:hAnsi="Times New Roman"/>
        </w:rPr>
      </w:pPr>
      <w:r w:rsidRPr="00896056">
        <w:rPr>
          <w:rFonts w:ascii="Times New Roman" w:hAnsi="Times New Roman"/>
        </w:rPr>
        <w:t>Michael Li</w:t>
      </w:r>
      <w:r w:rsidR="001D49FE">
        <w:rPr>
          <w:rFonts w:ascii="Times New Roman" w:hAnsi="Times New Roman"/>
        </w:rPr>
        <w:tab/>
      </w:r>
      <w:r w:rsidR="001D49FE">
        <w:rPr>
          <w:rFonts w:ascii="Times New Roman" w:hAnsi="Times New Roman"/>
        </w:rPr>
        <w:tab/>
      </w:r>
      <w:r w:rsidR="001D49FE">
        <w:rPr>
          <w:rFonts w:ascii="Times New Roman" w:hAnsi="Times New Roman"/>
        </w:rPr>
        <w:tab/>
      </w:r>
      <w:r w:rsidR="001D49FE">
        <w:rPr>
          <w:rFonts w:ascii="Times New Roman" w:hAnsi="Times New Roman"/>
        </w:rPr>
        <w:tab/>
      </w:r>
      <w:r w:rsidR="001D49FE" w:rsidRPr="001D49FE">
        <w:rPr>
          <w:rFonts w:ascii="Times New Roman" w:hAnsi="Times New Roman"/>
        </w:rPr>
        <w:t>202-287-5718</w:t>
      </w:r>
    </w:p>
    <w:p w14:paraId="5B765E22" w14:textId="77777777" w:rsidR="00B76D69" w:rsidRPr="00896056" w:rsidRDefault="00B76D69" w:rsidP="00B76D69">
      <w:pPr>
        <w:pStyle w:val="NoSpacing"/>
        <w:rPr>
          <w:rFonts w:ascii="Times New Roman" w:hAnsi="Times New Roman"/>
        </w:rPr>
      </w:pPr>
      <w:r w:rsidRPr="00896056">
        <w:rPr>
          <w:rFonts w:ascii="Times New Roman" w:hAnsi="Times New Roman"/>
        </w:rPr>
        <w:t>Carla Frisch</w:t>
      </w:r>
      <w:r w:rsidR="001D49FE">
        <w:rPr>
          <w:rFonts w:ascii="Times New Roman" w:hAnsi="Times New Roman"/>
        </w:rPr>
        <w:tab/>
      </w:r>
      <w:r w:rsidR="001D49FE">
        <w:rPr>
          <w:rFonts w:ascii="Times New Roman" w:hAnsi="Times New Roman"/>
        </w:rPr>
        <w:tab/>
      </w:r>
      <w:r w:rsidR="001D49FE">
        <w:rPr>
          <w:rFonts w:ascii="Times New Roman" w:hAnsi="Times New Roman"/>
        </w:rPr>
        <w:tab/>
      </w:r>
      <w:r w:rsidR="001D49FE">
        <w:rPr>
          <w:rFonts w:ascii="Times New Roman" w:hAnsi="Times New Roman"/>
        </w:rPr>
        <w:tab/>
        <w:t>202-586-6178</w:t>
      </w:r>
    </w:p>
    <w:p w14:paraId="6706181D" w14:textId="77777777" w:rsidR="00C21F2F" w:rsidRPr="00896056" w:rsidRDefault="00C21F2F" w:rsidP="00C21F2F">
      <w:pPr>
        <w:pStyle w:val="NoSpacing"/>
        <w:rPr>
          <w:rFonts w:ascii="Times New Roman" w:hAnsi="Times New Roman"/>
        </w:rPr>
      </w:pPr>
      <w:r w:rsidRPr="00896056">
        <w:rPr>
          <w:rFonts w:ascii="Times New Roman" w:hAnsi="Times New Roman"/>
        </w:rPr>
        <w:t>Jamie Vernon (ORISE)</w:t>
      </w:r>
      <w:r w:rsidR="001D49FE">
        <w:rPr>
          <w:rFonts w:ascii="Times New Roman" w:hAnsi="Times New Roman"/>
        </w:rPr>
        <w:tab/>
      </w:r>
      <w:r w:rsidR="001D49FE">
        <w:rPr>
          <w:rFonts w:ascii="Times New Roman" w:hAnsi="Times New Roman"/>
        </w:rPr>
        <w:tab/>
      </w:r>
      <w:r w:rsidR="001D49FE">
        <w:rPr>
          <w:rFonts w:ascii="Times New Roman" w:hAnsi="Times New Roman"/>
        </w:rPr>
        <w:tab/>
        <w:t>202-586-9883</w:t>
      </w:r>
    </w:p>
    <w:p w14:paraId="6FD80199" w14:textId="77777777" w:rsidR="00C46E99" w:rsidRPr="00C21F2F" w:rsidRDefault="00C46E99">
      <w:pPr>
        <w:rPr>
          <w:rFonts w:ascii="Times New Roman" w:hAnsi="Times New Roman" w:cs="Times New Roman"/>
        </w:rPr>
      </w:pPr>
    </w:p>
    <w:p w14:paraId="4CC24E75" w14:textId="558B338F" w:rsidR="00C21F2F" w:rsidRDefault="00C21F2F" w:rsidP="00C21F2F">
      <w:pPr>
        <w:rPr>
          <w:rFonts w:ascii="Times New Roman" w:hAnsi="Times New Roman" w:cs="Times New Roman"/>
        </w:rPr>
      </w:pPr>
      <w:r w:rsidRPr="00C21F2F">
        <w:rPr>
          <w:rFonts w:ascii="Times New Roman" w:hAnsi="Times New Roman" w:cs="Times New Roman"/>
        </w:rPr>
        <w:t>For additional info</w:t>
      </w:r>
      <w:r>
        <w:rPr>
          <w:rFonts w:ascii="Times New Roman" w:hAnsi="Times New Roman" w:cs="Times New Roman"/>
        </w:rPr>
        <w:t>r</w:t>
      </w:r>
      <w:r w:rsidR="001D49FE">
        <w:rPr>
          <w:rFonts w:ascii="Times New Roman" w:hAnsi="Times New Roman" w:cs="Times New Roman"/>
        </w:rPr>
        <w:t xml:space="preserve">mation concerning this information </w:t>
      </w:r>
      <w:r>
        <w:rPr>
          <w:rFonts w:ascii="Times New Roman" w:hAnsi="Times New Roman" w:cs="Times New Roman"/>
        </w:rPr>
        <w:t>collection</w:t>
      </w:r>
      <w:r w:rsidRPr="00C21F2F">
        <w:rPr>
          <w:rFonts w:ascii="Times New Roman" w:hAnsi="Times New Roman" w:cs="Times New Roman"/>
        </w:rPr>
        <w:t xml:space="preserve">, please contact </w:t>
      </w:r>
      <w:r>
        <w:rPr>
          <w:rFonts w:ascii="Times New Roman" w:hAnsi="Times New Roman" w:cs="Times New Roman"/>
        </w:rPr>
        <w:t>Carla Frisch</w:t>
      </w:r>
      <w:r w:rsidR="001D49FE">
        <w:rPr>
          <w:rFonts w:ascii="Times New Roman" w:hAnsi="Times New Roman" w:cs="Times New Roman"/>
        </w:rPr>
        <w:t xml:space="preserve"> at </w:t>
      </w:r>
      <w:hyperlink r:id="rId9" w:history="1">
        <w:r w:rsidR="00610134" w:rsidRPr="00291317">
          <w:rPr>
            <w:rStyle w:val="Hyperlink"/>
            <w:rFonts w:ascii="Times New Roman" w:hAnsi="Times New Roman" w:cs="Times New Roman"/>
          </w:rPr>
          <w:t>Carla.Frisch@hq.doe.gov</w:t>
        </w:r>
      </w:hyperlink>
      <w:r w:rsidR="001D49FE">
        <w:rPr>
          <w:rFonts w:ascii="Times New Roman" w:hAnsi="Times New Roman" w:cs="Times New Roman"/>
        </w:rPr>
        <w:t xml:space="preserve"> or </w:t>
      </w:r>
      <w:r w:rsidRPr="00C21F2F">
        <w:rPr>
          <w:rFonts w:ascii="Times New Roman" w:hAnsi="Times New Roman" w:cs="Times New Roman"/>
        </w:rPr>
        <w:t>at 202-586-</w:t>
      </w:r>
      <w:r w:rsidR="001D49FE">
        <w:rPr>
          <w:rFonts w:ascii="Times New Roman" w:hAnsi="Times New Roman" w:cs="Times New Roman"/>
        </w:rPr>
        <w:t>6178</w:t>
      </w:r>
      <w:r w:rsidRPr="00C21F2F">
        <w:rPr>
          <w:rFonts w:ascii="Times New Roman" w:hAnsi="Times New Roman" w:cs="Times New Roman"/>
        </w:rPr>
        <w:t xml:space="preserve">. </w:t>
      </w:r>
    </w:p>
    <w:p w14:paraId="5548AC5A" w14:textId="77777777" w:rsidR="007A0AF7" w:rsidRDefault="007A0AF7" w:rsidP="00C21F2F">
      <w:pPr>
        <w:rPr>
          <w:rFonts w:ascii="Times New Roman" w:hAnsi="Times New Roman" w:cs="Times New Roman"/>
        </w:rPr>
        <w:sectPr w:rsidR="007A0AF7" w:rsidSect="00557D73">
          <w:headerReference w:type="default" r:id="rId10"/>
          <w:footerReference w:type="default" r:id="rId11"/>
          <w:pgSz w:w="12240" w:h="15840"/>
          <w:pgMar w:top="1440" w:right="1440" w:bottom="1440" w:left="1440" w:header="720" w:footer="720" w:gutter="0"/>
          <w:cols w:space="720"/>
          <w:docGrid w:linePitch="360"/>
        </w:sectPr>
      </w:pPr>
    </w:p>
    <w:p w14:paraId="6008EE55" w14:textId="77777777" w:rsidR="00C01617" w:rsidRPr="00C01617" w:rsidRDefault="00C01617" w:rsidP="00C01617">
      <w:pPr>
        <w:spacing w:after="240" w:line="240" w:lineRule="auto"/>
        <w:rPr>
          <w:rFonts w:ascii="Times New Roman" w:eastAsia="Times New Roman" w:hAnsi="Times New Roman" w:cs="Times New Roman"/>
          <w:b/>
          <w:sz w:val="28"/>
          <w:szCs w:val="28"/>
        </w:rPr>
      </w:pPr>
      <w:proofErr w:type="gramStart"/>
      <w:r w:rsidRPr="00C01617">
        <w:rPr>
          <w:rFonts w:ascii="Times New Roman" w:eastAsia="Times New Roman" w:hAnsi="Times New Roman" w:cs="Times New Roman"/>
          <w:b/>
          <w:sz w:val="28"/>
          <w:szCs w:val="28"/>
        </w:rPr>
        <w:lastRenderedPageBreak/>
        <w:t>Appendix 1.</w:t>
      </w:r>
      <w:proofErr w:type="gramEnd"/>
      <w:r w:rsidRPr="00C01617">
        <w:rPr>
          <w:rFonts w:ascii="Times New Roman" w:eastAsia="Times New Roman" w:hAnsi="Times New Roman" w:cs="Times New Roman"/>
          <w:b/>
          <w:sz w:val="28"/>
          <w:szCs w:val="28"/>
        </w:rPr>
        <w:t xml:space="preserve"> Criteria for Categorizing Utilities into Tiers Based on Policy Cases</w:t>
      </w:r>
    </w:p>
    <w:tbl>
      <w:tblPr>
        <w:tblW w:w="131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4050"/>
        <w:gridCol w:w="1170"/>
        <w:gridCol w:w="1170"/>
        <w:gridCol w:w="1170"/>
        <w:gridCol w:w="1170"/>
        <w:gridCol w:w="1170"/>
        <w:gridCol w:w="1170"/>
      </w:tblGrid>
      <w:tr w:rsidR="00C01617" w:rsidRPr="00C01617" w14:paraId="55579B80" w14:textId="77777777" w:rsidTr="000079E5">
        <w:trPr>
          <w:trHeight w:val="358"/>
        </w:trPr>
        <w:tc>
          <w:tcPr>
            <w:tcW w:w="2088" w:type="dxa"/>
            <w:shd w:val="clear" w:color="auto" w:fill="FABF8F"/>
          </w:tcPr>
          <w:p w14:paraId="51AC1376"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Residential</w:t>
            </w:r>
          </w:p>
        </w:tc>
        <w:tc>
          <w:tcPr>
            <w:tcW w:w="11070" w:type="dxa"/>
            <w:gridSpan w:val="7"/>
            <w:shd w:val="clear" w:color="auto" w:fill="FABF8F"/>
          </w:tcPr>
          <w:p w14:paraId="517374E0"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Policy Cases</w:t>
            </w:r>
          </w:p>
        </w:tc>
      </w:tr>
      <w:tr w:rsidR="00C01617" w:rsidRPr="00C01617" w14:paraId="5C7CCB94" w14:textId="77777777" w:rsidTr="000079E5">
        <w:trPr>
          <w:trHeight w:val="358"/>
        </w:trPr>
        <w:tc>
          <w:tcPr>
            <w:tcW w:w="2088" w:type="dxa"/>
            <w:shd w:val="clear" w:color="auto" w:fill="FABF8F"/>
          </w:tcPr>
          <w:p w14:paraId="1CF56D72" w14:textId="77777777" w:rsidR="00C01617" w:rsidRPr="00C01617" w:rsidRDefault="00C01617" w:rsidP="00C01617">
            <w:pPr>
              <w:jc w:val="center"/>
              <w:rPr>
                <w:rFonts w:ascii="Times New Roman" w:eastAsia="Times New Roman" w:hAnsi="Times New Roman" w:cs="Times New Roman"/>
                <w:b/>
                <w:sz w:val="24"/>
                <w:szCs w:val="24"/>
              </w:rPr>
            </w:pPr>
          </w:p>
        </w:tc>
        <w:tc>
          <w:tcPr>
            <w:tcW w:w="4050" w:type="dxa"/>
            <w:shd w:val="clear" w:color="auto" w:fill="FABF8F"/>
          </w:tcPr>
          <w:p w14:paraId="0E747021"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Option</w:t>
            </w:r>
          </w:p>
        </w:tc>
        <w:tc>
          <w:tcPr>
            <w:tcW w:w="3510" w:type="dxa"/>
            <w:gridSpan w:val="3"/>
            <w:shd w:val="clear" w:color="auto" w:fill="FABF8F"/>
          </w:tcPr>
          <w:p w14:paraId="23FE60EE"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Benchmarking</w:t>
            </w:r>
          </w:p>
        </w:tc>
        <w:tc>
          <w:tcPr>
            <w:tcW w:w="3510" w:type="dxa"/>
            <w:gridSpan w:val="3"/>
            <w:shd w:val="clear" w:color="auto" w:fill="FABF8F"/>
          </w:tcPr>
          <w:p w14:paraId="70D9541D"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Demand Response</w:t>
            </w:r>
          </w:p>
        </w:tc>
      </w:tr>
      <w:tr w:rsidR="00C01617" w:rsidRPr="00C01617" w14:paraId="0C31B749" w14:textId="77777777" w:rsidTr="000079E5">
        <w:trPr>
          <w:trHeight w:val="914"/>
        </w:trPr>
        <w:tc>
          <w:tcPr>
            <w:tcW w:w="6138" w:type="dxa"/>
            <w:gridSpan w:val="2"/>
            <w:shd w:val="clear" w:color="auto" w:fill="000000" w:themeFill="text1"/>
          </w:tcPr>
          <w:p w14:paraId="3A9ACDF3" w14:textId="77777777" w:rsidR="00C01617" w:rsidRPr="00C01617" w:rsidRDefault="00C01617" w:rsidP="00C01617">
            <w:pPr>
              <w:rPr>
                <w:rFonts w:ascii="Times New Roman" w:eastAsia="Times New Roman" w:hAnsi="Times New Roman" w:cs="Times New Roman"/>
                <w:sz w:val="24"/>
                <w:szCs w:val="24"/>
              </w:rPr>
            </w:pPr>
          </w:p>
        </w:tc>
        <w:tc>
          <w:tcPr>
            <w:tcW w:w="1170" w:type="dxa"/>
            <w:shd w:val="clear" w:color="auto" w:fill="FDE9D9" w:themeFill="accent6" w:themeFillTint="33"/>
          </w:tcPr>
          <w:p w14:paraId="5FDBAD4E"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3</w:t>
            </w:r>
          </w:p>
          <w:p w14:paraId="099474DD" w14:textId="77777777" w:rsidR="00C01617" w:rsidRPr="00C01617" w:rsidRDefault="00C01617" w:rsidP="00C01617">
            <w:pPr>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Standard Access</w:t>
            </w:r>
          </w:p>
        </w:tc>
        <w:tc>
          <w:tcPr>
            <w:tcW w:w="1170" w:type="dxa"/>
            <w:shd w:val="clear" w:color="auto" w:fill="FDE9D9" w:themeFill="accent6" w:themeFillTint="33"/>
          </w:tcPr>
          <w:p w14:paraId="1F53E880"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2</w:t>
            </w:r>
          </w:p>
          <w:p w14:paraId="710B4266"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More</w:t>
            </w:r>
          </w:p>
          <w:p w14:paraId="57FF4355"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Access</w:t>
            </w:r>
          </w:p>
        </w:tc>
        <w:tc>
          <w:tcPr>
            <w:tcW w:w="1170" w:type="dxa"/>
            <w:shd w:val="clear" w:color="auto" w:fill="FDE9D9" w:themeFill="accent6" w:themeFillTint="33"/>
          </w:tcPr>
          <w:p w14:paraId="76C6EC84"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1</w:t>
            </w:r>
          </w:p>
          <w:p w14:paraId="486C7F96" w14:textId="77777777" w:rsidR="00C01617" w:rsidRPr="00C01617" w:rsidRDefault="00C01617" w:rsidP="00C01617">
            <w:pPr>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Most Access</w:t>
            </w:r>
          </w:p>
        </w:tc>
        <w:tc>
          <w:tcPr>
            <w:tcW w:w="1170" w:type="dxa"/>
            <w:shd w:val="clear" w:color="auto" w:fill="E36C0A" w:themeFill="accent6" w:themeFillShade="BF"/>
          </w:tcPr>
          <w:p w14:paraId="05676C19"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3</w:t>
            </w:r>
          </w:p>
          <w:p w14:paraId="6BAA9CF3" w14:textId="77777777" w:rsidR="00C01617" w:rsidRPr="00C01617" w:rsidRDefault="00C01617" w:rsidP="00C01617">
            <w:pPr>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Standard Access</w:t>
            </w:r>
          </w:p>
        </w:tc>
        <w:tc>
          <w:tcPr>
            <w:tcW w:w="1170" w:type="dxa"/>
            <w:shd w:val="clear" w:color="auto" w:fill="E36C0A" w:themeFill="accent6" w:themeFillShade="BF"/>
          </w:tcPr>
          <w:p w14:paraId="0B53F404"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2</w:t>
            </w:r>
          </w:p>
          <w:p w14:paraId="2EC4F9EC"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More</w:t>
            </w:r>
          </w:p>
          <w:p w14:paraId="55B49C9D"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Access</w:t>
            </w:r>
          </w:p>
        </w:tc>
        <w:tc>
          <w:tcPr>
            <w:tcW w:w="1170" w:type="dxa"/>
            <w:shd w:val="clear" w:color="auto" w:fill="E36C0A" w:themeFill="accent6" w:themeFillShade="BF"/>
          </w:tcPr>
          <w:p w14:paraId="0CE910A0"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1</w:t>
            </w:r>
          </w:p>
          <w:p w14:paraId="642F7894"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Most Access</w:t>
            </w:r>
          </w:p>
        </w:tc>
      </w:tr>
      <w:tr w:rsidR="00C01617" w:rsidRPr="00C01617" w14:paraId="6F56B1A9" w14:textId="77777777" w:rsidTr="000079E5">
        <w:trPr>
          <w:trHeight w:val="358"/>
        </w:trPr>
        <w:tc>
          <w:tcPr>
            <w:tcW w:w="2088" w:type="dxa"/>
            <w:shd w:val="clear" w:color="auto" w:fill="EAF1DD" w:themeFill="accent3" w:themeFillTint="33"/>
          </w:tcPr>
          <w:p w14:paraId="6A51261C"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Delivery of data</w:t>
            </w:r>
          </w:p>
        </w:tc>
        <w:tc>
          <w:tcPr>
            <w:tcW w:w="4050" w:type="dxa"/>
            <w:shd w:val="clear" w:color="auto" w:fill="EAF1DD" w:themeFill="accent3" w:themeFillTint="33"/>
          </w:tcPr>
          <w:p w14:paraId="46300206"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Mail</w:t>
            </w:r>
          </w:p>
        </w:tc>
        <w:tc>
          <w:tcPr>
            <w:tcW w:w="1170" w:type="dxa"/>
            <w:vMerge w:val="restart"/>
            <w:shd w:val="clear" w:color="auto" w:fill="EAF1DD" w:themeFill="accent3" w:themeFillTint="33"/>
          </w:tcPr>
          <w:p w14:paraId="3ACA71B4"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0378D1D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4D1721EF"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0B7DBF32" w14:textId="77777777" w:rsidR="00C01617" w:rsidRPr="00C01617" w:rsidRDefault="00C01617" w:rsidP="00C01617">
            <w:pP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721C8DD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4C799505"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21901FD0" w14:textId="77777777" w:rsidTr="000079E5">
        <w:trPr>
          <w:trHeight w:val="358"/>
        </w:trPr>
        <w:tc>
          <w:tcPr>
            <w:tcW w:w="2088" w:type="dxa"/>
            <w:shd w:val="clear" w:color="auto" w:fill="EAF1DD" w:themeFill="accent3" w:themeFillTint="33"/>
          </w:tcPr>
          <w:p w14:paraId="6BEAA038"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23117FE7"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Online in easily downloadable and machine-readable formats including Energy Service Provider Interface (ESPI)</w:t>
            </w:r>
          </w:p>
        </w:tc>
        <w:tc>
          <w:tcPr>
            <w:tcW w:w="1170" w:type="dxa"/>
            <w:vMerge/>
            <w:shd w:val="clear" w:color="auto" w:fill="EAF1DD" w:themeFill="accent3" w:themeFillTint="33"/>
          </w:tcPr>
          <w:p w14:paraId="7164889F"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38DA357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26412FA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EAF1DD" w:themeFill="accent3" w:themeFillTint="33"/>
          </w:tcPr>
          <w:p w14:paraId="2DCE005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52EF1DC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vMerge w:val="restart"/>
            <w:shd w:val="clear" w:color="auto" w:fill="EAF1DD" w:themeFill="accent3" w:themeFillTint="33"/>
          </w:tcPr>
          <w:p w14:paraId="3A567340"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r>
      <w:tr w:rsidR="00C01617" w:rsidRPr="00C01617" w14:paraId="69E595DF" w14:textId="77777777" w:rsidTr="000079E5">
        <w:trPr>
          <w:trHeight w:val="358"/>
        </w:trPr>
        <w:tc>
          <w:tcPr>
            <w:tcW w:w="2088" w:type="dxa"/>
            <w:shd w:val="clear" w:color="auto" w:fill="EAF1DD" w:themeFill="accent3" w:themeFillTint="33"/>
          </w:tcPr>
          <w:p w14:paraId="312145EE"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64848D5B"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Online as PDF, directly visible on a web page, or similar forms</w:t>
            </w:r>
          </w:p>
        </w:tc>
        <w:tc>
          <w:tcPr>
            <w:tcW w:w="1170" w:type="dxa"/>
            <w:vMerge/>
            <w:shd w:val="clear" w:color="auto" w:fill="EAF1DD" w:themeFill="accent3" w:themeFillTint="33"/>
          </w:tcPr>
          <w:p w14:paraId="4C2FCA5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6072C6EB"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E46189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22B007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6BD053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2C7D9C65"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4A607CB4" w14:textId="77777777" w:rsidTr="000079E5">
        <w:trPr>
          <w:trHeight w:val="358"/>
        </w:trPr>
        <w:tc>
          <w:tcPr>
            <w:tcW w:w="2088" w:type="dxa"/>
            <w:shd w:val="clear" w:color="auto" w:fill="EAF1DD" w:themeFill="accent3" w:themeFillTint="33"/>
          </w:tcPr>
          <w:p w14:paraId="27B37B48"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2B8D48E2"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 xml:space="preserve">In-home through a home area network, dedicated device, or mobile app </w:t>
            </w:r>
          </w:p>
        </w:tc>
        <w:tc>
          <w:tcPr>
            <w:tcW w:w="1170" w:type="dxa"/>
            <w:vMerge/>
            <w:shd w:val="clear" w:color="auto" w:fill="EAF1DD" w:themeFill="accent3" w:themeFillTint="33"/>
          </w:tcPr>
          <w:p w14:paraId="6631C3C4"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1E3022D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37B5C73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3A8171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7289C6B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A98FE4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044AA933" w14:textId="77777777" w:rsidTr="000079E5">
        <w:trPr>
          <w:trHeight w:val="358"/>
        </w:trPr>
        <w:tc>
          <w:tcPr>
            <w:tcW w:w="2088" w:type="dxa"/>
            <w:shd w:val="clear" w:color="auto" w:fill="DBE5F1" w:themeFill="accent1" w:themeFillTint="33"/>
          </w:tcPr>
          <w:p w14:paraId="729CF016"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Time-period (any combination of delivery modes that satisfy these requirements)</w:t>
            </w:r>
          </w:p>
        </w:tc>
        <w:tc>
          <w:tcPr>
            <w:tcW w:w="4050" w:type="dxa"/>
            <w:shd w:val="clear" w:color="auto" w:fill="DBE5F1" w:themeFill="accent1" w:themeFillTint="33"/>
          </w:tcPr>
          <w:p w14:paraId="09B36F03"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Last month</w:t>
            </w:r>
          </w:p>
        </w:tc>
        <w:tc>
          <w:tcPr>
            <w:tcW w:w="1170" w:type="dxa"/>
            <w:vMerge w:val="restart"/>
            <w:shd w:val="clear" w:color="auto" w:fill="DBE5F1" w:themeFill="accent1" w:themeFillTint="33"/>
          </w:tcPr>
          <w:p w14:paraId="43B672A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DBE5F1" w:themeFill="accent1" w:themeFillTint="33"/>
          </w:tcPr>
          <w:p w14:paraId="495A0D3F"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1EBAFEC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val="restart"/>
            <w:shd w:val="clear" w:color="auto" w:fill="DBE5F1" w:themeFill="accent1" w:themeFillTint="33"/>
          </w:tcPr>
          <w:p w14:paraId="06CD10C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DBE5F1" w:themeFill="accent1" w:themeFillTint="33"/>
          </w:tcPr>
          <w:p w14:paraId="04097F2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7B5EF0D9"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27EDC4C1" w14:textId="77777777" w:rsidTr="000079E5">
        <w:trPr>
          <w:trHeight w:val="358"/>
        </w:trPr>
        <w:tc>
          <w:tcPr>
            <w:tcW w:w="2088" w:type="dxa"/>
            <w:shd w:val="clear" w:color="auto" w:fill="DBE5F1" w:themeFill="accent1" w:themeFillTint="33"/>
          </w:tcPr>
          <w:p w14:paraId="3F49C073" w14:textId="77777777" w:rsidR="00C01617" w:rsidRPr="00C01617" w:rsidRDefault="00C01617" w:rsidP="00C01617">
            <w:pPr>
              <w:rPr>
                <w:rFonts w:ascii="Times New Roman" w:eastAsia="Times New Roman" w:hAnsi="Times New Roman" w:cs="Times New Roman"/>
                <w:b/>
                <w:sz w:val="24"/>
                <w:szCs w:val="24"/>
              </w:rPr>
            </w:pPr>
          </w:p>
        </w:tc>
        <w:tc>
          <w:tcPr>
            <w:tcW w:w="4050" w:type="dxa"/>
            <w:tcBorders>
              <w:bottom w:val="single" w:sz="4" w:space="0" w:color="auto"/>
            </w:tcBorders>
            <w:shd w:val="clear" w:color="auto" w:fill="DBE5F1" w:themeFill="accent1" w:themeFillTint="33"/>
          </w:tcPr>
          <w:p w14:paraId="0B68DB17"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Last 13 months</w:t>
            </w:r>
          </w:p>
        </w:tc>
        <w:tc>
          <w:tcPr>
            <w:tcW w:w="1170" w:type="dxa"/>
            <w:vMerge/>
            <w:tcBorders>
              <w:bottom w:val="single" w:sz="4" w:space="0" w:color="auto"/>
            </w:tcBorders>
            <w:shd w:val="clear" w:color="auto" w:fill="DBE5F1" w:themeFill="accent1" w:themeFillTint="33"/>
          </w:tcPr>
          <w:p w14:paraId="50A9B6A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tcBorders>
              <w:bottom w:val="single" w:sz="4" w:space="0" w:color="auto"/>
            </w:tcBorders>
            <w:shd w:val="clear" w:color="auto" w:fill="DBE5F1" w:themeFill="accent1" w:themeFillTint="33"/>
          </w:tcPr>
          <w:p w14:paraId="19D01DF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6019B67D"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DBE5F1" w:themeFill="accent1" w:themeFillTint="33"/>
          </w:tcPr>
          <w:p w14:paraId="557AB0A0"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5ED6D47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72A10FF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4B54D2A5" w14:textId="77777777" w:rsidTr="000079E5">
        <w:trPr>
          <w:trHeight w:val="827"/>
        </w:trPr>
        <w:tc>
          <w:tcPr>
            <w:tcW w:w="2088" w:type="dxa"/>
            <w:tcBorders>
              <w:right w:val="single" w:sz="4" w:space="0" w:color="auto"/>
            </w:tcBorders>
            <w:shd w:val="clear" w:color="auto" w:fill="DBE5F1" w:themeFill="accent1" w:themeFillTint="33"/>
          </w:tcPr>
          <w:p w14:paraId="67A1F41B" w14:textId="77777777" w:rsidR="00C01617" w:rsidRPr="00C01617" w:rsidRDefault="00C01617" w:rsidP="00C01617">
            <w:pPr>
              <w:rPr>
                <w:rFonts w:ascii="Times New Roman" w:eastAsia="Times New Roman" w:hAnsi="Times New Roman" w:cs="Times New Roman"/>
                <w:b/>
                <w:sz w:val="24"/>
                <w:szCs w:val="24"/>
              </w:rPr>
            </w:pPr>
          </w:p>
        </w:tc>
        <w:tc>
          <w:tcPr>
            <w:tcW w:w="405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B1EA166"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Since last bill</w:t>
            </w:r>
          </w:p>
        </w:tc>
        <w:tc>
          <w:tcPr>
            <w:tcW w:w="1170" w:type="dxa"/>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22ADF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794D8C"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tcBorders>
              <w:left w:val="single" w:sz="4" w:space="0" w:color="auto"/>
            </w:tcBorders>
            <w:shd w:val="clear" w:color="auto" w:fill="DBE5F1" w:themeFill="accent1" w:themeFillTint="33"/>
          </w:tcPr>
          <w:p w14:paraId="7AA0EC1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0A8F293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312C250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05954A6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0BE75A0F" w14:textId="77777777" w:rsidTr="000079E5">
        <w:trPr>
          <w:trHeight w:val="358"/>
        </w:trPr>
        <w:tc>
          <w:tcPr>
            <w:tcW w:w="2088" w:type="dxa"/>
            <w:shd w:val="clear" w:color="auto" w:fill="DBE5F1" w:themeFill="accent1" w:themeFillTint="33"/>
          </w:tcPr>
          <w:p w14:paraId="1021F3BD" w14:textId="77777777" w:rsidR="00C01617" w:rsidRPr="00C01617" w:rsidRDefault="00C01617" w:rsidP="00C01617">
            <w:pPr>
              <w:rPr>
                <w:rFonts w:ascii="Times New Roman" w:eastAsia="Times New Roman" w:hAnsi="Times New Roman" w:cs="Times New Roman"/>
                <w:b/>
                <w:sz w:val="24"/>
                <w:szCs w:val="24"/>
              </w:rPr>
            </w:pPr>
          </w:p>
        </w:tc>
        <w:tc>
          <w:tcPr>
            <w:tcW w:w="4050" w:type="dxa"/>
            <w:tcBorders>
              <w:top w:val="single" w:sz="4" w:space="0" w:color="auto"/>
            </w:tcBorders>
            <w:shd w:val="clear" w:color="auto" w:fill="DBE5F1" w:themeFill="accent1" w:themeFillTint="33"/>
          </w:tcPr>
          <w:p w14:paraId="01904D71"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Last 24 months</w:t>
            </w:r>
          </w:p>
        </w:tc>
        <w:tc>
          <w:tcPr>
            <w:tcW w:w="1170" w:type="dxa"/>
            <w:vMerge/>
            <w:tcBorders>
              <w:top w:val="single" w:sz="4" w:space="0" w:color="auto"/>
            </w:tcBorders>
            <w:shd w:val="clear" w:color="auto" w:fill="DBE5F1" w:themeFill="accent1" w:themeFillTint="33"/>
          </w:tcPr>
          <w:p w14:paraId="17F788DF"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tcBorders>
              <w:top w:val="single" w:sz="4" w:space="0" w:color="auto"/>
            </w:tcBorders>
            <w:shd w:val="clear" w:color="auto" w:fill="DBE5F1" w:themeFill="accent1" w:themeFillTint="33"/>
          </w:tcPr>
          <w:p w14:paraId="0E4A9BEC"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5F4C619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DBE5F1" w:themeFill="accent1" w:themeFillTint="33"/>
          </w:tcPr>
          <w:p w14:paraId="1048F6E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5A349C4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2F5C8858"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2112DEF4" w14:textId="77777777" w:rsidTr="000079E5">
        <w:trPr>
          <w:trHeight w:val="358"/>
        </w:trPr>
        <w:tc>
          <w:tcPr>
            <w:tcW w:w="2088" w:type="dxa"/>
            <w:shd w:val="clear" w:color="auto" w:fill="EAF1DD" w:themeFill="accent3" w:themeFillTint="33"/>
          </w:tcPr>
          <w:p w14:paraId="4576ACDE"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Frequency of data</w:t>
            </w:r>
          </w:p>
        </w:tc>
        <w:tc>
          <w:tcPr>
            <w:tcW w:w="4050" w:type="dxa"/>
            <w:shd w:val="clear" w:color="auto" w:fill="EAF1DD" w:themeFill="accent3" w:themeFillTint="33"/>
          </w:tcPr>
          <w:p w14:paraId="74D29C0F"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Less than 15-minute increments with reporting delay</w:t>
            </w:r>
          </w:p>
        </w:tc>
        <w:tc>
          <w:tcPr>
            <w:tcW w:w="1170" w:type="dxa"/>
            <w:vMerge w:val="restart"/>
            <w:shd w:val="clear" w:color="auto" w:fill="EAF1DD" w:themeFill="accent3" w:themeFillTint="33"/>
          </w:tcPr>
          <w:p w14:paraId="4EB9DC5E"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vMerge w:val="restart"/>
            <w:shd w:val="clear" w:color="auto" w:fill="EAF1DD" w:themeFill="accent3" w:themeFillTint="33"/>
          </w:tcPr>
          <w:p w14:paraId="4B47D1C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vMerge w:val="restart"/>
            <w:shd w:val="clear" w:color="auto" w:fill="EAF1DD" w:themeFill="accent3" w:themeFillTint="33"/>
          </w:tcPr>
          <w:p w14:paraId="1D485C2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vMerge w:val="restart"/>
            <w:shd w:val="clear" w:color="auto" w:fill="EAF1DD" w:themeFill="accent3" w:themeFillTint="33"/>
          </w:tcPr>
          <w:p w14:paraId="7C04CE6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5F6E93F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302F4911"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r>
      <w:tr w:rsidR="00C01617" w:rsidRPr="00C01617" w14:paraId="42D5DD17" w14:textId="77777777" w:rsidTr="000079E5">
        <w:trPr>
          <w:trHeight w:val="358"/>
        </w:trPr>
        <w:tc>
          <w:tcPr>
            <w:tcW w:w="2088" w:type="dxa"/>
            <w:shd w:val="clear" w:color="auto" w:fill="EAF1DD" w:themeFill="accent3" w:themeFillTint="33"/>
          </w:tcPr>
          <w:p w14:paraId="6BFFFEF2"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56E46E9E"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Less than 15-minute increments without reporting delay.</w:t>
            </w:r>
          </w:p>
        </w:tc>
        <w:tc>
          <w:tcPr>
            <w:tcW w:w="1170" w:type="dxa"/>
            <w:vMerge/>
            <w:shd w:val="clear" w:color="auto" w:fill="EAF1DD" w:themeFill="accent3" w:themeFillTint="33"/>
          </w:tcPr>
          <w:p w14:paraId="1474820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4AD568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18DE63C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26A662C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5827F01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0F336C7E"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02721DEF" w14:textId="77777777" w:rsidTr="000079E5">
        <w:trPr>
          <w:trHeight w:val="358"/>
        </w:trPr>
        <w:tc>
          <w:tcPr>
            <w:tcW w:w="2088" w:type="dxa"/>
            <w:shd w:val="clear" w:color="auto" w:fill="EAF1DD" w:themeFill="accent3" w:themeFillTint="33"/>
          </w:tcPr>
          <w:p w14:paraId="218F817E"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196772DA"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15-minute increments</w:t>
            </w:r>
          </w:p>
        </w:tc>
        <w:tc>
          <w:tcPr>
            <w:tcW w:w="1170" w:type="dxa"/>
            <w:vMerge/>
            <w:shd w:val="clear" w:color="auto" w:fill="EAF1DD" w:themeFill="accent3" w:themeFillTint="33"/>
          </w:tcPr>
          <w:p w14:paraId="30ADD1E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1759D040"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6B96F878"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19C70FE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04B9D19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67AA119A"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6277FF1C" w14:textId="77777777" w:rsidTr="000079E5">
        <w:trPr>
          <w:trHeight w:val="358"/>
        </w:trPr>
        <w:tc>
          <w:tcPr>
            <w:tcW w:w="2088" w:type="dxa"/>
            <w:shd w:val="clear" w:color="auto" w:fill="EAF1DD" w:themeFill="accent3" w:themeFillTint="33"/>
          </w:tcPr>
          <w:p w14:paraId="6EF31D42"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7FB65919"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Hourly</w:t>
            </w:r>
          </w:p>
        </w:tc>
        <w:tc>
          <w:tcPr>
            <w:tcW w:w="1170" w:type="dxa"/>
            <w:vMerge/>
            <w:shd w:val="clear" w:color="auto" w:fill="EAF1DD" w:themeFill="accent3" w:themeFillTint="33"/>
          </w:tcPr>
          <w:p w14:paraId="1185090C"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37B8D9A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983337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95A1480"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1FD15C2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3DC8FBFD"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55BCA6DE" w14:textId="77777777" w:rsidTr="000079E5">
        <w:trPr>
          <w:trHeight w:val="358"/>
        </w:trPr>
        <w:tc>
          <w:tcPr>
            <w:tcW w:w="2088" w:type="dxa"/>
            <w:shd w:val="clear" w:color="auto" w:fill="EAF1DD" w:themeFill="accent3" w:themeFillTint="33"/>
          </w:tcPr>
          <w:p w14:paraId="3082CC16"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24DC2596"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Daily</w:t>
            </w:r>
          </w:p>
        </w:tc>
        <w:tc>
          <w:tcPr>
            <w:tcW w:w="1170" w:type="dxa"/>
            <w:vMerge/>
            <w:shd w:val="clear" w:color="auto" w:fill="EAF1DD" w:themeFill="accent3" w:themeFillTint="33"/>
          </w:tcPr>
          <w:p w14:paraId="2C9AAACF"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4978D5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0515D05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30E5967B"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72CACB77"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68EC8BD0"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43AEF78C" w14:textId="77777777" w:rsidTr="000079E5">
        <w:trPr>
          <w:trHeight w:val="358"/>
        </w:trPr>
        <w:tc>
          <w:tcPr>
            <w:tcW w:w="2088" w:type="dxa"/>
            <w:shd w:val="clear" w:color="auto" w:fill="EAF1DD" w:themeFill="accent3" w:themeFillTint="33"/>
          </w:tcPr>
          <w:p w14:paraId="415A799A"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46F7D273"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Monthly</w:t>
            </w:r>
          </w:p>
        </w:tc>
        <w:tc>
          <w:tcPr>
            <w:tcW w:w="1170" w:type="dxa"/>
            <w:vMerge/>
            <w:shd w:val="clear" w:color="auto" w:fill="EAF1DD" w:themeFill="accent3" w:themeFillTint="33"/>
          </w:tcPr>
          <w:p w14:paraId="2C5166E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9E4D58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6AE0655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EAF1DD" w:themeFill="accent3" w:themeFillTint="33"/>
          </w:tcPr>
          <w:p w14:paraId="3D9BED5B"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1ED8B8F"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310FBC13"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76AAC8D5" w14:textId="77777777" w:rsidTr="000079E5">
        <w:trPr>
          <w:trHeight w:val="358"/>
        </w:trPr>
        <w:tc>
          <w:tcPr>
            <w:tcW w:w="2088" w:type="dxa"/>
            <w:shd w:val="clear" w:color="auto" w:fill="EAF1DD" w:themeFill="accent3" w:themeFillTint="33"/>
          </w:tcPr>
          <w:p w14:paraId="2A5B9D1D"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17A7208D"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Less frequently than monthly</w:t>
            </w:r>
          </w:p>
        </w:tc>
        <w:tc>
          <w:tcPr>
            <w:tcW w:w="1170" w:type="dxa"/>
            <w:vMerge/>
            <w:shd w:val="clear" w:color="auto" w:fill="EAF1DD" w:themeFill="accent3" w:themeFillTint="33"/>
          </w:tcPr>
          <w:p w14:paraId="019891D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551FF664"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463C3BE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0FD2457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10BEA89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7D566698"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32130D43" w14:textId="77777777" w:rsidTr="000079E5">
        <w:trPr>
          <w:trHeight w:val="358"/>
        </w:trPr>
        <w:tc>
          <w:tcPr>
            <w:tcW w:w="2088" w:type="dxa"/>
            <w:shd w:val="clear" w:color="auto" w:fill="DBE5F1" w:themeFill="accent1" w:themeFillTint="33"/>
          </w:tcPr>
          <w:p w14:paraId="10E777B6"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Access to data</w:t>
            </w:r>
          </w:p>
        </w:tc>
        <w:tc>
          <w:tcPr>
            <w:tcW w:w="4050" w:type="dxa"/>
            <w:shd w:val="clear" w:color="auto" w:fill="DBE5F1" w:themeFill="accent1" w:themeFillTint="33"/>
          </w:tcPr>
          <w:p w14:paraId="1AE83CFD"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Customer</w:t>
            </w:r>
          </w:p>
        </w:tc>
        <w:tc>
          <w:tcPr>
            <w:tcW w:w="1170" w:type="dxa"/>
            <w:vMerge w:val="restart"/>
            <w:shd w:val="clear" w:color="auto" w:fill="DBE5F1" w:themeFill="accent1" w:themeFillTint="33"/>
          </w:tcPr>
          <w:p w14:paraId="5A786E6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DBE5F1" w:themeFill="accent1" w:themeFillTint="33"/>
          </w:tcPr>
          <w:p w14:paraId="593063F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3078194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val="restart"/>
            <w:shd w:val="clear" w:color="auto" w:fill="DBE5F1" w:themeFill="accent1" w:themeFillTint="33"/>
          </w:tcPr>
          <w:p w14:paraId="0A6EA01F"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DBE5F1" w:themeFill="accent1" w:themeFillTint="33"/>
          </w:tcPr>
          <w:p w14:paraId="51018B3E"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4347BC6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60256E3C" w14:textId="77777777" w:rsidTr="000079E5">
        <w:trPr>
          <w:trHeight w:val="358"/>
        </w:trPr>
        <w:tc>
          <w:tcPr>
            <w:tcW w:w="2088" w:type="dxa"/>
            <w:shd w:val="clear" w:color="auto" w:fill="DBE5F1" w:themeFill="accent1" w:themeFillTint="33"/>
          </w:tcPr>
          <w:p w14:paraId="1FF0A161"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6D6BB823"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Available to authorized third party with fee</w:t>
            </w:r>
          </w:p>
        </w:tc>
        <w:tc>
          <w:tcPr>
            <w:tcW w:w="1170" w:type="dxa"/>
            <w:vMerge/>
            <w:shd w:val="clear" w:color="auto" w:fill="DBE5F1" w:themeFill="accent1" w:themeFillTint="33"/>
          </w:tcPr>
          <w:p w14:paraId="588415D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DBE5F1" w:themeFill="accent1" w:themeFillTint="33"/>
          </w:tcPr>
          <w:p w14:paraId="5E47C8ED"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DBE5F1" w:themeFill="accent1" w:themeFillTint="33"/>
          </w:tcPr>
          <w:p w14:paraId="02F41FC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6A744D3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DBE5F1" w:themeFill="accent1" w:themeFillTint="33"/>
          </w:tcPr>
          <w:p w14:paraId="0AC41A99"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DBE5F1" w:themeFill="accent1" w:themeFillTint="33"/>
          </w:tcPr>
          <w:p w14:paraId="203D063F"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6962E4F0" w14:textId="77777777" w:rsidTr="000079E5">
        <w:trPr>
          <w:trHeight w:val="358"/>
        </w:trPr>
        <w:tc>
          <w:tcPr>
            <w:tcW w:w="2088" w:type="dxa"/>
            <w:shd w:val="clear" w:color="auto" w:fill="DBE5F1" w:themeFill="accent1" w:themeFillTint="33"/>
          </w:tcPr>
          <w:p w14:paraId="1702DB5A"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63A5C038"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Available to authorized third party without fee</w:t>
            </w:r>
          </w:p>
        </w:tc>
        <w:tc>
          <w:tcPr>
            <w:tcW w:w="1170" w:type="dxa"/>
            <w:vMerge/>
            <w:shd w:val="clear" w:color="auto" w:fill="DBE5F1" w:themeFill="accent1" w:themeFillTint="33"/>
          </w:tcPr>
          <w:p w14:paraId="68CC0AD8"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76C8ECE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1534BA4D"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DBE5F1" w:themeFill="accent1" w:themeFillTint="33"/>
          </w:tcPr>
          <w:p w14:paraId="22DBDCC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67B1E96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2F54F5B5"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7BA31B7F" w14:textId="77777777" w:rsidTr="000079E5">
        <w:trPr>
          <w:trHeight w:val="358"/>
        </w:trPr>
        <w:tc>
          <w:tcPr>
            <w:tcW w:w="2088" w:type="dxa"/>
            <w:shd w:val="clear" w:color="auto" w:fill="DBE5F1" w:themeFill="accent1" w:themeFillTint="33"/>
          </w:tcPr>
          <w:p w14:paraId="11F5B045"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1977FBD2"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Third-party access via separate account</w:t>
            </w:r>
          </w:p>
        </w:tc>
        <w:tc>
          <w:tcPr>
            <w:tcW w:w="1170" w:type="dxa"/>
            <w:vMerge/>
            <w:shd w:val="clear" w:color="auto" w:fill="DBE5F1" w:themeFill="accent1" w:themeFillTint="33"/>
          </w:tcPr>
          <w:p w14:paraId="2B0455F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6062EB2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4DE40BC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DBE5F1" w:themeFill="accent1" w:themeFillTint="33"/>
          </w:tcPr>
          <w:p w14:paraId="40A41474"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71B16D18"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3EB3327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1DAE0F0C" w14:textId="77777777" w:rsidTr="000079E5">
        <w:trPr>
          <w:trHeight w:val="358"/>
        </w:trPr>
        <w:tc>
          <w:tcPr>
            <w:tcW w:w="2088" w:type="dxa"/>
            <w:shd w:val="clear" w:color="auto" w:fill="EAF1DD" w:themeFill="accent3" w:themeFillTint="33"/>
          </w:tcPr>
          <w:p w14:paraId="3B62E068"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lastRenderedPageBreak/>
              <w:t>Consumption Data (kWh)</w:t>
            </w:r>
          </w:p>
        </w:tc>
        <w:tc>
          <w:tcPr>
            <w:tcW w:w="4050" w:type="dxa"/>
            <w:shd w:val="clear" w:color="auto" w:fill="EAF1DD" w:themeFill="accent3" w:themeFillTint="33"/>
          </w:tcPr>
          <w:p w14:paraId="5B47C6A1" w14:textId="77777777" w:rsidR="00C01617" w:rsidRPr="00C01617" w:rsidRDefault="00C01617" w:rsidP="00C01617">
            <w:pPr>
              <w:rPr>
                <w:rFonts w:ascii="Times New Roman" w:eastAsia="Times New Roman" w:hAnsi="Times New Roman" w:cs="Times New Roman"/>
                <w:sz w:val="24"/>
                <w:szCs w:val="24"/>
              </w:rPr>
            </w:pPr>
          </w:p>
        </w:tc>
        <w:tc>
          <w:tcPr>
            <w:tcW w:w="1170" w:type="dxa"/>
            <w:shd w:val="clear" w:color="auto" w:fill="EAF1DD" w:themeFill="accent3" w:themeFillTint="33"/>
          </w:tcPr>
          <w:p w14:paraId="6B9BE7F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571E50D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410FE97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1A7BB41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16B8FC5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51B4BC71"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70599AEB" w14:textId="77777777" w:rsidTr="000079E5">
        <w:trPr>
          <w:trHeight w:val="358"/>
        </w:trPr>
        <w:tc>
          <w:tcPr>
            <w:tcW w:w="2088" w:type="dxa"/>
            <w:shd w:val="clear" w:color="auto" w:fill="DBE5F1" w:themeFill="accent1" w:themeFillTint="33"/>
          </w:tcPr>
          <w:p w14:paraId="39840A97"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Demand Data (kW)</w:t>
            </w:r>
          </w:p>
        </w:tc>
        <w:tc>
          <w:tcPr>
            <w:tcW w:w="4050" w:type="dxa"/>
            <w:shd w:val="clear" w:color="auto" w:fill="DBE5F1" w:themeFill="accent1" w:themeFillTint="33"/>
          </w:tcPr>
          <w:p w14:paraId="1997046C" w14:textId="77777777" w:rsidR="00C01617" w:rsidRPr="00C01617" w:rsidRDefault="00C01617" w:rsidP="00C01617">
            <w:pPr>
              <w:rPr>
                <w:rFonts w:ascii="Times New Roman" w:eastAsia="Times New Roman" w:hAnsi="Times New Roman" w:cs="Times New Roman"/>
                <w:sz w:val="24"/>
                <w:szCs w:val="24"/>
              </w:rPr>
            </w:pPr>
          </w:p>
        </w:tc>
        <w:tc>
          <w:tcPr>
            <w:tcW w:w="1170" w:type="dxa"/>
            <w:shd w:val="clear" w:color="auto" w:fill="DBE5F1" w:themeFill="accent1" w:themeFillTint="33"/>
          </w:tcPr>
          <w:p w14:paraId="5191543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4F597A0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36AC596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0CEDC678"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18E3901C"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6D1C4395"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76913FB9" w14:textId="77777777" w:rsidTr="000079E5">
        <w:trPr>
          <w:trHeight w:val="358"/>
        </w:trPr>
        <w:tc>
          <w:tcPr>
            <w:tcW w:w="2088" w:type="dxa"/>
            <w:shd w:val="clear" w:color="auto" w:fill="FABF8F" w:themeFill="accent6" w:themeFillTint="99"/>
          </w:tcPr>
          <w:p w14:paraId="389929E0"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Commercial</w:t>
            </w:r>
          </w:p>
        </w:tc>
        <w:tc>
          <w:tcPr>
            <w:tcW w:w="11070" w:type="dxa"/>
            <w:gridSpan w:val="7"/>
            <w:shd w:val="clear" w:color="auto" w:fill="FABF8F" w:themeFill="accent6" w:themeFillTint="99"/>
          </w:tcPr>
          <w:p w14:paraId="66E83DA1"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4"/>
                <w:szCs w:val="24"/>
              </w:rPr>
              <w:t>Policy Cases</w:t>
            </w:r>
          </w:p>
        </w:tc>
      </w:tr>
      <w:tr w:rsidR="00C01617" w:rsidRPr="00C01617" w14:paraId="4174B797" w14:textId="77777777" w:rsidTr="000079E5">
        <w:trPr>
          <w:trHeight w:val="358"/>
        </w:trPr>
        <w:tc>
          <w:tcPr>
            <w:tcW w:w="2088" w:type="dxa"/>
            <w:shd w:val="clear" w:color="auto" w:fill="FABF8F" w:themeFill="accent6" w:themeFillTint="99"/>
          </w:tcPr>
          <w:p w14:paraId="3D468E2C" w14:textId="77777777" w:rsidR="00C01617" w:rsidRPr="00C01617" w:rsidRDefault="00C01617" w:rsidP="00C01617">
            <w:pPr>
              <w:jc w:val="center"/>
              <w:rPr>
                <w:rFonts w:ascii="Times New Roman" w:eastAsia="Times New Roman" w:hAnsi="Times New Roman" w:cs="Times New Roman"/>
                <w:b/>
                <w:sz w:val="24"/>
                <w:szCs w:val="24"/>
              </w:rPr>
            </w:pPr>
          </w:p>
        </w:tc>
        <w:tc>
          <w:tcPr>
            <w:tcW w:w="4050" w:type="dxa"/>
            <w:shd w:val="clear" w:color="auto" w:fill="FABF8F" w:themeFill="accent6" w:themeFillTint="99"/>
          </w:tcPr>
          <w:p w14:paraId="56C91276"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Option</w:t>
            </w:r>
          </w:p>
        </w:tc>
        <w:tc>
          <w:tcPr>
            <w:tcW w:w="3510" w:type="dxa"/>
            <w:gridSpan w:val="3"/>
            <w:shd w:val="clear" w:color="auto" w:fill="FABF8F" w:themeFill="accent6" w:themeFillTint="99"/>
          </w:tcPr>
          <w:p w14:paraId="7AD628F5"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4"/>
                <w:szCs w:val="24"/>
              </w:rPr>
              <w:t>Benchmarking</w:t>
            </w:r>
          </w:p>
        </w:tc>
        <w:tc>
          <w:tcPr>
            <w:tcW w:w="3510" w:type="dxa"/>
            <w:gridSpan w:val="3"/>
            <w:shd w:val="clear" w:color="auto" w:fill="FABF8F" w:themeFill="accent6" w:themeFillTint="99"/>
          </w:tcPr>
          <w:p w14:paraId="04EE3505"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4"/>
                <w:szCs w:val="24"/>
              </w:rPr>
              <w:t>Demand Response</w:t>
            </w:r>
          </w:p>
        </w:tc>
      </w:tr>
      <w:tr w:rsidR="00C01617" w:rsidRPr="00C01617" w14:paraId="303DC708" w14:textId="77777777" w:rsidTr="000079E5">
        <w:trPr>
          <w:trHeight w:val="358"/>
        </w:trPr>
        <w:tc>
          <w:tcPr>
            <w:tcW w:w="6138" w:type="dxa"/>
            <w:gridSpan w:val="2"/>
            <w:shd w:val="clear" w:color="auto" w:fill="000000" w:themeFill="text1"/>
          </w:tcPr>
          <w:p w14:paraId="35B3ED3B" w14:textId="77777777" w:rsidR="00C01617" w:rsidRPr="00C01617" w:rsidRDefault="00C01617" w:rsidP="00C01617">
            <w:pPr>
              <w:rPr>
                <w:rFonts w:ascii="Times New Roman" w:eastAsia="Times New Roman" w:hAnsi="Times New Roman" w:cs="Times New Roman"/>
                <w:sz w:val="24"/>
                <w:szCs w:val="24"/>
              </w:rPr>
            </w:pPr>
          </w:p>
        </w:tc>
        <w:tc>
          <w:tcPr>
            <w:tcW w:w="1170" w:type="dxa"/>
            <w:shd w:val="clear" w:color="auto" w:fill="FDE9D9" w:themeFill="accent6" w:themeFillTint="33"/>
          </w:tcPr>
          <w:p w14:paraId="52A0ADF3"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3</w:t>
            </w:r>
          </w:p>
          <w:p w14:paraId="793E21FC" w14:textId="77777777" w:rsidR="00C01617" w:rsidRPr="00C01617" w:rsidRDefault="00C01617" w:rsidP="00C01617">
            <w:pPr>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Standard Access</w:t>
            </w:r>
          </w:p>
        </w:tc>
        <w:tc>
          <w:tcPr>
            <w:tcW w:w="1170" w:type="dxa"/>
            <w:shd w:val="clear" w:color="auto" w:fill="FDE9D9" w:themeFill="accent6" w:themeFillTint="33"/>
          </w:tcPr>
          <w:p w14:paraId="5FAAB12A"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2</w:t>
            </w:r>
          </w:p>
          <w:p w14:paraId="325B7266"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More</w:t>
            </w:r>
          </w:p>
          <w:p w14:paraId="79407A3C"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Access</w:t>
            </w:r>
          </w:p>
        </w:tc>
        <w:tc>
          <w:tcPr>
            <w:tcW w:w="1170" w:type="dxa"/>
            <w:shd w:val="clear" w:color="auto" w:fill="FDE9D9" w:themeFill="accent6" w:themeFillTint="33"/>
          </w:tcPr>
          <w:p w14:paraId="399E3F11"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1</w:t>
            </w:r>
          </w:p>
          <w:p w14:paraId="06E63EFA" w14:textId="77777777" w:rsidR="00C01617" w:rsidRPr="00C01617" w:rsidRDefault="00C01617" w:rsidP="00C01617">
            <w:pPr>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Most Access</w:t>
            </w:r>
          </w:p>
        </w:tc>
        <w:tc>
          <w:tcPr>
            <w:tcW w:w="1170" w:type="dxa"/>
            <w:shd w:val="clear" w:color="auto" w:fill="E36C0A" w:themeFill="accent6" w:themeFillShade="BF"/>
          </w:tcPr>
          <w:p w14:paraId="4A0AC174"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3</w:t>
            </w:r>
          </w:p>
          <w:p w14:paraId="19AC67AB" w14:textId="77777777" w:rsidR="00C01617" w:rsidRPr="00C01617" w:rsidRDefault="00C01617" w:rsidP="00C01617">
            <w:pPr>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Standard Access</w:t>
            </w:r>
          </w:p>
        </w:tc>
        <w:tc>
          <w:tcPr>
            <w:tcW w:w="1170" w:type="dxa"/>
            <w:shd w:val="clear" w:color="auto" w:fill="E36C0A" w:themeFill="accent6" w:themeFillShade="BF"/>
          </w:tcPr>
          <w:p w14:paraId="0611CD83"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2</w:t>
            </w:r>
          </w:p>
          <w:p w14:paraId="7405CB84"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More</w:t>
            </w:r>
          </w:p>
          <w:p w14:paraId="1D5D783F"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Access</w:t>
            </w:r>
          </w:p>
        </w:tc>
        <w:tc>
          <w:tcPr>
            <w:tcW w:w="1170" w:type="dxa"/>
            <w:shd w:val="clear" w:color="auto" w:fill="E36C0A" w:themeFill="accent6" w:themeFillShade="BF"/>
          </w:tcPr>
          <w:p w14:paraId="25DAD4F1" w14:textId="77777777" w:rsidR="00C01617" w:rsidRPr="00C01617" w:rsidRDefault="00C01617" w:rsidP="00C01617">
            <w:pPr>
              <w:jc w:val="cente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Tier 1</w:t>
            </w:r>
          </w:p>
          <w:p w14:paraId="5727E309" w14:textId="77777777" w:rsidR="00C01617" w:rsidRPr="00C01617" w:rsidRDefault="00C01617" w:rsidP="00C01617">
            <w:pPr>
              <w:spacing w:after="0"/>
              <w:jc w:val="cente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Most Access</w:t>
            </w:r>
          </w:p>
        </w:tc>
      </w:tr>
      <w:tr w:rsidR="00C01617" w:rsidRPr="00C01617" w14:paraId="117A2B3A" w14:textId="77777777" w:rsidTr="000079E5">
        <w:trPr>
          <w:trHeight w:val="358"/>
        </w:trPr>
        <w:tc>
          <w:tcPr>
            <w:tcW w:w="2088" w:type="dxa"/>
            <w:shd w:val="clear" w:color="auto" w:fill="EAF1DD" w:themeFill="accent3" w:themeFillTint="33"/>
          </w:tcPr>
          <w:p w14:paraId="4D0953EC"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Delivery of data</w:t>
            </w:r>
          </w:p>
        </w:tc>
        <w:tc>
          <w:tcPr>
            <w:tcW w:w="4050" w:type="dxa"/>
            <w:shd w:val="clear" w:color="auto" w:fill="EAF1DD" w:themeFill="accent3" w:themeFillTint="33"/>
          </w:tcPr>
          <w:p w14:paraId="79E572A7"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Mail</w:t>
            </w:r>
          </w:p>
        </w:tc>
        <w:tc>
          <w:tcPr>
            <w:tcW w:w="1170" w:type="dxa"/>
            <w:vMerge w:val="restart"/>
            <w:shd w:val="clear" w:color="auto" w:fill="EAF1DD" w:themeFill="accent3" w:themeFillTint="33"/>
          </w:tcPr>
          <w:p w14:paraId="726C5C69"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42222FF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3497E2E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41E80079"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7C66EBE8"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13752E34"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23AC44A7" w14:textId="77777777" w:rsidTr="000079E5">
        <w:trPr>
          <w:trHeight w:val="358"/>
        </w:trPr>
        <w:tc>
          <w:tcPr>
            <w:tcW w:w="2088" w:type="dxa"/>
            <w:shd w:val="clear" w:color="auto" w:fill="EAF1DD" w:themeFill="accent3" w:themeFillTint="33"/>
          </w:tcPr>
          <w:p w14:paraId="16D91B9A"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22049A05"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Online in easily downloadable and machine-readable formats including Energy Service Provider Interface (ESPI)</w:t>
            </w:r>
          </w:p>
        </w:tc>
        <w:tc>
          <w:tcPr>
            <w:tcW w:w="1170" w:type="dxa"/>
            <w:vMerge/>
            <w:shd w:val="clear" w:color="auto" w:fill="EAF1DD" w:themeFill="accent3" w:themeFillTint="33"/>
          </w:tcPr>
          <w:p w14:paraId="259578B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72443E6B"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3F1B9571"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EAF1DD" w:themeFill="accent3" w:themeFillTint="33"/>
          </w:tcPr>
          <w:p w14:paraId="2040F29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76A7127F"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027D8036"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0A3930E3" w14:textId="77777777" w:rsidTr="000079E5">
        <w:trPr>
          <w:trHeight w:val="358"/>
        </w:trPr>
        <w:tc>
          <w:tcPr>
            <w:tcW w:w="2088" w:type="dxa"/>
            <w:shd w:val="clear" w:color="auto" w:fill="EAF1DD" w:themeFill="accent3" w:themeFillTint="33"/>
          </w:tcPr>
          <w:p w14:paraId="22D27484"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7ECCBF1F"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Online as PDF, directly visible on a web page, or similar forms</w:t>
            </w:r>
          </w:p>
        </w:tc>
        <w:tc>
          <w:tcPr>
            <w:tcW w:w="1170" w:type="dxa"/>
            <w:vMerge/>
            <w:shd w:val="clear" w:color="auto" w:fill="EAF1DD" w:themeFill="accent3" w:themeFillTint="33"/>
          </w:tcPr>
          <w:p w14:paraId="0FCCF9E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59CE81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F7FAE64"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052007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74E9337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316852B1"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26DF2B0B" w14:textId="77777777" w:rsidTr="000079E5">
        <w:trPr>
          <w:trHeight w:val="358"/>
        </w:trPr>
        <w:tc>
          <w:tcPr>
            <w:tcW w:w="2088" w:type="dxa"/>
            <w:shd w:val="clear" w:color="auto" w:fill="EAF1DD" w:themeFill="accent3" w:themeFillTint="33"/>
          </w:tcPr>
          <w:p w14:paraId="4F152D1C"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7A70714C"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In-building through a building area network, dedicated device, or mobile app</w:t>
            </w:r>
          </w:p>
        </w:tc>
        <w:tc>
          <w:tcPr>
            <w:tcW w:w="1170" w:type="dxa"/>
            <w:vMerge/>
            <w:shd w:val="clear" w:color="auto" w:fill="EAF1DD" w:themeFill="accent3" w:themeFillTint="33"/>
          </w:tcPr>
          <w:p w14:paraId="46B7608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03FFE94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0BA5EDE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77A4F3A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0E24897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AB96EDF"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0AACCC8B" w14:textId="77777777" w:rsidTr="000079E5">
        <w:trPr>
          <w:trHeight w:val="358"/>
        </w:trPr>
        <w:tc>
          <w:tcPr>
            <w:tcW w:w="2088" w:type="dxa"/>
            <w:shd w:val="clear" w:color="auto" w:fill="DBE5F1" w:themeFill="accent1" w:themeFillTint="33"/>
          </w:tcPr>
          <w:p w14:paraId="5A830A27"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 xml:space="preserve">Time-period (any combination of delivery modes </w:t>
            </w:r>
            <w:r w:rsidRPr="00C01617">
              <w:rPr>
                <w:rFonts w:ascii="Times New Roman" w:eastAsia="Times New Roman" w:hAnsi="Times New Roman" w:cs="Times New Roman"/>
                <w:b/>
                <w:sz w:val="24"/>
                <w:szCs w:val="24"/>
              </w:rPr>
              <w:lastRenderedPageBreak/>
              <w:t>that satisfy these requirements)</w:t>
            </w:r>
          </w:p>
        </w:tc>
        <w:tc>
          <w:tcPr>
            <w:tcW w:w="4050" w:type="dxa"/>
            <w:shd w:val="clear" w:color="auto" w:fill="DBE5F1" w:themeFill="accent1" w:themeFillTint="33"/>
          </w:tcPr>
          <w:p w14:paraId="70296D1B"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lastRenderedPageBreak/>
              <w:t>Last month</w:t>
            </w:r>
          </w:p>
        </w:tc>
        <w:tc>
          <w:tcPr>
            <w:tcW w:w="1170" w:type="dxa"/>
            <w:vMerge w:val="restart"/>
            <w:shd w:val="clear" w:color="auto" w:fill="DBE5F1" w:themeFill="accent1" w:themeFillTint="33"/>
          </w:tcPr>
          <w:p w14:paraId="004B9714"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 xml:space="preserve">At least one of </w:t>
            </w:r>
            <w:r w:rsidRPr="00C01617">
              <w:rPr>
                <w:rFonts w:ascii="Times New Roman" w:eastAsia="Times New Roman" w:hAnsi="Times New Roman" w:cs="Times New Roman"/>
                <w:b/>
                <w:sz w:val="28"/>
                <w:szCs w:val="28"/>
              </w:rPr>
              <w:lastRenderedPageBreak/>
              <w:t>these.</w:t>
            </w:r>
          </w:p>
        </w:tc>
        <w:tc>
          <w:tcPr>
            <w:tcW w:w="1170" w:type="dxa"/>
            <w:shd w:val="clear" w:color="auto" w:fill="DBE5F1" w:themeFill="accent1" w:themeFillTint="33"/>
          </w:tcPr>
          <w:p w14:paraId="6EEF8DE4"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lastRenderedPageBreak/>
              <w:t>X</w:t>
            </w:r>
          </w:p>
        </w:tc>
        <w:tc>
          <w:tcPr>
            <w:tcW w:w="1170" w:type="dxa"/>
            <w:shd w:val="clear" w:color="auto" w:fill="DBE5F1" w:themeFill="accent1" w:themeFillTint="33"/>
          </w:tcPr>
          <w:p w14:paraId="7723436F"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DBE5F1" w:themeFill="accent1" w:themeFillTint="33"/>
          </w:tcPr>
          <w:p w14:paraId="1EDEFF39"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 xml:space="preserve">At least one of </w:t>
            </w:r>
            <w:r w:rsidRPr="00C01617">
              <w:rPr>
                <w:rFonts w:ascii="Times New Roman" w:eastAsia="Times New Roman" w:hAnsi="Times New Roman" w:cs="Times New Roman"/>
                <w:b/>
                <w:sz w:val="28"/>
                <w:szCs w:val="28"/>
              </w:rPr>
              <w:lastRenderedPageBreak/>
              <w:t>these.</w:t>
            </w:r>
          </w:p>
        </w:tc>
        <w:tc>
          <w:tcPr>
            <w:tcW w:w="1170" w:type="dxa"/>
            <w:shd w:val="clear" w:color="auto" w:fill="DBE5F1" w:themeFill="accent1" w:themeFillTint="33"/>
          </w:tcPr>
          <w:p w14:paraId="6BF1F7F5"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lastRenderedPageBreak/>
              <w:t>X</w:t>
            </w:r>
          </w:p>
        </w:tc>
        <w:tc>
          <w:tcPr>
            <w:tcW w:w="1170" w:type="dxa"/>
            <w:shd w:val="clear" w:color="auto" w:fill="DBE5F1" w:themeFill="accent1" w:themeFillTint="33"/>
          </w:tcPr>
          <w:p w14:paraId="3CC2726E"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02DE7C99" w14:textId="77777777" w:rsidTr="000079E5">
        <w:trPr>
          <w:trHeight w:val="358"/>
        </w:trPr>
        <w:tc>
          <w:tcPr>
            <w:tcW w:w="2088" w:type="dxa"/>
            <w:shd w:val="clear" w:color="auto" w:fill="DBE5F1" w:themeFill="accent1" w:themeFillTint="33"/>
          </w:tcPr>
          <w:p w14:paraId="222F9729"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16C6CF3F"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Last 13 months</w:t>
            </w:r>
          </w:p>
        </w:tc>
        <w:tc>
          <w:tcPr>
            <w:tcW w:w="1170" w:type="dxa"/>
            <w:vMerge/>
            <w:shd w:val="clear" w:color="auto" w:fill="DBE5F1" w:themeFill="accent1" w:themeFillTint="33"/>
          </w:tcPr>
          <w:p w14:paraId="6409651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577764CA"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1A627FE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DBE5F1" w:themeFill="accent1" w:themeFillTint="33"/>
          </w:tcPr>
          <w:p w14:paraId="4FD0ED8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1D350127"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1579F5F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424D11EA" w14:textId="77777777" w:rsidTr="000079E5">
        <w:trPr>
          <w:trHeight w:val="358"/>
        </w:trPr>
        <w:tc>
          <w:tcPr>
            <w:tcW w:w="2088" w:type="dxa"/>
            <w:shd w:val="clear" w:color="auto" w:fill="DBE5F1" w:themeFill="accent1" w:themeFillTint="33"/>
          </w:tcPr>
          <w:p w14:paraId="2C5EA7F7"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465E72EB"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Since last bill</w:t>
            </w:r>
          </w:p>
        </w:tc>
        <w:tc>
          <w:tcPr>
            <w:tcW w:w="1170" w:type="dxa"/>
            <w:vMerge/>
            <w:shd w:val="clear" w:color="auto" w:fill="DBE5F1" w:themeFill="accent1" w:themeFillTint="33"/>
          </w:tcPr>
          <w:p w14:paraId="306B771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25C47F6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7E586848"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20A5988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0BD85A9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06172E04"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2288A957" w14:textId="77777777" w:rsidTr="000079E5">
        <w:trPr>
          <w:trHeight w:val="358"/>
        </w:trPr>
        <w:tc>
          <w:tcPr>
            <w:tcW w:w="2088" w:type="dxa"/>
            <w:shd w:val="clear" w:color="auto" w:fill="DBE5F1" w:themeFill="accent1" w:themeFillTint="33"/>
          </w:tcPr>
          <w:p w14:paraId="21B51C45"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3C0A49E0"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Last 24 months</w:t>
            </w:r>
          </w:p>
        </w:tc>
        <w:tc>
          <w:tcPr>
            <w:tcW w:w="1170" w:type="dxa"/>
            <w:vMerge/>
            <w:shd w:val="clear" w:color="auto" w:fill="DBE5F1" w:themeFill="accent1" w:themeFillTint="33"/>
          </w:tcPr>
          <w:p w14:paraId="71C0E2C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0FC9B6C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4876B8B4"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DBE5F1" w:themeFill="accent1" w:themeFillTint="33"/>
          </w:tcPr>
          <w:p w14:paraId="0D98B04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35AE5F7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7D9043DE"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1622897F" w14:textId="77777777" w:rsidTr="000079E5">
        <w:trPr>
          <w:trHeight w:val="358"/>
        </w:trPr>
        <w:tc>
          <w:tcPr>
            <w:tcW w:w="2088" w:type="dxa"/>
            <w:shd w:val="clear" w:color="auto" w:fill="EAF1DD" w:themeFill="accent3" w:themeFillTint="33"/>
          </w:tcPr>
          <w:p w14:paraId="6FD534A9"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Frequency of data (any combination of delivery modes that satisfy these requirements)</w:t>
            </w:r>
          </w:p>
        </w:tc>
        <w:tc>
          <w:tcPr>
            <w:tcW w:w="4050" w:type="dxa"/>
            <w:shd w:val="clear" w:color="auto" w:fill="EAF1DD" w:themeFill="accent3" w:themeFillTint="33"/>
          </w:tcPr>
          <w:p w14:paraId="6152313A"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Less than 15-minute increments with reporting delay</w:t>
            </w:r>
          </w:p>
        </w:tc>
        <w:tc>
          <w:tcPr>
            <w:tcW w:w="1170" w:type="dxa"/>
            <w:vMerge w:val="restart"/>
            <w:shd w:val="clear" w:color="auto" w:fill="EAF1DD" w:themeFill="accent3" w:themeFillTint="33"/>
          </w:tcPr>
          <w:p w14:paraId="29376540"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vMerge w:val="restart"/>
            <w:shd w:val="clear" w:color="auto" w:fill="EAF1DD" w:themeFill="accent3" w:themeFillTint="33"/>
          </w:tcPr>
          <w:p w14:paraId="4D34004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vMerge w:val="restart"/>
            <w:shd w:val="clear" w:color="auto" w:fill="EAF1DD" w:themeFill="accent3" w:themeFillTint="33"/>
          </w:tcPr>
          <w:p w14:paraId="5EFC385A"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vMerge w:val="restart"/>
            <w:shd w:val="clear" w:color="auto" w:fill="EAF1DD" w:themeFill="accent3" w:themeFillTint="33"/>
          </w:tcPr>
          <w:p w14:paraId="0D0ABF3F"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c>
          <w:tcPr>
            <w:tcW w:w="1170" w:type="dxa"/>
            <w:shd w:val="clear" w:color="auto" w:fill="EAF1DD" w:themeFill="accent3" w:themeFillTint="33"/>
          </w:tcPr>
          <w:p w14:paraId="7057929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EAF1DD" w:themeFill="accent3" w:themeFillTint="33"/>
          </w:tcPr>
          <w:p w14:paraId="6A9FF90E"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At least one of these.</w:t>
            </w:r>
          </w:p>
        </w:tc>
      </w:tr>
      <w:tr w:rsidR="00C01617" w:rsidRPr="00C01617" w14:paraId="5934A062" w14:textId="77777777" w:rsidTr="000079E5">
        <w:trPr>
          <w:trHeight w:val="358"/>
        </w:trPr>
        <w:tc>
          <w:tcPr>
            <w:tcW w:w="2088" w:type="dxa"/>
            <w:shd w:val="clear" w:color="auto" w:fill="EAF1DD" w:themeFill="accent3" w:themeFillTint="33"/>
          </w:tcPr>
          <w:p w14:paraId="460186D5"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439E6DF9"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Less than 15-minute increments without reporting delay.</w:t>
            </w:r>
          </w:p>
        </w:tc>
        <w:tc>
          <w:tcPr>
            <w:tcW w:w="1170" w:type="dxa"/>
            <w:vMerge/>
            <w:shd w:val="clear" w:color="auto" w:fill="EAF1DD" w:themeFill="accent3" w:themeFillTint="33"/>
          </w:tcPr>
          <w:p w14:paraId="2FEDC61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FD4677F"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22934D8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0811039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0FC3746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8553DE7"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74CF0506" w14:textId="77777777" w:rsidTr="000079E5">
        <w:trPr>
          <w:trHeight w:val="358"/>
        </w:trPr>
        <w:tc>
          <w:tcPr>
            <w:tcW w:w="2088" w:type="dxa"/>
            <w:shd w:val="clear" w:color="auto" w:fill="EAF1DD" w:themeFill="accent3" w:themeFillTint="33"/>
          </w:tcPr>
          <w:p w14:paraId="52F9A4CB"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4E33EDBE"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15-minute increments</w:t>
            </w:r>
          </w:p>
        </w:tc>
        <w:tc>
          <w:tcPr>
            <w:tcW w:w="1170" w:type="dxa"/>
            <w:vMerge/>
            <w:shd w:val="clear" w:color="auto" w:fill="EAF1DD" w:themeFill="accent3" w:themeFillTint="33"/>
          </w:tcPr>
          <w:p w14:paraId="39345E60"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2915663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34FFF21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9F69A6B"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648EDAB4"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7691171"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24671D1D" w14:textId="77777777" w:rsidTr="000079E5">
        <w:trPr>
          <w:trHeight w:val="358"/>
        </w:trPr>
        <w:tc>
          <w:tcPr>
            <w:tcW w:w="2088" w:type="dxa"/>
            <w:shd w:val="clear" w:color="auto" w:fill="EAF1DD" w:themeFill="accent3" w:themeFillTint="33"/>
          </w:tcPr>
          <w:p w14:paraId="4500A360"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44887ECE"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Hourly</w:t>
            </w:r>
          </w:p>
        </w:tc>
        <w:tc>
          <w:tcPr>
            <w:tcW w:w="1170" w:type="dxa"/>
            <w:vMerge/>
            <w:shd w:val="clear" w:color="auto" w:fill="EAF1DD" w:themeFill="accent3" w:themeFillTint="33"/>
          </w:tcPr>
          <w:p w14:paraId="4375720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0BA3BA6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2331D430"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9A5EAB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7D2A2793"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553D1BFA"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2816FA08" w14:textId="77777777" w:rsidTr="000079E5">
        <w:trPr>
          <w:trHeight w:val="358"/>
        </w:trPr>
        <w:tc>
          <w:tcPr>
            <w:tcW w:w="2088" w:type="dxa"/>
            <w:shd w:val="clear" w:color="auto" w:fill="EAF1DD" w:themeFill="accent3" w:themeFillTint="33"/>
          </w:tcPr>
          <w:p w14:paraId="22D4AC77"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53E91D48"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Daily</w:t>
            </w:r>
          </w:p>
        </w:tc>
        <w:tc>
          <w:tcPr>
            <w:tcW w:w="1170" w:type="dxa"/>
            <w:vMerge/>
            <w:shd w:val="clear" w:color="auto" w:fill="EAF1DD" w:themeFill="accent3" w:themeFillTint="33"/>
          </w:tcPr>
          <w:p w14:paraId="31153B0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16858C2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1C5D7DA5"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49A9EA7F"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1695F5E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1206C096"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1FE5A238" w14:textId="77777777" w:rsidTr="000079E5">
        <w:trPr>
          <w:trHeight w:val="358"/>
        </w:trPr>
        <w:tc>
          <w:tcPr>
            <w:tcW w:w="2088" w:type="dxa"/>
            <w:shd w:val="clear" w:color="auto" w:fill="EAF1DD" w:themeFill="accent3" w:themeFillTint="33"/>
          </w:tcPr>
          <w:p w14:paraId="1482DFF2"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7BD614FC"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Monthly</w:t>
            </w:r>
          </w:p>
        </w:tc>
        <w:tc>
          <w:tcPr>
            <w:tcW w:w="1170" w:type="dxa"/>
            <w:vMerge/>
            <w:shd w:val="clear" w:color="auto" w:fill="EAF1DD" w:themeFill="accent3" w:themeFillTint="33"/>
          </w:tcPr>
          <w:p w14:paraId="5EF0121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3AF2D0A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103B5769"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EAF1DD" w:themeFill="accent3" w:themeFillTint="33"/>
          </w:tcPr>
          <w:p w14:paraId="4F95083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3694B93"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19850A37"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23B02676" w14:textId="77777777" w:rsidTr="000079E5">
        <w:trPr>
          <w:trHeight w:val="358"/>
        </w:trPr>
        <w:tc>
          <w:tcPr>
            <w:tcW w:w="2088" w:type="dxa"/>
            <w:shd w:val="clear" w:color="auto" w:fill="EAF1DD" w:themeFill="accent3" w:themeFillTint="33"/>
          </w:tcPr>
          <w:p w14:paraId="478D07B3"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EAF1DD" w:themeFill="accent3" w:themeFillTint="33"/>
          </w:tcPr>
          <w:p w14:paraId="086D3134"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Less frequently than monthly</w:t>
            </w:r>
          </w:p>
        </w:tc>
        <w:tc>
          <w:tcPr>
            <w:tcW w:w="1170" w:type="dxa"/>
            <w:vMerge/>
            <w:shd w:val="clear" w:color="auto" w:fill="EAF1DD" w:themeFill="accent3" w:themeFillTint="33"/>
          </w:tcPr>
          <w:p w14:paraId="60053CD4"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43FB7FE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266E0E4"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EAF1DD" w:themeFill="accent3" w:themeFillTint="33"/>
          </w:tcPr>
          <w:p w14:paraId="5FCE5D1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0AD672DC"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60010F2D"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6BC00498" w14:textId="77777777" w:rsidTr="000079E5">
        <w:trPr>
          <w:trHeight w:val="358"/>
        </w:trPr>
        <w:tc>
          <w:tcPr>
            <w:tcW w:w="2088" w:type="dxa"/>
            <w:shd w:val="clear" w:color="auto" w:fill="DBE5F1" w:themeFill="accent1" w:themeFillTint="33"/>
          </w:tcPr>
          <w:p w14:paraId="37C05309"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Access to data</w:t>
            </w:r>
          </w:p>
        </w:tc>
        <w:tc>
          <w:tcPr>
            <w:tcW w:w="4050" w:type="dxa"/>
            <w:shd w:val="clear" w:color="auto" w:fill="DBE5F1" w:themeFill="accent1" w:themeFillTint="33"/>
          </w:tcPr>
          <w:p w14:paraId="683E55C3"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Customer</w:t>
            </w:r>
          </w:p>
        </w:tc>
        <w:tc>
          <w:tcPr>
            <w:tcW w:w="1170" w:type="dxa"/>
            <w:vMerge w:val="restart"/>
            <w:shd w:val="clear" w:color="auto" w:fill="DBE5F1" w:themeFill="accent1" w:themeFillTint="33"/>
          </w:tcPr>
          <w:p w14:paraId="3A6CFD5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 xml:space="preserve">At least one of </w:t>
            </w:r>
            <w:r w:rsidRPr="00C01617">
              <w:rPr>
                <w:rFonts w:ascii="Times New Roman" w:eastAsia="Times New Roman" w:hAnsi="Times New Roman" w:cs="Times New Roman"/>
                <w:b/>
                <w:sz w:val="28"/>
                <w:szCs w:val="28"/>
              </w:rPr>
              <w:lastRenderedPageBreak/>
              <w:t>these.</w:t>
            </w:r>
          </w:p>
        </w:tc>
        <w:tc>
          <w:tcPr>
            <w:tcW w:w="1170" w:type="dxa"/>
            <w:shd w:val="clear" w:color="auto" w:fill="DBE5F1" w:themeFill="accent1" w:themeFillTint="33"/>
          </w:tcPr>
          <w:p w14:paraId="023FFB34"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lastRenderedPageBreak/>
              <w:t>X</w:t>
            </w:r>
          </w:p>
        </w:tc>
        <w:tc>
          <w:tcPr>
            <w:tcW w:w="1170" w:type="dxa"/>
            <w:shd w:val="clear" w:color="auto" w:fill="DBE5F1" w:themeFill="accent1" w:themeFillTint="33"/>
          </w:tcPr>
          <w:p w14:paraId="6B94B26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val="restart"/>
            <w:shd w:val="clear" w:color="auto" w:fill="DBE5F1" w:themeFill="accent1" w:themeFillTint="33"/>
          </w:tcPr>
          <w:p w14:paraId="428C582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 xml:space="preserve">At least one of </w:t>
            </w:r>
            <w:r w:rsidRPr="00C01617">
              <w:rPr>
                <w:rFonts w:ascii="Times New Roman" w:eastAsia="Times New Roman" w:hAnsi="Times New Roman" w:cs="Times New Roman"/>
                <w:b/>
                <w:sz w:val="28"/>
                <w:szCs w:val="28"/>
              </w:rPr>
              <w:lastRenderedPageBreak/>
              <w:t>these.</w:t>
            </w:r>
          </w:p>
        </w:tc>
        <w:tc>
          <w:tcPr>
            <w:tcW w:w="1170" w:type="dxa"/>
            <w:shd w:val="clear" w:color="auto" w:fill="DBE5F1" w:themeFill="accent1" w:themeFillTint="33"/>
          </w:tcPr>
          <w:p w14:paraId="1D1EDF5C"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lastRenderedPageBreak/>
              <w:t>X</w:t>
            </w:r>
          </w:p>
        </w:tc>
        <w:tc>
          <w:tcPr>
            <w:tcW w:w="1170" w:type="dxa"/>
            <w:shd w:val="clear" w:color="auto" w:fill="DBE5F1" w:themeFill="accent1" w:themeFillTint="33"/>
          </w:tcPr>
          <w:p w14:paraId="446B845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1E807F50" w14:textId="77777777" w:rsidTr="000079E5">
        <w:trPr>
          <w:trHeight w:val="358"/>
        </w:trPr>
        <w:tc>
          <w:tcPr>
            <w:tcW w:w="2088" w:type="dxa"/>
            <w:shd w:val="clear" w:color="auto" w:fill="DBE5F1" w:themeFill="accent1" w:themeFillTint="33"/>
          </w:tcPr>
          <w:p w14:paraId="407D2E02"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1D5AE70F"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 xml:space="preserve">Available to authorized third party with </w:t>
            </w:r>
            <w:r w:rsidRPr="00C01617">
              <w:rPr>
                <w:rFonts w:ascii="Times New Roman" w:eastAsia="Times New Roman" w:hAnsi="Times New Roman" w:cs="Times New Roman"/>
                <w:sz w:val="24"/>
                <w:szCs w:val="24"/>
              </w:rPr>
              <w:lastRenderedPageBreak/>
              <w:t>fee</w:t>
            </w:r>
          </w:p>
        </w:tc>
        <w:tc>
          <w:tcPr>
            <w:tcW w:w="1170" w:type="dxa"/>
            <w:vMerge/>
            <w:shd w:val="clear" w:color="auto" w:fill="DBE5F1" w:themeFill="accent1" w:themeFillTint="33"/>
          </w:tcPr>
          <w:p w14:paraId="435EE63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DBE5F1" w:themeFill="accent1" w:themeFillTint="33"/>
          </w:tcPr>
          <w:p w14:paraId="2AB3B06A"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 xml:space="preserve">At least </w:t>
            </w:r>
            <w:r w:rsidRPr="00C01617">
              <w:rPr>
                <w:rFonts w:ascii="Times New Roman" w:eastAsia="Times New Roman" w:hAnsi="Times New Roman" w:cs="Times New Roman"/>
                <w:b/>
                <w:sz w:val="28"/>
                <w:szCs w:val="28"/>
              </w:rPr>
              <w:lastRenderedPageBreak/>
              <w:t>one of these.</w:t>
            </w:r>
          </w:p>
        </w:tc>
        <w:tc>
          <w:tcPr>
            <w:tcW w:w="1170" w:type="dxa"/>
            <w:vMerge w:val="restart"/>
            <w:shd w:val="clear" w:color="auto" w:fill="DBE5F1" w:themeFill="accent1" w:themeFillTint="33"/>
          </w:tcPr>
          <w:p w14:paraId="4A83AED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lastRenderedPageBreak/>
              <w:t xml:space="preserve">At least </w:t>
            </w:r>
            <w:r w:rsidRPr="00C01617">
              <w:rPr>
                <w:rFonts w:ascii="Times New Roman" w:eastAsia="Times New Roman" w:hAnsi="Times New Roman" w:cs="Times New Roman"/>
                <w:b/>
                <w:sz w:val="28"/>
                <w:szCs w:val="28"/>
              </w:rPr>
              <w:lastRenderedPageBreak/>
              <w:t>one of these.</w:t>
            </w:r>
          </w:p>
        </w:tc>
        <w:tc>
          <w:tcPr>
            <w:tcW w:w="1170" w:type="dxa"/>
            <w:vMerge/>
            <w:shd w:val="clear" w:color="auto" w:fill="DBE5F1" w:themeFill="accent1" w:themeFillTint="33"/>
          </w:tcPr>
          <w:p w14:paraId="38D67FB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val="restart"/>
            <w:shd w:val="clear" w:color="auto" w:fill="DBE5F1" w:themeFill="accent1" w:themeFillTint="33"/>
          </w:tcPr>
          <w:p w14:paraId="17EF3A26"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 xml:space="preserve">At least </w:t>
            </w:r>
            <w:r w:rsidRPr="00C01617">
              <w:rPr>
                <w:rFonts w:ascii="Times New Roman" w:eastAsia="Times New Roman" w:hAnsi="Times New Roman" w:cs="Times New Roman"/>
                <w:b/>
                <w:sz w:val="28"/>
                <w:szCs w:val="28"/>
              </w:rPr>
              <w:lastRenderedPageBreak/>
              <w:t>one of these.</w:t>
            </w:r>
          </w:p>
        </w:tc>
        <w:tc>
          <w:tcPr>
            <w:tcW w:w="1170" w:type="dxa"/>
            <w:vMerge w:val="restart"/>
            <w:shd w:val="clear" w:color="auto" w:fill="DBE5F1" w:themeFill="accent1" w:themeFillTint="33"/>
          </w:tcPr>
          <w:p w14:paraId="4F967807"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lastRenderedPageBreak/>
              <w:t xml:space="preserve">At least </w:t>
            </w:r>
            <w:r w:rsidRPr="00C01617">
              <w:rPr>
                <w:rFonts w:ascii="Times New Roman" w:eastAsia="Times New Roman" w:hAnsi="Times New Roman" w:cs="Times New Roman"/>
                <w:b/>
                <w:sz w:val="28"/>
                <w:szCs w:val="28"/>
              </w:rPr>
              <w:lastRenderedPageBreak/>
              <w:t>one of these.</w:t>
            </w:r>
          </w:p>
          <w:p w14:paraId="5A879589"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045795EF" w14:textId="77777777" w:rsidTr="000079E5">
        <w:trPr>
          <w:trHeight w:val="358"/>
        </w:trPr>
        <w:tc>
          <w:tcPr>
            <w:tcW w:w="2088" w:type="dxa"/>
            <w:shd w:val="clear" w:color="auto" w:fill="DBE5F1" w:themeFill="accent1" w:themeFillTint="33"/>
          </w:tcPr>
          <w:p w14:paraId="42A0F209"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3372122C"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Available to authorized third party without fee</w:t>
            </w:r>
          </w:p>
        </w:tc>
        <w:tc>
          <w:tcPr>
            <w:tcW w:w="1170" w:type="dxa"/>
            <w:vMerge/>
            <w:shd w:val="clear" w:color="auto" w:fill="DBE5F1" w:themeFill="accent1" w:themeFillTint="33"/>
          </w:tcPr>
          <w:p w14:paraId="3A2FDFB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59A6AFD2"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6AB3EF8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13F982B0"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66174F9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vMerge/>
            <w:shd w:val="clear" w:color="auto" w:fill="DBE5F1" w:themeFill="accent1" w:themeFillTint="33"/>
          </w:tcPr>
          <w:p w14:paraId="2755096E" w14:textId="77777777" w:rsidR="00C01617" w:rsidRPr="00C01617" w:rsidRDefault="00C01617" w:rsidP="00C01617">
            <w:pPr>
              <w:jc w:val="center"/>
              <w:rPr>
                <w:rFonts w:ascii="Times New Roman" w:eastAsia="Times New Roman" w:hAnsi="Times New Roman" w:cs="Times New Roman"/>
                <w:b/>
                <w:sz w:val="28"/>
                <w:szCs w:val="28"/>
              </w:rPr>
            </w:pPr>
          </w:p>
        </w:tc>
      </w:tr>
      <w:tr w:rsidR="00C01617" w:rsidRPr="00C01617" w14:paraId="63F4FADA" w14:textId="77777777" w:rsidTr="000079E5">
        <w:trPr>
          <w:trHeight w:val="358"/>
        </w:trPr>
        <w:tc>
          <w:tcPr>
            <w:tcW w:w="2088" w:type="dxa"/>
            <w:shd w:val="clear" w:color="auto" w:fill="DBE5F1" w:themeFill="accent1" w:themeFillTint="33"/>
          </w:tcPr>
          <w:p w14:paraId="2F1FA48D" w14:textId="77777777" w:rsidR="00C01617" w:rsidRPr="00C01617" w:rsidRDefault="00C01617" w:rsidP="00C01617">
            <w:pPr>
              <w:rPr>
                <w:rFonts w:ascii="Times New Roman" w:eastAsia="Times New Roman" w:hAnsi="Times New Roman" w:cs="Times New Roman"/>
                <w:b/>
                <w:sz w:val="24"/>
                <w:szCs w:val="24"/>
              </w:rPr>
            </w:pPr>
          </w:p>
        </w:tc>
        <w:tc>
          <w:tcPr>
            <w:tcW w:w="4050" w:type="dxa"/>
            <w:shd w:val="clear" w:color="auto" w:fill="DBE5F1" w:themeFill="accent1" w:themeFillTint="33"/>
          </w:tcPr>
          <w:p w14:paraId="6BF88DEF" w14:textId="77777777" w:rsidR="00C01617" w:rsidRPr="00C01617" w:rsidRDefault="00C01617" w:rsidP="00C01617">
            <w:pPr>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Third-party access via separate account</w:t>
            </w:r>
          </w:p>
        </w:tc>
        <w:tc>
          <w:tcPr>
            <w:tcW w:w="1170" w:type="dxa"/>
            <w:vMerge/>
            <w:shd w:val="clear" w:color="auto" w:fill="DBE5F1" w:themeFill="accent1" w:themeFillTint="33"/>
          </w:tcPr>
          <w:p w14:paraId="396A0C6D"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346B7C2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1A86B3BF"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vMerge/>
            <w:shd w:val="clear" w:color="auto" w:fill="DBE5F1" w:themeFill="accent1" w:themeFillTint="33"/>
          </w:tcPr>
          <w:p w14:paraId="3CAA561E"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6DB68B6C"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0F0F95DD"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7937E94F" w14:textId="77777777" w:rsidTr="000079E5">
        <w:trPr>
          <w:trHeight w:val="358"/>
        </w:trPr>
        <w:tc>
          <w:tcPr>
            <w:tcW w:w="2088" w:type="dxa"/>
            <w:shd w:val="clear" w:color="auto" w:fill="EAF1DD" w:themeFill="accent3" w:themeFillTint="33"/>
          </w:tcPr>
          <w:p w14:paraId="4848668B"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Consumption Data (kWh)</w:t>
            </w:r>
          </w:p>
        </w:tc>
        <w:tc>
          <w:tcPr>
            <w:tcW w:w="4050" w:type="dxa"/>
            <w:shd w:val="clear" w:color="auto" w:fill="EAF1DD" w:themeFill="accent3" w:themeFillTint="33"/>
          </w:tcPr>
          <w:p w14:paraId="1C92CB2C" w14:textId="77777777" w:rsidR="00C01617" w:rsidRPr="00C01617" w:rsidRDefault="00C01617" w:rsidP="00C01617">
            <w:pPr>
              <w:rPr>
                <w:rFonts w:ascii="Times New Roman" w:eastAsia="Times New Roman" w:hAnsi="Times New Roman" w:cs="Times New Roman"/>
                <w:sz w:val="24"/>
                <w:szCs w:val="24"/>
              </w:rPr>
            </w:pPr>
          </w:p>
        </w:tc>
        <w:tc>
          <w:tcPr>
            <w:tcW w:w="1170" w:type="dxa"/>
            <w:shd w:val="clear" w:color="auto" w:fill="EAF1DD" w:themeFill="accent3" w:themeFillTint="33"/>
          </w:tcPr>
          <w:p w14:paraId="4689274F"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16B5D0C0"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5816216D"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640D3DF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6B0F3818"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41E7EB3A"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4A473FCC" w14:textId="77777777" w:rsidTr="000079E5">
        <w:trPr>
          <w:trHeight w:val="358"/>
        </w:trPr>
        <w:tc>
          <w:tcPr>
            <w:tcW w:w="2088" w:type="dxa"/>
            <w:shd w:val="clear" w:color="auto" w:fill="DBE5F1" w:themeFill="accent1" w:themeFillTint="33"/>
          </w:tcPr>
          <w:p w14:paraId="70FE6259"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Demand Data (kW)</w:t>
            </w:r>
          </w:p>
        </w:tc>
        <w:tc>
          <w:tcPr>
            <w:tcW w:w="4050" w:type="dxa"/>
            <w:shd w:val="clear" w:color="auto" w:fill="DBE5F1" w:themeFill="accent1" w:themeFillTint="33"/>
          </w:tcPr>
          <w:p w14:paraId="6A0FEAB0" w14:textId="77777777" w:rsidR="00C01617" w:rsidRPr="00C01617" w:rsidRDefault="00C01617" w:rsidP="00C01617">
            <w:pPr>
              <w:rPr>
                <w:rFonts w:ascii="Times New Roman" w:eastAsia="Times New Roman" w:hAnsi="Times New Roman" w:cs="Times New Roman"/>
                <w:sz w:val="24"/>
                <w:szCs w:val="24"/>
              </w:rPr>
            </w:pPr>
          </w:p>
        </w:tc>
        <w:tc>
          <w:tcPr>
            <w:tcW w:w="1170" w:type="dxa"/>
            <w:shd w:val="clear" w:color="auto" w:fill="DBE5F1" w:themeFill="accent1" w:themeFillTint="33"/>
          </w:tcPr>
          <w:p w14:paraId="7FAB539A"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6AB329D6"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7658F059"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DBE5F1" w:themeFill="accent1" w:themeFillTint="33"/>
          </w:tcPr>
          <w:p w14:paraId="4D097EF7"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0058B482"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DBE5F1" w:themeFill="accent1" w:themeFillTint="33"/>
          </w:tcPr>
          <w:p w14:paraId="66118C7B"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r w:rsidR="00C01617" w:rsidRPr="00C01617" w14:paraId="3EFFD057" w14:textId="77777777" w:rsidTr="000079E5">
        <w:trPr>
          <w:trHeight w:val="358"/>
        </w:trPr>
        <w:tc>
          <w:tcPr>
            <w:tcW w:w="2088" w:type="dxa"/>
            <w:shd w:val="clear" w:color="auto" w:fill="EAF1DD" w:themeFill="accent3" w:themeFillTint="33"/>
          </w:tcPr>
          <w:p w14:paraId="2A6759AA" w14:textId="77777777" w:rsidR="00C01617" w:rsidRPr="00C01617" w:rsidRDefault="00C01617" w:rsidP="00C01617">
            <w:pPr>
              <w:rPr>
                <w:rFonts w:ascii="Times New Roman" w:eastAsia="Times New Roman" w:hAnsi="Times New Roman" w:cs="Times New Roman"/>
                <w:b/>
                <w:sz w:val="24"/>
                <w:szCs w:val="24"/>
              </w:rPr>
            </w:pPr>
            <w:r w:rsidRPr="00C01617">
              <w:rPr>
                <w:rFonts w:ascii="Times New Roman" w:eastAsia="Times New Roman" w:hAnsi="Times New Roman" w:cs="Times New Roman"/>
                <w:b/>
                <w:sz w:val="24"/>
                <w:szCs w:val="24"/>
              </w:rPr>
              <w:t>Aggregated data from multiple tenants</w:t>
            </w:r>
          </w:p>
        </w:tc>
        <w:tc>
          <w:tcPr>
            <w:tcW w:w="4050" w:type="dxa"/>
            <w:shd w:val="clear" w:color="auto" w:fill="EAF1DD" w:themeFill="accent3" w:themeFillTint="33"/>
          </w:tcPr>
          <w:p w14:paraId="59E79F74" w14:textId="77777777" w:rsidR="00C01617" w:rsidRPr="00C01617" w:rsidRDefault="00C01617" w:rsidP="00C01617">
            <w:pPr>
              <w:rPr>
                <w:rFonts w:ascii="Times New Roman" w:eastAsia="Times New Roman" w:hAnsi="Times New Roman" w:cs="Times New Roman"/>
                <w:sz w:val="24"/>
                <w:szCs w:val="24"/>
              </w:rPr>
            </w:pPr>
          </w:p>
        </w:tc>
        <w:tc>
          <w:tcPr>
            <w:tcW w:w="1170" w:type="dxa"/>
            <w:shd w:val="clear" w:color="auto" w:fill="EAF1DD" w:themeFill="accent3" w:themeFillTint="33"/>
          </w:tcPr>
          <w:p w14:paraId="25DD1709" w14:textId="77777777" w:rsidR="00C01617" w:rsidRPr="00C01617" w:rsidRDefault="00C01617" w:rsidP="00C01617">
            <w:pPr>
              <w:rPr>
                <w:rFonts w:ascii="Times New Roman" w:eastAsia="Times New Roman" w:hAnsi="Times New Roman" w:cs="Times New Roman"/>
                <w:b/>
                <w:sz w:val="28"/>
                <w:szCs w:val="28"/>
              </w:rPr>
            </w:pPr>
          </w:p>
        </w:tc>
        <w:tc>
          <w:tcPr>
            <w:tcW w:w="1170" w:type="dxa"/>
            <w:shd w:val="clear" w:color="auto" w:fill="EAF1DD" w:themeFill="accent3" w:themeFillTint="33"/>
          </w:tcPr>
          <w:p w14:paraId="2DC96B58"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327D5DA"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c>
          <w:tcPr>
            <w:tcW w:w="1170" w:type="dxa"/>
            <w:shd w:val="clear" w:color="auto" w:fill="EAF1DD" w:themeFill="accent3" w:themeFillTint="33"/>
          </w:tcPr>
          <w:p w14:paraId="4A43DF97"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28E58411" w14:textId="77777777" w:rsidR="00C01617" w:rsidRPr="00C01617" w:rsidRDefault="00C01617" w:rsidP="00C01617">
            <w:pPr>
              <w:jc w:val="center"/>
              <w:rPr>
                <w:rFonts w:ascii="Times New Roman" w:eastAsia="Times New Roman" w:hAnsi="Times New Roman" w:cs="Times New Roman"/>
                <w:b/>
                <w:sz w:val="28"/>
                <w:szCs w:val="28"/>
              </w:rPr>
            </w:pPr>
          </w:p>
        </w:tc>
        <w:tc>
          <w:tcPr>
            <w:tcW w:w="1170" w:type="dxa"/>
            <w:shd w:val="clear" w:color="auto" w:fill="EAF1DD" w:themeFill="accent3" w:themeFillTint="33"/>
          </w:tcPr>
          <w:p w14:paraId="08083C59" w14:textId="77777777" w:rsidR="00C01617" w:rsidRPr="00C01617" w:rsidRDefault="00C01617" w:rsidP="00C01617">
            <w:pPr>
              <w:jc w:val="center"/>
              <w:rPr>
                <w:rFonts w:ascii="Times New Roman" w:eastAsia="Times New Roman" w:hAnsi="Times New Roman" w:cs="Times New Roman"/>
                <w:b/>
                <w:sz w:val="28"/>
                <w:szCs w:val="28"/>
              </w:rPr>
            </w:pPr>
            <w:r w:rsidRPr="00C01617">
              <w:rPr>
                <w:rFonts w:ascii="Times New Roman" w:eastAsia="Times New Roman" w:hAnsi="Times New Roman" w:cs="Times New Roman"/>
                <w:b/>
                <w:sz w:val="28"/>
                <w:szCs w:val="28"/>
              </w:rPr>
              <w:t>X</w:t>
            </w:r>
          </w:p>
        </w:tc>
      </w:tr>
    </w:tbl>
    <w:p w14:paraId="76E8614F" w14:textId="77777777" w:rsidR="00C01617" w:rsidRPr="00C01617" w:rsidRDefault="00C01617" w:rsidP="00C01617">
      <w:pPr>
        <w:spacing w:after="0" w:line="240" w:lineRule="auto"/>
        <w:rPr>
          <w:rFonts w:ascii="Times New Roman" w:eastAsia="Times New Roman" w:hAnsi="Times New Roman" w:cs="Times New Roman"/>
          <w:sz w:val="24"/>
          <w:szCs w:val="24"/>
        </w:rPr>
      </w:pPr>
      <w:r w:rsidRPr="00C01617">
        <w:rPr>
          <w:rFonts w:ascii="Times New Roman" w:eastAsia="Times New Roman" w:hAnsi="Times New Roman" w:cs="Times New Roman"/>
          <w:sz w:val="24"/>
          <w:szCs w:val="24"/>
        </w:rPr>
        <w:t>*indicates requirement is for “delivery of data” criteria only (not for policy case of Demand Response/Energy Efficiency)</w:t>
      </w:r>
    </w:p>
    <w:p w14:paraId="4BEA0D62" w14:textId="77777777" w:rsidR="00C01617" w:rsidRPr="00C01617" w:rsidRDefault="00C01617" w:rsidP="00C01617">
      <w:pPr>
        <w:spacing w:after="0" w:line="240" w:lineRule="auto"/>
        <w:rPr>
          <w:rFonts w:ascii="Times New Roman" w:eastAsia="Times New Roman" w:hAnsi="Times New Roman" w:cs="Times New Roman"/>
          <w:b/>
          <w:sz w:val="24"/>
          <w:szCs w:val="24"/>
        </w:rPr>
      </w:pPr>
    </w:p>
    <w:p w14:paraId="6D1041D7" w14:textId="77777777" w:rsidR="007A0AF7" w:rsidRPr="00C21F2F" w:rsidRDefault="007A0AF7" w:rsidP="00B3723F">
      <w:pPr>
        <w:spacing w:after="240" w:line="240" w:lineRule="auto"/>
        <w:rPr>
          <w:rFonts w:ascii="Times New Roman" w:hAnsi="Times New Roman" w:cs="Times New Roman"/>
        </w:rPr>
      </w:pPr>
    </w:p>
    <w:sectPr w:rsidR="007A0AF7" w:rsidRPr="00C21F2F" w:rsidSect="00B3723F">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76FD2" w14:textId="77777777" w:rsidR="00DB2BC6" w:rsidRDefault="00DB2BC6" w:rsidP="001D49FE">
      <w:pPr>
        <w:spacing w:after="0" w:line="240" w:lineRule="auto"/>
      </w:pPr>
      <w:r>
        <w:separator/>
      </w:r>
    </w:p>
  </w:endnote>
  <w:endnote w:type="continuationSeparator" w:id="0">
    <w:p w14:paraId="399F9ACC" w14:textId="77777777" w:rsidR="00DB2BC6" w:rsidRDefault="00DB2BC6" w:rsidP="001D49FE">
      <w:pPr>
        <w:spacing w:after="0" w:line="240" w:lineRule="auto"/>
      </w:pPr>
      <w:r>
        <w:continuationSeparator/>
      </w:r>
    </w:p>
  </w:endnote>
  <w:endnote w:type="continuationNotice" w:id="1">
    <w:p w14:paraId="6200E5CC" w14:textId="77777777" w:rsidR="00DB2BC6" w:rsidRDefault="00DB2B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45589" w14:textId="77777777" w:rsidR="00610134" w:rsidRDefault="00610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DF4BF7" w14:textId="77777777" w:rsidR="00DB2BC6" w:rsidRDefault="00DB2BC6" w:rsidP="001D49FE">
      <w:pPr>
        <w:spacing w:after="0" w:line="240" w:lineRule="auto"/>
      </w:pPr>
      <w:r>
        <w:separator/>
      </w:r>
    </w:p>
  </w:footnote>
  <w:footnote w:type="continuationSeparator" w:id="0">
    <w:p w14:paraId="12527D2E" w14:textId="77777777" w:rsidR="00DB2BC6" w:rsidRDefault="00DB2BC6" w:rsidP="001D49FE">
      <w:pPr>
        <w:spacing w:after="0" w:line="240" w:lineRule="auto"/>
      </w:pPr>
      <w:r>
        <w:continuationSeparator/>
      </w:r>
    </w:p>
  </w:footnote>
  <w:footnote w:type="continuationNotice" w:id="1">
    <w:p w14:paraId="65148883" w14:textId="77777777" w:rsidR="00DB2BC6" w:rsidRDefault="00DB2BC6">
      <w:pPr>
        <w:spacing w:after="0" w:line="240" w:lineRule="auto"/>
      </w:pPr>
    </w:p>
  </w:footnote>
  <w:footnote w:id="2">
    <w:p w14:paraId="23BABBC2" w14:textId="77777777" w:rsidR="001D49FE" w:rsidRDefault="001D49FE">
      <w:pPr>
        <w:pStyle w:val="FootnoteText"/>
      </w:pPr>
      <w:r>
        <w:rPr>
          <w:rStyle w:val="FootnoteReference"/>
        </w:rPr>
        <w:footnoteRef/>
      </w:r>
      <w:r>
        <w:t xml:space="preserve"> </w:t>
      </w:r>
      <w:r w:rsidRPr="001D49FE">
        <w:t>http://38.96.246.204/cneaf/electricity/page/eia861.html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6E3424" w14:textId="77777777" w:rsidR="00610134" w:rsidRDefault="0061013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D69"/>
    <w:rsid w:val="00043C62"/>
    <w:rsid w:val="001D49FE"/>
    <w:rsid w:val="00211188"/>
    <w:rsid w:val="00220A70"/>
    <w:rsid w:val="0024200E"/>
    <w:rsid w:val="00255FB6"/>
    <w:rsid w:val="003A0E55"/>
    <w:rsid w:val="003D06D0"/>
    <w:rsid w:val="003E77B3"/>
    <w:rsid w:val="0040763A"/>
    <w:rsid w:val="00424C89"/>
    <w:rsid w:val="004941BB"/>
    <w:rsid w:val="004F331A"/>
    <w:rsid w:val="005526ED"/>
    <w:rsid w:val="005D29A1"/>
    <w:rsid w:val="005D6D46"/>
    <w:rsid w:val="00610134"/>
    <w:rsid w:val="00683B02"/>
    <w:rsid w:val="006A22B7"/>
    <w:rsid w:val="00722581"/>
    <w:rsid w:val="007349C8"/>
    <w:rsid w:val="00761252"/>
    <w:rsid w:val="007A0AF7"/>
    <w:rsid w:val="007D7836"/>
    <w:rsid w:val="00813965"/>
    <w:rsid w:val="00865CCA"/>
    <w:rsid w:val="00880F56"/>
    <w:rsid w:val="008C5052"/>
    <w:rsid w:val="009F0160"/>
    <w:rsid w:val="00A868B0"/>
    <w:rsid w:val="00B3723F"/>
    <w:rsid w:val="00B4579D"/>
    <w:rsid w:val="00B76D69"/>
    <w:rsid w:val="00BB5511"/>
    <w:rsid w:val="00BC1B35"/>
    <w:rsid w:val="00C01617"/>
    <w:rsid w:val="00C21F2F"/>
    <w:rsid w:val="00C453B0"/>
    <w:rsid w:val="00C46E99"/>
    <w:rsid w:val="00C72052"/>
    <w:rsid w:val="00C9689C"/>
    <w:rsid w:val="00D10515"/>
    <w:rsid w:val="00DB2BC6"/>
    <w:rsid w:val="00DC0B83"/>
    <w:rsid w:val="00DE610F"/>
    <w:rsid w:val="00E20199"/>
    <w:rsid w:val="00EC0240"/>
    <w:rsid w:val="00EC5047"/>
    <w:rsid w:val="00F15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6D6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76D69"/>
    <w:rPr>
      <w:sz w:val="16"/>
      <w:szCs w:val="16"/>
    </w:rPr>
  </w:style>
  <w:style w:type="paragraph" w:styleId="CommentText">
    <w:name w:val="annotation text"/>
    <w:basedOn w:val="Normal"/>
    <w:link w:val="CommentTextChar"/>
    <w:uiPriority w:val="99"/>
    <w:semiHidden/>
    <w:unhideWhenUsed/>
    <w:rsid w:val="00B76D69"/>
    <w:pPr>
      <w:spacing w:line="240" w:lineRule="auto"/>
    </w:pPr>
    <w:rPr>
      <w:sz w:val="20"/>
      <w:szCs w:val="20"/>
    </w:rPr>
  </w:style>
  <w:style w:type="character" w:customStyle="1" w:styleId="CommentTextChar">
    <w:name w:val="Comment Text Char"/>
    <w:basedOn w:val="DefaultParagraphFont"/>
    <w:link w:val="CommentText"/>
    <w:uiPriority w:val="99"/>
    <w:semiHidden/>
    <w:rsid w:val="00B76D69"/>
    <w:rPr>
      <w:sz w:val="20"/>
      <w:szCs w:val="20"/>
    </w:rPr>
  </w:style>
  <w:style w:type="paragraph" w:styleId="BalloonText">
    <w:name w:val="Balloon Text"/>
    <w:basedOn w:val="Normal"/>
    <w:link w:val="BalloonTextChar"/>
    <w:uiPriority w:val="99"/>
    <w:semiHidden/>
    <w:unhideWhenUsed/>
    <w:rsid w:val="00B76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D6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21F2F"/>
    <w:rPr>
      <w:b/>
      <w:bCs/>
    </w:rPr>
  </w:style>
  <w:style w:type="character" w:customStyle="1" w:styleId="CommentSubjectChar">
    <w:name w:val="Comment Subject Char"/>
    <w:basedOn w:val="CommentTextChar"/>
    <w:link w:val="CommentSubject"/>
    <w:uiPriority w:val="99"/>
    <w:semiHidden/>
    <w:rsid w:val="00C21F2F"/>
    <w:rPr>
      <w:b/>
      <w:bCs/>
      <w:sz w:val="20"/>
      <w:szCs w:val="20"/>
    </w:rPr>
  </w:style>
  <w:style w:type="character" w:styleId="Hyperlink">
    <w:name w:val="Hyperlink"/>
    <w:basedOn w:val="DefaultParagraphFont"/>
    <w:uiPriority w:val="99"/>
    <w:unhideWhenUsed/>
    <w:rsid w:val="001D49FE"/>
    <w:rPr>
      <w:color w:val="0000FF" w:themeColor="hyperlink"/>
      <w:u w:val="single"/>
    </w:rPr>
  </w:style>
  <w:style w:type="paragraph" w:styleId="FootnoteText">
    <w:name w:val="footnote text"/>
    <w:basedOn w:val="Normal"/>
    <w:link w:val="FootnoteTextChar"/>
    <w:uiPriority w:val="99"/>
    <w:semiHidden/>
    <w:unhideWhenUsed/>
    <w:rsid w:val="001D4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9FE"/>
    <w:rPr>
      <w:sz w:val="20"/>
      <w:szCs w:val="20"/>
    </w:rPr>
  </w:style>
  <w:style w:type="character" w:styleId="FootnoteReference">
    <w:name w:val="footnote reference"/>
    <w:basedOn w:val="DefaultParagraphFont"/>
    <w:uiPriority w:val="99"/>
    <w:semiHidden/>
    <w:unhideWhenUsed/>
    <w:rsid w:val="001D49FE"/>
    <w:rPr>
      <w:vertAlign w:val="superscript"/>
    </w:rPr>
  </w:style>
  <w:style w:type="paragraph" w:styleId="Header">
    <w:name w:val="header"/>
    <w:basedOn w:val="Normal"/>
    <w:link w:val="HeaderChar"/>
    <w:uiPriority w:val="99"/>
    <w:unhideWhenUsed/>
    <w:rsid w:val="00610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34"/>
  </w:style>
  <w:style w:type="paragraph" w:styleId="Footer">
    <w:name w:val="footer"/>
    <w:basedOn w:val="Normal"/>
    <w:link w:val="FooterChar"/>
    <w:uiPriority w:val="99"/>
    <w:unhideWhenUsed/>
    <w:rsid w:val="0061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B76D69"/>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B76D69"/>
    <w:rPr>
      <w:sz w:val="16"/>
      <w:szCs w:val="16"/>
    </w:rPr>
  </w:style>
  <w:style w:type="paragraph" w:styleId="CommentText">
    <w:name w:val="annotation text"/>
    <w:basedOn w:val="Normal"/>
    <w:link w:val="CommentTextChar"/>
    <w:uiPriority w:val="99"/>
    <w:semiHidden/>
    <w:unhideWhenUsed/>
    <w:rsid w:val="00B76D69"/>
    <w:pPr>
      <w:spacing w:line="240" w:lineRule="auto"/>
    </w:pPr>
    <w:rPr>
      <w:sz w:val="20"/>
      <w:szCs w:val="20"/>
    </w:rPr>
  </w:style>
  <w:style w:type="character" w:customStyle="1" w:styleId="CommentTextChar">
    <w:name w:val="Comment Text Char"/>
    <w:basedOn w:val="DefaultParagraphFont"/>
    <w:link w:val="CommentText"/>
    <w:uiPriority w:val="99"/>
    <w:semiHidden/>
    <w:rsid w:val="00B76D69"/>
    <w:rPr>
      <w:sz w:val="20"/>
      <w:szCs w:val="20"/>
    </w:rPr>
  </w:style>
  <w:style w:type="paragraph" w:styleId="BalloonText">
    <w:name w:val="Balloon Text"/>
    <w:basedOn w:val="Normal"/>
    <w:link w:val="BalloonTextChar"/>
    <w:uiPriority w:val="99"/>
    <w:semiHidden/>
    <w:unhideWhenUsed/>
    <w:rsid w:val="00B76D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6D69"/>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21F2F"/>
    <w:rPr>
      <w:b/>
      <w:bCs/>
    </w:rPr>
  </w:style>
  <w:style w:type="character" w:customStyle="1" w:styleId="CommentSubjectChar">
    <w:name w:val="Comment Subject Char"/>
    <w:basedOn w:val="CommentTextChar"/>
    <w:link w:val="CommentSubject"/>
    <w:uiPriority w:val="99"/>
    <w:semiHidden/>
    <w:rsid w:val="00C21F2F"/>
    <w:rPr>
      <w:b/>
      <w:bCs/>
      <w:sz w:val="20"/>
      <w:szCs w:val="20"/>
    </w:rPr>
  </w:style>
  <w:style w:type="character" w:styleId="Hyperlink">
    <w:name w:val="Hyperlink"/>
    <w:basedOn w:val="DefaultParagraphFont"/>
    <w:uiPriority w:val="99"/>
    <w:unhideWhenUsed/>
    <w:rsid w:val="001D49FE"/>
    <w:rPr>
      <w:color w:val="0000FF" w:themeColor="hyperlink"/>
      <w:u w:val="single"/>
    </w:rPr>
  </w:style>
  <w:style w:type="paragraph" w:styleId="FootnoteText">
    <w:name w:val="footnote text"/>
    <w:basedOn w:val="Normal"/>
    <w:link w:val="FootnoteTextChar"/>
    <w:uiPriority w:val="99"/>
    <w:semiHidden/>
    <w:unhideWhenUsed/>
    <w:rsid w:val="001D49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49FE"/>
    <w:rPr>
      <w:sz w:val="20"/>
      <w:szCs w:val="20"/>
    </w:rPr>
  </w:style>
  <w:style w:type="character" w:styleId="FootnoteReference">
    <w:name w:val="footnote reference"/>
    <w:basedOn w:val="DefaultParagraphFont"/>
    <w:uiPriority w:val="99"/>
    <w:semiHidden/>
    <w:unhideWhenUsed/>
    <w:rsid w:val="001D49FE"/>
    <w:rPr>
      <w:vertAlign w:val="superscript"/>
    </w:rPr>
  </w:style>
  <w:style w:type="paragraph" w:styleId="Header">
    <w:name w:val="header"/>
    <w:basedOn w:val="Normal"/>
    <w:link w:val="HeaderChar"/>
    <w:uiPriority w:val="99"/>
    <w:unhideWhenUsed/>
    <w:rsid w:val="006101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134"/>
  </w:style>
  <w:style w:type="paragraph" w:styleId="Footer">
    <w:name w:val="footer"/>
    <w:basedOn w:val="Normal"/>
    <w:link w:val="FooterChar"/>
    <w:uiPriority w:val="99"/>
    <w:unhideWhenUsed/>
    <w:rsid w:val="006101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1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arla.Frisch@hq.do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360C07-8546-483E-AA2A-5ADC97E0BCDB}">
  <ds:schemaRefs>
    <ds:schemaRef ds:uri="http://schemas.openxmlformats.org/officeDocument/2006/bibliography"/>
  </ds:schemaRefs>
</ds:datastoreItem>
</file>

<file path=customXml/itemProps2.xml><?xml version="1.0" encoding="utf-8"?>
<ds:datastoreItem xmlns:ds="http://schemas.openxmlformats.org/officeDocument/2006/customXml" ds:itemID="{2386CB04-14EB-4422-BF04-A63C1E954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1404</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EERE</Company>
  <LinksUpToDate>false</LinksUpToDate>
  <CharactersWithSpaces>9389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c:creator>
  <cp:lastModifiedBy>markus.robinson</cp:lastModifiedBy>
  <cp:revision>3</cp:revision>
  <dcterms:created xsi:type="dcterms:W3CDTF">2014-06-21T00:17:00Z</dcterms:created>
  <dcterms:modified xsi:type="dcterms:W3CDTF">2014-07-29T14:34:00Z</dcterms:modified>
</cp:coreProperties>
</file>