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2D2CB6" w:rsidRDefault="00E303E2" w:rsidP="00E26F73">
      <w:pPr>
        <w:spacing w:after="0" w:line="240" w:lineRule="auto"/>
        <w:jc w:val="center"/>
        <w:rPr>
          <w:rFonts w:ascii="Arial" w:hAnsi="Arial" w:cs="Arial"/>
          <w:b/>
          <w:sz w:val="24"/>
          <w:szCs w:val="24"/>
        </w:rPr>
      </w:pPr>
      <w:bookmarkStart w:id="0" w:name="_GoBack"/>
      <w:bookmarkEnd w:id="0"/>
      <w:r w:rsidRPr="002D2CB6">
        <w:rPr>
          <w:rFonts w:ascii="Arial" w:hAnsi="Arial" w:cs="Arial"/>
          <w:b/>
          <w:sz w:val="24"/>
          <w:szCs w:val="24"/>
        </w:rPr>
        <w:t>Supporting Statement</w:t>
      </w:r>
    </w:p>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Focus Group Research </w:t>
      </w:r>
    </w:p>
    <w:p w:rsidR="00E303E2" w:rsidRPr="002D2CB6" w:rsidRDefault="00E303E2" w:rsidP="00E26F73">
      <w:pPr>
        <w:spacing w:after="0" w:line="240" w:lineRule="auto"/>
        <w:ind w:firstLine="720"/>
        <w:rPr>
          <w:rFonts w:ascii="Arial" w:hAnsi="Arial" w:cs="Arial"/>
          <w:b/>
          <w:sz w:val="24"/>
          <w:szCs w:val="24"/>
        </w:rPr>
      </w:pPr>
      <w:r w:rsidRPr="002D2CB6">
        <w:rPr>
          <w:rFonts w:ascii="Arial" w:hAnsi="Arial" w:cs="Arial"/>
          <w:b/>
          <w:sz w:val="24"/>
          <w:szCs w:val="24"/>
        </w:rPr>
        <w:t xml:space="preserve">                                                  (OMB #1545-1349) </w:t>
      </w:r>
    </w:p>
    <w:p w:rsidR="00E303E2" w:rsidRDefault="00E303E2">
      <w:pPr>
        <w:spacing w:after="0" w:line="240" w:lineRule="auto"/>
        <w:rPr>
          <w:rFonts w:ascii="Arial" w:hAnsi="Arial" w:cs="Arial"/>
          <w:sz w:val="24"/>
          <w:szCs w:val="24"/>
        </w:rPr>
      </w:pPr>
    </w:p>
    <w:p w:rsidR="00E303E2" w:rsidRPr="00CB1DDE" w:rsidRDefault="000D424A">
      <w:pPr>
        <w:spacing w:after="0" w:line="240" w:lineRule="auto"/>
        <w:rPr>
          <w:rFonts w:ascii="Arial" w:hAnsi="Arial" w:cs="Arial"/>
          <w:b/>
          <w:sz w:val="28"/>
          <w:szCs w:val="28"/>
        </w:rPr>
      </w:pPr>
      <w:r>
        <w:rPr>
          <w:rFonts w:ascii="Arial" w:hAnsi="Arial" w:cs="Arial"/>
          <w:b/>
          <w:sz w:val="28"/>
          <w:szCs w:val="28"/>
        </w:rPr>
        <w:t>2012 Reporting Compliance Customer Satisfaction Surveys</w:t>
      </w:r>
    </w:p>
    <w:p w:rsidR="00E303E2" w:rsidRPr="002D2CB6" w:rsidRDefault="000D424A">
      <w:pPr>
        <w:spacing w:after="0" w:line="240" w:lineRule="auto"/>
        <w:rPr>
          <w:rFonts w:ascii="Arial" w:hAnsi="Arial" w:cs="Arial"/>
          <w:sz w:val="24"/>
          <w:szCs w:val="24"/>
        </w:rPr>
      </w:pPr>
      <w:r>
        <w:rPr>
          <w:rFonts w:ascii="Arial" w:hAnsi="Arial" w:cs="Arial"/>
          <w:sz w:val="24"/>
          <w:szCs w:val="24"/>
        </w:rPr>
        <w:t>AUR/CCE/ISP</w:t>
      </w:r>
      <w:r w:rsidR="00020E19">
        <w:rPr>
          <w:rFonts w:ascii="Arial" w:hAnsi="Arial" w:cs="Arial"/>
          <w:sz w:val="24"/>
          <w:szCs w:val="24"/>
        </w:rPr>
        <w:t xml:space="preserve"> Mail and IVR</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we seek to obtain OMB approval.  </w:t>
      </w:r>
    </w:p>
    <w:p w:rsidR="00E303E2" w:rsidRPr="00E65EB7" w:rsidRDefault="00E303E2">
      <w:pPr>
        <w:spacing w:after="0" w:line="240" w:lineRule="auto"/>
        <w:rPr>
          <w:rFonts w:ascii="Arial" w:hAnsi="Arial" w:cs="Arial"/>
          <w:b/>
          <w:sz w:val="24"/>
          <w:szCs w:val="24"/>
        </w:rPr>
      </w:pP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This collection of information is necessary to enable </w:t>
      </w:r>
      <w:proofErr w:type="gramStart"/>
      <w:r w:rsidRPr="00E65EB7">
        <w:rPr>
          <w:rFonts w:ascii="Arial" w:hAnsi="Arial" w:cs="Arial"/>
          <w:sz w:val="24"/>
          <w:szCs w:val="24"/>
        </w:rPr>
        <w:t>W&amp;I</w:t>
      </w:r>
      <w:proofErr w:type="gramEnd"/>
      <w:r w:rsidRPr="00E65EB7">
        <w:rPr>
          <w:rFonts w:ascii="Arial" w:hAnsi="Arial" w:cs="Arial"/>
          <w:sz w:val="24"/>
          <w:szCs w:val="24"/>
        </w:rPr>
        <w:t xml:space="preserve"> to garner customer feedback in an efficient, timely manner, in accordance with our commitment to improving service delivery.  The information collected from our customers and stakeholders will help ensure that users have an effective, efficient, and satisfying experience with the W&amp;</w:t>
      </w:r>
      <w:proofErr w:type="gramStart"/>
      <w:r w:rsidRPr="00E65EB7">
        <w:rPr>
          <w:rFonts w:ascii="Arial" w:hAnsi="Arial" w:cs="Arial"/>
          <w:sz w:val="24"/>
          <w:szCs w:val="24"/>
        </w:rPr>
        <w:t>I’s</w:t>
      </w:r>
      <w:proofErr w:type="gramEnd"/>
      <w:r w:rsidRPr="00E65EB7">
        <w:rPr>
          <w:rFonts w:ascii="Arial" w:hAnsi="Arial" w:cs="Arial"/>
          <w:sz w:val="24"/>
          <w:szCs w:val="24"/>
        </w:rPr>
        <w:t xml:space="preserve">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stakeholders.  It will also allow feedback to contribute directly to the improvement of program management. </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 </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p>
    <w:p w:rsidR="000D424A" w:rsidRDefault="000D424A" w:rsidP="002D2CB6">
      <w:pPr>
        <w:rPr>
          <w:rFonts w:ascii="Arial" w:hAnsi="Arial" w:cs="Arial"/>
          <w:sz w:val="24"/>
          <w:szCs w:val="24"/>
        </w:rPr>
      </w:pPr>
      <w:r w:rsidRPr="000D424A">
        <w:rPr>
          <w:rFonts w:ascii="Arial" w:hAnsi="Arial" w:cs="Arial"/>
          <w:sz w:val="24"/>
          <w:szCs w:val="24"/>
        </w:rPr>
        <w:t>In 2009, W&amp;I Reporting Compliance formed a task force to assess their survey program. The campuses were being held accountable for survey findings and recommendations that they didn’t have control over (i.e. notice clarity which is determined at the headquarters level); they were frustrated by the inability to react. Although Reporting Compliance received the survey data, there was disparity between programs on the ability to use this data to tie into customer expectations, operational goals or improvement opportunities. All of these surveys were program specific and updated solely with that program perspective versus Reporting Compliance as a whole. This did not allow Reporting Compliance to share data across their programs.</w:t>
      </w:r>
    </w:p>
    <w:p w:rsidR="000D424A" w:rsidRDefault="000D424A" w:rsidP="002D2CB6">
      <w:pPr>
        <w:rPr>
          <w:rFonts w:ascii="Arial" w:hAnsi="Arial" w:cs="Arial"/>
          <w:sz w:val="24"/>
          <w:szCs w:val="24"/>
        </w:rPr>
      </w:pPr>
      <w:r w:rsidRPr="000D424A">
        <w:rPr>
          <w:rFonts w:ascii="Arial" w:hAnsi="Arial" w:cs="Arial"/>
          <w:sz w:val="24"/>
          <w:szCs w:val="24"/>
        </w:rPr>
        <w:t xml:space="preserve">Using the recommendations from the joint SB/SE and W&amp;I task force and a recent assessment of the entire W&amp;I customer satisfaction survey program, the Reporting Compliance surveys were redesigned in FY2011 to be consistent between programs.  Each of the three programs also instituted multiple survey instruments, with both a “transactional” survey at the conclusion of an interaction on the toll free line, and a survey delivered after the case had been closed.  This was done to enable Reporting </w:t>
      </w:r>
      <w:r w:rsidRPr="000D424A">
        <w:rPr>
          <w:rFonts w:ascii="Arial" w:hAnsi="Arial" w:cs="Arial"/>
          <w:sz w:val="24"/>
          <w:szCs w:val="24"/>
        </w:rPr>
        <w:lastRenderedPageBreak/>
        <w:t>Compliance to concentrate on items that either the campuses have control over or the Headquarters office need to drive program and process improvement.</w:t>
      </w:r>
    </w:p>
    <w:p w:rsidR="000D424A" w:rsidRPr="000D424A" w:rsidRDefault="000D424A" w:rsidP="000D424A">
      <w:pPr>
        <w:rPr>
          <w:rFonts w:ascii="Arial" w:hAnsi="Arial" w:cs="Arial"/>
          <w:b/>
          <w:sz w:val="24"/>
          <w:szCs w:val="24"/>
        </w:rPr>
      </w:pPr>
      <w:r w:rsidRPr="000D424A">
        <w:rPr>
          <w:rFonts w:ascii="Arial" w:hAnsi="Arial" w:cs="Arial"/>
          <w:b/>
          <w:sz w:val="24"/>
          <w:szCs w:val="24"/>
        </w:rPr>
        <w:t>AUR</w:t>
      </w:r>
    </w:p>
    <w:p w:rsidR="000D424A" w:rsidRPr="000D424A" w:rsidRDefault="000D424A" w:rsidP="000D424A">
      <w:pPr>
        <w:rPr>
          <w:rFonts w:ascii="Arial" w:hAnsi="Arial" w:cs="Arial"/>
          <w:sz w:val="24"/>
          <w:szCs w:val="24"/>
        </w:rPr>
      </w:pPr>
      <w:r w:rsidRPr="000D424A">
        <w:rPr>
          <w:rFonts w:ascii="Arial" w:hAnsi="Arial" w:cs="Arial"/>
          <w:sz w:val="24"/>
          <w:szCs w:val="24"/>
        </w:rPr>
        <w:t>The AUR program is responsible for notifying taxpayers of and resolving discrepancies between the income reported on their tax returns and the income information reported to the IRS by third-party payers. Consequently, contacts frequently result in additional assessments of tax, interest, and penalties. In this context, the traditional definition of a satisfied customer is not applicable. Primary measures of satisfaction include taxpayer perceptions with regard to having been treated courteously, respectfully and with professionalism. A challenge within the context of AUR is separating the taxpayers’ feelings regarding the fairness of the tax law or the outcome of the contacts from the experience of their interactions with the program.</w:t>
      </w:r>
    </w:p>
    <w:p w:rsidR="000D424A" w:rsidRPr="000D424A" w:rsidRDefault="000D424A" w:rsidP="000D424A">
      <w:pPr>
        <w:rPr>
          <w:rFonts w:ascii="Arial" w:hAnsi="Arial" w:cs="Arial"/>
          <w:b/>
          <w:sz w:val="24"/>
          <w:szCs w:val="24"/>
        </w:rPr>
      </w:pPr>
      <w:r w:rsidRPr="000D424A">
        <w:rPr>
          <w:rFonts w:ascii="Arial" w:hAnsi="Arial" w:cs="Arial"/>
          <w:b/>
          <w:sz w:val="24"/>
          <w:szCs w:val="24"/>
        </w:rPr>
        <w:t>CCE</w:t>
      </w:r>
    </w:p>
    <w:p w:rsidR="000D424A" w:rsidRDefault="000D424A" w:rsidP="000D424A">
      <w:pPr>
        <w:rPr>
          <w:rFonts w:ascii="Arial" w:hAnsi="Arial" w:cs="Arial"/>
          <w:sz w:val="24"/>
          <w:szCs w:val="24"/>
        </w:rPr>
      </w:pPr>
      <w:r w:rsidRPr="000D424A">
        <w:rPr>
          <w:rFonts w:ascii="Arial" w:hAnsi="Arial" w:cs="Arial"/>
          <w:sz w:val="24"/>
          <w:szCs w:val="24"/>
        </w:rPr>
        <w:t xml:space="preserve">CCE conducts audits of taxpayer returns through the use of correspondence. Taxpayers do not meet with IRS employees directly, but may speak with an IRS Tax Examiner over the phone. Taxpayers are notified of the audit upon receipt of an Initial Contact Letter which identifies the tax return item or items in question. The letter also provides instruction on the types of documentation needed to verify the entries on their return. CCE is responsible for responding to customer technical and account inquiries from customers, resolving customer account issues, providing account settlement (payment options), and working related issues. The vast majority of IRS audits are conducted by the Correspondence Exam program. The mail based audit administration used in this program allows the IRS to maintain </w:t>
      </w:r>
      <w:proofErr w:type="gramStart"/>
      <w:r w:rsidRPr="000D424A">
        <w:rPr>
          <w:rFonts w:ascii="Arial" w:hAnsi="Arial" w:cs="Arial"/>
          <w:sz w:val="24"/>
          <w:szCs w:val="24"/>
        </w:rPr>
        <w:t>a wide</w:t>
      </w:r>
      <w:proofErr w:type="gramEnd"/>
      <w:r w:rsidRPr="000D424A">
        <w:rPr>
          <w:rFonts w:ascii="Arial" w:hAnsi="Arial" w:cs="Arial"/>
          <w:sz w:val="24"/>
          <w:szCs w:val="24"/>
        </w:rPr>
        <w:t xml:space="preserve"> audit coverage.  As such, CCE is considered a cornerstone of our voluntary compliance system.</w:t>
      </w:r>
    </w:p>
    <w:p w:rsidR="000D424A" w:rsidRPr="000D424A" w:rsidRDefault="000D424A" w:rsidP="000D424A">
      <w:pPr>
        <w:rPr>
          <w:rFonts w:ascii="Arial" w:hAnsi="Arial" w:cs="Arial"/>
          <w:b/>
          <w:sz w:val="24"/>
          <w:szCs w:val="24"/>
        </w:rPr>
      </w:pPr>
      <w:r w:rsidRPr="000D424A">
        <w:rPr>
          <w:rFonts w:ascii="Arial" w:hAnsi="Arial" w:cs="Arial"/>
          <w:b/>
          <w:sz w:val="24"/>
          <w:szCs w:val="24"/>
        </w:rPr>
        <w:t>ISP</w:t>
      </w:r>
    </w:p>
    <w:p w:rsidR="000D424A" w:rsidRDefault="000D424A" w:rsidP="000D424A">
      <w:pPr>
        <w:rPr>
          <w:rFonts w:ascii="Arial" w:hAnsi="Arial" w:cs="Arial"/>
          <w:sz w:val="24"/>
          <w:szCs w:val="24"/>
        </w:rPr>
      </w:pPr>
      <w:r w:rsidRPr="000D424A">
        <w:rPr>
          <w:rFonts w:ascii="Arial" w:hAnsi="Arial" w:cs="Arial"/>
          <w:sz w:val="24"/>
          <w:szCs w:val="24"/>
        </w:rPr>
        <w:t>ISP is responsible for protecting the rights of the requesting and non-requesting spouses. The program ensures each claim receives timely and consistent treatment in accordance with established guidelines and the law. Under current tax laws, when a married couple files a joint federal income tax return, each spouse becomes individually responsible for paying the entire tax bill. As a result, one spouse can be held liable for tax deficiencies assessed after a joint return was filed, even if the additional taxes were solely attributable to the income of the other spouse. If the Internal Revenue Service (IRS) cannot collect the additional taxes owed on the unreported income from the spouse who earned the income, it may seek to collect the money from the other spouse. The spouse may obtain relief from the additional liability if certain conditions are met. The program ensures each claim receives timely and consistent treatment in accordance with established guidelines and the law.</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lastRenderedPageBreak/>
        <w:t>Consideration Given to Information Technology</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are gathered or maintained by W&amp;I or are available from other sources known to W&amp;I.</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Reducing the Burden on Small Entities</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E303E2" w:rsidRPr="002D2CB6" w:rsidRDefault="00E303E2">
      <w:pPr>
        <w:spacing w:after="0" w:line="240" w:lineRule="auto"/>
        <w:rPr>
          <w:rFonts w:ascii="Arial" w:hAnsi="Arial" w:cs="Arial"/>
          <w:sz w:val="24"/>
          <w:szCs w:val="24"/>
        </w:rPr>
      </w:pPr>
      <w:r w:rsidRPr="00A457DE">
        <w:rPr>
          <w:rFonts w:ascii="Arial" w:hAnsi="Arial" w:cs="Arial"/>
          <w:sz w:val="24"/>
          <w:szCs w:val="24"/>
        </w:rPr>
        <w:t xml:space="preserve">Without these types of feedback, W&amp;I </w:t>
      </w:r>
      <w:r w:rsidR="000D424A" w:rsidRPr="00A457DE">
        <w:rPr>
          <w:rFonts w:ascii="Arial" w:hAnsi="Arial" w:cs="Arial"/>
          <w:sz w:val="24"/>
          <w:szCs w:val="24"/>
        </w:rPr>
        <w:t>Reporting Compliance would</w:t>
      </w:r>
      <w:r w:rsidRPr="00A457DE">
        <w:rPr>
          <w:rFonts w:ascii="Arial" w:hAnsi="Arial" w:cs="Arial"/>
          <w:sz w:val="24"/>
          <w:szCs w:val="24"/>
        </w:rPr>
        <w:t xml:space="preserve"> not have information to adjust its services to meet individual taxpayer needs.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Consultations with Persons Outside W&amp;I </w:t>
      </w:r>
      <w:r>
        <w:rPr>
          <w:rFonts w:ascii="Arial" w:hAnsi="Arial" w:cs="Arial"/>
          <w:b/>
          <w:sz w:val="24"/>
          <w:szCs w:val="24"/>
        </w:rPr>
        <w:t>ACS</w:t>
      </w:r>
    </w:p>
    <w:p w:rsidR="00E303E2" w:rsidRPr="002D2CB6" w:rsidRDefault="000D424A" w:rsidP="00CB4F67">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0D424A" w:rsidRDefault="00E303E2" w:rsidP="000D424A">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Payment or Gift</w:t>
      </w:r>
    </w:p>
    <w:p w:rsidR="00E24EAC" w:rsidRPr="002D2CB6" w:rsidRDefault="00E24EAC" w:rsidP="00E24EAC">
      <w:pPr>
        <w:spacing w:after="0" w:line="240" w:lineRule="auto"/>
        <w:rPr>
          <w:rFonts w:ascii="Arial" w:hAnsi="Arial" w:cs="Arial"/>
          <w:sz w:val="24"/>
          <w:szCs w:val="24"/>
        </w:rPr>
      </w:pPr>
      <w:r w:rsidRPr="002D2CB6">
        <w:rPr>
          <w:rFonts w:ascii="Arial" w:hAnsi="Arial" w:cs="Arial"/>
          <w:sz w:val="24"/>
          <w:szCs w:val="24"/>
        </w:rPr>
        <w:t xml:space="preserve">W&amp;I </w:t>
      </w:r>
      <w:proofErr w:type="gramStart"/>
      <w:r w:rsidRPr="002D2CB6">
        <w:rPr>
          <w:rFonts w:ascii="Arial" w:hAnsi="Arial" w:cs="Arial"/>
          <w:sz w:val="24"/>
          <w:szCs w:val="24"/>
        </w:rPr>
        <w:t>plans</w:t>
      </w:r>
      <w:proofErr w:type="gramEnd"/>
      <w:r w:rsidRPr="002D2CB6">
        <w:rPr>
          <w:rFonts w:ascii="Arial" w:hAnsi="Arial" w:cs="Arial"/>
          <w:sz w:val="24"/>
          <w:szCs w:val="24"/>
        </w:rPr>
        <w:t xml:space="preserve"> to provide a stipend of $</w:t>
      </w:r>
      <w:r w:rsidR="00A45082">
        <w:rPr>
          <w:rFonts w:ascii="Arial" w:hAnsi="Arial" w:cs="Arial"/>
          <w:sz w:val="24"/>
          <w:szCs w:val="24"/>
        </w:rPr>
        <w:t>4</w:t>
      </w:r>
      <w:r w:rsidRPr="002D2CB6">
        <w:rPr>
          <w:rFonts w:ascii="Arial" w:hAnsi="Arial" w:cs="Arial"/>
          <w:sz w:val="24"/>
          <w:szCs w:val="24"/>
        </w:rPr>
        <w:t xml:space="preserve">0 per participant, an industry-standard amount for participating in this form of research. </w:t>
      </w:r>
    </w:p>
    <w:p w:rsidR="00E24EAC" w:rsidRDefault="00E24EAC">
      <w:pPr>
        <w:spacing w:after="0" w:line="240" w:lineRule="auto"/>
        <w:rPr>
          <w:rFonts w:ascii="Arial" w:hAnsi="Arial" w:cs="Arial"/>
          <w:sz w:val="24"/>
          <w:szCs w:val="24"/>
        </w:rPr>
      </w:pP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w:t>
      </w:r>
      <w:r w:rsidRPr="00F20561">
        <w:rPr>
          <w:rFonts w:ascii="Arial" w:hAnsi="Arial" w:cs="Arial"/>
          <w:b/>
          <w:sz w:val="24"/>
          <w:szCs w:val="24"/>
        </w:rPr>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focus groups.  Moderator will indicate that no names will be used in the final report.  Also, the data returned to IRS will have no identifying information relating specific records to individual taxpayers. Nonetheless, IRS will </w:t>
      </w:r>
      <w:r w:rsidRPr="00A457DE">
        <w:rPr>
          <w:rFonts w:ascii="Arial" w:hAnsi="Arial" w:cs="Arial"/>
          <w:sz w:val="24"/>
          <w:szCs w:val="24"/>
        </w:rPr>
        <w:t>ensure that privacy to extent allowed by law and security of the aggregated results will</w:t>
      </w:r>
      <w:r w:rsidRPr="002D2CB6">
        <w:rPr>
          <w:rFonts w:ascii="Arial" w:hAnsi="Arial" w:cs="Arial"/>
          <w:sz w:val="24"/>
          <w:szCs w:val="24"/>
        </w:rPr>
        <w:t xml:space="preserve">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EA3325">
        <w:rPr>
          <w:rFonts w:ascii="Arial" w:hAnsi="Arial" w:cs="Arial"/>
          <w:sz w:val="24"/>
          <w:szCs w:val="24"/>
        </w:rPr>
        <w:t>Digital audio files</w:t>
      </w:r>
      <w:r w:rsidRPr="002D2CB6">
        <w:rPr>
          <w:rFonts w:ascii="Arial" w:hAnsi="Arial" w:cs="Arial"/>
          <w:sz w:val="24"/>
          <w:szCs w:val="24"/>
        </w:rPr>
        <w:t xml:space="preserve"> used to </w:t>
      </w:r>
      <w:r w:rsidR="00EA3325">
        <w:rPr>
          <w:rFonts w:ascii="Arial" w:hAnsi="Arial" w:cs="Arial"/>
          <w:sz w:val="24"/>
          <w:szCs w:val="24"/>
        </w:rPr>
        <w:t>capture the</w:t>
      </w:r>
      <w:r w:rsidRPr="002D2CB6">
        <w:rPr>
          <w:rFonts w:ascii="Arial" w:hAnsi="Arial" w:cs="Arial"/>
          <w:sz w:val="24"/>
          <w:szCs w:val="24"/>
        </w:rPr>
        <w:t xml:space="preserve">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questions will be asked that are of a personal or sensitive nature.</w:t>
      </w:r>
    </w:p>
    <w:p w:rsidR="00E303E2" w:rsidRPr="002D2CB6" w:rsidRDefault="00E303E2">
      <w:pPr>
        <w:spacing w:after="0" w:line="240" w:lineRule="auto"/>
        <w:rPr>
          <w:rFonts w:ascii="Arial" w:hAnsi="Arial" w:cs="Arial"/>
          <w:sz w:val="24"/>
          <w:szCs w:val="24"/>
        </w:rPr>
      </w:pPr>
    </w:p>
    <w:p w:rsidR="00E303E2"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Burden of Information Collection</w:t>
      </w:r>
    </w:p>
    <w:p w:rsidR="00E303E2" w:rsidRPr="003004AD" w:rsidRDefault="00E303E2" w:rsidP="003E6C81">
      <w:pPr>
        <w:rPr>
          <w:rFonts w:ascii="Arial" w:hAnsi="Arial" w:cs="Arial"/>
          <w:b/>
        </w:rPr>
      </w:pPr>
      <w:r w:rsidRPr="003004AD">
        <w:rPr>
          <w:rFonts w:ascii="Arial" w:hAnsi="Arial" w:cs="Arial"/>
          <w:sz w:val="24"/>
          <w:szCs w:val="24"/>
        </w:rPr>
        <w:t>The recruitment</w:t>
      </w:r>
      <w:r w:rsidR="000D424A">
        <w:rPr>
          <w:rFonts w:ascii="Arial" w:hAnsi="Arial" w:cs="Arial"/>
          <w:sz w:val="24"/>
          <w:szCs w:val="24"/>
        </w:rPr>
        <w:t xml:space="preserve"> phase w</w:t>
      </w:r>
      <w:r w:rsidR="003E6C81">
        <w:rPr>
          <w:rFonts w:ascii="Arial" w:hAnsi="Arial" w:cs="Arial"/>
          <w:sz w:val="24"/>
          <w:szCs w:val="24"/>
        </w:rPr>
        <w:t>ill take approximately 5 minutes per participant and 2</w:t>
      </w:r>
      <w:r w:rsidRPr="003004AD">
        <w:rPr>
          <w:rFonts w:ascii="Arial" w:hAnsi="Arial" w:cs="Arial"/>
          <w:sz w:val="24"/>
          <w:szCs w:val="24"/>
        </w:rPr>
        <w:t xml:space="preserve"> minute</w:t>
      </w:r>
      <w:r w:rsidR="003E6C81">
        <w:rPr>
          <w:rFonts w:ascii="Arial" w:hAnsi="Arial" w:cs="Arial"/>
          <w:sz w:val="24"/>
          <w:szCs w:val="24"/>
        </w:rPr>
        <w:t xml:space="preserve">s </w:t>
      </w:r>
      <w:r w:rsidRPr="003004AD">
        <w:rPr>
          <w:rFonts w:ascii="Arial" w:hAnsi="Arial" w:cs="Arial"/>
          <w:sz w:val="24"/>
          <w:szCs w:val="24"/>
        </w:rPr>
        <w:t>for those not interested in participating. From prior experi</w:t>
      </w:r>
      <w:r w:rsidR="000D424A">
        <w:rPr>
          <w:rFonts w:ascii="Arial" w:hAnsi="Arial" w:cs="Arial"/>
          <w:sz w:val="24"/>
          <w:szCs w:val="24"/>
        </w:rPr>
        <w:t xml:space="preserve">ence, we estimate contacting </w:t>
      </w:r>
      <w:r w:rsidR="003E6C81">
        <w:rPr>
          <w:rFonts w:ascii="Arial" w:hAnsi="Arial" w:cs="Arial"/>
          <w:sz w:val="24"/>
          <w:szCs w:val="24"/>
        </w:rPr>
        <w:lastRenderedPageBreak/>
        <w:t xml:space="preserve">128 individuals to recruit </w:t>
      </w:r>
      <w:r w:rsidR="003E6C81" w:rsidRPr="00EA3325">
        <w:rPr>
          <w:rFonts w:ascii="Arial" w:hAnsi="Arial" w:cs="Arial"/>
          <w:sz w:val="24"/>
          <w:szCs w:val="24"/>
        </w:rPr>
        <w:t>32</w:t>
      </w:r>
      <w:r w:rsidRPr="00EA3325">
        <w:rPr>
          <w:rFonts w:ascii="Arial" w:hAnsi="Arial" w:cs="Arial"/>
          <w:sz w:val="24"/>
          <w:szCs w:val="24"/>
        </w:rPr>
        <w:t xml:space="preserve"> taxpayers. The r</w:t>
      </w:r>
      <w:r w:rsidR="000D424A" w:rsidRPr="00EA3325">
        <w:rPr>
          <w:rFonts w:ascii="Arial" w:hAnsi="Arial" w:cs="Arial"/>
          <w:sz w:val="24"/>
          <w:szCs w:val="24"/>
        </w:rPr>
        <w:t>esponse rate is estimated at</w:t>
      </w:r>
      <w:r w:rsidR="003E6C81" w:rsidRPr="00EA3325">
        <w:rPr>
          <w:rFonts w:ascii="Arial" w:hAnsi="Arial" w:cs="Arial"/>
          <w:sz w:val="24"/>
          <w:szCs w:val="24"/>
        </w:rPr>
        <w:t xml:space="preserve"> 25%.  </w:t>
      </w:r>
      <w:r w:rsidRPr="00EA3325">
        <w:rPr>
          <w:rFonts w:ascii="Arial" w:hAnsi="Arial" w:cs="Arial"/>
          <w:sz w:val="24"/>
          <w:szCs w:val="24"/>
        </w:rPr>
        <w:t>Each</w:t>
      </w:r>
      <w:r w:rsidR="00487A11" w:rsidRPr="00EA3325">
        <w:rPr>
          <w:rFonts w:ascii="Arial" w:hAnsi="Arial" w:cs="Arial"/>
          <w:sz w:val="24"/>
          <w:szCs w:val="24"/>
        </w:rPr>
        <w:t xml:space="preserve"> of the four</w:t>
      </w:r>
      <w:r w:rsidRPr="00EA3325">
        <w:rPr>
          <w:rFonts w:ascii="Arial" w:hAnsi="Arial" w:cs="Arial"/>
          <w:sz w:val="24"/>
          <w:szCs w:val="24"/>
        </w:rPr>
        <w:t xml:space="preserve"> focus group</w:t>
      </w:r>
      <w:r w:rsidR="00487A11" w:rsidRPr="00EA3325">
        <w:rPr>
          <w:rFonts w:ascii="Arial" w:hAnsi="Arial" w:cs="Arial"/>
          <w:sz w:val="24"/>
          <w:szCs w:val="24"/>
        </w:rPr>
        <w:t>s</w:t>
      </w:r>
      <w:r w:rsidRPr="00EA3325">
        <w:rPr>
          <w:rFonts w:ascii="Arial" w:hAnsi="Arial" w:cs="Arial"/>
          <w:sz w:val="24"/>
          <w:szCs w:val="24"/>
        </w:rPr>
        <w:t xml:space="preserve"> will take place in the form of a one-hour conference call. Participants will dial a toll-free number at a designated date and time. The estimated burden for p</w:t>
      </w:r>
      <w:r w:rsidR="000D424A" w:rsidRPr="00EA3325">
        <w:rPr>
          <w:rFonts w:ascii="Arial" w:hAnsi="Arial" w:cs="Arial"/>
          <w:sz w:val="24"/>
          <w:szCs w:val="24"/>
        </w:rPr>
        <w:t xml:space="preserve">articipants will be one hour x </w:t>
      </w:r>
      <w:r w:rsidR="003E6C81" w:rsidRPr="00EA3325">
        <w:rPr>
          <w:rFonts w:ascii="Arial" w:hAnsi="Arial" w:cs="Arial"/>
          <w:sz w:val="24"/>
          <w:szCs w:val="24"/>
        </w:rPr>
        <w:t>32</w:t>
      </w:r>
      <w:r w:rsidR="00726CB8" w:rsidRPr="00EA3325">
        <w:rPr>
          <w:rFonts w:ascii="Arial" w:hAnsi="Arial" w:cs="Arial"/>
          <w:sz w:val="24"/>
          <w:szCs w:val="24"/>
        </w:rPr>
        <w:t xml:space="preserve"> taxpayers (expect </w:t>
      </w:r>
      <w:r w:rsidR="003E6C81" w:rsidRPr="00EA3325">
        <w:rPr>
          <w:rFonts w:ascii="Arial" w:hAnsi="Arial" w:cs="Arial"/>
          <w:sz w:val="24"/>
          <w:szCs w:val="24"/>
        </w:rPr>
        <w:t>8</w:t>
      </w:r>
      <w:r w:rsidR="00726CB8" w:rsidRPr="00EA3325">
        <w:rPr>
          <w:rFonts w:ascii="Arial" w:hAnsi="Arial" w:cs="Arial"/>
          <w:sz w:val="24"/>
          <w:szCs w:val="24"/>
        </w:rPr>
        <w:t xml:space="preserve"> </w:t>
      </w:r>
      <w:r w:rsidRPr="00EA3325">
        <w:rPr>
          <w:rFonts w:ascii="Arial" w:hAnsi="Arial" w:cs="Arial"/>
          <w:sz w:val="24"/>
          <w:szCs w:val="24"/>
        </w:rPr>
        <w:t>to show per group).</w:t>
      </w:r>
      <w:r w:rsidRPr="003004AD">
        <w:rPr>
          <w:rFonts w:ascii="Arial" w:hAnsi="Arial" w:cs="Arial"/>
        </w:rPr>
        <w:t xml:space="preserve"> </w:t>
      </w:r>
    </w:p>
    <w:p w:rsidR="00E303E2" w:rsidRDefault="00E303E2" w:rsidP="0006753B">
      <w:pPr>
        <w:pStyle w:val="ListParagraph"/>
        <w:spacing w:after="0" w:line="240" w:lineRule="auto"/>
        <w:rPr>
          <w:rFonts w:ascii="Arial" w:hAnsi="Arial" w:cs="Arial"/>
          <w:b/>
          <w:sz w:val="24"/>
          <w:szCs w:val="24"/>
        </w:rPr>
      </w:pPr>
    </w:p>
    <w:tbl>
      <w:tblPr>
        <w:tblW w:w="9468" w:type="dxa"/>
        <w:tblCellMar>
          <w:left w:w="0" w:type="dxa"/>
          <w:right w:w="0" w:type="dxa"/>
        </w:tblCellMar>
        <w:tblLook w:val="04A0" w:firstRow="1" w:lastRow="0" w:firstColumn="1" w:lastColumn="0" w:noHBand="0" w:noVBand="1"/>
      </w:tblPr>
      <w:tblGrid>
        <w:gridCol w:w="3258"/>
        <w:gridCol w:w="2700"/>
        <w:gridCol w:w="1620"/>
        <w:gridCol w:w="1890"/>
      </w:tblGrid>
      <w:tr w:rsidR="003E6C81" w:rsidTr="00EA3325">
        <w:trPr>
          <w:trHeight w:val="274"/>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EA3325" w:rsidRDefault="003E6C81" w:rsidP="00EA3325">
            <w:pPr>
              <w:spacing w:after="0" w:line="240" w:lineRule="auto"/>
              <w:rPr>
                <w:rFonts w:eastAsiaTheme="minorHAnsi" w:cs="Calibri"/>
                <w:b/>
                <w:bCs/>
              </w:rPr>
            </w:pPr>
            <w:r w:rsidRPr="00EA3325">
              <w:rPr>
                <w:b/>
              </w:rPr>
              <w:t>Category of Respondent</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Default="003E6C81" w:rsidP="00EA3325">
            <w:pPr>
              <w:spacing w:after="0"/>
              <w:jc w:val="center"/>
              <w:rPr>
                <w:rFonts w:eastAsiaTheme="minorHAnsi" w:cs="Calibri"/>
                <w:b/>
                <w:bCs/>
              </w:rPr>
            </w:pPr>
            <w:r>
              <w:rPr>
                <w:b/>
                <w:bCs/>
              </w:rPr>
              <w:t>No. of Respondents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Default="003E6C81" w:rsidP="00EA3325">
            <w:pPr>
              <w:spacing w:after="0"/>
              <w:jc w:val="center"/>
              <w:rPr>
                <w:rFonts w:eastAsiaTheme="minorHAnsi" w:cs="Calibri"/>
                <w:b/>
                <w:bCs/>
              </w:rPr>
            </w:pPr>
            <w:r>
              <w:rPr>
                <w:b/>
                <w:bCs/>
              </w:rPr>
              <w:t>Participation Time</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Default="003E6C81" w:rsidP="00EA3325">
            <w:pPr>
              <w:spacing w:after="0"/>
              <w:jc w:val="center"/>
              <w:rPr>
                <w:rFonts w:eastAsiaTheme="minorHAnsi" w:cs="Calibri"/>
                <w:b/>
                <w:bCs/>
              </w:rPr>
            </w:pPr>
            <w:r>
              <w:rPr>
                <w:b/>
                <w:bCs/>
              </w:rPr>
              <w:t>Burden</w:t>
            </w:r>
          </w:p>
        </w:tc>
      </w:tr>
      <w:tr w:rsidR="003E6C81"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EA3325" w:rsidRDefault="003E6C81">
            <w:r>
              <w:t xml:space="preserve">Recruitment for Focus Groups – </w:t>
            </w:r>
            <w:r w:rsidR="00EA3325">
              <w:t xml:space="preserve">        </w:t>
            </w:r>
            <w:r>
              <w:t>Not Interested</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96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2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487A11">
            <w:pPr>
              <w:jc w:val="center"/>
              <w:rPr>
                <w:rFonts w:eastAsiaTheme="minorHAnsi" w:cs="Calibri"/>
              </w:rPr>
            </w:pPr>
            <w:r>
              <w:t>3.2 hours</w:t>
            </w:r>
          </w:p>
        </w:tc>
      </w:tr>
      <w:tr w:rsidR="003E6C81"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Default="003E6C81">
            <w:pPr>
              <w:rPr>
                <w:rFonts w:eastAsiaTheme="minorHAnsi" w:cs="Calibri"/>
              </w:rPr>
            </w:pPr>
            <w:r>
              <w:t xml:space="preserve">Recruitment for Focus </w:t>
            </w:r>
            <w:r w:rsidR="00EA3325">
              <w:t xml:space="preserve">Groups –         </w:t>
            </w:r>
            <w:r>
              <w:t>Participants</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32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5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487A11">
            <w:pPr>
              <w:jc w:val="center"/>
              <w:rPr>
                <w:rFonts w:eastAsiaTheme="minorHAnsi" w:cs="Calibri"/>
              </w:rPr>
            </w:pPr>
            <w:r>
              <w:t>2.7 hours</w:t>
            </w:r>
          </w:p>
        </w:tc>
      </w:tr>
      <w:tr w:rsidR="003E6C81" w:rsidTr="00EA3325">
        <w:trPr>
          <w:trHeight w:val="289"/>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Default="003E6C81">
            <w:pPr>
              <w:rPr>
                <w:rFonts w:eastAsiaTheme="minorHAnsi" w:cs="Calibri"/>
              </w:rPr>
            </w:pPr>
            <w:r>
              <w:t>Participation in Focus Group</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32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60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487A11">
            <w:pPr>
              <w:jc w:val="center"/>
              <w:rPr>
                <w:rFonts w:eastAsiaTheme="minorHAnsi" w:cs="Calibri"/>
              </w:rPr>
            </w:pPr>
            <w:r>
              <w:t>32.0 hours</w:t>
            </w:r>
          </w:p>
        </w:tc>
      </w:tr>
      <w:tr w:rsidR="003E6C81" w:rsidTr="00650FB3">
        <w:trPr>
          <w:trHeight w:val="289"/>
        </w:trPr>
        <w:tc>
          <w:tcPr>
            <w:tcW w:w="325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3E6C81" w:rsidRDefault="00487A11" w:rsidP="00487A11">
            <w:pPr>
              <w:rPr>
                <w:rFonts w:eastAsiaTheme="minorHAnsi" w:cs="Calibri"/>
                <w:b/>
                <w:bCs/>
              </w:rPr>
            </w:pPr>
            <w:r>
              <w:rPr>
                <w:b/>
                <w:bCs/>
              </w:rPr>
              <w:t>Total Burden</w:t>
            </w:r>
          </w:p>
        </w:tc>
        <w:tc>
          <w:tcPr>
            <w:tcW w:w="2700" w:type="dxa"/>
            <w:tcBorders>
              <w:top w:val="nil"/>
              <w:left w:val="nil"/>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Default="003E6C81">
            <w:pPr>
              <w:jc w:val="center"/>
              <w:rPr>
                <w:rFonts w:eastAsiaTheme="minorHAnsi" w:cs="Calibri"/>
                <w:b/>
                <w:bCs/>
              </w:rPr>
            </w:pPr>
          </w:p>
        </w:tc>
        <w:tc>
          <w:tcPr>
            <w:tcW w:w="1620" w:type="dxa"/>
            <w:tcBorders>
              <w:top w:val="nil"/>
              <w:left w:val="nil"/>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Default="003E6C81">
            <w:pPr>
              <w:rPr>
                <w:rFonts w:ascii="Times New Roman" w:hAnsi="Times New Roman"/>
                <w:sz w:val="20"/>
                <w:szCs w:val="20"/>
              </w:rPr>
            </w:pPr>
          </w:p>
        </w:tc>
        <w:tc>
          <w:tcPr>
            <w:tcW w:w="1890" w:type="dxa"/>
            <w:tcBorders>
              <w:top w:val="nil"/>
              <w:left w:val="nil"/>
              <w:bottom w:val="nil"/>
              <w:right w:val="single" w:sz="8" w:space="0" w:color="auto"/>
            </w:tcBorders>
            <w:tcMar>
              <w:top w:w="0" w:type="dxa"/>
              <w:left w:w="108" w:type="dxa"/>
              <w:bottom w:w="0" w:type="dxa"/>
              <w:right w:w="108" w:type="dxa"/>
            </w:tcMar>
            <w:vAlign w:val="center"/>
            <w:hideMark/>
          </w:tcPr>
          <w:p w:rsidR="003E6C81" w:rsidRDefault="00487A11">
            <w:pPr>
              <w:jc w:val="center"/>
              <w:rPr>
                <w:rFonts w:eastAsiaTheme="minorHAnsi" w:cs="Calibri"/>
                <w:b/>
                <w:bCs/>
              </w:rPr>
            </w:pPr>
            <w:r>
              <w:rPr>
                <w:b/>
                <w:bCs/>
              </w:rPr>
              <w:t>37.9 hours</w:t>
            </w:r>
          </w:p>
        </w:tc>
      </w:tr>
      <w:tr w:rsidR="00650FB3" w:rsidTr="00650FB3">
        <w:trPr>
          <w:trHeight w:val="80"/>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50FB3" w:rsidRDefault="00650FB3" w:rsidP="00487A11">
            <w:pPr>
              <w:rPr>
                <w:b/>
                <w:bCs/>
              </w:rPr>
            </w:pPr>
          </w:p>
        </w:tc>
        <w:tc>
          <w:tcPr>
            <w:tcW w:w="270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650FB3" w:rsidRDefault="00650FB3">
            <w:pPr>
              <w:jc w:val="center"/>
              <w:rPr>
                <w:rFonts w:eastAsiaTheme="minorHAnsi" w:cs="Calibri"/>
                <w:b/>
                <w:bCs/>
              </w:rPr>
            </w:pPr>
          </w:p>
        </w:tc>
        <w:tc>
          <w:tcPr>
            <w:tcW w:w="162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650FB3" w:rsidRDefault="00650FB3">
            <w:pPr>
              <w:rPr>
                <w:rFonts w:ascii="Times New Roman" w:hAnsi="Times New Roman"/>
                <w:sz w:val="20"/>
                <w:szCs w:val="2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650FB3" w:rsidRDefault="00650FB3">
            <w:pPr>
              <w:jc w:val="center"/>
              <w:rPr>
                <w:b/>
                <w:bCs/>
              </w:rPr>
            </w:pPr>
          </w:p>
        </w:tc>
      </w:tr>
    </w:tbl>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sz w:val="24"/>
          <w:szCs w:val="24"/>
        </w:rPr>
      </w:pPr>
      <w:r w:rsidRPr="002D2CB6">
        <w:rPr>
          <w:rFonts w:ascii="Arial" w:hAnsi="Arial" w:cs="Arial"/>
          <w:sz w:val="24"/>
          <w:szCs w:val="24"/>
        </w:rPr>
        <w:t xml:space="preserve">The anticipated cost to the Federal Government is </w:t>
      </w:r>
      <w:r w:rsidRPr="00EA3325">
        <w:rPr>
          <w:rFonts w:ascii="Arial" w:hAnsi="Arial" w:cs="Arial"/>
          <w:sz w:val="24"/>
          <w:szCs w:val="24"/>
        </w:rPr>
        <w:t xml:space="preserve">approximately $12,552.76 for the </w:t>
      </w:r>
      <w:r w:rsidR="00EA3325">
        <w:rPr>
          <w:rFonts w:ascii="Arial" w:hAnsi="Arial" w:cs="Arial"/>
          <w:sz w:val="24"/>
          <w:szCs w:val="24"/>
        </w:rPr>
        <w:t xml:space="preserve">four </w:t>
      </w:r>
      <w:r>
        <w:rPr>
          <w:rFonts w:ascii="Arial" w:hAnsi="Arial" w:cs="Arial"/>
          <w:sz w:val="24"/>
          <w:szCs w:val="24"/>
        </w:rPr>
        <w:t>focus group sessions</w:t>
      </w:r>
      <w:r w:rsidRPr="002D2CB6">
        <w:rPr>
          <w:rFonts w:ascii="Arial" w:hAnsi="Arial" w:cs="Arial"/>
          <w:sz w:val="24"/>
          <w:szCs w:val="24"/>
        </w:rPr>
        <w:t>.  These costs are comprised of: focus group recruiting costs, costs to moderate the sessions, create a summary, telephone conference call costs, and participation incentive fees.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Not applicable.  </w:t>
      </w:r>
    </w:p>
    <w:p w:rsidR="00E303E2" w:rsidRPr="002D2CB6" w:rsidRDefault="00E303E2">
      <w:pPr>
        <w:spacing w:after="0" w:line="240" w:lineRule="auto"/>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E303E2" w:rsidRPr="002D2CB6" w:rsidRDefault="00E303E2" w:rsidP="003E339C">
      <w:pPr>
        <w:spacing w:after="0" w:line="240" w:lineRule="auto"/>
        <w:rPr>
          <w:rFonts w:ascii="Arial" w:hAnsi="Arial" w:cs="Arial"/>
          <w:sz w:val="24"/>
          <w:szCs w:val="24"/>
        </w:rPr>
      </w:pP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Although the W&amp;I does not intend to publish its findings, W&amp;I will disseminate the findings when appropriate, strictly following "Guidelines for Ensuring the Quality of Information Disseminated to the Public.", and will include specific discussion of the limitation of the qualitative results discussed above. </w:t>
      </w:r>
    </w:p>
    <w:p w:rsidR="00E303E2" w:rsidRPr="002D2CB6" w:rsidRDefault="00E303E2">
      <w:pPr>
        <w:spacing w:after="0" w:line="240" w:lineRule="auto"/>
        <w:rPr>
          <w:rFonts w:ascii="Arial" w:hAnsi="Arial" w:cs="Arial"/>
          <w:sz w:val="24"/>
          <w:szCs w:val="24"/>
        </w:rPr>
      </w:pPr>
    </w:p>
    <w:p w:rsidR="00E303E2" w:rsidRPr="003E6C81" w:rsidRDefault="00E303E2" w:rsidP="003E6C81">
      <w:pPr>
        <w:pStyle w:val="ListParagraph"/>
        <w:numPr>
          <w:ilvl w:val="0"/>
          <w:numId w:val="2"/>
        </w:numPr>
        <w:spacing w:after="0" w:line="240" w:lineRule="auto"/>
        <w:ind w:left="0"/>
        <w:rPr>
          <w:rFonts w:ascii="Arial" w:hAnsi="Arial" w:cs="Arial"/>
          <w:b/>
          <w:sz w:val="24"/>
          <w:szCs w:val="24"/>
        </w:rPr>
      </w:pPr>
      <w:r w:rsidRPr="003E6C81">
        <w:rPr>
          <w:rFonts w:ascii="Arial" w:hAnsi="Arial" w:cs="Arial"/>
          <w:b/>
          <w:sz w:val="24"/>
          <w:szCs w:val="24"/>
        </w:rPr>
        <w:t>Display of OMB Approval Date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We are requesting no exemption.</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lastRenderedPageBreak/>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2D2CB6" w:rsidRDefault="00E303E2">
      <w:pPr>
        <w:pStyle w:val="BodyTextIndent3"/>
        <w:tabs>
          <w:tab w:val="clear" w:pos="360"/>
        </w:tabs>
        <w:ind w:left="0"/>
        <w:rPr>
          <w:rFonts w:ascii="Arial" w:hAnsi="Arial" w:cs="Arial"/>
          <w:b/>
          <w:sz w:val="24"/>
          <w:szCs w:val="24"/>
        </w:rPr>
      </w:pPr>
      <w:r w:rsidRPr="00A457DE">
        <w:rPr>
          <w:rFonts w:ascii="Arial" w:hAnsi="Arial" w:cs="Arial"/>
          <w:b/>
          <w:sz w:val="24"/>
          <w:szCs w:val="24"/>
        </w:rPr>
        <w:t>19.  Dates collection will begin and end</w:t>
      </w:r>
    </w:p>
    <w:p w:rsidR="00E303E2" w:rsidRDefault="00866624" w:rsidP="003E6C81">
      <w:pPr>
        <w:spacing w:after="0" w:line="240" w:lineRule="auto"/>
        <w:rPr>
          <w:rFonts w:ascii="Arial" w:hAnsi="Arial" w:cs="Arial"/>
          <w:sz w:val="24"/>
          <w:szCs w:val="24"/>
        </w:rPr>
      </w:pPr>
      <w:r>
        <w:rPr>
          <w:rFonts w:ascii="Arial" w:hAnsi="Arial" w:cs="Arial"/>
          <w:sz w:val="24"/>
          <w:szCs w:val="24"/>
        </w:rPr>
        <w:t xml:space="preserve">  </w:t>
      </w:r>
      <w:r w:rsidR="00DC70F2">
        <w:rPr>
          <w:rFonts w:ascii="Arial" w:hAnsi="Arial" w:cs="Arial"/>
          <w:sz w:val="24"/>
          <w:szCs w:val="24"/>
        </w:rPr>
        <w:t>April 1, 2013 -  June 30, 2013</w:t>
      </w:r>
    </w:p>
    <w:p w:rsidR="003E6C81" w:rsidRPr="002D2CB6" w:rsidRDefault="003E6C81" w:rsidP="003E6C81">
      <w:pPr>
        <w:spacing w:after="0" w:line="240" w:lineRule="auto"/>
        <w:rPr>
          <w:rFonts w:ascii="Arial" w:hAnsi="Arial" w:cs="Arial"/>
          <w:sz w:val="24"/>
          <w:szCs w:val="24"/>
        </w:rPr>
      </w:pPr>
    </w:p>
    <w:p w:rsidR="00E303E2" w:rsidRPr="002D2CB6" w:rsidRDefault="00E303E2" w:rsidP="003E6C81">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Universe and Respondent Selection</w:t>
      </w:r>
    </w:p>
    <w:p w:rsidR="00E303E2"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E303E2" w:rsidRPr="002D2CB6" w:rsidRDefault="00E303E2">
      <w:pPr>
        <w:pStyle w:val="ListParagraph"/>
        <w:spacing w:after="0" w:line="240" w:lineRule="auto"/>
        <w:ind w:left="360"/>
        <w:rPr>
          <w:rFonts w:ascii="Arial" w:hAnsi="Arial" w:cs="Arial"/>
          <w:sz w:val="24"/>
          <w:szCs w:val="24"/>
        </w:rPr>
      </w:pPr>
    </w:p>
    <w:p w:rsidR="00866624" w:rsidRPr="00866624" w:rsidRDefault="00866624" w:rsidP="00866624">
      <w:pPr>
        <w:pStyle w:val="ListParagraph"/>
        <w:spacing w:after="0" w:line="240" w:lineRule="auto"/>
        <w:ind w:left="360"/>
        <w:rPr>
          <w:rFonts w:ascii="Arial" w:hAnsi="Arial" w:cs="Arial"/>
          <w:sz w:val="24"/>
          <w:szCs w:val="24"/>
        </w:rPr>
      </w:pPr>
      <w:r w:rsidRPr="00866624">
        <w:rPr>
          <w:rFonts w:ascii="Arial" w:hAnsi="Arial" w:cs="Arial"/>
          <w:sz w:val="24"/>
          <w:szCs w:val="24"/>
        </w:rPr>
        <w:t>Taxpayers who participated in one of the 2011 Reporting Compliance mail customer satis</w:t>
      </w:r>
      <w:r w:rsidR="00650FB3">
        <w:rPr>
          <w:rFonts w:ascii="Arial" w:hAnsi="Arial" w:cs="Arial"/>
          <w:sz w:val="24"/>
          <w:szCs w:val="24"/>
        </w:rPr>
        <w:t xml:space="preserve">faction surveys (AUR, CCE, </w:t>
      </w:r>
      <w:proofErr w:type="gramStart"/>
      <w:r w:rsidR="00650FB3">
        <w:rPr>
          <w:rFonts w:ascii="Arial" w:hAnsi="Arial" w:cs="Arial"/>
          <w:sz w:val="24"/>
          <w:szCs w:val="24"/>
        </w:rPr>
        <w:t>ISP</w:t>
      </w:r>
      <w:proofErr w:type="gramEnd"/>
      <w:r w:rsidR="00650FB3">
        <w:rPr>
          <w:rFonts w:ascii="Arial" w:hAnsi="Arial" w:cs="Arial"/>
          <w:sz w:val="24"/>
          <w:szCs w:val="24"/>
        </w:rPr>
        <w:t xml:space="preserve">) </w:t>
      </w:r>
      <w:r w:rsidRPr="00866624">
        <w:rPr>
          <w:rFonts w:ascii="Arial" w:hAnsi="Arial" w:cs="Arial"/>
          <w:sz w:val="24"/>
          <w:szCs w:val="24"/>
        </w:rPr>
        <w:t>indicated their willingness to participate in future research at the end of the survey and provided their phone number and/or email address to be contacted.</w:t>
      </w:r>
    </w:p>
    <w:p w:rsidR="00866624" w:rsidRPr="00866624" w:rsidRDefault="00866624" w:rsidP="00866624">
      <w:pPr>
        <w:pStyle w:val="ListParagraph"/>
        <w:spacing w:after="0" w:line="240" w:lineRule="auto"/>
        <w:ind w:left="360"/>
        <w:rPr>
          <w:rFonts w:ascii="Arial" w:hAnsi="Arial" w:cs="Arial"/>
          <w:sz w:val="24"/>
          <w:szCs w:val="24"/>
        </w:rPr>
      </w:pPr>
    </w:p>
    <w:p w:rsidR="00866624" w:rsidRDefault="00866624" w:rsidP="00866624">
      <w:pPr>
        <w:pStyle w:val="ListParagraph"/>
        <w:spacing w:after="0" w:line="240" w:lineRule="auto"/>
        <w:ind w:left="360"/>
        <w:rPr>
          <w:rFonts w:ascii="Arial" w:hAnsi="Arial" w:cs="Arial"/>
          <w:sz w:val="24"/>
          <w:szCs w:val="24"/>
        </w:rPr>
      </w:pPr>
      <w:r w:rsidRPr="00866624">
        <w:rPr>
          <w:rFonts w:ascii="Arial" w:hAnsi="Arial" w:cs="Arial"/>
          <w:sz w:val="24"/>
          <w:szCs w:val="24"/>
        </w:rPr>
        <w:t xml:space="preserve">Four focus groups – three of the groups will be limited to customers from one of the three Reporting Compliance functions (AUR, CCE, </w:t>
      </w:r>
      <w:proofErr w:type="gramStart"/>
      <w:r w:rsidRPr="00866624">
        <w:rPr>
          <w:rFonts w:ascii="Arial" w:hAnsi="Arial" w:cs="Arial"/>
          <w:sz w:val="24"/>
          <w:szCs w:val="24"/>
        </w:rPr>
        <w:t>ISP</w:t>
      </w:r>
      <w:proofErr w:type="gramEnd"/>
      <w:r w:rsidRPr="00866624">
        <w:rPr>
          <w:rFonts w:ascii="Arial" w:hAnsi="Arial" w:cs="Arial"/>
          <w:sz w:val="24"/>
          <w:szCs w:val="24"/>
        </w:rPr>
        <w:t>). The fourth group will include a mix of customers from all the functions. Each focus group will be limited to 8 customers and will be scheduled for 60 minutes.</w:t>
      </w:r>
    </w:p>
    <w:p w:rsidR="00866624" w:rsidRDefault="00866624">
      <w:pPr>
        <w:pStyle w:val="ListParagraph"/>
        <w:spacing w:after="0" w:line="240" w:lineRule="auto"/>
        <w:ind w:left="360"/>
        <w:rPr>
          <w:rFonts w:ascii="Arial" w:hAnsi="Arial" w:cs="Arial"/>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Procedures for Collecting Information</w:t>
      </w:r>
    </w:p>
    <w:p w:rsidR="00E303E2" w:rsidRPr="002D2CB6"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W&amp;I </w:t>
      </w:r>
      <w:proofErr w:type="gramStart"/>
      <w:r w:rsidRPr="002D2CB6">
        <w:rPr>
          <w:rFonts w:ascii="Arial" w:hAnsi="Arial" w:cs="Arial"/>
          <w:sz w:val="24"/>
          <w:szCs w:val="24"/>
        </w:rPr>
        <w:t>expects</w:t>
      </w:r>
      <w:proofErr w:type="gramEnd"/>
      <w:r w:rsidRPr="002D2CB6">
        <w:rPr>
          <w:rFonts w:ascii="Arial" w:hAnsi="Arial" w:cs="Arial"/>
          <w:sz w:val="24"/>
          <w:szCs w:val="24"/>
        </w:rPr>
        <w:t xml:space="preserve"> to use telephone data collection methods, both for recruiting and for conducting the focus groups. The focus groups will be moderated by professional moderators at </w:t>
      </w:r>
      <w:r w:rsidR="00EA3325">
        <w:rPr>
          <w:rFonts w:ascii="Arial" w:hAnsi="Arial" w:cs="Arial"/>
          <w:sz w:val="24"/>
          <w:szCs w:val="24"/>
        </w:rPr>
        <w:t>ICF International</w:t>
      </w:r>
      <w:r w:rsidRPr="002D2CB6">
        <w:rPr>
          <w:rFonts w:ascii="Arial" w:hAnsi="Arial" w:cs="Arial"/>
          <w:sz w:val="24"/>
          <w:szCs w:val="24"/>
        </w:rPr>
        <w:t>.</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Methods to Maximize Response</w:t>
      </w:r>
    </w:p>
    <w:p w:rsidR="00AD7B6C" w:rsidRPr="002D2CB6" w:rsidRDefault="00AD7B6C">
      <w:pPr>
        <w:pStyle w:val="ListParagraph"/>
        <w:spacing w:after="0" w:line="240" w:lineRule="auto"/>
        <w:ind w:left="360"/>
        <w:rPr>
          <w:rFonts w:ascii="Arial" w:hAnsi="Arial" w:cs="Arial"/>
          <w:b/>
          <w:sz w:val="24"/>
          <w:szCs w:val="24"/>
        </w:rPr>
      </w:pPr>
      <w:r w:rsidRPr="00AD7B6C">
        <w:rPr>
          <w:rFonts w:ascii="Arial" w:hAnsi="Arial" w:cs="Arial"/>
          <w:sz w:val="24"/>
          <w:szCs w:val="24"/>
        </w:rPr>
        <w:t xml:space="preserve">Standard procedures will be used in order to obtain the highest response rate possible for the usability testing. The contractor will recruit usability testing participants and conduct the usability testing research.  To encourage participation, the </w:t>
      </w:r>
      <w:r>
        <w:rPr>
          <w:rFonts w:ascii="Arial" w:hAnsi="Arial" w:cs="Arial"/>
          <w:sz w:val="24"/>
          <w:szCs w:val="24"/>
        </w:rPr>
        <w:t>contractor will be off</w:t>
      </w:r>
      <w:r w:rsidR="00A45082">
        <w:rPr>
          <w:rFonts w:ascii="Arial" w:hAnsi="Arial" w:cs="Arial"/>
          <w:sz w:val="24"/>
          <w:szCs w:val="24"/>
        </w:rPr>
        <w:t>ering a $4</w:t>
      </w:r>
      <w:r w:rsidRPr="00AD7B6C">
        <w:rPr>
          <w:rFonts w:ascii="Arial" w:hAnsi="Arial" w:cs="Arial"/>
          <w:sz w:val="24"/>
          <w:szCs w:val="24"/>
        </w:rPr>
        <w:t>0 incentive.</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Testing of Procedures</w:t>
      </w:r>
    </w:p>
    <w:p w:rsidR="00E303E2" w:rsidRPr="002D2CB6" w:rsidRDefault="00E303E2">
      <w:pPr>
        <w:pStyle w:val="ListParagraph"/>
        <w:spacing w:after="0" w:line="240" w:lineRule="auto"/>
        <w:ind w:left="360"/>
        <w:rPr>
          <w:rFonts w:ascii="Arial" w:hAnsi="Arial" w:cs="Arial"/>
          <w:b/>
          <w:sz w:val="24"/>
          <w:szCs w:val="24"/>
        </w:rPr>
      </w:pPr>
      <w:r w:rsidRPr="002D2CB6">
        <w:rPr>
          <w:rFonts w:ascii="Arial" w:hAnsi="Arial" w:cs="Arial"/>
          <w:sz w:val="24"/>
          <w:szCs w:val="24"/>
        </w:rPr>
        <w:t xml:space="preserve">No pretest is necessary for these focus groups as W&amp;I </w:t>
      </w:r>
      <w:proofErr w:type="gramStart"/>
      <w:r w:rsidRPr="002D2CB6">
        <w:rPr>
          <w:rFonts w:ascii="Arial" w:hAnsi="Arial" w:cs="Arial"/>
          <w:sz w:val="24"/>
          <w:szCs w:val="24"/>
        </w:rPr>
        <w:t>has</w:t>
      </w:r>
      <w:proofErr w:type="gramEnd"/>
      <w:r w:rsidRPr="002D2CB6">
        <w:rPr>
          <w:rFonts w:ascii="Arial" w:hAnsi="Arial" w:cs="Arial"/>
          <w:sz w:val="24"/>
          <w:szCs w:val="24"/>
        </w:rPr>
        <w:t xml:space="preserve"> evidence from previous research that the research procedures to be used for this task are successful. </w:t>
      </w:r>
    </w:p>
    <w:p w:rsidR="00E303E2" w:rsidRPr="002D2CB6" w:rsidRDefault="00E303E2" w:rsidP="00457290">
      <w:pPr>
        <w:pStyle w:val="ListParagraph"/>
        <w:spacing w:after="0" w:line="240" w:lineRule="auto"/>
        <w:ind w:left="0"/>
        <w:rPr>
          <w:rFonts w:ascii="Arial" w:hAnsi="Arial" w:cs="Arial"/>
          <w:b/>
          <w:sz w:val="24"/>
          <w:szCs w:val="24"/>
        </w:rPr>
      </w:pPr>
    </w:p>
    <w:p w:rsidR="00E303E2" w:rsidRPr="00A457DE" w:rsidRDefault="00E303E2">
      <w:pPr>
        <w:pStyle w:val="ListParagraph"/>
        <w:numPr>
          <w:ilvl w:val="0"/>
          <w:numId w:val="12"/>
        </w:numPr>
        <w:spacing w:after="0" w:line="240" w:lineRule="auto"/>
        <w:rPr>
          <w:rFonts w:ascii="Arial" w:hAnsi="Arial" w:cs="Arial"/>
          <w:b/>
          <w:sz w:val="24"/>
          <w:szCs w:val="24"/>
        </w:rPr>
      </w:pPr>
      <w:r w:rsidRPr="00A457DE">
        <w:rPr>
          <w:rFonts w:ascii="Arial" w:hAnsi="Arial" w:cs="Arial"/>
          <w:b/>
          <w:sz w:val="24"/>
          <w:szCs w:val="24"/>
        </w:rPr>
        <w:t>Contacts for Statistical Aspects and Data Collection</w:t>
      </w:r>
    </w:p>
    <w:p w:rsidR="00E303E2" w:rsidRPr="002D2CB6" w:rsidRDefault="00E303E2">
      <w:pPr>
        <w:pStyle w:val="ListParagraph"/>
        <w:spacing w:after="0" w:line="240" w:lineRule="auto"/>
        <w:ind w:left="360"/>
        <w:rPr>
          <w:rFonts w:ascii="Arial" w:hAnsi="Arial" w:cs="Arial"/>
          <w:b/>
          <w:sz w:val="24"/>
          <w:szCs w:val="24"/>
        </w:rPr>
      </w:pPr>
    </w:p>
    <w:p w:rsidR="003741EA" w:rsidRDefault="003741EA" w:rsidP="00263D41">
      <w:pPr>
        <w:spacing w:after="0" w:line="240" w:lineRule="auto"/>
        <w:ind w:firstLine="360"/>
        <w:rPr>
          <w:color w:val="1F497D"/>
        </w:rPr>
      </w:pPr>
      <w:r>
        <w:rPr>
          <w:rFonts w:ascii="Verdana" w:hAnsi="Verdana"/>
          <w:b/>
          <w:bCs/>
          <w:color w:val="000000"/>
          <w:sz w:val="17"/>
          <w:szCs w:val="17"/>
        </w:rPr>
        <w:t>JOHN HURLEY</w:t>
      </w:r>
      <w:r>
        <w:rPr>
          <w:color w:val="1F497D"/>
        </w:rPr>
        <w:t xml:space="preserve"> | </w:t>
      </w:r>
      <w:r>
        <w:rPr>
          <w:rFonts w:ascii="Verdana" w:hAnsi="Verdana"/>
          <w:color w:val="000000"/>
          <w:sz w:val="17"/>
          <w:szCs w:val="17"/>
        </w:rPr>
        <w:t>Senior Manager</w:t>
      </w:r>
      <w:r>
        <w:rPr>
          <w:color w:val="1F497D"/>
        </w:rPr>
        <w:t xml:space="preserve"> | </w:t>
      </w:r>
      <w:r>
        <w:rPr>
          <w:rFonts w:ascii="Verdana" w:hAnsi="Verdana"/>
          <w:color w:val="000000"/>
          <w:sz w:val="17"/>
          <w:szCs w:val="17"/>
        </w:rPr>
        <w:t>301.572.0482</w:t>
      </w:r>
      <w:r>
        <w:rPr>
          <w:color w:val="1F497D"/>
        </w:rPr>
        <w:t xml:space="preserve"> | </w:t>
      </w:r>
      <w:hyperlink r:id="rId8" w:history="1">
        <w:r>
          <w:rPr>
            <w:rStyle w:val="Hyperlink"/>
            <w:rFonts w:ascii="Verdana" w:hAnsi="Verdana"/>
            <w:sz w:val="17"/>
            <w:szCs w:val="17"/>
          </w:rPr>
          <w:t>john.hurley@icfi.com</w:t>
        </w:r>
      </w:hyperlink>
      <w:r>
        <w:rPr>
          <w:rFonts w:ascii="Verdana" w:hAnsi="Verdana"/>
          <w:color w:val="0000FF"/>
          <w:sz w:val="17"/>
          <w:szCs w:val="17"/>
        </w:rPr>
        <w:t xml:space="preserve"> </w:t>
      </w:r>
      <w:r>
        <w:rPr>
          <w:rFonts w:ascii="Verdana" w:hAnsi="Verdana"/>
          <w:color w:val="000000"/>
          <w:sz w:val="17"/>
          <w:szCs w:val="17"/>
        </w:rPr>
        <w:t>| </w:t>
      </w:r>
      <w:hyperlink r:id="rId9" w:history="1">
        <w:r>
          <w:rPr>
            <w:rStyle w:val="Hyperlink"/>
            <w:rFonts w:ascii="Verdana" w:hAnsi="Verdana"/>
            <w:sz w:val="17"/>
            <w:szCs w:val="17"/>
          </w:rPr>
          <w:t>icfi.com</w:t>
        </w:r>
      </w:hyperlink>
    </w:p>
    <w:p w:rsidR="003741EA" w:rsidRDefault="003741EA" w:rsidP="00263D41">
      <w:pPr>
        <w:ind w:firstLine="360"/>
        <w:rPr>
          <w:color w:val="1F497D"/>
        </w:rPr>
      </w:pPr>
      <w:r>
        <w:rPr>
          <w:rFonts w:ascii="Verdana" w:hAnsi="Verdana"/>
          <w:b/>
          <w:bCs/>
          <w:color w:val="000000"/>
          <w:sz w:val="17"/>
          <w:szCs w:val="17"/>
        </w:rPr>
        <w:t>ICF International</w:t>
      </w:r>
      <w:r>
        <w:rPr>
          <w:color w:val="1F497D"/>
        </w:rPr>
        <w:t xml:space="preserve">| </w:t>
      </w:r>
      <w:r>
        <w:rPr>
          <w:rFonts w:ascii="Verdana" w:hAnsi="Verdana"/>
          <w:color w:val="000000"/>
          <w:sz w:val="17"/>
          <w:szCs w:val="17"/>
        </w:rPr>
        <w:t>11785 Beltsville Drive, Suite 300 Calv</w:t>
      </w:r>
      <w:r w:rsidR="007E039D">
        <w:rPr>
          <w:rFonts w:ascii="Verdana" w:hAnsi="Verdana"/>
          <w:color w:val="000000"/>
          <w:sz w:val="17"/>
          <w:szCs w:val="17"/>
        </w:rPr>
        <w:t xml:space="preserve">erton, MD 20705 | 410.340.3882 </w:t>
      </w:r>
      <w:r>
        <w:rPr>
          <w:color w:val="1F497D"/>
        </w:rPr>
        <w:t xml:space="preserve"> </w:t>
      </w:r>
    </w:p>
    <w:p w:rsidR="00AD7B6C" w:rsidRPr="00AD7B6C" w:rsidRDefault="00AD7B6C" w:rsidP="00AD7B6C">
      <w:pPr>
        <w:spacing w:after="0" w:line="240" w:lineRule="auto"/>
        <w:ind w:left="360"/>
        <w:rPr>
          <w:rFonts w:ascii="Arial" w:hAnsi="Arial" w:cs="Arial"/>
          <w:sz w:val="24"/>
          <w:szCs w:val="24"/>
        </w:rPr>
      </w:pPr>
      <w:r w:rsidRPr="00AD7B6C">
        <w:rPr>
          <w:rFonts w:ascii="Arial" w:hAnsi="Arial" w:cs="Arial"/>
          <w:sz w:val="24"/>
          <w:szCs w:val="24"/>
        </w:rPr>
        <w:t>Attachments</w:t>
      </w:r>
    </w:p>
    <w:p w:rsidR="00AD7B6C" w:rsidRPr="00AD7B6C" w:rsidRDefault="00AD7B6C" w:rsidP="00AD7B6C">
      <w:pPr>
        <w:spacing w:after="0" w:line="240" w:lineRule="auto"/>
        <w:ind w:left="360"/>
        <w:rPr>
          <w:rFonts w:ascii="Arial" w:hAnsi="Arial" w:cs="Arial"/>
          <w:sz w:val="24"/>
          <w:szCs w:val="24"/>
        </w:rPr>
      </w:pPr>
    </w:p>
    <w:p w:rsidR="00AD7B6C" w:rsidRPr="00AD7B6C" w:rsidRDefault="00AD7B6C" w:rsidP="00AD7B6C">
      <w:pPr>
        <w:spacing w:after="0" w:line="240" w:lineRule="auto"/>
        <w:ind w:left="360"/>
        <w:rPr>
          <w:rFonts w:ascii="Arial" w:hAnsi="Arial" w:cs="Arial"/>
          <w:sz w:val="24"/>
          <w:szCs w:val="24"/>
        </w:rPr>
      </w:pPr>
      <w:r w:rsidRPr="00AD7B6C">
        <w:rPr>
          <w:rFonts w:ascii="Arial" w:hAnsi="Arial" w:cs="Arial"/>
          <w:sz w:val="24"/>
          <w:szCs w:val="24"/>
        </w:rPr>
        <w:lastRenderedPageBreak/>
        <w:t>A: Usability Testing Screener’s Guide</w:t>
      </w:r>
    </w:p>
    <w:p w:rsidR="00E303E2" w:rsidRPr="002D2CB6" w:rsidRDefault="00AD7B6C" w:rsidP="00BD725A">
      <w:pPr>
        <w:spacing w:after="0" w:line="240" w:lineRule="auto"/>
        <w:ind w:left="360"/>
        <w:rPr>
          <w:rFonts w:ascii="Arial" w:hAnsi="Arial" w:cs="Arial"/>
          <w:sz w:val="24"/>
          <w:szCs w:val="24"/>
        </w:rPr>
      </w:pPr>
      <w:r w:rsidRPr="00AD7B6C">
        <w:rPr>
          <w:rFonts w:ascii="Arial" w:hAnsi="Arial" w:cs="Arial"/>
          <w:sz w:val="24"/>
          <w:szCs w:val="24"/>
        </w:rPr>
        <w:t>B: Usability Testing Moderator’s Guide</w:t>
      </w:r>
    </w:p>
    <w:sectPr w:rsidR="00E303E2" w:rsidRPr="002D2CB6" w:rsidSect="0098209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BEB" w:rsidRDefault="00DB6BEB">
      <w:pPr>
        <w:spacing w:after="0" w:line="240" w:lineRule="auto"/>
      </w:pPr>
      <w:r>
        <w:separator/>
      </w:r>
    </w:p>
  </w:endnote>
  <w:endnote w:type="continuationSeparator" w:id="0">
    <w:p w:rsidR="00DB6BEB" w:rsidRDefault="00DB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3E2" w:rsidRDefault="00E303E2"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5082">
      <w:rPr>
        <w:rStyle w:val="PageNumber"/>
        <w:noProof/>
      </w:rPr>
      <w:t>1</w:t>
    </w:r>
    <w:r>
      <w:rPr>
        <w:rStyle w:val="PageNumber"/>
      </w:rPr>
      <w:fldChar w:fldCharType="end"/>
    </w:r>
  </w:p>
  <w:p w:rsidR="00E303E2" w:rsidRDefault="00E303E2" w:rsidP="00E62E7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BEB" w:rsidRDefault="00DB6BEB">
      <w:pPr>
        <w:spacing w:after="0" w:line="240" w:lineRule="auto"/>
      </w:pPr>
      <w:r>
        <w:separator/>
      </w:r>
    </w:p>
  </w:footnote>
  <w:footnote w:type="continuationSeparator" w:id="0">
    <w:p w:rsidR="00DB6BEB" w:rsidRDefault="00DB6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F626FD">
    <w:pPr>
      <w:pStyle w:val="Header"/>
      <w:jc w:val="right"/>
    </w:pPr>
    <w:r>
      <w:t>OMB # 1545-1349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3"/>
  </w:num>
  <w:num w:numId="3">
    <w:abstractNumId w:val="10"/>
  </w:num>
  <w:num w:numId="4">
    <w:abstractNumId w:val="12"/>
  </w:num>
  <w:num w:numId="5">
    <w:abstractNumId w:val="22"/>
  </w:num>
  <w:num w:numId="6">
    <w:abstractNumId w:val="18"/>
  </w:num>
  <w:num w:numId="7">
    <w:abstractNumId w:val="21"/>
  </w:num>
  <w:num w:numId="8">
    <w:abstractNumId w:val="17"/>
  </w:num>
  <w:num w:numId="9">
    <w:abstractNumId w:val="20"/>
  </w:num>
  <w:num w:numId="10">
    <w:abstractNumId w:val="14"/>
  </w:num>
  <w:num w:numId="11">
    <w:abstractNumId w:val="24"/>
  </w:num>
  <w:num w:numId="12">
    <w:abstractNumId w:val="15"/>
  </w:num>
  <w:num w:numId="13">
    <w:abstractNumId w:val="11"/>
  </w:num>
  <w:num w:numId="14">
    <w:abstractNumId w:val="25"/>
  </w:num>
  <w:num w:numId="15">
    <w:abstractNumId w:val="13"/>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43B2E"/>
    <w:rsid w:val="00066515"/>
    <w:rsid w:val="0006753B"/>
    <w:rsid w:val="00076CB1"/>
    <w:rsid w:val="00077766"/>
    <w:rsid w:val="00085515"/>
    <w:rsid w:val="000A410F"/>
    <w:rsid w:val="000B4026"/>
    <w:rsid w:val="000C0A7E"/>
    <w:rsid w:val="000D424A"/>
    <w:rsid w:val="000E09E1"/>
    <w:rsid w:val="000E0E62"/>
    <w:rsid w:val="001029B0"/>
    <w:rsid w:val="00120A60"/>
    <w:rsid w:val="00122C6A"/>
    <w:rsid w:val="001322FB"/>
    <w:rsid w:val="00153E20"/>
    <w:rsid w:val="001628A1"/>
    <w:rsid w:val="00172EEC"/>
    <w:rsid w:val="001768FD"/>
    <w:rsid w:val="001A0D23"/>
    <w:rsid w:val="001A1E1C"/>
    <w:rsid w:val="001B0A60"/>
    <w:rsid w:val="001B43EE"/>
    <w:rsid w:val="001B5644"/>
    <w:rsid w:val="001B7CBE"/>
    <w:rsid w:val="001C756A"/>
    <w:rsid w:val="001D0BFA"/>
    <w:rsid w:val="001E44AB"/>
    <w:rsid w:val="001E7A97"/>
    <w:rsid w:val="001F7BC9"/>
    <w:rsid w:val="00215607"/>
    <w:rsid w:val="00256D0E"/>
    <w:rsid w:val="00263D41"/>
    <w:rsid w:val="00267827"/>
    <w:rsid w:val="00281863"/>
    <w:rsid w:val="00284D3A"/>
    <w:rsid w:val="0029408A"/>
    <w:rsid w:val="002A35E6"/>
    <w:rsid w:val="002B0B32"/>
    <w:rsid w:val="002D2CB6"/>
    <w:rsid w:val="002F7F45"/>
    <w:rsid w:val="003004AD"/>
    <w:rsid w:val="003009B4"/>
    <w:rsid w:val="00324AF8"/>
    <w:rsid w:val="00335BAF"/>
    <w:rsid w:val="00336169"/>
    <w:rsid w:val="00353852"/>
    <w:rsid w:val="003741EA"/>
    <w:rsid w:val="00377B51"/>
    <w:rsid w:val="003A14D8"/>
    <w:rsid w:val="003A2F20"/>
    <w:rsid w:val="003A5CE6"/>
    <w:rsid w:val="003A7A16"/>
    <w:rsid w:val="003C0261"/>
    <w:rsid w:val="003D5649"/>
    <w:rsid w:val="003E339C"/>
    <w:rsid w:val="003E6C81"/>
    <w:rsid w:val="003F1A77"/>
    <w:rsid w:val="003F5F2D"/>
    <w:rsid w:val="00404071"/>
    <w:rsid w:val="0044553C"/>
    <w:rsid w:val="00446C94"/>
    <w:rsid w:val="00457290"/>
    <w:rsid w:val="00460EB1"/>
    <w:rsid w:val="00474C83"/>
    <w:rsid w:val="00486BD4"/>
    <w:rsid w:val="00487A11"/>
    <w:rsid w:val="004970C8"/>
    <w:rsid w:val="004A1CF9"/>
    <w:rsid w:val="004A1EA2"/>
    <w:rsid w:val="004B5DD2"/>
    <w:rsid w:val="004C79B7"/>
    <w:rsid w:val="004D06FB"/>
    <w:rsid w:val="004D3314"/>
    <w:rsid w:val="005016C3"/>
    <w:rsid w:val="00513A34"/>
    <w:rsid w:val="005362FC"/>
    <w:rsid w:val="00540EF2"/>
    <w:rsid w:val="005471D3"/>
    <w:rsid w:val="00547CA0"/>
    <w:rsid w:val="00562B18"/>
    <w:rsid w:val="00571BDB"/>
    <w:rsid w:val="00572831"/>
    <w:rsid w:val="005A10E3"/>
    <w:rsid w:val="005B3D1D"/>
    <w:rsid w:val="005E5A3B"/>
    <w:rsid w:val="005E60A0"/>
    <w:rsid w:val="00607287"/>
    <w:rsid w:val="00650FB3"/>
    <w:rsid w:val="006656C5"/>
    <w:rsid w:val="0067270D"/>
    <w:rsid w:val="006914DF"/>
    <w:rsid w:val="006B2FF7"/>
    <w:rsid w:val="006C068A"/>
    <w:rsid w:val="00701CF7"/>
    <w:rsid w:val="00726CB8"/>
    <w:rsid w:val="00731D48"/>
    <w:rsid w:val="0074733F"/>
    <w:rsid w:val="00756D06"/>
    <w:rsid w:val="00763942"/>
    <w:rsid w:val="00783842"/>
    <w:rsid w:val="007903D0"/>
    <w:rsid w:val="00792628"/>
    <w:rsid w:val="007A268D"/>
    <w:rsid w:val="007A6A7B"/>
    <w:rsid w:val="007B3121"/>
    <w:rsid w:val="007E039D"/>
    <w:rsid w:val="007E102D"/>
    <w:rsid w:val="00866624"/>
    <w:rsid w:val="00876332"/>
    <w:rsid w:val="00892D26"/>
    <w:rsid w:val="00894356"/>
    <w:rsid w:val="008A6FC5"/>
    <w:rsid w:val="008E5A2B"/>
    <w:rsid w:val="008F21DF"/>
    <w:rsid w:val="0090364D"/>
    <w:rsid w:val="00914716"/>
    <w:rsid w:val="00915BDA"/>
    <w:rsid w:val="00936D67"/>
    <w:rsid w:val="00954C10"/>
    <w:rsid w:val="00982095"/>
    <w:rsid w:val="009E75C8"/>
    <w:rsid w:val="00A12AC9"/>
    <w:rsid w:val="00A16BD3"/>
    <w:rsid w:val="00A22F3E"/>
    <w:rsid w:val="00A36DDB"/>
    <w:rsid w:val="00A45082"/>
    <w:rsid w:val="00A457DE"/>
    <w:rsid w:val="00A52F7E"/>
    <w:rsid w:val="00A659A9"/>
    <w:rsid w:val="00A666FD"/>
    <w:rsid w:val="00A85A4D"/>
    <w:rsid w:val="00A95E43"/>
    <w:rsid w:val="00A96367"/>
    <w:rsid w:val="00A97E53"/>
    <w:rsid w:val="00AA3F96"/>
    <w:rsid w:val="00AC207F"/>
    <w:rsid w:val="00AC2497"/>
    <w:rsid w:val="00AD7B6C"/>
    <w:rsid w:val="00AE393C"/>
    <w:rsid w:val="00AF066B"/>
    <w:rsid w:val="00AF1F5F"/>
    <w:rsid w:val="00AF55E9"/>
    <w:rsid w:val="00B04426"/>
    <w:rsid w:val="00B16915"/>
    <w:rsid w:val="00B44676"/>
    <w:rsid w:val="00B52960"/>
    <w:rsid w:val="00B66281"/>
    <w:rsid w:val="00B86AFD"/>
    <w:rsid w:val="00B95311"/>
    <w:rsid w:val="00BA1806"/>
    <w:rsid w:val="00BB4011"/>
    <w:rsid w:val="00BC21B7"/>
    <w:rsid w:val="00BC63CD"/>
    <w:rsid w:val="00BD13BB"/>
    <w:rsid w:val="00BD5C0A"/>
    <w:rsid w:val="00BD702D"/>
    <w:rsid w:val="00BD725A"/>
    <w:rsid w:val="00BE0599"/>
    <w:rsid w:val="00BF2E89"/>
    <w:rsid w:val="00BF7558"/>
    <w:rsid w:val="00C200D1"/>
    <w:rsid w:val="00C61970"/>
    <w:rsid w:val="00C62FA2"/>
    <w:rsid w:val="00C72C41"/>
    <w:rsid w:val="00C741F7"/>
    <w:rsid w:val="00CB1DDE"/>
    <w:rsid w:val="00CB4F67"/>
    <w:rsid w:val="00CC2FDD"/>
    <w:rsid w:val="00CD321F"/>
    <w:rsid w:val="00CE380A"/>
    <w:rsid w:val="00CF712D"/>
    <w:rsid w:val="00D30F06"/>
    <w:rsid w:val="00D453B8"/>
    <w:rsid w:val="00D64405"/>
    <w:rsid w:val="00D64AAF"/>
    <w:rsid w:val="00D93FE0"/>
    <w:rsid w:val="00D9433C"/>
    <w:rsid w:val="00DA3AFF"/>
    <w:rsid w:val="00DA561D"/>
    <w:rsid w:val="00DA7129"/>
    <w:rsid w:val="00DB52C0"/>
    <w:rsid w:val="00DB6BEB"/>
    <w:rsid w:val="00DC70F2"/>
    <w:rsid w:val="00DD5532"/>
    <w:rsid w:val="00DE07E7"/>
    <w:rsid w:val="00DF7F92"/>
    <w:rsid w:val="00E04B7B"/>
    <w:rsid w:val="00E247D4"/>
    <w:rsid w:val="00E24EAC"/>
    <w:rsid w:val="00E26F73"/>
    <w:rsid w:val="00E303E2"/>
    <w:rsid w:val="00E42ABF"/>
    <w:rsid w:val="00E62E77"/>
    <w:rsid w:val="00E65EB7"/>
    <w:rsid w:val="00E8563A"/>
    <w:rsid w:val="00EA3325"/>
    <w:rsid w:val="00EA783E"/>
    <w:rsid w:val="00EB2D61"/>
    <w:rsid w:val="00ED135D"/>
    <w:rsid w:val="00F15BAA"/>
    <w:rsid w:val="00F20561"/>
    <w:rsid w:val="00F31E34"/>
    <w:rsid w:val="00F626FD"/>
    <w:rsid w:val="00F75DF8"/>
    <w:rsid w:val="00F958CD"/>
    <w:rsid w:val="00FA1D10"/>
    <w:rsid w:val="00FA3CB9"/>
    <w:rsid w:val="00FB1178"/>
    <w:rsid w:val="00FD101D"/>
    <w:rsid w:val="00FD4291"/>
    <w:rsid w:val="00FE25EF"/>
    <w:rsid w:val="00FE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hurley@icfi.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f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1788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Wolfgang, Dawn</cp:lastModifiedBy>
  <cp:revision>3</cp:revision>
  <cp:lastPrinted>2012-02-02T21:42:00Z</cp:lastPrinted>
  <dcterms:created xsi:type="dcterms:W3CDTF">2013-03-05T20:51:00Z</dcterms:created>
  <dcterms:modified xsi:type="dcterms:W3CDTF">2013-03-05T20:52:00Z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