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tblpY="2881"/>
        <w:tblOverlap w:val="never"/>
        <w:tblW w:w="0" w:type="auto"/>
        <w:tblInd w:w="1440" w:type="dxa"/>
        <w:tblLayout w:type="fixed"/>
        <w:tblCellMar>
          <w:left w:w="115" w:type="dxa"/>
          <w:right w:w="115" w:type="dxa"/>
        </w:tblCellMar>
        <w:tblLook w:val="04A0" w:firstRow="1" w:lastRow="0" w:firstColumn="1" w:lastColumn="0" w:noHBand="0" w:noVBand="1"/>
      </w:tblPr>
      <w:tblGrid>
        <w:gridCol w:w="3618"/>
        <w:gridCol w:w="4057"/>
      </w:tblGrid>
      <w:tr w:rsidR="00161242" w:rsidRPr="00451D9C" w:rsidTr="009A5A42">
        <w:tc>
          <w:tcPr>
            <w:tcW w:w="3618" w:type="dxa"/>
          </w:tcPr>
          <w:p w:rsidR="00161242" w:rsidRPr="008A0FFF" w:rsidRDefault="00161242" w:rsidP="009F7524">
            <w:pPr>
              <w:spacing w:line="240" w:lineRule="exact"/>
              <w:ind w:firstLine="0"/>
              <w:jc w:val="left"/>
              <w:rPr>
                <w:rFonts w:ascii="Arial" w:hAnsi="Arial"/>
                <w:sz w:val="17"/>
                <w:szCs w:val="16"/>
              </w:rPr>
            </w:pPr>
            <w:bookmarkStart w:id="0" w:name="_GoBack"/>
            <w:bookmarkEnd w:id="0"/>
          </w:p>
          <w:p w:rsidR="00161242" w:rsidRPr="008A0FFF" w:rsidRDefault="00161242" w:rsidP="009F7524">
            <w:pPr>
              <w:spacing w:line="240" w:lineRule="exact"/>
              <w:ind w:firstLine="0"/>
              <w:jc w:val="left"/>
              <w:rPr>
                <w:rFonts w:ascii="Arial" w:hAnsi="Arial"/>
                <w:sz w:val="17"/>
                <w:szCs w:val="16"/>
              </w:rPr>
            </w:pPr>
            <w:r w:rsidRPr="008A0FFF">
              <w:rPr>
                <w:rFonts w:ascii="Arial" w:hAnsi="Arial"/>
                <w:sz w:val="17"/>
                <w:szCs w:val="16"/>
              </w:rPr>
              <w:t>U.S. Department of Health</w:t>
            </w:r>
            <w:r w:rsidRPr="008A0FFF">
              <w:rPr>
                <w:rFonts w:ascii="Arial" w:hAnsi="Arial"/>
                <w:sz w:val="17"/>
                <w:szCs w:val="16"/>
              </w:rPr>
              <w:br/>
              <w:t>and Human Services</w:t>
            </w:r>
          </w:p>
          <w:p w:rsidR="0035661B" w:rsidRDefault="00161242" w:rsidP="009F7524">
            <w:pPr>
              <w:spacing w:line="240" w:lineRule="exact"/>
              <w:ind w:firstLine="0"/>
              <w:jc w:val="left"/>
              <w:rPr>
                <w:rFonts w:ascii="Arial" w:hAnsi="Arial"/>
                <w:sz w:val="17"/>
                <w:szCs w:val="16"/>
              </w:rPr>
            </w:pPr>
            <w:r w:rsidRPr="008A0FFF">
              <w:rPr>
                <w:rFonts w:ascii="Arial" w:hAnsi="Arial"/>
                <w:sz w:val="17"/>
                <w:szCs w:val="16"/>
              </w:rPr>
              <w:t xml:space="preserve">Office of Planning, Research and Evaluation </w:t>
            </w:r>
            <w:r w:rsidR="0035661B">
              <w:rPr>
                <w:rFonts w:ascii="Arial" w:hAnsi="Arial"/>
                <w:sz w:val="17"/>
                <w:szCs w:val="16"/>
              </w:rPr>
              <w:t>&amp; Family and Youth Services Bureau,</w:t>
            </w:r>
          </w:p>
          <w:p w:rsidR="00161242" w:rsidRPr="008A0FFF" w:rsidRDefault="00161242" w:rsidP="009F7524">
            <w:pPr>
              <w:spacing w:line="240" w:lineRule="exact"/>
              <w:ind w:firstLine="0"/>
              <w:jc w:val="left"/>
              <w:rPr>
                <w:rFonts w:ascii="Arial" w:hAnsi="Arial"/>
                <w:sz w:val="17"/>
                <w:szCs w:val="16"/>
              </w:rPr>
            </w:pPr>
            <w:r w:rsidRPr="008A0FFF">
              <w:rPr>
                <w:rFonts w:ascii="Arial" w:hAnsi="Arial"/>
                <w:sz w:val="17"/>
                <w:szCs w:val="16"/>
              </w:rPr>
              <w:t xml:space="preserve">Administration for Children and Families </w:t>
            </w:r>
          </w:p>
          <w:p w:rsidR="00161242" w:rsidRPr="008A0FFF" w:rsidRDefault="00161242" w:rsidP="009F7524">
            <w:pPr>
              <w:spacing w:line="240" w:lineRule="exact"/>
              <w:ind w:firstLine="0"/>
              <w:jc w:val="left"/>
              <w:rPr>
                <w:rFonts w:ascii="Arial" w:hAnsi="Arial"/>
                <w:sz w:val="17"/>
                <w:szCs w:val="16"/>
              </w:rPr>
            </w:pPr>
            <w:r w:rsidRPr="008A0FFF">
              <w:rPr>
                <w:rFonts w:ascii="Arial" w:hAnsi="Arial"/>
                <w:sz w:val="17"/>
                <w:szCs w:val="16"/>
              </w:rPr>
              <w:t>7th floor West Aerospace Building</w:t>
            </w:r>
          </w:p>
          <w:p w:rsidR="00161242" w:rsidRPr="008A0FFF" w:rsidRDefault="00161242" w:rsidP="009F7524">
            <w:pPr>
              <w:spacing w:line="240" w:lineRule="exact"/>
              <w:ind w:firstLine="0"/>
              <w:jc w:val="left"/>
              <w:rPr>
                <w:rFonts w:ascii="Arial" w:hAnsi="Arial"/>
                <w:sz w:val="17"/>
                <w:szCs w:val="16"/>
              </w:rPr>
            </w:pPr>
            <w:r w:rsidRPr="008A0FFF">
              <w:rPr>
                <w:rFonts w:ascii="Arial" w:hAnsi="Arial"/>
                <w:sz w:val="17"/>
                <w:szCs w:val="16"/>
              </w:rPr>
              <w:t>370 L'Enfant Promenade, SW</w:t>
            </w:r>
          </w:p>
          <w:p w:rsidR="00161242" w:rsidRPr="008A0FFF" w:rsidRDefault="00161242" w:rsidP="009F7524">
            <w:pPr>
              <w:spacing w:line="240" w:lineRule="exact"/>
              <w:ind w:firstLine="0"/>
              <w:jc w:val="left"/>
              <w:rPr>
                <w:rFonts w:ascii="Arial" w:hAnsi="Arial"/>
                <w:sz w:val="17"/>
                <w:szCs w:val="16"/>
              </w:rPr>
            </w:pPr>
            <w:r w:rsidRPr="008A0FFF">
              <w:rPr>
                <w:rFonts w:ascii="Arial" w:hAnsi="Arial"/>
                <w:sz w:val="17"/>
                <w:szCs w:val="16"/>
              </w:rPr>
              <w:t>Washington, DC 20047</w:t>
            </w:r>
          </w:p>
          <w:p w:rsidR="00161242" w:rsidRPr="008A0FFF" w:rsidRDefault="00161242" w:rsidP="009F7524">
            <w:pPr>
              <w:spacing w:after="180" w:line="240" w:lineRule="exact"/>
              <w:ind w:firstLine="0"/>
              <w:jc w:val="left"/>
              <w:rPr>
                <w:rFonts w:ascii="Arial" w:hAnsi="Arial"/>
                <w:sz w:val="17"/>
                <w:szCs w:val="16"/>
              </w:rPr>
            </w:pPr>
            <w:r w:rsidRPr="008A0FFF">
              <w:rPr>
                <w:rFonts w:ascii="Arial" w:hAnsi="Arial"/>
                <w:sz w:val="17"/>
                <w:szCs w:val="16"/>
              </w:rPr>
              <w:t>Project Officer</w:t>
            </w:r>
            <w:r w:rsidR="0035661B">
              <w:rPr>
                <w:rFonts w:ascii="Arial" w:hAnsi="Arial"/>
                <w:sz w:val="17"/>
                <w:szCs w:val="16"/>
              </w:rPr>
              <w:t>s</w:t>
            </w:r>
            <w:r w:rsidRPr="008A0FFF">
              <w:rPr>
                <w:rFonts w:ascii="Arial" w:hAnsi="Arial"/>
                <w:sz w:val="17"/>
                <w:szCs w:val="16"/>
              </w:rPr>
              <w:t xml:space="preserve">: </w:t>
            </w:r>
            <w:r w:rsidR="00B525DB" w:rsidRPr="008A0FFF">
              <w:rPr>
                <w:rFonts w:ascii="Arial" w:hAnsi="Arial"/>
                <w:sz w:val="17"/>
                <w:szCs w:val="16"/>
              </w:rPr>
              <w:t>Clare DiSalvo, Dir</w:t>
            </w:r>
            <w:r w:rsidRPr="008A0FFF">
              <w:rPr>
                <w:rFonts w:ascii="Arial" w:hAnsi="Arial"/>
                <w:sz w:val="17"/>
                <w:szCs w:val="16"/>
              </w:rPr>
              <w:t>k Butler</w:t>
            </w:r>
          </w:p>
          <w:p w:rsidR="00161242" w:rsidRPr="008A0FFF" w:rsidRDefault="00161242" w:rsidP="009F7524">
            <w:pPr>
              <w:spacing w:line="240" w:lineRule="exact"/>
              <w:ind w:firstLine="0"/>
              <w:jc w:val="left"/>
              <w:rPr>
                <w:rFonts w:ascii="Arial" w:hAnsi="Arial"/>
                <w:sz w:val="17"/>
                <w:szCs w:val="16"/>
              </w:rPr>
            </w:pPr>
          </w:p>
          <w:p w:rsidR="00842366" w:rsidRPr="008A0FFF" w:rsidRDefault="00842366" w:rsidP="009F7524">
            <w:pPr>
              <w:spacing w:line="240" w:lineRule="exact"/>
              <w:ind w:firstLine="0"/>
              <w:jc w:val="left"/>
              <w:rPr>
                <w:rFonts w:ascii="Arial" w:hAnsi="Arial"/>
                <w:sz w:val="16"/>
                <w:szCs w:val="16"/>
              </w:rPr>
            </w:pPr>
            <w:bookmarkStart w:id="1" w:name="Agency"/>
            <w:bookmarkEnd w:id="1"/>
          </w:p>
        </w:tc>
        <w:tc>
          <w:tcPr>
            <w:tcW w:w="4057" w:type="dxa"/>
          </w:tcPr>
          <w:p w:rsidR="001F425A" w:rsidRPr="009F7524" w:rsidRDefault="00161242" w:rsidP="009F7524">
            <w:pPr>
              <w:spacing w:before="240" w:after="144" w:line="312" w:lineRule="auto"/>
              <w:ind w:left="58" w:firstLine="0"/>
              <w:jc w:val="left"/>
              <w:rPr>
                <w:rFonts w:ascii="Arial" w:hAnsi="Arial"/>
                <w:b/>
                <w:sz w:val="22"/>
              </w:rPr>
            </w:pPr>
            <w:r w:rsidRPr="009F7524">
              <w:rPr>
                <w:rFonts w:ascii="Arial" w:hAnsi="Arial"/>
                <w:b/>
                <w:sz w:val="22"/>
              </w:rPr>
              <w:t xml:space="preserve">PART B: Statistical Methods for the Collection of </w:t>
            </w:r>
            <w:r w:rsidR="00C44AF5" w:rsidRPr="009F7524">
              <w:rPr>
                <w:rFonts w:ascii="Arial" w:hAnsi="Arial"/>
                <w:b/>
                <w:sz w:val="22"/>
              </w:rPr>
              <w:t xml:space="preserve">Performance Measures, Implementation and </w:t>
            </w:r>
            <w:r w:rsidR="002272A9" w:rsidRPr="009F7524">
              <w:rPr>
                <w:rFonts w:ascii="Arial" w:hAnsi="Arial"/>
                <w:b/>
                <w:sz w:val="22"/>
              </w:rPr>
              <w:t>Outcome</w:t>
            </w:r>
            <w:r w:rsidR="00CF5093" w:rsidRPr="009F7524">
              <w:rPr>
                <w:rFonts w:ascii="Arial" w:hAnsi="Arial"/>
                <w:b/>
                <w:sz w:val="22"/>
              </w:rPr>
              <w:t xml:space="preserve"> </w:t>
            </w:r>
            <w:r w:rsidRPr="009F7524">
              <w:rPr>
                <w:rFonts w:ascii="Arial" w:hAnsi="Arial"/>
                <w:b/>
                <w:sz w:val="22"/>
              </w:rPr>
              <w:t>Data</w:t>
            </w:r>
            <w:r w:rsidR="001F425A" w:rsidRPr="009F7524">
              <w:rPr>
                <w:rFonts w:ascii="Arial" w:hAnsi="Arial"/>
                <w:b/>
                <w:sz w:val="22"/>
              </w:rPr>
              <w:t xml:space="preserve"> -  Personal Responsibility Education Program (PREP)</w:t>
            </w:r>
            <w:r w:rsidR="00E760AA" w:rsidRPr="009F7524">
              <w:rPr>
                <w:rFonts w:ascii="Arial" w:hAnsi="Arial"/>
                <w:b/>
                <w:sz w:val="22"/>
              </w:rPr>
              <w:t xml:space="preserve"> Multi-Component Evaluation</w:t>
            </w:r>
            <w:r w:rsidR="001F425A" w:rsidRPr="009F7524">
              <w:rPr>
                <w:rFonts w:ascii="Arial" w:hAnsi="Arial"/>
                <w:b/>
                <w:sz w:val="22"/>
              </w:rPr>
              <w:t xml:space="preserve"> </w:t>
            </w:r>
          </w:p>
          <w:p w:rsidR="001F425A" w:rsidRPr="009F7524" w:rsidRDefault="001F425A" w:rsidP="009F7524">
            <w:pPr>
              <w:spacing w:after="144" w:line="312" w:lineRule="auto"/>
              <w:ind w:left="58" w:firstLine="0"/>
              <w:jc w:val="left"/>
              <w:rPr>
                <w:rFonts w:ascii="Arial" w:hAnsi="Arial"/>
                <w:b/>
                <w:sz w:val="22"/>
              </w:rPr>
            </w:pPr>
            <w:r w:rsidRPr="009F7524">
              <w:rPr>
                <w:rFonts w:ascii="Arial" w:hAnsi="Arial"/>
                <w:b/>
                <w:sz w:val="22"/>
              </w:rPr>
              <w:t>0970-0398</w:t>
            </w:r>
          </w:p>
          <w:p w:rsidR="00DF1FE9" w:rsidRPr="009F7524" w:rsidRDefault="00DF1FE9" w:rsidP="009F7524">
            <w:pPr>
              <w:spacing w:after="144" w:line="312" w:lineRule="auto"/>
              <w:ind w:left="58" w:firstLine="0"/>
              <w:jc w:val="left"/>
              <w:rPr>
                <w:rFonts w:ascii="Arial" w:hAnsi="Arial"/>
                <w:b/>
                <w:sz w:val="22"/>
              </w:rPr>
            </w:pPr>
            <w:r w:rsidRPr="009F7524">
              <w:rPr>
                <w:rFonts w:ascii="Arial" w:hAnsi="Arial"/>
                <w:b/>
                <w:sz w:val="22"/>
              </w:rPr>
              <w:t>Draft</w:t>
            </w:r>
          </w:p>
          <w:p w:rsidR="00161242" w:rsidRPr="008A0FFF" w:rsidRDefault="00E80C36" w:rsidP="009F7524">
            <w:pPr>
              <w:spacing w:before="144" w:after="288" w:line="360" w:lineRule="exact"/>
              <w:ind w:left="58" w:firstLine="0"/>
              <w:jc w:val="left"/>
              <w:rPr>
                <w:rFonts w:ascii="Arial" w:hAnsi="Arial"/>
              </w:rPr>
            </w:pPr>
            <w:r>
              <w:rPr>
                <w:rFonts w:ascii="Arial" w:hAnsi="Arial"/>
                <w:sz w:val="22"/>
              </w:rPr>
              <w:t>June</w:t>
            </w:r>
            <w:r w:rsidR="00395E5C" w:rsidRPr="009F7524">
              <w:rPr>
                <w:rFonts w:ascii="Arial" w:hAnsi="Arial"/>
                <w:sz w:val="22"/>
              </w:rPr>
              <w:t xml:space="preserve"> </w:t>
            </w:r>
            <w:r w:rsidR="001A78B3" w:rsidRPr="009F7524">
              <w:rPr>
                <w:rFonts w:ascii="Arial" w:hAnsi="Arial"/>
                <w:sz w:val="22"/>
              </w:rPr>
              <w:t>2013</w:t>
            </w:r>
          </w:p>
          <w:p w:rsidR="00161242" w:rsidRPr="008A0FFF" w:rsidRDefault="00161242" w:rsidP="009F7524">
            <w:pPr>
              <w:spacing w:line="280" w:lineRule="exact"/>
              <w:ind w:left="58" w:firstLine="0"/>
              <w:jc w:val="left"/>
              <w:rPr>
                <w:rFonts w:ascii="Arial" w:hAnsi="Arial"/>
                <w:sz w:val="20"/>
                <w:szCs w:val="20"/>
              </w:rPr>
            </w:pPr>
          </w:p>
          <w:p w:rsidR="00161242" w:rsidRPr="008A0FFF" w:rsidRDefault="00161242" w:rsidP="009F7524">
            <w:pPr>
              <w:spacing w:line="280" w:lineRule="exact"/>
              <w:ind w:left="58" w:firstLine="0"/>
              <w:jc w:val="left"/>
              <w:rPr>
                <w:rFonts w:ascii="Arial" w:hAnsi="Arial"/>
                <w:sz w:val="20"/>
                <w:szCs w:val="20"/>
              </w:rPr>
            </w:pPr>
          </w:p>
          <w:p w:rsidR="00161242" w:rsidRPr="008A0FFF" w:rsidRDefault="00161242" w:rsidP="009F7524">
            <w:pPr>
              <w:spacing w:line="280" w:lineRule="exact"/>
              <w:ind w:left="58" w:firstLine="0"/>
              <w:jc w:val="left"/>
              <w:rPr>
                <w:rFonts w:ascii="Arial" w:hAnsi="Arial"/>
                <w:sz w:val="20"/>
                <w:szCs w:val="20"/>
              </w:rPr>
            </w:pPr>
          </w:p>
          <w:p w:rsidR="00161242" w:rsidRPr="008A0FFF" w:rsidRDefault="00161242" w:rsidP="009F7524">
            <w:pPr>
              <w:spacing w:line="264" w:lineRule="auto"/>
              <w:ind w:left="58" w:firstLine="0"/>
              <w:jc w:val="left"/>
              <w:rPr>
                <w:rFonts w:ascii="Arial" w:hAnsi="Arial"/>
                <w:sz w:val="20"/>
                <w:szCs w:val="20"/>
              </w:rPr>
            </w:pPr>
          </w:p>
          <w:p w:rsidR="00161242" w:rsidRPr="008A0FFF" w:rsidRDefault="00161242" w:rsidP="009F7524">
            <w:pPr>
              <w:spacing w:line="264" w:lineRule="auto"/>
              <w:ind w:left="58" w:firstLine="0"/>
              <w:jc w:val="left"/>
              <w:rPr>
                <w:rFonts w:ascii="Arial" w:hAnsi="Arial"/>
              </w:rPr>
            </w:pPr>
          </w:p>
        </w:tc>
      </w:tr>
    </w:tbl>
    <w:p w:rsidR="0041689E" w:rsidRDefault="0041689E" w:rsidP="00176C34">
      <w:pPr>
        <w:spacing w:line="264" w:lineRule="auto"/>
        <w:ind w:left="5040"/>
        <w:rPr>
          <w:rFonts w:ascii="Lucida Sans" w:hAnsi="Lucida Sans"/>
          <w:sz w:val="20"/>
          <w:szCs w:val="20"/>
        </w:rPr>
        <w:sectPr w:rsidR="0041689E" w:rsidSect="00176C34">
          <w:endnotePr>
            <w:numFmt w:val="decimal"/>
          </w:endnotePr>
          <w:pgSz w:w="12240" w:h="15840" w:code="1"/>
          <w:pgMar w:top="1440" w:right="1440" w:bottom="576" w:left="1440" w:header="720" w:footer="576" w:gutter="0"/>
          <w:pgNumType w:fmt="lowerRoman" w:start="5"/>
          <w:cols w:space="720"/>
          <w:titlePg/>
          <w:docGrid w:linePitch="326"/>
        </w:sectPr>
      </w:pPr>
    </w:p>
    <w:p w:rsidR="00B77155" w:rsidRDefault="00B77155" w:rsidP="00B77155">
      <w:pPr>
        <w:spacing w:after="480"/>
        <w:jc w:val="center"/>
        <w:rPr>
          <w:rFonts w:ascii="Arial" w:hAnsi="Arial" w:cs="Arial"/>
          <w:b/>
        </w:rPr>
      </w:pPr>
      <w:bookmarkStart w:id="2" w:name="RepTitle"/>
      <w:bookmarkStart w:id="3" w:name="RepType"/>
      <w:bookmarkStart w:id="4" w:name="Contract"/>
      <w:bookmarkStart w:id="5" w:name="MPRRef"/>
      <w:bookmarkStart w:id="6" w:name="_Toc352328725"/>
      <w:bookmarkEnd w:id="2"/>
      <w:bookmarkEnd w:id="3"/>
      <w:bookmarkEnd w:id="4"/>
      <w:bookmarkEnd w:id="5"/>
      <w:r>
        <w:rPr>
          <w:rFonts w:ascii="Arial" w:hAnsi="Arial" w:cs="Arial"/>
          <w:b/>
        </w:rPr>
        <w:lastRenderedPageBreak/>
        <w:t>CONTENTS</w:t>
      </w:r>
    </w:p>
    <w:p w:rsidR="000E2E4E" w:rsidRDefault="000E2E4E" w:rsidP="000E2E4E">
      <w:pPr>
        <w:pStyle w:val="TOC1"/>
        <w:rPr>
          <w:rFonts w:asciiTheme="minorHAnsi" w:eastAsiaTheme="minorEastAsia" w:hAnsiTheme="minorHAnsi" w:cstheme="minorBidi"/>
          <w:caps w:val="0"/>
          <w:noProof/>
          <w:sz w:val="22"/>
          <w:szCs w:val="22"/>
        </w:rPr>
      </w:pPr>
      <w:r w:rsidRPr="00C700CB">
        <w:rPr>
          <w:rFonts w:eastAsia="Calibri"/>
          <w:noProof/>
        </w:rPr>
        <w:t>PART b. INTRODUCTION</w:t>
      </w:r>
      <w:r>
        <w:rPr>
          <w:noProof/>
          <w:webHidden/>
        </w:rPr>
        <w:tab/>
        <w:t>1</w:t>
      </w:r>
    </w:p>
    <w:p w:rsidR="000E2E4E" w:rsidRDefault="000E2E4E" w:rsidP="000E2E4E">
      <w:pPr>
        <w:pStyle w:val="TOC2"/>
        <w:rPr>
          <w:rFonts w:asciiTheme="minorHAnsi" w:eastAsiaTheme="minorEastAsia" w:hAnsiTheme="minorHAnsi" w:cstheme="minorBidi"/>
          <w:noProof/>
          <w:sz w:val="22"/>
          <w:szCs w:val="22"/>
        </w:rPr>
      </w:pPr>
      <w:r>
        <w:rPr>
          <w:noProof/>
        </w:rPr>
        <w:t>B1.</w:t>
      </w:r>
      <w:r>
        <w:rPr>
          <w:rFonts w:asciiTheme="minorHAnsi" w:eastAsiaTheme="minorEastAsia" w:hAnsiTheme="minorHAnsi" w:cstheme="minorBidi"/>
          <w:noProof/>
          <w:sz w:val="22"/>
          <w:szCs w:val="22"/>
        </w:rPr>
        <w:tab/>
      </w:r>
      <w:r>
        <w:rPr>
          <w:noProof/>
        </w:rPr>
        <w:t>Respondent Universe and Sampling Methods</w:t>
      </w:r>
      <w:r>
        <w:rPr>
          <w:noProof/>
          <w:webHidden/>
        </w:rPr>
        <w:tab/>
        <w:t>1</w:t>
      </w:r>
    </w:p>
    <w:p w:rsidR="000E2E4E" w:rsidRDefault="000E2E4E" w:rsidP="000E2E4E">
      <w:pPr>
        <w:pStyle w:val="TOC2"/>
        <w:rPr>
          <w:rFonts w:asciiTheme="minorHAnsi" w:eastAsiaTheme="minorEastAsia" w:hAnsiTheme="minorHAnsi" w:cstheme="minorBidi"/>
          <w:noProof/>
          <w:sz w:val="22"/>
          <w:szCs w:val="22"/>
        </w:rPr>
      </w:pPr>
      <w:r>
        <w:rPr>
          <w:noProof/>
        </w:rPr>
        <w:t>B2.</w:t>
      </w:r>
      <w:r>
        <w:rPr>
          <w:rFonts w:asciiTheme="minorHAnsi" w:eastAsiaTheme="minorEastAsia" w:hAnsiTheme="minorHAnsi" w:cstheme="minorBidi"/>
          <w:noProof/>
          <w:sz w:val="22"/>
          <w:szCs w:val="22"/>
        </w:rPr>
        <w:tab/>
      </w:r>
      <w:r>
        <w:rPr>
          <w:noProof/>
        </w:rPr>
        <w:t>Procedures for Collection of Information</w:t>
      </w:r>
      <w:r>
        <w:rPr>
          <w:noProof/>
          <w:webHidden/>
        </w:rPr>
        <w:tab/>
        <w:t>4</w:t>
      </w:r>
    </w:p>
    <w:p w:rsidR="000E2E4E" w:rsidRDefault="000E2E4E" w:rsidP="000E2E4E">
      <w:pPr>
        <w:pStyle w:val="TOC2"/>
        <w:rPr>
          <w:rFonts w:asciiTheme="minorHAnsi" w:eastAsiaTheme="minorEastAsia" w:hAnsiTheme="minorHAnsi" w:cstheme="minorBidi"/>
          <w:noProof/>
          <w:sz w:val="22"/>
          <w:szCs w:val="22"/>
        </w:rPr>
      </w:pPr>
      <w:r>
        <w:rPr>
          <w:noProof/>
        </w:rPr>
        <w:t>B3.</w:t>
      </w:r>
      <w:r>
        <w:rPr>
          <w:rFonts w:asciiTheme="minorHAnsi" w:eastAsiaTheme="minorEastAsia" w:hAnsiTheme="minorHAnsi" w:cstheme="minorBidi"/>
          <w:noProof/>
          <w:sz w:val="22"/>
          <w:szCs w:val="22"/>
        </w:rPr>
        <w:tab/>
      </w:r>
      <w:r>
        <w:rPr>
          <w:noProof/>
        </w:rPr>
        <w:t>Methods to Maximize Response Rates and Deal with Non-Response</w:t>
      </w:r>
      <w:r>
        <w:rPr>
          <w:noProof/>
          <w:webHidden/>
        </w:rPr>
        <w:tab/>
        <w:t>6</w:t>
      </w:r>
    </w:p>
    <w:p w:rsidR="000E2E4E" w:rsidRDefault="000E2E4E" w:rsidP="000E2E4E">
      <w:pPr>
        <w:pStyle w:val="TOC2"/>
        <w:rPr>
          <w:rFonts w:asciiTheme="minorHAnsi" w:eastAsiaTheme="minorEastAsia" w:hAnsiTheme="minorHAnsi" w:cstheme="minorBidi"/>
          <w:noProof/>
          <w:sz w:val="22"/>
          <w:szCs w:val="22"/>
        </w:rPr>
      </w:pPr>
      <w:r>
        <w:rPr>
          <w:noProof/>
        </w:rPr>
        <w:t>B4.</w:t>
      </w:r>
      <w:r>
        <w:rPr>
          <w:rFonts w:asciiTheme="minorHAnsi" w:eastAsiaTheme="minorEastAsia" w:hAnsiTheme="minorHAnsi" w:cstheme="minorBidi"/>
          <w:noProof/>
          <w:sz w:val="22"/>
          <w:szCs w:val="22"/>
        </w:rPr>
        <w:tab/>
      </w:r>
      <w:r>
        <w:rPr>
          <w:noProof/>
        </w:rPr>
        <w:t>Test of Procedures or Methods to be Undertaken</w:t>
      </w:r>
      <w:r>
        <w:rPr>
          <w:noProof/>
          <w:webHidden/>
        </w:rPr>
        <w:tab/>
        <w:t>8</w:t>
      </w:r>
    </w:p>
    <w:p w:rsidR="00B77155" w:rsidRDefault="000E2E4E" w:rsidP="000E2E4E">
      <w:pPr>
        <w:pStyle w:val="TOC2"/>
        <w:rPr>
          <w:rFonts w:asciiTheme="minorHAnsi" w:eastAsiaTheme="minorEastAsia" w:hAnsiTheme="minorHAnsi" w:cstheme="minorBidi"/>
          <w:noProof/>
          <w:sz w:val="22"/>
          <w:szCs w:val="22"/>
        </w:rPr>
      </w:pPr>
      <w:r>
        <w:rPr>
          <w:noProof/>
        </w:rPr>
        <w:t>B5.</w:t>
      </w:r>
      <w:r>
        <w:rPr>
          <w:rFonts w:asciiTheme="minorHAnsi" w:eastAsiaTheme="minorEastAsia" w:hAnsiTheme="minorHAnsi" w:cstheme="minorBidi"/>
          <w:noProof/>
          <w:sz w:val="22"/>
          <w:szCs w:val="22"/>
        </w:rPr>
        <w:tab/>
      </w:r>
      <w:r>
        <w:rPr>
          <w:noProof/>
        </w:rPr>
        <w:t>Individuals Consulted on Statistical Aspects and Individuals Collecting and/or Analyzing Data</w:t>
      </w:r>
      <w:r>
        <w:rPr>
          <w:noProof/>
          <w:webHidden/>
        </w:rPr>
        <w:tab/>
        <w:t>8</w:t>
      </w:r>
    </w:p>
    <w:p w:rsidR="00B77155" w:rsidRDefault="00B77155" w:rsidP="00B77155">
      <w:pPr>
        <w:pStyle w:val="Heading1Black"/>
        <w:rPr>
          <w:rFonts w:cs="Arial"/>
          <w:b w:val="0"/>
        </w:rPr>
        <w:sectPr w:rsidR="00B77155" w:rsidSect="008A0FFF">
          <w:headerReference w:type="default" r:id="rId12"/>
          <w:footerReference w:type="default" r:id="rId13"/>
          <w:endnotePr>
            <w:numFmt w:val="decimal"/>
          </w:endnotePr>
          <w:pgSz w:w="12240" w:h="15840" w:code="1"/>
          <w:pgMar w:top="1440" w:right="1440" w:bottom="576" w:left="1440" w:header="720" w:footer="576" w:gutter="0"/>
          <w:pgNumType w:fmt="lowerRoman" w:start="1"/>
          <w:cols w:space="720"/>
          <w:docGrid w:linePitch="326"/>
        </w:sectPr>
      </w:pPr>
    </w:p>
    <w:p w:rsidR="00B77155" w:rsidRDefault="00B77155" w:rsidP="00B77155">
      <w:pPr>
        <w:spacing w:after="480"/>
        <w:jc w:val="center"/>
        <w:rPr>
          <w:rFonts w:ascii="Arial" w:hAnsi="Arial" w:cs="Arial"/>
          <w:b/>
        </w:rPr>
      </w:pPr>
      <w:bookmarkStart w:id="7" w:name="_Toc320884918"/>
      <w:bookmarkStart w:id="8" w:name="_Toc324845909"/>
      <w:bookmarkEnd w:id="6"/>
      <w:r>
        <w:rPr>
          <w:rFonts w:ascii="Arial" w:hAnsi="Arial" w:cs="Arial"/>
          <w:b/>
        </w:rPr>
        <w:lastRenderedPageBreak/>
        <w:t>TABLES</w:t>
      </w:r>
    </w:p>
    <w:p w:rsidR="002472C5" w:rsidRDefault="002472C5" w:rsidP="002472C5">
      <w:pPr>
        <w:pStyle w:val="TableofFigures"/>
        <w:rPr>
          <w:rFonts w:asciiTheme="minorHAnsi" w:eastAsiaTheme="minorEastAsia" w:hAnsiTheme="minorHAnsi" w:cstheme="minorBidi"/>
          <w:noProof/>
          <w:sz w:val="22"/>
          <w:szCs w:val="22"/>
        </w:rPr>
      </w:pPr>
      <w:r>
        <w:rPr>
          <w:noProof/>
        </w:rPr>
        <w:t>B1.1</w:t>
      </w:r>
      <w:r>
        <w:rPr>
          <w:noProof/>
        </w:rPr>
        <w:tab/>
        <w:t>Respondent Universe and Expected Response Rates for the Performance Analysis Study</w:t>
      </w:r>
      <w:r>
        <w:rPr>
          <w:noProof/>
          <w:webHidden/>
        </w:rPr>
        <w:tab/>
        <w:t>2</w:t>
      </w:r>
    </w:p>
    <w:p w:rsidR="002472C5" w:rsidRDefault="002472C5" w:rsidP="002472C5">
      <w:pPr>
        <w:pStyle w:val="TableofFigures"/>
        <w:rPr>
          <w:rFonts w:asciiTheme="minorHAnsi" w:eastAsiaTheme="minorEastAsia" w:hAnsiTheme="minorHAnsi" w:cstheme="minorBidi"/>
          <w:noProof/>
          <w:sz w:val="22"/>
          <w:szCs w:val="22"/>
        </w:rPr>
      </w:pPr>
      <w:r>
        <w:rPr>
          <w:noProof/>
        </w:rPr>
        <w:t>B1.2</w:t>
      </w:r>
      <w:r>
        <w:rPr>
          <w:noProof/>
        </w:rPr>
        <w:tab/>
        <w:t>Minimum Detectible Impacts with Sample of 1,500 Youth</w:t>
      </w:r>
      <w:r>
        <w:rPr>
          <w:noProof/>
          <w:webHidden/>
        </w:rPr>
        <w:tab/>
        <w:t>3</w:t>
      </w:r>
    </w:p>
    <w:p w:rsidR="00B77155" w:rsidRDefault="00B77155" w:rsidP="00B77155">
      <w:pPr>
        <w:pStyle w:val="TableofFigures"/>
        <w:rPr>
          <w:rFonts w:asciiTheme="minorHAnsi" w:eastAsiaTheme="minorEastAsia" w:hAnsiTheme="minorHAnsi"/>
          <w:noProof/>
        </w:rPr>
      </w:pPr>
    </w:p>
    <w:p w:rsidR="00B77155" w:rsidRDefault="00B77155" w:rsidP="00B77155">
      <w:pPr>
        <w:spacing w:before="480" w:after="480"/>
        <w:jc w:val="center"/>
        <w:rPr>
          <w:rFonts w:ascii="Arial" w:hAnsi="Arial" w:cs="Lucida Sans"/>
          <w:b/>
        </w:rPr>
        <w:sectPr w:rsidR="00B77155" w:rsidSect="00DF1FE9">
          <w:footerReference w:type="default" r:id="rId14"/>
          <w:endnotePr>
            <w:numFmt w:val="decimal"/>
          </w:endnotePr>
          <w:pgSz w:w="12240" w:h="15840" w:code="1"/>
          <w:pgMar w:top="1440" w:right="1440" w:bottom="576" w:left="1440" w:header="720" w:footer="576" w:gutter="0"/>
          <w:pgNumType w:fmt="lowerRoman"/>
          <w:cols w:space="720"/>
          <w:docGrid w:linePitch="326"/>
        </w:sectPr>
      </w:pPr>
    </w:p>
    <w:p w:rsidR="00B77155" w:rsidRPr="005C3833" w:rsidRDefault="00B77155" w:rsidP="00B77155">
      <w:pPr>
        <w:spacing w:before="480" w:after="480"/>
        <w:jc w:val="center"/>
        <w:rPr>
          <w:rFonts w:ascii="Arial" w:hAnsi="Arial" w:cs="Lucida Sans"/>
          <w:b/>
        </w:rPr>
      </w:pPr>
      <w:r w:rsidRPr="005C3833">
        <w:rPr>
          <w:rFonts w:ascii="Arial" w:hAnsi="Arial" w:cs="Lucida Sans"/>
          <w:b/>
        </w:rPr>
        <w:lastRenderedPageBreak/>
        <w:t>INSTRUMENTS</w:t>
      </w:r>
    </w:p>
    <w:p w:rsidR="00BC7103" w:rsidRPr="005C3833" w:rsidRDefault="00BC7103" w:rsidP="009F7524">
      <w:pPr>
        <w:spacing w:after="60" w:line="240" w:lineRule="auto"/>
        <w:ind w:left="2160" w:hanging="2160"/>
        <w:rPr>
          <w:rFonts w:ascii="Arial" w:hAnsi="Arial"/>
          <w:noProof/>
        </w:rPr>
      </w:pPr>
      <w:r w:rsidRPr="005C3833">
        <w:rPr>
          <w:rFonts w:ascii="Arial" w:hAnsi="Arial"/>
          <w:noProof/>
        </w:rPr>
        <w:t xml:space="preserve">INSTRUMENT #1 </w:t>
      </w:r>
      <w:r>
        <w:rPr>
          <w:rFonts w:ascii="Arial" w:hAnsi="Arial"/>
          <w:noProof/>
        </w:rPr>
        <w:t>:</w:t>
      </w:r>
      <w:r w:rsidRPr="005C3833">
        <w:rPr>
          <w:rFonts w:ascii="Arial" w:hAnsi="Arial"/>
          <w:noProof/>
        </w:rPr>
        <w:t xml:space="preserve"> </w:t>
      </w:r>
      <w:r w:rsidRPr="005C3833">
        <w:rPr>
          <w:rFonts w:ascii="Arial" w:hAnsi="Arial"/>
          <w:noProof/>
        </w:rPr>
        <w:tab/>
        <w:t xml:space="preserve">PARTICIPANT ENTRY SURVEY </w:t>
      </w:r>
      <w:r>
        <w:rPr>
          <w:rFonts w:ascii="Arial" w:hAnsi="Arial"/>
          <w:noProof/>
        </w:rPr>
        <w:t>(PAS)</w:t>
      </w:r>
    </w:p>
    <w:p w:rsidR="00BC7103" w:rsidRPr="005C3833" w:rsidRDefault="00BC7103" w:rsidP="009F7524">
      <w:pPr>
        <w:spacing w:after="60" w:line="240" w:lineRule="auto"/>
        <w:ind w:left="2160" w:hanging="2160"/>
        <w:rPr>
          <w:rFonts w:ascii="Arial" w:hAnsi="Arial"/>
          <w:noProof/>
        </w:rPr>
      </w:pPr>
      <w:r w:rsidRPr="005C3833">
        <w:rPr>
          <w:rFonts w:ascii="Arial" w:hAnsi="Arial"/>
          <w:noProof/>
        </w:rPr>
        <w:t xml:space="preserve">INSTRUMENT #2 </w:t>
      </w:r>
      <w:r>
        <w:rPr>
          <w:rFonts w:ascii="Arial" w:hAnsi="Arial"/>
          <w:noProof/>
        </w:rPr>
        <w:t>:</w:t>
      </w:r>
      <w:r w:rsidRPr="005C3833">
        <w:rPr>
          <w:rFonts w:ascii="Arial" w:hAnsi="Arial"/>
          <w:noProof/>
        </w:rPr>
        <w:t xml:space="preserve"> </w:t>
      </w:r>
      <w:r w:rsidRPr="005C3833">
        <w:rPr>
          <w:rFonts w:ascii="Arial" w:hAnsi="Arial"/>
          <w:noProof/>
        </w:rPr>
        <w:tab/>
        <w:t xml:space="preserve">PARTICIPANT EXIT SURVEY </w:t>
      </w:r>
      <w:r>
        <w:rPr>
          <w:rFonts w:ascii="Arial" w:hAnsi="Arial"/>
          <w:noProof/>
        </w:rPr>
        <w:t>(PAS)</w:t>
      </w:r>
    </w:p>
    <w:p w:rsidR="00BC7103" w:rsidRPr="005C3833" w:rsidRDefault="00BC7103" w:rsidP="009F7524">
      <w:pPr>
        <w:spacing w:after="60" w:line="240" w:lineRule="auto"/>
        <w:ind w:left="2160" w:hanging="2160"/>
        <w:rPr>
          <w:rFonts w:ascii="Arial" w:hAnsi="Arial"/>
          <w:noProof/>
        </w:rPr>
      </w:pPr>
      <w:r w:rsidRPr="005C3833">
        <w:rPr>
          <w:rFonts w:ascii="Arial" w:hAnsi="Arial"/>
          <w:noProof/>
        </w:rPr>
        <w:t>INSTRUMEN</w:t>
      </w:r>
      <w:r>
        <w:rPr>
          <w:rFonts w:ascii="Arial" w:hAnsi="Arial"/>
          <w:noProof/>
        </w:rPr>
        <w:t>T #3 :</w:t>
      </w:r>
      <w:r w:rsidRPr="005C3833">
        <w:rPr>
          <w:rFonts w:ascii="Arial" w:hAnsi="Arial"/>
          <w:noProof/>
        </w:rPr>
        <w:t xml:space="preserve"> </w:t>
      </w:r>
      <w:r w:rsidRPr="005C3833">
        <w:rPr>
          <w:rFonts w:ascii="Arial" w:hAnsi="Arial"/>
          <w:noProof/>
        </w:rPr>
        <w:tab/>
        <w:t>PERFORMANCE REPORTING SYSTEM DATA ENTRY FORM</w:t>
      </w:r>
      <w:r>
        <w:rPr>
          <w:rFonts w:ascii="Arial" w:hAnsi="Arial"/>
          <w:noProof/>
        </w:rPr>
        <w:t xml:space="preserve"> (PAS)</w:t>
      </w:r>
    </w:p>
    <w:p w:rsidR="00BC7103" w:rsidRPr="005C3833" w:rsidRDefault="00BC7103" w:rsidP="009F7524">
      <w:pPr>
        <w:spacing w:after="60" w:line="240" w:lineRule="auto"/>
        <w:ind w:left="2160" w:hanging="2160"/>
        <w:rPr>
          <w:rFonts w:ascii="Arial" w:hAnsi="Arial"/>
          <w:noProof/>
        </w:rPr>
      </w:pPr>
      <w:r w:rsidRPr="005C3833">
        <w:rPr>
          <w:rFonts w:ascii="Arial" w:hAnsi="Arial"/>
          <w:noProof/>
        </w:rPr>
        <w:t xml:space="preserve">INSTRUMENT #4 </w:t>
      </w:r>
      <w:r>
        <w:rPr>
          <w:rFonts w:ascii="Arial" w:hAnsi="Arial"/>
          <w:noProof/>
        </w:rPr>
        <w:t>:</w:t>
      </w:r>
      <w:r w:rsidRPr="005C3833">
        <w:rPr>
          <w:rFonts w:ascii="Arial" w:hAnsi="Arial"/>
          <w:noProof/>
        </w:rPr>
        <w:t xml:space="preserve"> </w:t>
      </w:r>
      <w:r w:rsidRPr="005C3833">
        <w:rPr>
          <w:rFonts w:ascii="Arial" w:hAnsi="Arial"/>
          <w:noProof/>
        </w:rPr>
        <w:tab/>
        <w:t>IMPLEMENTATION SITE DATA COLLECTION</w:t>
      </w:r>
      <w:r>
        <w:rPr>
          <w:rFonts w:ascii="Arial" w:hAnsi="Arial"/>
          <w:noProof/>
        </w:rPr>
        <w:t xml:space="preserve"> PROTOCOL</w:t>
      </w:r>
      <w:r w:rsidRPr="005C3833">
        <w:rPr>
          <w:rFonts w:ascii="Arial" w:hAnsi="Arial"/>
          <w:noProof/>
        </w:rPr>
        <w:t xml:space="preserve"> </w:t>
      </w:r>
      <w:r>
        <w:rPr>
          <w:rFonts w:ascii="Arial" w:hAnsi="Arial"/>
          <w:noProof/>
        </w:rPr>
        <w:t>(PAS)</w:t>
      </w:r>
    </w:p>
    <w:p w:rsidR="00BC7103" w:rsidRPr="005C3833" w:rsidRDefault="00BC7103" w:rsidP="009F7524">
      <w:pPr>
        <w:spacing w:after="60" w:line="240" w:lineRule="auto"/>
        <w:ind w:left="2160" w:hanging="2160"/>
        <w:rPr>
          <w:rFonts w:ascii="Arial" w:hAnsi="Arial"/>
          <w:noProof/>
        </w:rPr>
      </w:pPr>
      <w:r>
        <w:rPr>
          <w:rFonts w:ascii="Arial" w:hAnsi="Arial"/>
          <w:noProof/>
        </w:rPr>
        <w:t>INSTRUMENT #5 :</w:t>
      </w:r>
      <w:r w:rsidRPr="005C3833">
        <w:rPr>
          <w:rFonts w:ascii="Arial" w:hAnsi="Arial"/>
          <w:noProof/>
        </w:rPr>
        <w:t xml:space="preserve">  MASTER FOLLOW-UP SURVEY</w:t>
      </w:r>
      <w:r>
        <w:rPr>
          <w:rFonts w:ascii="Arial" w:hAnsi="Arial"/>
          <w:noProof/>
        </w:rPr>
        <w:t xml:space="preserve"> (IIS)</w:t>
      </w:r>
    </w:p>
    <w:p w:rsidR="00BC7103" w:rsidRPr="005C3833" w:rsidRDefault="00BC7103" w:rsidP="009F7524">
      <w:pPr>
        <w:spacing w:after="60" w:line="240" w:lineRule="auto"/>
        <w:ind w:left="2160" w:hanging="2160"/>
        <w:rPr>
          <w:rFonts w:ascii="Arial" w:hAnsi="Arial"/>
          <w:noProof/>
        </w:rPr>
      </w:pPr>
      <w:r>
        <w:rPr>
          <w:rFonts w:ascii="Arial" w:hAnsi="Arial"/>
          <w:noProof/>
        </w:rPr>
        <w:t>INSTRUMENT #6 :</w:t>
      </w:r>
      <w:r w:rsidRPr="005C3833">
        <w:rPr>
          <w:rFonts w:ascii="Arial" w:hAnsi="Arial"/>
          <w:noProof/>
        </w:rPr>
        <w:t xml:space="preserve">  HFSA FOLLOW-UP SURVEY</w:t>
      </w:r>
      <w:r>
        <w:rPr>
          <w:rFonts w:ascii="Arial" w:hAnsi="Arial"/>
          <w:noProof/>
        </w:rPr>
        <w:t xml:space="preserve"> (IIS)</w:t>
      </w:r>
    </w:p>
    <w:p w:rsidR="00BC7103" w:rsidRPr="005C3833" w:rsidRDefault="00BC7103" w:rsidP="009F7524">
      <w:pPr>
        <w:spacing w:after="60" w:line="240" w:lineRule="auto"/>
        <w:ind w:left="2160" w:hanging="2160"/>
        <w:rPr>
          <w:rFonts w:ascii="Arial" w:hAnsi="Arial"/>
          <w:noProof/>
        </w:rPr>
      </w:pPr>
      <w:r w:rsidRPr="005C3833">
        <w:rPr>
          <w:rFonts w:ascii="Arial" w:hAnsi="Arial"/>
          <w:noProof/>
        </w:rPr>
        <w:t>INSTRUMENT #7</w:t>
      </w:r>
      <w:r>
        <w:rPr>
          <w:rFonts w:ascii="Arial" w:hAnsi="Arial"/>
          <w:noProof/>
        </w:rPr>
        <w:t xml:space="preserve"> :</w:t>
      </w:r>
      <w:r w:rsidRPr="005C3833">
        <w:rPr>
          <w:rFonts w:ascii="Arial" w:hAnsi="Arial"/>
          <w:noProof/>
        </w:rPr>
        <w:t xml:space="preserve"> </w:t>
      </w:r>
      <w:r w:rsidRPr="005C3833">
        <w:rPr>
          <w:rFonts w:ascii="Arial" w:hAnsi="Arial"/>
          <w:noProof/>
        </w:rPr>
        <w:tab/>
      </w:r>
      <w:r w:rsidRPr="006F65F1">
        <w:rPr>
          <w:rFonts w:ascii="Arial" w:hAnsi="Arial"/>
          <w:noProof/>
        </w:rPr>
        <w:t xml:space="preserve">MASTER </w:t>
      </w:r>
      <w:r>
        <w:rPr>
          <w:rFonts w:ascii="Arial" w:hAnsi="Arial"/>
          <w:noProof/>
        </w:rPr>
        <w:t xml:space="preserve">LIST OF </w:t>
      </w:r>
      <w:r w:rsidRPr="006F65F1">
        <w:rPr>
          <w:rFonts w:ascii="Arial" w:hAnsi="Arial"/>
          <w:noProof/>
        </w:rPr>
        <w:t>TOPIC</w:t>
      </w:r>
      <w:r>
        <w:rPr>
          <w:rFonts w:ascii="Arial" w:hAnsi="Arial"/>
          <w:noProof/>
        </w:rPr>
        <w:t>S FOR STAFF INTERVIEWS (IIS)</w:t>
      </w:r>
    </w:p>
    <w:p w:rsidR="00BC7103" w:rsidRPr="005C3833" w:rsidRDefault="00BC7103" w:rsidP="009F7524">
      <w:pPr>
        <w:spacing w:after="60" w:line="240" w:lineRule="auto"/>
        <w:ind w:left="2160" w:hanging="2160"/>
        <w:rPr>
          <w:rFonts w:ascii="Arial" w:hAnsi="Arial"/>
          <w:noProof/>
        </w:rPr>
      </w:pPr>
      <w:r w:rsidRPr="005C3833">
        <w:rPr>
          <w:rFonts w:ascii="Arial" w:hAnsi="Arial"/>
          <w:noProof/>
        </w:rPr>
        <w:t>INSTRUMENT #8</w:t>
      </w:r>
      <w:r>
        <w:rPr>
          <w:rFonts w:ascii="Arial" w:hAnsi="Arial"/>
          <w:noProof/>
        </w:rPr>
        <w:t xml:space="preserve"> :</w:t>
      </w:r>
      <w:r w:rsidRPr="005C3833">
        <w:rPr>
          <w:rFonts w:ascii="Arial" w:hAnsi="Arial"/>
          <w:noProof/>
        </w:rPr>
        <w:t xml:space="preserve">  </w:t>
      </w:r>
      <w:r w:rsidRPr="006F65F1">
        <w:rPr>
          <w:rFonts w:ascii="Arial" w:hAnsi="Arial"/>
          <w:noProof/>
        </w:rPr>
        <w:t xml:space="preserve">STAFF SURVEY </w:t>
      </w:r>
      <w:r>
        <w:rPr>
          <w:rFonts w:ascii="Arial" w:hAnsi="Arial"/>
          <w:noProof/>
        </w:rPr>
        <w:t>(IIS)</w:t>
      </w:r>
    </w:p>
    <w:p w:rsidR="00BC7103" w:rsidRPr="005C3833" w:rsidRDefault="00BC7103" w:rsidP="009F7524">
      <w:pPr>
        <w:spacing w:after="60" w:line="240" w:lineRule="auto"/>
        <w:ind w:left="2160" w:hanging="2160"/>
        <w:rPr>
          <w:rFonts w:ascii="Arial" w:hAnsi="Arial"/>
          <w:noProof/>
        </w:rPr>
      </w:pPr>
      <w:r w:rsidRPr="005C3833">
        <w:rPr>
          <w:rFonts w:ascii="Arial" w:hAnsi="Arial"/>
          <w:noProof/>
        </w:rPr>
        <w:t>INSTRUMENT #9</w:t>
      </w:r>
      <w:r>
        <w:rPr>
          <w:rFonts w:ascii="Arial" w:hAnsi="Arial"/>
          <w:noProof/>
        </w:rPr>
        <w:t xml:space="preserve"> :</w:t>
      </w:r>
      <w:r w:rsidRPr="005C3833">
        <w:rPr>
          <w:rFonts w:ascii="Arial" w:hAnsi="Arial"/>
          <w:noProof/>
        </w:rPr>
        <w:t xml:space="preserve"> </w:t>
      </w:r>
      <w:r w:rsidRPr="005C3833">
        <w:rPr>
          <w:rFonts w:ascii="Arial" w:hAnsi="Arial"/>
          <w:noProof/>
        </w:rPr>
        <w:tab/>
      </w:r>
      <w:r w:rsidRPr="006F65F1">
        <w:rPr>
          <w:rFonts w:ascii="Arial" w:hAnsi="Arial"/>
          <w:noProof/>
        </w:rPr>
        <w:t>TOPIC GUIDE FOR FOCUS GROUP DISCUSSION WITH PARTICIPATING YOUTH</w:t>
      </w:r>
      <w:r w:rsidRPr="005C3833">
        <w:rPr>
          <w:rFonts w:ascii="Arial" w:hAnsi="Arial"/>
          <w:noProof/>
        </w:rPr>
        <w:t xml:space="preserve"> </w:t>
      </w:r>
      <w:r>
        <w:rPr>
          <w:rFonts w:ascii="Arial" w:hAnsi="Arial"/>
          <w:noProof/>
        </w:rPr>
        <w:t>(IIS)</w:t>
      </w:r>
    </w:p>
    <w:p w:rsidR="001F5ECD" w:rsidRPr="005C3833" w:rsidRDefault="001F5ECD" w:rsidP="001F5ECD">
      <w:pPr>
        <w:spacing w:after="60" w:line="240" w:lineRule="auto"/>
        <w:ind w:left="2160" w:hanging="2160"/>
        <w:rPr>
          <w:rFonts w:ascii="Arial" w:hAnsi="Arial"/>
          <w:noProof/>
        </w:rPr>
      </w:pPr>
      <w:r>
        <w:rPr>
          <w:rFonts w:ascii="Arial" w:hAnsi="Arial"/>
          <w:noProof/>
        </w:rPr>
        <w:t xml:space="preserve">INSTRUMENT #10: </w:t>
      </w:r>
      <w:r w:rsidR="00721FFE">
        <w:rPr>
          <w:rFonts w:ascii="Arial" w:hAnsi="Arial"/>
          <w:noProof/>
        </w:rPr>
        <w:t xml:space="preserve">PROGRAM ATTENDANCE DATA COLLECTION PROTOCOL </w:t>
      </w:r>
      <w:r>
        <w:rPr>
          <w:rFonts w:ascii="Arial" w:hAnsi="Arial"/>
          <w:noProof/>
        </w:rPr>
        <w:t>(IIS)</w:t>
      </w:r>
    </w:p>
    <w:p w:rsidR="00BC7103" w:rsidRPr="005C3833" w:rsidRDefault="00BC7103" w:rsidP="009F7524">
      <w:pPr>
        <w:spacing w:after="60" w:line="240" w:lineRule="auto"/>
        <w:rPr>
          <w:rFonts w:ascii="Arial" w:hAnsi="Arial"/>
          <w:noProof/>
        </w:rPr>
      </w:pPr>
    </w:p>
    <w:p w:rsidR="00BC7103" w:rsidRPr="005C3833" w:rsidRDefault="00BC7103" w:rsidP="009F7524">
      <w:pPr>
        <w:spacing w:after="60" w:line="240" w:lineRule="auto"/>
        <w:rPr>
          <w:rFonts w:ascii="Arial" w:hAnsi="Arial" w:cs="Lucida Sans"/>
          <w:b/>
        </w:rPr>
      </w:pPr>
    </w:p>
    <w:p w:rsidR="00BC7103" w:rsidRPr="005C3833" w:rsidRDefault="00BC7103" w:rsidP="009F7524">
      <w:pPr>
        <w:spacing w:after="480" w:line="240" w:lineRule="auto"/>
        <w:jc w:val="center"/>
        <w:rPr>
          <w:rFonts w:ascii="Arial" w:hAnsi="Arial" w:cs="Lucida Sans"/>
          <w:b/>
        </w:rPr>
      </w:pPr>
      <w:r w:rsidRPr="005C3833">
        <w:rPr>
          <w:rFonts w:ascii="Arial" w:hAnsi="Arial" w:cs="Lucida Sans"/>
          <w:b/>
        </w:rPr>
        <w:t>ATTACHMENTS</w:t>
      </w:r>
    </w:p>
    <w:p w:rsidR="00BC7103" w:rsidRPr="005C3833" w:rsidRDefault="00BC7103" w:rsidP="009F7524">
      <w:pPr>
        <w:spacing w:after="60" w:line="240" w:lineRule="auto"/>
        <w:ind w:left="2160" w:hanging="2160"/>
        <w:rPr>
          <w:rFonts w:ascii="Arial" w:hAnsi="Arial"/>
          <w:noProof/>
        </w:rPr>
      </w:pPr>
      <w:r w:rsidRPr="005C3833">
        <w:rPr>
          <w:rFonts w:ascii="Arial" w:hAnsi="Arial"/>
          <w:noProof/>
        </w:rPr>
        <w:t>ATTACHMENT A:</w:t>
      </w:r>
      <w:r>
        <w:rPr>
          <w:rFonts w:ascii="Arial" w:hAnsi="Arial"/>
          <w:noProof/>
        </w:rPr>
        <w:tab/>
      </w:r>
      <w:r w:rsidRPr="005C3833">
        <w:rPr>
          <w:rFonts w:ascii="Arial" w:hAnsi="Arial"/>
          <w:noProof/>
        </w:rPr>
        <w:t xml:space="preserve">OVERVIEW OF THE PREP EVALUATION </w:t>
      </w:r>
    </w:p>
    <w:p w:rsidR="00BC7103" w:rsidRPr="005C3833" w:rsidRDefault="00BC7103" w:rsidP="009F7524">
      <w:pPr>
        <w:spacing w:after="60" w:line="240" w:lineRule="auto"/>
        <w:ind w:left="2160" w:hanging="2160"/>
        <w:rPr>
          <w:rFonts w:ascii="Arial" w:hAnsi="Arial"/>
          <w:noProof/>
        </w:rPr>
      </w:pPr>
      <w:r w:rsidRPr="005C3833">
        <w:rPr>
          <w:rFonts w:ascii="Arial" w:hAnsi="Arial"/>
          <w:noProof/>
        </w:rPr>
        <w:t>ATTACHMENT B:</w:t>
      </w:r>
      <w:r>
        <w:rPr>
          <w:rFonts w:ascii="Arial" w:hAnsi="Arial"/>
          <w:noProof/>
        </w:rPr>
        <w:tab/>
      </w:r>
      <w:r w:rsidRPr="009C0465">
        <w:rPr>
          <w:rFonts w:ascii="Arial" w:hAnsi="Arial"/>
          <w:noProof/>
        </w:rPr>
        <w:t xml:space="preserve">ANALYSIS PLAN FOR PREP </w:t>
      </w:r>
      <w:r>
        <w:rPr>
          <w:rFonts w:ascii="Arial" w:hAnsi="Arial"/>
          <w:noProof/>
        </w:rPr>
        <w:t>IIS</w:t>
      </w:r>
      <w:r w:rsidRPr="009C0465">
        <w:rPr>
          <w:rFonts w:ascii="Arial" w:hAnsi="Arial"/>
          <w:noProof/>
        </w:rPr>
        <w:t xml:space="preserve"> STUDY</w:t>
      </w:r>
    </w:p>
    <w:p w:rsidR="00BC7103" w:rsidRPr="005C3833" w:rsidRDefault="00BC7103" w:rsidP="009F7524">
      <w:pPr>
        <w:spacing w:after="60" w:line="240" w:lineRule="auto"/>
        <w:ind w:left="2160" w:hanging="2160"/>
        <w:rPr>
          <w:rFonts w:ascii="Arial" w:hAnsi="Arial"/>
          <w:noProof/>
        </w:rPr>
      </w:pPr>
      <w:r w:rsidRPr="005C3833">
        <w:rPr>
          <w:rFonts w:ascii="Arial" w:hAnsi="Arial"/>
          <w:noProof/>
        </w:rPr>
        <w:t>ATTACHMENT C:</w:t>
      </w:r>
      <w:r>
        <w:rPr>
          <w:rFonts w:ascii="Arial" w:hAnsi="Arial"/>
          <w:noProof/>
        </w:rPr>
        <w:tab/>
      </w:r>
      <w:r w:rsidRPr="009C0465">
        <w:rPr>
          <w:rFonts w:ascii="Arial" w:hAnsi="Arial"/>
          <w:noProof/>
        </w:rPr>
        <w:t>QUESTION BY QUESTION SOURCE TABLE FOR THE FOLLOW-UP SURVEY</w:t>
      </w:r>
    </w:p>
    <w:p w:rsidR="00BC7103" w:rsidRPr="005C3833" w:rsidRDefault="00BC7103" w:rsidP="009F7524">
      <w:pPr>
        <w:spacing w:after="60" w:line="240" w:lineRule="auto"/>
        <w:ind w:left="2160" w:hanging="2160"/>
        <w:rPr>
          <w:rFonts w:ascii="Arial" w:hAnsi="Arial"/>
          <w:noProof/>
        </w:rPr>
      </w:pPr>
      <w:r w:rsidRPr="005C3833">
        <w:rPr>
          <w:rFonts w:ascii="Arial" w:hAnsi="Arial"/>
          <w:noProof/>
        </w:rPr>
        <w:t>ATTACHMENT D:</w:t>
      </w:r>
      <w:r>
        <w:rPr>
          <w:rFonts w:ascii="Arial" w:hAnsi="Arial"/>
          <w:noProof/>
        </w:rPr>
        <w:tab/>
      </w:r>
      <w:r w:rsidRPr="009C0465">
        <w:rPr>
          <w:rFonts w:ascii="Arial" w:hAnsi="Arial"/>
          <w:noProof/>
        </w:rPr>
        <w:t xml:space="preserve">SOURCES REFERENCED FOR THE FOLLOW-UP </w:t>
      </w:r>
      <w:r>
        <w:rPr>
          <w:rFonts w:ascii="Arial" w:hAnsi="Arial"/>
          <w:noProof/>
        </w:rPr>
        <w:t>SURVEY</w:t>
      </w:r>
      <w:r w:rsidRPr="005C3833">
        <w:rPr>
          <w:rFonts w:ascii="Arial" w:hAnsi="Arial"/>
          <w:noProof/>
        </w:rPr>
        <w:t xml:space="preserve"> </w:t>
      </w:r>
    </w:p>
    <w:p w:rsidR="00BC7103" w:rsidRPr="005C3833" w:rsidRDefault="00BC7103" w:rsidP="009F7524">
      <w:pPr>
        <w:spacing w:after="60" w:line="240" w:lineRule="auto"/>
        <w:ind w:left="2160" w:hanging="2160"/>
        <w:rPr>
          <w:rFonts w:ascii="Arial" w:hAnsi="Arial"/>
          <w:noProof/>
        </w:rPr>
      </w:pPr>
      <w:r w:rsidRPr="005C3833">
        <w:rPr>
          <w:rFonts w:ascii="Arial" w:hAnsi="Arial"/>
          <w:noProof/>
        </w:rPr>
        <w:t>ATTACHMENT E:</w:t>
      </w:r>
      <w:r>
        <w:rPr>
          <w:rFonts w:ascii="Arial" w:hAnsi="Arial"/>
          <w:noProof/>
        </w:rPr>
        <w:tab/>
      </w:r>
      <w:r w:rsidRPr="009C0465">
        <w:rPr>
          <w:rFonts w:ascii="Arial" w:hAnsi="Arial"/>
          <w:noProof/>
        </w:rPr>
        <w:t xml:space="preserve">QUESTION BY QUESTION SOURCE TABLE FOR THE STAFF </w:t>
      </w:r>
      <w:r>
        <w:rPr>
          <w:rFonts w:ascii="Arial" w:hAnsi="Arial"/>
          <w:noProof/>
        </w:rPr>
        <w:t>SURVEY</w:t>
      </w:r>
      <w:r w:rsidRPr="005C3833">
        <w:rPr>
          <w:rFonts w:ascii="Arial" w:hAnsi="Arial"/>
          <w:noProof/>
        </w:rPr>
        <w:t xml:space="preserve"> </w:t>
      </w:r>
    </w:p>
    <w:p w:rsidR="00BC7103" w:rsidRPr="005C3833" w:rsidRDefault="00BC7103" w:rsidP="009F7524">
      <w:pPr>
        <w:spacing w:after="60" w:line="240" w:lineRule="auto"/>
        <w:ind w:left="2160" w:hanging="2160"/>
        <w:rPr>
          <w:rFonts w:ascii="Arial" w:hAnsi="Arial"/>
          <w:noProof/>
        </w:rPr>
      </w:pPr>
      <w:r w:rsidRPr="005C3833">
        <w:rPr>
          <w:rFonts w:ascii="Arial" w:hAnsi="Arial"/>
          <w:noProof/>
        </w:rPr>
        <w:t>ATTACHMENT F:</w:t>
      </w:r>
      <w:r>
        <w:rPr>
          <w:rFonts w:ascii="Arial" w:hAnsi="Arial"/>
          <w:noProof/>
        </w:rPr>
        <w:tab/>
      </w:r>
      <w:r w:rsidRPr="009C0465">
        <w:rPr>
          <w:rFonts w:ascii="Arial" w:hAnsi="Arial"/>
          <w:noProof/>
        </w:rPr>
        <w:t>SOURCES REFERENCED FOR THE STAFF SURVEY</w:t>
      </w:r>
    </w:p>
    <w:p w:rsidR="00BC7103" w:rsidRPr="005C3833" w:rsidRDefault="00BC7103" w:rsidP="009F7524">
      <w:pPr>
        <w:spacing w:after="60" w:line="240" w:lineRule="auto"/>
        <w:ind w:left="2160" w:hanging="2160"/>
        <w:rPr>
          <w:rFonts w:ascii="Arial" w:hAnsi="Arial"/>
          <w:noProof/>
        </w:rPr>
      </w:pPr>
      <w:r w:rsidRPr="005C3833">
        <w:rPr>
          <w:rFonts w:ascii="Arial" w:hAnsi="Arial"/>
          <w:noProof/>
        </w:rPr>
        <w:t>ATTACHMENT G:</w:t>
      </w:r>
      <w:r>
        <w:rPr>
          <w:rFonts w:ascii="Arial" w:hAnsi="Arial"/>
          <w:noProof/>
        </w:rPr>
        <w:tab/>
      </w:r>
      <w:r w:rsidRPr="009C0465">
        <w:rPr>
          <w:rFonts w:ascii="Arial" w:hAnsi="Arial"/>
          <w:noProof/>
        </w:rPr>
        <w:t>60-DAY FEDERAL REGIST</w:t>
      </w:r>
      <w:r>
        <w:rPr>
          <w:rFonts w:ascii="Arial" w:hAnsi="Arial"/>
          <w:noProof/>
        </w:rPr>
        <w:t>E</w:t>
      </w:r>
      <w:r w:rsidRPr="009C0465">
        <w:rPr>
          <w:rFonts w:ascii="Arial" w:hAnsi="Arial"/>
          <w:noProof/>
        </w:rPr>
        <w:t>R NOTICE</w:t>
      </w:r>
    </w:p>
    <w:p w:rsidR="00BC7103" w:rsidRPr="005C3833" w:rsidRDefault="00BC7103" w:rsidP="009F7524">
      <w:pPr>
        <w:spacing w:after="60" w:line="240" w:lineRule="auto"/>
        <w:ind w:left="2160" w:hanging="2160"/>
        <w:rPr>
          <w:rFonts w:ascii="Arial" w:hAnsi="Arial"/>
          <w:noProof/>
        </w:rPr>
      </w:pPr>
      <w:r w:rsidRPr="005C3833">
        <w:rPr>
          <w:rFonts w:ascii="Arial" w:hAnsi="Arial"/>
          <w:noProof/>
        </w:rPr>
        <w:t>ATTACHMENT H:</w:t>
      </w:r>
      <w:r>
        <w:rPr>
          <w:rFonts w:ascii="Arial" w:hAnsi="Arial"/>
          <w:noProof/>
        </w:rPr>
        <w:tab/>
      </w:r>
      <w:r w:rsidRPr="009C0465">
        <w:rPr>
          <w:rFonts w:ascii="Arial" w:hAnsi="Arial"/>
          <w:noProof/>
        </w:rPr>
        <w:t>PERSONS CONSULTED ON COLLECTION OF THE PAS AND IIS DATA</w:t>
      </w:r>
    </w:p>
    <w:p w:rsidR="00BC7103" w:rsidRDefault="00BC7103" w:rsidP="009F7524">
      <w:pPr>
        <w:spacing w:after="60" w:line="240" w:lineRule="auto"/>
        <w:ind w:left="2160" w:hanging="2160"/>
        <w:rPr>
          <w:rFonts w:ascii="Arial" w:hAnsi="Arial"/>
          <w:noProof/>
        </w:rPr>
      </w:pPr>
      <w:r w:rsidRPr="005C3833">
        <w:rPr>
          <w:rFonts w:ascii="Arial" w:hAnsi="Arial"/>
          <w:noProof/>
        </w:rPr>
        <w:t>ATTACHMENT I:</w:t>
      </w:r>
      <w:r w:rsidR="00676DD9">
        <w:rPr>
          <w:rFonts w:ascii="Arial" w:hAnsi="Arial"/>
          <w:noProof/>
        </w:rPr>
        <w:tab/>
      </w:r>
      <w:r>
        <w:rPr>
          <w:rFonts w:ascii="Arial" w:hAnsi="Arial"/>
          <w:noProof/>
        </w:rPr>
        <w:tab/>
      </w:r>
      <w:r w:rsidRPr="009C0465">
        <w:rPr>
          <w:rFonts w:ascii="Arial" w:hAnsi="Arial"/>
          <w:noProof/>
        </w:rPr>
        <w:t>CONSENT LETTERS AND FORMS</w:t>
      </w:r>
    </w:p>
    <w:p w:rsidR="005F5898" w:rsidRPr="00F130FA" w:rsidRDefault="00E80C36" w:rsidP="005F5898">
      <w:pPr>
        <w:spacing w:after="60" w:line="240" w:lineRule="auto"/>
        <w:ind w:left="2160" w:hanging="2160"/>
        <w:rPr>
          <w:rFonts w:ascii="Lucida Sans" w:hAnsi="Lucida Sans"/>
          <w:noProof/>
        </w:rPr>
      </w:pPr>
      <w:r w:rsidRPr="005C3833">
        <w:rPr>
          <w:rFonts w:ascii="Arial" w:hAnsi="Arial"/>
          <w:noProof/>
        </w:rPr>
        <w:t xml:space="preserve">ATTACHMENT </w:t>
      </w:r>
      <w:r>
        <w:rPr>
          <w:rFonts w:ascii="Arial" w:hAnsi="Arial"/>
          <w:noProof/>
        </w:rPr>
        <w:t>J</w:t>
      </w:r>
      <w:r w:rsidRPr="005C3833">
        <w:rPr>
          <w:rFonts w:ascii="Arial" w:hAnsi="Arial"/>
          <w:noProof/>
        </w:rPr>
        <w:t>:</w:t>
      </w:r>
      <w:r>
        <w:rPr>
          <w:rFonts w:ascii="Arial" w:hAnsi="Arial"/>
          <w:noProof/>
        </w:rPr>
        <w:tab/>
      </w:r>
      <w:r w:rsidR="005F5898">
        <w:rPr>
          <w:rFonts w:ascii="Arial" w:hAnsi="Arial"/>
          <w:noProof/>
        </w:rPr>
        <w:t>ADVANCE LETTERS AND PROMPTS</w:t>
      </w:r>
    </w:p>
    <w:p w:rsidR="00E80C36" w:rsidRPr="00F130FA" w:rsidRDefault="00E80C36" w:rsidP="009F7524">
      <w:pPr>
        <w:spacing w:after="60" w:line="240" w:lineRule="auto"/>
        <w:ind w:left="2160" w:hanging="2160"/>
        <w:rPr>
          <w:rFonts w:ascii="Lucida Sans" w:hAnsi="Lucida Sans"/>
          <w:noProof/>
        </w:rPr>
      </w:pPr>
    </w:p>
    <w:p w:rsidR="001A7CE1" w:rsidRDefault="001A7CE1" w:rsidP="001A7CE1">
      <w:pPr>
        <w:pStyle w:val="Heading1Black"/>
        <w:sectPr w:rsidR="001A7CE1" w:rsidSect="00DF1FE9">
          <w:footerReference w:type="default" r:id="rId15"/>
          <w:endnotePr>
            <w:numFmt w:val="decimal"/>
          </w:endnotePr>
          <w:pgSz w:w="12240" w:h="15840" w:code="1"/>
          <w:pgMar w:top="1440" w:right="1440" w:bottom="576" w:left="1440" w:header="720" w:footer="576" w:gutter="0"/>
          <w:pgNumType w:fmt="lowerRoman"/>
          <w:cols w:space="720"/>
          <w:docGrid w:linePitch="326"/>
        </w:sectPr>
      </w:pPr>
    </w:p>
    <w:p w:rsidR="0023364C" w:rsidRDefault="003274D8" w:rsidP="008A0FFF">
      <w:pPr>
        <w:pStyle w:val="Heading1Black"/>
        <w:rPr>
          <w:rFonts w:eastAsia="Calibri"/>
        </w:rPr>
      </w:pPr>
      <w:bookmarkStart w:id="9" w:name="_Toc352328726"/>
      <w:bookmarkStart w:id="10" w:name="_Toc353957895"/>
      <w:bookmarkStart w:id="11" w:name="_Toc355704759"/>
      <w:r>
        <w:rPr>
          <w:rFonts w:eastAsia="Calibri"/>
        </w:rPr>
        <w:lastRenderedPageBreak/>
        <w:t>PART b</w:t>
      </w:r>
      <w:bookmarkEnd w:id="7"/>
      <w:bookmarkEnd w:id="8"/>
      <w:r w:rsidR="008A0FFF">
        <w:rPr>
          <w:rFonts w:eastAsia="Calibri"/>
        </w:rPr>
        <w:t>. INTRODUCTION</w:t>
      </w:r>
      <w:bookmarkEnd w:id="9"/>
      <w:bookmarkEnd w:id="10"/>
      <w:bookmarkEnd w:id="11"/>
    </w:p>
    <w:p w:rsidR="0023364C" w:rsidRPr="000C3568" w:rsidRDefault="00AB4B33" w:rsidP="008A0FFF">
      <w:pPr>
        <w:pStyle w:val="Heading2Black"/>
      </w:pPr>
      <w:bookmarkStart w:id="12" w:name="_Toc320884919"/>
      <w:bookmarkStart w:id="13" w:name="_Toc324845910"/>
      <w:bookmarkStart w:id="14" w:name="_Toc352328727"/>
      <w:bookmarkStart w:id="15" w:name="_Toc353957896"/>
      <w:bookmarkStart w:id="16" w:name="_Toc355704760"/>
      <w:r>
        <w:t>B1.</w:t>
      </w:r>
      <w:r w:rsidR="00DD4F9B">
        <w:tab/>
      </w:r>
      <w:r w:rsidR="0023364C" w:rsidRPr="000C3568">
        <w:t>Respondent Universe and Sampling Methods</w:t>
      </w:r>
      <w:bookmarkEnd w:id="12"/>
      <w:bookmarkEnd w:id="13"/>
      <w:bookmarkEnd w:id="14"/>
      <w:bookmarkEnd w:id="15"/>
      <w:bookmarkEnd w:id="16"/>
    </w:p>
    <w:p w:rsidR="002358F5" w:rsidRDefault="00884479" w:rsidP="002358F5">
      <w:pPr>
        <w:pStyle w:val="NormalSS"/>
      </w:pPr>
      <w:r w:rsidRPr="0058602E">
        <w:t>In March 2010, Congress authorized the Personal Responsibility Education Program (PREP) as part of the Patient Protection and Affordable Care Act (ACA). PREP provides grants to states, tribes, tribal communities</w:t>
      </w:r>
      <w:r>
        <w:t>, and local organizations</w:t>
      </w:r>
      <w:r w:rsidRPr="0058602E">
        <w:t xml:space="preserve"> to support evidence-based programs to reduce teen pregnancy and sexually transmitted infections (STIs). </w:t>
      </w:r>
      <w:r>
        <w:t xml:space="preserve">As described in Part A, </w:t>
      </w:r>
      <w:r w:rsidRPr="007A5EB7">
        <w:t>Congress mandated a</w:t>
      </w:r>
      <w:r>
        <w:t xml:space="preserve"> </w:t>
      </w:r>
      <w:r w:rsidRPr="007A5EB7">
        <w:t>federal evaluation of PREP</w:t>
      </w:r>
      <w:r>
        <w:t xml:space="preserve"> when it authorized the program</w:t>
      </w:r>
      <w:r w:rsidRPr="007A5EB7">
        <w:t>.</w:t>
      </w:r>
      <w:r w:rsidR="002358F5">
        <w:t xml:space="preserve"> </w:t>
      </w:r>
      <w:r>
        <w:t>In response, the Administration for Children and Families within</w:t>
      </w:r>
      <w:r w:rsidRPr="00884479">
        <w:t xml:space="preserve"> the U.S. Department of Health and Human Services </w:t>
      </w:r>
      <w:r>
        <w:t xml:space="preserve">launched the PREP evaluation. </w:t>
      </w:r>
    </w:p>
    <w:p w:rsidR="00884479" w:rsidRPr="002358F5" w:rsidRDefault="00884479" w:rsidP="002358F5">
      <w:pPr>
        <w:pStyle w:val="NormalSS"/>
      </w:pPr>
      <w:r w:rsidRPr="007A5EB7">
        <w:t xml:space="preserve">The evaluation includes </w:t>
      </w:r>
      <w:r w:rsidR="002358F5">
        <w:t>the following three</w:t>
      </w:r>
      <w:r w:rsidRPr="007A5EB7">
        <w:t xml:space="preserve"> components: (1) the Design and Implementation Study (DIS), a broad descriptive analysis of how states are using PREP grant funding to support evidence-based teen pregnancy and STI prevention programs; (2) the Performance Analysis Study (PAS), focused on the collection and analysis </w:t>
      </w:r>
      <w:r>
        <w:t>of</w:t>
      </w:r>
      <w:r w:rsidRPr="007A5EB7">
        <w:t xml:space="preserve"> performance management data</w:t>
      </w:r>
      <w:r>
        <w:t xml:space="preserve"> from state grantees, tribal grantees, and </w:t>
      </w:r>
      <w:r w:rsidR="000536E3">
        <w:t>competitive PREP (CPREP)</w:t>
      </w:r>
      <w:r>
        <w:t xml:space="preserve"> grantees;</w:t>
      </w:r>
      <w:r w:rsidRPr="007A5EB7">
        <w:t xml:space="preserve"> and (3) the Impact and </w:t>
      </w:r>
      <w:r>
        <w:t>In-Depth</w:t>
      </w:r>
      <w:r w:rsidRPr="007A5EB7">
        <w:t xml:space="preserve"> Implementation Study (IIS), designed to assess the impacts and implementation of funded programs in four to five selected PREP sites.</w:t>
      </w:r>
      <w:r>
        <w:t xml:space="preserve"> Attachment A provides an overview of the multiple components of the PREP evaluation, including the components that have received OMB approval and the components include</w:t>
      </w:r>
      <w:r w:rsidRPr="002358F5">
        <w:t>d in this ICR.</w:t>
      </w:r>
    </w:p>
    <w:p w:rsidR="002358F5" w:rsidRDefault="002358F5" w:rsidP="002358F5">
      <w:pPr>
        <w:pStyle w:val="NormalSS"/>
      </w:pPr>
      <w:r>
        <w:t xml:space="preserve">In this submission, </w:t>
      </w:r>
      <w:r w:rsidR="0057685A">
        <w:t xml:space="preserve">ACF is </w:t>
      </w:r>
      <w:r w:rsidRPr="007A5EB7">
        <w:t xml:space="preserve">requesting OMB approval for </w:t>
      </w:r>
      <w:r>
        <w:t xml:space="preserve">data collection activities </w:t>
      </w:r>
      <w:r w:rsidR="0057685A">
        <w:t>associated with</w:t>
      </w:r>
      <w:r>
        <w:t xml:space="preserve"> two of the three </w:t>
      </w:r>
      <w:r w:rsidR="0057685A">
        <w:t xml:space="preserve">PREP </w:t>
      </w:r>
      <w:r>
        <w:t xml:space="preserve">components: PAS and IIS. </w:t>
      </w:r>
      <w:r w:rsidR="0057685A">
        <w:t>Clearance</w:t>
      </w:r>
      <w:r>
        <w:t xml:space="preserve"> for performance measure data collection </w:t>
      </w:r>
      <w:r w:rsidR="0057685A">
        <w:t xml:space="preserve">for state and tribal </w:t>
      </w:r>
      <w:r w:rsidR="000536E3">
        <w:t xml:space="preserve">PREP </w:t>
      </w:r>
      <w:r w:rsidR="0057685A">
        <w:t xml:space="preserve">grantees </w:t>
      </w:r>
      <w:r>
        <w:t xml:space="preserve">under </w:t>
      </w:r>
      <w:r w:rsidR="0057685A">
        <w:t xml:space="preserve">the </w:t>
      </w:r>
      <w:r>
        <w:t xml:space="preserve">PAS </w:t>
      </w:r>
      <w:r w:rsidR="0057685A">
        <w:t xml:space="preserve">component </w:t>
      </w:r>
      <w:r>
        <w:t xml:space="preserve">was received </w:t>
      </w:r>
      <w:r w:rsidR="0057685A">
        <w:t xml:space="preserve">on March 12, 2013 (OMB Control # 0970-0398). </w:t>
      </w:r>
      <w:r w:rsidR="000536E3">
        <w:t xml:space="preserve">In this submission, ACF is requesting clearance to extend the performance measure data collection plan that was cleared by OMB for state and tribal grantees to CPREP grantees. </w:t>
      </w:r>
      <w:r w:rsidR="0057685A">
        <w:t xml:space="preserve">On </w:t>
      </w:r>
      <w:r w:rsidR="000536E3">
        <w:t>March 12, 2013</w:t>
      </w:r>
      <w:r w:rsidR="0057685A">
        <w:t xml:space="preserve">, ACF also received clearance for the baseline survey </w:t>
      </w:r>
      <w:r w:rsidR="000536E3">
        <w:t>to be conducted as part of the IIS component of the PREP evaluation (OMB Control # 0970-0398). In this submission, ACF is requesting clearance for follow-up surveys to be conducted as part of the IIS impact analysis. ACF is also requesting clearance for instruments that will be used as part of the IIS implementation analysis.</w:t>
      </w:r>
    </w:p>
    <w:p w:rsidR="00CA3C19" w:rsidRDefault="00577910" w:rsidP="00CA3C19">
      <w:pPr>
        <w:pStyle w:val="NormalSS"/>
      </w:pPr>
      <w:r>
        <w:rPr>
          <w:b/>
        </w:rPr>
        <w:t>Performance Analysis Study.</w:t>
      </w:r>
      <w:r>
        <w:t xml:space="preserve"> </w:t>
      </w:r>
      <w:r w:rsidR="009D1A7E">
        <w:t xml:space="preserve">As was the case with PAS data collection for state and tribal grantees, </w:t>
      </w:r>
      <w:r w:rsidR="00CA3C19">
        <w:t xml:space="preserve">CPREP grantees will be asked to have participants complete brief surveys at program entry and exit (Instruments 1 and 2). The </w:t>
      </w:r>
      <w:r w:rsidR="009D1A7E">
        <w:t xml:space="preserve">respondent universe </w:t>
      </w:r>
      <w:r w:rsidR="00F75C08">
        <w:t xml:space="preserve">for </w:t>
      </w:r>
      <w:r w:rsidR="00CA3C19">
        <w:t>these surveys</w:t>
      </w:r>
      <w:r w:rsidR="00F75C08">
        <w:t xml:space="preserve"> will be</w:t>
      </w:r>
      <w:r w:rsidR="009D1A7E">
        <w:t xml:space="preserve"> all youth participating in programming supported by </w:t>
      </w:r>
      <w:r w:rsidR="00CA3C19">
        <w:t>CPREP grants</w:t>
      </w:r>
      <w:r w:rsidR="009D1A7E">
        <w:t xml:space="preserve">. </w:t>
      </w:r>
      <w:r w:rsidR="009A19AD">
        <w:t xml:space="preserve">These surveys will provide data on the demographic and behavioral characteristics of program participants and participants’ perceptions of program effects and their responses to the program. </w:t>
      </w:r>
      <w:r w:rsidR="000E43A4">
        <w:t xml:space="preserve">In addition to the items collected through the participant entry and exit surveys, CPREP grantees will report on measures of program attendance, reach, and dosage, implementation challenges, and measures of program structure and cost and then summarize this information into a national reporting system </w:t>
      </w:r>
      <w:r w:rsidR="004C0D9B">
        <w:t xml:space="preserve">on an annual basis </w:t>
      </w:r>
      <w:r w:rsidR="000E43A4">
        <w:t>(Instruments</w:t>
      </w:r>
      <w:r w:rsidR="009727CF">
        <w:t xml:space="preserve"> 3 and </w:t>
      </w:r>
      <w:r w:rsidR="000E43A4">
        <w:t xml:space="preserve">4). </w:t>
      </w:r>
      <w:r w:rsidR="00CA3C19">
        <w:t xml:space="preserve">CPREP grantees will provide some of this information directly and will collect some data from their implementation sites. ACF estimates that CPREP grantees will be supporting programming in approximately 300 sites. </w:t>
      </w:r>
    </w:p>
    <w:p w:rsidR="00B45F9A" w:rsidRDefault="006351D4" w:rsidP="00B45F9A">
      <w:pPr>
        <w:pStyle w:val="NormalSS"/>
      </w:pPr>
      <w:r w:rsidRPr="006351D4">
        <w:rPr>
          <w:u w:val="single"/>
        </w:rPr>
        <w:t>To reduce the burden associated with CPREP performance measure data collection, ACF is following the same strategy used with state and tribal grantees, an approach approved by OMB on March 12, 2013 (OMB Control # 0970-0398)</w:t>
      </w:r>
      <w:r w:rsidR="009D1A7E">
        <w:t xml:space="preserve">. </w:t>
      </w:r>
      <w:r w:rsidR="00B45F9A">
        <w:t>In particular, as with other PREP grantees, ACF will not ask CPREP</w:t>
      </w:r>
      <w:r w:rsidR="00B45F9A" w:rsidRPr="009D1A7E">
        <w:t xml:space="preserve"> </w:t>
      </w:r>
      <w:r w:rsidR="00B45F9A">
        <w:t>grantees to administer participant entry surveys to middle school youth in school-</w:t>
      </w:r>
      <w:r w:rsidR="00B45F9A">
        <w:lastRenderedPageBreak/>
        <w:t>based settings.</w:t>
      </w:r>
      <w:r w:rsidR="00B45F9A">
        <w:rPr>
          <w:rStyle w:val="FootnoteReference"/>
        </w:rPr>
        <w:footnoteReference w:id="2"/>
      </w:r>
      <w:r w:rsidR="00B45F9A" w:rsidRPr="00436BDD">
        <w:t xml:space="preserve"> </w:t>
      </w:r>
      <w:r w:rsidR="00B45F9A">
        <w:t xml:space="preserve">(These youth will still be asked to complete exit surveys.) In addition, ACF will not ask CPREP grantees to provide </w:t>
      </w:r>
      <w:r w:rsidR="00B45F9A" w:rsidRPr="00F75C08">
        <w:t>attendance data in school settings offering programming during the school day, since most youth in school-based programs will attend schools (and thus these sessions) every day</w:t>
      </w:r>
      <w:r w:rsidR="00B45F9A">
        <w:t>.</w:t>
      </w:r>
      <w:r w:rsidR="007152FA">
        <w:t xml:space="preserve"> Furthermore, ACF will reduce burden by not collecting data </w:t>
      </w:r>
      <w:r w:rsidR="00190876">
        <w:t xml:space="preserve">for </w:t>
      </w:r>
      <w:r w:rsidR="007152FA">
        <w:t xml:space="preserve">the first grant year, and not collecting data for half of the second grant year. </w:t>
      </w:r>
    </w:p>
    <w:p w:rsidR="00285F82" w:rsidRDefault="00DD01AE">
      <w:pPr>
        <w:pStyle w:val="NormalSS"/>
      </w:pPr>
      <w:r>
        <w:t xml:space="preserve">CPREP grantees will administer participant entry surveys to program participants at the time they are enrolled in the program. </w:t>
      </w:r>
      <w:r w:rsidR="00285F82">
        <w:t xml:space="preserve">An estimated </w:t>
      </w:r>
      <w:r w:rsidR="007152FA">
        <w:t>6,201</w:t>
      </w:r>
      <w:r w:rsidR="00285F82">
        <w:t xml:space="preserve"> new participants </w:t>
      </w:r>
      <w:r w:rsidR="00360C3D">
        <w:t xml:space="preserve">eligible to take the entry survey </w:t>
      </w:r>
      <w:r w:rsidR="00285F82">
        <w:t xml:space="preserve">will enroll in the study each year. Of those, </w:t>
      </w:r>
      <w:r w:rsidR="0098625F">
        <w:t xml:space="preserve">it is </w:t>
      </w:r>
      <w:r w:rsidR="00285F82">
        <w:t>expect</w:t>
      </w:r>
      <w:r w:rsidR="0098625F">
        <w:t>ed that</w:t>
      </w:r>
      <w:r w:rsidR="00436BDD">
        <w:t xml:space="preserve"> </w:t>
      </w:r>
      <w:r w:rsidR="007152FA">
        <w:t>5,891</w:t>
      </w:r>
      <w:r w:rsidR="00285F82">
        <w:t xml:space="preserve"> (95 percent) will complete the PAS en</w:t>
      </w:r>
      <w:r w:rsidR="00731691">
        <w:t xml:space="preserve">try survey each year. Exit surveys will be administered to all participants who are still in the program at completion. </w:t>
      </w:r>
      <w:r w:rsidR="0098625F">
        <w:t>A</w:t>
      </w:r>
      <w:r w:rsidR="00731691">
        <w:t xml:space="preserve">pproximately 80 percent of youth who enroll in these programs </w:t>
      </w:r>
      <w:r w:rsidR="0098625F">
        <w:t>are expected to</w:t>
      </w:r>
      <w:r w:rsidR="00731691">
        <w:t xml:space="preserve"> complete the</w:t>
      </w:r>
      <w:r>
        <w:t xml:space="preserve"> program</w:t>
      </w:r>
      <w:r w:rsidR="00731691">
        <w:t>.</w:t>
      </w:r>
      <w:r w:rsidR="00731691">
        <w:rPr>
          <w:rStyle w:val="FootnoteReference"/>
        </w:rPr>
        <w:footnoteReference w:id="3"/>
      </w:r>
      <w:r w:rsidR="00731691">
        <w:t xml:space="preserve"> Of those</w:t>
      </w:r>
      <w:r>
        <w:t xml:space="preserve"> who complete the program</w:t>
      </w:r>
      <w:r w:rsidR="00731691">
        <w:t xml:space="preserve">, </w:t>
      </w:r>
      <w:r w:rsidR="00954142">
        <w:t>it is expected that</w:t>
      </w:r>
      <w:r w:rsidR="00731691">
        <w:t xml:space="preserve"> that</w:t>
      </w:r>
      <w:r w:rsidR="00360C3D">
        <w:t xml:space="preserve"> </w:t>
      </w:r>
      <w:r w:rsidR="007152FA">
        <w:t>8,057</w:t>
      </w:r>
      <w:r w:rsidR="00731691">
        <w:t xml:space="preserve"> (95 percent) will complete the exit survey annually.</w:t>
      </w:r>
      <w:r w:rsidR="004C0D9B">
        <w:rPr>
          <w:rStyle w:val="FootnoteReference"/>
        </w:rPr>
        <w:footnoteReference w:id="4"/>
      </w:r>
      <w:r w:rsidR="00731691">
        <w:t xml:space="preserve"> Because the PAS participant surveys will be administered to </w:t>
      </w:r>
      <w:r w:rsidR="00731691">
        <w:rPr>
          <w:i/>
        </w:rPr>
        <w:t>all</w:t>
      </w:r>
      <w:r w:rsidR="00731691">
        <w:t xml:space="preserve"> participants who are active at the time of entry and exit</w:t>
      </w:r>
      <w:r>
        <w:t>, w</w:t>
      </w:r>
      <w:r w:rsidR="00DD4F9B">
        <w:t>i</w:t>
      </w:r>
      <w:r>
        <w:t>th the exception of the entry survey exclusions mentioned above</w:t>
      </w:r>
      <w:r w:rsidR="00731691">
        <w:t xml:space="preserve">, no sampling is required for the PAS component of the evaluation. </w:t>
      </w:r>
      <w:r w:rsidR="00CA3C19">
        <w:t>Table B1.1 presents the respondent universe with expected response rates for each respondent population.</w:t>
      </w:r>
    </w:p>
    <w:p w:rsidR="005E580D" w:rsidRDefault="005E580D" w:rsidP="005E580D">
      <w:pPr>
        <w:pStyle w:val="MarkforTableHeading"/>
      </w:pPr>
      <w:bookmarkStart w:id="17" w:name="_Toc352328878"/>
      <w:bookmarkStart w:id="18" w:name="_Toc355704795"/>
      <w:r>
        <w:t>Table B1.1.</w:t>
      </w:r>
      <w:r w:rsidRPr="00BD06B9">
        <w:t xml:space="preserve"> </w:t>
      </w:r>
      <w:r w:rsidR="00754D17">
        <w:t xml:space="preserve">Annualized </w:t>
      </w:r>
      <w:r>
        <w:t>Respondent Universe and Expected Response Rates for the Performance Analysis Study</w:t>
      </w:r>
      <w:bookmarkEnd w:id="17"/>
      <w:bookmarkEnd w:id="18"/>
    </w:p>
    <w:tbl>
      <w:tblPr>
        <w:tblStyle w:val="SMPRTableRed"/>
        <w:tblW w:w="4892" w:type="pct"/>
        <w:jc w:val="center"/>
        <w:tblInd w:w="0" w:type="dxa"/>
        <w:tblCellMar>
          <w:left w:w="29" w:type="dxa"/>
          <w:right w:w="29" w:type="dxa"/>
        </w:tblCellMar>
        <w:tblLook w:val="04A0" w:firstRow="1" w:lastRow="0" w:firstColumn="1" w:lastColumn="0" w:noHBand="0" w:noVBand="1"/>
      </w:tblPr>
      <w:tblGrid>
        <w:gridCol w:w="2546"/>
        <w:gridCol w:w="1896"/>
        <w:gridCol w:w="1670"/>
        <w:gridCol w:w="1606"/>
        <w:gridCol w:w="1665"/>
      </w:tblGrid>
      <w:tr w:rsidR="005E580D" w:rsidRPr="004F6149" w:rsidTr="00C76AEC">
        <w:trPr>
          <w:cnfStyle w:val="100000000000" w:firstRow="1" w:lastRow="0" w:firstColumn="0" w:lastColumn="0" w:oddVBand="0" w:evenVBand="0" w:oddHBand="0" w:evenHBand="0" w:firstRowFirstColumn="0" w:firstRowLastColumn="0" w:lastRowFirstColumn="0" w:lastRowLastColumn="0"/>
          <w:trHeight w:val="53"/>
          <w:jc w:val="center"/>
        </w:trPr>
        <w:tc>
          <w:tcPr>
            <w:tcW w:w="1356" w:type="pct"/>
            <w:tcBorders>
              <w:top w:val="single" w:sz="12" w:space="0" w:color="auto"/>
              <w:bottom w:val="single" w:sz="4" w:space="0" w:color="auto"/>
            </w:tcBorders>
            <w:tcMar>
              <w:left w:w="115" w:type="dxa"/>
              <w:right w:w="115" w:type="dxa"/>
            </w:tcMar>
          </w:tcPr>
          <w:p w:rsidR="005E580D" w:rsidRPr="004F6149" w:rsidRDefault="005E580D" w:rsidP="005E3983">
            <w:pPr>
              <w:spacing w:before="120" w:after="60" w:line="240" w:lineRule="auto"/>
              <w:ind w:firstLine="0"/>
              <w:rPr>
                <w:rFonts w:cs="Lucida Sans"/>
                <w:sz w:val="18"/>
                <w:szCs w:val="18"/>
              </w:rPr>
            </w:pPr>
            <w:r>
              <w:rPr>
                <w:rFonts w:cs="Lucida Sans"/>
                <w:sz w:val="18"/>
                <w:szCs w:val="18"/>
              </w:rPr>
              <w:t>Data Collection</w:t>
            </w:r>
          </w:p>
        </w:tc>
        <w:tc>
          <w:tcPr>
            <w:tcW w:w="1010" w:type="pct"/>
            <w:tcBorders>
              <w:top w:val="single" w:sz="12" w:space="0" w:color="auto"/>
              <w:bottom w:val="single" w:sz="4" w:space="0" w:color="auto"/>
            </w:tcBorders>
            <w:tcMar>
              <w:left w:w="115" w:type="dxa"/>
              <w:right w:w="115" w:type="dxa"/>
            </w:tcMar>
          </w:tcPr>
          <w:p w:rsidR="005E580D" w:rsidRPr="004F6149" w:rsidRDefault="005E580D" w:rsidP="005E3983">
            <w:pPr>
              <w:spacing w:before="120" w:after="60" w:line="240" w:lineRule="auto"/>
              <w:ind w:firstLine="0"/>
              <w:jc w:val="center"/>
              <w:rPr>
                <w:rFonts w:cs="Lucida Sans"/>
                <w:sz w:val="18"/>
                <w:szCs w:val="18"/>
              </w:rPr>
            </w:pPr>
            <w:r>
              <w:rPr>
                <w:rFonts w:cs="Lucida Sans"/>
                <w:sz w:val="18"/>
                <w:szCs w:val="18"/>
              </w:rPr>
              <w:t>Type of Respondent</w:t>
            </w:r>
          </w:p>
        </w:tc>
        <w:tc>
          <w:tcPr>
            <w:tcW w:w="890" w:type="pct"/>
            <w:tcBorders>
              <w:top w:val="single" w:sz="12" w:space="0" w:color="auto"/>
              <w:bottom w:val="single" w:sz="4" w:space="0" w:color="auto"/>
            </w:tcBorders>
            <w:tcMar>
              <w:left w:w="115" w:type="dxa"/>
              <w:right w:w="115" w:type="dxa"/>
            </w:tcMar>
          </w:tcPr>
          <w:p w:rsidR="005E580D" w:rsidRPr="004F6149" w:rsidRDefault="005E580D" w:rsidP="005E3983">
            <w:pPr>
              <w:spacing w:before="120" w:after="60" w:line="240" w:lineRule="auto"/>
              <w:ind w:firstLine="0"/>
              <w:jc w:val="center"/>
              <w:rPr>
                <w:rFonts w:cs="Lucida Sans"/>
                <w:sz w:val="18"/>
                <w:szCs w:val="18"/>
              </w:rPr>
            </w:pPr>
            <w:r>
              <w:rPr>
                <w:rFonts w:cs="Lucida Sans"/>
                <w:sz w:val="18"/>
                <w:szCs w:val="18"/>
              </w:rPr>
              <w:t>Number of Respondents</w:t>
            </w:r>
          </w:p>
        </w:tc>
        <w:tc>
          <w:tcPr>
            <w:tcW w:w="856" w:type="pct"/>
            <w:tcBorders>
              <w:top w:val="single" w:sz="12" w:space="0" w:color="auto"/>
              <w:bottom w:val="single" w:sz="4" w:space="0" w:color="auto"/>
            </w:tcBorders>
            <w:tcMar>
              <w:left w:w="115" w:type="dxa"/>
              <w:right w:w="115" w:type="dxa"/>
            </w:tcMar>
          </w:tcPr>
          <w:p w:rsidR="005E580D" w:rsidRPr="004F6149" w:rsidRDefault="005E580D" w:rsidP="005E3983">
            <w:pPr>
              <w:spacing w:before="120" w:after="60" w:line="240" w:lineRule="auto"/>
              <w:ind w:firstLine="0"/>
              <w:jc w:val="center"/>
              <w:rPr>
                <w:rFonts w:cs="Lucida Sans"/>
                <w:sz w:val="18"/>
                <w:szCs w:val="18"/>
              </w:rPr>
            </w:pPr>
            <w:r>
              <w:rPr>
                <w:rFonts w:cs="Lucida Sans"/>
                <w:sz w:val="18"/>
                <w:szCs w:val="18"/>
              </w:rPr>
              <w:t>Expected Response Rate</w:t>
            </w:r>
          </w:p>
        </w:tc>
        <w:tc>
          <w:tcPr>
            <w:tcW w:w="887" w:type="pct"/>
            <w:tcBorders>
              <w:top w:val="single" w:sz="12" w:space="0" w:color="auto"/>
              <w:bottom w:val="single" w:sz="4" w:space="0" w:color="auto"/>
            </w:tcBorders>
            <w:tcMar>
              <w:left w:w="115" w:type="dxa"/>
              <w:right w:w="115" w:type="dxa"/>
            </w:tcMar>
          </w:tcPr>
          <w:p w:rsidR="005E580D" w:rsidRPr="004F6149" w:rsidRDefault="005E580D" w:rsidP="005E3983">
            <w:pPr>
              <w:spacing w:before="120" w:after="60" w:line="240" w:lineRule="auto"/>
              <w:ind w:firstLine="0"/>
              <w:jc w:val="center"/>
              <w:rPr>
                <w:rFonts w:cs="Lucida Sans"/>
                <w:sz w:val="18"/>
                <w:szCs w:val="18"/>
              </w:rPr>
            </w:pPr>
            <w:r>
              <w:rPr>
                <w:rFonts w:cs="Lucida Sans"/>
                <w:sz w:val="18"/>
                <w:szCs w:val="18"/>
              </w:rPr>
              <w:t>Total Expected Responses</w:t>
            </w:r>
          </w:p>
        </w:tc>
      </w:tr>
      <w:tr w:rsidR="005E580D" w:rsidRPr="004F6149" w:rsidTr="00C76AEC">
        <w:trPr>
          <w:trHeight w:val="53"/>
          <w:jc w:val="center"/>
        </w:trPr>
        <w:tc>
          <w:tcPr>
            <w:tcW w:w="1356" w:type="pct"/>
            <w:tcBorders>
              <w:top w:val="single" w:sz="4" w:space="0" w:color="auto"/>
              <w:bottom w:val="nil"/>
            </w:tcBorders>
            <w:tcMar>
              <w:left w:w="115" w:type="dxa"/>
              <w:right w:w="115" w:type="dxa"/>
            </w:tcMar>
          </w:tcPr>
          <w:p w:rsidR="00A766C8" w:rsidRPr="004F6149" w:rsidRDefault="005E580D" w:rsidP="005E3983">
            <w:pPr>
              <w:spacing w:before="60" w:after="60" w:line="240" w:lineRule="auto"/>
              <w:ind w:firstLine="0"/>
              <w:jc w:val="left"/>
              <w:rPr>
                <w:rFonts w:cs="Lucida Sans"/>
                <w:sz w:val="18"/>
                <w:szCs w:val="18"/>
              </w:rPr>
            </w:pPr>
            <w:r>
              <w:rPr>
                <w:rFonts w:cs="Lucida Sans"/>
                <w:sz w:val="18"/>
                <w:szCs w:val="18"/>
              </w:rPr>
              <w:t xml:space="preserve">Instrument </w:t>
            </w:r>
            <w:r w:rsidR="00360C3D">
              <w:rPr>
                <w:rFonts w:cs="Lucida Sans"/>
                <w:sz w:val="18"/>
                <w:szCs w:val="18"/>
              </w:rPr>
              <w:t>1</w:t>
            </w:r>
            <w:r w:rsidR="00A766C8">
              <w:rPr>
                <w:rFonts w:cs="Lucida Sans"/>
                <w:sz w:val="18"/>
                <w:szCs w:val="18"/>
              </w:rPr>
              <w:t xml:space="preserve">: Participant Entry </w:t>
            </w:r>
            <w:r w:rsidR="00DC4B36">
              <w:rPr>
                <w:rFonts w:cs="Lucida Sans"/>
                <w:sz w:val="18"/>
                <w:szCs w:val="18"/>
              </w:rPr>
              <w:t>S</w:t>
            </w:r>
            <w:r w:rsidR="00A766C8">
              <w:rPr>
                <w:rFonts w:cs="Lucida Sans"/>
                <w:sz w:val="18"/>
                <w:szCs w:val="18"/>
              </w:rPr>
              <w:t>urvey</w:t>
            </w:r>
          </w:p>
        </w:tc>
        <w:tc>
          <w:tcPr>
            <w:tcW w:w="1010" w:type="pct"/>
            <w:tcBorders>
              <w:top w:val="single" w:sz="4" w:space="0" w:color="auto"/>
              <w:bottom w:val="nil"/>
            </w:tcBorders>
            <w:tcMar>
              <w:left w:w="115" w:type="dxa"/>
              <w:right w:w="115" w:type="dxa"/>
            </w:tcMar>
          </w:tcPr>
          <w:p w:rsidR="005E580D" w:rsidRPr="004F6149" w:rsidRDefault="00A766C8" w:rsidP="005E3983">
            <w:pPr>
              <w:spacing w:before="60" w:after="60" w:line="240" w:lineRule="auto"/>
              <w:ind w:firstLine="0"/>
              <w:jc w:val="left"/>
              <w:rPr>
                <w:rFonts w:cs="Lucida Sans"/>
                <w:sz w:val="18"/>
                <w:szCs w:val="18"/>
              </w:rPr>
            </w:pPr>
            <w:r>
              <w:rPr>
                <w:rFonts w:cs="Lucida Sans"/>
                <w:sz w:val="18"/>
                <w:szCs w:val="18"/>
              </w:rPr>
              <w:t xml:space="preserve">Youth </w:t>
            </w:r>
            <w:r w:rsidR="00DC4B36">
              <w:rPr>
                <w:rFonts w:cs="Lucida Sans"/>
                <w:sz w:val="18"/>
                <w:szCs w:val="18"/>
              </w:rPr>
              <w:t>Participant</w:t>
            </w:r>
          </w:p>
        </w:tc>
        <w:tc>
          <w:tcPr>
            <w:tcW w:w="890" w:type="pct"/>
            <w:tcBorders>
              <w:top w:val="single" w:sz="4" w:space="0" w:color="auto"/>
              <w:bottom w:val="nil"/>
            </w:tcBorders>
            <w:tcMar>
              <w:left w:w="115" w:type="dxa"/>
              <w:right w:w="115" w:type="dxa"/>
            </w:tcMar>
          </w:tcPr>
          <w:p w:rsidR="005E580D" w:rsidRPr="00ED6C87" w:rsidRDefault="007949F3" w:rsidP="00C76AEC">
            <w:pPr>
              <w:tabs>
                <w:tab w:val="clear" w:pos="432"/>
                <w:tab w:val="decimal" w:pos="1035"/>
              </w:tabs>
              <w:spacing w:before="60" w:after="60" w:line="240" w:lineRule="auto"/>
              <w:ind w:firstLine="0"/>
              <w:rPr>
                <w:rFonts w:cs="Lucida Sans"/>
                <w:sz w:val="18"/>
                <w:szCs w:val="18"/>
              </w:rPr>
            </w:pPr>
            <w:r>
              <w:rPr>
                <w:rFonts w:cs="Lucida Sans"/>
                <w:sz w:val="18"/>
                <w:szCs w:val="18"/>
              </w:rPr>
              <w:t>6,201</w:t>
            </w:r>
          </w:p>
        </w:tc>
        <w:tc>
          <w:tcPr>
            <w:tcW w:w="856" w:type="pct"/>
            <w:tcBorders>
              <w:top w:val="single" w:sz="4" w:space="0" w:color="auto"/>
              <w:bottom w:val="nil"/>
            </w:tcBorders>
            <w:tcMar>
              <w:left w:w="115" w:type="dxa"/>
              <w:right w:w="115" w:type="dxa"/>
            </w:tcMar>
          </w:tcPr>
          <w:p w:rsidR="005E580D" w:rsidRPr="00ED6C87" w:rsidRDefault="00A766C8" w:rsidP="00C76AEC">
            <w:pPr>
              <w:tabs>
                <w:tab w:val="clear" w:pos="432"/>
                <w:tab w:val="decimal" w:pos="715"/>
              </w:tabs>
              <w:spacing w:before="60" w:after="60" w:line="240" w:lineRule="auto"/>
              <w:ind w:firstLine="0"/>
              <w:rPr>
                <w:rFonts w:cs="Lucida Sans"/>
                <w:sz w:val="18"/>
                <w:szCs w:val="18"/>
              </w:rPr>
            </w:pPr>
            <w:r w:rsidRPr="00ED6C87">
              <w:rPr>
                <w:rFonts w:cs="Lucida Sans"/>
                <w:sz w:val="18"/>
                <w:szCs w:val="18"/>
              </w:rPr>
              <w:t>95%</w:t>
            </w:r>
          </w:p>
        </w:tc>
        <w:tc>
          <w:tcPr>
            <w:tcW w:w="887" w:type="pct"/>
            <w:tcBorders>
              <w:top w:val="single" w:sz="4" w:space="0" w:color="auto"/>
              <w:bottom w:val="nil"/>
            </w:tcBorders>
            <w:tcMar>
              <w:left w:w="115" w:type="dxa"/>
              <w:right w:w="115" w:type="dxa"/>
            </w:tcMar>
          </w:tcPr>
          <w:p w:rsidR="005E580D" w:rsidRPr="00ED6C87" w:rsidRDefault="007949F3" w:rsidP="00C76AEC">
            <w:pPr>
              <w:tabs>
                <w:tab w:val="clear" w:pos="432"/>
                <w:tab w:val="decimal" w:pos="1035"/>
              </w:tabs>
              <w:spacing w:before="60" w:after="60" w:line="240" w:lineRule="auto"/>
              <w:ind w:firstLine="0"/>
              <w:rPr>
                <w:rFonts w:cs="Lucida Sans"/>
                <w:sz w:val="18"/>
                <w:szCs w:val="18"/>
              </w:rPr>
            </w:pPr>
            <w:r>
              <w:rPr>
                <w:rFonts w:cs="Lucida Sans"/>
                <w:sz w:val="18"/>
                <w:szCs w:val="18"/>
              </w:rPr>
              <w:t>5,891</w:t>
            </w:r>
            <w:r w:rsidR="00754D17">
              <w:rPr>
                <w:rStyle w:val="FootnoteReference"/>
                <w:rFonts w:cs="Lucida Sans"/>
                <w:sz w:val="18"/>
                <w:szCs w:val="18"/>
              </w:rPr>
              <w:footnoteReference w:id="5"/>
            </w:r>
          </w:p>
        </w:tc>
      </w:tr>
      <w:tr w:rsidR="00A766C8" w:rsidRPr="004F6149" w:rsidTr="00C76AEC">
        <w:trPr>
          <w:trHeight w:val="53"/>
          <w:jc w:val="center"/>
        </w:trPr>
        <w:tc>
          <w:tcPr>
            <w:tcW w:w="1356" w:type="pct"/>
            <w:tcBorders>
              <w:top w:val="nil"/>
              <w:bottom w:val="nil"/>
            </w:tcBorders>
            <w:tcMar>
              <w:left w:w="115" w:type="dxa"/>
              <w:right w:w="115" w:type="dxa"/>
            </w:tcMar>
          </w:tcPr>
          <w:p w:rsidR="00A766C8" w:rsidRDefault="00360C3D" w:rsidP="005E3983">
            <w:pPr>
              <w:spacing w:before="60" w:after="60" w:line="240" w:lineRule="auto"/>
              <w:ind w:firstLine="0"/>
              <w:jc w:val="left"/>
              <w:rPr>
                <w:rFonts w:cs="Lucida Sans"/>
                <w:sz w:val="18"/>
                <w:szCs w:val="18"/>
              </w:rPr>
            </w:pPr>
            <w:r>
              <w:rPr>
                <w:rFonts w:cs="Lucida Sans"/>
                <w:sz w:val="18"/>
                <w:szCs w:val="18"/>
              </w:rPr>
              <w:t>Instrument 2</w:t>
            </w:r>
            <w:r w:rsidR="00A766C8">
              <w:rPr>
                <w:rFonts w:cs="Lucida Sans"/>
                <w:sz w:val="18"/>
                <w:szCs w:val="18"/>
              </w:rPr>
              <w:t xml:space="preserve">: Participant </w:t>
            </w:r>
            <w:r w:rsidR="00DC4B36">
              <w:rPr>
                <w:rFonts w:cs="Lucida Sans"/>
                <w:sz w:val="18"/>
                <w:szCs w:val="18"/>
              </w:rPr>
              <w:t>E</w:t>
            </w:r>
            <w:r w:rsidR="00A766C8">
              <w:rPr>
                <w:rFonts w:cs="Lucida Sans"/>
                <w:sz w:val="18"/>
                <w:szCs w:val="18"/>
              </w:rPr>
              <w:t xml:space="preserve">xit </w:t>
            </w:r>
            <w:r w:rsidR="00DC4B36">
              <w:rPr>
                <w:rFonts w:cs="Lucida Sans"/>
                <w:sz w:val="18"/>
                <w:szCs w:val="18"/>
              </w:rPr>
              <w:t>S</w:t>
            </w:r>
            <w:r w:rsidR="00A766C8">
              <w:rPr>
                <w:rFonts w:cs="Lucida Sans"/>
                <w:sz w:val="18"/>
                <w:szCs w:val="18"/>
              </w:rPr>
              <w:t>urvey</w:t>
            </w:r>
          </w:p>
        </w:tc>
        <w:tc>
          <w:tcPr>
            <w:tcW w:w="1010" w:type="pct"/>
            <w:tcBorders>
              <w:top w:val="nil"/>
              <w:bottom w:val="nil"/>
            </w:tcBorders>
            <w:tcMar>
              <w:left w:w="115" w:type="dxa"/>
              <w:right w:w="115" w:type="dxa"/>
            </w:tcMar>
          </w:tcPr>
          <w:p w:rsidR="00075F9A" w:rsidRDefault="00075F9A" w:rsidP="005E3983">
            <w:pPr>
              <w:spacing w:before="60" w:after="60" w:line="240" w:lineRule="auto"/>
              <w:ind w:firstLine="0"/>
              <w:jc w:val="left"/>
              <w:rPr>
                <w:rFonts w:cs="Lucida Sans"/>
                <w:sz w:val="18"/>
                <w:szCs w:val="18"/>
              </w:rPr>
            </w:pPr>
          </w:p>
          <w:p w:rsidR="00A766C8" w:rsidRDefault="00A766C8" w:rsidP="005E3983">
            <w:pPr>
              <w:spacing w:before="60" w:after="60" w:line="240" w:lineRule="auto"/>
              <w:ind w:firstLine="0"/>
              <w:jc w:val="left"/>
              <w:rPr>
                <w:rFonts w:cs="Lucida Sans"/>
                <w:sz w:val="18"/>
                <w:szCs w:val="18"/>
              </w:rPr>
            </w:pPr>
            <w:r>
              <w:rPr>
                <w:rFonts w:cs="Lucida Sans"/>
                <w:sz w:val="18"/>
                <w:szCs w:val="18"/>
              </w:rPr>
              <w:t xml:space="preserve">Youth </w:t>
            </w:r>
            <w:r w:rsidR="00DC4B36">
              <w:rPr>
                <w:rFonts w:cs="Lucida Sans"/>
                <w:sz w:val="18"/>
                <w:szCs w:val="18"/>
              </w:rPr>
              <w:t>Participant</w:t>
            </w:r>
          </w:p>
        </w:tc>
        <w:tc>
          <w:tcPr>
            <w:tcW w:w="890" w:type="pct"/>
            <w:tcBorders>
              <w:top w:val="nil"/>
              <w:bottom w:val="nil"/>
            </w:tcBorders>
            <w:tcMar>
              <w:left w:w="115" w:type="dxa"/>
              <w:right w:w="115" w:type="dxa"/>
            </w:tcMar>
          </w:tcPr>
          <w:p w:rsidR="00075F9A" w:rsidRDefault="00075F9A" w:rsidP="00C76AEC">
            <w:pPr>
              <w:tabs>
                <w:tab w:val="clear" w:pos="432"/>
                <w:tab w:val="decimal" w:pos="1035"/>
              </w:tabs>
              <w:spacing w:before="60" w:after="60" w:line="240" w:lineRule="auto"/>
              <w:ind w:firstLine="0"/>
              <w:rPr>
                <w:rFonts w:cs="Lucida Sans"/>
                <w:sz w:val="18"/>
                <w:szCs w:val="18"/>
              </w:rPr>
            </w:pPr>
          </w:p>
          <w:p w:rsidR="00A766C8" w:rsidRPr="00ED6C87" w:rsidRDefault="007949F3" w:rsidP="00C76AEC">
            <w:pPr>
              <w:tabs>
                <w:tab w:val="clear" w:pos="432"/>
                <w:tab w:val="decimal" w:pos="1035"/>
              </w:tabs>
              <w:spacing w:before="60" w:after="60" w:line="240" w:lineRule="auto"/>
              <w:ind w:firstLine="0"/>
              <w:rPr>
                <w:rFonts w:cs="Lucida Sans"/>
                <w:sz w:val="18"/>
                <w:szCs w:val="18"/>
              </w:rPr>
            </w:pPr>
            <w:r>
              <w:rPr>
                <w:rFonts w:cs="Lucida Sans"/>
                <w:sz w:val="18"/>
                <w:szCs w:val="18"/>
              </w:rPr>
              <w:t>8,057</w:t>
            </w:r>
          </w:p>
        </w:tc>
        <w:tc>
          <w:tcPr>
            <w:tcW w:w="856" w:type="pct"/>
            <w:tcBorders>
              <w:top w:val="nil"/>
              <w:bottom w:val="nil"/>
            </w:tcBorders>
            <w:tcMar>
              <w:left w:w="115" w:type="dxa"/>
              <w:right w:w="115" w:type="dxa"/>
            </w:tcMar>
          </w:tcPr>
          <w:p w:rsidR="00075F9A" w:rsidRDefault="00075F9A" w:rsidP="00C76AEC">
            <w:pPr>
              <w:tabs>
                <w:tab w:val="clear" w:pos="432"/>
                <w:tab w:val="decimal" w:pos="715"/>
              </w:tabs>
              <w:spacing w:before="60" w:after="60" w:line="240" w:lineRule="auto"/>
              <w:ind w:firstLine="0"/>
              <w:rPr>
                <w:rFonts w:cs="Lucida Sans"/>
                <w:sz w:val="18"/>
                <w:szCs w:val="18"/>
              </w:rPr>
            </w:pPr>
          </w:p>
          <w:p w:rsidR="00A766C8" w:rsidRPr="00ED6C87" w:rsidRDefault="00A766C8" w:rsidP="00C76AEC">
            <w:pPr>
              <w:tabs>
                <w:tab w:val="clear" w:pos="432"/>
                <w:tab w:val="decimal" w:pos="715"/>
              </w:tabs>
              <w:spacing w:before="60" w:after="60" w:line="240" w:lineRule="auto"/>
              <w:ind w:firstLine="0"/>
              <w:rPr>
                <w:rFonts w:cs="Lucida Sans"/>
                <w:sz w:val="18"/>
                <w:szCs w:val="18"/>
              </w:rPr>
            </w:pPr>
            <w:r w:rsidRPr="00ED6C87">
              <w:rPr>
                <w:rFonts w:cs="Lucida Sans"/>
                <w:sz w:val="18"/>
                <w:szCs w:val="18"/>
              </w:rPr>
              <w:t>95%</w:t>
            </w:r>
          </w:p>
        </w:tc>
        <w:tc>
          <w:tcPr>
            <w:tcW w:w="887" w:type="pct"/>
            <w:tcBorders>
              <w:top w:val="nil"/>
              <w:bottom w:val="nil"/>
            </w:tcBorders>
            <w:tcMar>
              <w:left w:w="115" w:type="dxa"/>
              <w:right w:w="115" w:type="dxa"/>
            </w:tcMar>
          </w:tcPr>
          <w:p w:rsidR="00075F9A" w:rsidRDefault="00075F9A" w:rsidP="00C76AEC">
            <w:pPr>
              <w:tabs>
                <w:tab w:val="clear" w:pos="432"/>
                <w:tab w:val="decimal" w:pos="1035"/>
              </w:tabs>
              <w:spacing w:before="60" w:after="60" w:line="240" w:lineRule="auto"/>
              <w:ind w:firstLine="0"/>
              <w:rPr>
                <w:rFonts w:cs="Lucida Sans"/>
                <w:sz w:val="18"/>
                <w:szCs w:val="18"/>
              </w:rPr>
            </w:pPr>
          </w:p>
          <w:p w:rsidR="00A766C8" w:rsidRPr="00ED6C87" w:rsidRDefault="007949F3" w:rsidP="00C76AEC">
            <w:pPr>
              <w:tabs>
                <w:tab w:val="clear" w:pos="432"/>
                <w:tab w:val="decimal" w:pos="1035"/>
              </w:tabs>
              <w:spacing w:before="60" w:after="60" w:line="240" w:lineRule="auto"/>
              <w:ind w:firstLine="0"/>
              <w:rPr>
                <w:rFonts w:cs="Lucida Sans"/>
                <w:sz w:val="18"/>
                <w:szCs w:val="18"/>
              </w:rPr>
            </w:pPr>
            <w:r>
              <w:rPr>
                <w:rFonts w:cs="Lucida Sans"/>
                <w:sz w:val="18"/>
                <w:szCs w:val="18"/>
              </w:rPr>
              <w:t>7,654</w:t>
            </w:r>
            <w:r w:rsidR="00754D17">
              <w:rPr>
                <w:rStyle w:val="FootnoteReference"/>
                <w:rFonts w:cs="Lucida Sans"/>
                <w:sz w:val="18"/>
                <w:szCs w:val="18"/>
              </w:rPr>
              <w:footnoteReference w:id="6"/>
            </w:r>
          </w:p>
        </w:tc>
      </w:tr>
      <w:tr w:rsidR="00A766C8" w:rsidRPr="004F6149" w:rsidTr="00C76AEC">
        <w:trPr>
          <w:trHeight w:val="53"/>
          <w:jc w:val="center"/>
        </w:trPr>
        <w:tc>
          <w:tcPr>
            <w:tcW w:w="1356" w:type="pct"/>
            <w:tcBorders>
              <w:top w:val="nil"/>
              <w:bottom w:val="nil"/>
            </w:tcBorders>
            <w:tcMar>
              <w:left w:w="115" w:type="dxa"/>
              <w:right w:w="115" w:type="dxa"/>
            </w:tcMar>
          </w:tcPr>
          <w:p w:rsidR="00A766C8" w:rsidRDefault="00A766C8" w:rsidP="005E3983">
            <w:pPr>
              <w:spacing w:before="60" w:after="60" w:line="240" w:lineRule="auto"/>
              <w:ind w:firstLine="0"/>
              <w:jc w:val="left"/>
              <w:rPr>
                <w:rFonts w:cs="Lucida Sans"/>
                <w:sz w:val="18"/>
                <w:szCs w:val="18"/>
              </w:rPr>
            </w:pPr>
            <w:r>
              <w:rPr>
                <w:rFonts w:cs="Lucida Sans"/>
                <w:sz w:val="18"/>
                <w:szCs w:val="18"/>
              </w:rPr>
              <w:t xml:space="preserve">Instrument </w:t>
            </w:r>
            <w:r w:rsidR="00360C3D">
              <w:rPr>
                <w:rFonts w:cs="Lucida Sans"/>
                <w:sz w:val="18"/>
                <w:szCs w:val="18"/>
              </w:rPr>
              <w:t>3</w:t>
            </w:r>
            <w:r>
              <w:rPr>
                <w:rFonts w:cs="Lucida Sans"/>
                <w:sz w:val="18"/>
                <w:szCs w:val="18"/>
              </w:rPr>
              <w:t>: Performance Reporting System Data Entry Form</w:t>
            </w:r>
          </w:p>
        </w:tc>
        <w:tc>
          <w:tcPr>
            <w:tcW w:w="1010" w:type="pct"/>
            <w:tcBorders>
              <w:top w:val="nil"/>
              <w:bottom w:val="nil"/>
            </w:tcBorders>
            <w:tcMar>
              <w:left w:w="115" w:type="dxa"/>
              <w:right w:w="115" w:type="dxa"/>
            </w:tcMar>
          </w:tcPr>
          <w:p w:rsidR="00A766C8" w:rsidRDefault="00A766C8" w:rsidP="005E3983">
            <w:pPr>
              <w:spacing w:before="60" w:after="60" w:line="240" w:lineRule="auto"/>
              <w:ind w:firstLine="0"/>
              <w:jc w:val="left"/>
              <w:rPr>
                <w:rFonts w:cs="Lucida Sans"/>
                <w:sz w:val="18"/>
                <w:szCs w:val="18"/>
              </w:rPr>
            </w:pPr>
            <w:r>
              <w:rPr>
                <w:rFonts w:cs="Lucida Sans"/>
                <w:sz w:val="18"/>
                <w:szCs w:val="18"/>
              </w:rPr>
              <w:t xml:space="preserve">Grantee </w:t>
            </w:r>
            <w:r w:rsidR="00DC4B36">
              <w:rPr>
                <w:rFonts w:cs="Lucida Sans"/>
                <w:sz w:val="18"/>
                <w:szCs w:val="18"/>
              </w:rPr>
              <w:t>Administrator</w:t>
            </w:r>
          </w:p>
        </w:tc>
        <w:tc>
          <w:tcPr>
            <w:tcW w:w="890" w:type="pct"/>
            <w:tcBorders>
              <w:top w:val="nil"/>
              <w:bottom w:val="nil"/>
            </w:tcBorders>
            <w:tcMar>
              <w:left w:w="115" w:type="dxa"/>
              <w:right w:w="115" w:type="dxa"/>
            </w:tcMar>
          </w:tcPr>
          <w:p w:rsidR="00A766C8" w:rsidRPr="00ED6C87" w:rsidRDefault="009E7342" w:rsidP="00C76AEC">
            <w:pPr>
              <w:tabs>
                <w:tab w:val="clear" w:pos="432"/>
                <w:tab w:val="decimal" w:pos="1035"/>
              </w:tabs>
              <w:spacing w:before="60" w:after="60" w:line="240" w:lineRule="auto"/>
              <w:ind w:firstLine="0"/>
              <w:rPr>
                <w:rFonts w:cs="Lucida Sans"/>
                <w:sz w:val="18"/>
                <w:szCs w:val="18"/>
              </w:rPr>
            </w:pPr>
            <w:r w:rsidRPr="00ED6C87">
              <w:rPr>
                <w:rFonts w:cs="Lucida Sans"/>
                <w:sz w:val="18"/>
                <w:szCs w:val="18"/>
              </w:rPr>
              <w:t>37</w:t>
            </w:r>
          </w:p>
        </w:tc>
        <w:tc>
          <w:tcPr>
            <w:tcW w:w="856" w:type="pct"/>
            <w:tcBorders>
              <w:top w:val="nil"/>
              <w:bottom w:val="nil"/>
            </w:tcBorders>
            <w:tcMar>
              <w:left w:w="115" w:type="dxa"/>
              <w:right w:w="115" w:type="dxa"/>
            </w:tcMar>
          </w:tcPr>
          <w:p w:rsidR="00A766C8" w:rsidRPr="00ED6C87" w:rsidRDefault="00A766C8" w:rsidP="00C76AEC">
            <w:pPr>
              <w:tabs>
                <w:tab w:val="clear" w:pos="432"/>
                <w:tab w:val="decimal" w:pos="715"/>
              </w:tabs>
              <w:spacing w:before="60" w:after="60" w:line="240" w:lineRule="auto"/>
              <w:ind w:firstLine="0"/>
              <w:rPr>
                <w:rFonts w:cs="Lucida Sans"/>
                <w:sz w:val="18"/>
                <w:szCs w:val="18"/>
              </w:rPr>
            </w:pPr>
            <w:r w:rsidRPr="00ED6C87">
              <w:rPr>
                <w:rFonts w:cs="Lucida Sans"/>
                <w:sz w:val="18"/>
                <w:szCs w:val="18"/>
              </w:rPr>
              <w:t>100%</w:t>
            </w:r>
          </w:p>
        </w:tc>
        <w:tc>
          <w:tcPr>
            <w:tcW w:w="887" w:type="pct"/>
            <w:tcBorders>
              <w:top w:val="nil"/>
              <w:bottom w:val="nil"/>
            </w:tcBorders>
            <w:tcMar>
              <w:left w:w="115" w:type="dxa"/>
              <w:right w:w="115" w:type="dxa"/>
            </w:tcMar>
          </w:tcPr>
          <w:p w:rsidR="00A766C8" w:rsidRPr="00ED6C87" w:rsidRDefault="009E7342" w:rsidP="00C76AEC">
            <w:pPr>
              <w:tabs>
                <w:tab w:val="clear" w:pos="432"/>
                <w:tab w:val="decimal" w:pos="1035"/>
              </w:tabs>
              <w:spacing w:before="60" w:after="60" w:line="240" w:lineRule="auto"/>
              <w:ind w:firstLine="0"/>
              <w:rPr>
                <w:rFonts w:cs="Lucida Sans"/>
                <w:sz w:val="18"/>
                <w:szCs w:val="18"/>
              </w:rPr>
            </w:pPr>
            <w:r w:rsidRPr="00ED6C87">
              <w:rPr>
                <w:rFonts w:cs="Lucida Sans"/>
                <w:sz w:val="18"/>
                <w:szCs w:val="18"/>
              </w:rPr>
              <w:t>37</w:t>
            </w:r>
          </w:p>
        </w:tc>
      </w:tr>
      <w:tr w:rsidR="00A766C8" w:rsidRPr="004F6149" w:rsidTr="00C76AEC">
        <w:trPr>
          <w:trHeight w:val="53"/>
          <w:jc w:val="center"/>
        </w:trPr>
        <w:tc>
          <w:tcPr>
            <w:tcW w:w="1356" w:type="pct"/>
            <w:tcBorders>
              <w:top w:val="nil"/>
              <w:bottom w:val="single" w:sz="4" w:space="0" w:color="auto"/>
            </w:tcBorders>
            <w:tcMar>
              <w:left w:w="115" w:type="dxa"/>
              <w:right w:w="115" w:type="dxa"/>
            </w:tcMar>
          </w:tcPr>
          <w:p w:rsidR="00A766C8" w:rsidRDefault="00A766C8" w:rsidP="005E3983">
            <w:pPr>
              <w:spacing w:before="60" w:after="60" w:line="240" w:lineRule="auto"/>
              <w:ind w:firstLine="0"/>
              <w:jc w:val="left"/>
              <w:rPr>
                <w:rFonts w:cs="Lucida Sans"/>
                <w:sz w:val="18"/>
                <w:szCs w:val="18"/>
              </w:rPr>
            </w:pPr>
            <w:r>
              <w:rPr>
                <w:rFonts w:cs="Lucida Sans"/>
                <w:sz w:val="18"/>
                <w:szCs w:val="18"/>
              </w:rPr>
              <w:lastRenderedPageBreak/>
              <w:t xml:space="preserve">Instrument </w:t>
            </w:r>
            <w:r w:rsidR="00360C3D">
              <w:rPr>
                <w:rFonts w:cs="Lucida Sans"/>
                <w:sz w:val="18"/>
                <w:szCs w:val="18"/>
              </w:rPr>
              <w:t>4</w:t>
            </w:r>
            <w:r>
              <w:rPr>
                <w:rFonts w:cs="Lucida Sans"/>
                <w:sz w:val="18"/>
                <w:szCs w:val="18"/>
              </w:rPr>
              <w:t>: I</w:t>
            </w:r>
            <w:r w:rsidR="00DC4B36">
              <w:rPr>
                <w:rFonts w:cs="Lucida Sans"/>
                <w:sz w:val="18"/>
                <w:szCs w:val="18"/>
              </w:rPr>
              <w:t>mplementation Site Data Collection</w:t>
            </w:r>
            <w:r w:rsidR="00333051">
              <w:rPr>
                <w:rFonts w:cs="Lucida Sans"/>
                <w:sz w:val="18"/>
                <w:szCs w:val="18"/>
              </w:rPr>
              <w:t xml:space="preserve"> Protocol</w:t>
            </w:r>
          </w:p>
        </w:tc>
        <w:tc>
          <w:tcPr>
            <w:tcW w:w="1010" w:type="pct"/>
            <w:tcBorders>
              <w:top w:val="nil"/>
              <w:bottom w:val="single" w:sz="4" w:space="0" w:color="auto"/>
            </w:tcBorders>
            <w:tcMar>
              <w:left w:w="115" w:type="dxa"/>
              <w:right w:w="115" w:type="dxa"/>
            </w:tcMar>
          </w:tcPr>
          <w:p w:rsidR="00A766C8" w:rsidRDefault="00A766C8" w:rsidP="005E3983">
            <w:pPr>
              <w:spacing w:before="60" w:after="60" w:line="240" w:lineRule="auto"/>
              <w:ind w:firstLine="0"/>
              <w:jc w:val="left"/>
              <w:rPr>
                <w:rFonts w:cs="Lucida Sans"/>
                <w:sz w:val="18"/>
                <w:szCs w:val="18"/>
              </w:rPr>
            </w:pPr>
            <w:r>
              <w:rPr>
                <w:rFonts w:cs="Lucida Sans"/>
                <w:sz w:val="18"/>
                <w:szCs w:val="18"/>
              </w:rPr>
              <w:t xml:space="preserve">Site </w:t>
            </w:r>
            <w:r w:rsidR="00DC4B36">
              <w:rPr>
                <w:rFonts w:cs="Lucida Sans"/>
                <w:sz w:val="18"/>
                <w:szCs w:val="18"/>
              </w:rPr>
              <w:t>Facilitator</w:t>
            </w:r>
          </w:p>
        </w:tc>
        <w:tc>
          <w:tcPr>
            <w:tcW w:w="890" w:type="pct"/>
            <w:tcBorders>
              <w:top w:val="nil"/>
              <w:bottom w:val="single" w:sz="4" w:space="0" w:color="auto"/>
            </w:tcBorders>
            <w:tcMar>
              <w:left w:w="115" w:type="dxa"/>
              <w:right w:w="115" w:type="dxa"/>
            </w:tcMar>
          </w:tcPr>
          <w:p w:rsidR="00A766C8" w:rsidRPr="00ED6C87" w:rsidRDefault="00ED6C87" w:rsidP="00C76AEC">
            <w:pPr>
              <w:tabs>
                <w:tab w:val="clear" w:pos="432"/>
                <w:tab w:val="decimal" w:pos="1035"/>
              </w:tabs>
              <w:spacing w:before="60" w:after="60" w:line="240" w:lineRule="auto"/>
              <w:ind w:firstLine="0"/>
              <w:rPr>
                <w:rFonts w:cs="Lucida Sans"/>
                <w:sz w:val="18"/>
                <w:szCs w:val="18"/>
              </w:rPr>
            </w:pPr>
            <w:r w:rsidRPr="00ED6C87">
              <w:rPr>
                <w:rFonts w:cs="Lucida Sans"/>
                <w:sz w:val="18"/>
                <w:szCs w:val="18"/>
              </w:rPr>
              <w:t>300</w:t>
            </w:r>
          </w:p>
        </w:tc>
        <w:tc>
          <w:tcPr>
            <w:tcW w:w="856" w:type="pct"/>
            <w:tcBorders>
              <w:top w:val="nil"/>
              <w:bottom w:val="single" w:sz="4" w:space="0" w:color="auto"/>
            </w:tcBorders>
            <w:tcMar>
              <w:left w:w="115" w:type="dxa"/>
              <w:right w:w="115" w:type="dxa"/>
            </w:tcMar>
          </w:tcPr>
          <w:p w:rsidR="00A766C8" w:rsidRPr="00ED6C87" w:rsidRDefault="00A766C8" w:rsidP="00C76AEC">
            <w:pPr>
              <w:tabs>
                <w:tab w:val="clear" w:pos="432"/>
                <w:tab w:val="decimal" w:pos="715"/>
              </w:tabs>
              <w:spacing w:before="60" w:after="60" w:line="240" w:lineRule="auto"/>
              <w:ind w:firstLine="0"/>
              <w:rPr>
                <w:rFonts w:cs="Lucida Sans"/>
                <w:sz w:val="18"/>
                <w:szCs w:val="18"/>
              </w:rPr>
            </w:pPr>
            <w:r w:rsidRPr="00ED6C87">
              <w:rPr>
                <w:rFonts w:cs="Lucida Sans"/>
                <w:sz w:val="18"/>
                <w:szCs w:val="18"/>
              </w:rPr>
              <w:t>100%</w:t>
            </w:r>
          </w:p>
        </w:tc>
        <w:tc>
          <w:tcPr>
            <w:tcW w:w="887" w:type="pct"/>
            <w:tcBorders>
              <w:top w:val="nil"/>
              <w:bottom w:val="single" w:sz="4" w:space="0" w:color="auto"/>
            </w:tcBorders>
            <w:tcMar>
              <w:left w:w="115" w:type="dxa"/>
              <w:right w:w="115" w:type="dxa"/>
            </w:tcMar>
          </w:tcPr>
          <w:p w:rsidR="00A766C8" w:rsidRPr="00ED6C87" w:rsidRDefault="00ED6C87" w:rsidP="00C76AEC">
            <w:pPr>
              <w:tabs>
                <w:tab w:val="clear" w:pos="432"/>
                <w:tab w:val="decimal" w:pos="1035"/>
              </w:tabs>
              <w:spacing w:before="60" w:after="60" w:line="240" w:lineRule="auto"/>
              <w:ind w:firstLine="0"/>
              <w:rPr>
                <w:rFonts w:cs="Lucida Sans"/>
                <w:sz w:val="18"/>
                <w:szCs w:val="18"/>
              </w:rPr>
            </w:pPr>
            <w:r w:rsidRPr="00ED6C87">
              <w:rPr>
                <w:rFonts w:cs="Lucida Sans"/>
                <w:sz w:val="18"/>
                <w:szCs w:val="18"/>
              </w:rPr>
              <w:t>300</w:t>
            </w:r>
          </w:p>
        </w:tc>
      </w:tr>
      <w:tr w:rsidR="00094825" w:rsidRPr="004F6149" w:rsidTr="00C76AEC">
        <w:trPr>
          <w:trHeight w:val="53"/>
          <w:jc w:val="center"/>
        </w:trPr>
        <w:tc>
          <w:tcPr>
            <w:tcW w:w="1356" w:type="pct"/>
            <w:tcBorders>
              <w:top w:val="single" w:sz="4" w:space="0" w:color="auto"/>
              <w:bottom w:val="single" w:sz="4" w:space="0" w:color="auto"/>
            </w:tcBorders>
            <w:tcMar>
              <w:left w:w="115" w:type="dxa"/>
              <w:right w:w="115" w:type="dxa"/>
            </w:tcMar>
          </w:tcPr>
          <w:p w:rsidR="00094825" w:rsidRPr="00B35D92" w:rsidRDefault="00094825" w:rsidP="005E3983">
            <w:pPr>
              <w:spacing w:before="120" w:after="60" w:line="240" w:lineRule="auto"/>
              <w:ind w:firstLine="0"/>
              <w:jc w:val="left"/>
              <w:rPr>
                <w:rFonts w:cs="Lucida Sans"/>
                <w:b/>
                <w:sz w:val="18"/>
                <w:szCs w:val="18"/>
              </w:rPr>
            </w:pPr>
            <w:r w:rsidRPr="00B35D92">
              <w:rPr>
                <w:rFonts w:cs="Lucida Sans"/>
                <w:b/>
                <w:sz w:val="18"/>
                <w:szCs w:val="18"/>
              </w:rPr>
              <w:t>Estimated Totals</w:t>
            </w:r>
          </w:p>
        </w:tc>
        <w:tc>
          <w:tcPr>
            <w:tcW w:w="1010" w:type="pct"/>
            <w:tcBorders>
              <w:top w:val="single" w:sz="4" w:space="0" w:color="auto"/>
              <w:bottom w:val="single" w:sz="4" w:space="0" w:color="auto"/>
            </w:tcBorders>
            <w:tcMar>
              <w:left w:w="115" w:type="dxa"/>
              <w:right w:w="115" w:type="dxa"/>
            </w:tcMar>
          </w:tcPr>
          <w:p w:rsidR="00094825" w:rsidRPr="00B35D92" w:rsidRDefault="00094825" w:rsidP="005E3983">
            <w:pPr>
              <w:spacing w:before="120" w:after="60" w:line="240" w:lineRule="auto"/>
              <w:ind w:firstLine="0"/>
              <w:jc w:val="left"/>
              <w:rPr>
                <w:rFonts w:cs="Lucida Sans"/>
                <w:b/>
                <w:sz w:val="18"/>
                <w:szCs w:val="18"/>
              </w:rPr>
            </w:pPr>
          </w:p>
        </w:tc>
        <w:tc>
          <w:tcPr>
            <w:tcW w:w="890" w:type="pct"/>
            <w:tcBorders>
              <w:top w:val="single" w:sz="4" w:space="0" w:color="auto"/>
              <w:bottom w:val="single" w:sz="4" w:space="0" w:color="auto"/>
            </w:tcBorders>
            <w:tcMar>
              <w:left w:w="115" w:type="dxa"/>
              <w:right w:w="115" w:type="dxa"/>
            </w:tcMar>
          </w:tcPr>
          <w:p w:rsidR="00094825" w:rsidRPr="00B35D92" w:rsidRDefault="007949F3" w:rsidP="00C76AEC">
            <w:pPr>
              <w:tabs>
                <w:tab w:val="clear" w:pos="432"/>
                <w:tab w:val="decimal" w:pos="1035"/>
              </w:tabs>
              <w:spacing w:before="120" w:after="60" w:line="240" w:lineRule="auto"/>
              <w:ind w:firstLine="0"/>
              <w:rPr>
                <w:rFonts w:cs="Lucida Sans"/>
                <w:b/>
                <w:sz w:val="18"/>
                <w:szCs w:val="18"/>
              </w:rPr>
            </w:pPr>
            <w:r>
              <w:rPr>
                <w:rFonts w:cs="Lucida Sans"/>
                <w:b/>
                <w:sz w:val="18"/>
                <w:szCs w:val="18"/>
              </w:rPr>
              <w:t>14,595</w:t>
            </w:r>
          </w:p>
        </w:tc>
        <w:tc>
          <w:tcPr>
            <w:tcW w:w="856" w:type="pct"/>
            <w:tcBorders>
              <w:top w:val="single" w:sz="4" w:space="0" w:color="auto"/>
              <w:bottom w:val="single" w:sz="4" w:space="0" w:color="auto"/>
            </w:tcBorders>
            <w:tcMar>
              <w:left w:w="115" w:type="dxa"/>
              <w:right w:w="115" w:type="dxa"/>
            </w:tcMar>
          </w:tcPr>
          <w:p w:rsidR="00094825" w:rsidRPr="00B35D92" w:rsidRDefault="00094825" w:rsidP="00C76AEC">
            <w:pPr>
              <w:tabs>
                <w:tab w:val="clear" w:pos="432"/>
                <w:tab w:val="decimal" w:pos="715"/>
              </w:tabs>
              <w:spacing w:before="120" w:after="60" w:line="240" w:lineRule="auto"/>
              <w:ind w:firstLine="0"/>
              <w:rPr>
                <w:rFonts w:cs="Lucida Sans"/>
                <w:b/>
                <w:sz w:val="18"/>
                <w:szCs w:val="18"/>
              </w:rPr>
            </w:pPr>
          </w:p>
        </w:tc>
        <w:tc>
          <w:tcPr>
            <w:tcW w:w="887" w:type="pct"/>
            <w:tcBorders>
              <w:top w:val="single" w:sz="4" w:space="0" w:color="auto"/>
              <w:bottom w:val="single" w:sz="4" w:space="0" w:color="auto"/>
            </w:tcBorders>
            <w:tcMar>
              <w:left w:w="115" w:type="dxa"/>
              <w:right w:w="115" w:type="dxa"/>
            </w:tcMar>
          </w:tcPr>
          <w:p w:rsidR="00094825" w:rsidRPr="00B35D92" w:rsidRDefault="007949F3" w:rsidP="00C76AEC">
            <w:pPr>
              <w:tabs>
                <w:tab w:val="clear" w:pos="432"/>
                <w:tab w:val="decimal" w:pos="1035"/>
              </w:tabs>
              <w:spacing w:before="120" w:after="60" w:line="240" w:lineRule="auto"/>
              <w:ind w:firstLine="0"/>
              <w:rPr>
                <w:rFonts w:cs="Lucida Sans"/>
                <w:b/>
                <w:sz w:val="18"/>
                <w:szCs w:val="18"/>
              </w:rPr>
            </w:pPr>
            <w:r>
              <w:rPr>
                <w:rFonts w:cs="Lucida Sans"/>
                <w:b/>
                <w:sz w:val="18"/>
                <w:szCs w:val="18"/>
              </w:rPr>
              <w:t>13,882</w:t>
            </w:r>
          </w:p>
        </w:tc>
      </w:tr>
    </w:tbl>
    <w:p w:rsidR="00C513EB" w:rsidRDefault="006C4E38" w:rsidP="00684489">
      <w:pPr>
        <w:pStyle w:val="NormalSS"/>
        <w:spacing w:before="240"/>
      </w:pPr>
      <w:r>
        <w:rPr>
          <w:b/>
        </w:rPr>
        <w:t xml:space="preserve">Impact </w:t>
      </w:r>
      <w:r w:rsidR="00BD3B9A">
        <w:rPr>
          <w:b/>
        </w:rPr>
        <w:t xml:space="preserve">and In-Depth Implementation </w:t>
      </w:r>
      <w:r>
        <w:rPr>
          <w:b/>
        </w:rPr>
        <w:t>Study</w:t>
      </w:r>
      <w:r w:rsidR="0023364C" w:rsidRPr="0086161F">
        <w:rPr>
          <w:b/>
        </w:rPr>
        <w:t>.</w:t>
      </w:r>
      <w:r w:rsidR="0023364C">
        <w:t xml:space="preserve"> </w:t>
      </w:r>
      <w:r w:rsidR="00251541">
        <w:t xml:space="preserve">From the universe of PREP grantees, ACF will select four </w:t>
      </w:r>
      <w:r w:rsidR="00227FC1">
        <w:t xml:space="preserve">or five </w:t>
      </w:r>
      <w:r w:rsidR="00251541">
        <w:t xml:space="preserve">program sites to participate in the </w:t>
      </w:r>
      <w:r w:rsidR="007F3C1C">
        <w:t>IIS component of the PREP evaluation</w:t>
      </w:r>
      <w:r w:rsidR="00251541">
        <w:t xml:space="preserve">. </w:t>
      </w:r>
      <w:r w:rsidR="004B7360" w:rsidRPr="004B7360">
        <w:t xml:space="preserve">The </w:t>
      </w:r>
      <w:r w:rsidR="007F3C1C">
        <w:t xml:space="preserve">selected </w:t>
      </w:r>
      <w:r w:rsidR="004B7360" w:rsidRPr="004B7360">
        <w:t xml:space="preserve">sites are not meant to be representative of PREP-funded programs as a whole. Rather, site selection is focusing on </w:t>
      </w:r>
      <w:r w:rsidR="007F3C1C">
        <w:t>programs</w:t>
      </w:r>
      <w:r w:rsidR="004B7360" w:rsidRPr="004B7360">
        <w:t xml:space="preserve"> that (1) are large enough to support </w:t>
      </w:r>
      <w:r w:rsidR="007F3C1C">
        <w:t>a rigorous evaluation of program effectiveness</w:t>
      </w:r>
      <w:r w:rsidR="004B7360" w:rsidRPr="004B7360">
        <w:t xml:space="preserve">, (2) are implementing programs in a way that is amenable to random assignment, and (3) address priority gaps in the existing research literature on evidence-based approaches to teen pregnancy prevention. These gaps include evidence on effective programs for high-risk populations such as </w:t>
      </w:r>
      <w:r w:rsidR="00987578">
        <w:t>pregnant and parenting teens</w:t>
      </w:r>
      <w:r w:rsidR="007F3C1C">
        <w:t>, or under-studied youth populations, such as</w:t>
      </w:r>
      <w:r w:rsidR="007F3C1C" w:rsidRPr="007F3C1C">
        <w:t xml:space="preserve"> </w:t>
      </w:r>
      <w:r w:rsidR="007F3C1C" w:rsidRPr="004B7360">
        <w:t>youth living in rural areas</w:t>
      </w:r>
      <w:r w:rsidR="007F3C1C">
        <w:t>.</w:t>
      </w:r>
    </w:p>
    <w:p w:rsidR="004B7360" w:rsidRDefault="006351D4" w:rsidP="00684489">
      <w:pPr>
        <w:pStyle w:val="NormalSS"/>
      </w:pPr>
      <w:r w:rsidRPr="006351D4">
        <w:rPr>
          <w:b/>
          <w:i/>
        </w:rPr>
        <w:t>IIS Impact Analysis.</w:t>
      </w:r>
      <w:r w:rsidR="0035661B">
        <w:t xml:space="preserve"> </w:t>
      </w:r>
      <w:r w:rsidR="004D17A2">
        <w:t xml:space="preserve">In each site, ACF expects to recruit and enroll a sample of </w:t>
      </w:r>
      <w:r w:rsidR="00227FC1">
        <w:t>1,200 to</w:t>
      </w:r>
      <w:r w:rsidR="004D17A2">
        <w:t xml:space="preserve"> 1,500 youth (for a total of 6,000 youth across four </w:t>
      </w:r>
      <w:r w:rsidR="00227FC1">
        <w:t xml:space="preserve">or five </w:t>
      </w:r>
      <w:r w:rsidR="004D17A2">
        <w:t>sites).</w:t>
      </w:r>
      <w:r w:rsidR="00176C34">
        <w:rPr>
          <w:rStyle w:val="FootnoteReference"/>
        </w:rPr>
        <w:footnoteReference w:id="7"/>
      </w:r>
      <w:r w:rsidR="00277BAC">
        <w:t xml:space="preserve"> Each site will be analyzed separately, so the relatively large samples of </w:t>
      </w:r>
      <w:r w:rsidR="00227FC1">
        <w:t xml:space="preserve">1,200 to </w:t>
      </w:r>
      <w:r w:rsidR="00277BAC">
        <w:t xml:space="preserve">1,500 youth per site are needed to detect policy-relevant impacts on key behavioral outcomes. </w:t>
      </w:r>
      <w:r w:rsidR="008751D5">
        <w:t>Table B1.2 reports minimum detectible impacts on two illustrative outcomes</w:t>
      </w:r>
      <w:r w:rsidR="005977C1">
        <w:t>—one with 50 percent prevalence (such as the proportion of high-risk teens that have had sex in the past three months) and one with 20 percent prevalence (such as the proportion of high-ris</w:t>
      </w:r>
      <w:r w:rsidR="00D06F77">
        <w:t>k teens that have been pregnant</w:t>
      </w:r>
      <w:r w:rsidR="005977C1">
        <w:t xml:space="preserve"> or gotten someone pre</w:t>
      </w:r>
      <w:r w:rsidR="00D06F77">
        <w:t>gnant</w:t>
      </w:r>
      <w:r w:rsidR="005977C1">
        <w:t xml:space="preserve"> or had an STI). Separate estimates are presented assuming</w:t>
      </w:r>
      <w:r w:rsidR="00CD0D45">
        <w:t xml:space="preserve"> either (1) random assignment of individuals to treatment and control groups or (2) random assignment of clusters of individuals (</w:t>
      </w:r>
      <w:r w:rsidR="00C12991">
        <w:t>such as schools, clinics, or group homes</w:t>
      </w:r>
      <w:r w:rsidR="00CD0D45">
        <w:t xml:space="preserve">). </w:t>
      </w:r>
      <w:r w:rsidR="00D06F77">
        <w:t xml:space="preserve">Separate estimates are also presented for analyses of full sample versus subgroup impacts. </w:t>
      </w:r>
      <w:r w:rsidR="00CD0D45">
        <w:t xml:space="preserve">The table reports minimum detectible impacts for an assumed sample of 1,500 youth per site. </w:t>
      </w:r>
      <w:r w:rsidR="00D06F77">
        <w:t>However, s</w:t>
      </w:r>
      <w:r w:rsidR="00CD0D45">
        <w:t xml:space="preserve">maller samples of 1,200 youth per site might, in some instances, be sufficient—for example, </w:t>
      </w:r>
      <w:r w:rsidR="00D06F77">
        <w:t>if the main research questions are lim</w:t>
      </w:r>
      <w:r w:rsidR="00C12991">
        <w:t>ited to full sample impacts, not subgroup analyses.</w:t>
      </w:r>
    </w:p>
    <w:p w:rsidR="00161242" w:rsidRDefault="006B1229" w:rsidP="00684489">
      <w:pPr>
        <w:pStyle w:val="NormalSS"/>
      </w:pPr>
      <w:r>
        <w:t>S</w:t>
      </w:r>
      <w:r w:rsidR="00277BAC" w:rsidRPr="00A331A0">
        <w:t>ample enrollment</w:t>
      </w:r>
      <w:r w:rsidR="00DF0499">
        <w:t xml:space="preserve"> began in</w:t>
      </w:r>
      <w:r w:rsidR="00277BAC" w:rsidRPr="00A331A0">
        <w:t xml:space="preserve"> one </w:t>
      </w:r>
      <w:r w:rsidR="00DF0499">
        <w:t>si</w:t>
      </w:r>
      <w:r w:rsidR="00947281" w:rsidRPr="00A331A0">
        <w:t xml:space="preserve">te in </w:t>
      </w:r>
      <w:r w:rsidR="007F3C1C">
        <w:t>May</w:t>
      </w:r>
      <w:r w:rsidR="00947281" w:rsidRPr="00A331A0">
        <w:t xml:space="preserve"> 201</w:t>
      </w:r>
      <w:r w:rsidR="00313222" w:rsidRPr="00A331A0">
        <w:t>3</w:t>
      </w:r>
      <w:r w:rsidR="00947281" w:rsidRPr="00A331A0">
        <w:t xml:space="preserve">. </w:t>
      </w:r>
      <w:r w:rsidR="00DF0499">
        <w:t xml:space="preserve">Other sites </w:t>
      </w:r>
      <w:r w:rsidR="007F3C1C">
        <w:t>are expected to</w:t>
      </w:r>
      <w:r w:rsidR="00DF0499">
        <w:t xml:space="preserve"> begin sample enrollment later in 2013. </w:t>
      </w:r>
      <w:r w:rsidR="00947281" w:rsidRPr="00A331A0">
        <w:t>All eligible youth will be</w:t>
      </w:r>
      <w:r w:rsidR="00947281">
        <w:t xml:space="preserve"> considered for enrollment until reach</w:t>
      </w:r>
      <w:r w:rsidR="00954142">
        <w:t>ing</w:t>
      </w:r>
      <w:r w:rsidR="00947281">
        <w:t xml:space="preserve"> the target sample of </w:t>
      </w:r>
      <w:r w:rsidR="008751D5">
        <w:t xml:space="preserve">1,200 to </w:t>
      </w:r>
      <w:r w:rsidR="00947281">
        <w:t>1,500 youth per si</w:t>
      </w:r>
      <w:r w:rsidR="00DF0499">
        <w:t xml:space="preserve">te. ACF does not expect </w:t>
      </w:r>
      <w:r w:rsidR="00947281">
        <w:t>to conduct any sampling of youth prior to enrollment.</w:t>
      </w:r>
    </w:p>
    <w:p w:rsidR="008751D5" w:rsidRDefault="008751D5" w:rsidP="008751D5">
      <w:pPr>
        <w:pStyle w:val="MarkforTableHeading"/>
      </w:pPr>
      <w:bookmarkStart w:id="19" w:name="_Toc326754181"/>
      <w:bookmarkStart w:id="20" w:name="_Toc352328879"/>
      <w:bookmarkStart w:id="21" w:name="_Toc355704796"/>
      <w:r>
        <w:t>Table B1.2</w:t>
      </w:r>
      <w:r w:rsidR="00DA1BC2">
        <w:t>.</w:t>
      </w:r>
      <w:r w:rsidRPr="00BD06B9">
        <w:t xml:space="preserve"> </w:t>
      </w:r>
      <w:r>
        <w:t>Minimum Detectible Impacts with Sample of 1,500 Youth</w:t>
      </w:r>
      <w:bookmarkEnd w:id="19"/>
      <w:bookmarkEnd w:id="20"/>
      <w:bookmarkEnd w:id="21"/>
    </w:p>
    <w:tbl>
      <w:tblPr>
        <w:tblStyle w:val="SMPRTableRed"/>
        <w:tblW w:w="5000" w:type="pct"/>
        <w:jc w:val="center"/>
        <w:tblInd w:w="0" w:type="dxa"/>
        <w:tblCellMar>
          <w:left w:w="29" w:type="dxa"/>
          <w:right w:w="29" w:type="dxa"/>
        </w:tblCellMar>
        <w:tblLook w:val="04A0" w:firstRow="1" w:lastRow="0" w:firstColumn="1" w:lastColumn="0" w:noHBand="0" w:noVBand="1"/>
      </w:tblPr>
      <w:tblGrid>
        <w:gridCol w:w="3035"/>
        <w:gridCol w:w="1496"/>
        <w:gridCol w:w="1540"/>
        <w:gridCol w:w="493"/>
        <w:gridCol w:w="1490"/>
        <w:gridCol w:w="1536"/>
      </w:tblGrid>
      <w:tr w:rsidR="009D5F99" w:rsidRPr="004F6149" w:rsidTr="009D5F99">
        <w:trPr>
          <w:cnfStyle w:val="100000000000" w:firstRow="1" w:lastRow="0" w:firstColumn="0" w:lastColumn="0" w:oddVBand="0" w:evenVBand="0" w:oddHBand="0" w:evenHBand="0" w:firstRowFirstColumn="0" w:firstRowLastColumn="0" w:lastRowFirstColumn="0" w:lastRowLastColumn="0"/>
          <w:trHeight w:val="98"/>
          <w:jc w:val="center"/>
        </w:trPr>
        <w:tc>
          <w:tcPr>
            <w:tcW w:w="1582" w:type="pct"/>
            <w:tcBorders>
              <w:top w:val="single" w:sz="12" w:space="0" w:color="auto"/>
              <w:bottom w:val="nil"/>
            </w:tcBorders>
            <w:tcMar>
              <w:left w:w="115" w:type="dxa"/>
              <w:right w:w="115" w:type="dxa"/>
            </w:tcMar>
            <w:vAlign w:val="center"/>
          </w:tcPr>
          <w:p w:rsidR="009D5F99" w:rsidRPr="004F6149" w:rsidRDefault="009D5F99" w:rsidP="00B35D92">
            <w:pPr>
              <w:spacing w:before="80" w:after="60" w:line="240" w:lineRule="auto"/>
              <w:ind w:firstLine="0"/>
              <w:jc w:val="center"/>
              <w:rPr>
                <w:rFonts w:cs="Lucida Sans"/>
                <w:sz w:val="18"/>
                <w:szCs w:val="18"/>
              </w:rPr>
            </w:pPr>
          </w:p>
        </w:tc>
        <w:tc>
          <w:tcPr>
            <w:tcW w:w="3418" w:type="pct"/>
            <w:gridSpan w:val="5"/>
            <w:tcBorders>
              <w:top w:val="single" w:sz="12" w:space="0" w:color="auto"/>
              <w:bottom w:val="single" w:sz="4" w:space="0" w:color="auto"/>
            </w:tcBorders>
            <w:tcMar>
              <w:left w:w="115" w:type="dxa"/>
              <w:right w:w="115" w:type="dxa"/>
            </w:tcMar>
          </w:tcPr>
          <w:p w:rsidR="009D5F99" w:rsidRPr="004F6149" w:rsidRDefault="009D5F99" w:rsidP="00B35D92">
            <w:pPr>
              <w:spacing w:before="80" w:after="60" w:line="240" w:lineRule="auto"/>
              <w:ind w:firstLine="0"/>
              <w:jc w:val="center"/>
              <w:rPr>
                <w:rFonts w:cs="Lucida Sans"/>
                <w:sz w:val="18"/>
                <w:szCs w:val="18"/>
              </w:rPr>
            </w:pPr>
            <w:r w:rsidRPr="009D5F99">
              <w:rPr>
                <w:rFonts w:cs="Lucida Sans"/>
                <w:sz w:val="18"/>
                <w:szCs w:val="18"/>
              </w:rPr>
              <w:t>Percentage Point Impacts for Illustrative Binary Outcomes</w:t>
            </w:r>
          </w:p>
        </w:tc>
      </w:tr>
      <w:tr w:rsidR="009D5F99" w:rsidRPr="004F6149" w:rsidTr="009D5F99">
        <w:trPr>
          <w:trHeight w:val="98"/>
          <w:jc w:val="center"/>
        </w:trPr>
        <w:tc>
          <w:tcPr>
            <w:tcW w:w="1582" w:type="pct"/>
            <w:tcBorders>
              <w:top w:val="nil"/>
              <w:bottom w:val="nil"/>
            </w:tcBorders>
            <w:tcMar>
              <w:left w:w="115" w:type="dxa"/>
              <w:right w:w="115" w:type="dxa"/>
            </w:tcMar>
            <w:vAlign w:val="center"/>
          </w:tcPr>
          <w:p w:rsidR="009D5F99" w:rsidRPr="004F6149" w:rsidRDefault="009D5F99" w:rsidP="00B35D92">
            <w:pPr>
              <w:spacing w:before="80" w:after="60" w:line="240" w:lineRule="auto"/>
              <w:ind w:firstLine="0"/>
              <w:jc w:val="center"/>
              <w:rPr>
                <w:rFonts w:cs="Lucida Sans"/>
                <w:sz w:val="18"/>
                <w:szCs w:val="18"/>
              </w:rPr>
            </w:pPr>
          </w:p>
        </w:tc>
        <w:tc>
          <w:tcPr>
            <w:tcW w:w="1583" w:type="pct"/>
            <w:gridSpan w:val="2"/>
            <w:tcBorders>
              <w:top w:val="single" w:sz="4" w:space="0" w:color="auto"/>
              <w:bottom w:val="single" w:sz="4" w:space="0" w:color="auto"/>
            </w:tcBorders>
            <w:tcMar>
              <w:left w:w="115" w:type="dxa"/>
              <w:right w:w="115" w:type="dxa"/>
            </w:tcMar>
          </w:tcPr>
          <w:p w:rsidR="009D5F99" w:rsidRPr="004F6149" w:rsidRDefault="009D5F99" w:rsidP="00B35D92">
            <w:pPr>
              <w:spacing w:before="80" w:after="60" w:line="240" w:lineRule="auto"/>
              <w:ind w:firstLine="0"/>
              <w:jc w:val="center"/>
              <w:rPr>
                <w:rFonts w:cs="Lucida Sans"/>
                <w:sz w:val="18"/>
                <w:szCs w:val="18"/>
              </w:rPr>
            </w:pPr>
            <w:r w:rsidRPr="009D5F99">
              <w:rPr>
                <w:rFonts w:cs="Lucida Sans"/>
                <w:sz w:val="18"/>
                <w:szCs w:val="18"/>
              </w:rPr>
              <w:t>Recent Sexual Activity</w:t>
            </w:r>
            <w:r w:rsidRPr="009D5F99">
              <w:rPr>
                <w:rFonts w:cs="Lucida Sans"/>
                <w:sz w:val="18"/>
                <w:szCs w:val="18"/>
              </w:rPr>
              <w:br/>
              <w:t>(Mean 50%)</w:t>
            </w:r>
          </w:p>
        </w:tc>
        <w:tc>
          <w:tcPr>
            <w:tcW w:w="257" w:type="pct"/>
            <w:tcBorders>
              <w:top w:val="single" w:sz="4" w:space="0" w:color="auto"/>
              <w:bottom w:val="nil"/>
            </w:tcBorders>
          </w:tcPr>
          <w:p w:rsidR="009D5F99" w:rsidRPr="004F6149" w:rsidRDefault="009D5F99" w:rsidP="00B35D92">
            <w:pPr>
              <w:spacing w:before="80" w:after="60" w:line="240" w:lineRule="auto"/>
              <w:ind w:firstLine="0"/>
              <w:jc w:val="center"/>
              <w:rPr>
                <w:rFonts w:cs="Lucida Sans"/>
                <w:sz w:val="18"/>
                <w:szCs w:val="18"/>
              </w:rPr>
            </w:pPr>
          </w:p>
        </w:tc>
        <w:tc>
          <w:tcPr>
            <w:tcW w:w="1578" w:type="pct"/>
            <w:gridSpan w:val="2"/>
            <w:tcBorders>
              <w:top w:val="single" w:sz="4" w:space="0" w:color="auto"/>
              <w:bottom w:val="single" w:sz="4" w:space="0" w:color="auto"/>
            </w:tcBorders>
            <w:tcMar>
              <w:left w:w="115" w:type="dxa"/>
              <w:right w:w="115" w:type="dxa"/>
            </w:tcMar>
          </w:tcPr>
          <w:p w:rsidR="009D5F99" w:rsidRPr="004F6149" w:rsidRDefault="009D5F99" w:rsidP="00B35D92">
            <w:pPr>
              <w:spacing w:before="80" w:after="60" w:line="240" w:lineRule="auto"/>
              <w:ind w:firstLine="0"/>
              <w:jc w:val="center"/>
              <w:rPr>
                <w:rFonts w:cs="Lucida Sans"/>
                <w:sz w:val="18"/>
                <w:szCs w:val="18"/>
              </w:rPr>
            </w:pPr>
            <w:r w:rsidRPr="009D5F99">
              <w:rPr>
                <w:rFonts w:cs="Lucida Sans"/>
                <w:sz w:val="18"/>
                <w:szCs w:val="18"/>
              </w:rPr>
              <w:t>Pregnancy or STI</w:t>
            </w:r>
            <w:r w:rsidRPr="009D5F99">
              <w:rPr>
                <w:rFonts w:cs="Lucida Sans"/>
                <w:sz w:val="18"/>
                <w:szCs w:val="18"/>
              </w:rPr>
              <w:br/>
              <w:t>(Mean 20%)</w:t>
            </w:r>
          </w:p>
        </w:tc>
      </w:tr>
      <w:tr w:rsidR="009D5F99" w:rsidRPr="004F6149" w:rsidTr="009D5F99">
        <w:trPr>
          <w:trHeight w:val="98"/>
          <w:jc w:val="center"/>
        </w:trPr>
        <w:tc>
          <w:tcPr>
            <w:tcW w:w="1582" w:type="pct"/>
            <w:tcBorders>
              <w:top w:val="nil"/>
              <w:bottom w:val="single" w:sz="4" w:space="0" w:color="auto"/>
            </w:tcBorders>
            <w:tcMar>
              <w:left w:w="115" w:type="dxa"/>
              <w:right w:w="115" w:type="dxa"/>
            </w:tcMar>
            <w:vAlign w:val="center"/>
          </w:tcPr>
          <w:p w:rsidR="009D5F99" w:rsidRPr="004F6149" w:rsidRDefault="009D5F99" w:rsidP="00B35D92">
            <w:pPr>
              <w:spacing w:before="80" w:after="60" w:line="240" w:lineRule="auto"/>
              <w:ind w:firstLine="0"/>
              <w:jc w:val="center"/>
              <w:rPr>
                <w:rFonts w:cs="Lucida Sans"/>
                <w:sz w:val="18"/>
                <w:szCs w:val="18"/>
              </w:rPr>
            </w:pPr>
          </w:p>
        </w:tc>
        <w:tc>
          <w:tcPr>
            <w:tcW w:w="780" w:type="pct"/>
            <w:tcBorders>
              <w:top w:val="single" w:sz="4" w:space="0" w:color="auto"/>
              <w:bottom w:val="single" w:sz="4" w:space="0" w:color="auto"/>
            </w:tcBorders>
            <w:tcMar>
              <w:left w:w="115" w:type="dxa"/>
              <w:right w:w="115" w:type="dxa"/>
            </w:tcMar>
          </w:tcPr>
          <w:p w:rsidR="009D5F99" w:rsidRPr="004F6149" w:rsidRDefault="009D5F99" w:rsidP="00B35D92">
            <w:pPr>
              <w:spacing w:before="80" w:after="60" w:line="240" w:lineRule="auto"/>
              <w:ind w:firstLine="0"/>
              <w:jc w:val="center"/>
              <w:rPr>
                <w:rFonts w:cs="Lucida Sans"/>
                <w:sz w:val="18"/>
                <w:szCs w:val="18"/>
              </w:rPr>
            </w:pPr>
            <w:r w:rsidRPr="004F6149">
              <w:rPr>
                <w:rFonts w:cs="Lucida Sans"/>
                <w:sz w:val="18"/>
                <w:szCs w:val="18"/>
              </w:rPr>
              <w:t>Full Sample</w:t>
            </w:r>
          </w:p>
        </w:tc>
        <w:tc>
          <w:tcPr>
            <w:tcW w:w="803" w:type="pct"/>
            <w:tcBorders>
              <w:top w:val="single" w:sz="4" w:space="0" w:color="auto"/>
              <w:bottom w:val="single" w:sz="4" w:space="0" w:color="auto"/>
            </w:tcBorders>
            <w:tcMar>
              <w:left w:w="115" w:type="dxa"/>
              <w:right w:w="115" w:type="dxa"/>
            </w:tcMar>
          </w:tcPr>
          <w:p w:rsidR="009D5F99" w:rsidRPr="004F6149" w:rsidRDefault="009D5F99" w:rsidP="00B35D92">
            <w:pPr>
              <w:spacing w:before="80" w:after="60" w:line="240" w:lineRule="auto"/>
              <w:ind w:firstLine="0"/>
              <w:jc w:val="center"/>
              <w:rPr>
                <w:rFonts w:cs="Lucida Sans"/>
                <w:sz w:val="18"/>
                <w:szCs w:val="18"/>
              </w:rPr>
            </w:pPr>
            <w:r w:rsidRPr="004F6149">
              <w:rPr>
                <w:rFonts w:cs="Lucida Sans"/>
                <w:sz w:val="18"/>
                <w:szCs w:val="18"/>
              </w:rPr>
              <w:t>50% Subgroup</w:t>
            </w:r>
          </w:p>
        </w:tc>
        <w:tc>
          <w:tcPr>
            <w:tcW w:w="257" w:type="pct"/>
            <w:tcBorders>
              <w:top w:val="nil"/>
              <w:bottom w:val="single" w:sz="4" w:space="0" w:color="auto"/>
            </w:tcBorders>
          </w:tcPr>
          <w:p w:rsidR="009D5F99" w:rsidRPr="004F6149" w:rsidRDefault="009D5F99" w:rsidP="00B35D92">
            <w:pPr>
              <w:spacing w:before="80" w:after="60" w:line="240" w:lineRule="auto"/>
              <w:ind w:firstLine="0"/>
              <w:jc w:val="center"/>
              <w:rPr>
                <w:rFonts w:cs="Lucida Sans"/>
                <w:sz w:val="18"/>
                <w:szCs w:val="18"/>
              </w:rPr>
            </w:pPr>
          </w:p>
        </w:tc>
        <w:tc>
          <w:tcPr>
            <w:tcW w:w="777" w:type="pct"/>
            <w:tcBorders>
              <w:top w:val="single" w:sz="4" w:space="0" w:color="auto"/>
              <w:bottom w:val="single" w:sz="4" w:space="0" w:color="auto"/>
            </w:tcBorders>
            <w:tcMar>
              <w:left w:w="115" w:type="dxa"/>
              <w:right w:w="115" w:type="dxa"/>
            </w:tcMar>
          </w:tcPr>
          <w:p w:rsidR="009D5F99" w:rsidRPr="004F6149" w:rsidRDefault="009D5F99" w:rsidP="00B35D92">
            <w:pPr>
              <w:spacing w:before="80" w:after="60" w:line="240" w:lineRule="auto"/>
              <w:ind w:firstLine="0"/>
              <w:jc w:val="center"/>
              <w:rPr>
                <w:rFonts w:cs="Lucida Sans"/>
                <w:sz w:val="18"/>
                <w:szCs w:val="18"/>
              </w:rPr>
            </w:pPr>
            <w:r w:rsidRPr="004F6149">
              <w:rPr>
                <w:rFonts w:cs="Lucida Sans"/>
                <w:sz w:val="18"/>
                <w:szCs w:val="18"/>
              </w:rPr>
              <w:t>Full Sample</w:t>
            </w:r>
          </w:p>
        </w:tc>
        <w:tc>
          <w:tcPr>
            <w:tcW w:w="801" w:type="pct"/>
            <w:tcBorders>
              <w:top w:val="single" w:sz="4" w:space="0" w:color="auto"/>
              <w:bottom w:val="single" w:sz="4" w:space="0" w:color="auto"/>
            </w:tcBorders>
            <w:tcMar>
              <w:left w:w="115" w:type="dxa"/>
              <w:right w:w="115" w:type="dxa"/>
            </w:tcMar>
          </w:tcPr>
          <w:p w:rsidR="009D5F99" w:rsidRPr="004F6149" w:rsidRDefault="009D5F99" w:rsidP="00B35D92">
            <w:pPr>
              <w:spacing w:before="80" w:after="60" w:line="240" w:lineRule="auto"/>
              <w:ind w:firstLine="0"/>
              <w:jc w:val="center"/>
              <w:rPr>
                <w:rFonts w:cs="Lucida Sans"/>
                <w:sz w:val="18"/>
                <w:szCs w:val="18"/>
              </w:rPr>
            </w:pPr>
            <w:r w:rsidRPr="004F6149">
              <w:rPr>
                <w:rFonts w:cs="Lucida Sans"/>
                <w:sz w:val="18"/>
                <w:szCs w:val="18"/>
              </w:rPr>
              <w:t>50% Subgroup</w:t>
            </w:r>
          </w:p>
        </w:tc>
      </w:tr>
      <w:tr w:rsidR="009D5F99" w:rsidRPr="004F6149" w:rsidTr="009D5F99">
        <w:trPr>
          <w:trHeight w:val="377"/>
          <w:jc w:val="center"/>
        </w:trPr>
        <w:tc>
          <w:tcPr>
            <w:tcW w:w="1582" w:type="pct"/>
            <w:tcBorders>
              <w:bottom w:val="nil"/>
            </w:tcBorders>
            <w:tcMar>
              <w:left w:w="115" w:type="dxa"/>
              <w:right w:w="115" w:type="dxa"/>
            </w:tcMar>
            <w:vAlign w:val="center"/>
          </w:tcPr>
          <w:p w:rsidR="009D5F99" w:rsidRPr="004F6149" w:rsidRDefault="009D5F99" w:rsidP="00B35D92">
            <w:pPr>
              <w:spacing w:before="120" w:after="60" w:line="240" w:lineRule="auto"/>
              <w:ind w:firstLine="0"/>
              <w:rPr>
                <w:rFonts w:cs="Lucida Sans"/>
                <w:sz w:val="18"/>
                <w:szCs w:val="18"/>
              </w:rPr>
            </w:pPr>
            <w:r w:rsidRPr="004F6149">
              <w:rPr>
                <w:rFonts w:cs="Lucida Sans"/>
                <w:sz w:val="18"/>
                <w:szCs w:val="18"/>
              </w:rPr>
              <w:t>Individual Random Assignment</w:t>
            </w:r>
          </w:p>
        </w:tc>
        <w:tc>
          <w:tcPr>
            <w:tcW w:w="780" w:type="pct"/>
            <w:tcBorders>
              <w:top w:val="nil"/>
              <w:bottom w:val="nil"/>
              <w:right w:val="nil"/>
            </w:tcBorders>
            <w:tcMar>
              <w:left w:w="115" w:type="dxa"/>
              <w:right w:w="115" w:type="dxa"/>
            </w:tcMar>
            <w:vAlign w:val="center"/>
          </w:tcPr>
          <w:p w:rsidR="009D5F99" w:rsidRPr="004F6149" w:rsidRDefault="009D5F99" w:rsidP="00B61A39">
            <w:pPr>
              <w:tabs>
                <w:tab w:val="clear" w:pos="432"/>
              </w:tabs>
              <w:spacing w:before="120" w:after="60" w:line="240" w:lineRule="auto"/>
              <w:ind w:firstLine="0"/>
              <w:jc w:val="center"/>
              <w:rPr>
                <w:rFonts w:cs="Lucida Sans"/>
                <w:sz w:val="18"/>
                <w:szCs w:val="18"/>
              </w:rPr>
            </w:pPr>
            <w:r w:rsidRPr="004F6149">
              <w:rPr>
                <w:rFonts w:cs="Lucida Sans"/>
                <w:sz w:val="18"/>
                <w:szCs w:val="18"/>
              </w:rPr>
              <w:t>7.0</w:t>
            </w:r>
          </w:p>
        </w:tc>
        <w:tc>
          <w:tcPr>
            <w:tcW w:w="803" w:type="pct"/>
            <w:tcBorders>
              <w:top w:val="nil"/>
              <w:left w:val="nil"/>
              <w:bottom w:val="nil"/>
              <w:right w:val="nil"/>
            </w:tcBorders>
            <w:tcMar>
              <w:left w:w="115" w:type="dxa"/>
              <w:right w:w="115" w:type="dxa"/>
            </w:tcMar>
            <w:vAlign w:val="center"/>
          </w:tcPr>
          <w:p w:rsidR="009D5F99" w:rsidRPr="004F6149" w:rsidRDefault="009D5F99" w:rsidP="00B61A39">
            <w:pPr>
              <w:tabs>
                <w:tab w:val="clear" w:pos="432"/>
              </w:tabs>
              <w:spacing w:before="120" w:after="60" w:line="240" w:lineRule="auto"/>
              <w:ind w:firstLine="0"/>
              <w:jc w:val="center"/>
              <w:rPr>
                <w:rFonts w:cs="Lucida Sans"/>
                <w:sz w:val="18"/>
                <w:szCs w:val="18"/>
              </w:rPr>
            </w:pPr>
            <w:r w:rsidRPr="004F6149">
              <w:rPr>
                <w:rFonts w:cs="Lucida Sans"/>
                <w:sz w:val="18"/>
                <w:szCs w:val="18"/>
              </w:rPr>
              <w:t>9.0</w:t>
            </w:r>
          </w:p>
        </w:tc>
        <w:tc>
          <w:tcPr>
            <w:tcW w:w="257" w:type="pct"/>
            <w:tcBorders>
              <w:top w:val="nil"/>
              <w:left w:val="nil"/>
              <w:bottom w:val="nil"/>
              <w:right w:val="nil"/>
            </w:tcBorders>
          </w:tcPr>
          <w:p w:rsidR="009D5F99" w:rsidRPr="004F6149" w:rsidRDefault="009D5F99" w:rsidP="00B61A39">
            <w:pPr>
              <w:tabs>
                <w:tab w:val="clear" w:pos="432"/>
              </w:tabs>
              <w:spacing w:before="120" w:after="60" w:line="240" w:lineRule="auto"/>
              <w:ind w:firstLine="0"/>
              <w:jc w:val="center"/>
              <w:rPr>
                <w:rFonts w:cs="Lucida Sans"/>
                <w:sz w:val="18"/>
                <w:szCs w:val="18"/>
              </w:rPr>
            </w:pPr>
          </w:p>
        </w:tc>
        <w:tc>
          <w:tcPr>
            <w:tcW w:w="777" w:type="pct"/>
            <w:tcBorders>
              <w:top w:val="nil"/>
              <w:left w:val="nil"/>
              <w:bottom w:val="nil"/>
              <w:right w:val="nil"/>
            </w:tcBorders>
            <w:tcMar>
              <w:left w:w="115" w:type="dxa"/>
              <w:right w:w="115" w:type="dxa"/>
            </w:tcMar>
            <w:vAlign w:val="center"/>
          </w:tcPr>
          <w:p w:rsidR="009D5F99" w:rsidRPr="004F6149" w:rsidRDefault="009D5F99" w:rsidP="00B61A39">
            <w:pPr>
              <w:tabs>
                <w:tab w:val="clear" w:pos="432"/>
              </w:tabs>
              <w:spacing w:before="120" w:after="60" w:line="240" w:lineRule="auto"/>
              <w:ind w:firstLine="0"/>
              <w:jc w:val="center"/>
              <w:rPr>
                <w:rFonts w:cs="Lucida Sans"/>
                <w:sz w:val="18"/>
                <w:szCs w:val="18"/>
              </w:rPr>
            </w:pPr>
            <w:r w:rsidRPr="004F6149">
              <w:rPr>
                <w:rFonts w:cs="Lucida Sans"/>
                <w:sz w:val="18"/>
                <w:szCs w:val="18"/>
              </w:rPr>
              <w:t>5.6</w:t>
            </w:r>
          </w:p>
        </w:tc>
        <w:tc>
          <w:tcPr>
            <w:tcW w:w="801" w:type="pct"/>
            <w:tcBorders>
              <w:top w:val="nil"/>
              <w:left w:val="nil"/>
              <w:bottom w:val="nil"/>
            </w:tcBorders>
            <w:tcMar>
              <w:left w:w="115" w:type="dxa"/>
              <w:right w:w="115" w:type="dxa"/>
            </w:tcMar>
            <w:vAlign w:val="center"/>
          </w:tcPr>
          <w:p w:rsidR="009D5F99" w:rsidRPr="004F6149" w:rsidRDefault="009D5F99" w:rsidP="00B61A39">
            <w:pPr>
              <w:tabs>
                <w:tab w:val="clear" w:pos="432"/>
              </w:tabs>
              <w:spacing w:before="120" w:after="60" w:line="240" w:lineRule="auto"/>
              <w:ind w:firstLine="0"/>
              <w:jc w:val="center"/>
              <w:rPr>
                <w:rFonts w:cs="Lucida Sans"/>
                <w:sz w:val="18"/>
                <w:szCs w:val="18"/>
              </w:rPr>
            </w:pPr>
            <w:r w:rsidRPr="004F6149">
              <w:rPr>
                <w:rFonts w:cs="Lucida Sans"/>
                <w:sz w:val="18"/>
                <w:szCs w:val="18"/>
              </w:rPr>
              <w:t>7.9</w:t>
            </w:r>
          </w:p>
        </w:tc>
      </w:tr>
      <w:tr w:rsidR="009D5F99" w:rsidRPr="004F6149" w:rsidTr="009D5F99">
        <w:trPr>
          <w:trHeight w:val="450"/>
          <w:jc w:val="center"/>
        </w:trPr>
        <w:tc>
          <w:tcPr>
            <w:tcW w:w="1582" w:type="pct"/>
            <w:tcBorders>
              <w:top w:val="nil"/>
              <w:bottom w:val="single" w:sz="4" w:space="0" w:color="auto"/>
            </w:tcBorders>
            <w:tcMar>
              <w:left w:w="115" w:type="dxa"/>
              <w:right w:w="115" w:type="dxa"/>
            </w:tcMar>
            <w:vAlign w:val="center"/>
          </w:tcPr>
          <w:p w:rsidR="009D5F99" w:rsidRPr="004F6149" w:rsidRDefault="009D5F99" w:rsidP="00B35D92">
            <w:pPr>
              <w:spacing w:before="120" w:after="60" w:line="240" w:lineRule="auto"/>
              <w:ind w:firstLine="0"/>
              <w:rPr>
                <w:rFonts w:cs="Lucida Sans"/>
                <w:sz w:val="18"/>
                <w:szCs w:val="18"/>
              </w:rPr>
            </w:pPr>
            <w:r w:rsidRPr="004F6149">
              <w:rPr>
                <w:rFonts w:cs="Lucida Sans"/>
                <w:sz w:val="18"/>
                <w:szCs w:val="18"/>
              </w:rPr>
              <w:t>Cluster Random Assignment</w:t>
            </w:r>
          </w:p>
        </w:tc>
        <w:tc>
          <w:tcPr>
            <w:tcW w:w="780" w:type="pct"/>
            <w:tcBorders>
              <w:top w:val="nil"/>
              <w:bottom w:val="single" w:sz="4" w:space="0" w:color="auto"/>
              <w:right w:val="nil"/>
            </w:tcBorders>
            <w:tcMar>
              <w:left w:w="115" w:type="dxa"/>
              <w:right w:w="115" w:type="dxa"/>
            </w:tcMar>
            <w:vAlign w:val="center"/>
          </w:tcPr>
          <w:p w:rsidR="009D5F99" w:rsidRPr="004F6149" w:rsidRDefault="009D5F99" w:rsidP="00B61A39">
            <w:pPr>
              <w:tabs>
                <w:tab w:val="clear" w:pos="432"/>
              </w:tabs>
              <w:spacing w:before="120" w:after="60" w:line="240" w:lineRule="auto"/>
              <w:ind w:firstLine="0"/>
              <w:jc w:val="center"/>
              <w:rPr>
                <w:rFonts w:cs="Lucida Sans"/>
                <w:sz w:val="18"/>
                <w:szCs w:val="18"/>
              </w:rPr>
            </w:pPr>
            <w:r w:rsidRPr="004F6149">
              <w:rPr>
                <w:rFonts w:cs="Lucida Sans"/>
                <w:sz w:val="18"/>
                <w:szCs w:val="18"/>
              </w:rPr>
              <w:t>9.1</w:t>
            </w:r>
          </w:p>
        </w:tc>
        <w:tc>
          <w:tcPr>
            <w:tcW w:w="803" w:type="pct"/>
            <w:tcBorders>
              <w:top w:val="nil"/>
              <w:left w:val="nil"/>
              <w:bottom w:val="single" w:sz="4" w:space="0" w:color="auto"/>
              <w:right w:val="nil"/>
            </w:tcBorders>
            <w:tcMar>
              <w:left w:w="115" w:type="dxa"/>
              <w:right w:w="115" w:type="dxa"/>
            </w:tcMar>
            <w:vAlign w:val="center"/>
          </w:tcPr>
          <w:p w:rsidR="009D5F99" w:rsidRPr="004F6149" w:rsidRDefault="009D5F99" w:rsidP="00B61A39">
            <w:pPr>
              <w:tabs>
                <w:tab w:val="clear" w:pos="432"/>
              </w:tabs>
              <w:spacing w:before="120" w:after="60" w:line="240" w:lineRule="auto"/>
              <w:ind w:firstLine="0"/>
              <w:jc w:val="center"/>
              <w:rPr>
                <w:rFonts w:cs="Lucida Sans"/>
                <w:sz w:val="18"/>
                <w:szCs w:val="18"/>
              </w:rPr>
            </w:pPr>
            <w:r w:rsidRPr="004F6149">
              <w:rPr>
                <w:rFonts w:cs="Lucida Sans"/>
                <w:sz w:val="18"/>
                <w:szCs w:val="18"/>
              </w:rPr>
              <w:t>11.4</w:t>
            </w:r>
          </w:p>
        </w:tc>
        <w:tc>
          <w:tcPr>
            <w:tcW w:w="257" w:type="pct"/>
            <w:tcBorders>
              <w:top w:val="nil"/>
              <w:left w:val="nil"/>
              <w:bottom w:val="single" w:sz="4" w:space="0" w:color="auto"/>
              <w:right w:val="nil"/>
            </w:tcBorders>
          </w:tcPr>
          <w:p w:rsidR="009D5F99" w:rsidRPr="004F6149" w:rsidRDefault="009D5F99" w:rsidP="00B61A39">
            <w:pPr>
              <w:tabs>
                <w:tab w:val="clear" w:pos="432"/>
              </w:tabs>
              <w:spacing w:before="120" w:after="60" w:line="240" w:lineRule="auto"/>
              <w:ind w:firstLine="0"/>
              <w:jc w:val="center"/>
              <w:rPr>
                <w:rFonts w:cs="Lucida Sans"/>
                <w:sz w:val="18"/>
                <w:szCs w:val="18"/>
              </w:rPr>
            </w:pPr>
          </w:p>
        </w:tc>
        <w:tc>
          <w:tcPr>
            <w:tcW w:w="777" w:type="pct"/>
            <w:tcBorders>
              <w:top w:val="nil"/>
              <w:left w:val="nil"/>
              <w:bottom w:val="single" w:sz="4" w:space="0" w:color="auto"/>
              <w:right w:val="nil"/>
            </w:tcBorders>
            <w:tcMar>
              <w:left w:w="115" w:type="dxa"/>
              <w:right w:w="115" w:type="dxa"/>
            </w:tcMar>
            <w:vAlign w:val="center"/>
          </w:tcPr>
          <w:p w:rsidR="009D5F99" w:rsidRPr="004F6149" w:rsidRDefault="009D5F99" w:rsidP="00B61A39">
            <w:pPr>
              <w:tabs>
                <w:tab w:val="clear" w:pos="432"/>
              </w:tabs>
              <w:spacing w:before="120" w:after="60" w:line="240" w:lineRule="auto"/>
              <w:ind w:firstLine="0"/>
              <w:jc w:val="center"/>
              <w:rPr>
                <w:rFonts w:cs="Lucida Sans"/>
                <w:sz w:val="18"/>
                <w:szCs w:val="18"/>
              </w:rPr>
            </w:pPr>
            <w:r w:rsidRPr="004F6149">
              <w:rPr>
                <w:rFonts w:cs="Lucida Sans"/>
                <w:sz w:val="18"/>
                <w:szCs w:val="18"/>
              </w:rPr>
              <w:t>7.3</w:t>
            </w:r>
          </w:p>
        </w:tc>
        <w:tc>
          <w:tcPr>
            <w:tcW w:w="801" w:type="pct"/>
            <w:tcBorders>
              <w:top w:val="nil"/>
              <w:left w:val="nil"/>
              <w:bottom w:val="single" w:sz="4" w:space="0" w:color="auto"/>
            </w:tcBorders>
            <w:tcMar>
              <w:left w:w="115" w:type="dxa"/>
              <w:right w:w="115" w:type="dxa"/>
            </w:tcMar>
            <w:vAlign w:val="center"/>
          </w:tcPr>
          <w:p w:rsidR="009D5F99" w:rsidRPr="004F6149" w:rsidRDefault="009D5F99" w:rsidP="00B61A39">
            <w:pPr>
              <w:tabs>
                <w:tab w:val="clear" w:pos="432"/>
              </w:tabs>
              <w:spacing w:before="120" w:after="60" w:line="240" w:lineRule="auto"/>
              <w:ind w:firstLine="0"/>
              <w:jc w:val="center"/>
              <w:rPr>
                <w:rFonts w:cs="Lucida Sans"/>
                <w:sz w:val="18"/>
                <w:szCs w:val="18"/>
              </w:rPr>
            </w:pPr>
            <w:r w:rsidRPr="004F6149">
              <w:rPr>
                <w:rFonts w:cs="Lucida Sans"/>
                <w:sz w:val="18"/>
                <w:szCs w:val="18"/>
              </w:rPr>
              <w:t>9.2</w:t>
            </w:r>
          </w:p>
        </w:tc>
      </w:tr>
    </w:tbl>
    <w:p w:rsidR="00C513EB" w:rsidRDefault="005977C1" w:rsidP="000A239E">
      <w:pPr>
        <w:pStyle w:val="TableSourceCaption"/>
        <w:spacing w:before="60" w:after="240"/>
      </w:pPr>
      <w:r>
        <w:lastRenderedPageBreak/>
        <w:t>Notes:</w:t>
      </w:r>
      <w:r>
        <w:tab/>
      </w:r>
      <w:r w:rsidR="00C336F6">
        <w:t>Sample size of 1,500 youth refers to</w:t>
      </w:r>
      <w:r w:rsidR="008751D5" w:rsidRPr="00A50A81">
        <w:t xml:space="preserve"> program and control groups combined. Figures assume that the sample is evenly divided between the program and control groups, a response rate of 75 percent, and that covariates explain 30 percent of the variance at the individual level. The figures also assume a two-tailed t-test with 80 percent power and a 95 percent confidence interval. For sites with cluster random assignment, the figures further assume a total of 16 clusters (evenly divided between the program and control groups), an intra-class correlation (ICC) of 0.01, and that covariates explain 30 percent of the v</w:t>
      </w:r>
      <w:r w:rsidR="008751D5">
        <w:t>ariance at the cluster level.</w:t>
      </w:r>
    </w:p>
    <w:p w:rsidR="0028358C" w:rsidRDefault="006351D4" w:rsidP="00F50E0E">
      <w:pPr>
        <w:pStyle w:val="NormalSS"/>
      </w:pPr>
      <w:r w:rsidRPr="006351D4">
        <w:rPr>
          <w:b/>
          <w:i/>
        </w:rPr>
        <w:t>IIS In-Depth Implementation Analysis.</w:t>
      </w:r>
      <w:r w:rsidR="0035661B">
        <w:rPr>
          <w:b/>
        </w:rPr>
        <w:t xml:space="preserve"> </w:t>
      </w:r>
      <w:r w:rsidR="00B255DB">
        <w:t xml:space="preserve">The </w:t>
      </w:r>
      <w:r w:rsidR="00BD3B9A">
        <w:t xml:space="preserve">IIS </w:t>
      </w:r>
      <w:r w:rsidR="00B255DB">
        <w:t xml:space="preserve">implementation data collection will take place in each of the </w:t>
      </w:r>
      <w:r w:rsidR="00BD3B9A">
        <w:t>IIS</w:t>
      </w:r>
      <w:r w:rsidR="00B255DB">
        <w:t xml:space="preserve"> </w:t>
      </w:r>
      <w:r w:rsidR="00177B2C">
        <w:t>sites</w:t>
      </w:r>
      <w:r w:rsidR="00B255DB">
        <w:t xml:space="preserve">.  </w:t>
      </w:r>
      <w:r w:rsidR="00B255DB" w:rsidRPr="003316A1">
        <w:t>Within each site,</w:t>
      </w:r>
      <w:r w:rsidR="00BD3B9A">
        <w:t xml:space="preserve"> interviews will be conducted with</w:t>
      </w:r>
      <w:r w:rsidR="00B255DB">
        <w:t xml:space="preserve"> diverse </w:t>
      </w:r>
      <w:r w:rsidR="00B255DB" w:rsidRPr="003316A1">
        <w:t xml:space="preserve">staff and community members who </w:t>
      </w:r>
      <w:r w:rsidR="00B255DB">
        <w:t xml:space="preserve">play substantive roles in program implementation, who are </w:t>
      </w:r>
      <w:r w:rsidR="00B255DB" w:rsidRPr="003316A1">
        <w:t>knowledgeable about the origins and operations of their program</w:t>
      </w:r>
      <w:r w:rsidR="00B255DB">
        <w:t>,</w:t>
      </w:r>
      <w:r w:rsidR="00B255DB" w:rsidRPr="003316A1">
        <w:t xml:space="preserve"> and </w:t>
      </w:r>
      <w:r w:rsidR="00B255DB">
        <w:t xml:space="preserve">who can discuss any </w:t>
      </w:r>
      <w:r w:rsidR="00B255DB" w:rsidRPr="003316A1">
        <w:t>challenges encountered</w:t>
      </w:r>
      <w:r w:rsidR="00B255DB">
        <w:t xml:space="preserve"> and how they were resolved</w:t>
      </w:r>
      <w:r w:rsidR="00B255DB" w:rsidRPr="003316A1">
        <w:t>.</w:t>
      </w:r>
      <w:r w:rsidR="00B255DB">
        <w:t xml:space="preserve"> In addition, all frontline staff and supervisors will be asked to complete an online</w:t>
      </w:r>
      <w:r w:rsidR="00DD01AE">
        <w:t xml:space="preserve"> staff</w:t>
      </w:r>
      <w:r w:rsidR="00B255DB">
        <w:t xml:space="preserve"> survey about program implementation and the support they receive for it. Finally, f</w:t>
      </w:r>
      <w:r w:rsidR="00B255DB" w:rsidRPr="003316A1">
        <w:t>ocus groups will be held with 8-12 participating youths per group who agree to participate in a focus group discussion.</w:t>
      </w:r>
      <w:r w:rsidR="00B255DB">
        <w:t xml:space="preserve"> </w:t>
      </w:r>
      <w:r w:rsidR="00B255DB" w:rsidRPr="003316A1">
        <w:t xml:space="preserve"> </w:t>
      </w:r>
      <w:r w:rsidR="00B255DB">
        <w:t>Youth</w:t>
      </w:r>
      <w:r w:rsidR="00B255DB" w:rsidRPr="003316A1">
        <w:t xml:space="preserve"> will be randomly selected for the focus group</w:t>
      </w:r>
      <w:r w:rsidR="00B255DB">
        <w:t>s</w:t>
      </w:r>
      <w:r w:rsidR="00F73889">
        <w:t xml:space="preserve">. </w:t>
      </w:r>
    </w:p>
    <w:p w:rsidR="0023364C" w:rsidRPr="00843740" w:rsidRDefault="00AB4B33" w:rsidP="000A239E">
      <w:pPr>
        <w:pStyle w:val="Heading2Black"/>
      </w:pPr>
      <w:bookmarkStart w:id="22" w:name="_Toc320884920"/>
      <w:bookmarkStart w:id="23" w:name="_Toc324845911"/>
      <w:bookmarkStart w:id="24" w:name="_Toc352328728"/>
      <w:bookmarkStart w:id="25" w:name="_Toc353957897"/>
      <w:bookmarkStart w:id="26" w:name="_Toc355704761"/>
      <w:r>
        <w:t>B2.</w:t>
      </w:r>
      <w:r w:rsidR="00B61A39">
        <w:tab/>
      </w:r>
      <w:r w:rsidR="0023364C" w:rsidRPr="000C3568">
        <w:t>Procedures for Collection of Information</w:t>
      </w:r>
      <w:bookmarkEnd w:id="22"/>
      <w:bookmarkEnd w:id="23"/>
      <w:bookmarkEnd w:id="24"/>
      <w:bookmarkEnd w:id="25"/>
      <w:bookmarkEnd w:id="26"/>
    </w:p>
    <w:p w:rsidR="009E7342" w:rsidRDefault="009E7342" w:rsidP="000A239E">
      <w:pPr>
        <w:pStyle w:val="NormalSS"/>
      </w:pPr>
      <w:r>
        <w:rPr>
          <w:b/>
        </w:rPr>
        <w:t>Performance Analysis Study.</w:t>
      </w:r>
      <w:r>
        <w:t xml:space="preserve"> Each CPREP grantee and their implementation sites will make decisions regarding procedures for collecting the participant entry and exit surveys</w:t>
      </w:r>
      <w:r w:rsidR="007F3C1C">
        <w:t xml:space="preserve"> (Instruments </w:t>
      </w:r>
      <w:r w:rsidR="0025351E">
        <w:t>1 and 2)</w:t>
      </w:r>
      <w:r>
        <w:t xml:space="preserve">. Some grantees have elected to work with local evaluators that will administer the surveys for performance measure purposes; the local evaluators could decide to use paper-and-pencil or web-based surveys. For those grantees not working with local evaluators, it is likely that the program staff at the implementation sites will administer the entry and exit surveys using paper and pencil in group or individual settings. CPREP grantees will inform their individual program participants that participation is voluntary and that they may refuse to </w:t>
      </w:r>
      <w:r w:rsidR="00841524">
        <w:t>answer</w:t>
      </w:r>
      <w:r>
        <w:t xml:space="preserve"> any or all of the question</w:t>
      </w:r>
      <w:r w:rsidR="00841524">
        <w:t>s</w:t>
      </w:r>
      <w:r>
        <w:t xml:space="preserve"> in the entry and exit surveys. The response rate for both surveys is expected to be 95 percent. </w:t>
      </w:r>
    </w:p>
    <w:p w:rsidR="009E7342" w:rsidRDefault="009E7342" w:rsidP="000A239E">
      <w:pPr>
        <w:pStyle w:val="NormalSS"/>
      </w:pPr>
      <w:r>
        <w:t xml:space="preserve">CPREP grantees will report separately on levels of participant attendance, reach, dosage, and retention. Data on these measures will be collected by implementation site facilitators (Instrument </w:t>
      </w:r>
      <w:r w:rsidR="00F629CF">
        <w:t>4</w:t>
      </w:r>
      <w:r>
        <w:t xml:space="preserve">). </w:t>
      </w:r>
      <w:r w:rsidR="00841524">
        <w:t>Administrative</w:t>
      </w:r>
      <w:r w:rsidR="0069005E">
        <w:t xml:space="preserve"> data on program features and structure, allocation of funds, fidelity to evidence-based program models, and staff perceptions of quality challenges will be collected by grantees through their administrators. CPREP grantees will prepare and submit their final data sets in aggregate form to ACF through the PREP reporting system. The Performance Reporting System </w:t>
      </w:r>
      <w:r w:rsidR="00F629CF">
        <w:t>Data Entry Form (Instrument 3</w:t>
      </w:r>
      <w:r w:rsidR="0069005E">
        <w:t xml:space="preserve">) contains the list of all data elements CPREP grantees will report, collected from among their implementation sites. Because collecting and reporting data for performance measures is a funding requirement of the CPREP grants, the CPREP grantee response rate is </w:t>
      </w:r>
      <w:r w:rsidR="00841524">
        <w:t>expected</w:t>
      </w:r>
      <w:r w:rsidR="0069005E">
        <w:t xml:space="preserve"> to be 100 percent. </w:t>
      </w:r>
    </w:p>
    <w:p w:rsidR="0039387A" w:rsidRPr="009E7342" w:rsidRDefault="0069005E" w:rsidP="0025351E">
      <w:pPr>
        <w:pStyle w:val="NormalSS"/>
      </w:pPr>
      <w:r>
        <w:t xml:space="preserve">The timing of the PAS participant survey </w:t>
      </w:r>
      <w:r w:rsidR="00612D9A">
        <w:t>data collections will be customized for each site depending upon the start and end dates of each cohort of participants. Administrative performance measurement data will be submitted annually by CPREP grantees follow</w:t>
      </w:r>
      <w:r w:rsidR="0039387A">
        <w:t>ing the end of each grant year.</w:t>
      </w:r>
      <w:r w:rsidR="0025351E">
        <w:t xml:space="preserve"> </w:t>
      </w:r>
      <w:r w:rsidR="0039387A">
        <w:t>These procedures are identical for CPREP grantees (addressed in this ICR) and PREP grantees (addressed in an ICR approved on March 12, 2013; OMB Control Number 0970-0398).</w:t>
      </w:r>
    </w:p>
    <w:p w:rsidR="00392375" w:rsidRPr="0025351E" w:rsidRDefault="006C4E38" w:rsidP="000A239E">
      <w:pPr>
        <w:pStyle w:val="NormalSS"/>
      </w:pPr>
      <w:r>
        <w:rPr>
          <w:b/>
        </w:rPr>
        <w:t xml:space="preserve">Impact </w:t>
      </w:r>
      <w:r w:rsidR="00BD3B9A">
        <w:rPr>
          <w:b/>
        </w:rPr>
        <w:t xml:space="preserve">and In-Depth Implementation </w:t>
      </w:r>
      <w:r>
        <w:rPr>
          <w:b/>
        </w:rPr>
        <w:t>Study</w:t>
      </w:r>
      <w:r w:rsidR="0023364C" w:rsidRPr="00812B6E">
        <w:rPr>
          <w:b/>
        </w:rPr>
        <w:t>.</w:t>
      </w:r>
      <w:r w:rsidR="0023364C">
        <w:t xml:space="preserve"> </w:t>
      </w:r>
      <w:r w:rsidR="000C7693">
        <w:t xml:space="preserve">In each of the four </w:t>
      </w:r>
      <w:r w:rsidR="00227FC1">
        <w:t xml:space="preserve">or five </w:t>
      </w:r>
      <w:r w:rsidR="000C7693">
        <w:t>sites selected for the I</w:t>
      </w:r>
      <w:r w:rsidR="000B7E51">
        <w:t>IS</w:t>
      </w:r>
      <w:r w:rsidR="0025351E">
        <w:t xml:space="preserve"> component of the PREP evaluation</w:t>
      </w:r>
      <w:r w:rsidR="000C7693">
        <w:t xml:space="preserve">, all eligible youth </w:t>
      </w:r>
      <w:r w:rsidR="0025351E">
        <w:t xml:space="preserve">for whom consent is obtained will be enrolled in the study. </w:t>
      </w:r>
      <w:r w:rsidR="000C7693">
        <w:t>Each site will be responsible for providing the evaluation team with a list of eligible youth. The</w:t>
      </w:r>
      <w:r w:rsidR="00E167A5">
        <w:t xml:space="preserve"> evaluation team will then work collaboratively with each site to </w:t>
      </w:r>
      <w:r w:rsidR="007215FA">
        <w:t xml:space="preserve">identify </w:t>
      </w:r>
      <w:r w:rsidR="00E167A5">
        <w:t>youth for the study an</w:t>
      </w:r>
      <w:r w:rsidR="00783C51">
        <w:t>d</w:t>
      </w:r>
      <w:r w:rsidR="00E167A5">
        <w:t xml:space="preserve"> obtain a</w:t>
      </w:r>
      <w:r w:rsidR="00783C51">
        <w:t>ctive written consent from the responsible parent or guardian</w:t>
      </w:r>
      <w:r w:rsidR="000B7E51">
        <w:t xml:space="preserve"> for youth under age 18 and from the youth themselves for those age 18 or older</w:t>
      </w:r>
      <w:r w:rsidR="00783C51">
        <w:t xml:space="preserve">. The evaluation team will then </w:t>
      </w:r>
      <w:r w:rsidR="00783C51">
        <w:lastRenderedPageBreak/>
        <w:t>prepare a final roster of youth at each site f</w:t>
      </w:r>
      <w:r w:rsidR="001C39FD">
        <w:t>or whom</w:t>
      </w:r>
      <w:r w:rsidR="00392375">
        <w:t xml:space="preserve"> it has consent.</w:t>
      </w:r>
      <w:r w:rsidR="0025351E" w:rsidRPr="0025351E">
        <w:t xml:space="preserve"> </w:t>
      </w:r>
      <w:r w:rsidR="0025351E">
        <w:t>Evaluation consent forms were included in an ICR approved</w:t>
      </w:r>
      <w:r w:rsidR="0025351E" w:rsidRPr="0025351E">
        <w:t xml:space="preserve"> on March 12, 2013 (OMB Control Number 0970-0398).</w:t>
      </w:r>
    </w:p>
    <w:p w:rsidR="00392375" w:rsidRPr="00440C4C" w:rsidRDefault="006351D4" w:rsidP="000A239E">
      <w:pPr>
        <w:pStyle w:val="NormalSS"/>
        <w:rPr>
          <w:vertAlign w:val="superscript"/>
        </w:rPr>
      </w:pPr>
      <w:r w:rsidRPr="006351D4">
        <w:rPr>
          <w:b/>
          <w:i/>
        </w:rPr>
        <w:t>Follow-up Surveys for the IIS Impact Analysis.</w:t>
      </w:r>
      <w:r w:rsidR="0025351E">
        <w:t xml:space="preserve"> </w:t>
      </w:r>
      <w:r w:rsidR="00F629CF">
        <w:t xml:space="preserve">The follow-up </w:t>
      </w:r>
      <w:r w:rsidR="00392375">
        <w:t xml:space="preserve">survey will be administered to all consented </w:t>
      </w:r>
      <w:r w:rsidR="00F629CF">
        <w:t>sample members</w:t>
      </w:r>
      <w:r w:rsidR="00392375">
        <w:t xml:space="preserve"> </w:t>
      </w:r>
      <w:r w:rsidR="00F629CF">
        <w:t xml:space="preserve">8-12 months after </w:t>
      </w:r>
      <w:r w:rsidR="007D48BE">
        <w:t>random assignment</w:t>
      </w:r>
      <w:r w:rsidR="00F629CF">
        <w:t xml:space="preserve"> and then roughly one year later</w:t>
      </w:r>
      <w:r w:rsidR="00392375">
        <w:t>. The evaluation team will work individual</w:t>
      </w:r>
      <w:r w:rsidR="00AA7DA8">
        <w:t>ly</w:t>
      </w:r>
      <w:r w:rsidR="00392375">
        <w:t xml:space="preserve"> with each site to determine the best mode and procedures for survey administration. </w:t>
      </w:r>
      <w:r w:rsidR="007F6F77">
        <w:t>As discussed in Part</w:t>
      </w:r>
      <w:r w:rsidR="00FC3C7E">
        <w:t xml:space="preserve"> A of this </w:t>
      </w:r>
      <w:r w:rsidR="007D48BE">
        <w:t>ICR</w:t>
      </w:r>
      <w:r w:rsidR="007F6F77">
        <w:t xml:space="preserve">, </w:t>
      </w:r>
      <w:r w:rsidR="00F629CF">
        <w:t>w</w:t>
      </w:r>
      <w:r w:rsidR="00F629CF" w:rsidRPr="00726759">
        <w:t>herever possible, there will be a group administratio</w:t>
      </w:r>
      <w:r w:rsidR="007D48BE">
        <w:t>n of a self-administered paper-and-</w:t>
      </w:r>
      <w:r w:rsidR="00F629CF" w:rsidRPr="00726759">
        <w:t>p</w:t>
      </w:r>
      <w:r w:rsidR="007D48BE">
        <w:t>encil instrument (PAPI)</w:t>
      </w:r>
      <w:r w:rsidR="00F629CF" w:rsidRPr="00726759">
        <w:t xml:space="preserve">. When necessary to increase response rates or accommodate specific populations, this method will be augmented with </w:t>
      </w:r>
      <w:r w:rsidR="00F629CF">
        <w:t xml:space="preserve">or replaced by a computer assisted telephone interview (CATI) follow-up or a </w:t>
      </w:r>
      <w:r w:rsidR="00F629CF" w:rsidRPr="00726759">
        <w:t>telephone follow-up with hard copy.</w:t>
      </w:r>
      <w:r w:rsidR="00F629CF" w:rsidRPr="00CA765A">
        <w:rPr>
          <w:rStyle w:val="FootnoteReference"/>
        </w:rPr>
        <w:t xml:space="preserve"> </w:t>
      </w:r>
      <w:r w:rsidR="00F629CF">
        <w:rPr>
          <w:rStyle w:val="FootnoteReference"/>
        </w:rPr>
        <w:footnoteReference w:id="8"/>
      </w:r>
      <w:r w:rsidR="00F629CF" w:rsidRPr="00F629CF">
        <w:rPr>
          <w:vertAlign w:val="superscript"/>
        </w:rPr>
        <w:t>,</w:t>
      </w:r>
      <w:r w:rsidR="00842366">
        <w:rPr>
          <w:rStyle w:val="FootnoteReference"/>
        </w:rPr>
        <w:footnoteReference w:id="9"/>
      </w:r>
      <w:r w:rsidR="00440C4C">
        <w:t xml:space="preserve"> For instance, in HFSA, the survey will be administered by telephone because the program serves youth in an individual setting in their home.</w:t>
      </w:r>
    </w:p>
    <w:p w:rsidR="008E07C0" w:rsidRDefault="00D7028D" w:rsidP="000A239E">
      <w:pPr>
        <w:pStyle w:val="NormalSS"/>
      </w:pPr>
      <w:r>
        <w:t>For group administration, the evaluation team</w:t>
      </w:r>
      <w:r w:rsidRPr="00D7028D">
        <w:t xml:space="preserve"> </w:t>
      </w:r>
      <w:r>
        <w:t xml:space="preserve">will begin by </w:t>
      </w:r>
      <w:r w:rsidRPr="00D7028D">
        <w:t>handing out pre-identified survey packets to the youth whose names are on the packets, and obtaining youth a</w:t>
      </w:r>
      <w:r>
        <w:t xml:space="preserve">ssent. Each packet will consist of the PREP </w:t>
      </w:r>
      <w:r w:rsidR="00CF5093">
        <w:t xml:space="preserve">follow-up </w:t>
      </w:r>
      <w:r>
        <w:t>survey and a sealable</w:t>
      </w:r>
      <w:r w:rsidRPr="00D7028D">
        <w:t xml:space="preserve"> re</w:t>
      </w:r>
      <w:r>
        <w:t>turn envelope. The survey</w:t>
      </w:r>
      <w:r w:rsidRPr="00D7028D">
        <w:t xml:space="preserve"> will have a label with a unique ID number (no personally identifying information </w:t>
      </w:r>
      <w:r>
        <w:t>will appear on the survey</w:t>
      </w:r>
      <w:r w:rsidRPr="00D7028D">
        <w:t xml:space="preserve"> or return envelope). Youth will s</w:t>
      </w:r>
      <w:r>
        <w:t xml:space="preserve">elf-administer the survey. </w:t>
      </w:r>
      <w:r w:rsidR="007D48BE">
        <w:t xml:space="preserve">The instrument has three parts (Part A, Part B1, and Part B2) to avoid asking youth who are not sexually experienced detailed questions about their sexual activities. </w:t>
      </w:r>
      <w:r w:rsidRPr="00D7028D">
        <w:t xml:space="preserve">Part A </w:t>
      </w:r>
      <w:r>
        <w:t xml:space="preserve">of the survey </w:t>
      </w:r>
      <w:r w:rsidRPr="00D7028D">
        <w:t xml:space="preserve">asks for background information and concludes with a single screening question about sexual experience. Youth with sexual experience will complete Part B1 and those without will complete Part </w:t>
      </w:r>
      <w:r>
        <w:t>B2. Two members of the evaluation team</w:t>
      </w:r>
      <w:r w:rsidRPr="00D7028D">
        <w:t xml:space="preserve"> will monitor activities in each survey r</w:t>
      </w:r>
      <w:r>
        <w:t>oom. At the end of the survey administration</w:t>
      </w:r>
      <w:r w:rsidRPr="00D7028D">
        <w:t>, youth will pl</w:t>
      </w:r>
      <w:r>
        <w:t>ace the entire survey</w:t>
      </w:r>
      <w:r w:rsidRPr="00D7028D">
        <w:t xml:space="preserve"> in the return envelope, seal it, and</w:t>
      </w:r>
      <w:r>
        <w:t xml:space="preserve"> return it to a</w:t>
      </w:r>
      <w:r w:rsidRPr="00D7028D">
        <w:t xml:space="preserve"> member</w:t>
      </w:r>
      <w:r>
        <w:t xml:space="preserve"> of the evaluation team</w:t>
      </w:r>
      <w:r w:rsidRPr="00D7028D">
        <w:t xml:space="preserve">. </w:t>
      </w:r>
      <w:r w:rsidR="007215FA">
        <w:t>Completed surveys will be immediately shipped via FedEx to Mathematica’s Survey Operations Center for receipting, and then checked for completeness. Any forms with identifying information (assent forms) will be shipped separately from the surveys.</w:t>
      </w:r>
      <w:r>
        <w:t xml:space="preserve"> All surveys</w:t>
      </w:r>
      <w:r w:rsidRPr="00D7028D">
        <w:t xml:space="preserve"> that pass the check will be sent to</w:t>
      </w:r>
      <w:r w:rsidR="008E07C0">
        <w:t xml:space="preserve"> a vendor for scanning</w:t>
      </w:r>
      <w:r w:rsidRPr="00D7028D">
        <w:t xml:space="preserve">. All scanned data will be electronically transmitted </w:t>
      </w:r>
      <w:r w:rsidR="008E07C0">
        <w:t>back to the evaluation team</w:t>
      </w:r>
      <w:r w:rsidRPr="00D7028D">
        <w:t>.</w:t>
      </w:r>
    </w:p>
    <w:p w:rsidR="0023364C" w:rsidRDefault="008E07C0" w:rsidP="000A239E">
      <w:pPr>
        <w:pStyle w:val="NormalSS"/>
      </w:pPr>
      <w:r>
        <w:t xml:space="preserve">For </w:t>
      </w:r>
      <w:r w:rsidR="00CF5093">
        <w:t xml:space="preserve">youth who do not attend group administrations </w:t>
      </w:r>
      <w:r>
        <w:t>or when group administration is not feasible, the evaluation team will work collaboratively with each site to determine the best alternative mode of survey administration. T</w:t>
      </w:r>
      <w:r w:rsidR="00CF5093">
        <w:t>wo</w:t>
      </w:r>
      <w:r>
        <w:t xml:space="preserve"> options will be considered</w:t>
      </w:r>
      <w:r w:rsidR="007800A7">
        <w:t>:</w:t>
      </w:r>
      <w:r>
        <w:t xml:space="preserve"> </w:t>
      </w:r>
      <w:r w:rsidR="00CB0B54">
        <w:t xml:space="preserve">individual administration of </w:t>
      </w:r>
      <w:r w:rsidR="0097031B">
        <w:t xml:space="preserve">a </w:t>
      </w:r>
      <w:r w:rsidR="00F16138">
        <w:t>PAPI</w:t>
      </w:r>
      <w:r w:rsidR="007800A7">
        <w:t xml:space="preserve"> </w:t>
      </w:r>
      <w:r w:rsidR="004C0429">
        <w:t xml:space="preserve">survey </w:t>
      </w:r>
      <w:r w:rsidR="007800A7">
        <w:t xml:space="preserve">over the telephone </w:t>
      </w:r>
      <w:r w:rsidR="007545D1">
        <w:t xml:space="preserve">when small numbers of respondents </w:t>
      </w:r>
      <w:r w:rsidR="000556F4">
        <w:t xml:space="preserve">cannot attend group administration, </w:t>
      </w:r>
      <w:r w:rsidR="007800A7">
        <w:t xml:space="preserve">or </w:t>
      </w:r>
      <w:r w:rsidR="00CB0B54">
        <w:t xml:space="preserve">individual administration </w:t>
      </w:r>
      <w:r w:rsidR="007800A7">
        <w:t>through CATI</w:t>
      </w:r>
      <w:r w:rsidR="000556F4">
        <w:t xml:space="preserve"> when the majority or all respondents would not find group administration feasible. The HFSA survey, for example, will be administered as a CATI instrument as the program serves youth in their home, and </w:t>
      </w:r>
      <w:r w:rsidR="0097031B">
        <w:t>the evaluation team</w:t>
      </w:r>
      <w:r w:rsidR="000556F4">
        <w:t xml:space="preserve"> will not have an opportunity for group-administration</w:t>
      </w:r>
      <w:r w:rsidR="00CB0B54">
        <w:t xml:space="preserve">. </w:t>
      </w:r>
    </w:p>
    <w:p w:rsidR="0028358C" w:rsidRDefault="006351D4" w:rsidP="00D7565F">
      <w:pPr>
        <w:pStyle w:val="NormalSS"/>
      </w:pPr>
      <w:r w:rsidRPr="006351D4">
        <w:rPr>
          <w:b/>
          <w:i/>
        </w:rPr>
        <w:t>Site Visits for the IIS Implementation Analysis.</w:t>
      </w:r>
      <w:r w:rsidR="0097031B">
        <w:rPr>
          <w:b/>
        </w:rPr>
        <w:t xml:space="preserve"> </w:t>
      </w:r>
      <w:r w:rsidR="00A22248">
        <w:t xml:space="preserve">The IIS implementation analysis will include two rounds of site visits one conducted </w:t>
      </w:r>
      <w:r w:rsidR="00A22248" w:rsidRPr="003E04D4">
        <w:t xml:space="preserve">early in the implementation period and </w:t>
      </w:r>
      <w:r w:rsidR="00A22248">
        <w:t xml:space="preserve">the second </w:t>
      </w:r>
      <w:r w:rsidR="00A22248" w:rsidRPr="003E04D4">
        <w:t xml:space="preserve">later in the implementation period. The </w:t>
      </w:r>
      <w:r w:rsidR="00A22248">
        <w:t xml:space="preserve">specific </w:t>
      </w:r>
      <w:r w:rsidR="00A22248" w:rsidRPr="003E04D4">
        <w:t xml:space="preserve">timing of site visits will be determined after sites are </w:t>
      </w:r>
      <w:r w:rsidR="00A22248" w:rsidRPr="003E04D4">
        <w:lastRenderedPageBreak/>
        <w:t>selected and specific</w:t>
      </w:r>
      <w:r w:rsidR="00A22248">
        <w:t xml:space="preserve"> implementation plans are known. The key activity during these visits will be interviews with state and local program staff. </w:t>
      </w:r>
      <w:r w:rsidR="00B255DB" w:rsidRPr="003316A1">
        <w:t>The master</w:t>
      </w:r>
      <w:r w:rsidR="00A739E4">
        <w:t xml:space="preserve"> list of</w:t>
      </w:r>
      <w:r w:rsidR="00B255DB" w:rsidRPr="003316A1">
        <w:t xml:space="preserve"> topic</w:t>
      </w:r>
      <w:r w:rsidR="00A739E4">
        <w:t>s</w:t>
      </w:r>
      <w:r w:rsidR="00F3172E">
        <w:t xml:space="preserve"> for staff interviews</w:t>
      </w:r>
      <w:r w:rsidR="0097031B">
        <w:t xml:space="preserve"> during site visits</w:t>
      </w:r>
      <w:r w:rsidR="00B255DB" w:rsidRPr="003316A1">
        <w:t xml:space="preserve"> </w:t>
      </w:r>
      <w:r w:rsidR="00F3172E">
        <w:t xml:space="preserve">(Instrument 7) </w:t>
      </w:r>
      <w:r w:rsidR="00B255DB" w:rsidRPr="003316A1">
        <w:t xml:space="preserve">identifies the information that will be gathered </w:t>
      </w:r>
      <w:r w:rsidR="00D7565F">
        <w:t xml:space="preserve">from </w:t>
      </w:r>
      <w:r w:rsidR="00A22248">
        <w:t>these</w:t>
      </w:r>
      <w:r w:rsidR="00D7565F">
        <w:t xml:space="preserve"> staff </w:t>
      </w:r>
      <w:r w:rsidR="00B255DB" w:rsidRPr="003316A1">
        <w:t xml:space="preserve">to document the </w:t>
      </w:r>
      <w:r w:rsidR="00B255DB">
        <w:t>program context, implementation plans, the implementing organization and partner organizations, implementation systems, youth participation and engagement, and actual service delivery.</w:t>
      </w:r>
      <w:r w:rsidR="00D7565F">
        <w:t xml:space="preserve"> </w:t>
      </w:r>
      <w:r w:rsidR="00B255DB" w:rsidRPr="003316A1">
        <w:t xml:space="preserve">Preparation for site visits will involve </w:t>
      </w:r>
      <w:r w:rsidR="00B255DB">
        <w:t>using the master</w:t>
      </w:r>
      <w:r w:rsidR="00A739E4">
        <w:t xml:space="preserve"> list of</w:t>
      </w:r>
      <w:r w:rsidR="00B255DB">
        <w:t xml:space="preserve"> topics to develop discussion guides </w:t>
      </w:r>
      <w:r w:rsidR="00B255DB" w:rsidRPr="003316A1">
        <w:t xml:space="preserve">customized </w:t>
      </w:r>
      <w:r w:rsidR="00B255DB">
        <w:t>to each site</w:t>
      </w:r>
      <w:r w:rsidR="00B255DB" w:rsidRPr="003316A1">
        <w:t xml:space="preserve"> to ensure that </w:t>
      </w:r>
      <w:r w:rsidR="0097031B">
        <w:t>site visitors</w:t>
      </w:r>
      <w:r w:rsidR="00B255DB" w:rsidRPr="003316A1">
        <w:t xml:space="preserve"> collect the </w:t>
      </w:r>
      <w:r w:rsidR="00B255DB">
        <w:t xml:space="preserve">relevant </w:t>
      </w:r>
      <w:r w:rsidR="00B255DB" w:rsidRPr="003316A1">
        <w:t xml:space="preserve">needed information in an efficient, consistent way from the appropriate respondents. </w:t>
      </w:r>
    </w:p>
    <w:p w:rsidR="0028358C" w:rsidRDefault="006351D4" w:rsidP="000A239E">
      <w:pPr>
        <w:pStyle w:val="NormalSS"/>
      </w:pPr>
      <w:r w:rsidRPr="006351D4">
        <w:rPr>
          <w:b/>
          <w:i/>
        </w:rPr>
        <w:t>Staff Survey for the IIS Implementation Analysis.</w:t>
      </w:r>
      <w:r w:rsidR="00930858">
        <w:rPr>
          <w:b/>
        </w:rPr>
        <w:t xml:space="preserve"> </w:t>
      </w:r>
      <w:r w:rsidR="00DF0499">
        <w:t xml:space="preserve">All </w:t>
      </w:r>
      <w:r w:rsidR="00930858">
        <w:t xml:space="preserve">program </w:t>
      </w:r>
      <w:r w:rsidR="00B255DB">
        <w:t>staff and their supervisors will be invite</w:t>
      </w:r>
      <w:r w:rsidR="006545C7">
        <w:t xml:space="preserve">d to complete the </w:t>
      </w:r>
      <w:r w:rsidR="00930858">
        <w:t>staff</w:t>
      </w:r>
      <w:r w:rsidR="006545C7">
        <w:t xml:space="preserve"> survey (Instrument 8).</w:t>
      </w:r>
      <w:r w:rsidR="00930858" w:rsidRPr="00930858">
        <w:t xml:space="preserve"> </w:t>
      </w:r>
      <w:r w:rsidR="00930858">
        <w:t xml:space="preserve">This survey will be administered </w:t>
      </w:r>
      <w:r w:rsidR="00930858" w:rsidRPr="00715D01">
        <w:t xml:space="preserve">using </w:t>
      </w:r>
      <w:r w:rsidR="00930858" w:rsidRPr="00715D01">
        <w:rPr>
          <w:i/>
        </w:rPr>
        <w:t>Opinio</w:t>
      </w:r>
      <w:r w:rsidR="00930858" w:rsidRPr="00715D01">
        <w:t>, a web-based online survey application</w:t>
      </w:r>
      <w:r w:rsidR="00930858">
        <w:t>. Staff will be asked to complete these surveys twice, around the time of the two site visits</w:t>
      </w:r>
      <w:r w:rsidR="00930858" w:rsidRPr="00715D01">
        <w:t xml:space="preserve">. </w:t>
      </w:r>
      <w:r w:rsidR="00DD4F9B">
        <w:t xml:space="preserve">The evaluation team </w:t>
      </w:r>
      <w:r w:rsidR="00DD4F9B" w:rsidRPr="00715D01">
        <w:t xml:space="preserve">will send a link to the web-based survey via email to relevant PREP program staff. </w:t>
      </w:r>
      <w:r w:rsidR="00930858" w:rsidRPr="00715D01">
        <w:t>This will allow staff to complete the survey at a time most convenient for them and to support efficient follow-up via email to achieve a high</w:t>
      </w:r>
      <w:r w:rsidR="00E146A0">
        <w:t xml:space="preserve"> response rate. The private</w:t>
      </w:r>
      <w:r w:rsidR="00930858" w:rsidRPr="00715D01">
        <w:t xml:space="preserve"> format will also encourage open</w:t>
      </w:r>
      <w:r w:rsidR="00930858">
        <w:t xml:space="preserve"> and honest responses about program </w:t>
      </w:r>
      <w:r w:rsidR="00930858" w:rsidRPr="00715D01">
        <w:t>implementation</w:t>
      </w:r>
      <w:r w:rsidR="00930858">
        <w:t xml:space="preserve"> successes and challenges</w:t>
      </w:r>
      <w:r w:rsidR="00930858" w:rsidRPr="00715D01">
        <w:t xml:space="preserve">. </w:t>
      </w:r>
      <w:r w:rsidR="00930858" w:rsidRPr="00715D01">
        <w:rPr>
          <w:i/>
        </w:rPr>
        <w:t>Opinio</w:t>
      </w:r>
      <w:r w:rsidR="00930858" w:rsidRPr="00715D01">
        <w:t xml:space="preserve"> will deliver the survey data in an electronic format that can be cleaned efficiently, assessed for missing data, and analyzed descriptively.</w:t>
      </w:r>
    </w:p>
    <w:p w:rsidR="00623C48" w:rsidRDefault="006351D4" w:rsidP="00930858">
      <w:pPr>
        <w:pStyle w:val="NormalSS"/>
      </w:pPr>
      <w:r w:rsidRPr="006351D4">
        <w:rPr>
          <w:b/>
          <w:i/>
        </w:rPr>
        <w:t>Participant Focus Groups for the IIS Implementation Analysis</w:t>
      </w:r>
      <w:r w:rsidR="00930858">
        <w:rPr>
          <w:i/>
        </w:rPr>
        <w:t>.</w:t>
      </w:r>
      <w:r w:rsidR="00930858">
        <w:rPr>
          <w:b/>
        </w:rPr>
        <w:t xml:space="preserve"> </w:t>
      </w:r>
      <w:r w:rsidR="00A739E4" w:rsidRPr="00BC7C3B">
        <w:t xml:space="preserve">Focus groups </w:t>
      </w:r>
      <w:r w:rsidR="006545C7">
        <w:t xml:space="preserve">(Instrument 9) </w:t>
      </w:r>
      <w:r w:rsidR="00A739E4" w:rsidRPr="00BC7C3B">
        <w:t xml:space="preserve">will be conducted with </w:t>
      </w:r>
      <w:r w:rsidR="00A739E4">
        <w:t xml:space="preserve">a subset of </w:t>
      </w:r>
      <w:r w:rsidR="00A739E4" w:rsidRPr="00BC7C3B">
        <w:t>program participants during site visits. The objective of the focus groups will be to explore participants’ perspectives on the availability, quality, and value of program services. The focus groups will be used to learn about participants’ motivations for enrolling in the program, their participation and response to incentives offered, their experiences with each of the core services offered, their perceptions of the benefits of participation, and their overall satisfaction with program services.</w:t>
      </w:r>
      <w:r w:rsidR="00930858">
        <w:t xml:space="preserve"> </w:t>
      </w:r>
    </w:p>
    <w:p w:rsidR="00BC7C3B" w:rsidRDefault="00623C48" w:rsidP="00930858">
      <w:pPr>
        <w:pStyle w:val="NormalSS"/>
      </w:pPr>
      <w:r>
        <w:t xml:space="preserve">Two rounds of focus groups will be conducted, corresponding with the two rounds of site visits. During each round, up to four focus groups of 8 to 10 youth each will be conducted in each of the four or five IIS sites. </w:t>
      </w:r>
      <w:r w:rsidR="0011062D">
        <w:t xml:space="preserve">Participants will be selected randomly to </w:t>
      </w:r>
      <w:r w:rsidR="00DD4F9B">
        <w:t>participate</w:t>
      </w:r>
      <w:r w:rsidR="0011062D">
        <w:t xml:space="preserve"> in focus groups</w:t>
      </w:r>
      <w:r>
        <w:t xml:space="preserve"> among youth who have completed the core program services.</w:t>
      </w:r>
    </w:p>
    <w:p w:rsidR="001F5ECD" w:rsidRPr="0029156C" w:rsidRDefault="00721FFE" w:rsidP="00930858">
      <w:pPr>
        <w:pStyle w:val="NormalSS"/>
      </w:pPr>
      <w:r w:rsidRPr="00C04148">
        <w:rPr>
          <w:b/>
          <w:i/>
        </w:rPr>
        <w:t xml:space="preserve">Program </w:t>
      </w:r>
      <w:r w:rsidR="001F5ECD" w:rsidRPr="00C04148">
        <w:rPr>
          <w:b/>
          <w:i/>
        </w:rPr>
        <w:t xml:space="preserve">Attendance Data for the IIS Implementation Analysis. </w:t>
      </w:r>
      <w:r w:rsidR="00C04148">
        <w:t>P</w:t>
      </w:r>
      <w:r w:rsidR="0029156C" w:rsidRPr="00C04148">
        <w:t xml:space="preserve">rogram attendance data will be collected for every participant at </w:t>
      </w:r>
      <w:r w:rsidR="004033E6">
        <w:t>each</w:t>
      </w:r>
      <w:r w:rsidR="0029156C" w:rsidRPr="00C04148">
        <w:t xml:space="preserve"> IIS site. </w:t>
      </w:r>
      <w:r w:rsidR="00C04148">
        <w:t>If the site maintains this attendance information in its existin</w:t>
      </w:r>
      <w:r w:rsidR="004033E6">
        <w:t>g administrative records system</w:t>
      </w:r>
      <w:r w:rsidR="00C04148">
        <w:t xml:space="preserve">, </w:t>
      </w:r>
      <w:r w:rsidR="004033E6">
        <w:t xml:space="preserve">sites will extract </w:t>
      </w:r>
      <w:r w:rsidR="00C04148">
        <w:t xml:space="preserve">these data </w:t>
      </w:r>
      <w:r w:rsidR="004033E6">
        <w:t>from their administrative system and provide it to the evaluation team. If the site does not already collect this attendance information, site staff will record participant attendance on a form provided by the evaluation team (Instrument 10). Attendance</w:t>
      </w:r>
      <w:r w:rsidR="0029156C" w:rsidRPr="00C04148">
        <w:t xml:space="preserve"> data will </w:t>
      </w:r>
      <w:r w:rsidR="004033E6">
        <w:t>allow the evaluation team to document the proportion of program services that was actually delivered to participants. It will also allow the evaluation team to conduc</w:t>
      </w:r>
      <w:r w:rsidR="00487DDC">
        <w:t>t</w:t>
      </w:r>
      <w:r w:rsidR="004033E6">
        <w:t xml:space="preserve"> exploratory impact analyses o</w:t>
      </w:r>
      <w:r w:rsidR="00487DDC">
        <w:t>f</w:t>
      </w:r>
      <w:r w:rsidR="004033E6">
        <w:t xml:space="preserve"> the impact of these programs on </w:t>
      </w:r>
      <w:r w:rsidR="00487DDC">
        <w:t xml:space="preserve">the </w:t>
      </w:r>
      <w:r w:rsidR="004033E6">
        <w:t>youth who actually received the core services</w:t>
      </w:r>
      <w:r w:rsidR="0029156C" w:rsidRPr="00C04148">
        <w:t>.</w:t>
      </w:r>
      <w:r w:rsidR="0029156C">
        <w:t xml:space="preserve"> </w:t>
      </w:r>
    </w:p>
    <w:p w:rsidR="0023364C" w:rsidRPr="000C3568" w:rsidRDefault="00AB4B33" w:rsidP="000A239E">
      <w:pPr>
        <w:pStyle w:val="Heading2Black"/>
      </w:pPr>
      <w:bookmarkStart w:id="27" w:name="_Toc320884921"/>
      <w:bookmarkStart w:id="28" w:name="_Toc324845912"/>
      <w:bookmarkStart w:id="29" w:name="_Toc352328729"/>
      <w:bookmarkStart w:id="30" w:name="_Toc353957898"/>
      <w:bookmarkStart w:id="31" w:name="_Toc355704762"/>
      <w:r>
        <w:t>B3.</w:t>
      </w:r>
      <w:r w:rsidR="00B61A39">
        <w:tab/>
      </w:r>
      <w:r w:rsidR="0023364C" w:rsidRPr="000C3568">
        <w:t>Methods to Maximize Re</w:t>
      </w:r>
      <w:r w:rsidR="00050FBD">
        <w:t>sponse Rates and Deal with Non-R</w:t>
      </w:r>
      <w:r w:rsidR="0023364C" w:rsidRPr="000C3568">
        <w:t>esponse</w:t>
      </w:r>
      <w:bookmarkEnd w:id="27"/>
      <w:bookmarkEnd w:id="28"/>
      <w:bookmarkEnd w:id="29"/>
      <w:bookmarkEnd w:id="30"/>
      <w:bookmarkEnd w:id="31"/>
    </w:p>
    <w:p w:rsidR="00612D9A" w:rsidRDefault="00612D9A" w:rsidP="000A239E">
      <w:pPr>
        <w:pStyle w:val="NormalSS"/>
      </w:pPr>
      <w:r>
        <w:rPr>
          <w:b/>
        </w:rPr>
        <w:t xml:space="preserve">Performance </w:t>
      </w:r>
      <w:r w:rsidR="00841524">
        <w:rPr>
          <w:b/>
        </w:rPr>
        <w:t>Analysis</w:t>
      </w:r>
      <w:r>
        <w:rPr>
          <w:b/>
        </w:rPr>
        <w:t xml:space="preserve"> Study.</w:t>
      </w:r>
      <w:r>
        <w:t xml:space="preserve"> Response rates for PAS participants will be maximized through the administration of entry surveys to participants at enrollment and administration of the exit surveys during the final program sessions. Where feasible, exit surveys will be administered on an individualized basis to program exiters who are absent during final sessions when surveys are completed. </w:t>
      </w:r>
    </w:p>
    <w:p w:rsidR="00612D9A" w:rsidRDefault="00612D9A" w:rsidP="000A239E">
      <w:pPr>
        <w:pStyle w:val="NormalSS"/>
      </w:pPr>
      <w:r>
        <w:lastRenderedPageBreak/>
        <w:t>To reduce CPREP grantee burden and maximize CPREP grantee response rates, ACF is streamlining the PAS administrative data reporting process by providing common data element definitions across PREP program models and collecting these data in a uniform manner through the PREP report</w:t>
      </w:r>
      <w:r w:rsidR="000557AA">
        <w:t>ing instrument (see Instrument 3</w:t>
      </w:r>
      <w:r>
        <w:t xml:space="preserve">). Because the submission of the performance measures data is a grant requirement, except in cases when waivers are extended for the sensitive questions on the participant entry and exit surveys, ACF does not expect problems with non-response. </w:t>
      </w:r>
    </w:p>
    <w:p w:rsidR="00612D9A" w:rsidRDefault="00612D9A" w:rsidP="000A239E">
      <w:pPr>
        <w:pStyle w:val="NormalSS"/>
      </w:pPr>
      <w:r>
        <w:t xml:space="preserve">The methods described for the CPREP grantees are identical to those approved for the PREP grantees by the OMB on March 12, 2013 (OMB Control Number 0970-0398). </w:t>
      </w:r>
      <w:r w:rsidR="00625ACD">
        <w:t xml:space="preserve"> </w:t>
      </w:r>
    </w:p>
    <w:p w:rsidR="0035661B" w:rsidRDefault="00BD3B9A" w:rsidP="000A239E">
      <w:pPr>
        <w:pStyle w:val="NormalSS"/>
        <w:rPr>
          <w:b/>
        </w:rPr>
      </w:pPr>
      <w:r>
        <w:rPr>
          <w:b/>
        </w:rPr>
        <w:t>Impact and In-Depth Implementation Study</w:t>
      </w:r>
      <w:r w:rsidR="00DB67A2" w:rsidRPr="00812B6E">
        <w:rPr>
          <w:b/>
        </w:rPr>
        <w:t>.</w:t>
      </w:r>
      <w:r w:rsidR="00DB67A2">
        <w:rPr>
          <w:b/>
        </w:rPr>
        <w:t xml:space="preserve"> </w:t>
      </w:r>
    </w:p>
    <w:p w:rsidR="00B9459A" w:rsidRDefault="006351D4" w:rsidP="000A239E">
      <w:pPr>
        <w:pStyle w:val="NormalSS"/>
        <w:rPr>
          <w:rFonts w:cs="Garamond"/>
        </w:rPr>
      </w:pPr>
      <w:r w:rsidRPr="006351D4">
        <w:rPr>
          <w:b/>
          <w:i/>
        </w:rPr>
        <w:t>IIS Impact Analysis.</w:t>
      </w:r>
      <w:r w:rsidR="0035661B">
        <w:rPr>
          <w:b/>
        </w:rPr>
        <w:t xml:space="preserve"> </w:t>
      </w:r>
      <w:r w:rsidR="00DB67A2">
        <w:rPr>
          <w:rFonts w:cs="Garamond-Bold"/>
          <w:bCs/>
        </w:rPr>
        <w:t>ACF expects to</w:t>
      </w:r>
      <w:r w:rsidR="0023364C" w:rsidRPr="000C3568">
        <w:rPr>
          <w:rFonts w:cs="Garamond"/>
        </w:rPr>
        <w:t xml:space="preserve"> achieve </w:t>
      </w:r>
      <w:r w:rsidR="000701B6">
        <w:rPr>
          <w:rFonts w:cs="Garamond"/>
        </w:rPr>
        <w:t xml:space="preserve">a </w:t>
      </w:r>
      <w:r w:rsidR="0023364C" w:rsidRPr="000C3568">
        <w:rPr>
          <w:rFonts w:cs="Garamond"/>
        </w:rPr>
        <w:t>response</w:t>
      </w:r>
      <w:r w:rsidR="000701B6">
        <w:rPr>
          <w:rFonts w:cs="Garamond"/>
        </w:rPr>
        <w:t xml:space="preserve"> rate</w:t>
      </w:r>
      <w:r w:rsidR="00DB67A2">
        <w:rPr>
          <w:rFonts w:cs="Garamond"/>
        </w:rPr>
        <w:t xml:space="preserve"> of </w:t>
      </w:r>
      <w:r w:rsidR="00CF5093">
        <w:rPr>
          <w:rFonts w:cs="Garamond"/>
        </w:rPr>
        <w:t>80 percent for the first follow-up survey and 75 percent for the second follow-up</w:t>
      </w:r>
      <w:r w:rsidR="00AB4B33">
        <w:rPr>
          <w:rFonts w:cs="Garamond"/>
        </w:rPr>
        <w:t xml:space="preserve">. </w:t>
      </w:r>
      <w:r w:rsidR="002D1D9A">
        <w:rPr>
          <w:rFonts w:cs="Garamond"/>
        </w:rPr>
        <w:t xml:space="preserve">We can expect </w:t>
      </w:r>
      <w:r w:rsidR="00AB05FB">
        <w:rPr>
          <w:rFonts w:cs="Garamond"/>
        </w:rPr>
        <w:t>to achieve these completion rates for several reasons. The first follow-up survey administration will occur at</w:t>
      </w:r>
      <w:r w:rsidR="00177B2C">
        <w:rPr>
          <w:rFonts w:cs="Garamond"/>
        </w:rPr>
        <w:t xml:space="preserve"> 8-12</w:t>
      </w:r>
      <w:r w:rsidR="00AB05FB">
        <w:rPr>
          <w:rFonts w:cs="Garamond"/>
        </w:rPr>
        <w:t xml:space="preserve"> months after </w:t>
      </w:r>
      <w:r w:rsidR="00B9459A">
        <w:rPr>
          <w:rFonts w:cs="Garamond"/>
        </w:rPr>
        <w:t>random assignment</w:t>
      </w:r>
      <w:r w:rsidR="00AB05FB">
        <w:rPr>
          <w:rFonts w:cs="Garamond"/>
        </w:rPr>
        <w:t xml:space="preserve">. </w:t>
      </w:r>
      <w:r w:rsidR="00AB4B33" w:rsidRPr="00AB4B33">
        <w:rPr>
          <w:rFonts w:cs="Garamond"/>
        </w:rPr>
        <w:t xml:space="preserve">This timing will ensure contact data are </w:t>
      </w:r>
      <w:r w:rsidR="00AB05FB">
        <w:rPr>
          <w:rFonts w:cs="Garamond"/>
        </w:rPr>
        <w:t xml:space="preserve">quite </w:t>
      </w:r>
      <w:r w:rsidR="00AB4B33" w:rsidRPr="00AB4B33">
        <w:rPr>
          <w:rFonts w:cs="Garamond"/>
        </w:rPr>
        <w:t>current</w:t>
      </w:r>
      <w:r w:rsidR="00B9459A">
        <w:rPr>
          <w:rFonts w:cs="Garamond"/>
        </w:rPr>
        <w:t>, which should minimize location problems</w:t>
      </w:r>
      <w:r w:rsidR="00AB05FB">
        <w:rPr>
          <w:rFonts w:cs="Garamond"/>
        </w:rPr>
        <w:t>.</w:t>
      </w:r>
      <w:r w:rsidR="00D969FD">
        <w:rPr>
          <w:rFonts w:cs="Garamond"/>
        </w:rPr>
        <w:t xml:space="preserve"> In </w:t>
      </w:r>
      <w:r w:rsidR="00B9459A">
        <w:rPr>
          <w:rFonts w:cs="Garamond"/>
        </w:rPr>
        <w:t>school-based</w:t>
      </w:r>
      <w:r w:rsidR="00D969FD">
        <w:rPr>
          <w:rFonts w:cs="Garamond"/>
        </w:rPr>
        <w:t xml:space="preserve"> sites, </w:t>
      </w:r>
      <w:r w:rsidR="00B9459A">
        <w:rPr>
          <w:rFonts w:cs="Garamond"/>
        </w:rPr>
        <w:t>in many cases, youth will be enrolled in the same schools at follow-up that they were enrolled in at baseline, simplifying locating efforts and improving response rates</w:t>
      </w:r>
      <w:r w:rsidR="00AB4B33" w:rsidRPr="00AB4B33">
        <w:rPr>
          <w:rFonts w:cs="Garamond"/>
        </w:rPr>
        <w:t>.</w:t>
      </w:r>
      <w:r w:rsidR="00760350">
        <w:rPr>
          <w:rFonts w:cs="Garamond"/>
        </w:rPr>
        <w:t xml:space="preserve"> </w:t>
      </w:r>
    </w:p>
    <w:p w:rsidR="00760350" w:rsidRDefault="00760350" w:rsidP="000A239E">
      <w:pPr>
        <w:pStyle w:val="NormalSS"/>
      </w:pPr>
      <w:r>
        <w:t xml:space="preserve">In addition, </w:t>
      </w:r>
      <w:r>
        <w:rPr>
          <w:bCs/>
        </w:rPr>
        <w:t xml:space="preserve">we expect that obtaining the site’s </w:t>
      </w:r>
      <w:r>
        <w:t xml:space="preserve">willing assistance will be very important to maximizing the response rate; we will invest significant effort in gaining their </w:t>
      </w:r>
      <w:r w:rsidRPr="00381FE6">
        <w:t>cooperation</w:t>
      </w:r>
      <w:r>
        <w:t xml:space="preserve"> from the beginning of the study</w:t>
      </w:r>
      <w:r w:rsidRPr="00381FE6">
        <w:t>, minimizing burden on site</w:t>
      </w:r>
      <w:r>
        <w:t xml:space="preserve">s </w:t>
      </w:r>
      <w:r w:rsidRPr="00381FE6">
        <w:t xml:space="preserve">and assuring privacy </w:t>
      </w:r>
      <w:r>
        <w:t>to the youth participants</w:t>
      </w:r>
      <w:r w:rsidRPr="00381FE6">
        <w:t>.</w:t>
      </w:r>
      <w:r>
        <w:t xml:space="preserve"> </w:t>
      </w:r>
      <w:r w:rsidRPr="00381FE6">
        <w:t xml:space="preserve">Sites will be given detailed information about the surveys, how they will be administered and on what schedule, what involvement and time will be required of school </w:t>
      </w:r>
      <w:r>
        <w:t xml:space="preserve">or organization </w:t>
      </w:r>
      <w:r w:rsidRPr="00381FE6">
        <w:t xml:space="preserve">staff, </w:t>
      </w:r>
      <w:r>
        <w:t xml:space="preserve">and </w:t>
      </w:r>
      <w:r w:rsidRPr="00381FE6">
        <w:t>how data will be used and protected</w:t>
      </w:r>
      <w:r>
        <w:t xml:space="preserve">. Bringing sites into the process while minimizing burden will </w:t>
      </w:r>
      <w:r w:rsidR="00B9459A">
        <w:t>en</w:t>
      </w:r>
      <w:r>
        <w:t xml:space="preserve">sure site support of the PREP data collections. </w:t>
      </w:r>
      <w:r w:rsidR="00B9459A">
        <w:t>B</w:t>
      </w:r>
      <w:r>
        <w:t xml:space="preserve">y applying identical methods for maximizing the response rates of the treatment and control groups, </w:t>
      </w:r>
      <w:r w:rsidR="00B9459A">
        <w:t>the evaluation team does not</w:t>
      </w:r>
      <w:r>
        <w:t xml:space="preserve"> anticipate differences in </w:t>
      </w:r>
      <w:r w:rsidR="00B9459A">
        <w:t>response</w:t>
      </w:r>
      <w:r>
        <w:t xml:space="preserve"> rates</w:t>
      </w:r>
      <w:r w:rsidR="00B9459A">
        <w:t xml:space="preserve"> across research </w:t>
      </w:r>
      <w:r>
        <w:t>groups.</w:t>
      </w:r>
    </w:p>
    <w:p w:rsidR="00760350" w:rsidRDefault="00760350" w:rsidP="000A239E">
      <w:pPr>
        <w:pStyle w:val="NormalSS"/>
      </w:pPr>
      <w:r>
        <w:t>Prior to follow-up survey administration in the school-based</w:t>
      </w:r>
      <w:r w:rsidR="005D794D">
        <w:t xml:space="preserve"> sites, the evaluation team</w:t>
      </w:r>
      <w:r>
        <w:t xml:space="preserve"> will work closely with school contacts to locate respondents in their new classrooms. </w:t>
      </w:r>
      <w:r w:rsidR="005D794D">
        <w:t>Evaluation team members</w:t>
      </w:r>
      <w:r>
        <w:t xml:space="preserve"> will ask schools to post reminders and make announcements prior to and on the day of the survey administration to maximize attendance. On the day of the survey administration, contractor staff will take attendance prior to beginning administration and immediately follow-up with the school contact regarding any unexpected absentees. </w:t>
      </w:r>
      <w:r w:rsidR="005D794D">
        <w:t>Sample</w:t>
      </w:r>
      <w:r>
        <w:t xml:space="preserve"> members who have transferred schools or moved out of the area will be tracked and given the option to complete the survey by telephone.</w:t>
      </w:r>
    </w:p>
    <w:p w:rsidR="00760350" w:rsidRPr="00381FE6" w:rsidRDefault="00760350" w:rsidP="000A239E">
      <w:pPr>
        <w:pStyle w:val="NormalSS"/>
      </w:pPr>
      <w:r>
        <w:t xml:space="preserve">In sites where group-based administration is not possible, </w:t>
      </w:r>
      <w:r w:rsidR="00DF0499">
        <w:t xml:space="preserve">such as HFSA, </w:t>
      </w:r>
      <w:r>
        <w:t>an advance letter will be sent to sample members, notifying them of the data collection and providing them with the information necessary to complete the survey over the phone. Additional telephone</w:t>
      </w:r>
      <w:r w:rsidR="00816EDF">
        <w:t>, email and text</w:t>
      </w:r>
      <w:r>
        <w:t xml:space="preserve"> prompts </w:t>
      </w:r>
      <w:r w:rsidR="00816EDF">
        <w:t xml:space="preserve">to youth and parents </w:t>
      </w:r>
      <w:r w:rsidR="00E80C36">
        <w:t>will be conducted as needed (Attachment J).</w:t>
      </w:r>
    </w:p>
    <w:p w:rsidR="00760350" w:rsidRDefault="00760350" w:rsidP="000A239E">
      <w:pPr>
        <w:pStyle w:val="NormalSS"/>
      </w:pPr>
      <w:r>
        <w:t xml:space="preserve">Additionally, </w:t>
      </w:r>
      <w:r w:rsidR="0035661B">
        <w:t>gift cards</w:t>
      </w:r>
      <w:r>
        <w:t xml:space="preserve"> will be provided to respondents to encourage participation in the survey.</w:t>
      </w:r>
      <w:r w:rsidRPr="004C13D8">
        <w:t xml:space="preserve"> </w:t>
      </w:r>
      <w:r>
        <w:t xml:space="preserve">For </w:t>
      </w:r>
      <w:r w:rsidR="005D794D">
        <w:t>group</w:t>
      </w:r>
      <w:r w:rsidR="00F73CC5">
        <w:t xml:space="preserve"> </w:t>
      </w:r>
      <w:r>
        <w:t>administration, a $</w:t>
      </w:r>
      <w:r w:rsidR="005D794D">
        <w:t>15</w:t>
      </w:r>
      <w:r>
        <w:t xml:space="preserve"> gift card </w:t>
      </w:r>
      <w:r w:rsidR="00AD3060">
        <w:t>will be</w:t>
      </w:r>
      <w:r>
        <w:t xml:space="preserve"> provided to participants completing the </w:t>
      </w:r>
      <w:r w:rsidR="00AD3060">
        <w:t xml:space="preserve">first follow-up </w:t>
      </w:r>
      <w:r>
        <w:t xml:space="preserve">survey </w:t>
      </w:r>
      <w:r w:rsidR="00AD3060">
        <w:t>and a $2</w:t>
      </w:r>
      <w:r w:rsidR="005D794D">
        <w:t>0</w:t>
      </w:r>
      <w:r w:rsidR="00AD3060">
        <w:t xml:space="preserve"> gift card will be provided to participants completing the second follow-up survey. For participants who complete the survey by </w:t>
      </w:r>
      <w:r w:rsidR="005D794D">
        <w:t>tele</w:t>
      </w:r>
      <w:r w:rsidR="00AD3060">
        <w:t xml:space="preserve">phone, </w:t>
      </w:r>
      <w:r>
        <w:t>a $</w:t>
      </w:r>
      <w:r w:rsidR="005D794D">
        <w:t>20</w:t>
      </w:r>
      <w:r>
        <w:t xml:space="preserve"> gift card </w:t>
      </w:r>
      <w:r w:rsidR="00AD3060">
        <w:t xml:space="preserve">will be </w:t>
      </w:r>
      <w:r>
        <w:t xml:space="preserve">provided to those completing the </w:t>
      </w:r>
      <w:r w:rsidR="00AD3060">
        <w:t xml:space="preserve">first follow-up </w:t>
      </w:r>
      <w:r>
        <w:t xml:space="preserve">survey </w:t>
      </w:r>
      <w:r w:rsidR="00AD3060">
        <w:t>and a $</w:t>
      </w:r>
      <w:r w:rsidR="005D794D">
        <w:t>25</w:t>
      </w:r>
      <w:r w:rsidR="00AD3060">
        <w:t xml:space="preserve"> gift card will be provided to participants </w:t>
      </w:r>
      <w:r w:rsidR="00AD3060">
        <w:lastRenderedPageBreak/>
        <w:t>completing the second follow-up survey.</w:t>
      </w:r>
      <w:r>
        <w:t xml:space="preserve"> </w:t>
      </w:r>
      <w:r w:rsidR="0035661B">
        <w:t xml:space="preserve">A $25 gift card, as opposed to a $20 gift </w:t>
      </w:r>
      <w:r w:rsidR="007152FA">
        <w:t>card is</w:t>
      </w:r>
      <w:r>
        <w:t xml:space="preserve"> offered to respondents </w:t>
      </w:r>
      <w:r w:rsidR="005D794D">
        <w:t xml:space="preserve">to telephone surveys </w:t>
      </w:r>
      <w:r>
        <w:t xml:space="preserve">because completion outside of group administration requires greater initiative and cooperation on behalf of the respondent, as well as additional time outside of the school </w:t>
      </w:r>
      <w:r w:rsidR="009D34F7">
        <w:t xml:space="preserve">or their ordinary </w:t>
      </w:r>
      <w:r>
        <w:t xml:space="preserve">day.  </w:t>
      </w:r>
    </w:p>
    <w:p w:rsidR="0023364C" w:rsidRDefault="005D794D" w:rsidP="000A239E">
      <w:pPr>
        <w:pStyle w:val="NormalSS"/>
        <w:rPr>
          <w:rFonts w:cs="Garamond"/>
        </w:rPr>
      </w:pPr>
      <w:r>
        <w:t>The evaluation team anticipates high response rates to follow-up surveys. Even so, the team will</w:t>
      </w:r>
      <w:r w:rsidR="00760350">
        <w:t xml:space="preserve"> take steps to understand the nature of any non-response and to account for the threat that it may pose for the validity of the study’s impact estimates</w:t>
      </w:r>
      <w:r w:rsidR="00760350" w:rsidRPr="00381FE6">
        <w:t>.</w:t>
      </w:r>
      <w:r w:rsidR="00760350">
        <w:t xml:space="preserve"> Using data from the baseline survey, </w:t>
      </w:r>
      <w:r>
        <w:t>evaluation team members</w:t>
      </w:r>
      <w:r w:rsidR="00760350">
        <w:t xml:space="preserve"> will first test for statistically significant differences across demographic and baseline outcome variables</w:t>
      </w:r>
      <w:r w:rsidR="009D34F7">
        <w:t xml:space="preserve"> between respondents </w:t>
      </w:r>
      <w:r w:rsidR="009D34F7" w:rsidRPr="00843898">
        <w:t>and nonrespondents</w:t>
      </w:r>
      <w:r w:rsidR="00760350" w:rsidRPr="00843898">
        <w:t xml:space="preserve">. </w:t>
      </w:r>
      <w:r w:rsidR="00D36C73">
        <w:t xml:space="preserve">Any </w:t>
      </w:r>
      <w:r w:rsidR="00760350" w:rsidRPr="00843898">
        <w:t xml:space="preserve">such differences </w:t>
      </w:r>
      <w:r w:rsidR="00D36C73">
        <w:t xml:space="preserve">will be controlled for in the analyses </w:t>
      </w:r>
      <w:r w:rsidR="00760350" w:rsidRPr="00843898">
        <w:t xml:space="preserve">by using </w:t>
      </w:r>
      <w:r w:rsidR="00214BCD">
        <w:t>non-response weights. The team will also test for differences between the research groups in their baseline characteristics and control for these differences using covariates when estimating program impacts</w:t>
      </w:r>
      <w:r w:rsidR="00760350" w:rsidRPr="00843898">
        <w:t xml:space="preserve"> (</w:t>
      </w:r>
      <w:r w:rsidR="00843898" w:rsidRPr="00843898">
        <w:t>see Attachment B</w:t>
      </w:r>
      <w:r w:rsidR="00760350" w:rsidRPr="00843898">
        <w:t xml:space="preserve">). </w:t>
      </w:r>
    </w:p>
    <w:p w:rsidR="00427469" w:rsidRPr="00AB4B33" w:rsidRDefault="006351D4" w:rsidP="000A239E">
      <w:pPr>
        <w:pStyle w:val="NormalSS"/>
        <w:rPr>
          <w:rFonts w:cs="Garamond"/>
        </w:rPr>
      </w:pPr>
      <w:r w:rsidRPr="006351D4">
        <w:rPr>
          <w:b/>
          <w:i/>
        </w:rPr>
        <w:t>IIS In-Depth Implementation Analysis.</w:t>
      </w:r>
      <w:r w:rsidR="0035661B">
        <w:t xml:space="preserve"> </w:t>
      </w:r>
      <w:r w:rsidR="00214BCD">
        <w:t xml:space="preserve">To ensure high response rates to data collection efforts associated with the IIS implementation analysis, site </w:t>
      </w:r>
      <w:r w:rsidR="002217EF" w:rsidRPr="00023E80">
        <w:t xml:space="preserve">visits will be planned well in advance so that all identified respondents can participate in individual or group interviews, as appropriate. </w:t>
      </w:r>
      <w:r w:rsidR="00214BCD">
        <w:t>To increase participation in focus groups, youth who are selected to participate will be offered a $25 gift card for participating</w:t>
      </w:r>
      <w:r w:rsidR="00581A0E">
        <w:t>.</w:t>
      </w:r>
      <w:r w:rsidR="001F5ECD">
        <w:t xml:space="preserve"> </w:t>
      </w:r>
      <w:r w:rsidR="00487DDC">
        <w:t>To ensure that attendance data are recorded completely and accurately, the evaluation team will routinely review attendance information provided by sites and follow up with program staff if information is incomplete.</w:t>
      </w:r>
      <w:r w:rsidR="001F5ECD">
        <w:t xml:space="preserve"> </w:t>
      </w:r>
    </w:p>
    <w:p w:rsidR="0023364C" w:rsidRPr="000C3568" w:rsidRDefault="00AB4B33" w:rsidP="000A239E">
      <w:pPr>
        <w:pStyle w:val="Heading2Black"/>
      </w:pPr>
      <w:bookmarkStart w:id="32" w:name="_Toc320884922"/>
      <w:bookmarkStart w:id="33" w:name="_Toc324845913"/>
      <w:bookmarkStart w:id="34" w:name="_Toc352328730"/>
      <w:bookmarkStart w:id="35" w:name="_Toc353957899"/>
      <w:bookmarkStart w:id="36" w:name="_Toc355704763"/>
      <w:r>
        <w:t>B4.</w:t>
      </w:r>
      <w:r w:rsidR="000A239E">
        <w:tab/>
      </w:r>
      <w:r w:rsidR="0023364C" w:rsidRPr="000C3568">
        <w:t>Test of Procedures or Methods to be Undertaken</w:t>
      </w:r>
      <w:bookmarkEnd w:id="32"/>
      <w:bookmarkEnd w:id="33"/>
      <w:bookmarkEnd w:id="34"/>
      <w:bookmarkEnd w:id="35"/>
      <w:bookmarkEnd w:id="36"/>
    </w:p>
    <w:p w:rsidR="00071B51" w:rsidRDefault="00071B51" w:rsidP="000A239E">
      <w:pPr>
        <w:pStyle w:val="NormalSS"/>
      </w:pPr>
      <w:r>
        <w:rPr>
          <w:b/>
        </w:rPr>
        <w:t>Performance Analysis Study.</w:t>
      </w:r>
      <w:r>
        <w:t xml:space="preserve"> Cognitive pretesting with nine youth ages 13 to 18 has been conducted for both the PAS entry and exit surveys. The cognitive pretest sample </w:t>
      </w:r>
      <w:r w:rsidR="00364631">
        <w:t xml:space="preserve">included males and females and included youth from a mix of racial and ethnic backgrounds. Survey questions have been revised based on the results of these tests. </w:t>
      </w:r>
    </w:p>
    <w:p w:rsidR="00364631" w:rsidRPr="00071B51" w:rsidRDefault="00364631" w:rsidP="000A239E">
      <w:pPr>
        <w:pStyle w:val="NormalSS"/>
      </w:pPr>
      <w:r>
        <w:t>To ensure that the PREP reporting system functions as intended and in a user-friendly manner for grantees’ entry of administrative performance m</w:t>
      </w:r>
      <w:r w:rsidR="00032919">
        <w:t>easurement data, the system was</w:t>
      </w:r>
      <w:r>
        <w:t xml:space="preserve"> tested by an </w:t>
      </w:r>
      <w:r w:rsidR="00841524">
        <w:t>internal</w:t>
      </w:r>
      <w:r>
        <w:t xml:space="preserve"> team of PAS reviewers who designed the system specifications, independent of the </w:t>
      </w:r>
      <w:r w:rsidR="00032919">
        <w:t>system developer. This team has</w:t>
      </w:r>
      <w:r>
        <w:t xml:space="preserve"> review</w:t>
      </w:r>
      <w:r w:rsidR="00032919">
        <w:t>ed</w:t>
      </w:r>
      <w:r>
        <w:t xml:space="preserve"> all data import/entry, reporting, calculation, and extract functions of the system to ensure that grantee end-users will find the system to be efficient and user-friendly. </w:t>
      </w:r>
    </w:p>
    <w:p w:rsidR="00FC3C7E" w:rsidRDefault="006C4E38" w:rsidP="000A239E">
      <w:pPr>
        <w:pStyle w:val="NormalSS"/>
      </w:pPr>
      <w:r>
        <w:rPr>
          <w:b/>
        </w:rPr>
        <w:t xml:space="preserve">Impact </w:t>
      </w:r>
      <w:r w:rsidR="00BD3B9A">
        <w:rPr>
          <w:b/>
        </w:rPr>
        <w:t xml:space="preserve">and In-Depth Implementation </w:t>
      </w:r>
      <w:r>
        <w:rPr>
          <w:b/>
        </w:rPr>
        <w:t>Study</w:t>
      </w:r>
      <w:r w:rsidR="00FC3C7E" w:rsidRPr="00812B6E">
        <w:rPr>
          <w:b/>
        </w:rPr>
        <w:t>.</w:t>
      </w:r>
      <w:r w:rsidR="00FC3C7E">
        <w:rPr>
          <w:b/>
        </w:rPr>
        <w:t xml:space="preserve"> </w:t>
      </w:r>
      <w:r w:rsidR="00FC3C7E">
        <w:t xml:space="preserve">As discussed in Part A of this information </w:t>
      </w:r>
      <w:r w:rsidR="00791D74">
        <w:t xml:space="preserve">collection request, </w:t>
      </w:r>
      <w:r w:rsidR="000800D1">
        <w:t>the follow-up survey is very similar to the baseline survey,</w:t>
      </w:r>
      <w:r w:rsidR="000436A8">
        <w:t xml:space="preserve"> which </w:t>
      </w:r>
      <w:r w:rsidR="000800D1">
        <w:t>recently received OMB clearance</w:t>
      </w:r>
      <w:r w:rsidR="00FE6327">
        <w:t>,</w:t>
      </w:r>
      <w:r w:rsidR="000800D1">
        <w:t xml:space="preserve"> and to the PPA baseline and follow-up surveys.</w:t>
      </w:r>
      <w:r w:rsidR="00791D74" w:rsidRPr="00791D74">
        <w:t xml:space="preserve"> </w:t>
      </w:r>
      <w:r w:rsidR="00EB2350">
        <w:t xml:space="preserve">The </w:t>
      </w:r>
      <w:r w:rsidR="000800D1">
        <w:t xml:space="preserve">OMB-approved </w:t>
      </w:r>
      <w:r w:rsidR="00791D74" w:rsidRPr="00791D74">
        <w:t xml:space="preserve">PPA baseline </w:t>
      </w:r>
      <w:r w:rsidR="00386FB4">
        <w:t xml:space="preserve">and follow-up </w:t>
      </w:r>
      <w:r w:rsidR="00791D74" w:rsidRPr="00791D74">
        <w:t>survey</w:t>
      </w:r>
      <w:r w:rsidR="00386FB4">
        <w:t>s</w:t>
      </w:r>
      <w:r w:rsidR="00791D74" w:rsidRPr="00791D74">
        <w:t xml:space="preserve"> </w:t>
      </w:r>
      <w:r w:rsidR="00791D74">
        <w:t>w</w:t>
      </w:r>
      <w:r w:rsidR="00386FB4">
        <w:t>ere</w:t>
      </w:r>
      <w:r w:rsidR="00791D74">
        <w:t xml:space="preserve"> pre-tested prior to receiving OMB clearance</w:t>
      </w:r>
      <w:r w:rsidR="00FE6327">
        <w:t xml:space="preserve"> and have been</w:t>
      </w:r>
      <w:r w:rsidR="00791D74" w:rsidRPr="00791D74">
        <w:t xml:space="preserve"> </w:t>
      </w:r>
      <w:r w:rsidR="00FE6327">
        <w:t xml:space="preserve">administered to </w:t>
      </w:r>
      <w:r w:rsidR="00791D74">
        <w:t xml:space="preserve">approximately </w:t>
      </w:r>
      <w:r w:rsidR="00811E47">
        <w:t>5,000</w:t>
      </w:r>
      <w:r w:rsidR="00FE6327">
        <w:t xml:space="preserve"> and 2,500</w:t>
      </w:r>
      <w:r w:rsidR="00791D74">
        <w:t xml:space="preserve"> adolescents</w:t>
      </w:r>
      <w:r w:rsidR="00FE6327">
        <w:t>, respectively, as of March 2013</w:t>
      </w:r>
      <w:r w:rsidR="00791D74">
        <w:t xml:space="preserve">. </w:t>
      </w:r>
      <w:r w:rsidR="00FE6327">
        <w:t>N</w:t>
      </w:r>
      <w:r w:rsidR="00791D74">
        <w:t xml:space="preserve">ew items added specifically for PREP were generally drawn from established sources (see </w:t>
      </w:r>
      <w:r w:rsidR="00A13EB9">
        <w:t>Attachments</w:t>
      </w:r>
      <w:r w:rsidR="001F6A0C">
        <w:t xml:space="preserve"> </w:t>
      </w:r>
      <w:r w:rsidR="00F24DE6">
        <w:t>C</w:t>
      </w:r>
      <w:r w:rsidR="00CC19F0">
        <w:t xml:space="preserve"> and</w:t>
      </w:r>
      <w:r w:rsidR="00A13EB9">
        <w:t xml:space="preserve"> </w:t>
      </w:r>
      <w:r w:rsidR="00F24DE6">
        <w:t>D</w:t>
      </w:r>
      <w:r w:rsidR="001F6A0C">
        <w:t>).</w:t>
      </w:r>
    </w:p>
    <w:p w:rsidR="00581A0E" w:rsidRPr="00FC3C7E" w:rsidRDefault="00B06B9E" w:rsidP="000A239E">
      <w:pPr>
        <w:pStyle w:val="NormalSS"/>
        <w:rPr>
          <w:highlight w:val="yellow"/>
        </w:rPr>
      </w:pPr>
      <w:r>
        <w:t xml:space="preserve">Attachment </w:t>
      </w:r>
      <w:r w:rsidR="00097FF9">
        <w:t xml:space="preserve">E </w:t>
      </w:r>
      <w:r>
        <w:t xml:space="preserve">provides a question-by-question source table for the </w:t>
      </w:r>
      <w:r w:rsidR="00BD3B9A">
        <w:t xml:space="preserve">IIS </w:t>
      </w:r>
      <w:r>
        <w:t xml:space="preserve">staff survey. </w:t>
      </w:r>
      <w:r w:rsidR="00F50E0E">
        <w:t xml:space="preserve">Many of the items are drawn from established sources and have been tested and refined through those survey efforts. </w:t>
      </w:r>
      <w:r>
        <w:t xml:space="preserve">Attachment </w:t>
      </w:r>
      <w:r w:rsidR="00097FF9">
        <w:t>F</w:t>
      </w:r>
      <w:r>
        <w:t xml:space="preserve"> provides an annotated list of the established sources.</w:t>
      </w:r>
    </w:p>
    <w:p w:rsidR="0023364C" w:rsidRPr="000C3568" w:rsidRDefault="00AB4B33" w:rsidP="000A239E">
      <w:pPr>
        <w:pStyle w:val="Heading2Black"/>
      </w:pPr>
      <w:bookmarkStart w:id="37" w:name="_Toc320884923"/>
      <w:bookmarkStart w:id="38" w:name="_Toc324845914"/>
      <w:bookmarkStart w:id="39" w:name="_Toc352328731"/>
      <w:bookmarkStart w:id="40" w:name="_Toc353957900"/>
      <w:bookmarkStart w:id="41" w:name="_Toc355704764"/>
      <w:r>
        <w:lastRenderedPageBreak/>
        <w:t>B5.</w:t>
      </w:r>
      <w:r w:rsidR="000A239E">
        <w:tab/>
      </w:r>
      <w:r w:rsidR="0023364C" w:rsidRPr="000C3568">
        <w:t>Individuals Consulted on Statistical Aspects and Individuals Collecting and/or Analyzing Data</w:t>
      </w:r>
      <w:bookmarkEnd w:id="37"/>
      <w:bookmarkEnd w:id="38"/>
      <w:bookmarkEnd w:id="39"/>
      <w:bookmarkEnd w:id="40"/>
      <w:bookmarkEnd w:id="41"/>
    </w:p>
    <w:p w:rsidR="00364631" w:rsidRDefault="00811E47" w:rsidP="000A239E">
      <w:pPr>
        <w:pStyle w:val="NormalSS"/>
      </w:pPr>
      <w:r>
        <w:rPr>
          <w:b/>
        </w:rPr>
        <w:t>Performance Analysis Study.</w:t>
      </w:r>
      <w:r>
        <w:t xml:space="preserve"> </w:t>
      </w:r>
      <w:r w:rsidR="00364631">
        <w:t xml:space="preserve">Data for the PAS will be collected by CPREP grantees. In some cases, grantees will have engaged local evaluators who will assist them in performance measure data collection. CPREP grantees will report these data in aggregate form into the PREP </w:t>
      </w:r>
      <w:r w:rsidR="00841524">
        <w:t>reporting</w:t>
      </w:r>
      <w:r w:rsidR="00364631">
        <w:t xml:space="preserve"> system that will be maintained by ACF’s </w:t>
      </w:r>
      <w:r w:rsidR="00841524">
        <w:t>contractor</w:t>
      </w:r>
      <w:r w:rsidR="00364631">
        <w:t xml:space="preserve">, RTI International. RTI International will provide data extracts from this reporting system to ACF’s evaluation contractor Mathematica Policy Research. </w:t>
      </w:r>
      <w:r w:rsidR="003F1B6F">
        <w:t xml:space="preserve">The data extract files will include data collected by CPREP grantees, as requested in this ICR, as well as PAS data collected by PREP grantees (approved on March 12, 2013 OMB Control Number 0970-0398). </w:t>
      </w:r>
      <w:r w:rsidR="00364631">
        <w:t xml:space="preserve">Mathematica and its subcontractor, Child Trends, will use these extract files to analyze PREP performance data and to generate performance measurement reports for ACF. </w:t>
      </w:r>
    </w:p>
    <w:p w:rsidR="00FC3C7E" w:rsidRDefault="00811E47" w:rsidP="000A239E">
      <w:pPr>
        <w:pStyle w:val="NormalSS"/>
      </w:pPr>
      <w:r>
        <w:rPr>
          <w:b/>
        </w:rPr>
        <w:t>Impact and In-Depth Implementation Study</w:t>
      </w:r>
      <w:r w:rsidRPr="00812B6E">
        <w:rPr>
          <w:b/>
        </w:rPr>
        <w:t>.</w:t>
      </w:r>
      <w:r>
        <w:rPr>
          <w:b/>
        </w:rPr>
        <w:t xml:space="preserve"> </w:t>
      </w:r>
      <w:r w:rsidR="00941FB5">
        <w:t>Follow-up</w:t>
      </w:r>
      <w:r w:rsidR="00177B2C">
        <w:t xml:space="preserve"> survey data for the Impact Study</w:t>
      </w:r>
      <w:r w:rsidR="00FC3C7E">
        <w:t xml:space="preserve"> will be collected and analyzed by ACF’s prime contracting organization, Mathematica Policy Research.</w:t>
      </w:r>
      <w:r w:rsidR="002217EF">
        <w:t xml:space="preserve"> </w:t>
      </w:r>
      <w:r w:rsidR="002217EF" w:rsidRPr="00023E80">
        <w:t>The P</w:t>
      </w:r>
      <w:r w:rsidR="00395E5C">
        <w:t>REP</w:t>
      </w:r>
      <w:r w:rsidR="00177B2C">
        <w:t xml:space="preserve"> I</w:t>
      </w:r>
      <w:r w:rsidR="002217EF" w:rsidRPr="00023E80">
        <w:t xml:space="preserve">mplementation </w:t>
      </w:r>
      <w:r w:rsidR="00177B2C">
        <w:t>S</w:t>
      </w:r>
      <w:r w:rsidR="002217EF" w:rsidRPr="00023E80">
        <w:t>tudy site visits will be conducted by ACF’s contracting organization, Mathematica Policy Research, and its subcontractors</w:t>
      </w:r>
      <w:r w:rsidR="009727CF">
        <w:t>,</w:t>
      </w:r>
      <w:r w:rsidR="002217EF" w:rsidRPr="00023E80">
        <w:t xml:space="preserve"> </w:t>
      </w:r>
      <w:r>
        <w:t>Twin Peaks and Child Trends</w:t>
      </w:r>
      <w:r w:rsidR="00F629CF">
        <w:t>.</w:t>
      </w:r>
      <w:r w:rsidR="002217EF" w:rsidRPr="00023E80">
        <w:t xml:space="preserve"> </w:t>
      </w:r>
    </w:p>
    <w:p w:rsidR="00B77155" w:rsidRPr="002472C5" w:rsidRDefault="00A13EB9" w:rsidP="002472C5">
      <w:pPr>
        <w:pStyle w:val="NormalSS"/>
        <w:rPr>
          <w:rFonts w:ascii="Arial" w:hAnsi="Arial" w:cs="Arial"/>
          <w:b/>
        </w:rPr>
      </w:pPr>
      <w:r>
        <w:t xml:space="preserve">Attachment </w:t>
      </w:r>
      <w:r w:rsidR="00B20491">
        <w:t>H</w:t>
      </w:r>
      <w:r>
        <w:t xml:space="preserve"> </w:t>
      </w:r>
      <w:r w:rsidR="00FC3C7E">
        <w:t xml:space="preserve">lists the individuals whom ACF consulted on the collection of the </w:t>
      </w:r>
      <w:r w:rsidR="00B20491">
        <w:t>PAS</w:t>
      </w:r>
      <w:r w:rsidR="00D03297">
        <w:t xml:space="preserve"> or</w:t>
      </w:r>
      <w:r w:rsidR="00B20491">
        <w:t xml:space="preserve"> </w:t>
      </w:r>
      <w:r w:rsidR="00FC3C7E">
        <w:t xml:space="preserve">IIS </w:t>
      </w:r>
      <w:r w:rsidR="00DF0499">
        <w:t>instruments</w:t>
      </w:r>
      <w:r w:rsidR="00FC3C7E">
        <w:t>.</w:t>
      </w:r>
      <w:r w:rsidR="00161242" w:rsidRPr="007C49C0">
        <w:rPr>
          <w:rFonts w:ascii="Lucida Sans" w:hAnsi="Lucida Sans"/>
        </w:rPr>
        <w:t xml:space="preserve"> </w:t>
      </w:r>
    </w:p>
    <w:sectPr w:rsidR="00B77155" w:rsidRPr="002472C5" w:rsidSect="00DD4F9B">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E61" w:rsidRDefault="004F1E61"/>
  </w:endnote>
  <w:endnote w:type="continuationSeparator" w:id="0">
    <w:p w:rsidR="004F1E61" w:rsidRDefault="004F1E61"/>
  </w:endnote>
  <w:endnote w:type="continuationNotice" w:id="1">
    <w:p w:rsidR="004F1E61" w:rsidRDefault="004F1E61"/>
    <w:p w:rsidR="004F1E61" w:rsidRDefault="004F1E61"/>
    <w:p w:rsidR="004F1E61" w:rsidRDefault="004F1E6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K:\Pregnancy Prevention\PREP\Evaluation\OMB\PREP PM, Follow-up Surveys, and Implementation Instruments\OMB package\Response to Passback\PREP Eval - FFUP+Implementation - Part B - revised - 10-15-13.docx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E61" w:rsidRDefault="004F1E61" w:rsidP="009F7524">
    <w:pPr>
      <w:pStyle w:val="Footer"/>
      <w:tabs>
        <w:tab w:val="clear" w:pos="4320"/>
        <w:tab w:val="clear" w:pos="8640"/>
        <w:tab w:val="center" w:pos="4770"/>
        <w:tab w:val="right" w:pos="9360"/>
      </w:tabs>
      <w:spacing w:before="120"/>
      <w:ind w:firstLine="0"/>
      <w:rPr>
        <w:rStyle w:val="PageNumber"/>
        <w:b/>
        <w:sz w:val="17"/>
      </w:rPr>
    </w:pPr>
    <w:r>
      <w:rPr>
        <w:b/>
      </w:rPr>
      <w:t>DRAFT</w:t>
    </w:r>
    <w:r>
      <w:rPr>
        <w:sz w:val="16"/>
      </w:rPr>
      <w:tab/>
    </w:r>
    <w:r>
      <w:rPr>
        <w:rStyle w:val="PageNumber"/>
      </w:rPr>
      <w:fldChar w:fldCharType="begin"/>
    </w:r>
    <w:r>
      <w:rPr>
        <w:rStyle w:val="PageNumber"/>
      </w:rPr>
      <w:instrText xml:space="preserve"> PAGE </w:instrText>
    </w:r>
    <w:r>
      <w:rPr>
        <w:rStyle w:val="PageNumber"/>
      </w:rPr>
      <w:fldChar w:fldCharType="separate"/>
    </w:r>
    <w:r w:rsidR="001A41D2">
      <w:rPr>
        <w:rStyle w:val="PageNumber"/>
        <w:noProof/>
      </w:rPr>
      <w:t>i</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E61" w:rsidRDefault="004F1E61" w:rsidP="009F7524">
    <w:pPr>
      <w:pStyle w:val="Footer"/>
      <w:tabs>
        <w:tab w:val="clear" w:pos="4320"/>
        <w:tab w:val="clear" w:pos="8640"/>
        <w:tab w:val="center" w:pos="4770"/>
        <w:tab w:val="right" w:pos="9360"/>
      </w:tabs>
      <w:spacing w:before="120"/>
      <w:ind w:firstLine="0"/>
      <w:rPr>
        <w:rStyle w:val="PageNumber"/>
        <w:b/>
        <w:sz w:val="17"/>
      </w:rPr>
    </w:pPr>
    <w:r>
      <w:rPr>
        <w:b/>
      </w:rPr>
      <w:t>DRAFT</w:t>
    </w:r>
    <w:r>
      <w:rPr>
        <w:sz w:val="16"/>
      </w:rPr>
      <w:tab/>
    </w:r>
    <w:r>
      <w:rPr>
        <w:rStyle w:val="PageNumber"/>
      </w:rPr>
      <w:fldChar w:fldCharType="begin"/>
    </w:r>
    <w:r>
      <w:rPr>
        <w:rStyle w:val="PageNumber"/>
      </w:rPr>
      <w:instrText xml:space="preserve"> PAGE </w:instrText>
    </w:r>
    <w:r>
      <w:rPr>
        <w:rStyle w:val="PageNumber"/>
      </w:rPr>
      <w:fldChar w:fldCharType="separate"/>
    </w:r>
    <w:r w:rsidR="001A41D2">
      <w:rPr>
        <w:rStyle w:val="PageNumber"/>
        <w:noProof/>
      </w:rPr>
      <w:t>ii</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E61" w:rsidRDefault="004F1E61" w:rsidP="009F7524">
    <w:pPr>
      <w:pStyle w:val="Footer"/>
      <w:tabs>
        <w:tab w:val="clear" w:pos="4320"/>
        <w:tab w:val="clear" w:pos="8640"/>
        <w:tab w:val="center" w:pos="4770"/>
        <w:tab w:val="right" w:pos="9360"/>
      </w:tabs>
      <w:spacing w:before="120"/>
      <w:ind w:firstLine="0"/>
      <w:rPr>
        <w:rStyle w:val="PageNumber"/>
        <w:b/>
        <w:sz w:val="17"/>
      </w:rPr>
    </w:pPr>
    <w:r>
      <w:rPr>
        <w:b/>
      </w:rPr>
      <w:t>DRAFT</w:t>
    </w:r>
    <w:r>
      <w:rPr>
        <w:sz w:val="16"/>
      </w:rPr>
      <w:tab/>
    </w:r>
    <w:r>
      <w:rPr>
        <w:rStyle w:val="PageNumber"/>
      </w:rPr>
      <w:fldChar w:fldCharType="begin"/>
    </w:r>
    <w:r>
      <w:rPr>
        <w:rStyle w:val="PageNumber"/>
      </w:rPr>
      <w:instrText xml:space="preserve"> PAGE </w:instrText>
    </w:r>
    <w:r>
      <w:rPr>
        <w:rStyle w:val="PageNumber"/>
      </w:rPr>
      <w:fldChar w:fldCharType="separate"/>
    </w:r>
    <w:r w:rsidR="001A41D2">
      <w:rPr>
        <w:rStyle w:val="PageNumber"/>
        <w:noProof/>
      </w:rPr>
      <w:t>iii</w:t>
    </w:r>
    <w:r>
      <w:rPr>
        <w:rStyle w:val="PageNumber"/>
      </w:rPr>
      <w:fldChar w:fldCharType="end"/>
    </w: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E61" w:rsidRDefault="004F1E6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E61" w:rsidRDefault="004F1E61" w:rsidP="00676DD9">
    <w:pPr>
      <w:pStyle w:val="Footer"/>
      <w:spacing w:before="120"/>
      <w:ind w:firstLine="0"/>
    </w:pPr>
    <w:r>
      <w:rPr>
        <w:b/>
      </w:rPr>
      <w:t>DRAFT</w:t>
    </w:r>
    <w:r>
      <w:rPr>
        <w:b/>
      </w:rPr>
      <w:tab/>
    </w:r>
    <w:sdt>
      <w:sdtPr>
        <w:id w:val="12181989"/>
        <w:docPartObj>
          <w:docPartGallery w:val="Page Numbers (Bottom of Page)"/>
          <w:docPartUnique/>
        </w:docPartObj>
      </w:sdtPr>
      <w:sdtEndPr/>
      <w:sdtContent>
        <w:r w:rsidR="001A41D2">
          <w:fldChar w:fldCharType="begin"/>
        </w:r>
        <w:r w:rsidR="001A41D2">
          <w:instrText xml:space="preserve"> PAGE   \* MERGEFORMAT </w:instrText>
        </w:r>
        <w:r w:rsidR="001A41D2">
          <w:fldChar w:fldCharType="separate"/>
        </w:r>
        <w:r w:rsidR="001A41D2">
          <w:rPr>
            <w:noProof/>
          </w:rPr>
          <w:t>9</w:t>
        </w:r>
        <w:r w:rsidR="001A41D2">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E61" w:rsidRDefault="004F1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E61" w:rsidRDefault="004F1E61">
      <w:r>
        <w:separator/>
      </w:r>
    </w:p>
  </w:footnote>
  <w:footnote w:type="continuationSeparator" w:id="0">
    <w:p w:rsidR="004F1E61" w:rsidRDefault="004F1E61">
      <w:r>
        <w:separator/>
      </w:r>
    </w:p>
    <w:p w:rsidR="004F1E61" w:rsidRDefault="004F1E61">
      <w:pPr>
        <w:rPr>
          <w:i/>
        </w:rPr>
      </w:pPr>
      <w:r>
        <w:rPr>
          <w:i/>
        </w:rPr>
        <w:t>(continued)</w:t>
      </w:r>
    </w:p>
  </w:footnote>
  <w:footnote w:type="continuationNotice" w:id="1">
    <w:p w:rsidR="004F1E61" w:rsidRDefault="004F1E61">
      <w:pPr>
        <w:pStyle w:val="Footer"/>
      </w:pPr>
    </w:p>
  </w:footnote>
  <w:footnote w:id="2">
    <w:p w:rsidR="004F1E61" w:rsidRDefault="004F1E61">
      <w:pPr>
        <w:pStyle w:val="FootnoteText"/>
      </w:pPr>
      <w:r>
        <w:rPr>
          <w:rStyle w:val="FootnoteReference"/>
        </w:rPr>
        <w:footnoteRef/>
      </w:r>
      <w:r>
        <w:t xml:space="preserve"> </w:t>
      </w:r>
      <w:r w:rsidRPr="00B45F9A">
        <w:t>As described in Part A, middle school youth will not be asked sensitive questions concerning their sexual activity as part of performance measure data collection. These sensitive questions represent a key component of the entry surveys. Since these questions will be dropped for middle school youth, ACF has concluded that the entry surveys for these youth are of less value than other PAS data collection elements for understanding the population served by PREP. For this reason, as with state and tribal PREP grantees, ACF is dropping entry surveys for these youth as best method to reduce burden while still collecting the most valuable and relevant data.</w:t>
      </w:r>
    </w:p>
  </w:footnote>
  <w:footnote w:id="3">
    <w:p w:rsidR="004F1E61" w:rsidRDefault="004F1E61">
      <w:pPr>
        <w:pStyle w:val="FootnoteText"/>
      </w:pPr>
      <w:r>
        <w:rPr>
          <w:rStyle w:val="FootnoteReference"/>
        </w:rPr>
        <w:footnoteRef/>
      </w:r>
      <w:r>
        <w:t xml:space="preserve"> Based on a </w:t>
      </w:r>
      <w:r w:rsidRPr="001E11F3">
        <w:t xml:space="preserve">review of CPREP plans and other documents, 60 percent of the youth served in the CPREP programs </w:t>
      </w:r>
      <w:r>
        <w:t xml:space="preserve">are estimated to </w:t>
      </w:r>
      <w:r w:rsidRPr="001E11F3">
        <w:t>be in</w:t>
      </w:r>
      <w:r>
        <w:t xml:space="preserve"> school-based programs and </w:t>
      </w:r>
      <w:r w:rsidRPr="001E11F3">
        <w:t>40 percent will be served in out-of-school programs. We assume that 90 percent of youth in school-based CPREP programs will complete the program and that 65 percent of youth in out-of-school CPREP programs will complete the program. These assumptions yield an overall program completion rate of 80 percent.</w:t>
      </w:r>
    </w:p>
  </w:footnote>
  <w:footnote w:id="4">
    <w:p w:rsidR="004F1E61" w:rsidRDefault="004F1E61">
      <w:pPr>
        <w:pStyle w:val="FootnoteText"/>
      </w:pPr>
      <w:r>
        <w:rPr>
          <w:rStyle w:val="FootnoteReference"/>
        </w:rPr>
        <w:footnoteRef/>
      </w:r>
      <w:r>
        <w:t xml:space="preserve"> There will be more exit surveys then entry surveys because middle school students in school-based settings will not complete entry surveys; however, they will complete exit surveys.</w:t>
      </w:r>
    </w:p>
  </w:footnote>
  <w:footnote w:id="5">
    <w:p w:rsidR="00754D17" w:rsidRDefault="00754D17">
      <w:pPr>
        <w:pStyle w:val="FootnoteText"/>
      </w:pPr>
      <w:r>
        <w:rPr>
          <w:rStyle w:val="FootnoteReference"/>
        </w:rPr>
        <w:footnoteRef/>
      </w:r>
      <w:r>
        <w:t xml:space="preserve"> This is the annualized number of participant entry survey responses.  Table A12.1 (in Supporting Statement A) shows the total number of participant entry survey responses: 17,673.</w:t>
      </w:r>
    </w:p>
  </w:footnote>
  <w:footnote w:id="6">
    <w:p w:rsidR="00754D17" w:rsidRDefault="00754D17">
      <w:pPr>
        <w:pStyle w:val="FootnoteText"/>
      </w:pPr>
      <w:r>
        <w:rPr>
          <w:rStyle w:val="FootnoteReference"/>
        </w:rPr>
        <w:footnoteRef/>
      </w:r>
      <w:r>
        <w:t xml:space="preserve"> This is the annualized number of participant exit survey responses.  Table A12.1 (in Supporting Statement A) shows the total number of participant entry survey responses: 22,961.</w:t>
      </w:r>
    </w:p>
  </w:footnote>
  <w:footnote w:id="7">
    <w:p w:rsidR="004F1E61" w:rsidRDefault="004F1E61">
      <w:pPr>
        <w:pStyle w:val="FootnoteText"/>
      </w:pPr>
      <w:r>
        <w:rPr>
          <w:rStyle w:val="FootnoteReference"/>
        </w:rPr>
        <w:footnoteRef/>
      </w:r>
      <w:r>
        <w:t xml:space="preserve"> Some youth or their parents will not consent to be part of the PREP evaluation. These sample size estimates are for youth who complete the consent process to be part of the evaluation.</w:t>
      </w:r>
    </w:p>
  </w:footnote>
  <w:footnote w:id="8">
    <w:p w:rsidR="004F1E61" w:rsidRDefault="004F1E61" w:rsidP="00F629CF">
      <w:pPr>
        <w:pStyle w:val="FootnoteText"/>
      </w:pPr>
      <w:r>
        <w:rPr>
          <w:rStyle w:val="FootnoteReference"/>
        </w:rPr>
        <w:footnoteRef/>
      </w:r>
      <w:r>
        <w:t xml:space="preserve"> </w:t>
      </w:r>
      <w:r w:rsidRPr="00751593">
        <w:t xml:space="preserve">Trained interviewers will read the survey aloud to respondents over the phone, and the interviewers will record the respondent’s answers on a hard copy survey. </w:t>
      </w:r>
    </w:p>
  </w:footnote>
  <w:footnote w:id="9">
    <w:p w:rsidR="004F1E61" w:rsidRDefault="004F1E61">
      <w:pPr>
        <w:pStyle w:val="FootnoteText"/>
      </w:pPr>
      <w:r>
        <w:rPr>
          <w:rStyle w:val="FootnoteReference"/>
        </w:rPr>
        <w:footnoteRef/>
      </w:r>
      <w:r>
        <w:t xml:space="preserve"> We assume an 80 percent response rate for the IIS first follow-up survey and a 75 percent response rate for the IIS second follow-up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E61" w:rsidRDefault="004F1E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E61" w:rsidRDefault="004F1E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E61" w:rsidRDefault="004F1E61">
    <w:pPr>
      <w:pStyle w:val="Header"/>
    </w:pPr>
    <w:r>
      <w:t>Part B</w:t>
    </w:r>
    <w:r w:rsidRPr="000A4439">
      <w:tab/>
    </w:r>
    <w:r w:rsidRPr="000A4439">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E61" w:rsidRDefault="004F1E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2"/>
  </w:num>
  <w:num w:numId="5">
    <w:abstractNumId w:val="1"/>
  </w:num>
  <w:num w:numId="6">
    <w:abstractNumId w:val="16"/>
  </w:num>
  <w:num w:numId="7">
    <w:abstractNumId w:val="14"/>
  </w:num>
  <w:num w:numId="8">
    <w:abstractNumId w:val="5"/>
  </w:num>
  <w:num w:numId="9">
    <w:abstractNumId w:val="6"/>
  </w:num>
  <w:num w:numId="10">
    <w:abstractNumId w:val="8"/>
  </w:num>
  <w:num w:numId="11">
    <w:abstractNumId w:val="3"/>
  </w:num>
  <w:num w:numId="12">
    <w:abstractNumId w:val="12"/>
  </w:num>
  <w:num w:numId="13">
    <w:abstractNumId w:val="4"/>
  </w:num>
  <w:num w:numId="14">
    <w:abstractNumId w:val="10"/>
  </w:num>
  <w:num w:numId="15">
    <w:abstractNumId w:val="13"/>
  </w:num>
  <w:num w:numId="16">
    <w:abstractNumId w:val="7"/>
  </w:num>
  <w:num w:numId="17">
    <w:abstractNumId w:val="9"/>
    <w:lvlOverride w:ilvl="0">
      <w:startOverride w:val="1"/>
    </w:lvlOverride>
  </w:num>
  <w:num w:numId="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19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4B"/>
    <w:rsid w:val="000015FB"/>
    <w:rsid w:val="00005F28"/>
    <w:rsid w:val="00006E1F"/>
    <w:rsid w:val="00007CA0"/>
    <w:rsid w:val="0001119F"/>
    <w:rsid w:val="00012372"/>
    <w:rsid w:val="00012637"/>
    <w:rsid w:val="00012863"/>
    <w:rsid w:val="00017DD1"/>
    <w:rsid w:val="00020EF8"/>
    <w:rsid w:val="00021A62"/>
    <w:rsid w:val="000231EB"/>
    <w:rsid w:val="00025344"/>
    <w:rsid w:val="0002568B"/>
    <w:rsid w:val="00026733"/>
    <w:rsid w:val="000300AF"/>
    <w:rsid w:val="00032919"/>
    <w:rsid w:val="000367DF"/>
    <w:rsid w:val="00037098"/>
    <w:rsid w:val="000436A8"/>
    <w:rsid w:val="00046CA3"/>
    <w:rsid w:val="00046E51"/>
    <w:rsid w:val="00050FBD"/>
    <w:rsid w:val="00051678"/>
    <w:rsid w:val="0005173B"/>
    <w:rsid w:val="00052499"/>
    <w:rsid w:val="00052743"/>
    <w:rsid w:val="000536E3"/>
    <w:rsid w:val="00053968"/>
    <w:rsid w:val="000554BA"/>
    <w:rsid w:val="000556F4"/>
    <w:rsid w:val="000557AA"/>
    <w:rsid w:val="000563EB"/>
    <w:rsid w:val="00063123"/>
    <w:rsid w:val="00063FEF"/>
    <w:rsid w:val="00066AB9"/>
    <w:rsid w:val="000701B6"/>
    <w:rsid w:val="0007052A"/>
    <w:rsid w:val="00071B51"/>
    <w:rsid w:val="0007340A"/>
    <w:rsid w:val="00073F36"/>
    <w:rsid w:val="00075920"/>
    <w:rsid w:val="00075F9A"/>
    <w:rsid w:val="000769A1"/>
    <w:rsid w:val="00076CF0"/>
    <w:rsid w:val="000800D1"/>
    <w:rsid w:val="00080DFA"/>
    <w:rsid w:val="000812AE"/>
    <w:rsid w:val="00081D47"/>
    <w:rsid w:val="00081EA7"/>
    <w:rsid w:val="00084122"/>
    <w:rsid w:val="00084C73"/>
    <w:rsid w:val="00090529"/>
    <w:rsid w:val="00094539"/>
    <w:rsid w:val="00094825"/>
    <w:rsid w:val="00096848"/>
    <w:rsid w:val="00097FF9"/>
    <w:rsid w:val="000A0435"/>
    <w:rsid w:val="000A11E6"/>
    <w:rsid w:val="000A1A2F"/>
    <w:rsid w:val="000A239E"/>
    <w:rsid w:val="000A4439"/>
    <w:rsid w:val="000A544F"/>
    <w:rsid w:val="000B2BD0"/>
    <w:rsid w:val="000B2FE3"/>
    <w:rsid w:val="000B3A77"/>
    <w:rsid w:val="000B7E51"/>
    <w:rsid w:val="000B7E70"/>
    <w:rsid w:val="000C0118"/>
    <w:rsid w:val="000C15B4"/>
    <w:rsid w:val="000C21AF"/>
    <w:rsid w:val="000C70DC"/>
    <w:rsid w:val="000C72F8"/>
    <w:rsid w:val="000C7693"/>
    <w:rsid w:val="000D709F"/>
    <w:rsid w:val="000D7FA2"/>
    <w:rsid w:val="000E1D9E"/>
    <w:rsid w:val="000E2E4E"/>
    <w:rsid w:val="000E43A4"/>
    <w:rsid w:val="000E6D11"/>
    <w:rsid w:val="000F79B9"/>
    <w:rsid w:val="001001FA"/>
    <w:rsid w:val="001028CD"/>
    <w:rsid w:val="00102D35"/>
    <w:rsid w:val="00103ED5"/>
    <w:rsid w:val="00105D23"/>
    <w:rsid w:val="00106766"/>
    <w:rsid w:val="001073C9"/>
    <w:rsid w:val="0011062D"/>
    <w:rsid w:val="001110F1"/>
    <w:rsid w:val="00111688"/>
    <w:rsid w:val="00113335"/>
    <w:rsid w:val="001139E9"/>
    <w:rsid w:val="00114EF0"/>
    <w:rsid w:val="00116C1E"/>
    <w:rsid w:val="00121042"/>
    <w:rsid w:val="00123EF4"/>
    <w:rsid w:val="00130424"/>
    <w:rsid w:val="0013282C"/>
    <w:rsid w:val="00132E2F"/>
    <w:rsid w:val="001332C0"/>
    <w:rsid w:val="001358D3"/>
    <w:rsid w:val="00135AF5"/>
    <w:rsid w:val="00141646"/>
    <w:rsid w:val="00141705"/>
    <w:rsid w:val="00141A0B"/>
    <w:rsid w:val="001425AF"/>
    <w:rsid w:val="00142AE3"/>
    <w:rsid w:val="00144DA7"/>
    <w:rsid w:val="001457FE"/>
    <w:rsid w:val="001474D6"/>
    <w:rsid w:val="001519EC"/>
    <w:rsid w:val="0015677A"/>
    <w:rsid w:val="00160306"/>
    <w:rsid w:val="00160B96"/>
    <w:rsid w:val="00160E09"/>
    <w:rsid w:val="00160F12"/>
    <w:rsid w:val="00161242"/>
    <w:rsid w:val="00161CAD"/>
    <w:rsid w:val="00162191"/>
    <w:rsid w:val="00163E9F"/>
    <w:rsid w:val="00164C13"/>
    <w:rsid w:val="0017407D"/>
    <w:rsid w:val="00176C34"/>
    <w:rsid w:val="00176E7C"/>
    <w:rsid w:val="00177108"/>
    <w:rsid w:val="00177B2C"/>
    <w:rsid w:val="00180C01"/>
    <w:rsid w:val="00181F53"/>
    <w:rsid w:val="0018564C"/>
    <w:rsid w:val="00186B41"/>
    <w:rsid w:val="00190876"/>
    <w:rsid w:val="001933B1"/>
    <w:rsid w:val="00193F98"/>
    <w:rsid w:val="00194259"/>
    <w:rsid w:val="001A07D4"/>
    <w:rsid w:val="001A0CE9"/>
    <w:rsid w:val="001A41D2"/>
    <w:rsid w:val="001A5449"/>
    <w:rsid w:val="001A6B78"/>
    <w:rsid w:val="001A78B3"/>
    <w:rsid w:val="001A7CE1"/>
    <w:rsid w:val="001B360E"/>
    <w:rsid w:val="001B4167"/>
    <w:rsid w:val="001B7611"/>
    <w:rsid w:val="001C0674"/>
    <w:rsid w:val="001C168C"/>
    <w:rsid w:val="001C39FD"/>
    <w:rsid w:val="001C6D08"/>
    <w:rsid w:val="001D11DE"/>
    <w:rsid w:val="001D247C"/>
    <w:rsid w:val="001D3C41"/>
    <w:rsid w:val="001D491B"/>
    <w:rsid w:val="001D634E"/>
    <w:rsid w:val="001E045B"/>
    <w:rsid w:val="001E0AB2"/>
    <w:rsid w:val="001E466A"/>
    <w:rsid w:val="001F33DC"/>
    <w:rsid w:val="001F425A"/>
    <w:rsid w:val="001F5410"/>
    <w:rsid w:val="001F5ECD"/>
    <w:rsid w:val="001F6A0C"/>
    <w:rsid w:val="00200B10"/>
    <w:rsid w:val="00200CC4"/>
    <w:rsid w:val="0020412D"/>
    <w:rsid w:val="002053F3"/>
    <w:rsid w:val="00211480"/>
    <w:rsid w:val="00211CD4"/>
    <w:rsid w:val="00214BCD"/>
    <w:rsid w:val="00220501"/>
    <w:rsid w:val="002215F3"/>
    <w:rsid w:val="002217EF"/>
    <w:rsid w:val="00221ECA"/>
    <w:rsid w:val="00223990"/>
    <w:rsid w:val="0022402B"/>
    <w:rsid w:val="00225CBD"/>
    <w:rsid w:val="002272A9"/>
    <w:rsid w:val="002273F7"/>
    <w:rsid w:val="00227FC1"/>
    <w:rsid w:val="0023364C"/>
    <w:rsid w:val="00233AED"/>
    <w:rsid w:val="002358F5"/>
    <w:rsid w:val="00236122"/>
    <w:rsid w:val="00237F6F"/>
    <w:rsid w:val="00243909"/>
    <w:rsid w:val="00243DEE"/>
    <w:rsid w:val="00244706"/>
    <w:rsid w:val="002472C5"/>
    <w:rsid w:val="00251541"/>
    <w:rsid w:val="002515A0"/>
    <w:rsid w:val="0025182E"/>
    <w:rsid w:val="002529B7"/>
    <w:rsid w:val="0025351E"/>
    <w:rsid w:val="00256A58"/>
    <w:rsid w:val="002613D2"/>
    <w:rsid w:val="00264716"/>
    <w:rsid w:val="0026766A"/>
    <w:rsid w:val="00267F6C"/>
    <w:rsid w:val="00271B2B"/>
    <w:rsid w:val="00271DC8"/>
    <w:rsid w:val="00277BAC"/>
    <w:rsid w:val="00280AB2"/>
    <w:rsid w:val="002812A2"/>
    <w:rsid w:val="00281C08"/>
    <w:rsid w:val="00282FD0"/>
    <w:rsid w:val="0028358C"/>
    <w:rsid w:val="00284557"/>
    <w:rsid w:val="002849EE"/>
    <w:rsid w:val="00285F82"/>
    <w:rsid w:val="00287FD7"/>
    <w:rsid w:val="0029156C"/>
    <w:rsid w:val="002921C5"/>
    <w:rsid w:val="00294031"/>
    <w:rsid w:val="002942FB"/>
    <w:rsid w:val="0029776A"/>
    <w:rsid w:val="002A0847"/>
    <w:rsid w:val="002A1ADA"/>
    <w:rsid w:val="002A28C9"/>
    <w:rsid w:val="002A42E9"/>
    <w:rsid w:val="002A70E7"/>
    <w:rsid w:val="002A7359"/>
    <w:rsid w:val="002B1593"/>
    <w:rsid w:val="002B68A5"/>
    <w:rsid w:val="002B690A"/>
    <w:rsid w:val="002B6DA0"/>
    <w:rsid w:val="002C2C56"/>
    <w:rsid w:val="002C413C"/>
    <w:rsid w:val="002C63BA"/>
    <w:rsid w:val="002C64E8"/>
    <w:rsid w:val="002C7011"/>
    <w:rsid w:val="002C734A"/>
    <w:rsid w:val="002D0A34"/>
    <w:rsid w:val="002D1D9A"/>
    <w:rsid w:val="002D279D"/>
    <w:rsid w:val="002D6999"/>
    <w:rsid w:val="002E07B1"/>
    <w:rsid w:val="002E4D57"/>
    <w:rsid w:val="002F1E71"/>
    <w:rsid w:val="002F2207"/>
    <w:rsid w:val="002F440B"/>
    <w:rsid w:val="002F60A0"/>
    <w:rsid w:val="002F65D9"/>
    <w:rsid w:val="002F6D43"/>
    <w:rsid w:val="002F71D4"/>
    <w:rsid w:val="002F7C83"/>
    <w:rsid w:val="00300CE3"/>
    <w:rsid w:val="00303CF8"/>
    <w:rsid w:val="00313222"/>
    <w:rsid w:val="00313671"/>
    <w:rsid w:val="00313E69"/>
    <w:rsid w:val="003142E6"/>
    <w:rsid w:val="00316D9B"/>
    <w:rsid w:val="00317EDA"/>
    <w:rsid w:val="00320EB3"/>
    <w:rsid w:val="00325410"/>
    <w:rsid w:val="003274D8"/>
    <w:rsid w:val="00330177"/>
    <w:rsid w:val="0033199F"/>
    <w:rsid w:val="00331C1B"/>
    <w:rsid w:val="00333051"/>
    <w:rsid w:val="00336A60"/>
    <w:rsid w:val="00342CD8"/>
    <w:rsid w:val="00343A0C"/>
    <w:rsid w:val="003448B3"/>
    <w:rsid w:val="00350399"/>
    <w:rsid w:val="00350E63"/>
    <w:rsid w:val="00353544"/>
    <w:rsid w:val="00353E51"/>
    <w:rsid w:val="00354942"/>
    <w:rsid w:val="00354C34"/>
    <w:rsid w:val="00354D49"/>
    <w:rsid w:val="0035661B"/>
    <w:rsid w:val="0035674B"/>
    <w:rsid w:val="003607F3"/>
    <w:rsid w:val="00360C3D"/>
    <w:rsid w:val="00362133"/>
    <w:rsid w:val="003644DF"/>
    <w:rsid w:val="00364631"/>
    <w:rsid w:val="00371D02"/>
    <w:rsid w:val="00372AB1"/>
    <w:rsid w:val="00373640"/>
    <w:rsid w:val="00374297"/>
    <w:rsid w:val="00374549"/>
    <w:rsid w:val="00374B94"/>
    <w:rsid w:val="00376691"/>
    <w:rsid w:val="00377C52"/>
    <w:rsid w:val="00381A96"/>
    <w:rsid w:val="00381B5C"/>
    <w:rsid w:val="00386508"/>
    <w:rsid w:val="00386FB4"/>
    <w:rsid w:val="00392375"/>
    <w:rsid w:val="0039387A"/>
    <w:rsid w:val="00394752"/>
    <w:rsid w:val="00395BFB"/>
    <w:rsid w:val="00395E5C"/>
    <w:rsid w:val="003A1506"/>
    <w:rsid w:val="003A1774"/>
    <w:rsid w:val="003A17E0"/>
    <w:rsid w:val="003A26BB"/>
    <w:rsid w:val="003A38E2"/>
    <w:rsid w:val="003B1930"/>
    <w:rsid w:val="003B1FFC"/>
    <w:rsid w:val="003B2AEF"/>
    <w:rsid w:val="003B303A"/>
    <w:rsid w:val="003C0A5F"/>
    <w:rsid w:val="003C23D0"/>
    <w:rsid w:val="003C27A1"/>
    <w:rsid w:val="003C393F"/>
    <w:rsid w:val="003C57EB"/>
    <w:rsid w:val="003D5238"/>
    <w:rsid w:val="003D77B2"/>
    <w:rsid w:val="003E0A97"/>
    <w:rsid w:val="003E0D48"/>
    <w:rsid w:val="003E10A4"/>
    <w:rsid w:val="003E4DE6"/>
    <w:rsid w:val="003E69C5"/>
    <w:rsid w:val="003F0843"/>
    <w:rsid w:val="003F1B6F"/>
    <w:rsid w:val="003F3171"/>
    <w:rsid w:val="003F47B8"/>
    <w:rsid w:val="00401627"/>
    <w:rsid w:val="004033E6"/>
    <w:rsid w:val="0040780A"/>
    <w:rsid w:val="00407BBB"/>
    <w:rsid w:val="00410D8F"/>
    <w:rsid w:val="00410F60"/>
    <w:rsid w:val="004118E0"/>
    <w:rsid w:val="00412D08"/>
    <w:rsid w:val="00413B80"/>
    <w:rsid w:val="00414FF6"/>
    <w:rsid w:val="0041689E"/>
    <w:rsid w:val="004178CB"/>
    <w:rsid w:val="00417B7A"/>
    <w:rsid w:val="0042039D"/>
    <w:rsid w:val="0042391D"/>
    <w:rsid w:val="0042461E"/>
    <w:rsid w:val="004255BB"/>
    <w:rsid w:val="00425B7C"/>
    <w:rsid w:val="00427469"/>
    <w:rsid w:val="004338D1"/>
    <w:rsid w:val="00436BDD"/>
    <w:rsid w:val="00440C4C"/>
    <w:rsid w:val="0044551C"/>
    <w:rsid w:val="00446472"/>
    <w:rsid w:val="00446CE2"/>
    <w:rsid w:val="00446DD6"/>
    <w:rsid w:val="00447C62"/>
    <w:rsid w:val="00450873"/>
    <w:rsid w:val="00453105"/>
    <w:rsid w:val="00455C7B"/>
    <w:rsid w:val="00463045"/>
    <w:rsid w:val="0046424E"/>
    <w:rsid w:val="00473908"/>
    <w:rsid w:val="00473D14"/>
    <w:rsid w:val="00474405"/>
    <w:rsid w:val="0047478B"/>
    <w:rsid w:val="00475483"/>
    <w:rsid w:val="00476CB1"/>
    <w:rsid w:val="00477F95"/>
    <w:rsid w:val="00481E85"/>
    <w:rsid w:val="00487DDC"/>
    <w:rsid w:val="00490847"/>
    <w:rsid w:val="00492B73"/>
    <w:rsid w:val="00494DE9"/>
    <w:rsid w:val="00497859"/>
    <w:rsid w:val="004A0392"/>
    <w:rsid w:val="004A071B"/>
    <w:rsid w:val="004A20AE"/>
    <w:rsid w:val="004A3296"/>
    <w:rsid w:val="004A46CC"/>
    <w:rsid w:val="004B0D54"/>
    <w:rsid w:val="004B7360"/>
    <w:rsid w:val="004B7776"/>
    <w:rsid w:val="004B7E54"/>
    <w:rsid w:val="004C0429"/>
    <w:rsid w:val="004C06F1"/>
    <w:rsid w:val="004C0D9B"/>
    <w:rsid w:val="004D17A2"/>
    <w:rsid w:val="004D3B08"/>
    <w:rsid w:val="004D62CD"/>
    <w:rsid w:val="004E1013"/>
    <w:rsid w:val="004E7D79"/>
    <w:rsid w:val="004F0B74"/>
    <w:rsid w:val="004F1E61"/>
    <w:rsid w:val="004F291B"/>
    <w:rsid w:val="004F493C"/>
    <w:rsid w:val="004F5CEA"/>
    <w:rsid w:val="004F7785"/>
    <w:rsid w:val="0050683E"/>
    <w:rsid w:val="005138F2"/>
    <w:rsid w:val="00514703"/>
    <w:rsid w:val="005245D0"/>
    <w:rsid w:val="00525772"/>
    <w:rsid w:val="00530560"/>
    <w:rsid w:val="00531424"/>
    <w:rsid w:val="0053289E"/>
    <w:rsid w:val="0053313E"/>
    <w:rsid w:val="005337EB"/>
    <w:rsid w:val="00537F22"/>
    <w:rsid w:val="00542523"/>
    <w:rsid w:val="00557FE1"/>
    <w:rsid w:val="005604DC"/>
    <w:rsid w:val="005630C3"/>
    <w:rsid w:val="005637D0"/>
    <w:rsid w:val="005640F5"/>
    <w:rsid w:val="0056487B"/>
    <w:rsid w:val="00564E98"/>
    <w:rsid w:val="00573FA0"/>
    <w:rsid w:val="005751A1"/>
    <w:rsid w:val="00575C05"/>
    <w:rsid w:val="0057685A"/>
    <w:rsid w:val="00576C4F"/>
    <w:rsid w:val="00577910"/>
    <w:rsid w:val="005811B3"/>
    <w:rsid w:val="00581A0E"/>
    <w:rsid w:val="00581EE2"/>
    <w:rsid w:val="00582CD2"/>
    <w:rsid w:val="00583141"/>
    <w:rsid w:val="00584664"/>
    <w:rsid w:val="0058753C"/>
    <w:rsid w:val="00590590"/>
    <w:rsid w:val="00590C51"/>
    <w:rsid w:val="00591AE6"/>
    <w:rsid w:val="00592441"/>
    <w:rsid w:val="005926A5"/>
    <w:rsid w:val="00592E1A"/>
    <w:rsid w:val="005944EC"/>
    <w:rsid w:val="00594C8E"/>
    <w:rsid w:val="005977C1"/>
    <w:rsid w:val="00597C9C"/>
    <w:rsid w:val="00597FEB"/>
    <w:rsid w:val="005A1506"/>
    <w:rsid w:val="005A19C0"/>
    <w:rsid w:val="005A3631"/>
    <w:rsid w:val="005A3D02"/>
    <w:rsid w:val="005A4E2C"/>
    <w:rsid w:val="005A52EB"/>
    <w:rsid w:val="005A660D"/>
    <w:rsid w:val="005A66CB"/>
    <w:rsid w:val="005B0472"/>
    <w:rsid w:val="005B1D75"/>
    <w:rsid w:val="005B40EA"/>
    <w:rsid w:val="005B5478"/>
    <w:rsid w:val="005B73BF"/>
    <w:rsid w:val="005C228F"/>
    <w:rsid w:val="005C272F"/>
    <w:rsid w:val="005C7D29"/>
    <w:rsid w:val="005D01A8"/>
    <w:rsid w:val="005D794D"/>
    <w:rsid w:val="005E1375"/>
    <w:rsid w:val="005E3983"/>
    <w:rsid w:val="005E4A26"/>
    <w:rsid w:val="005E580D"/>
    <w:rsid w:val="005E7695"/>
    <w:rsid w:val="005F0E2F"/>
    <w:rsid w:val="005F162C"/>
    <w:rsid w:val="005F430F"/>
    <w:rsid w:val="005F53E1"/>
    <w:rsid w:val="005F5898"/>
    <w:rsid w:val="00600494"/>
    <w:rsid w:val="00602248"/>
    <w:rsid w:val="00603D50"/>
    <w:rsid w:val="00605533"/>
    <w:rsid w:val="00612D9A"/>
    <w:rsid w:val="006150A8"/>
    <w:rsid w:val="00615B15"/>
    <w:rsid w:val="00622269"/>
    <w:rsid w:val="00623C48"/>
    <w:rsid w:val="00623CDB"/>
    <w:rsid w:val="00624553"/>
    <w:rsid w:val="0062522C"/>
    <w:rsid w:val="00625ACD"/>
    <w:rsid w:val="00626C58"/>
    <w:rsid w:val="00631622"/>
    <w:rsid w:val="00632C3A"/>
    <w:rsid w:val="006351D4"/>
    <w:rsid w:val="00635EC3"/>
    <w:rsid w:val="00636860"/>
    <w:rsid w:val="00637A61"/>
    <w:rsid w:val="00637E4C"/>
    <w:rsid w:val="0064008B"/>
    <w:rsid w:val="00641AC0"/>
    <w:rsid w:val="00642F6A"/>
    <w:rsid w:val="00645FA6"/>
    <w:rsid w:val="006545C7"/>
    <w:rsid w:val="00656171"/>
    <w:rsid w:val="006571CE"/>
    <w:rsid w:val="00657A2A"/>
    <w:rsid w:val="00657CFD"/>
    <w:rsid w:val="00666769"/>
    <w:rsid w:val="00670070"/>
    <w:rsid w:val="00670448"/>
    <w:rsid w:val="006714AC"/>
    <w:rsid w:val="00671E2B"/>
    <w:rsid w:val="00672F90"/>
    <w:rsid w:val="00673118"/>
    <w:rsid w:val="0067684B"/>
    <w:rsid w:val="00676DD9"/>
    <w:rsid w:val="00677BF6"/>
    <w:rsid w:val="00682BCD"/>
    <w:rsid w:val="006830D1"/>
    <w:rsid w:val="00684489"/>
    <w:rsid w:val="0068692D"/>
    <w:rsid w:val="0069005E"/>
    <w:rsid w:val="00690B57"/>
    <w:rsid w:val="006959AF"/>
    <w:rsid w:val="00696C5E"/>
    <w:rsid w:val="006A3DE8"/>
    <w:rsid w:val="006A5367"/>
    <w:rsid w:val="006A65E7"/>
    <w:rsid w:val="006A7614"/>
    <w:rsid w:val="006A77D8"/>
    <w:rsid w:val="006B0652"/>
    <w:rsid w:val="006B1229"/>
    <w:rsid w:val="006B2B5D"/>
    <w:rsid w:val="006B43E8"/>
    <w:rsid w:val="006B48AF"/>
    <w:rsid w:val="006C4E38"/>
    <w:rsid w:val="006C5B99"/>
    <w:rsid w:val="006C5F78"/>
    <w:rsid w:val="006C6ECC"/>
    <w:rsid w:val="006D413F"/>
    <w:rsid w:val="006D4428"/>
    <w:rsid w:val="006D44FA"/>
    <w:rsid w:val="006D5E7D"/>
    <w:rsid w:val="006D67B8"/>
    <w:rsid w:val="006D6B4E"/>
    <w:rsid w:val="006E21CA"/>
    <w:rsid w:val="006E2AEF"/>
    <w:rsid w:val="006E3DE1"/>
    <w:rsid w:val="006E64B4"/>
    <w:rsid w:val="006E7EB5"/>
    <w:rsid w:val="006F053F"/>
    <w:rsid w:val="006F0832"/>
    <w:rsid w:val="006F168E"/>
    <w:rsid w:val="006F44FE"/>
    <w:rsid w:val="006F712B"/>
    <w:rsid w:val="00700435"/>
    <w:rsid w:val="00702D34"/>
    <w:rsid w:val="00707664"/>
    <w:rsid w:val="00711CA6"/>
    <w:rsid w:val="00711E10"/>
    <w:rsid w:val="0071244B"/>
    <w:rsid w:val="00712A21"/>
    <w:rsid w:val="007152FA"/>
    <w:rsid w:val="00716508"/>
    <w:rsid w:val="00717824"/>
    <w:rsid w:val="00717B10"/>
    <w:rsid w:val="007203DC"/>
    <w:rsid w:val="0072052D"/>
    <w:rsid w:val="00720A3E"/>
    <w:rsid w:val="00720F11"/>
    <w:rsid w:val="007214EF"/>
    <w:rsid w:val="007215FA"/>
    <w:rsid w:val="00721FFE"/>
    <w:rsid w:val="00723C00"/>
    <w:rsid w:val="00726DD4"/>
    <w:rsid w:val="00730042"/>
    <w:rsid w:val="00730892"/>
    <w:rsid w:val="00731691"/>
    <w:rsid w:val="00731A4C"/>
    <w:rsid w:val="00737858"/>
    <w:rsid w:val="00742342"/>
    <w:rsid w:val="00742C8C"/>
    <w:rsid w:val="00742CD9"/>
    <w:rsid w:val="00744CFB"/>
    <w:rsid w:val="0074653C"/>
    <w:rsid w:val="00747001"/>
    <w:rsid w:val="0074778F"/>
    <w:rsid w:val="00747B99"/>
    <w:rsid w:val="007525FD"/>
    <w:rsid w:val="007533A6"/>
    <w:rsid w:val="007545D1"/>
    <w:rsid w:val="00754D17"/>
    <w:rsid w:val="00754E03"/>
    <w:rsid w:val="00760350"/>
    <w:rsid w:val="00763A57"/>
    <w:rsid w:val="007665CA"/>
    <w:rsid w:val="00771733"/>
    <w:rsid w:val="00772611"/>
    <w:rsid w:val="00773734"/>
    <w:rsid w:val="00773B74"/>
    <w:rsid w:val="00774007"/>
    <w:rsid w:val="00776176"/>
    <w:rsid w:val="007761AF"/>
    <w:rsid w:val="007800A7"/>
    <w:rsid w:val="0078127B"/>
    <w:rsid w:val="00781C0D"/>
    <w:rsid w:val="0078210E"/>
    <w:rsid w:val="0078382E"/>
    <w:rsid w:val="00783C51"/>
    <w:rsid w:val="007843D1"/>
    <w:rsid w:val="00784BA2"/>
    <w:rsid w:val="007906CE"/>
    <w:rsid w:val="00791D74"/>
    <w:rsid w:val="007949F3"/>
    <w:rsid w:val="007959C1"/>
    <w:rsid w:val="007A5803"/>
    <w:rsid w:val="007B0A29"/>
    <w:rsid w:val="007B1275"/>
    <w:rsid w:val="007B1FE1"/>
    <w:rsid w:val="007B2015"/>
    <w:rsid w:val="007B2F7F"/>
    <w:rsid w:val="007B5799"/>
    <w:rsid w:val="007B6D9E"/>
    <w:rsid w:val="007B705F"/>
    <w:rsid w:val="007C0708"/>
    <w:rsid w:val="007C0CD8"/>
    <w:rsid w:val="007C1E2F"/>
    <w:rsid w:val="007C21D9"/>
    <w:rsid w:val="007C23D1"/>
    <w:rsid w:val="007C3668"/>
    <w:rsid w:val="007C39E6"/>
    <w:rsid w:val="007C4167"/>
    <w:rsid w:val="007C5524"/>
    <w:rsid w:val="007D1991"/>
    <w:rsid w:val="007D4181"/>
    <w:rsid w:val="007D48BE"/>
    <w:rsid w:val="007D4918"/>
    <w:rsid w:val="007D4EE1"/>
    <w:rsid w:val="007D64C8"/>
    <w:rsid w:val="007E1553"/>
    <w:rsid w:val="007E4B90"/>
    <w:rsid w:val="007E6625"/>
    <w:rsid w:val="007E758F"/>
    <w:rsid w:val="007E778C"/>
    <w:rsid w:val="007F0B4E"/>
    <w:rsid w:val="007F0DA1"/>
    <w:rsid w:val="007F1C0F"/>
    <w:rsid w:val="007F2742"/>
    <w:rsid w:val="007F3C1C"/>
    <w:rsid w:val="007F3E0A"/>
    <w:rsid w:val="007F4100"/>
    <w:rsid w:val="007F58E6"/>
    <w:rsid w:val="007F686C"/>
    <w:rsid w:val="007F6F77"/>
    <w:rsid w:val="007F76BA"/>
    <w:rsid w:val="00806376"/>
    <w:rsid w:val="00811E47"/>
    <w:rsid w:val="00813568"/>
    <w:rsid w:val="00815170"/>
    <w:rsid w:val="00815ABB"/>
    <w:rsid w:val="00816432"/>
    <w:rsid w:val="008169DF"/>
    <w:rsid w:val="00816DF1"/>
    <w:rsid w:val="00816EDF"/>
    <w:rsid w:val="00821DD9"/>
    <w:rsid w:val="00832BE1"/>
    <w:rsid w:val="00833128"/>
    <w:rsid w:val="00840E7C"/>
    <w:rsid w:val="00841524"/>
    <w:rsid w:val="008421A1"/>
    <w:rsid w:val="00842366"/>
    <w:rsid w:val="008432EE"/>
    <w:rsid w:val="00843740"/>
    <w:rsid w:val="00843898"/>
    <w:rsid w:val="008456E7"/>
    <w:rsid w:val="00850CF2"/>
    <w:rsid w:val="00851DFB"/>
    <w:rsid w:val="00852B7E"/>
    <w:rsid w:val="00853AEC"/>
    <w:rsid w:val="008549D8"/>
    <w:rsid w:val="00855573"/>
    <w:rsid w:val="00857845"/>
    <w:rsid w:val="0086314C"/>
    <w:rsid w:val="00864603"/>
    <w:rsid w:val="0086519F"/>
    <w:rsid w:val="00865D38"/>
    <w:rsid w:val="008663FA"/>
    <w:rsid w:val="008732FA"/>
    <w:rsid w:val="00873713"/>
    <w:rsid w:val="00874265"/>
    <w:rsid w:val="00874E05"/>
    <w:rsid w:val="008751D5"/>
    <w:rsid w:val="00881D64"/>
    <w:rsid w:val="00883BD4"/>
    <w:rsid w:val="00883E16"/>
    <w:rsid w:val="008840EE"/>
    <w:rsid w:val="00884479"/>
    <w:rsid w:val="00887172"/>
    <w:rsid w:val="00887348"/>
    <w:rsid w:val="00887A63"/>
    <w:rsid w:val="0089036A"/>
    <w:rsid w:val="0089320A"/>
    <w:rsid w:val="00893B1D"/>
    <w:rsid w:val="00894485"/>
    <w:rsid w:val="00895A2A"/>
    <w:rsid w:val="008A05F2"/>
    <w:rsid w:val="008A0BDE"/>
    <w:rsid w:val="008A0FFF"/>
    <w:rsid w:val="008A336D"/>
    <w:rsid w:val="008A3B53"/>
    <w:rsid w:val="008A3E5F"/>
    <w:rsid w:val="008A4FC8"/>
    <w:rsid w:val="008B032B"/>
    <w:rsid w:val="008B1F5A"/>
    <w:rsid w:val="008B43D6"/>
    <w:rsid w:val="008C0EA3"/>
    <w:rsid w:val="008C4666"/>
    <w:rsid w:val="008D0DC0"/>
    <w:rsid w:val="008D129A"/>
    <w:rsid w:val="008D5B53"/>
    <w:rsid w:val="008E07C0"/>
    <w:rsid w:val="008E12AE"/>
    <w:rsid w:val="008E1A7A"/>
    <w:rsid w:val="008E27F1"/>
    <w:rsid w:val="008E52A2"/>
    <w:rsid w:val="008E602B"/>
    <w:rsid w:val="008E6860"/>
    <w:rsid w:val="008E7E30"/>
    <w:rsid w:val="008F0865"/>
    <w:rsid w:val="008F312B"/>
    <w:rsid w:val="008F5A8F"/>
    <w:rsid w:val="008F6DDF"/>
    <w:rsid w:val="009009D0"/>
    <w:rsid w:val="009029B7"/>
    <w:rsid w:val="00902B68"/>
    <w:rsid w:val="00903CAA"/>
    <w:rsid w:val="00912344"/>
    <w:rsid w:val="009156D2"/>
    <w:rsid w:val="0092134D"/>
    <w:rsid w:val="00930858"/>
    <w:rsid w:val="009310F0"/>
    <w:rsid w:val="00931BDB"/>
    <w:rsid w:val="009357E2"/>
    <w:rsid w:val="0093592E"/>
    <w:rsid w:val="00936037"/>
    <w:rsid w:val="00941FB5"/>
    <w:rsid w:val="00942E83"/>
    <w:rsid w:val="00944D67"/>
    <w:rsid w:val="00945642"/>
    <w:rsid w:val="00945D20"/>
    <w:rsid w:val="009465FF"/>
    <w:rsid w:val="00947281"/>
    <w:rsid w:val="00947CD1"/>
    <w:rsid w:val="00950E11"/>
    <w:rsid w:val="009511D1"/>
    <w:rsid w:val="00951797"/>
    <w:rsid w:val="00952494"/>
    <w:rsid w:val="009527CF"/>
    <w:rsid w:val="00952FE4"/>
    <w:rsid w:val="00954142"/>
    <w:rsid w:val="00955CD5"/>
    <w:rsid w:val="00956F27"/>
    <w:rsid w:val="0095754B"/>
    <w:rsid w:val="00957791"/>
    <w:rsid w:val="009603FE"/>
    <w:rsid w:val="009615E4"/>
    <w:rsid w:val="00961EDC"/>
    <w:rsid w:val="00962DF2"/>
    <w:rsid w:val="009672E4"/>
    <w:rsid w:val="0097031B"/>
    <w:rsid w:val="00972701"/>
    <w:rsid w:val="009727CF"/>
    <w:rsid w:val="009733A0"/>
    <w:rsid w:val="00980DB0"/>
    <w:rsid w:val="00984B0B"/>
    <w:rsid w:val="0098625F"/>
    <w:rsid w:val="00987578"/>
    <w:rsid w:val="0099125A"/>
    <w:rsid w:val="00994EDD"/>
    <w:rsid w:val="0099693F"/>
    <w:rsid w:val="00997375"/>
    <w:rsid w:val="00997473"/>
    <w:rsid w:val="009A1591"/>
    <w:rsid w:val="009A19AD"/>
    <w:rsid w:val="009A2A87"/>
    <w:rsid w:val="009A5A42"/>
    <w:rsid w:val="009B20BD"/>
    <w:rsid w:val="009B4174"/>
    <w:rsid w:val="009B46C6"/>
    <w:rsid w:val="009B61A1"/>
    <w:rsid w:val="009B77AA"/>
    <w:rsid w:val="009B7DBA"/>
    <w:rsid w:val="009C0EAF"/>
    <w:rsid w:val="009C1F87"/>
    <w:rsid w:val="009C4947"/>
    <w:rsid w:val="009C67C5"/>
    <w:rsid w:val="009D1A7E"/>
    <w:rsid w:val="009D34F7"/>
    <w:rsid w:val="009D5F99"/>
    <w:rsid w:val="009D625A"/>
    <w:rsid w:val="009E7342"/>
    <w:rsid w:val="009E7EE8"/>
    <w:rsid w:val="009F0F58"/>
    <w:rsid w:val="009F3745"/>
    <w:rsid w:val="009F7524"/>
    <w:rsid w:val="00A00F00"/>
    <w:rsid w:val="00A01202"/>
    <w:rsid w:val="00A0718C"/>
    <w:rsid w:val="00A10ACD"/>
    <w:rsid w:val="00A129F1"/>
    <w:rsid w:val="00A13B72"/>
    <w:rsid w:val="00A13EB9"/>
    <w:rsid w:val="00A14099"/>
    <w:rsid w:val="00A205CF"/>
    <w:rsid w:val="00A22248"/>
    <w:rsid w:val="00A22AC7"/>
    <w:rsid w:val="00A26CF0"/>
    <w:rsid w:val="00A274D2"/>
    <w:rsid w:val="00A31BC3"/>
    <w:rsid w:val="00A3304F"/>
    <w:rsid w:val="00A331A0"/>
    <w:rsid w:val="00A342E6"/>
    <w:rsid w:val="00A34754"/>
    <w:rsid w:val="00A356E7"/>
    <w:rsid w:val="00A36752"/>
    <w:rsid w:val="00A37976"/>
    <w:rsid w:val="00A42745"/>
    <w:rsid w:val="00A43B1C"/>
    <w:rsid w:val="00A467CE"/>
    <w:rsid w:val="00A468CB"/>
    <w:rsid w:val="00A5366E"/>
    <w:rsid w:val="00A54DCE"/>
    <w:rsid w:val="00A55276"/>
    <w:rsid w:val="00A553D5"/>
    <w:rsid w:val="00A56BB5"/>
    <w:rsid w:val="00A56C6B"/>
    <w:rsid w:val="00A60FFF"/>
    <w:rsid w:val="00A61A2C"/>
    <w:rsid w:val="00A6306A"/>
    <w:rsid w:val="00A63890"/>
    <w:rsid w:val="00A678FC"/>
    <w:rsid w:val="00A71B7A"/>
    <w:rsid w:val="00A72CF0"/>
    <w:rsid w:val="00A739E4"/>
    <w:rsid w:val="00A73CEC"/>
    <w:rsid w:val="00A766C8"/>
    <w:rsid w:val="00A80A4F"/>
    <w:rsid w:val="00A82430"/>
    <w:rsid w:val="00A85DDE"/>
    <w:rsid w:val="00A91891"/>
    <w:rsid w:val="00A9613A"/>
    <w:rsid w:val="00A973B2"/>
    <w:rsid w:val="00AA0DA7"/>
    <w:rsid w:val="00AA373E"/>
    <w:rsid w:val="00AA7DA8"/>
    <w:rsid w:val="00AB05FB"/>
    <w:rsid w:val="00AB0D7B"/>
    <w:rsid w:val="00AB0F92"/>
    <w:rsid w:val="00AB2A32"/>
    <w:rsid w:val="00AB4B33"/>
    <w:rsid w:val="00AB567E"/>
    <w:rsid w:val="00AB78AE"/>
    <w:rsid w:val="00AC08A8"/>
    <w:rsid w:val="00AC12C9"/>
    <w:rsid w:val="00AC3943"/>
    <w:rsid w:val="00AC3AA2"/>
    <w:rsid w:val="00AC4317"/>
    <w:rsid w:val="00AC47DD"/>
    <w:rsid w:val="00AC5EBF"/>
    <w:rsid w:val="00AC6981"/>
    <w:rsid w:val="00AD0C9A"/>
    <w:rsid w:val="00AD3060"/>
    <w:rsid w:val="00AD4163"/>
    <w:rsid w:val="00AE1A2D"/>
    <w:rsid w:val="00AE1B0F"/>
    <w:rsid w:val="00AE2683"/>
    <w:rsid w:val="00AE3A26"/>
    <w:rsid w:val="00AE6EDE"/>
    <w:rsid w:val="00AF1669"/>
    <w:rsid w:val="00AF1B2F"/>
    <w:rsid w:val="00AF4153"/>
    <w:rsid w:val="00AF5856"/>
    <w:rsid w:val="00AF66DF"/>
    <w:rsid w:val="00B06B9E"/>
    <w:rsid w:val="00B13000"/>
    <w:rsid w:val="00B20019"/>
    <w:rsid w:val="00B20491"/>
    <w:rsid w:val="00B21550"/>
    <w:rsid w:val="00B21F09"/>
    <w:rsid w:val="00B2354B"/>
    <w:rsid w:val="00B23E09"/>
    <w:rsid w:val="00B24137"/>
    <w:rsid w:val="00B255DB"/>
    <w:rsid w:val="00B25823"/>
    <w:rsid w:val="00B27FE1"/>
    <w:rsid w:val="00B31FEF"/>
    <w:rsid w:val="00B325E1"/>
    <w:rsid w:val="00B33079"/>
    <w:rsid w:val="00B3588C"/>
    <w:rsid w:val="00B35D92"/>
    <w:rsid w:val="00B37EED"/>
    <w:rsid w:val="00B43736"/>
    <w:rsid w:val="00B45F9A"/>
    <w:rsid w:val="00B525DB"/>
    <w:rsid w:val="00B527A1"/>
    <w:rsid w:val="00B528FB"/>
    <w:rsid w:val="00B5596B"/>
    <w:rsid w:val="00B559AA"/>
    <w:rsid w:val="00B564BC"/>
    <w:rsid w:val="00B61179"/>
    <w:rsid w:val="00B61A39"/>
    <w:rsid w:val="00B62E57"/>
    <w:rsid w:val="00B63270"/>
    <w:rsid w:val="00B6365A"/>
    <w:rsid w:val="00B64400"/>
    <w:rsid w:val="00B65228"/>
    <w:rsid w:val="00B67489"/>
    <w:rsid w:val="00B70CD9"/>
    <w:rsid w:val="00B71319"/>
    <w:rsid w:val="00B714B7"/>
    <w:rsid w:val="00B7253D"/>
    <w:rsid w:val="00B729A9"/>
    <w:rsid w:val="00B74E28"/>
    <w:rsid w:val="00B7616A"/>
    <w:rsid w:val="00B77155"/>
    <w:rsid w:val="00B80976"/>
    <w:rsid w:val="00B82337"/>
    <w:rsid w:val="00B82E71"/>
    <w:rsid w:val="00B83493"/>
    <w:rsid w:val="00B8799C"/>
    <w:rsid w:val="00B940DD"/>
    <w:rsid w:val="00B9459A"/>
    <w:rsid w:val="00B947C7"/>
    <w:rsid w:val="00B95847"/>
    <w:rsid w:val="00B966ED"/>
    <w:rsid w:val="00BA268A"/>
    <w:rsid w:val="00BA3D8F"/>
    <w:rsid w:val="00BA65A5"/>
    <w:rsid w:val="00BB6193"/>
    <w:rsid w:val="00BB6A0B"/>
    <w:rsid w:val="00BB756B"/>
    <w:rsid w:val="00BC15E4"/>
    <w:rsid w:val="00BC3208"/>
    <w:rsid w:val="00BC4331"/>
    <w:rsid w:val="00BC65DD"/>
    <w:rsid w:val="00BC7103"/>
    <w:rsid w:val="00BC7C3B"/>
    <w:rsid w:val="00BD1A05"/>
    <w:rsid w:val="00BD1B80"/>
    <w:rsid w:val="00BD3B9A"/>
    <w:rsid w:val="00BD5FBC"/>
    <w:rsid w:val="00BD7F1D"/>
    <w:rsid w:val="00BE335A"/>
    <w:rsid w:val="00BE483F"/>
    <w:rsid w:val="00BE6B90"/>
    <w:rsid w:val="00BF187B"/>
    <w:rsid w:val="00BF799F"/>
    <w:rsid w:val="00C00242"/>
    <w:rsid w:val="00C015E9"/>
    <w:rsid w:val="00C02961"/>
    <w:rsid w:val="00C02B5E"/>
    <w:rsid w:val="00C04148"/>
    <w:rsid w:val="00C057EF"/>
    <w:rsid w:val="00C07274"/>
    <w:rsid w:val="00C10D26"/>
    <w:rsid w:val="00C12991"/>
    <w:rsid w:val="00C13B96"/>
    <w:rsid w:val="00C14296"/>
    <w:rsid w:val="00C16918"/>
    <w:rsid w:val="00C16B6E"/>
    <w:rsid w:val="00C17516"/>
    <w:rsid w:val="00C21519"/>
    <w:rsid w:val="00C2333D"/>
    <w:rsid w:val="00C23477"/>
    <w:rsid w:val="00C2452C"/>
    <w:rsid w:val="00C25387"/>
    <w:rsid w:val="00C2695D"/>
    <w:rsid w:val="00C32246"/>
    <w:rsid w:val="00C336F6"/>
    <w:rsid w:val="00C35930"/>
    <w:rsid w:val="00C368C7"/>
    <w:rsid w:val="00C41693"/>
    <w:rsid w:val="00C4260B"/>
    <w:rsid w:val="00C43792"/>
    <w:rsid w:val="00C44AF5"/>
    <w:rsid w:val="00C450AE"/>
    <w:rsid w:val="00C453A7"/>
    <w:rsid w:val="00C510A3"/>
    <w:rsid w:val="00C513EB"/>
    <w:rsid w:val="00C53387"/>
    <w:rsid w:val="00C54209"/>
    <w:rsid w:val="00C546B7"/>
    <w:rsid w:val="00C552D6"/>
    <w:rsid w:val="00C56ED2"/>
    <w:rsid w:val="00C632D5"/>
    <w:rsid w:val="00C6623A"/>
    <w:rsid w:val="00C673E2"/>
    <w:rsid w:val="00C70000"/>
    <w:rsid w:val="00C70B6C"/>
    <w:rsid w:val="00C73F2E"/>
    <w:rsid w:val="00C74089"/>
    <w:rsid w:val="00C7481C"/>
    <w:rsid w:val="00C758F5"/>
    <w:rsid w:val="00C76AEC"/>
    <w:rsid w:val="00C77471"/>
    <w:rsid w:val="00C77C15"/>
    <w:rsid w:val="00C85A48"/>
    <w:rsid w:val="00C901B4"/>
    <w:rsid w:val="00C90E85"/>
    <w:rsid w:val="00C92E5D"/>
    <w:rsid w:val="00C93509"/>
    <w:rsid w:val="00C9777C"/>
    <w:rsid w:val="00CA0455"/>
    <w:rsid w:val="00CA0EA3"/>
    <w:rsid w:val="00CA142A"/>
    <w:rsid w:val="00CA3C19"/>
    <w:rsid w:val="00CA4A39"/>
    <w:rsid w:val="00CA4C69"/>
    <w:rsid w:val="00CA58CB"/>
    <w:rsid w:val="00CA5BC7"/>
    <w:rsid w:val="00CB0B54"/>
    <w:rsid w:val="00CB137C"/>
    <w:rsid w:val="00CB1D6B"/>
    <w:rsid w:val="00CB2C0A"/>
    <w:rsid w:val="00CB4E54"/>
    <w:rsid w:val="00CB6AA7"/>
    <w:rsid w:val="00CC19F0"/>
    <w:rsid w:val="00CC215D"/>
    <w:rsid w:val="00CC2190"/>
    <w:rsid w:val="00CC2969"/>
    <w:rsid w:val="00CC3F2F"/>
    <w:rsid w:val="00CC4A3E"/>
    <w:rsid w:val="00CC4FC5"/>
    <w:rsid w:val="00CC602E"/>
    <w:rsid w:val="00CC62E0"/>
    <w:rsid w:val="00CC6708"/>
    <w:rsid w:val="00CD0D45"/>
    <w:rsid w:val="00CD0EB5"/>
    <w:rsid w:val="00CD176B"/>
    <w:rsid w:val="00CD6004"/>
    <w:rsid w:val="00CD6D27"/>
    <w:rsid w:val="00CD6F65"/>
    <w:rsid w:val="00CE048B"/>
    <w:rsid w:val="00CE16E0"/>
    <w:rsid w:val="00CE45BC"/>
    <w:rsid w:val="00CE4DE1"/>
    <w:rsid w:val="00CF1131"/>
    <w:rsid w:val="00CF3E4E"/>
    <w:rsid w:val="00CF5093"/>
    <w:rsid w:val="00CF5581"/>
    <w:rsid w:val="00D03297"/>
    <w:rsid w:val="00D06F77"/>
    <w:rsid w:val="00D11C16"/>
    <w:rsid w:val="00D1214E"/>
    <w:rsid w:val="00D14512"/>
    <w:rsid w:val="00D14FDB"/>
    <w:rsid w:val="00D150CA"/>
    <w:rsid w:val="00D15D3F"/>
    <w:rsid w:val="00D20BD0"/>
    <w:rsid w:val="00D2311D"/>
    <w:rsid w:val="00D27605"/>
    <w:rsid w:val="00D277DF"/>
    <w:rsid w:val="00D33912"/>
    <w:rsid w:val="00D3410C"/>
    <w:rsid w:val="00D348F0"/>
    <w:rsid w:val="00D3638A"/>
    <w:rsid w:val="00D36521"/>
    <w:rsid w:val="00D36C73"/>
    <w:rsid w:val="00D37267"/>
    <w:rsid w:val="00D415C8"/>
    <w:rsid w:val="00D42C39"/>
    <w:rsid w:val="00D451FE"/>
    <w:rsid w:val="00D50E23"/>
    <w:rsid w:val="00D531A3"/>
    <w:rsid w:val="00D612C0"/>
    <w:rsid w:val="00D61BF4"/>
    <w:rsid w:val="00D61F99"/>
    <w:rsid w:val="00D627AE"/>
    <w:rsid w:val="00D62AA3"/>
    <w:rsid w:val="00D62DF9"/>
    <w:rsid w:val="00D65917"/>
    <w:rsid w:val="00D67274"/>
    <w:rsid w:val="00D7028D"/>
    <w:rsid w:val="00D7142E"/>
    <w:rsid w:val="00D739C0"/>
    <w:rsid w:val="00D7565F"/>
    <w:rsid w:val="00D767EC"/>
    <w:rsid w:val="00D7723A"/>
    <w:rsid w:val="00D77566"/>
    <w:rsid w:val="00D87546"/>
    <w:rsid w:val="00D90DB4"/>
    <w:rsid w:val="00D94283"/>
    <w:rsid w:val="00D969FD"/>
    <w:rsid w:val="00DA1BC2"/>
    <w:rsid w:val="00DA371A"/>
    <w:rsid w:val="00DA39C5"/>
    <w:rsid w:val="00DA621C"/>
    <w:rsid w:val="00DA69D2"/>
    <w:rsid w:val="00DA779B"/>
    <w:rsid w:val="00DB2E7D"/>
    <w:rsid w:val="00DB3842"/>
    <w:rsid w:val="00DB4896"/>
    <w:rsid w:val="00DB4CA9"/>
    <w:rsid w:val="00DB5A55"/>
    <w:rsid w:val="00DB6227"/>
    <w:rsid w:val="00DB625D"/>
    <w:rsid w:val="00DB67A2"/>
    <w:rsid w:val="00DB783D"/>
    <w:rsid w:val="00DC05C1"/>
    <w:rsid w:val="00DC25C6"/>
    <w:rsid w:val="00DC4B36"/>
    <w:rsid w:val="00DC5E56"/>
    <w:rsid w:val="00DD01AE"/>
    <w:rsid w:val="00DD1285"/>
    <w:rsid w:val="00DD2F76"/>
    <w:rsid w:val="00DD3BBA"/>
    <w:rsid w:val="00DD4F9B"/>
    <w:rsid w:val="00DE1DED"/>
    <w:rsid w:val="00DE264C"/>
    <w:rsid w:val="00DE3EF3"/>
    <w:rsid w:val="00DE4156"/>
    <w:rsid w:val="00DE4584"/>
    <w:rsid w:val="00DE5628"/>
    <w:rsid w:val="00DE5B6E"/>
    <w:rsid w:val="00DE6AD2"/>
    <w:rsid w:val="00DE6E1C"/>
    <w:rsid w:val="00DF0499"/>
    <w:rsid w:val="00DF1FE9"/>
    <w:rsid w:val="00DF4385"/>
    <w:rsid w:val="00E008D5"/>
    <w:rsid w:val="00E03491"/>
    <w:rsid w:val="00E04753"/>
    <w:rsid w:val="00E0544B"/>
    <w:rsid w:val="00E11479"/>
    <w:rsid w:val="00E12C39"/>
    <w:rsid w:val="00E13871"/>
    <w:rsid w:val="00E146A0"/>
    <w:rsid w:val="00E167A5"/>
    <w:rsid w:val="00E16A37"/>
    <w:rsid w:val="00E21784"/>
    <w:rsid w:val="00E22F07"/>
    <w:rsid w:val="00E25796"/>
    <w:rsid w:val="00E3155F"/>
    <w:rsid w:val="00E330BB"/>
    <w:rsid w:val="00E33FB4"/>
    <w:rsid w:val="00E353D6"/>
    <w:rsid w:val="00E35802"/>
    <w:rsid w:val="00E36FE2"/>
    <w:rsid w:val="00E40F39"/>
    <w:rsid w:val="00E43D70"/>
    <w:rsid w:val="00E44455"/>
    <w:rsid w:val="00E51427"/>
    <w:rsid w:val="00E51F41"/>
    <w:rsid w:val="00E55A8B"/>
    <w:rsid w:val="00E5691B"/>
    <w:rsid w:val="00E601F3"/>
    <w:rsid w:val="00E61505"/>
    <w:rsid w:val="00E6158B"/>
    <w:rsid w:val="00E63ACD"/>
    <w:rsid w:val="00E65A32"/>
    <w:rsid w:val="00E673D2"/>
    <w:rsid w:val="00E701E0"/>
    <w:rsid w:val="00E71821"/>
    <w:rsid w:val="00E72220"/>
    <w:rsid w:val="00E72C34"/>
    <w:rsid w:val="00E74213"/>
    <w:rsid w:val="00E760AA"/>
    <w:rsid w:val="00E76CD9"/>
    <w:rsid w:val="00E80549"/>
    <w:rsid w:val="00E80C36"/>
    <w:rsid w:val="00E85272"/>
    <w:rsid w:val="00E8586B"/>
    <w:rsid w:val="00E909F8"/>
    <w:rsid w:val="00E90A66"/>
    <w:rsid w:val="00E91E19"/>
    <w:rsid w:val="00E95106"/>
    <w:rsid w:val="00E95F26"/>
    <w:rsid w:val="00EA023E"/>
    <w:rsid w:val="00EA0BD8"/>
    <w:rsid w:val="00EA0EBF"/>
    <w:rsid w:val="00EA1EA3"/>
    <w:rsid w:val="00EB2350"/>
    <w:rsid w:val="00EC0B2E"/>
    <w:rsid w:val="00EC183A"/>
    <w:rsid w:val="00EC393B"/>
    <w:rsid w:val="00EC7368"/>
    <w:rsid w:val="00EC74D6"/>
    <w:rsid w:val="00ED1CC5"/>
    <w:rsid w:val="00ED47C6"/>
    <w:rsid w:val="00ED5A2A"/>
    <w:rsid w:val="00ED6C87"/>
    <w:rsid w:val="00ED74EC"/>
    <w:rsid w:val="00ED79BB"/>
    <w:rsid w:val="00ED7CFE"/>
    <w:rsid w:val="00EE0957"/>
    <w:rsid w:val="00EE0E4E"/>
    <w:rsid w:val="00EE5848"/>
    <w:rsid w:val="00EE682A"/>
    <w:rsid w:val="00EF0715"/>
    <w:rsid w:val="00EF0B95"/>
    <w:rsid w:val="00EF1732"/>
    <w:rsid w:val="00EF1FC6"/>
    <w:rsid w:val="00EF267F"/>
    <w:rsid w:val="00EF3ABF"/>
    <w:rsid w:val="00EF636A"/>
    <w:rsid w:val="00EF6795"/>
    <w:rsid w:val="00EF776D"/>
    <w:rsid w:val="00EF7F86"/>
    <w:rsid w:val="00F007B9"/>
    <w:rsid w:val="00F03412"/>
    <w:rsid w:val="00F11FE7"/>
    <w:rsid w:val="00F129BC"/>
    <w:rsid w:val="00F142BF"/>
    <w:rsid w:val="00F1508D"/>
    <w:rsid w:val="00F16138"/>
    <w:rsid w:val="00F22B21"/>
    <w:rsid w:val="00F24DE6"/>
    <w:rsid w:val="00F30F6D"/>
    <w:rsid w:val="00F3172E"/>
    <w:rsid w:val="00F31F97"/>
    <w:rsid w:val="00F329CD"/>
    <w:rsid w:val="00F336F6"/>
    <w:rsid w:val="00F3570A"/>
    <w:rsid w:val="00F35860"/>
    <w:rsid w:val="00F3588A"/>
    <w:rsid w:val="00F36C1D"/>
    <w:rsid w:val="00F40E54"/>
    <w:rsid w:val="00F4150F"/>
    <w:rsid w:val="00F42C01"/>
    <w:rsid w:val="00F43206"/>
    <w:rsid w:val="00F44D64"/>
    <w:rsid w:val="00F45261"/>
    <w:rsid w:val="00F460D8"/>
    <w:rsid w:val="00F50E0E"/>
    <w:rsid w:val="00F5243D"/>
    <w:rsid w:val="00F552B2"/>
    <w:rsid w:val="00F570F0"/>
    <w:rsid w:val="00F5755F"/>
    <w:rsid w:val="00F62807"/>
    <w:rsid w:val="00F629CF"/>
    <w:rsid w:val="00F647CA"/>
    <w:rsid w:val="00F731D3"/>
    <w:rsid w:val="00F73889"/>
    <w:rsid w:val="00F73CC5"/>
    <w:rsid w:val="00F75C08"/>
    <w:rsid w:val="00F84994"/>
    <w:rsid w:val="00F86263"/>
    <w:rsid w:val="00F87F73"/>
    <w:rsid w:val="00F93A1F"/>
    <w:rsid w:val="00F96808"/>
    <w:rsid w:val="00F968DD"/>
    <w:rsid w:val="00F96FB9"/>
    <w:rsid w:val="00FA2139"/>
    <w:rsid w:val="00FA276F"/>
    <w:rsid w:val="00FA3655"/>
    <w:rsid w:val="00FA43E8"/>
    <w:rsid w:val="00FA63D5"/>
    <w:rsid w:val="00FA7453"/>
    <w:rsid w:val="00FA7F74"/>
    <w:rsid w:val="00FB0335"/>
    <w:rsid w:val="00FB1EF9"/>
    <w:rsid w:val="00FB37A0"/>
    <w:rsid w:val="00FB3929"/>
    <w:rsid w:val="00FB59C8"/>
    <w:rsid w:val="00FB6B35"/>
    <w:rsid w:val="00FB6B9E"/>
    <w:rsid w:val="00FC070C"/>
    <w:rsid w:val="00FC0EF5"/>
    <w:rsid w:val="00FC3C7E"/>
    <w:rsid w:val="00FC5611"/>
    <w:rsid w:val="00FC5F8C"/>
    <w:rsid w:val="00FC79B6"/>
    <w:rsid w:val="00FD1CCB"/>
    <w:rsid w:val="00FD2E64"/>
    <w:rsid w:val="00FD6CEB"/>
    <w:rsid w:val="00FD6F93"/>
    <w:rsid w:val="00FD76CF"/>
    <w:rsid w:val="00FD7C1B"/>
    <w:rsid w:val="00FE130F"/>
    <w:rsid w:val="00FE2767"/>
    <w:rsid w:val="00FE2ECD"/>
    <w:rsid w:val="00FE56DB"/>
    <w:rsid w:val="00FE6327"/>
    <w:rsid w:val="00FE728F"/>
    <w:rsid w:val="00FF0DCF"/>
    <w:rsid w:val="00FF18CC"/>
    <w:rsid w:val="00FF7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annotation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B77AA"/>
    <w:pPr>
      <w:tabs>
        <w:tab w:val="left" w:pos="432"/>
      </w:tabs>
      <w:spacing w:line="480" w:lineRule="auto"/>
      <w:ind w:firstLine="432"/>
      <w:jc w:val="both"/>
    </w:pPr>
  </w:style>
  <w:style w:type="paragraph" w:styleId="Heading1">
    <w:name w:val="heading 1"/>
    <w:basedOn w:val="Normal"/>
    <w:next w:val="Normal"/>
    <w:qFormat/>
    <w:rsid w:val="009B77AA"/>
    <w:pPr>
      <w:spacing w:after="840" w:line="240" w:lineRule="auto"/>
      <w:ind w:firstLine="0"/>
      <w:jc w:val="center"/>
      <w:outlineLvl w:val="0"/>
    </w:pPr>
    <w:rPr>
      <w:b/>
      <w:caps/>
    </w:rPr>
  </w:style>
  <w:style w:type="paragraph" w:styleId="Heading2">
    <w:name w:val="heading 2"/>
    <w:basedOn w:val="Normal"/>
    <w:next w:val="Normal"/>
    <w:link w:val="Heading2Char"/>
    <w:qFormat/>
    <w:rsid w:val="009B77AA"/>
    <w:pPr>
      <w:keepNext/>
      <w:spacing w:after="240" w:line="240" w:lineRule="auto"/>
      <w:ind w:left="432" w:hanging="432"/>
      <w:outlineLvl w:val="1"/>
    </w:pPr>
    <w:rPr>
      <w:b/>
      <w:caps/>
    </w:rPr>
  </w:style>
  <w:style w:type="paragraph" w:styleId="Heading3">
    <w:name w:val="heading 3"/>
    <w:basedOn w:val="Normal"/>
    <w:next w:val="Normal"/>
    <w:qFormat/>
    <w:rsid w:val="009B77AA"/>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B77AA"/>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B77AA"/>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B77AA"/>
    <w:pPr>
      <w:outlineLvl w:val="5"/>
    </w:pPr>
  </w:style>
  <w:style w:type="paragraph" w:styleId="Heading7">
    <w:name w:val="heading 7"/>
    <w:aliases w:val="Heading 7 (business proposal only)"/>
    <w:basedOn w:val="Normal"/>
    <w:next w:val="Normal"/>
    <w:qFormat/>
    <w:rsid w:val="009B77AA"/>
    <w:pPr>
      <w:outlineLvl w:val="6"/>
    </w:pPr>
  </w:style>
  <w:style w:type="paragraph" w:styleId="Heading8">
    <w:name w:val="heading 8"/>
    <w:aliases w:val="Heading 8 (business proposal only)"/>
    <w:basedOn w:val="Normal"/>
    <w:next w:val="Normal"/>
    <w:qFormat/>
    <w:rsid w:val="009B77AA"/>
    <w:pPr>
      <w:outlineLvl w:val="7"/>
    </w:pPr>
  </w:style>
  <w:style w:type="paragraph" w:styleId="Heading9">
    <w:name w:val="heading 9"/>
    <w:aliases w:val="Heading 9 (business proposal only)"/>
    <w:basedOn w:val="Normal"/>
    <w:next w:val="Normal"/>
    <w:qFormat/>
    <w:rsid w:val="009B77A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9B77AA"/>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9B77AA"/>
    <w:pPr>
      <w:spacing w:after="240" w:line="240" w:lineRule="auto"/>
    </w:pPr>
  </w:style>
  <w:style w:type="paragraph" w:styleId="Footer">
    <w:name w:val="footer"/>
    <w:basedOn w:val="Normal"/>
    <w:link w:val="FooterChar"/>
    <w:qFormat/>
    <w:rsid w:val="009B77AA"/>
    <w:pPr>
      <w:tabs>
        <w:tab w:val="center" w:pos="4320"/>
        <w:tab w:val="right" w:pos="8640"/>
      </w:tabs>
      <w:spacing w:before="360" w:line="240" w:lineRule="auto"/>
    </w:pPr>
  </w:style>
  <w:style w:type="character" w:styleId="PageNumber">
    <w:name w:val="page number"/>
    <w:basedOn w:val="DefaultParagraphFont"/>
    <w:semiHidden/>
    <w:qFormat/>
    <w:rsid w:val="009B77AA"/>
    <w:rPr>
      <w:rFonts w:ascii="Garamond" w:hAnsi="Garamond"/>
      <w:sz w:val="24"/>
    </w:rPr>
  </w:style>
  <w:style w:type="paragraph" w:customStyle="1" w:styleId="Heading1Black">
    <w:name w:val="Heading 1_Black"/>
    <w:basedOn w:val="Normal"/>
    <w:next w:val="Normal"/>
    <w:qFormat/>
    <w:rsid w:val="009B77AA"/>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9B77AA"/>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9B77AA"/>
    <w:pPr>
      <w:tabs>
        <w:tab w:val="left" w:pos="1872"/>
        <w:tab w:val="right" w:leader="dot" w:pos="9360"/>
      </w:tabs>
      <w:ind w:left="1872" w:right="1080" w:hanging="432"/>
    </w:pPr>
    <w:rPr>
      <w:rFonts w:ascii="Arial" w:hAnsi="Arial"/>
    </w:rPr>
  </w:style>
  <w:style w:type="paragraph" w:styleId="TOC4">
    <w:name w:val="toc 4"/>
    <w:next w:val="Normal"/>
    <w:autoRedefine/>
    <w:qFormat/>
    <w:rsid w:val="009B77AA"/>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9B77AA"/>
    <w:pPr>
      <w:spacing w:after="120" w:line="240" w:lineRule="auto"/>
    </w:pPr>
    <w:rPr>
      <w:sz w:val="20"/>
    </w:rPr>
  </w:style>
  <w:style w:type="paragraph" w:customStyle="1" w:styleId="Dash">
    <w:name w:val="Dash"/>
    <w:qFormat/>
    <w:rsid w:val="009B77AA"/>
    <w:pPr>
      <w:numPr>
        <w:numId w:val="8"/>
      </w:numPr>
      <w:tabs>
        <w:tab w:val="left" w:pos="1080"/>
      </w:tabs>
      <w:spacing w:after="120"/>
      <w:ind w:left="1080" w:right="720"/>
      <w:jc w:val="both"/>
    </w:pPr>
  </w:style>
  <w:style w:type="paragraph" w:customStyle="1" w:styleId="DashLAST">
    <w:name w:val="Dash (LAST)"/>
    <w:basedOn w:val="Dash"/>
    <w:next w:val="Normal"/>
    <w:qFormat/>
    <w:rsid w:val="009B77AA"/>
    <w:pPr>
      <w:tabs>
        <w:tab w:val="num" w:pos="1080"/>
      </w:tabs>
      <w:spacing w:after="240"/>
    </w:pPr>
  </w:style>
  <w:style w:type="paragraph" w:customStyle="1" w:styleId="NumberedBullet">
    <w:name w:val="Numbered Bullet"/>
    <w:basedOn w:val="Normal"/>
    <w:qFormat/>
    <w:rsid w:val="009B77AA"/>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9B77AA"/>
    <w:pPr>
      <w:tabs>
        <w:tab w:val="clear" w:pos="432"/>
      </w:tabs>
      <w:spacing w:after="240" w:line="240" w:lineRule="auto"/>
      <w:ind w:left="720" w:hanging="720"/>
    </w:pPr>
  </w:style>
  <w:style w:type="character" w:styleId="FootnoteReference">
    <w:name w:val="footnote reference"/>
    <w:basedOn w:val="DefaultParagraphFont"/>
    <w:rsid w:val="009B77AA"/>
    <w:rPr>
      <w:spacing w:val="0"/>
      <w:position w:val="0"/>
      <w:u w:color="000080"/>
      <w:effect w:val="none"/>
      <w:vertAlign w:val="superscript"/>
    </w:rPr>
  </w:style>
  <w:style w:type="paragraph" w:styleId="EndnoteText">
    <w:name w:val="endnote text"/>
    <w:basedOn w:val="Normal"/>
    <w:rsid w:val="009B77AA"/>
    <w:pPr>
      <w:spacing w:after="240" w:line="240" w:lineRule="auto"/>
    </w:pPr>
  </w:style>
  <w:style w:type="character" w:styleId="EndnoteReference">
    <w:name w:val="endnote reference"/>
    <w:basedOn w:val="DefaultParagraphFont"/>
    <w:rsid w:val="009B77AA"/>
    <w:rPr>
      <w:vertAlign w:val="superscript"/>
    </w:rPr>
  </w:style>
  <w:style w:type="paragraph" w:customStyle="1" w:styleId="MarkforTableHeading">
    <w:name w:val="Mark for Table Heading"/>
    <w:basedOn w:val="Normal"/>
    <w:next w:val="Normal"/>
    <w:qFormat/>
    <w:rsid w:val="009B77AA"/>
    <w:pPr>
      <w:keepNext/>
      <w:spacing w:after="60" w:line="240" w:lineRule="auto"/>
      <w:ind w:firstLine="0"/>
    </w:pPr>
    <w:rPr>
      <w:rFonts w:ascii="Arial" w:hAnsi="Arial"/>
      <w:b/>
      <w:sz w:val="18"/>
    </w:rPr>
  </w:style>
  <w:style w:type="paragraph" w:customStyle="1" w:styleId="References">
    <w:name w:val="References"/>
    <w:basedOn w:val="Normal"/>
    <w:qFormat/>
    <w:rsid w:val="009B77AA"/>
    <w:pPr>
      <w:keepLines/>
      <w:spacing w:after="240" w:line="240" w:lineRule="auto"/>
      <w:ind w:left="432" w:hanging="432"/>
    </w:pPr>
  </w:style>
  <w:style w:type="paragraph" w:customStyle="1" w:styleId="MarkforFigureHeading">
    <w:name w:val="Mark for Figure Heading"/>
    <w:basedOn w:val="MarkforTableHeading"/>
    <w:next w:val="Normal"/>
    <w:qFormat/>
    <w:rsid w:val="009B77AA"/>
  </w:style>
  <w:style w:type="paragraph" w:customStyle="1" w:styleId="MarkforExhibitHeading">
    <w:name w:val="Mark for Exhibit Heading"/>
    <w:basedOn w:val="Normal"/>
    <w:next w:val="Normal"/>
    <w:qFormat/>
    <w:rsid w:val="009B77AA"/>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9B77AA"/>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rsid w:val="009B77AA"/>
    <w:rPr>
      <w:vanish/>
      <w:color w:val="FF0000"/>
    </w:rPr>
  </w:style>
  <w:style w:type="paragraph" w:customStyle="1" w:styleId="NumberedBulletLASTSS">
    <w:name w:val="Numbered Bullet (LAST SS)"/>
    <w:basedOn w:val="NumberedBullet"/>
    <w:next w:val="Normal"/>
    <w:qFormat/>
    <w:rsid w:val="009B77AA"/>
    <w:pPr>
      <w:spacing w:after="240"/>
    </w:pPr>
  </w:style>
  <w:style w:type="paragraph" w:styleId="ListParagraph">
    <w:name w:val="List Paragraph"/>
    <w:basedOn w:val="Normal"/>
    <w:uiPriority w:val="34"/>
    <w:rsid w:val="009B77AA"/>
    <w:pPr>
      <w:numPr>
        <w:numId w:val="6"/>
      </w:numPr>
      <w:ind w:left="720" w:hanging="288"/>
      <w:contextualSpacing/>
    </w:pPr>
  </w:style>
  <w:style w:type="paragraph" w:styleId="Header">
    <w:name w:val="header"/>
    <w:basedOn w:val="Normal"/>
    <w:link w:val="HeaderChar"/>
    <w:qFormat/>
    <w:rsid w:val="009B77AA"/>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9B77AA"/>
    <w:rPr>
      <w:i/>
      <w:sz w:val="22"/>
    </w:rPr>
  </w:style>
  <w:style w:type="paragraph" w:styleId="BalloonText">
    <w:name w:val="Balloon Text"/>
    <w:basedOn w:val="Normal"/>
    <w:link w:val="BalloonTextChar"/>
    <w:uiPriority w:val="99"/>
    <w:semiHidden/>
    <w:unhideWhenUsed/>
    <w:rsid w:val="009B77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7AA"/>
    <w:rPr>
      <w:rFonts w:ascii="Tahoma" w:hAnsi="Tahoma" w:cs="Tahoma"/>
      <w:sz w:val="16"/>
      <w:szCs w:val="16"/>
    </w:rPr>
  </w:style>
  <w:style w:type="paragraph" w:customStyle="1" w:styleId="TableFootnoteCaption">
    <w:name w:val="Table Footnote_Caption"/>
    <w:basedOn w:val="NormalSS"/>
    <w:qFormat/>
    <w:rsid w:val="009B77AA"/>
    <w:pPr>
      <w:spacing w:after="120"/>
      <w:ind w:firstLine="0"/>
    </w:pPr>
    <w:rPr>
      <w:rFonts w:ascii="Arial" w:hAnsi="Arial"/>
      <w:sz w:val="18"/>
    </w:rPr>
  </w:style>
  <w:style w:type="paragraph" w:customStyle="1" w:styleId="TableHeaderCenter">
    <w:name w:val="Table Header Center"/>
    <w:basedOn w:val="NormalSS"/>
    <w:qFormat/>
    <w:rsid w:val="009B77AA"/>
    <w:pPr>
      <w:spacing w:before="120" w:after="60"/>
      <w:ind w:firstLine="0"/>
      <w:jc w:val="center"/>
    </w:pPr>
    <w:rPr>
      <w:rFonts w:ascii="Arial" w:hAnsi="Arial"/>
      <w:sz w:val="18"/>
    </w:rPr>
  </w:style>
  <w:style w:type="paragraph" w:customStyle="1" w:styleId="TableHeaderLeft">
    <w:name w:val="Table Header Left"/>
    <w:basedOn w:val="NormalSS"/>
    <w:qFormat/>
    <w:rsid w:val="009B77AA"/>
    <w:pPr>
      <w:spacing w:before="120" w:after="60"/>
      <w:ind w:firstLine="0"/>
      <w:jc w:val="left"/>
    </w:pPr>
    <w:rPr>
      <w:rFonts w:ascii="Arial" w:hAnsi="Arial"/>
      <w:sz w:val="18"/>
    </w:rPr>
  </w:style>
  <w:style w:type="paragraph" w:customStyle="1" w:styleId="Normalcontinued">
    <w:name w:val="Normal (continued)"/>
    <w:basedOn w:val="Normal"/>
    <w:next w:val="Normal"/>
    <w:qFormat/>
    <w:rsid w:val="009B77AA"/>
    <w:pPr>
      <w:ind w:firstLine="0"/>
    </w:pPr>
  </w:style>
  <w:style w:type="paragraph" w:customStyle="1" w:styleId="NormalSScontinued">
    <w:name w:val="NormalSS (continued)"/>
    <w:basedOn w:val="NormalSS"/>
    <w:next w:val="NormalSS"/>
    <w:qFormat/>
    <w:rsid w:val="009B77AA"/>
    <w:pPr>
      <w:ind w:firstLine="0"/>
    </w:pPr>
  </w:style>
  <w:style w:type="paragraph" w:customStyle="1" w:styleId="TableText">
    <w:name w:val="Table Text"/>
    <w:basedOn w:val="NormalSS"/>
    <w:qFormat/>
    <w:rsid w:val="009B77AA"/>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9B77AA"/>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9B77AA"/>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9B77AA"/>
    <w:rPr>
      <w:color w:val="C00000"/>
    </w:rPr>
  </w:style>
  <w:style w:type="paragraph" w:customStyle="1" w:styleId="AcknowledgmentnoTOCBlue">
    <w:name w:val="Acknowledgment no TOC_Blue"/>
    <w:basedOn w:val="AcknowledgmentnoTOCBlack"/>
    <w:next w:val="Normal"/>
    <w:qFormat/>
    <w:rsid w:val="009B77AA"/>
    <w:rPr>
      <w:color w:val="345294"/>
    </w:rPr>
  </w:style>
  <w:style w:type="paragraph" w:customStyle="1" w:styleId="BulletBlack">
    <w:name w:val="Bullet_Black"/>
    <w:basedOn w:val="Normal"/>
    <w:qFormat/>
    <w:rsid w:val="009B77AA"/>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9B77AA"/>
    <w:pPr>
      <w:numPr>
        <w:numId w:val="12"/>
      </w:numPr>
      <w:ind w:left="720" w:hanging="288"/>
    </w:pPr>
  </w:style>
  <w:style w:type="paragraph" w:customStyle="1" w:styleId="BulletBlue">
    <w:name w:val="Bullet_Blue"/>
    <w:basedOn w:val="BulletBlack"/>
    <w:qFormat/>
    <w:rsid w:val="009B77AA"/>
    <w:pPr>
      <w:numPr>
        <w:numId w:val="10"/>
      </w:numPr>
      <w:ind w:left="720" w:hanging="288"/>
    </w:pPr>
  </w:style>
  <w:style w:type="paragraph" w:customStyle="1" w:styleId="BulletBlackLastSS">
    <w:name w:val="Bullet_Black (Last SS)"/>
    <w:basedOn w:val="BulletBlack"/>
    <w:next w:val="NormalSS"/>
    <w:qFormat/>
    <w:rsid w:val="009B77AA"/>
    <w:pPr>
      <w:spacing w:after="240"/>
    </w:pPr>
  </w:style>
  <w:style w:type="paragraph" w:customStyle="1" w:styleId="BulletRedLastSS">
    <w:name w:val="Bullet_Red (Last SS)"/>
    <w:basedOn w:val="BulletBlackLastSS"/>
    <w:next w:val="NormalSS"/>
    <w:qFormat/>
    <w:rsid w:val="009B77AA"/>
    <w:pPr>
      <w:numPr>
        <w:numId w:val="13"/>
      </w:numPr>
      <w:ind w:left="720" w:hanging="288"/>
    </w:pPr>
  </w:style>
  <w:style w:type="paragraph" w:customStyle="1" w:styleId="BulletBlueLastSS">
    <w:name w:val="Bullet_Blue (Last SS)"/>
    <w:basedOn w:val="BulletBlackLastSS"/>
    <w:next w:val="NormalSS"/>
    <w:qFormat/>
    <w:rsid w:val="009B77AA"/>
    <w:pPr>
      <w:numPr>
        <w:numId w:val="11"/>
      </w:numPr>
      <w:ind w:left="720" w:hanging="288"/>
    </w:pPr>
  </w:style>
  <w:style w:type="paragraph" w:customStyle="1" w:styleId="BulletBlackLastDS">
    <w:name w:val="Bullet_Black (Last DS)"/>
    <w:basedOn w:val="BulletBlackLastSS"/>
    <w:next w:val="Normal"/>
    <w:qFormat/>
    <w:rsid w:val="009B77AA"/>
    <w:pPr>
      <w:spacing w:after="320"/>
    </w:pPr>
  </w:style>
  <w:style w:type="paragraph" w:customStyle="1" w:styleId="BulletRedLastDS">
    <w:name w:val="Bullet_Red (Last DS)"/>
    <w:basedOn w:val="BulletRedLastSS"/>
    <w:next w:val="Normal"/>
    <w:qFormat/>
    <w:rsid w:val="009B77AA"/>
    <w:pPr>
      <w:spacing w:after="320"/>
    </w:pPr>
  </w:style>
  <w:style w:type="paragraph" w:customStyle="1" w:styleId="BulletBlueLastDS">
    <w:name w:val="Bullet_Blue (Last DS)"/>
    <w:basedOn w:val="BulletBlackLastDS"/>
    <w:next w:val="Normal"/>
    <w:qFormat/>
    <w:rsid w:val="009B77AA"/>
    <w:pPr>
      <w:numPr>
        <w:numId w:val="14"/>
      </w:numPr>
      <w:ind w:left="720" w:hanging="288"/>
    </w:pPr>
  </w:style>
  <w:style w:type="table" w:styleId="TableGrid">
    <w:name w:val="Table Grid"/>
    <w:basedOn w:val="TableNormal"/>
    <w:uiPriority w:val="59"/>
    <w:rsid w:val="009B77A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9B77AA"/>
    <w:rPr>
      <w:color w:val="C00000"/>
    </w:rPr>
  </w:style>
  <w:style w:type="paragraph" w:customStyle="1" w:styleId="Heading1Blue">
    <w:name w:val="Heading 1_Blue"/>
    <w:basedOn w:val="Heading1Black"/>
    <w:next w:val="Normal"/>
    <w:qFormat/>
    <w:rsid w:val="009B77AA"/>
    <w:rPr>
      <w:color w:val="345294"/>
    </w:rPr>
  </w:style>
  <w:style w:type="paragraph" w:customStyle="1" w:styleId="Heading2Black">
    <w:name w:val="Heading 2_Black"/>
    <w:basedOn w:val="Normal"/>
    <w:next w:val="Normal"/>
    <w:qFormat/>
    <w:rsid w:val="009B77AA"/>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9B77AA"/>
    <w:rPr>
      <w:color w:val="C00000"/>
    </w:rPr>
  </w:style>
  <w:style w:type="paragraph" w:customStyle="1" w:styleId="Heading2Blue">
    <w:name w:val="Heading 2_Blue"/>
    <w:basedOn w:val="Heading2Black"/>
    <w:next w:val="Normal"/>
    <w:qFormat/>
    <w:rsid w:val="009B77AA"/>
    <w:rPr>
      <w:color w:val="345294"/>
    </w:rPr>
  </w:style>
  <w:style w:type="paragraph" w:customStyle="1" w:styleId="Heading2BlackNoTOC">
    <w:name w:val="Heading 2_Black No TOC"/>
    <w:basedOn w:val="Heading2Black"/>
    <w:next w:val="Normal"/>
    <w:qFormat/>
    <w:rsid w:val="009B77AA"/>
    <w:pPr>
      <w:outlineLvl w:val="8"/>
    </w:pPr>
  </w:style>
  <w:style w:type="paragraph" w:customStyle="1" w:styleId="Heading2RedNoTOC">
    <w:name w:val="Heading 2_Red No TOC"/>
    <w:basedOn w:val="Heading2Red"/>
    <w:next w:val="Normal"/>
    <w:qFormat/>
    <w:rsid w:val="009B77AA"/>
    <w:pPr>
      <w:outlineLvl w:val="8"/>
    </w:pPr>
  </w:style>
  <w:style w:type="paragraph" w:customStyle="1" w:styleId="Heading2BlueNoTOC">
    <w:name w:val="Heading 2_Blue No TOC"/>
    <w:basedOn w:val="Heading2Blue"/>
    <w:next w:val="Normal"/>
    <w:qFormat/>
    <w:rsid w:val="009B77AA"/>
    <w:pPr>
      <w:outlineLvl w:val="8"/>
    </w:pPr>
  </w:style>
  <w:style w:type="paragraph" w:customStyle="1" w:styleId="MarkforAttachmentHeadingBlack">
    <w:name w:val="Mark for Attachment Heading_Black"/>
    <w:basedOn w:val="Normal"/>
    <w:next w:val="Normal"/>
    <w:qFormat/>
    <w:rsid w:val="009B77AA"/>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9B77AA"/>
    <w:rPr>
      <w:color w:val="C00000"/>
    </w:rPr>
  </w:style>
  <w:style w:type="paragraph" w:customStyle="1" w:styleId="MarkforAttachmentHeadingBlue">
    <w:name w:val="Mark for Attachment Heading_Blue"/>
    <w:basedOn w:val="MarkforAttachmentHeadingBlack"/>
    <w:next w:val="Normal"/>
    <w:qFormat/>
    <w:rsid w:val="009B77AA"/>
    <w:rPr>
      <w:color w:val="345294"/>
    </w:rPr>
  </w:style>
  <w:style w:type="paragraph" w:customStyle="1" w:styleId="MarkforAppendixHeadingBlack">
    <w:name w:val="Mark for Appendix Heading_Black"/>
    <w:basedOn w:val="Normal"/>
    <w:next w:val="Normal"/>
    <w:qFormat/>
    <w:rsid w:val="009B77AA"/>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9B77AA"/>
    <w:rPr>
      <w:color w:val="C00000"/>
    </w:rPr>
  </w:style>
  <w:style w:type="paragraph" w:customStyle="1" w:styleId="MarkforAppendixHeadingBlue">
    <w:name w:val="Mark for Appendix Heading_Blue"/>
    <w:basedOn w:val="MarkforAppendixHeadingBlack"/>
    <w:next w:val="Normal"/>
    <w:qFormat/>
    <w:rsid w:val="009B77AA"/>
    <w:rPr>
      <w:color w:val="345294"/>
    </w:rPr>
  </w:style>
  <w:style w:type="paragraph" w:customStyle="1" w:styleId="NumberedBulletLastDS">
    <w:name w:val="Numbered Bullet (Last DS)"/>
    <w:basedOn w:val="NumberedBulletLASTSS"/>
    <w:next w:val="Normal"/>
    <w:qFormat/>
    <w:rsid w:val="009B77AA"/>
    <w:pPr>
      <w:spacing w:after="320"/>
    </w:pPr>
  </w:style>
  <w:style w:type="paragraph" w:customStyle="1" w:styleId="TableSignificanceCaption">
    <w:name w:val="Table Significance_Caption"/>
    <w:basedOn w:val="TableSourceCaption"/>
    <w:qFormat/>
    <w:rsid w:val="009B77AA"/>
    <w:pPr>
      <w:spacing w:after="0"/>
    </w:pPr>
  </w:style>
  <w:style w:type="paragraph" w:customStyle="1" w:styleId="TitleofDocumentVertical">
    <w:name w:val="Title of Document Vertical"/>
    <w:basedOn w:val="Normal"/>
    <w:qFormat/>
    <w:rsid w:val="009B77AA"/>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9B77AA"/>
    <w:pPr>
      <w:spacing w:before="0" w:after="160"/>
    </w:pPr>
  </w:style>
  <w:style w:type="paragraph" w:customStyle="1" w:styleId="TitleofDocumentNoPhoto">
    <w:name w:val="Title of Document No Photo"/>
    <w:basedOn w:val="TitleofDocumentHorizontal"/>
    <w:qFormat/>
    <w:rsid w:val="009B77AA"/>
  </w:style>
  <w:style w:type="paragraph" w:customStyle="1" w:styleId="TableSpace">
    <w:name w:val="TableSpace"/>
    <w:basedOn w:val="TableSourceCaption"/>
    <w:next w:val="TableFootnoteCaption"/>
    <w:qFormat/>
    <w:rsid w:val="009B77AA"/>
    <w:pPr>
      <w:spacing w:after="0"/>
    </w:pPr>
  </w:style>
  <w:style w:type="table" w:customStyle="1" w:styleId="SMPRTableRed">
    <w:name w:val="SMPR_Table_Red"/>
    <w:basedOn w:val="TableNormal"/>
    <w:uiPriority w:val="99"/>
    <w:rsid w:val="009B77AA"/>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9B77AA"/>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9B77AA"/>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9B77AA"/>
    <w:pPr>
      <w:numPr>
        <w:numId w:val="15"/>
      </w:numPr>
    </w:pPr>
  </w:style>
  <w:style w:type="paragraph" w:styleId="TOC5">
    <w:name w:val="toc 5"/>
    <w:basedOn w:val="Normal"/>
    <w:next w:val="Normal"/>
    <w:autoRedefine/>
    <w:uiPriority w:val="39"/>
    <w:semiHidden/>
    <w:unhideWhenUsed/>
    <w:rsid w:val="009B77AA"/>
    <w:pPr>
      <w:tabs>
        <w:tab w:val="clear" w:pos="432"/>
      </w:tabs>
      <w:spacing w:after="100"/>
      <w:ind w:left="960"/>
    </w:pPr>
  </w:style>
  <w:style w:type="paragraph" w:styleId="TOC6">
    <w:name w:val="toc 6"/>
    <w:basedOn w:val="Normal"/>
    <w:next w:val="Normal"/>
    <w:autoRedefine/>
    <w:uiPriority w:val="39"/>
    <w:semiHidden/>
    <w:unhideWhenUsed/>
    <w:rsid w:val="009B77AA"/>
    <w:pPr>
      <w:tabs>
        <w:tab w:val="clear" w:pos="432"/>
      </w:tabs>
      <w:spacing w:after="100"/>
      <w:ind w:left="1200"/>
    </w:pPr>
  </w:style>
  <w:style w:type="paragraph" w:styleId="TOC7">
    <w:name w:val="toc 7"/>
    <w:basedOn w:val="Normal"/>
    <w:next w:val="Normal"/>
    <w:autoRedefine/>
    <w:uiPriority w:val="39"/>
    <w:semiHidden/>
    <w:unhideWhenUsed/>
    <w:rsid w:val="009B77AA"/>
    <w:pPr>
      <w:tabs>
        <w:tab w:val="clear" w:pos="432"/>
      </w:tabs>
      <w:spacing w:after="100"/>
      <w:ind w:left="1440"/>
    </w:pPr>
  </w:style>
  <w:style w:type="paragraph" w:styleId="TOC8">
    <w:name w:val="toc 8"/>
    <w:next w:val="Normal"/>
    <w:autoRedefine/>
    <w:uiPriority w:val="39"/>
    <w:rsid w:val="009B77AA"/>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9B77AA"/>
    <w:pPr>
      <w:tabs>
        <w:tab w:val="clear" w:pos="432"/>
      </w:tabs>
      <w:spacing w:after="100"/>
      <w:ind w:left="1920"/>
    </w:pPr>
  </w:style>
  <w:style w:type="paragraph" w:customStyle="1" w:styleId="Heading3NoTOC">
    <w:name w:val="Heading 3_No TOC"/>
    <w:basedOn w:val="Heading3"/>
    <w:next w:val="Normal"/>
    <w:qFormat/>
    <w:rsid w:val="009B77AA"/>
    <w:pPr>
      <w:outlineLvl w:val="8"/>
    </w:pPr>
  </w:style>
  <w:style w:type="character" w:styleId="Emphasis">
    <w:name w:val="Emphasis"/>
    <w:basedOn w:val="DefaultParagraphFont"/>
    <w:uiPriority w:val="99"/>
    <w:qFormat/>
    <w:rsid w:val="0023364C"/>
    <w:rPr>
      <w:rFonts w:cs="Times New Roman"/>
      <w:i/>
      <w:iCs/>
    </w:rPr>
  </w:style>
  <w:style w:type="paragraph" w:customStyle="1" w:styleId="NormalSS12">
    <w:name w:val="NormalSS 12"/>
    <w:basedOn w:val="NormalSS"/>
    <w:qFormat/>
    <w:rsid w:val="00161CAD"/>
  </w:style>
  <w:style w:type="character" w:styleId="CommentReference">
    <w:name w:val="annotation reference"/>
    <w:basedOn w:val="DefaultParagraphFont"/>
    <w:semiHidden/>
    <w:unhideWhenUsed/>
    <w:rsid w:val="0023364C"/>
    <w:rPr>
      <w:sz w:val="16"/>
      <w:szCs w:val="16"/>
    </w:rPr>
  </w:style>
  <w:style w:type="paragraph" w:styleId="CommentText">
    <w:name w:val="annotation text"/>
    <w:basedOn w:val="Normal"/>
    <w:link w:val="CommentTextChar"/>
    <w:uiPriority w:val="99"/>
    <w:unhideWhenUsed/>
    <w:rsid w:val="0023364C"/>
    <w:rPr>
      <w:rFonts w:ascii="Calibri" w:eastAsia="Calibri" w:hAnsi="Calibri"/>
      <w:sz w:val="20"/>
      <w:szCs w:val="20"/>
    </w:rPr>
  </w:style>
  <w:style w:type="character" w:customStyle="1" w:styleId="CommentTextChar">
    <w:name w:val="Comment Text Char"/>
    <w:basedOn w:val="DefaultParagraphFont"/>
    <w:link w:val="CommentText"/>
    <w:uiPriority w:val="99"/>
    <w:rsid w:val="0023364C"/>
    <w:rPr>
      <w:rFonts w:ascii="Calibri" w:eastAsia="Calibri" w:hAnsi="Calibri"/>
      <w:sz w:val="20"/>
      <w:szCs w:val="20"/>
    </w:rPr>
  </w:style>
  <w:style w:type="character" w:customStyle="1" w:styleId="FootnoteTextChar">
    <w:name w:val="Footnote Text Char"/>
    <w:aliases w:val="F1 Char"/>
    <w:basedOn w:val="DefaultParagraphFont"/>
    <w:link w:val="FootnoteText"/>
    <w:rsid w:val="0023364C"/>
    <w:rPr>
      <w:sz w:val="20"/>
    </w:rPr>
  </w:style>
  <w:style w:type="paragraph" w:styleId="CommentSubject">
    <w:name w:val="annotation subject"/>
    <w:basedOn w:val="CommentText"/>
    <w:next w:val="CommentText"/>
    <w:link w:val="CommentSubjectChar"/>
    <w:uiPriority w:val="99"/>
    <w:semiHidden/>
    <w:unhideWhenUsed/>
    <w:rsid w:val="00DB2E7D"/>
    <w:rPr>
      <w:rFonts w:ascii="Garamond" w:eastAsia="Times New Roman" w:hAnsi="Garamond"/>
      <w:b/>
      <w:bCs/>
    </w:rPr>
  </w:style>
  <w:style w:type="character" w:customStyle="1" w:styleId="CommentSubjectChar">
    <w:name w:val="Comment Subject Char"/>
    <w:basedOn w:val="CommentTextChar"/>
    <w:link w:val="CommentSubject"/>
    <w:uiPriority w:val="99"/>
    <w:semiHidden/>
    <w:rsid w:val="00DB2E7D"/>
    <w:rPr>
      <w:rFonts w:ascii="Calibri" w:eastAsia="Calibri" w:hAnsi="Calibri"/>
      <w:b/>
      <w:bCs/>
      <w:sz w:val="20"/>
      <w:szCs w:val="20"/>
    </w:rPr>
  </w:style>
  <w:style w:type="character" w:customStyle="1" w:styleId="FooterChar">
    <w:name w:val="Footer Char"/>
    <w:basedOn w:val="DefaultParagraphFont"/>
    <w:link w:val="Footer"/>
    <w:rsid w:val="00BC3208"/>
  </w:style>
  <w:style w:type="character" w:customStyle="1" w:styleId="Heading2Char">
    <w:name w:val="Heading 2 Char"/>
    <w:basedOn w:val="DefaultParagraphFont"/>
    <w:link w:val="Heading2"/>
    <w:locked/>
    <w:rsid w:val="00760350"/>
    <w:rPr>
      <w:b/>
      <w:caps/>
    </w:rPr>
  </w:style>
  <w:style w:type="character" w:customStyle="1" w:styleId="NormalSSChar">
    <w:name w:val="NormalSS Char"/>
    <w:basedOn w:val="DefaultParagraphFont"/>
    <w:link w:val="NormalSS"/>
    <w:rsid w:val="00884479"/>
  </w:style>
  <w:style w:type="paragraph" w:customStyle="1" w:styleId="Bullet">
    <w:name w:val="Bullet"/>
    <w:qFormat/>
    <w:rsid w:val="00161CAD"/>
    <w:pPr>
      <w:numPr>
        <w:numId w:val="7"/>
      </w:numPr>
      <w:tabs>
        <w:tab w:val="left" w:pos="360"/>
      </w:tabs>
      <w:spacing w:after="180"/>
      <w:ind w:left="720" w:right="360" w:hanging="288"/>
      <w:jc w:val="both"/>
    </w:pPr>
    <w:rPr>
      <w:rFonts w:ascii="Times New Roman" w:hAnsi="Times New Roman"/>
    </w:rPr>
  </w:style>
  <w:style w:type="paragraph" w:customStyle="1" w:styleId="BulletLAST">
    <w:name w:val="Bullet (LAST)"/>
    <w:basedOn w:val="Bullet"/>
    <w:next w:val="Normal"/>
    <w:qFormat/>
    <w:rsid w:val="00161CAD"/>
    <w:pPr>
      <w:tabs>
        <w:tab w:val="num" w:pos="360"/>
      </w:tabs>
      <w:spacing w:after="480"/>
    </w:pPr>
  </w:style>
  <w:style w:type="paragraph" w:customStyle="1" w:styleId="ParagraphLAST">
    <w:name w:val="Paragraph (LAST)"/>
    <w:basedOn w:val="Normal"/>
    <w:next w:val="Normal"/>
    <w:rsid w:val="00161CAD"/>
    <w:pPr>
      <w:spacing w:after="240"/>
    </w:pPr>
  </w:style>
  <w:style w:type="paragraph" w:customStyle="1" w:styleId="Center">
    <w:name w:val="Center"/>
    <w:basedOn w:val="Normal"/>
    <w:rsid w:val="00161CAD"/>
    <w:pPr>
      <w:ind w:firstLine="0"/>
      <w:jc w:val="center"/>
    </w:pPr>
  </w:style>
  <w:style w:type="paragraph" w:customStyle="1" w:styleId="ParagraphSSLAST">
    <w:name w:val="ParagraphSS (LAST)"/>
    <w:basedOn w:val="NormalSS"/>
    <w:next w:val="Normal"/>
    <w:qFormat/>
    <w:rsid w:val="00161CAD"/>
    <w:pPr>
      <w:spacing w:after="480"/>
    </w:pPr>
  </w:style>
  <w:style w:type="paragraph" w:customStyle="1" w:styleId="MarkforAttachmentHeading">
    <w:name w:val="Mark for Attachment Heading"/>
    <w:basedOn w:val="Normal"/>
    <w:next w:val="Normal"/>
    <w:qFormat/>
    <w:rsid w:val="00161CAD"/>
    <w:pPr>
      <w:spacing w:line="240" w:lineRule="auto"/>
      <w:ind w:firstLine="0"/>
      <w:jc w:val="center"/>
    </w:pPr>
    <w:rPr>
      <w:b/>
      <w:caps/>
    </w:rPr>
  </w:style>
  <w:style w:type="paragraph" w:customStyle="1" w:styleId="MarkforAppendixHeading">
    <w:name w:val="Mark for Appendix Heading"/>
    <w:basedOn w:val="Normal"/>
    <w:qFormat/>
    <w:rsid w:val="00161CAD"/>
    <w:pPr>
      <w:ind w:firstLine="0"/>
      <w:jc w:val="center"/>
    </w:pPr>
    <w:rPr>
      <w:b/>
      <w:caps/>
    </w:rPr>
  </w:style>
  <w:style w:type="paragraph" w:customStyle="1" w:styleId="NumberedBulletLAST">
    <w:name w:val="Numbered Bullet (LAST)"/>
    <w:basedOn w:val="NumberedBullet"/>
    <w:next w:val="Normal"/>
    <w:qFormat/>
    <w:rsid w:val="00161CAD"/>
    <w:pPr>
      <w:spacing w:after="480"/>
    </w:pPr>
  </w:style>
  <w:style w:type="paragraph" w:customStyle="1" w:styleId="NormalSS12continued">
    <w:name w:val="NormalSS 12 (continued)"/>
    <w:basedOn w:val="NormalSS12"/>
    <w:qFormat/>
    <w:rsid w:val="00161CAD"/>
    <w:pPr>
      <w:ind w:firstLine="0"/>
    </w:pPr>
  </w:style>
  <w:style w:type="paragraph" w:customStyle="1" w:styleId="ParagraphLASTcontinued">
    <w:name w:val="Paragraph (LAST_continued)"/>
    <w:basedOn w:val="ParagraphLAST"/>
    <w:next w:val="Normal"/>
    <w:qFormat/>
    <w:rsid w:val="00161CAD"/>
    <w:pPr>
      <w:ind w:firstLine="0"/>
    </w:pPr>
  </w:style>
  <w:style w:type="paragraph" w:customStyle="1" w:styleId="ParagraphSSLASTcontinued">
    <w:name w:val="ParagraphSS (LAST_continued)"/>
    <w:basedOn w:val="ParagraphSSLAST"/>
    <w:next w:val="NormalSS"/>
    <w:qFormat/>
    <w:rsid w:val="00161CAD"/>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annotation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B77AA"/>
    <w:pPr>
      <w:tabs>
        <w:tab w:val="left" w:pos="432"/>
      </w:tabs>
      <w:spacing w:line="480" w:lineRule="auto"/>
      <w:ind w:firstLine="432"/>
      <w:jc w:val="both"/>
    </w:pPr>
  </w:style>
  <w:style w:type="paragraph" w:styleId="Heading1">
    <w:name w:val="heading 1"/>
    <w:basedOn w:val="Normal"/>
    <w:next w:val="Normal"/>
    <w:qFormat/>
    <w:rsid w:val="009B77AA"/>
    <w:pPr>
      <w:spacing w:after="840" w:line="240" w:lineRule="auto"/>
      <w:ind w:firstLine="0"/>
      <w:jc w:val="center"/>
      <w:outlineLvl w:val="0"/>
    </w:pPr>
    <w:rPr>
      <w:b/>
      <w:caps/>
    </w:rPr>
  </w:style>
  <w:style w:type="paragraph" w:styleId="Heading2">
    <w:name w:val="heading 2"/>
    <w:basedOn w:val="Normal"/>
    <w:next w:val="Normal"/>
    <w:link w:val="Heading2Char"/>
    <w:qFormat/>
    <w:rsid w:val="009B77AA"/>
    <w:pPr>
      <w:keepNext/>
      <w:spacing w:after="240" w:line="240" w:lineRule="auto"/>
      <w:ind w:left="432" w:hanging="432"/>
      <w:outlineLvl w:val="1"/>
    </w:pPr>
    <w:rPr>
      <w:b/>
      <w:caps/>
    </w:rPr>
  </w:style>
  <w:style w:type="paragraph" w:styleId="Heading3">
    <w:name w:val="heading 3"/>
    <w:basedOn w:val="Normal"/>
    <w:next w:val="Normal"/>
    <w:qFormat/>
    <w:rsid w:val="009B77AA"/>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B77AA"/>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B77AA"/>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B77AA"/>
    <w:pPr>
      <w:outlineLvl w:val="5"/>
    </w:pPr>
  </w:style>
  <w:style w:type="paragraph" w:styleId="Heading7">
    <w:name w:val="heading 7"/>
    <w:aliases w:val="Heading 7 (business proposal only)"/>
    <w:basedOn w:val="Normal"/>
    <w:next w:val="Normal"/>
    <w:qFormat/>
    <w:rsid w:val="009B77AA"/>
    <w:pPr>
      <w:outlineLvl w:val="6"/>
    </w:pPr>
  </w:style>
  <w:style w:type="paragraph" w:styleId="Heading8">
    <w:name w:val="heading 8"/>
    <w:aliases w:val="Heading 8 (business proposal only)"/>
    <w:basedOn w:val="Normal"/>
    <w:next w:val="Normal"/>
    <w:qFormat/>
    <w:rsid w:val="009B77AA"/>
    <w:pPr>
      <w:outlineLvl w:val="7"/>
    </w:pPr>
  </w:style>
  <w:style w:type="paragraph" w:styleId="Heading9">
    <w:name w:val="heading 9"/>
    <w:aliases w:val="Heading 9 (business proposal only)"/>
    <w:basedOn w:val="Normal"/>
    <w:next w:val="Normal"/>
    <w:qFormat/>
    <w:rsid w:val="009B77A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9B77AA"/>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9B77AA"/>
    <w:pPr>
      <w:spacing w:after="240" w:line="240" w:lineRule="auto"/>
    </w:pPr>
  </w:style>
  <w:style w:type="paragraph" w:styleId="Footer">
    <w:name w:val="footer"/>
    <w:basedOn w:val="Normal"/>
    <w:link w:val="FooterChar"/>
    <w:qFormat/>
    <w:rsid w:val="009B77AA"/>
    <w:pPr>
      <w:tabs>
        <w:tab w:val="center" w:pos="4320"/>
        <w:tab w:val="right" w:pos="8640"/>
      </w:tabs>
      <w:spacing w:before="360" w:line="240" w:lineRule="auto"/>
    </w:pPr>
  </w:style>
  <w:style w:type="character" w:styleId="PageNumber">
    <w:name w:val="page number"/>
    <w:basedOn w:val="DefaultParagraphFont"/>
    <w:semiHidden/>
    <w:qFormat/>
    <w:rsid w:val="009B77AA"/>
    <w:rPr>
      <w:rFonts w:ascii="Garamond" w:hAnsi="Garamond"/>
      <w:sz w:val="24"/>
    </w:rPr>
  </w:style>
  <w:style w:type="paragraph" w:customStyle="1" w:styleId="Heading1Black">
    <w:name w:val="Heading 1_Black"/>
    <w:basedOn w:val="Normal"/>
    <w:next w:val="Normal"/>
    <w:qFormat/>
    <w:rsid w:val="009B77AA"/>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9B77AA"/>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9B77AA"/>
    <w:pPr>
      <w:tabs>
        <w:tab w:val="left" w:pos="1872"/>
        <w:tab w:val="right" w:leader="dot" w:pos="9360"/>
      </w:tabs>
      <w:ind w:left="1872" w:right="1080" w:hanging="432"/>
    </w:pPr>
    <w:rPr>
      <w:rFonts w:ascii="Arial" w:hAnsi="Arial"/>
    </w:rPr>
  </w:style>
  <w:style w:type="paragraph" w:styleId="TOC4">
    <w:name w:val="toc 4"/>
    <w:next w:val="Normal"/>
    <w:autoRedefine/>
    <w:qFormat/>
    <w:rsid w:val="009B77AA"/>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9B77AA"/>
    <w:pPr>
      <w:spacing w:after="120" w:line="240" w:lineRule="auto"/>
    </w:pPr>
    <w:rPr>
      <w:sz w:val="20"/>
    </w:rPr>
  </w:style>
  <w:style w:type="paragraph" w:customStyle="1" w:styleId="Dash">
    <w:name w:val="Dash"/>
    <w:qFormat/>
    <w:rsid w:val="009B77AA"/>
    <w:pPr>
      <w:numPr>
        <w:numId w:val="8"/>
      </w:numPr>
      <w:tabs>
        <w:tab w:val="left" w:pos="1080"/>
      </w:tabs>
      <w:spacing w:after="120"/>
      <w:ind w:left="1080" w:right="720"/>
      <w:jc w:val="both"/>
    </w:pPr>
  </w:style>
  <w:style w:type="paragraph" w:customStyle="1" w:styleId="DashLAST">
    <w:name w:val="Dash (LAST)"/>
    <w:basedOn w:val="Dash"/>
    <w:next w:val="Normal"/>
    <w:qFormat/>
    <w:rsid w:val="009B77AA"/>
    <w:pPr>
      <w:tabs>
        <w:tab w:val="num" w:pos="1080"/>
      </w:tabs>
      <w:spacing w:after="240"/>
    </w:pPr>
  </w:style>
  <w:style w:type="paragraph" w:customStyle="1" w:styleId="NumberedBullet">
    <w:name w:val="Numbered Bullet"/>
    <w:basedOn w:val="Normal"/>
    <w:qFormat/>
    <w:rsid w:val="009B77AA"/>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9B77AA"/>
    <w:pPr>
      <w:tabs>
        <w:tab w:val="clear" w:pos="432"/>
      </w:tabs>
      <w:spacing w:after="240" w:line="240" w:lineRule="auto"/>
      <w:ind w:left="720" w:hanging="720"/>
    </w:pPr>
  </w:style>
  <w:style w:type="character" w:styleId="FootnoteReference">
    <w:name w:val="footnote reference"/>
    <w:basedOn w:val="DefaultParagraphFont"/>
    <w:rsid w:val="009B77AA"/>
    <w:rPr>
      <w:spacing w:val="0"/>
      <w:position w:val="0"/>
      <w:u w:color="000080"/>
      <w:effect w:val="none"/>
      <w:vertAlign w:val="superscript"/>
    </w:rPr>
  </w:style>
  <w:style w:type="paragraph" w:styleId="EndnoteText">
    <w:name w:val="endnote text"/>
    <w:basedOn w:val="Normal"/>
    <w:rsid w:val="009B77AA"/>
    <w:pPr>
      <w:spacing w:after="240" w:line="240" w:lineRule="auto"/>
    </w:pPr>
  </w:style>
  <w:style w:type="character" w:styleId="EndnoteReference">
    <w:name w:val="endnote reference"/>
    <w:basedOn w:val="DefaultParagraphFont"/>
    <w:rsid w:val="009B77AA"/>
    <w:rPr>
      <w:vertAlign w:val="superscript"/>
    </w:rPr>
  </w:style>
  <w:style w:type="paragraph" w:customStyle="1" w:styleId="MarkforTableHeading">
    <w:name w:val="Mark for Table Heading"/>
    <w:basedOn w:val="Normal"/>
    <w:next w:val="Normal"/>
    <w:qFormat/>
    <w:rsid w:val="009B77AA"/>
    <w:pPr>
      <w:keepNext/>
      <w:spacing w:after="60" w:line="240" w:lineRule="auto"/>
      <w:ind w:firstLine="0"/>
    </w:pPr>
    <w:rPr>
      <w:rFonts w:ascii="Arial" w:hAnsi="Arial"/>
      <w:b/>
      <w:sz w:val="18"/>
    </w:rPr>
  </w:style>
  <w:style w:type="paragraph" w:customStyle="1" w:styleId="References">
    <w:name w:val="References"/>
    <w:basedOn w:val="Normal"/>
    <w:qFormat/>
    <w:rsid w:val="009B77AA"/>
    <w:pPr>
      <w:keepLines/>
      <w:spacing w:after="240" w:line="240" w:lineRule="auto"/>
      <w:ind w:left="432" w:hanging="432"/>
    </w:pPr>
  </w:style>
  <w:style w:type="paragraph" w:customStyle="1" w:styleId="MarkforFigureHeading">
    <w:name w:val="Mark for Figure Heading"/>
    <w:basedOn w:val="MarkforTableHeading"/>
    <w:next w:val="Normal"/>
    <w:qFormat/>
    <w:rsid w:val="009B77AA"/>
  </w:style>
  <w:style w:type="paragraph" w:customStyle="1" w:styleId="MarkforExhibitHeading">
    <w:name w:val="Mark for Exhibit Heading"/>
    <w:basedOn w:val="Normal"/>
    <w:next w:val="Normal"/>
    <w:qFormat/>
    <w:rsid w:val="009B77AA"/>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9B77AA"/>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rsid w:val="009B77AA"/>
    <w:rPr>
      <w:vanish/>
      <w:color w:val="FF0000"/>
    </w:rPr>
  </w:style>
  <w:style w:type="paragraph" w:customStyle="1" w:styleId="NumberedBulletLASTSS">
    <w:name w:val="Numbered Bullet (LAST SS)"/>
    <w:basedOn w:val="NumberedBullet"/>
    <w:next w:val="Normal"/>
    <w:qFormat/>
    <w:rsid w:val="009B77AA"/>
    <w:pPr>
      <w:spacing w:after="240"/>
    </w:pPr>
  </w:style>
  <w:style w:type="paragraph" w:styleId="ListParagraph">
    <w:name w:val="List Paragraph"/>
    <w:basedOn w:val="Normal"/>
    <w:uiPriority w:val="34"/>
    <w:rsid w:val="009B77AA"/>
    <w:pPr>
      <w:numPr>
        <w:numId w:val="6"/>
      </w:numPr>
      <w:ind w:left="720" w:hanging="288"/>
      <w:contextualSpacing/>
    </w:pPr>
  </w:style>
  <w:style w:type="paragraph" w:styleId="Header">
    <w:name w:val="header"/>
    <w:basedOn w:val="Normal"/>
    <w:link w:val="HeaderChar"/>
    <w:qFormat/>
    <w:rsid w:val="009B77AA"/>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9B77AA"/>
    <w:rPr>
      <w:i/>
      <w:sz w:val="22"/>
    </w:rPr>
  </w:style>
  <w:style w:type="paragraph" w:styleId="BalloonText">
    <w:name w:val="Balloon Text"/>
    <w:basedOn w:val="Normal"/>
    <w:link w:val="BalloonTextChar"/>
    <w:uiPriority w:val="99"/>
    <w:semiHidden/>
    <w:unhideWhenUsed/>
    <w:rsid w:val="009B77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7AA"/>
    <w:rPr>
      <w:rFonts w:ascii="Tahoma" w:hAnsi="Tahoma" w:cs="Tahoma"/>
      <w:sz w:val="16"/>
      <w:szCs w:val="16"/>
    </w:rPr>
  </w:style>
  <w:style w:type="paragraph" w:customStyle="1" w:styleId="TableFootnoteCaption">
    <w:name w:val="Table Footnote_Caption"/>
    <w:basedOn w:val="NormalSS"/>
    <w:qFormat/>
    <w:rsid w:val="009B77AA"/>
    <w:pPr>
      <w:spacing w:after="120"/>
      <w:ind w:firstLine="0"/>
    </w:pPr>
    <w:rPr>
      <w:rFonts w:ascii="Arial" w:hAnsi="Arial"/>
      <w:sz w:val="18"/>
    </w:rPr>
  </w:style>
  <w:style w:type="paragraph" w:customStyle="1" w:styleId="TableHeaderCenter">
    <w:name w:val="Table Header Center"/>
    <w:basedOn w:val="NormalSS"/>
    <w:qFormat/>
    <w:rsid w:val="009B77AA"/>
    <w:pPr>
      <w:spacing w:before="120" w:after="60"/>
      <w:ind w:firstLine="0"/>
      <w:jc w:val="center"/>
    </w:pPr>
    <w:rPr>
      <w:rFonts w:ascii="Arial" w:hAnsi="Arial"/>
      <w:sz w:val="18"/>
    </w:rPr>
  </w:style>
  <w:style w:type="paragraph" w:customStyle="1" w:styleId="TableHeaderLeft">
    <w:name w:val="Table Header Left"/>
    <w:basedOn w:val="NormalSS"/>
    <w:qFormat/>
    <w:rsid w:val="009B77AA"/>
    <w:pPr>
      <w:spacing w:before="120" w:after="60"/>
      <w:ind w:firstLine="0"/>
      <w:jc w:val="left"/>
    </w:pPr>
    <w:rPr>
      <w:rFonts w:ascii="Arial" w:hAnsi="Arial"/>
      <w:sz w:val="18"/>
    </w:rPr>
  </w:style>
  <w:style w:type="paragraph" w:customStyle="1" w:styleId="Normalcontinued">
    <w:name w:val="Normal (continued)"/>
    <w:basedOn w:val="Normal"/>
    <w:next w:val="Normal"/>
    <w:qFormat/>
    <w:rsid w:val="009B77AA"/>
    <w:pPr>
      <w:ind w:firstLine="0"/>
    </w:pPr>
  </w:style>
  <w:style w:type="paragraph" w:customStyle="1" w:styleId="NormalSScontinued">
    <w:name w:val="NormalSS (continued)"/>
    <w:basedOn w:val="NormalSS"/>
    <w:next w:val="NormalSS"/>
    <w:qFormat/>
    <w:rsid w:val="009B77AA"/>
    <w:pPr>
      <w:ind w:firstLine="0"/>
    </w:pPr>
  </w:style>
  <w:style w:type="paragraph" w:customStyle="1" w:styleId="TableText">
    <w:name w:val="Table Text"/>
    <w:basedOn w:val="NormalSS"/>
    <w:qFormat/>
    <w:rsid w:val="009B77AA"/>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9B77AA"/>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9B77AA"/>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9B77AA"/>
    <w:rPr>
      <w:color w:val="C00000"/>
    </w:rPr>
  </w:style>
  <w:style w:type="paragraph" w:customStyle="1" w:styleId="AcknowledgmentnoTOCBlue">
    <w:name w:val="Acknowledgment no TOC_Blue"/>
    <w:basedOn w:val="AcknowledgmentnoTOCBlack"/>
    <w:next w:val="Normal"/>
    <w:qFormat/>
    <w:rsid w:val="009B77AA"/>
    <w:rPr>
      <w:color w:val="345294"/>
    </w:rPr>
  </w:style>
  <w:style w:type="paragraph" w:customStyle="1" w:styleId="BulletBlack">
    <w:name w:val="Bullet_Black"/>
    <w:basedOn w:val="Normal"/>
    <w:qFormat/>
    <w:rsid w:val="009B77AA"/>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9B77AA"/>
    <w:pPr>
      <w:numPr>
        <w:numId w:val="12"/>
      </w:numPr>
      <w:ind w:left="720" w:hanging="288"/>
    </w:pPr>
  </w:style>
  <w:style w:type="paragraph" w:customStyle="1" w:styleId="BulletBlue">
    <w:name w:val="Bullet_Blue"/>
    <w:basedOn w:val="BulletBlack"/>
    <w:qFormat/>
    <w:rsid w:val="009B77AA"/>
    <w:pPr>
      <w:numPr>
        <w:numId w:val="10"/>
      </w:numPr>
      <w:ind w:left="720" w:hanging="288"/>
    </w:pPr>
  </w:style>
  <w:style w:type="paragraph" w:customStyle="1" w:styleId="BulletBlackLastSS">
    <w:name w:val="Bullet_Black (Last SS)"/>
    <w:basedOn w:val="BulletBlack"/>
    <w:next w:val="NormalSS"/>
    <w:qFormat/>
    <w:rsid w:val="009B77AA"/>
    <w:pPr>
      <w:spacing w:after="240"/>
    </w:pPr>
  </w:style>
  <w:style w:type="paragraph" w:customStyle="1" w:styleId="BulletRedLastSS">
    <w:name w:val="Bullet_Red (Last SS)"/>
    <w:basedOn w:val="BulletBlackLastSS"/>
    <w:next w:val="NormalSS"/>
    <w:qFormat/>
    <w:rsid w:val="009B77AA"/>
    <w:pPr>
      <w:numPr>
        <w:numId w:val="13"/>
      </w:numPr>
      <w:ind w:left="720" w:hanging="288"/>
    </w:pPr>
  </w:style>
  <w:style w:type="paragraph" w:customStyle="1" w:styleId="BulletBlueLastSS">
    <w:name w:val="Bullet_Blue (Last SS)"/>
    <w:basedOn w:val="BulletBlackLastSS"/>
    <w:next w:val="NormalSS"/>
    <w:qFormat/>
    <w:rsid w:val="009B77AA"/>
    <w:pPr>
      <w:numPr>
        <w:numId w:val="11"/>
      </w:numPr>
      <w:ind w:left="720" w:hanging="288"/>
    </w:pPr>
  </w:style>
  <w:style w:type="paragraph" w:customStyle="1" w:styleId="BulletBlackLastDS">
    <w:name w:val="Bullet_Black (Last DS)"/>
    <w:basedOn w:val="BulletBlackLastSS"/>
    <w:next w:val="Normal"/>
    <w:qFormat/>
    <w:rsid w:val="009B77AA"/>
    <w:pPr>
      <w:spacing w:after="320"/>
    </w:pPr>
  </w:style>
  <w:style w:type="paragraph" w:customStyle="1" w:styleId="BulletRedLastDS">
    <w:name w:val="Bullet_Red (Last DS)"/>
    <w:basedOn w:val="BulletRedLastSS"/>
    <w:next w:val="Normal"/>
    <w:qFormat/>
    <w:rsid w:val="009B77AA"/>
    <w:pPr>
      <w:spacing w:after="320"/>
    </w:pPr>
  </w:style>
  <w:style w:type="paragraph" w:customStyle="1" w:styleId="BulletBlueLastDS">
    <w:name w:val="Bullet_Blue (Last DS)"/>
    <w:basedOn w:val="BulletBlackLastDS"/>
    <w:next w:val="Normal"/>
    <w:qFormat/>
    <w:rsid w:val="009B77AA"/>
    <w:pPr>
      <w:numPr>
        <w:numId w:val="14"/>
      </w:numPr>
      <w:ind w:left="720" w:hanging="288"/>
    </w:pPr>
  </w:style>
  <w:style w:type="table" w:styleId="TableGrid">
    <w:name w:val="Table Grid"/>
    <w:basedOn w:val="TableNormal"/>
    <w:uiPriority w:val="59"/>
    <w:rsid w:val="009B77A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9B77AA"/>
    <w:rPr>
      <w:color w:val="C00000"/>
    </w:rPr>
  </w:style>
  <w:style w:type="paragraph" w:customStyle="1" w:styleId="Heading1Blue">
    <w:name w:val="Heading 1_Blue"/>
    <w:basedOn w:val="Heading1Black"/>
    <w:next w:val="Normal"/>
    <w:qFormat/>
    <w:rsid w:val="009B77AA"/>
    <w:rPr>
      <w:color w:val="345294"/>
    </w:rPr>
  </w:style>
  <w:style w:type="paragraph" w:customStyle="1" w:styleId="Heading2Black">
    <w:name w:val="Heading 2_Black"/>
    <w:basedOn w:val="Normal"/>
    <w:next w:val="Normal"/>
    <w:qFormat/>
    <w:rsid w:val="009B77AA"/>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9B77AA"/>
    <w:rPr>
      <w:color w:val="C00000"/>
    </w:rPr>
  </w:style>
  <w:style w:type="paragraph" w:customStyle="1" w:styleId="Heading2Blue">
    <w:name w:val="Heading 2_Blue"/>
    <w:basedOn w:val="Heading2Black"/>
    <w:next w:val="Normal"/>
    <w:qFormat/>
    <w:rsid w:val="009B77AA"/>
    <w:rPr>
      <w:color w:val="345294"/>
    </w:rPr>
  </w:style>
  <w:style w:type="paragraph" w:customStyle="1" w:styleId="Heading2BlackNoTOC">
    <w:name w:val="Heading 2_Black No TOC"/>
    <w:basedOn w:val="Heading2Black"/>
    <w:next w:val="Normal"/>
    <w:qFormat/>
    <w:rsid w:val="009B77AA"/>
    <w:pPr>
      <w:outlineLvl w:val="8"/>
    </w:pPr>
  </w:style>
  <w:style w:type="paragraph" w:customStyle="1" w:styleId="Heading2RedNoTOC">
    <w:name w:val="Heading 2_Red No TOC"/>
    <w:basedOn w:val="Heading2Red"/>
    <w:next w:val="Normal"/>
    <w:qFormat/>
    <w:rsid w:val="009B77AA"/>
    <w:pPr>
      <w:outlineLvl w:val="8"/>
    </w:pPr>
  </w:style>
  <w:style w:type="paragraph" w:customStyle="1" w:styleId="Heading2BlueNoTOC">
    <w:name w:val="Heading 2_Blue No TOC"/>
    <w:basedOn w:val="Heading2Blue"/>
    <w:next w:val="Normal"/>
    <w:qFormat/>
    <w:rsid w:val="009B77AA"/>
    <w:pPr>
      <w:outlineLvl w:val="8"/>
    </w:pPr>
  </w:style>
  <w:style w:type="paragraph" w:customStyle="1" w:styleId="MarkforAttachmentHeadingBlack">
    <w:name w:val="Mark for Attachment Heading_Black"/>
    <w:basedOn w:val="Normal"/>
    <w:next w:val="Normal"/>
    <w:qFormat/>
    <w:rsid w:val="009B77AA"/>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9B77AA"/>
    <w:rPr>
      <w:color w:val="C00000"/>
    </w:rPr>
  </w:style>
  <w:style w:type="paragraph" w:customStyle="1" w:styleId="MarkforAttachmentHeadingBlue">
    <w:name w:val="Mark for Attachment Heading_Blue"/>
    <w:basedOn w:val="MarkforAttachmentHeadingBlack"/>
    <w:next w:val="Normal"/>
    <w:qFormat/>
    <w:rsid w:val="009B77AA"/>
    <w:rPr>
      <w:color w:val="345294"/>
    </w:rPr>
  </w:style>
  <w:style w:type="paragraph" w:customStyle="1" w:styleId="MarkforAppendixHeadingBlack">
    <w:name w:val="Mark for Appendix Heading_Black"/>
    <w:basedOn w:val="Normal"/>
    <w:next w:val="Normal"/>
    <w:qFormat/>
    <w:rsid w:val="009B77AA"/>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9B77AA"/>
    <w:rPr>
      <w:color w:val="C00000"/>
    </w:rPr>
  </w:style>
  <w:style w:type="paragraph" w:customStyle="1" w:styleId="MarkforAppendixHeadingBlue">
    <w:name w:val="Mark for Appendix Heading_Blue"/>
    <w:basedOn w:val="MarkforAppendixHeadingBlack"/>
    <w:next w:val="Normal"/>
    <w:qFormat/>
    <w:rsid w:val="009B77AA"/>
    <w:rPr>
      <w:color w:val="345294"/>
    </w:rPr>
  </w:style>
  <w:style w:type="paragraph" w:customStyle="1" w:styleId="NumberedBulletLastDS">
    <w:name w:val="Numbered Bullet (Last DS)"/>
    <w:basedOn w:val="NumberedBulletLASTSS"/>
    <w:next w:val="Normal"/>
    <w:qFormat/>
    <w:rsid w:val="009B77AA"/>
    <w:pPr>
      <w:spacing w:after="320"/>
    </w:pPr>
  </w:style>
  <w:style w:type="paragraph" w:customStyle="1" w:styleId="TableSignificanceCaption">
    <w:name w:val="Table Significance_Caption"/>
    <w:basedOn w:val="TableSourceCaption"/>
    <w:qFormat/>
    <w:rsid w:val="009B77AA"/>
    <w:pPr>
      <w:spacing w:after="0"/>
    </w:pPr>
  </w:style>
  <w:style w:type="paragraph" w:customStyle="1" w:styleId="TitleofDocumentVertical">
    <w:name w:val="Title of Document Vertical"/>
    <w:basedOn w:val="Normal"/>
    <w:qFormat/>
    <w:rsid w:val="009B77AA"/>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9B77AA"/>
    <w:pPr>
      <w:spacing w:before="0" w:after="160"/>
    </w:pPr>
  </w:style>
  <w:style w:type="paragraph" w:customStyle="1" w:styleId="TitleofDocumentNoPhoto">
    <w:name w:val="Title of Document No Photo"/>
    <w:basedOn w:val="TitleofDocumentHorizontal"/>
    <w:qFormat/>
    <w:rsid w:val="009B77AA"/>
  </w:style>
  <w:style w:type="paragraph" w:customStyle="1" w:styleId="TableSpace">
    <w:name w:val="TableSpace"/>
    <w:basedOn w:val="TableSourceCaption"/>
    <w:next w:val="TableFootnoteCaption"/>
    <w:qFormat/>
    <w:rsid w:val="009B77AA"/>
    <w:pPr>
      <w:spacing w:after="0"/>
    </w:pPr>
  </w:style>
  <w:style w:type="table" w:customStyle="1" w:styleId="SMPRTableRed">
    <w:name w:val="SMPR_Table_Red"/>
    <w:basedOn w:val="TableNormal"/>
    <w:uiPriority w:val="99"/>
    <w:rsid w:val="009B77AA"/>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9B77AA"/>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9B77AA"/>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9B77AA"/>
    <w:pPr>
      <w:numPr>
        <w:numId w:val="15"/>
      </w:numPr>
    </w:pPr>
  </w:style>
  <w:style w:type="paragraph" w:styleId="TOC5">
    <w:name w:val="toc 5"/>
    <w:basedOn w:val="Normal"/>
    <w:next w:val="Normal"/>
    <w:autoRedefine/>
    <w:uiPriority w:val="39"/>
    <w:semiHidden/>
    <w:unhideWhenUsed/>
    <w:rsid w:val="009B77AA"/>
    <w:pPr>
      <w:tabs>
        <w:tab w:val="clear" w:pos="432"/>
      </w:tabs>
      <w:spacing w:after="100"/>
      <w:ind w:left="960"/>
    </w:pPr>
  </w:style>
  <w:style w:type="paragraph" w:styleId="TOC6">
    <w:name w:val="toc 6"/>
    <w:basedOn w:val="Normal"/>
    <w:next w:val="Normal"/>
    <w:autoRedefine/>
    <w:uiPriority w:val="39"/>
    <w:semiHidden/>
    <w:unhideWhenUsed/>
    <w:rsid w:val="009B77AA"/>
    <w:pPr>
      <w:tabs>
        <w:tab w:val="clear" w:pos="432"/>
      </w:tabs>
      <w:spacing w:after="100"/>
      <w:ind w:left="1200"/>
    </w:pPr>
  </w:style>
  <w:style w:type="paragraph" w:styleId="TOC7">
    <w:name w:val="toc 7"/>
    <w:basedOn w:val="Normal"/>
    <w:next w:val="Normal"/>
    <w:autoRedefine/>
    <w:uiPriority w:val="39"/>
    <w:semiHidden/>
    <w:unhideWhenUsed/>
    <w:rsid w:val="009B77AA"/>
    <w:pPr>
      <w:tabs>
        <w:tab w:val="clear" w:pos="432"/>
      </w:tabs>
      <w:spacing w:after="100"/>
      <w:ind w:left="1440"/>
    </w:pPr>
  </w:style>
  <w:style w:type="paragraph" w:styleId="TOC8">
    <w:name w:val="toc 8"/>
    <w:next w:val="Normal"/>
    <w:autoRedefine/>
    <w:uiPriority w:val="39"/>
    <w:rsid w:val="009B77AA"/>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9B77AA"/>
    <w:pPr>
      <w:tabs>
        <w:tab w:val="clear" w:pos="432"/>
      </w:tabs>
      <w:spacing w:after="100"/>
      <w:ind w:left="1920"/>
    </w:pPr>
  </w:style>
  <w:style w:type="paragraph" w:customStyle="1" w:styleId="Heading3NoTOC">
    <w:name w:val="Heading 3_No TOC"/>
    <w:basedOn w:val="Heading3"/>
    <w:next w:val="Normal"/>
    <w:qFormat/>
    <w:rsid w:val="009B77AA"/>
    <w:pPr>
      <w:outlineLvl w:val="8"/>
    </w:pPr>
  </w:style>
  <w:style w:type="character" w:styleId="Emphasis">
    <w:name w:val="Emphasis"/>
    <w:basedOn w:val="DefaultParagraphFont"/>
    <w:uiPriority w:val="99"/>
    <w:qFormat/>
    <w:rsid w:val="0023364C"/>
    <w:rPr>
      <w:rFonts w:cs="Times New Roman"/>
      <w:i/>
      <w:iCs/>
    </w:rPr>
  </w:style>
  <w:style w:type="paragraph" w:customStyle="1" w:styleId="NormalSS12">
    <w:name w:val="NormalSS 12"/>
    <w:basedOn w:val="NormalSS"/>
    <w:qFormat/>
    <w:rsid w:val="00161CAD"/>
  </w:style>
  <w:style w:type="character" w:styleId="CommentReference">
    <w:name w:val="annotation reference"/>
    <w:basedOn w:val="DefaultParagraphFont"/>
    <w:semiHidden/>
    <w:unhideWhenUsed/>
    <w:rsid w:val="0023364C"/>
    <w:rPr>
      <w:sz w:val="16"/>
      <w:szCs w:val="16"/>
    </w:rPr>
  </w:style>
  <w:style w:type="paragraph" w:styleId="CommentText">
    <w:name w:val="annotation text"/>
    <w:basedOn w:val="Normal"/>
    <w:link w:val="CommentTextChar"/>
    <w:uiPriority w:val="99"/>
    <w:unhideWhenUsed/>
    <w:rsid w:val="0023364C"/>
    <w:rPr>
      <w:rFonts w:ascii="Calibri" w:eastAsia="Calibri" w:hAnsi="Calibri"/>
      <w:sz w:val="20"/>
      <w:szCs w:val="20"/>
    </w:rPr>
  </w:style>
  <w:style w:type="character" w:customStyle="1" w:styleId="CommentTextChar">
    <w:name w:val="Comment Text Char"/>
    <w:basedOn w:val="DefaultParagraphFont"/>
    <w:link w:val="CommentText"/>
    <w:uiPriority w:val="99"/>
    <w:rsid w:val="0023364C"/>
    <w:rPr>
      <w:rFonts w:ascii="Calibri" w:eastAsia="Calibri" w:hAnsi="Calibri"/>
      <w:sz w:val="20"/>
      <w:szCs w:val="20"/>
    </w:rPr>
  </w:style>
  <w:style w:type="character" w:customStyle="1" w:styleId="FootnoteTextChar">
    <w:name w:val="Footnote Text Char"/>
    <w:aliases w:val="F1 Char"/>
    <w:basedOn w:val="DefaultParagraphFont"/>
    <w:link w:val="FootnoteText"/>
    <w:rsid w:val="0023364C"/>
    <w:rPr>
      <w:sz w:val="20"/>
    </w:rPr>
  </w:style>
  <w:style w:type="paragraph" w:styleId="CommentSubject">
    <w:name w:val="annotation subject"/>
    <w:basedOn w:val="CommentText"/>
    <w:next w:val="CommentText"/>
    <w:link w:val="CommentSubjectChar"/>
    <w:uiPriority w:val="99"/>
    <w:semiHidden/>
    <w:unhideWhenUsed/>
    <w:rsid w:val="00DB2E7D"/>
    <w:rPr>
      <w:rFonts w:ascii="Garamond" w:eastAsia="Times New Roman" w:hAnsi="Garamond"/>
      <w:b/>
      <w:bCs/>
    </w:rPr>
  </w:style>
  <w:style w:type="character" w:customStyle="1" w:styleId="CommentSubjectChar">
    <w:name w:val="Comment Subject Char"/>
    <w:basedOn w:val="CommentTextChar"/>
    <w:link w:val="CommentSubject"/>
    <w:uiPriority w:val="99"/>
    <w:semiHidden/>
    <w:rsid w:val="00DB2E7D"/>
    <w:rPr>
      <w:rFonts w:ascii="Calibri" w:eastAsia="Calibri" w:hAnsi="Calibri"/>
      <w:b/>
      <w:bCs/>
      <w:sz w:val="20"/>
      <w:szCs w:val="20"/>
    </w:rPr>
  </w:style>
  <w:style w:type="character" w:customStyle="1" w:styleId="FooterChar">
    <w:name w:val="Footer Char"/>
    <w:basedOn w:val="DefaultParagraphFont"/>
    <w:link w:val="Footer"/>
    <w:rsid w:val="00BC3208"/>
  </w:style>
  <w:style w:type="character" w:customStyle="1" w:styleId="Heading2Char">
    <w:name w:val="Heading 2 Char"/>
    <w:basedOn w:val="DefaultParagraphFont"/>
    <w:link w:val="Heading2"/>
    <w:locked/>
    <w:rsid w:val="00760350"/>
    <w:rPr>
      <w:b/>
      <w:caps/>
    </w:rPr>
  </w:style>
  <w:style w:type="character" w:customStyle="1" w:styleId="NormalSSChar">
    <w:name w:val="NormalSS Char"/>
    <w:basedOn w:val="DefaultParagraphFont"/>
    <w:link w:val="NormalSS"/>
    <w:rsid w:val="00884479"/>
  </w:style>
  <w:style w:type="paragraph" w:customStyle="1" w:styleId="Bullet">
    <w:name w:val="Bullet"/>
    <w:qFormat/>
    <w:rsid w:val="00161CAD"/>
    <w:pPr>
      <w:numPr>
        <w:numId w:val="7"/>
      </w:numPr>
      <w:tabs>
        <w:tab w:val="left" w:pos="360"/>
      </w:tabs>
      <w:spacing w:after="180"/>
      <w:ind w:left="720" w:right="360" w:hanging="288"/>
      <w:jc w:val="both"/>
    </w:pPr>
    <w:rPr>
      <w:rFonts w:ascii="Times New Roman" w:hAnsi="Times New Roman"/>
    </w:rPr>
  </w:style>
  <w:style w:type="paragraph" w:customStyle="1" w:styleId="BulletLAST">
    <w:name w:val="Bullet (LAST)"/>
    <w:basedOn w:val="Bullet"/>
    <w:next w:val="Normal"/>
    <w:qFormat/>
    <w:rsid w:val="00161CAD"/>
    <w:pPr>
      <w:tabs>
        <w:tab w:val="num" w:pos="360"/>
      </w:tabs>
      <w:spacing w:after="480"/>
    </w:pPr>
  </w:style>
  <w:style w:type="paragraph" w:customStyle="1" w:styleId="ParagraphLAST">
    <w:name w:val="Paragraph (LAST)"/>
    <w:basedOn w:val="Normal"/>
    <w:next w:val="Normal"/>
    <w:rsid w:val="00161CAD"/>
    <w:pPr>
      <w:spacing w:after="240"/>
    </w:pPr>
  </w:style>
  <w:style w:type="paragraph" w:customStyle="1" w:styleId="Center">
    <w:name w:val="Center"/>
    <w:basedOn w:val="Normal"/>
    <w:rsid w:val="00161CAD"/>
    <w:pPr>
      <w:ind w:firstLine="0"/>
      <w:jc w:val="center"/>
    </w:pPr>
  </w:style>
  <w:style w:type="paragraph" w:customStyle="1" w:styleId="ParagraphSSLAST">
    <w:name w:val="ParagraphSS (LAST)"/>
    <w:basedOn w:val="NormalSS"/>
    <w:next w:val="Normal"/>
    <w:qFormat/>
    <w:rsid w:val="00161CAD"/>
    <w:pPr>
      <w:spacing w:after="480"/>
    </w:pPr>
  </w:style>
  <w:style w:type="paragraph" w:customStyle="1" w:styleId="MarkforAttachmentHeading">
    <w:name w:val="Mark for Attachment Heading"/>
    <w:basedOn w:val="Normal"/>
    <w:next w:val="Normal"/>
    <w:qFormat/>
    <w:rsid w:val="00161CAD"/>
    <w:pPr>
      <w:spacing w:line="240" w:lineRule="auto"/>
      <w:ind w:firstLine="0"/>
      <w:jc w:val="center"/>
    </w:pPr>
    <w:rPr>
      <w:b/>
      <w:caps/>
    </w:rPr>
  </w:style>
  <w:style w:type="paragraph" w:customStyle="1" w:styleId="MarkforAppendixHeading">
    <w:name w:val="Mark for Appendix Heading"/>
    <w:basedOn w:val="Normal"/>
    <w:qFormat/>
    <w:rsid w:val="00161CAD"/>
    <w:pPr>
      <w:ind w:firstLine="0"/>
      <w:jc w:val="center"/>
    </w:pPr>
    <w:rPr>
      <w:b/>
      <w:caps/>
    </w:rPr>
  </w:style>
  <w:style w:type="paragraph" w:customStyle="1" w:styleId="NumberedBulletLAST">
    <w:name w:val="Numbered Bullet (LAST)"/>
    <w:basedOn w:val="NumberedBullet"/>
    <w:next w:val="Normal"/>
    <w:qFormat/>
    <w:rsid w:val="00161CAD"/>
    <w:pPr>
      <w:spacing w:after="480"/>
    </w:pPr>
  </w:style>
  <w:style w:type="paragraph" w:customStyle="1" w:styleId="NormalSS12continued">
    <w:name w:val="NormalSS 12 (continued)"/>
    <w:basedOn w:val="NormalSS12"/>
    <w:qFormat/>
    <w:rsid w:val="00161CAD"/>
    <w:pPr>
      <w:ind w:firstLine="0"/>
    </w:pPr>
  </w:style>
  <w:style w:type="paragraph" w:customStyle="1" w:styleId="ParagraphLASTcontinued">
    <w:name w:val="Paragraph (LAST_continued)"/>
    <w:basedOn w:val="ParagraphLAST"/>
    <w:next w:val="Normal"/>
    <w:qFormat/>
    <w:rsid w:val="00161CAD"/>
    <w:pPr>
      <w:ind w:firstLine="0"/>
    </w:pPr>
  </w:style>
  <w:style w:type="paragraph" w:customStyle="1" w:styleId="ParagraphSSLASTcontinued">
    <w:name w:val="ParagraphSS (LAST_continued)"/>
    <w:basedOn w:val="ParagraphSSLAST"/>
    <w:next w:val="NormalSS"/>
    <w:qFormat/>
    <w:rsid w:val="00161CAD"/>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032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6662FE1A491D4B8CA7B5A4AD4C8845" ma:contentTypeVersion="0" ma:contentTypeDescription="Create a new document." ma:contentTypeScope="" ma:versionID="7f1a575dc765b06c90589970e4952b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6B2AC-4FAF-46B5-B637-5B7A382D77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CB66E8-69D4-47E2-B3E0-DAF4BB685A9D}">
  <ds:schemaRefs>
    <ds:schemaRef ds:uri="http://schemas.microsoft.com/sharepoint/v3/contenttype/forms"/>
  </ds:schemaRefs>
</ds:datastoreItem>
</file>

<file path=customXml/itemProps3.xml><?xml version="1.0" encoding="utf-8"?>
<ds:datastoreItem xmlns:ds="http://schemas.openxmlformats.org/officeDocument/2006/customXml" ds:itemID="{6AB6532C-7E0D-48C1-8D78-9EB4EEF5B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422FC4E-F8CB-46AC-BA2E-DDD4C3E74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4613</Words>
  <Characters>26299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bgoesling</dc:creator>
  <cp:lastModifiedBy>Molly</cp:lastModifiedBy>
  <cp:revision>2</cp:revision>
  <cp:lastPrinted>2013-10-16T18:33:00Z</cp:lastPrinted>
  <dcterms:created xsi:type="dcterms:W3CDTF">2013-11-07T19:12:00Z</dcterms:created>
  <dcterms:modified xsi:type="dcterms:W3CDTF">2013-11-07T19:12:00Z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0x0101004D6662FE1A491D4B8CA7B5A4AD4C8845</vt:lpwstr>
  </property>
</Properties>
</file>