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3D" w:rsidRPr="00EE1220" w:rsidRDefault="00456179" w:rsidP="007C20F0">
      <w:pPr>
        <w:jc w:val="center"/>
        <w:rPr>
          <w:b/>
        </w:rPr>
      </w:pPr>
      <w:bookmarkStart w:id="0" w:name="_GoBack"/>
      <w:r w:rsidRPr="00EE1220">
        <w:rPr>
          <w:b/>
        </w:rPr>
        <w:t>SUPPORTING STATEMENT</w:t>
      </w:r>
    </w:p>
    <w:bookmarkEnd w:id="0"/>
    <w:p w:rsidR="00635119" w:rsidRPr="00EE1220" w:rsidRDefault="00635119" w:rsidP="007C20F0">
      <w:pPr>
        <w:jc w:val="center"/>
        <w:rPr>
          <w:b/>
        </w:rPr>
      </w:pPr>
    </w:p>
    <w:p w:rsidR="009B633D" w:rsidRPr="00EE1220" w:rsidRDefault="00456179" w:rsidP="007C20F0">
      <w:pPr>
        <w:jc w:val="center"/>
      </w:pPr>
      <w:r w:rsidRPr="00EE1220">
        <w:rPr>
          <w:b/>
        </w:rPr>
        <w:t>Part A</w:t>
      </w: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BB2821" w:rsidP="007C20F0">
      <w:pPr>
        <w:jc w:val="center"/>
        <w:rPr>
          <w:i/>
        </w:rPr>
      </w:pPr>
      <w:r w:rsidRPr="00EE1220">
        <w:rPr>
          <w:b/>
        </w:rPr>
        <w:t>A PROTOTYPE CONSUMER REPORTING SYSTEM FOR PATIENT SAFETY EVENTS</w:t>
      </w:r>
    </w:p>
    <w:p w:rsidR="009B633D" w:rsidRPr="00EE1220" w:rsidRDefault="009B633D" w:rsidP="007C20F0">
      <w:pPr>
        <w:jc w:val="center"/>
        <w:rPr>
          <w:i/>
        </w:rP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BB1C2F" w:rsidP="007C20F0">
      <w:pPr>
        <w:jc w:val="center"/>
        <w:rPr>
          <w:i/>
        </w:rPr>
      </w:pPr>
      <w:r w:rsidRPr="00EE1220">
        <w:rPr>
          <w:b/>
        </w:rPr>
        <w:t>Version</w:t>
      </w:r>
      <w:r w:rsidR="006B3A37" w:rsidRPr="00EE1220">
        <w:rPr>
          <w:b/>
        </w:rPr>
        <w:t xml:space="preserve">: </w:t>
      </w:r>
      <w:r w:rsidR="00384D29">
        <w:rPr>
          <w:b/>
        </w:rPr>
        <w:t>May</w:t>
      </w:r>
      <w:r w:rsidR="00B83F69">
        <w:rPr>
          <w:b/>
        </w:rPr>
        <w:t xml:space="preserve"> </w:t>
      </w:r>
      <w:r w:rsidR="00462687">
        <w:rPr>
          <w:b/>
        </w:rPr>
        <w:t>1</w:t>
      </w:r>
      <w:r w:rsidR="005D1177">
        <w:rPr>
          <w:b/>
        </w:rPr>
        <w:t>7</w:t>
      </w:r>
      <w:r w:rsidR="0087214A" w:rsidRPr="00EE1220">
        <w:rPr>
          <w:b/>
        </w:rPr>
        <w:t>, 2013</w:t>
      </w: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p>
    <w:p w:rsidR="009B633D" w:rsidRPr="00EE1220" w:rsidRDefault="009B633D" w:rsidP="007C20F0">
      <w:pPr>
        <w:jc w:val="center"/>
      </w:pPr>
      <w:r w:rsidRPr="00EE1220">
        <w:t>Agency of Healthcare Research and Quality (AHRQ)</w:t>
      </w:r>
    </w:p>
    <w:p w:rsidR="009B633D" w:rsidRPr="00EE1220" w:rsidRDefault="009B633D" w:rsidP="007C20F0"/>
    <w:p w:rsidR="009B633D" w:rsidRPr="00EE1220" w:rsidRDefault="009B633D" w:rsidP="007C20F0"/>
    <w:p w:rsidR="00693883" w:rsidRPr="00EE1220" w:rsidRDefault="00693883" w:rsidP="007C20F0">
      <w:pPr>
        <w:rPr>
          <w:b/>
        </w:rPr>
      </w:pPr>
      <w:r w:rsidRPr="00EE1220">
        <w:rPr>
          <w:b/>
        </w:rPr>
        <w:br w:type="page"/>
      </w:r>
    </w:p>
    <w:p w:rsidR="009B633D" w:rsidRPr="00EE1220" w:rsidRDefault="009B633D" w:rsidP="007C20F0">
      <w:pPr>
        <w:rPr>
          <w:b/>
        </w:rPr>
      </w:pPr>
      <w:r w:rsidRPr="00EE1220">
        <w:rPr>
          <w:b/>
        </w:rPr>
        <w:lastRenderedPageBreak/>
        <w:t>Table of contents</w:t>
      </w:r>
    </w:p>
    <w:p w:rsidR="00EB58F3" w:rsidRPr="00EE1220" w:rsidRDefault="00EB58F3" w:rsidP="007C20F0">
      <w:pPr>
        <w:jc w:val="center"/>
        <w:rPr>
          <w:b/>
        </w:rPr>
      </w:pPr>
    </w:p>
    <w:p w:rsidR="00EB58F3" w:rsidRPr="0065676E" w:rsidRDefault="008C580E" w:rsidP="007C20F0">
      <w:pPr>
        <w:tabs>
          <w:tab w:val="left" w:leader="dot" w:pos="8280"/>
        </w:tabs>
      </w:pPr>
      <w:r w:rsidRPr="00B35BAA">
        <w:t xml:space="preserve">A. </w:t>
      </w:r>
      <w:r w:rsidRPr="0065676E">
        <w:t>Justification</w:t>
      </w:r>
      <w:r w:rsidR="007B3A8E" w:rsidRPr="0065676E">
        <w:tab/>
        <w:t>3</w:t>
      </w:r>
    </w:p>
    <w:p w:rsidR="007B3A8E" w:rsidRPr="0065676E" w:rsidRDefault="007B3A8E" w:rsidP="007C20F0">
      <w:pPr>
        <w:tabs>
          <w:tab w:val="left" w:pos="360"/>
          <w:tab w:val="left" w:leader="dot" w:pos="8280"/>
        </w:tabs>
      </w:pPr>
      <w:r w:rsidRPr="0065676E">
        <w:tab/>
        <w:t xml:space="preserve">1. </w:t>
      </w:r>
      <w:r w:rsidR="006014DB" w:rsidRPr="0065676E">
        <w:t>Circumstances that make the collection of information necessary</w:t>
      </w:r>
      <w:r w:rsidRPr="0065676E">
        <w:tab/>
      </w:r>
      <w:r w:rsidR="00094648" w:rsidRPr="0065676E">
        <w:t>3</w:t>
      </w:r>
    </w:p>
    <w:p w:rsidR="007B3A8E" w:rsidRPr="0065676E" w:rsidRDefault="007B3A8E" w:rsidP="007C20F0">
      <w:pPr>
        <w:tabs>
          <w:tab w:val="left" w:pos="360"/>
          <w:tab w:val="left" w:leader="dot" w:pos="8280"/>
        </w:tabs>
      </w:pPr>
      <w:r w:rsidRPr="0065676E">
        <w:tab/>
        <w:t xml:space="preserve">2. </w:t>
      </w:r>
      <w:r w:rsidR="006014DB" w:rsidRPr="0065676E">
        <w:t>Purpose and use of i</w:t>
      </w:r>
      <w:r w:rsidRPr="0065676E">
        <w:t>nformation</w:t>
      </w:r>
      <w:r w:rsidRPr="0065676E">
        <w:tab/>
      </w:r>
      <w:r w:rsidR="0051576F" w:rsidRPr="0065676E">
        <w:t>7</w:t>
      </w:r>
    </w:p>
    <w:p w:rsidR="007B3A8E" w:rsidRPr="0065676E" w:rsidRDefault="007B3A8E" w:rsidP="007C20F0">
      <w:pPr>
        <w:tabs>
          <w:tab w:val="left" w:pos="360"/>
          <w:tab w:val="left" w:leader="dot" w:pos="8280"/>
        </w:tabs>
      </w:pPr>
      <w:r w:rsidRPr="0065676E">
        <w:tab/>
        <w:t>3. Use of Improved Information Technology</w:t>
      </w:r>
      <w:r w:rsidRPr="0065676E">
        <w:tab/>
      </w:r>
      <w:r w:rsidR="0051576F" w:rsidRPr="0065676E">
        <w:t>7</w:t>
      </w:r>
    </w:p>
    <w:p w:rsidR="007B3A8E" w:rsidRPr="0065676E" w:rsidRDefault="007B3A8E" w:rsidP="007C20F0">
      <w:pPr>
        <w:tabs>
          <w:tab w:val="left" w:pos="360"/>
          <w:tab w:val="left" w:leader="dot" w:pos="8280"/>
        </w:tabs>
      </w:pPr>
      <w:r w:rsidRPr="0065676E">
        <w:tab/>
        <w:t>4. Efforts to Identify Duplication</w:t>
      </w:r>
      <w:r w:rsidRPr="0065676E">
        <w:tab/>
      </w:r>
      <w:r w:rsidR="0051576F" w:rsidRPr="0065676E">
        <w:t>8</w:t>
      </w:r>
    </w:p>
    <w:p w:rsidR="007B3A8E" w:rsidRPr="0065676E" w:rsidRDefault="007B3A8E" w:rsidP="007C20F0">
      <w:pPr>
        <w:tabs>
          <w:tab w:val="left" w:pos="360"/>
          <w:tab w:val="left" w:leader="dot" w:pos="8280"/>
        </w:tabs>
      </w:pPr>
      <w:r w:rsidRPr="0065676E">
        <w:tab/>
        <w:t xml:space="preserve">5. </w:t>
      </w:r>
      <w:r w:rsidR="00556066" w:rsidRPr="0065676E">
        <w:t>Involvement of Small Entities</w:t>
      </w:r>
      <w:r w:rsidR="00556066" w:rsidRPr="0065676E">
        <w:tab/>
      </w:r>
      <w:r w:rsidR="0051576F" w:rsidRPr="0065676E">
        <w:t>8</w:t>
      </w:r>
    </w:p>
    <w:p w:rsidR="00556066" w:rsidRPr="0065676E" w:rsidRDefault="00556066" w:rsidP="007C20F0">
      <w:pPr>
        <w:tabs>
          <w:tab w:val="left" w:pos="360"/>
          <w:tab w:val="left" w:leader="dot" w:pos="8280"/>
        </w:tabs>
      </w:pPr>
      <w:r w:rsidRPr="0065676E">
        <w:tab/>
        <w:t>6. Consequences if Information Collected Less Frequently</w:t>
      </w:r>
      <w:r w:rsidRPr="0065676E">
        <w:tab/>
      </w:r>
      <w:r w:rsidR="0051576F" w:rsidRPr="0065676E">
        <w:t>8</w:t>
      </w:r>
    </w:p>
    <w:p w:rsidR="00556066" w:rsidRPr="0065676E" w:rsidRDefault="00556066" w:rsidP="007C20F0">
      <w:pPr>
        <w:tabs>
          <w:tab w:val="left" w:pos="360"/>
          <w:tab w:val="left" w:leader="dot" w:pos="8280"/>
        </w:tabs>
      </w:pPr>
      <w:r w:rsidRPr="0065676E">
        <w:tab/>
        <w:t>7. Special Circumstances</w:t>
      </w:r>
      <w:r w:rsidRPr="0065676E">
        <w:tab/>
      </w:r>
      <w:r w:rsidR="0051576F" w:rsidRPr="0065676E">
        <w:t>8</w:t>
      </w:r>
    </w:p>
    <w:p w:rsidR="00556066" w:rsidRPr="0065676E" w:rsidRDefault="00556066" w:rsidP="007C20F0">
      <w:pPr>
        <w:tabs>
          <w:tab w:val="left" w:pos="360"/>
          <w:tab w:val="left" w:leader="dot" w:pos="8280"/>
        </w:tabs>
      </w:pPr>
      <w:r w:rsidRPr="0065676E">
        <w:tab/>
        <w:t>8. Consultation outside the Agency</w:t>
      </w:r>
      <w:r w:rsidRPr="0065676E">
        <w:tab/>
      </w:r>
      <w:r w:rsidR="0051576F" w:rsidRPr="0065676E">
        <w:t>8</w:t>
      </w:r>
    </w:p>
    <w:p w:rsidR="00556066" w:rsidRPr="0065676E" w:rsidRDefault="00556066" w:rsidP="007C20F0">
      <w:pPr>
        <w:tabs>
          <w:tab w:val="left" w:pos="360"/>
          <w:tab w:val="left" w:leader="dot" w:pos="8280"/>
        </w:tabs>
      </w:pPr>
      <w:r w:rsidRPr="0065676E">
        <w:tab/>
        <w:t>9. Payments/Gifts to Respondents</w:t>
      </w:r>
      <w:r w:rsidRPr="0065676E">
        <w:tab/>
      </w:r>
      <w:r w:rsidR="00E06011">
        <w:t>9</w:t>
      </w:r>
    </w:p>
    <w:p w:rsidR="00556066" w:rsidRPr="0065676E" w:rsidRDefault="00556066" w:rsidP="007C20F0">
      <w:pPr>
        <w:tabs>
          <w:tab w:val="left" w:pos="360"/>
          <w:tab w:val="left" w:leader="dot" w:pos="8280"/>
        </w:tabs>
      </w:pPr>
      <w:r w:rsidRPr="0065676E">
        <w:tab/>
        <w:t>10. Assurance of Confidentiality</w:t>
      </w:r>
      <w:r w:rsidRPr="0065676E">
        <w:tab/>
      </w:r>
      <w:r w:rsidR="00E06011">
        <w:t>9</w:t>
      </w:r>
    </w:p>
    <w:p w:rsidR="00556066" w:rsidRPr="0065676E" w:rsidRDefault="00556066" w:rsidP="007C20F0">
      <w:pPr>
        <w:tabs>
          <w:tab w:val="left" w:pos="360"/>
          <w:tab w:val="left" w:leader="dot" w:pos="8280"/>
        </w:tabs>
      </w:pPr>
      <w:r w:rsidRPr="0065676E">
        <w:tab/>
        <w:t>11. Questions of a Sensitive Nature</w:t>
      </w:r>
      <w:r w:rsidRPr="0065676E">
        <w:tab/>
      </w:r>
      <w:r w:rsidR="00E06011">
        <w:t>10</w:t>
      </w:r>
    </w:p>
    <w:p w:rsidR="00556066" w:rsidRPr="0065676E" w:rsidRDefault="00556066" w:rsidP="007C20F0">
      <w:pPr>
        <w:tabs>
          <w:tab w:val="left" w:pos="360"/>
          <w:tab w:val="left" w:leader="dot" w:pos="8280"/>
        </w:tabs>
      </w:pPr>
      <w:r w:rsidRPr="0065676E">
        <w:tab/>
        <w:t>12. Estimates of Annualized Burden Hours and Costs</w:t>
      </w:r>
      <w:r w:rsidRPr="0065676E">
        <w:tab/>
      </w:r>
      <w:r w:rsidR="00E06011">
        <w:t>10</w:t>
      </w:r>
    </w:p>
    <w:p w:rsidR="00556066" w:rsidRPr="0065676E" w:rsidRDefault="00556066" w:rsidP="007C20F0">
      <w:pPr>
        <w:tabs>
          <w:tab w:val="left" w:pos="360"/>
          <w:tab w:val="left" w:leader="dot" w:pos="8280"/>
        </w:tabs>
      </w:pPr>
      <w:r w:rsidRPr="0065676E">
        <w:tab/>
        <w:t>13. Estimates of Annualized Respondent Capital and Maintenance Costs</w:t>
      </w:r>
      <w:r w:rsidRPr="0065676E">
        <w:tab/>
      </w:r>
      <w:r w:rsidR="00E06011">
        <w:t>11</w:t>
      </w:r>
    </w:p>
    <w:p w:rsidR="00556066" w:rsidRPr="0065676E" w:rsidRDefault="00556066" w:rsidP="007C20F0">
      <w:pPr>
        <w:tabs>
          <w:tab w:val="left" w:pos="360"/>
          <w:tab w:val="left" w:leader="dot" w:pos="8280"/>
        </w:tabs>
      </w:pPr>
      <w:r w:rsidRPr="0065676E">
        <w:tab/>
        <w:t>14. Estimates of Annualized Cost to the Government</w:t>
      </w:r>
      <w:r w:rsidRPr="0065676E">
        <w:tab/>
      </w:r>
      <w:r w:rsidR="00E06011">
        <w:t>11</w:t>
      </w:r>
    </w:p>
    <w:p w:rsidR="00556066" w:rsidRPr="0065676E" w:rsidRDefault="00556066" w:rsidP="007C20F0">
      <w:pPr>
        <w:tabs>
          <w:tab w:val="left" w:pos="360"/>
          <w:tab w:val="left" w:leader="dot" w:pos="8280"/>
        </w:tabs>
      </w:pPr>
      <w:r w:rsidRPr="0065676E">
        <w:tab/>
        <w:t>15. Changes in Hour Burden</w:t>
      </w:r>
      <w:r w:rsidRPr="0065676E">
        <w:tab/>
      </w:r>
      <w:r w:rsidR="00E06011">
        <w:t>11</w:t>
      </w:r>
    </w:p>
    <w:p w:rsidR="006014DB" w:rsidRPr="0065676E" w:rsidRDefault="006014DB" w:rsidP="007C20F0">
      <w:pPr>
        <w:tabs>
          <w:tab w:val="left" w:pos="360"/>
          <w:tab w:val="left" w:leader="dot" w:pos="8280"/>
        </w:tabs>
      </w:pPr>
      <w:r w:rsidRPr="0065676E">
        <w:tab/>
        <w:t>16. Time Schedule, Publication and Analysis Plans</w:t>
      </w:r>
      <w:r w:rsidRPr="0065676E">
        <w:tab/>
      </w:r>
      <w:r w:rsidR="00E06011">
        <w:t>11</w:t>
      </w:r>
    </w:p>
    <w:p w:rsidR="006014DB" w:rsidRPr="00EE1220" w:rsidRDefault="006014DB" w:rsidP="007C20F0">
      <w:pPr>
        <w:tabs>
          <w:tab w:val="left" w:pos="360"/>
          <w:tab w:val="left" w:leader="dot" w:pos="8280"/>
        </w:tabs>
      </w:pPr>
      <w:r w:rsidRPr="0065676E">
        <w:tab/>
        <w:t>17. Exemption for Display of Expiration Date</w:t>
      </w:r>
      <w:r w:rsidRPr="0065676E">
        <w:tab/>
      </w:r>
      <w:r w:rsidR="00E06011">
        <w:t>12</w:t>
      </w:r>
    </w:p>
    <w:p w:rsidR="00B35BAA" w:rsidRDefault="00B35BAA">
      <w:bookmarkStart w:id="1" w:name="_Toc151782175"/>
      <w:bookmarkStart w:id="2" w:name="_Toc158526215"/>
      <w:r>
        <w:t>Attachments</w:t>
      </w:r>
      <w:r w:rsidR="0065676E">
        <w:t>……………………………………………………………………………..</w:t>
      </w:r>
      <w:r w:rsidR="00E06011">
        <w:t>12</w:t>
      </w:r>
    </w:p>
    <w:p w:rsidR="003A299C" w:rsidRPr="00EE1220" w:rsidRDefault="00B35BAA">
      <w:pPr>
        <w:rPr>
          <w:b/>
          <w:bCs/>
          <w:kern w:val="32"/>
        </w:rPr>
      </w:pPr>
      <w:r>
        <w:t>References</w:t>
      </w:r>
      <w:r w:rsidR="0065676E">
        <w:t>…………………………...…………………………………………………..</w:t>
      </w:r>
      <w:r w:rsidR="00E06011">
        <w:t>13</w:t>
      </w:r>
      <w:r w:rsidR="003A299C" w:rsidRPr="00EE1220">
        <w:br w:type="page"/>
      </w:r>
    </w:p>
    <w:p w:rsidR="009B633D" w:rsidRPr="00EE1220" w:rsidRDefault="009B633D" w:rsidP="007C20F0">
      <w:pPr>
        <w:pStyle w:val="Heading1"/>
        <w:spacing w:before="0" w:after="0"/>
        <w:rPr>
          <w:rFonts w:ascii="Times New Roman" w:hAnsi="Times New Roman" w:cs="Times New Roman"/>
          <w:sz w:val="24"/>
          <w:szCs w:val="24"/>
        </w:rPr>
      </w:pPr>
      <w:r w:rsidRPr="00EE1220">
        <w:rPr>
          <w:rFonts w:ascii="Times New Roman" w:hAnsi="Times New Roman" w:cs="Times New Roman"/>
          <w:sz w:val="24"/>
          <w:szCs w:val="24"/>
        </w:rPr>
        <w:lastRenderedPageBreak/>
        <w:t>A. Justification</w:t>
      </w:r>
      <w:bookmarkEnd w:id="1"/>
      <w:bookmarkEnd w:id="2"/>
    </w:p>
    <w:p w:rsidR="009B633D" w:rsidRPr="00EE1220" w:rsidRDefault="009B633D" w:rsidP="007C20F0"/>
    <w:p w:rsidR="009B633D" w:rsidRPr="00EE1220" w:rsidRDefault="009B633D" w:rsidP="007C20F0">
      <w:pPr>
        <w:pStyle w:val="Heading2"/>
        <w:spacing w:before="0" w:after="0"/>
        <w:rPr>
          <w:rFonts w:ascii="Times New Roman" w:hAnsi="Times New Roman" w:cs="Times New Roman"/>
          <w:sz w:val="24"/>
          <w:szCs w:val="24"/>
        </w:rPr>
      </w:pPr>
      <w:bookmarkStart w:id="3" w:name="_Toc151782176"/>
      <w:bookmarkStart w:id="4" w:name="_Toc158526216"/>
      <w:r w:rsidRPr="00EE1220">
        <w:rPr>
          <w:rFonts w:ascii="Times New Roman" w:hAnsi="Times New Roman" w:cs="Times New Roman"/>
          <w:sz w:val="24"/>
          <w:szCs w:val="24"/>
        </w:rPr>
        <w:t xml:space="preserve">1. </w:t>
      </w:r>
      <w:bookmarkEnd w:id="3"/>
      <w:bookmarkEnd w:id="4"/>
      <w:r w:rsidR="006014DB" w:rsidRPr="00EE1220">
        <w:rPr>
          <w:rFonts w:ascii="Times New Roman" w:hAnsi="Times New Roman" w:cs="Times New Roman"/>
          <w:sz w:val="24"/>
          <w:szCs w:val="24"/>
        </w:rPr>
        <w:t>Circumstances that make the collection of information necessary</w:t>
      </w:r>
    </w:p>
    <w:p w:rsidR="006014DB" w:rsidRPr="00EE1220" w:rsidRDefault="006014DB" w:rsidP="007C20F0"/>
    <w:p w:rsidR="000A140E" w:rsidRPr="00EE1220" w:rsidRDefault="000A140E" w:rsidP="007C20F0">
      <w:r w:rsidRPr="00EE1220">
        <w:t xml:space="preserve">The mission of the Agency for Healthcare Research and Quality (AHRQ) set out in its authorizing legislation, The Healthcare Research and Quality Act of 1999 (see </w:t>
      </w:r>
      <w:r w:rsidR="008573ED" w:rsidRPr="00EE1220">
        <w:t>http://www.ahrq.gov/hrqa99.pdf</w:t>
      </w:r>
      <w:r w:rsidRPr="00EE1220">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EE1220" w:rsidRDefault="00606400" w:rsidP="007C20F0">
      <w:pPr>
        <w:tabs>
          <w:tab w:val="left" w:pos="360"/>
        </w:tabs>
        <w:ind w:left="360"/>
      </w:pPr>
      <w:r w:rsidRPr="00EE1220">
        <w:t>1.</w:t>
      </w:r>
      <w:r w:rsidRPr="00EE1220">
        <w:tab/>
      </w:r>
      <w:r w:rsidR="009676DA" w:rsidRPr="00EE1220">
        <w:t>Research</w:t>
      </w:r>
      <w:r w:rsidRPr="00EE1220">
        <w:t xml:space="preserve"> that develops and presents scientific evidence regardi</w:t>
      </w:r>
      <w:r w:rsidR="00AA1DDC" w:rsidRPr="00EE1220">
        <w:t xml:space="preserve">ng all aspects of </w:t>
      </w:r>
      <w:r w:rsidR="00AA1DDC" w:rsidRPr="00EE1220">
        <w:tab/>
      </w:r>
      <w:r w:rsidR="00AA1DDC" w:rsidRPr="00EE1220">
        <w:tab/>
        <w:t>health care</w:t>
      </w:r>
      <w:r w:rsidR="00325B9C" w:rsidRPr="00EE1220">
        <w:t>;</w:t>
      </w:r>
      <w:r w:rsidR="00B645ED" w:rsidRPr="00EE1220">
        <w:t xml:space="preserve"> and</w:t>
      </w:r>
    </w:p>
    <w:p w:rsidR="00325B9C" w:rsidRPr="00EE1220" w:rsidRDefault="00325B9C" w:rsidP="007C20F0">
      <w:pPr>
        <w:tabs>
          <w:tab w:val="left" w:pos="360"/>
        </w:tabs>
        <w:ind w:left="360"/>
      </w:pPr>
      <w:r w:rsidRPr="00EE1220">
        <w:t>2.</w:t>
      </w:r>
      <w:r w:rsidRPr="00EE1220">
        <w:tab/>
      </w:r>
      <w:r w:rsidR="009676DA" w:rsidRPr="00EE1220">
        <w:t>The</w:t>
      </w:r>
      <w:r w:rsidR="00B645ED" w:rsidRPr="00EE1220">
        <w:t xml:space="preserve"> synthesis and dissemination of available scientific evidence for use by </w:t>
      </w:r>
      <w:r w:rsidR="00B645ED" w:rsidRPr="00EE1220">
        <w:tab/>
        <w:t xml:space="preserve">patients, consumers, practitioners, providers, purchasers, policy makers, and </w:t>
      </w:r>
      <w:r w:rsidR="00B645ED" w:rsidRPr="00EE1220">
        <w:tab/>
        <w:t>educators; and</w:t>
      </w:r>
    </w:p>
    <w:p w:rsidR="00B645ED" w:rsidRPr="00EE1220" w:rsidRDefault="00B645ED" w:rsidP="007C20F0">
      <w:pPr>
        <w:tabs>
          <w:tab w:val="left" w:pos="360"/>
        </w:tabs>
        <w:ind w:left="360"/>
      </w:pPr>
      <w:r w:rsidRPr="00EE1220">
        <w:t>3.</w:t>
      </w:r>
      <w:r w:rsidRPr="00EE1220">
        <w:tab/>
      </w:r>
      <w:r w:rsidR="009676DA" w:rsidRPr="00EE1220">
        <w:t>Initiatives</w:t>
      </w:r>
      <w:r w:rsidRPr="00EE1220">
        <w:t xml:space="preserve"> to advance private and public efforts to improve health care quality.</w:t>
      </w:r>
    </w:p>
    <w:p w:rsidR="00B645ED" w:rsidRPr="00EE1220" w:rsidRDefault="00B645ED" w:rsidP="007C20F0">
      <w:pPr>
        <w:tabs>
          <w:tab w:val="left" w:pos="360"/>
        </w:tabs>
      </w:pPr>
    </w:p>
    <w:p w:rsidR="008450C0" w:rsidRPr="00EE1220" w:rsidRDefault="008450C0" w:rsidP="007C20F0">
      <w:pPr>
        <w:tabs>
          <w:tab w:val="left" w:pos="360"/>
        </w:tabs>
      </w:pPr>
      <w:r w:rsidRPr="00EE1220">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C7E48" w:rsidRPr="00EE1220" w:rsidRDefault="002C7E48" w:rsidP="007C20F0">
      <w:pPr>
        <w:tabs>
          <w:tab w:val="left" w:pos="360"/>
        </w:tabs>
      </w:pPr>
    </w:p>
    <w:p w:rsidR="007A4CAF" w:rsidRPr="0065676E" w:rsidRDefault="002C7E48" w:rsidP="007C20F0">
      <w:pPr>
        <w:tabs>
          <w:tab w:val="left" w:pos="360"/>
        </w:tabs>
        <w:rPr>
          <w:i/>
        </w:rPr>
      </w:pPr>
      <w:proofErr w:type="gramStart"/>
      <w:r w:rsidRPr="00EE1220">
        <w:rPr>
          <w:b/>
        </w:rPr>
        <w:t>Request for information collection approval.</w:t>
      </w:r>
      <w:proofErr w:type="gramEnd"/>
      <w:r w:rsidRPr="00EE1220">
        <w:t xml:space="preserve"> The Agency for Healthcare Research and Quality (AHRQ) requests that the Office of Management and Budget (OMB) approve, under the Paperwork Reduction Act of 1995, AHRQ’s collection of information for</w:t>
      </w:r>
      <w:r w:rsidR="00127D02" w:rsidRPr="00EE1220">
        <w:t xml:space="preserve"> a P</w:t>
      </w:r>
      <w:r w:rsidR="00127D02" w:rsidRPr="0065676E">
        <w:rPr>
          <w:bCs/>
          <w:iCs/>
        </w:rPr>
        <w:t xml:space="preserve">rototype Consumer Reporting System for Patient Safety Events. </w:t>
      </w:r>
      <w:r w:rsidR="007A4CAF" w:rsidRPr="0065676E">
        <w:rPr>
          <w:bCs/>
          <w:iCs/>
        </w:rPr>
        <w:t xml:space="preserve">This project aims </w:t>
      </w:r>
      <w:r w:rsidR="007A4CAF" w:rsidRPr="00EE1220">
        <w:t xml:space="preserve">to design and </w:t>
      </w:r>
      <w:r w:rsidR="00BC3800" w:rsidRPr="0065676E">
        <w:t xml:space="preserve">evaluate </w:t>
      </w:r>
      <w:r w:rsidR="007A4CAF" w:rsidRPr="0065676E">
        <w:t xml:space="preserve">a </w:t>
      </w:r>
      <w:r w:rsidR="00BC3800" w:rsidRPr="0065676E">
        <w:t xml:space="preserve">prototype system that can </w:t>
      </w:r>
      <w:r w:rsidR="00957B6C" w:rsidRPr="0065676E">
        <w:t xml:space="preserve">collect </w:t>
      </w:r>
      <w:r w:rsidR="00BC3800" w:rsidRPr="0065676E">
        <w:t xml:space="preserve">voluntary reports </w:t>
      </w:r>
      <w:r w:rsidR="00C96A14" w:rsidRPr="0065676E">
        <w:t xml:space="preserve">from patients about health care safety </w:t>
      </w:r>
      <w:r w:rsidR="00BC3800" w:rsidRPr="0065676E">
        <w:t>using standard definitions and formats that would enable systematic analysis and identification of opportunities for safety improvement</w:t>
      </w:r>
      <w:r w:rsidR="007A4CAF" w:rsidRPr="0065676E">
        <w:t xml:space="preserve">. </w:t>
      </w:r>
    </w:p>
    <w:p w:rsidR="002C7E48" w:rsidRPr="0065676E" w:rsidRDefault="002C7E48" w:rsidP="007C20F0">
      <w:pPr>
        <w:tabs>
          <w:tab w:val="left" w:pos="360"/>
        </w:tabs>
      </w:pPr>
    </w:p>
    <w:p w:rsidR="00C96A14" w:rsidRPr="0065676E" w:rsidRDefault="00F64AC3" w:rsidP="00C96A14">
      <w:pPr>
        <w:tabs>
          <w:tab w:val="left" w:pos="360"/>
        </w:tabs>
      </w:pPr>
      <w:proofErr w:type="gramStart"/>
      <w:r w:rsidRPr="0065676E">
        <w:rPr>
          <w:b/>
        </w:rPr>
        <w:t xml:space="preserve">Background on the </w:t>
      </w:r>
      <w:r w:rsidRPr="0065676E">
        <w:rPr>
          <w:b/>
          <w:bCs/>
          <w:iCs/>
        </w:rPr>
        <w:t>Consumer Reporting System for Patient Safety (CRSPS).</w:t>
      </w:r>
      <w:proofErr w:type="gramEnd"/>
      <w:r w:rsidR="00E30749" w:rsidRPr="0065676E">
        <w:rPr>
          <w:b/>
          <w:bCs/>
          <w:iCs/>
        </w:rPr>
        <w:t xml:space="preserve"> </w:t>
      </w:r>
      <w:r w:rsidR="006A5792" w:rsidRPr="00EE1220">
        <w:t>The reauthorization of the Agency for Healthcare Research and Quality (AHRQ) in 1999 e</w:t>
      </w:r>
      <w:r w:rsidR="006A5792" w:rsidRPr="0065676E">
        <w:t xml:space="preserve">stablished the Agency as a leader in support of research designed to improve the quality of </w:t>
      </w:r>
      <w:r w:rsidR="009F57A3" w:rsidRPr="0065676E">
        <w:t>health care</w:t>
      </w:r>
      <w:r w:rsidR="006A5792" w:rsidRPr="0065676E">
        <w:t xml:space="preserve">, reduce its costs, promote patient safety and reduce medical errors, and broaden access to effective services. As provider of operational support to the chair of the Quality Interagency Task Force (QuIC), AHRQ coordinated the Federal response to the Institute of Medicine's (IOM) 1999 report on medical errors. As part of its patient safety research initiative, AHRQ is interested in </w:t>
      </w:r>
      <w:r w:rsidR="00BC3800" w:rsidRPr="0065676E">
        <w:t xml:space="preserve">assessing </w:t>
      </w:r>
      <w:r w:rsidR="006A5792" w:rsidRPr="0065676E">
        <w:t xml:space="preserve">the </w:t>
      </w:r>
      <w:r w:rsidRPr="0065676E">
        <w:t xml:space="preserve">feasibility of </w:t>
      </w:r>
      <w:r w:rsidR="00B172B2" w:rsidRPr="0065676E">
        <w:t>collect</w:t>
      </w:r>
      <w:r w:rsidRPr="0065676E">
        <w:t>ing</w:t>
      </w:r>
      <w:r w:rsidR="00B172B2" w:rsidRPr="0065676E">
        <w:t xml:space="preserve"> </w:t>
      </w:r>
      <w:r w:rsidRPr="0065676E">
        <w:t xml:space="preserve">information about </w:t>
      </w:r>
      <w:r w:rsidR="00FB5841" w:rsidRPr="0065676E">
        <w:t xml:space="preserve">the </w:t>
      </w:r>
      <w:r w:rsidR="00B172B2" w:rsidRPr="0065676E">
        <w:t xml:space="preserve">patient safety events </w:t>
      </w:r>
      <w:r w:rsidR="002670E0" w:rsidRPr="0065676E">
        <w:t>from consumers</w:t>
      </w:r>
      <w:r w:rsidR="00BC3800" w:rsidRPr="0065676E">
        <w:t xml:space="preserve"> (including patients, caregivers, family members, and others with an interest </w:t>
      </w:r>
      <w:r w:rsidR="00FB5841" w:rsidRPr="0065676E">
        <w:t>in patient welfare</w:t>
      </w:r>
      <w:r w:rsidR="00BC3800" w:rsidRPr="0065676E">
        <w:t>)</w:t>
      </w:r>
      <w:r w:rsidR="006A5792" w:rsidRPr="0065676E">
        <w:t>.</w:t>
      </w:r>
    </w:p>
    <w:p w:rsidR="00FB5841" w:rsidRPr="0065676E" w:rsidRDefault="00FB5841" w:rsidP="00F86AD2">
      <w:pPr>
        <w:tabs>
          <w:tab w:val="left" w:pos="360"/>
        </w:tabs>
      </w:pPr>
    </w:p>
    <w:p w:rsidR="008C7460" w:rsidRPr="0065676E" w:rsidRDefault="00D3239E" w:rsidP="00F86AD2">
      <w:pPr>
        <w:tabs>
          <w:tab w:val="left" w:pos="360"/>
        </w:tabs>
      </w:pPr>
      <w:r w:rsidRPr="0065676E">
        <w:t xml:space="preserve">Over the past decade, health care delivery systems have increasingly adopted </w:t>
      </w:r>
      <w:r w:rsidR="008C7460" w:rsidRPr="0065676E">
        <w:t xml:space="preserve">the </w:t>
      </w:r>
      <w:r w:rsidRPr="0065676E">
        <w:t>approaches used in other industries</w:t>
      </w:r>
      <w:r w:rsidR="008C7460" w:rsidRPr="0065676E">
        <w:t xml:space="preserve"> to detect and mitigate safety problems</w:t>
      </w:r>
      <w:r w:rsidRPr="0065676E">
        <w:t>.</w:t>
      </w:r>
      <w:r w:rsidR="00F0687D" w:rsidRPr="0065676E">
        <w:fldChar w:fldCharType="begin"/>
      </w:r>
      <w:r w:rsidRPr="0065676E">
        <w:instrText xml:space="preserve"> ADDIN EN.CITE &lt;EndNote&gt;&lt;Cite&gt;&lt;Author&gt;Pronovost&lt;/Author&gt;&lt;Year&gt;2006&lt;/Year&gt;&lt;RecNum&gt;3253&lt;/RecNum&gt;&lt;DisplayText&gt;(Pronovost, Thompson et al. 2006)&lt;/DisplayText&gt;&lt;record&gt;&lt;rec-number&gt;3253&lt;/rec-number&gt;&lt;foreign-keys&gt;&lt;key app="EN" db-id="arwepwzagr5dtqeew2apd2zqdtf25sxzrx5r"&gt;3253&lt;/key&gt;&lt;/foreign-keys&gt;&lt;ref-type name="Journal Article"&gt;17&lt;/ref-type&gt;&lt;contributors&gt;&lt;authors&gt;&lt;author&gt;Pronovost, P. J.&lt;/author&gt;&lt;author&gt;Thompson, D. A.&lt;/author&gt;&lt;author&gt;Holzmueller, C. G.&lt;/author&gt;&lt;author&gt;Lubomski, L. H.&lt;/author&gt;&lt;author&gt;Dorman, T.&lt;/author&gt;&lt;author&gt;Dickman, F.&lt;/author&gt;&lt;author&gt;Fahey, M.&lt;/author&gt;&lt;author&gt;Steinwachs, D. M.&lt;/author&gt;&lt;author&gt;Engineer, L.&lt;/author&gt;&lt;author&gt;Sexton, J. B.&lt;/author&gt;&lt;author&gt;Wu, A. W.&lt;/author&gt;&lt;author&gt;Morlock, L. L.&lt;/author&gt;&lt;/authors&gt;&lt;/contributors&gt;&lt;auth-address&gt;Department of Anesthesiology &amp;amp; Critical Care Medicine, Quality &amp;amp; Safety Research Group, The Johns Hopkins University School of Medicine, Baltimore, MD 21231, USA; Department of Health Policy &amp;amp; Management, Johns Hopkins Bloomberg School of Public Health, Baltimore, MD 21205, USA.&lt;/auth-address&gt;&lt;titles&gt;&lt;title&gt;Toward learning from patient safety reporting systems&lt;/title&gt;&lt;secondary-title&gt;J Crit Care&lt;/secondary-title&gt;&lt;/titles&gt;&lt;periodical&gt;&lt;full-title&gt;J Crit Care&lt;/full-title&gt;&lt;/periodical&gt;&lt;pages&gt;305-315&lt;/pages&gt;&lt;volume&gt;21&lt;/volume&gt;&lt;number&gt;4&lt;/number&gt;&lt;dates&gt;&lt;year&gt;2006&lt;/year&gt;&lt;pub-dates&gt;&lt;date&gt;Dec&lt;/date&gt;&lt;/pub-dates&gt;&lt;/dates&gt;&lt;isbn&gt;0883-9441 (Print)&lt;/isbn&gt;&lt;accession-num&gt;17175416&lt;/accession-num&gt;&lt;urls&gt;&lt;/urls&gt;&lt;/record&gt;&lt;/Cite&gt;&lt;/EndNote&gt;</w:instrText>
      </w:r>
      <w:r w:rsidR="00F0687D" w:rsidRPr="0065676E">
        <w:fldChar w:fldCharType="separate"/>
      </w:r>
      <w:r w:rsidRPr="0065676E">
        <w:rPr>
          <w:noProof/>
        </w:rPr>
        <w:t>(</w:t>
      </w:r>
      <w:hyperlink w:anchor="_ENREF_1" w:tooltip="Pronovost, 2006 #3253" w:history="1">
        <w:r w:rsidRPr="0065676E">
          <w:rPr>
            <w:noProof/>
          </w:rPr>
          <w:t>Pronovost, Thompson et al. 2006</w:t>
        </w:r>
      </w:hyperlink>
      <w:r w:rsidRPr="0065676E">
        <w:rPr>
          <w:noProof/>
        </w:rPr>
        <w:t>)</w:t>
      </w:r>
      <w:r w:rsidR="00F0687D" w:rsidRPr="0065676E">
        <w:fldChar w:fldCharType="end"/>
      </w:r>
      <w:r w:rsidRPr="0065676E">
        <w:t xml:space="preserve">  These include </w:t>
      </w:r>
      <w:r w:rsidR="008C7460" w:rsidRPr="0065676E">
        <w:t>routine data collection to identify adverse events</w:t>
      </w:r>
      <w:r w:rsidRPr="0065676E">
        <w:t xml:space="preserve">, </w:t>
      </w:r>
      <w:r w:rsidR="008C7460" w:rsidRPr="0065676E">
        <w:t xml:space="preserve">non-punitive </w:t>
      </w:r>
      <w:r w:rsidR="008C7460" w:rsidRPr="0065676E">
        <w:lastRenderedPageBreak/>
        <w:t xml:space="preserve">mechanisms that encourage </w:t>
      </w:r>
      <w:r w:rsidRPr="0065676E">
        <w:t xml:space="preserve">staff </w:t>
      </w:r>
      <w:r w:rsidR="008C7460" w:rsidRPr="0065676E">
        <w:t xml:space="preserve">to </w:t>
      </w:r>
      <w:r w:rsidRPr="0065676E">
        <w:t>repor</w:t>
      </w:r>
      <w:r w:rsidR="008C7460" w:rsidRPr="0065676E">
        <w:t>t medical errors and near misses</w:t>
      </w:r>
      <w:r w:rsidRPr="0065676E">
        <w:t xml:space="preserve">, and root cause analysis of </w:t>
      </w:r>
      <w:r w:rsidR="008C7460" w:rsidRPr="0065676E">
        <w:t>safety incidents</w:t>
      </w:r>
      <w:r w:rsidRPr="0065676E">
        <w:t xml:space="preserve">.  </w:t>
      </w:r>
      <w:r w:rsidR="008C7460" w:rsidRPr="0065676E">
        <w:t>Legislative and regulatory actions have enabled the creation of Patient Safety Organizations, encouraging the collection and analysis of safety-related incidents across health care organizations and nationally.  Increasing the detection of adverse events, errors, and near misses is particularly important to inform the design of error prevention strategies</w:t>
      </w:r>
      <w:proofErr w:type="gramStart"/>
      <w:r w:rsidR="008C7460" w:rsidRPr="0065676E">
        <w:t>.(</w:t>
      </w:r>
      <w:proofErr w:type="gramEnd"/>
      <w:r w:rsidR="008C7460" w:rsidRPr="0065676E">
        <w:t xml:space="preserve">Van Der Schaaf, 2002).    </w:t>
      </w:r>
    </w:p>
    <w:p w:rsidR="008C7460" w:rsidRPr="0065676E" w:rsidRDefault="008C7460" w:rsidP="00F86AD2">
      <w:pPr>
        <w:tabs>
          <w:tab w:val="left" w:pos="360"/>
        </w:tabs>
      </w:pPr>
    </w:p>
    <w:p w:rsidR="002E47C0" w:rsidRPr="0065676E" w:rsidRDefault="008C7460" w:rsidP="00F86AD2">
      <w:pPr>
        <w:tabs>
          <w:tab w:val="left" w:pos="360"/>
        </w:tabs>
      </w:pPr>
      <w:r w:rsidRPr="0065676E">
        <w:t>Despite these important efforts</w:t>
      </w:r>
      <w:r w:rsidR="00D3239E" w:rsidRPr="0065676E">
        <w:t>, a</w:t>
      </w:r>
      <w:r w:rsidR="00FB5841" w:rsidRPr="0065676E">
        <w:t xml:space="preserve"> significant </w:t>
      </w:r>
      <w:r w:rsidR="002576CA" w:rsidRPr="0065676E">
        <w:t xml:space="preserve">body of </w:t>
      </w:r>
      <w:r w:rsidR="00FB5841" w:rsidRPr="0065676E">
        <w:t xml:space="preserve">research suggests that </w:t>
      </w:r>
      <w:r w:rsidRPr="0065676E">
        <w:t xml:space="preserve">persistent </w:t>
      </w:r>
      <w:r w:rsidR="00FB5841" w:rsidRPr="0065676E">
        <w:t>under</w:t>
      </w:r>
      <w:r w:rsidRPr="0065676E">
        <w:t>-</w:t>
      </w:r>
      <w:r w:rsidR="00FB5841" w:rsidRPr="0065676E">
        <w:t xml:space="preserve">reporting of </w:t>
      </w:r>
      <w:r w:rsidR="00DC240A" w:rsidRPr="0065676E">
        <w:t xml:space="preserve">adverse events </w:t>
      </w:r>
      <w:r w:rsidR="00FB5841" w:rsidRPr="0065676E">
        <w:t xml:space="preserve">and medical errors may hamper efforts to redesign care delivery systems and improve the safety of care for patients </w:t>
      </w:r>
      <w:r w:rsidR="00626ED9" w:rsidRPr="0065676E">
        <w:t>(Weissman et al., 2008</w:t>
      </w:r>
      <w:r w:rsidR="00F86AD2" w:rsidRPr="0065676E">
        <w:t xml:space="preserve">). </w:t>
      </w:r>
      <w:r w:rsidRPr="0065676E">
        <w:t xml:space="preserve"> In particular, </w:t>
      </w:r>
      <w:r w:rsidR="008148A8" w:rsidRPr="0065676E">
        <w:t xml:space="preserve">observations about patient safety made by patients, their families, </w:t>
      </w:r>
      <w:r w:rsidRPr="0065676E">
        <w:t xml:space="preserve">and </w:t>
      </w:r>
      <w:r w:rsidR="008148A8" w:rsidRPr="0065676E">
        <w:t xml:space="preserve">other caregivers are not routinely collected or recorded.  </w:t>
      </w:r>
      <w:r w:rsidR="004B0C89" w:rsidRPr="0065676E">
        <w:t>With some exceptions, e</w:t>
      </w:r>
      <w:r w:rsidR="008148A8" w:rsidRPr="0065676E">
        <w:t xml:space="preserve">ven sophisticated </w:t>
      </w:r>
      <w:r w:rsidR="004B0C89" w:rsidRPr="0065676E">
        <w:t xml:space="preserve">safety monitoring </w:t>
      </w:r>
      <w:r w:rsidR="008148A8" w:rsidRPr="0065676E">
        <w:t xml:space="preserve">systems </w:t>
      </w:r>
      <w:r w:rsidR="00F86AD2" w:rsidRPr="0065676E">
        <w:t>do not presently accept or elicit reports from patients and their families</w:t>
      </w:r>
      <w:r w:rsidR="00DC240A" w:rsidRPr="0065676E">
        <w:t xml:space="preserve"> </w:t>
      </w:r>
      <w:r w:rsidR="00F86AD2" w:rsidRPr="0065676E">
        <w:t>(</w:t>
      </w:r>
      <w:r w:rsidR="00626ED9" w:rsidRPr="0065676E">
        <w:t>RTI</w:t>
      </w:r>
      <w:r w:rsidR="00D46C32">
        <w:t>,</w:t>
      </w:r>
      <w:r w:rsidR="00626ED9" w:rsidRPr="0065676E">
        <w:t xml:space="preserve"> 2010)</w:t>
      </w:r>
      <w:r w:rsidR="00DC240A" w:rsidRPr="0065676E">
        <w:t>.</w:t>
      </w:r>
      <w:r w:rsidR="00626ED9" w:rsidRPr="0065676E">
        <w:t xml:space="preserve"> </w:t>
      </w:r>
      <w:r w:rsidR="008148A8" w:rsidRPr="0065676E">
        <w:t>This is an important gap because t</w:t>
      </w:r>
      <w:r w:rsidR="00DC240A" w:rsidRPr="0065676E">
        <w:t xml:space="preserve">he unique perspective of </w:t>
      </w:r>
      <w:r w:rsidR="00D4046C" w:rsidRPr="0065676E">
        <w:t>health care</w:t>
      </w:r>
      <w:r w:rsidR="00626ED9" w:rsidRPr="0065676E">
        <w:t xml:space="preserve"> consumers could reveal important informatio</w:t>
      </w:r>
      <w:r w:rsidR="009F047C" w:rsidRPr="0065676E">
        <w:t xml:space="preserve">n </w:t>
      </w:r>
      <w:r w:rsidR="008148A8" w:rsidRPr="0065676E">
        <w:t xml:space="preserve">about safety </w:t>
      </w:r>
      <w:r w:rsidR="00DC240A" w:rsidRPr="0065676E">
        <w:t xml:space="preserve">that </w:t>
      </w:r>
      <w:r w:rsidR="008148A8" w:rsidRPr="0065676E">
        <w:t xml:space="preserve">may </w:t>
      </w:r>
      <w:r w:rsidR="009F047C" w:rsidRPr="0065676E">
        <w:t xml:space="preserve">not </w:t>
      </w:r>
      <w:r w:rsidR="008148A8" w:rsidRPr="0065676E">
        <w:t xml:space="preserve">be immediately available to </w:t>
      </w:r>
      <w:r w:rsidR="00D4046C" w:rsidRPr="0065676E">
        <w:t>health care</w:t>
      </w:r>
      <w:r w:rsidR="00DC240A" w:rsidRPr="0065676E">
        <w:t xml:space="preserve"> </w:t>
      </w:r>
      <w:r w:rsidR="009F047C" w:rsidRPr="0065676E">
        <w:t>providers</w:t>
      </w:r>
      <w:r w:rsidR="00DC240A" w:rsidRPr="0065676E">
        <w:t>.</w:t>
      </w:r>
      <w:r w:rsidR="009F047C" w:rsidRPr="0065676E">
        <w:t xml:space="preserve"> </w:t>
      </w:r>
      <w:r w:rsidR="008148A8" w:rsidRPr="0065676E">
        <w:t xml:space="preserve">For example, adverse events related to health care provided during hospitalization may not be apparent until days or weeks after discharge.  Miscommunications during transitions may not be readily apparent to clinicians, and systems for routine reporting of adverse events and medical errors are relatively less well developed in ambulatory settings outside of hospital and integrated delivery system settings.  </w:t>
      </w:r>
      <w:r w:rsidR="004B0C89" w:rsidRPr="0065676E">
        <w:t>To increase the information available to provider organizations seeking to reduce the risk for errors and improve safety, p</w:t>
      </w:r>
      <w:r w:rsidR="002E47C0" w:rsidRPr="0065676E">
        <w:t xml:space="preserve">atient </w:t>
      </w:r>
      <w:r w:rsidR="00A233EC" w:rsidRPr="0065676E">
        <w:t xml:space="preserve">and caregiver </w:t>
      </w:r>
      <w:r w:rsidR="002E47C0" w:rsidRPr="0065676E">
        <w:t>reports could c</w:t>
      </w:r>
      <w:r w:rsidR="009F047C" w:rsidRPr="0065676E">
        <w:t>omplement</w:t>
      </w:r>
      <w:r w:rsidR="00CE3382" w:rsidRPr="0065676E">
        <w:t xml:space="preserve"> </w:t>
      </w:r>
      <w:r w:rsidR="002E47C0" w:rsidRPr="0065676E">
        <w:t xml:space="preserve">and </w:t>
      </w:r>
      <w:r w:rsidR="004B0C89" w:rsidRPr="0065676E">
        <w:t xml:space="preserve">augment </w:t>
      </w:r>
      <w:r w:rsidR="002E47C0" w:rsidRPr="0065676E">
        <w:t>reports</w:t>
      </w:r>
      <w:r w:rsidR="00626ED9" w:rsidRPr="0065676E">
        <w:t xml:space="preserve"> from </w:t>
      </w:r>
      <w:r w:rsidR="002E47C0" w:rsidRPr="0065676E">
        <w:t>provider</w:t>
      </w:r>
      <w:r w:rsidR="00CE3382" w:rsidRPr="0065676E">
        <w:t>s</w:t>
      </w:r>
      <w:r w:rsidR="002E47C0" w:rsidRPr="0065676E">
        <w:t xml:space="preserve"> and</w:t>
      </w:r>
      <w:r w:rsidR="004B0C89" w:rsidRPr="0065676E">
        <w:t xml:space="preserve"> </w:t>
      </w:r>
      <w:r w:rsidR="002E47C0" w:rsidRPr="0065676E">
        <w:t>produce a more complete and accurate understanding of</w:t>
      </w:r>
      <w:r w:rsidR="00CE3382" w:rsidRPr="0065676E">
        <w:t xml:space="preserve"> the prevalence and characteristics of </w:t>
      </w:r>
      <w:r w:rsidR="004B0C89" w:rsidRPr="0065676E">
        <w:t xml:space="preserve">health-care related </w:t>
      </w:r>
      <w:r w:rsidR="002E47C0" w:rsidRPr="0065676E">
        <w:t>adverse events</w:t>
      </w:r>
      <w:r w:rsidR="009F047C" w:rsidRPr="0065676E">
        <w:t xml:space="preserve"> (RTI, 2010).  </w:t>
      </w:r>
    </w:p>
    <w:p w:rsidR="002E47C0" w:rsidRPr="0065676E" w:rsidRDefault="002E47C0" w:rsidP="00F86AD2">
      <w:pPr>
        <w:tabs>
          <w:tab w:val="left" w:pos="360"/>
        </w:tabs>
      </w:pPr>
    </w:p>
    <w:p w:rsidR="002A69E9" w:rsidRPr="0065676E" w:rsidRDefault="00D46C32" w:rsidP="00A233EC">
      <w:pPr>
        <w:tabs>
          <w:tab w:val="left" w:pos="360"/>
        </w:tabs>
      </w:pPr>
      <w:r>
        <w:t xml:space="preserve">While </w:t>
      </w:r>
      <w:r w:rsidR="004B0C89" w:rsidRPr="0065676E">
        <w:t>p</w:t>
      </w:r>
      <w:r w:rsidR="002A69E9" w:rsidRPr="0065676E">
        <w:t>r</w:t>
      </w:r>
      <w:r w:rsidR="004B0C89" w:rsidRPr="0065676E">
        <w:t>io</w:t>
      </w:r>
      <w:r w:rsidR="002A69E9" w:rsidRPr="0065676E">
        <w:t>r</w:t>
      </w:r>
      <w:r w:rsidR="004B0C89" w:rsidRPr="0065676E">
        <w:t xml:space="preserve"> </w:t>
      </w:r>
      <w:r w:rsidR="002A69E9" w:rsidRPr="0065676E">
        <w:t xml:space="preserve">published research </w:t>
      </w:r>
      <w:r w:rsidR="004B0C89" w:rsidRPr="0065676E">
        <w:t>suggest</w:t>
      </w:r>
      <w:r>
        <w:t>s</w:t>
      </w:r>
      <w:r w:rsidR="004B0C89" w:rsidRPr="0065676E">
        <w:t xml:space="preserve"> the potential value of collecting reports from patients and caregivers about adverse events, many questions about </w:t>
      </w:r>
      <w:r>
        <w:t xml:space="preserve">this </w:t>
      </w:r>
      <w:r w:rsidR="004B0C89" w:rsidRPr="0065676E">
        <w:t>approach</w:t>
      </w:r>
      <w:r>
        <w:t xml:space="preserve"> remain to be answered</w:t>
      </w:r>
      <w:r w:rsidR="004B0C89" w:rsidRPr="0065676E">
        <w:t>.  The optimal design</w:t>
      </w:r>
      <w:r w:rsidR="002A69E9" w:rsidRPr="0065676E">
        <w:t>s</w:t>
      </w:r>
      <w:r w:rsidR="004B0C89" w:rsidRPr="0065676E">
        <w:t xml:space="preserve"> </w:t>
      </w:r>
      <w:r w:rsidR="002A69E9" w:rsidRPr="0065676E">
        <w:t xml:space="preserve">for </w:t>
      </w:r>
      <w:r>
        <w:t xml:space="preserve">a system enabling consumers to report about potential safety events </w:t>
      </w:r>
      <w:r w:rsidR="002A69E9" w:rsidRPr="0065676E">
        <w:t xml:space="preserve">are </w:t>
      </w:r>
      <w:r w:rsidR="0073188E" w:rsidRPr="0065676E">
        <w:t xml:space="preserve">not </w:t>
      </w:r>
      <w:r>
        <w:t xml:space="preserve">yet </w:t>
      </w:r>
      <w:r w:rsidR="0073188E" w:rsidRPr="0065676E">
        <w:t xml:space="preserve">known.  </w:t>
      </w:r>
      <w:r w:rsidR="00C12048">
        <w:t>A pilot project is necessary to identify t</w:t>
      </w:r>
      <w:r w:rsidR="002A69E9" w:rsidRPr="0065676E">
        <w:t xml:space="preserve">he </w:t>
      </w:r>
      <w:r w:rsidR="00C12048">
        <w:t xml:space="preserve">optimal </w:t>
      </w:r>
      <w:r>
        <w:t>approach</w:t>
      </w:r>
      <w:r w:rsidR="00C12048">
        <w:t>es</w:t>
      </w:r>
      <w:r>
        <w:t xml:space="preserve"> to making the public aware of such a reporting system, </w:t>
      </w:r>
      <w:r w:rsidR="00C12048">
        <w:t xml:space="preserve">the organizational home for the system, the </w:t>
      </w:r>
      <w:r w:rsidR="00C12048" w:rsidRPr="0065676E">
        <w:t>elicitation and intake strategy</w:t>
      </w:r>
      <w:r w:rsidR="00C12048">
        <w:t xml:space="preserve">, and </w:t>
      </w:r>
      <w:r w:rsidR="0073188E" w:rsidRPr="0065676E">
        <w:t>the protocol</w:t>
      </w:r>
      <w:r w:rsidR="00913BC7" w:rsidRPr="0065676E">
        <w:t>s</w:t>
      </w:r>
      <w:r w:rsidR="0073188E" w:rsidRPr="0065676E">
        <w:t xml:space="preserve"> for analyzing patient and caregiver reports</w:t>
      </w:r>
      <w:r w:rsidR="00913BC7" w:rsidRPr="0065676E">
        <w:t xml:space="preserve">.  </w:t>
      </w:r>
      <w:r w:rsidR="00C12048">
        <w:t xml:space="preserve">The best </w:t>
      </w:r>
      <w:r w:rsidR="00B730B2" w:rsidRPr="0065676E">
        <w:t xml:space="preserve">protocols for </w:t>
      </w:r>
      <w:r w:rsidR="004B0C89" w:rsidRPr="0065676E">
        <w:t xml:space="preserve">sharing such </w:t>
      </w:r>
      <w:r w:rsidR="00913BC7" w:rsidRPr="0065676E">
        <w:t xml:space="preserve">information </w:t>
      </w:r>
      <w:r w:rsidR="002A69E9" w:rsidRPr="0065676E">
        <w:t xml:space="preserve">with providers </w:t>
      </w:r>
      <w:r w:rsidR="00913BC7" w:rsidRPr="0065676E">
        <w:t xml:space="preserve">(with patient consent) </w:t>
      </w:r>
      <w:r w:rsidR="00B730B2" w:rsidRPr="0065676E">
        <w:t xml:space="preserve">and </w:t>
      </w:r>
      <w:r w:rsidR="00913BC7" w:rsidRPr="0065676E">
        <w:t>sharing aggregate</w:t>
      </w:r>
      <w:r w:rsidR="00B730B2" w:rsidRPr="0065676E">
        <w:t>d</w:t>
      </w:r>
      <w:r w:rsidR="00913BC7" w:rsidRPr="0065676E">
        <w:t xml:space="preserve"> reports to </w:t>
      </w:r>
      <w:r w:rsidR="002A69E9" w:rsidRPr="0065676E">
        <w:t>regulators</w:t>
      </w:r>
      <w:r w:rsidR="00B730B2" w:rsidRPr="0065676E">
        <w:t xml:space="preserve"> and the </w:t>
      </w:r>
      <w:r w:rsidR="002A69E9" w:rsidRPr="0065676E">
        <w:t>public</w:t>
      </w:r>
      <w:r w:rsidR="00B730B2" w:rsidRPr="0065676E">
        <w:t xml:space="preserve"> given current federal and state regulation of health care </w:t>
      </w:r>
      <w:r w:rsidR="0099252E" w:rsidRPr="0065676E">
        <w:t>are not yet full</w:t>
      </w:r>
      <w:r w:rsidR="00C05C42">
        <w:t>y</w:t>
      </w:r>
      <w:r w:rsidR="0099252E" w:rsidRPr="0065676E">
        <w:t xml:space="preserve"> </w:t>
      </w:r>
      <w:r w:rsidR="00B730B2" w:rsidRPr="0065676E">
        <w:t>defined</w:t>
      </w:r>
      <w:r w:rsidR="004B0C89" w:rsidRPr="0065676E">
        <w:t xml:space="preserve">.   </w:t>
      </w:r>
      <w:r w:rsidR="00C12048">
        <w:t xml:space="preserve">The relationship between a consumer reporting system of this type and other existing reporting systems operated by institutional, state, and federal regulators of health care has yet to be fully defined. </w:t>
      </w:r>
    </w:p>
    <w:p w:rsidR="002A69E9" w:rsidRPr="0065676E" w:rsidRDefault="002A69E9" w:rsidP="00A233EC">
      <w:pPr>
        <w:tabs>
          <w:tab w:val="left" w:pos="360"/>
        </w:tabs>
      </w:pPr>
    </w:p>
    <w:p w:rsidR="00FD129A" w:rsidRPr="0065676E" w:rsidRDefault="00A233EC" w:rsidP="00A233EC">
      <w:pPr>
        <w:tabs>
          <w:tab w:val="left" w:pos="360"/>
        </w:tabs>
      </w:pPr>
      <w:r w:rsidRPr="0065676E">
        <w:t xml:space="preserve">In an effort to </w:t>
      </w:r>
      <w:r w:rsidR="00B730B2" w:rsidRPr="0065676E">
        <w:t>begin to answer the</w:t>
      </w:r>
      <w:r w:rsidR="0099252E" w:rsidRPr="0065676E">
        <w:t>se and other</w:t>
      </w:r>
      <w:r w:rsidR="00B730B2" w:rsidRPr="0065676E">
        <w:t xml:space="preserve"> research and policy questions </w:t>
      </w:r>
      <w:r w:rsidRPr="0065676E">
        <w:t xml:space="preserve">about </w:t>
      </w:r>
      <w:r w:rsidR="00B730B2" w:rsidRPr="0065676E">
        <w:t>the collection of safety reports from consumers, patients, and caregivers</w:t>
      </w:r>
      <w:r w:rsidRPr="0065676E">
        <w:t xml:space="preserve">, AHRQ has funded the development </w:t>
      </w:r>
      <w:r w:rsidR="0099252E" w:rsidRPr="0065676E">
        <w:t xml:space="preserve">and study </w:t>
      </w:r>
      <w:r w:rsidRPr="0065676E">
        <w:t xml:space="preserve">of </w:t>
      </w:r>
      <w:r w:rsidRPr="0065676E">
        <w:rPr>
          <w:bCs/>
          <w:iCs/>
        </w:rPr>
        <w:t>a prototype Consumer Reporting System for Patient Safety (CRSPS)</w:t>
      </w:r>
      <w:r w:rsidR="00B730B2" w:rsidRPr="0065676E">
        <w:rPr>
          <w:bCs/>
          <w:iCs/>
        </w:rPr>
        <w:t xml:space="preserve">.  This </w:t>
      </w:r>
      <w:r w:rsidR="0099252E" w:rsidRPr="0065676E">
        <w:rPr>
          <w:bCs/>
          <w:iCs/>
        </w:rPr>
        <w:t xml:space="preserve">prototype </w:t>
      </w:r>
      <w:r w:rsidR="00B730B2" w:rsidRPr="0065676E">
        <w:rPr>
          <w:bCs/>
          <w:iCs/>
        </w:rPr>
        <w:t>is</w:t>
      </w:r>
      <w:r w:rsidRPr="0065676E">
        <w:rPr>
          <w:bCs/>
          <w:iCs/>
        </w:rPr>
        <w:t xml:space="preserve"> </w:t>
      </w:r>
      <w:r w:rsidR="00B730B2" w:rsidRPr="0065676E">
        <w:rPr>
          <w:bCs/>
          <w:iCs/>
        </w:rPr>
        <w:t xml:space="preserve">being </w:t>
      </w:r>
      <w:r w:rsidRPr="0065676E">
        <w:rPr>
          <w:bCs/>
          <w:iCs/>
        </w:rPr>
        <w:t xml:space="preserve">designed to collect information from patients </w:t>
      </w:r>
      <w:r w:rsidR="0099252E" w:rsidRPr="0065676E">
        <w:rPr>
          <w:bCs/>
          <w:iCs/>
        </w:rPr>
        <w:t xml:space="preserve">and caregivers </w:t>
      </w:r>
      <w:r w:rsidRPr="0065676E">
        <w:rPr>
          <w:bCs/>
          <w:iCs/>
        </w:rPr>
        <w:t xml:space="preserve">about </w:t>
      </w:r>
      <w:r w:rsidR="0099252E" w:rsidRPr="0065676E">
        <w:rPr>
          <w:bCs/>
          <w:iCs/>
        </w:rPr>
        <w:t xml:space="preserve">adverse events that patients experienced (and that </w:t>
      </w:r>
      <w:r w:rsidR="0099252E" w:rsidRPr="0065676E">
        <w:rPr>
          <w:bCs/>
          <w:i/>
          <w:iCs/>
        </w:rPr>
        <w:t>may</w:t>
      </w:r>
      <w:r w:rsidR="0099252E" w:rsidRPr="0065676E">
        <w:rPr>
          <w:bCs/>
          <w:iCs/>
        </w:rPr>
        <w:t xml:space="preserve"> have been caused by health care) as well potential </w:t>
      </w:r>
      <w:r w:rsidRPr="00EE1220">
        <w:t xml:space="preserve">errors that </w:t>
      </w:r>
      <w:r w:rsidR="0099252E" w:rsidRPr="00187B1B">
        <w:t>patients and caregivers may have observed whether or not they caused harm.  The project will develop and test approaches for classifying patient- and caregiver-report</w:t>
      </w:r>
      <w:r w:rsidR="0099252E" w:rsidRPr="0065676E">
        <w:t xml:space="preserve">ed patient safety events as incidents or near misses under the definitions used by the AHRQ Common Formats (AHRQ, 2010, details at: </w:t>
      </w:r>
      <w:hyperlink r:id="rId8" w:history="1">
        <w:r w:rsidR="0099252E" w:rsidRPr="0065676E">
          <w:rPr>
            <w:rStyle w:val="Hyperlink"/>
            <w:color w:val="auto"/>
          </w:rPr>
          <w:t>www.pso.ahrq.gov/formats/commonfmt.htm</w:t>
        </w:r>
      </w:hyperlink>
      <w:r w:rsidR="0099252E" w:rsidRPr="0065676E">
        <w:t>).</w:t>
      </w:r>
      <w:r w:rsidRPr="0065676E">
        <w:t xml:space="preserve"> </w:t>
      </w:r>
      <w:r w:rsidR="0099252E" w:rsidRPr="0065676E">
        <w:t xml:space="preserve">As a research study, the </w:t>
      </w:r>
      <w:r w:rsidR="00C12048">
        <w:t xml:space="preserve">first stage of the </w:t>
      </w:r>
      <w:r w:rsidRPr="0065676E">
        <w:t xml:space="preserve">project </w:t>
      </w:r>
      <w:r w:rsidR="00C12048">
        <w:t xml:space="preserve">develops and </w:t>
      </w:r>
      <w:r w:rsidR="0099252E" w:rsidRPr="0065676E">
        <w:t>evaluate</w:t>
      </w:r>
      <w:r w:rsidR="00C12048">
        <w:t>s</w:t>
      </w:r>
      <w:r w:rsidR="0099252E" w:rsidRPr="0065676E">
        <w:t xml:space="preserve"> </w:t>
      </w:r>
      <w:r w:rsidRPr="0065676E">
        <w:t xml:space="preserve">the </w:t>
      </w:r>
      <w:r w:rsidR="0099252E" w:rsidRPr="0065676E">
        <w:t xml:space="preserve">capability of the </w:t>
      </w:r>
      <w:r w:rsidR="00C12048">
        <w:t xml:space="preserve">intake form </w:t>
      </w:r>
      <w:r w:rsidRPr="0065676E">
        <w:t xml:space="preserve">to elicit and </w:t>
      </w:r>
      <w:r w:rsidR="00C12048">
        <w:t xml:space="preserve">properly </w:t>
      </w:r>
      <w:r w:rsidRPr="0065676E">
        <w:t>record data from consumers (patients and their caregivers)</w:t>
      </w:r>
      <w:r w:rsidR="00C12048">
        <w:t xml:space="preserve">.  Later stages of the project will </w:t>
      </w:r>
      <w:r w:rsidRPr="0065676E">
        <w:t>pilot</w:t>
      </w:r>
      <w:r w:rsidR="0099252E" w:rsidRPr="0065676E">
        <w:t xml:space="preserve"> the prototype</w:t>
      </w:r>
      <w:r w:rsidRPr="0065676E">
        <w:t xml:space="preserve"> in a </w:t>
      </w:r>
      <w:r w:rsidR="0099252E" w:rsidRPr="0065676E">
        <w:t xml:space="preserve">carefully </w:t>
      </w:r>
      <w:r w:rsidRPr="0065676E">
        <w:t>selected community</w:t>
      </w:r>
      <w:r w:rsidR="00C12048">
        <w:t xml:space="preserve">, </w:t>
      </w:r>
      <w:r w:rsidR="00830167" w:rsidRPr="0065676E">
        <w:t>enga</w:t>
      </w:r>
      <w:r w:rsidR="00C12048">
        <w:t>ging</w:t>
      </w:r>
      <w:r w:rsidR="00830167" w:rsidRPr="0065676E">
        <w:t xml:space="preserve"> </w:t>
      </w:r>
      <w:r w:rsidR="00C12048">
        <w:t xml:space="preserve">the </w:t>
      </w:r>
      <w:r w:rsidRPr="0065676E">
        <w:t xml:space="preserve">voluntary participation </w:t>
      </w:r>
      <w:r w:rsidR="00830167" w:rsidRPr="0065676E">
        <w:t xml:space="preserve">of </w:t>
      </w:r>
      <w:r w:rsidRPr="0065676E">
        <w:t xml:space="preserve">local health care delivery organizations such as hospitals, ambulatory physician groups, pharmacies, </w:t>
      </w:r>
      <w:r w:rsidR="00830167" w:rsidRPr="0065676E">
        <w:t xml:space="preserve">as well </w:t>
      </w:r>
      <w:r w:rsidRPr="0065676E">
        <w:t xml:space="preserve">other local interested parties such as consumer and patient advocacy groups.  </w:t>
      </w:r>
      <w:r w:rsidR="00C12048">
        <w:t xml:space="preserve">This pilot implementation will be used to assess the feasibility of implementing a community-based system and collect qualitative and quantitative information about the opportunities and challenges to deploying and operating such a system, including the risks and benefits for each of the involved stakeholders.   This research is necessary to establish whether such a system should be deployed more widely and </w:t>
      </w:r>
      <w:r w:rsidR="00075AB9">
        <w:t>the conditions necessary to support successful deployment</w:t>
      </w:r>
      <w:r w:rsidR="00C12048">
        <w:t xml:space="preserve">.  </w:t>
      </w:r>
    </w:p>
    <w:p w:rsidR="00FD129A" w:rsidRPr="0065676E" w:rsidRDefault="00FD129A" w:rsidP="00A233EC">
      <w:pPr>
        <w:tabs>
          <w:tab w:val="left" w:pos="360"/>
        </w:tabs>
      </w:pPr>
    </w:p>
    <w:p w:rsidR="00FD129A" w:rsidRPr="0065676E" w:rsidRDefault="00FD129A" w:rsidP="00FD129A">
      <w:r w:rsidRPr="0065676E">
        <w:t>This demonstration project is being conducted by AHRQ through its contractor, RAND Corporation with Brigham and Women’s Hospital, Dana Farber Cancer Institute, and ECRI Institute, pursuant to AHRQ’s statutory authority to conduct and support research on health care and on systems for the delivery of such care, including activities with respect to the quality, effectiveness, efficiency, appropriateness and value of health care services and with respect to quality measurement and improvement.  42 U.S.C. 299a(a)(1) and (2).</w:t>
      </w:r>
    </w:p>
    <w:p w:rsidR="00FD129A" w:rsidRPr="0065676E" w:rsidRDefault="00FD129A" w:rsidP="00FD129A"/>
    <w:p w:rsidR="00407BA5" w:rsidRPr="0065676E" w:rsidRDefault="00407BA5" w:rsidP="007C20F0">
      <w:pPr>
        <w:rPr>
          <w:bCs/>
          <w:iCs/>
        </w:rPr>
      </w:pPr>
    </w:p>
    <w:p w:rsidR="00D4030F" w:rsidRPr="0065676E" w:rsidRDefault="00D4030F" w:rsidP="007C20F0">
      <w:pPr>
        <w:rPr>
          <w:bCs/>
          <w:iCs/>
        </w:rPr>
      </w:pPr>
      <w:proofErr w:type="gramStart"/>
      <w:r w:rsidRPr="00EE1220">
        <w:rPr>
          <w:b/>
        </w:rPr>
        <w:t>Rationale for the information collectio</w:t>
      </w:r>
      <w:r w:rsidR="00BE063A" w:rsidRPr="00665EB9">
        <w:rPr>
          <w:b/>
        </w:rPr>
        <w:t>n.</w:t>
      </w:r>
      <w:proofErr w:type="gramEnd"/>
      <w:r w:rsidR="007A4CAF" w:rsidRPr="00BC2F34">
        <w:rPr>
          <w:b/>
        </w:rPr>
        <w:t xml:space="preserve"> </w:t>
      </w:r>
      <w:r w:rsidR="00A233EC" w:rsidRPr="0065676E">
        <w:rPr>
          <w:bCs/>
          <w:iCs/>
        </w:rPr>
        <w:t xml:space="preserve">Currently there are a limited number of mechanisms for consumers, patients, or caregivers to report information about </w:t>
      </w:r>
      <w:r w:rsidR="00A233EC" w:rsidRPr="00EE1220">
        <w:t xml:space="preserve">patient safety events </w:t>
      </w:r>
      <w:r w:rsidR="00A233EC" w:rsidRPr="0065676E">
        <w:t xml:space="preserve">(defined as an incident or near miss by the AHRQ Common Formats). Systems that exist, such as the FDA Medwatch, </w:t>
      </w:r>
      <w:r w:rsidR="00830167" w:rsidRPr="0065676E">
        <w:t xml:space="preserve">specify </w:t>
      </w:r>
      <w:r w:rsidR="007973DB" w:rsidRPr="0065676E">
        <w:t>narrowly defined</w:t>
      </w:r>
      <w:r w:rsidR="00A233EC" w:rsidRPr="0065676E">
        <w:t xml:space="preserve"> types of safety issues.  While some patient reporting systems are emerging in organizations such as hospitals, many hospitals and settings such as ambulatory care are not systematically collecting patients’ reports about safety.  Few systems enable reporting about the safety of transitions in care, a known area of safety risk that may fall between settings.  Information from consumers, patients, and caregivers could be used by delivery organizations as they seek to promote patient safety and reduce medical errors. In addition, current evidence suggests that patients and caregivers may report information that can augment or complement information collected by </w:t>
      </w:r>
      <w:r w:rsidR="00696A2C" w:rsidRPr="0065676E">
        <w:t>the existing safety improvement systems operated by provider organizations</w:t>
      </w:r>
      <w:r w:rsidR="00A233EC" w:rsidRPr="0065676E">
        <w:t xml:space="preserve">.  </w:t>
      </w:r>
    </w:p>
    <w:p w:rsidR="005067B3" w:rsidRPr="0065676E" w:rsidRDefault="005067B3" w:rsidP="007C20F0">
      <w:pPr>
        <w:rPr>
          <w:bCs/>
          <w:iCs/>
        </w:rPr>
      </w:pPr>
    </w:p>
    <w:p w:rsidR="00B5485C" w:rsidRDefault="00B5485C" w:rsidP="00B5485C">
      <w:r w:rsidRPr="00B5485C">
        <w:t>This research has the following goals:</w:t>
      </w:r>
    </w:p>
    <w:p w:rsidR="00B5485C" w:rsidRPr="00B5485C" w:rsidRDefault="00B5485C" w:rsidP="00B5485C"/>
    <w:p w:rsidR="00B5485C" w:rsidRPr="00B5485C" w:rsidRDefault="00B5485C" w:rsidP="00B5485C">
      <w:pPr>
        <w:ind w:left="270" w:hanging="270"/>
      </w:pPr>
      <w:r w:rsidRPr="00B5485C">
        <w:t xml:space="preserve">1. To develop and design a prototype system to collect information about patient safety events </w:t>
      </w:r>
    </w:p>
    <w:p w:rsidR="00B5485C" w:rsidRPr="00B5485C" w:rsidRDefault="00B5485C" w:rsidP="00B5485C">
      <w:r w:rsidRPr="00B5485C">
        <w:t xml:space="preserve">2. To develop and test web and telephone modes of a prototype questionnaire </w:t>
      </w:r>
    </w:p>
    <w:p w:rsidR="00BC2DAC" w:rsidRPr="00B5485C" w:rsidRDefault="00B5485C" w:rsidP="00B5485C">
      <w:pPr>
        <w:pStyle w:val="MediumGrid1-Accent21"/>
        <w:tabs>
          <w:tab w:val="left" w:pos="360"/>
        </w:tabs>
        <w:ind w:left="0"/>
        <w:rPr>
          <w:rFonts w:ascii="Times New Roman" w:hAnsi="Times New Roman"/>
          <w:sz w:val="24"/>
          <w:szCs w:val="24"/>
        </w:rPr>
      </w:pPr>
      <w:r w:rsidRPr="00B5485C">
        <w:rPr>
          <w:rFonts w:ascii="Times New Roman" w:hAnsi="Times New Roman"/>
          <w:sz w:val="24"/>
          <w:szCs w:val="24"/>
        </w:rPr>
        <w:t>3. To develop and test protocols for a follow-up survey of health care providers</w:t>
      </w:r>
    </w:p>
    <w:p w:rsidR="00B5485C" w:rsidRPr="0065676E" w:rsidRDefault="00B5485C" w:rsidP="007C20F0">
      <w:pPr>
        <w:pStyle w:val="MediumGrid1-Accent21"/>
        <w:tabs>
          <w:tab w:val="left" w:pos="360"/>
        </w:tabs>
        <w:rPr>
          <w:rFonts w:ascii="Times New Roman" w:hAnsi="Times New Roman"/>
          <w:sz w:val="24"/>
          <w:szCs w:val="24"/>
        </w:rPr>
      </w:pPr>
    </w:p>
    <w:p w:rsidR="00D4030F" w:rsidRPr="0065676E" w:rsidRDefault="00D4030F" w:rsidP="007C20F0">
      <w:pPr>
        <w:tabs>
          <w:tab w:val="left" w:pos="360"/>
        </w:tabs>
      </w:pPr>
      <w:r w:rsidRPr="0065676E">
        <w:t>To achieve the goal</w:t>
      </w:r>
      <w:r w:rsidR="00830167" w:rsidRPr="0065676E">
        <w:t>s</w:t>
      </w:r>
      <w:r w:rsidRPr="0065676E">
        <w:t xml:space="preserve"> of this project the following data collections will be implemented:</w:t>
      </w:r>
    </w:p>
    <w:p w:rsidR="00280531" w:rsidRPr="0065676E" w:rsidRDefault="00280531" w:rsidP="007C20F0">
      <w:pPr>
        <w:tabs>
          <w:tab w:val="left" w:pos="360"/>
        </w:tabs>
      </w:pPr>
    </w:p>
    <w:p w:rsidR="00E93F3E" w:rsidRPr="00EE1220" w:rsidRDefault="00E93F3E" w:rsidP="00E93F3E">
      <w:r w:rsidRPr="0065676E">
        <w:rPr>
          <w:bCs/>
          <w:i/>
        </w:rPr>
        <w:t xml:space="preserve">1. Safety event intake form and follow up. </w:t>
      </w:r>
      <w:r w:rsidRPr="0065676E">
        <w:t>Consumers, patients, or caregivers</w:t>
      </w:r>
      <w:r w:rsidR="001178FE" w:rsidRPr="0065676E">
        <w:t xml:space="preserve"> </w:t>
      </w:r>
      <w:r w:rsidRPr="0065676E">
        <w:t>(</w:t>
      </w:r>
      <w:r w:rsidR="001178FE" w:rsidRPr="0065676E">
        <w:t>hereafter referred to as “consumers”</w:t>
      </w:r>
      <w:r w:rsidRPr="0065676E">
        <w:t xml:space="preserve">) will be able to voluntarily report safety events through a </w:t>
      </w:r>
      <w:r w:rsidRPr="0065676E">
        <w:rPr>
          <w:i/>
        </w:rPr>
        <w:t>safety event intake form</w:t>
      </w:r>
      <w:r w:rsidRPr="0065676E">
        <w:t xml:space="preserve"> on a web site (see Attachment B) or by telephone (Attachment </w:t>
      </w:r>
      <w:r w:rsidR="00D70F73">
        <w:t>D</w:t>
      </w:r>
      <w:r w:rsidRPr="0065676E">
        <w:t xml:space="preserve">). </w:t>
      </w:r>
      <w:r w:rsidR="00FD129A" w:rsidRPr="0065676E">
        <w:t xml:space="preserve"> </w:t>
      </w:r>
      <w:r w:rsidRPr="0065676E">
        <w:t xml:space="preserve">The safety event intake form </w:t>
      </w:r>
      <w:r w:rsidR="00FD129A" w:rsidRPr="0065676E">
        <w:t xml:space="preserve">includes a structured set of questions that </w:t>
      </w:r>
      <w:r w:rsidRPr="0065676E">
        <w:t xml:space="preserve">enables </w:t>
      </w:r>
      <w:r w:rsidR="00FD129A" w:rsidRPr="0065676E">
        <w:t xml:space="preserve">consumers </w:t>
      </w:r>
      <w:r w:rsidRPr="0065676E">
        <w:t xml:space="preserve">to </w:t>
      </w:r>
      <w:r w:rsidRPr="0065676E">
        <w:lastRenderedPageBreak/>
        <w:t xml:space="preserve">report about </w:t>
      </w:r>
      <w:r w:rsidR="00FD129A" w:rsidRPr="0065676E">
        <w:t>two types of safety events: “</w:t>
      </w:r>
      <w:r w:rsidRPr="0065676E">
        <w:t>negative effect</w:t>
      </w:r>
      <w:r w:rsidR="00FD129A" w:rsidRPr="0065676E">
        <w:t>s”</w:t>
      </w:r>
      <w:r w:rsidRPr="0065676E">
        <w:t xml:space="preserve"> </w:t>
      </w:r>
      <w:r w:rsidR="00FD129A" w:rsidRPr="0065676E">
        <w:t xml:space="preserve">related to health care </w:t>
      </w:r>
      <w:r w:rsidRPr="0065676E">
        <w:t xml:space="preserve">(e.g., harm, injury, adverse event) </w:t>
      </w:r>
      <w:r w:rsidR="00FD129A" w:rsidRPr="0065676E">
        <w:t xml:space="preserve">and/or a suspected </w:t>
      </w:r>
      <w:r w:rsidRPr="0065676E">
        <w:t xml:space="preserve">medical error or </w:t>
      </w:r>
      <w:r w:rsidR="007973DB" w:rsidRPr="0065676E">
        <w:t>mistake</w:t>
      </w:r>
      <w:r w:rsidR="00FD129A" w:rsidRPr="0065676E">
        <w:t xml:space="preserve"> whether or </w:t>
      </w:r>
      <w:r w:rsidRPr="0065676E">
        <w:t xml:space="preserve">not </w:t>
      </w:r>
      <w:r w:rsidR="00FD129A" w:rsidRPr="0065676E">
        <w:t xml:space="preserve">that medical error was associated with </w:t>
      </w:r>
      <w:r w:rsidRPr="0065676E">
        <w:t xml:space="preserve">harm or injury.  The introductory page will include a definition of the types of safety events to be reported to this system.  The </w:t>
      </w:r>
      <w:r w:rsidR="00FD129A" w:rsidRPr="0065676E">
        <w:t xml:space="preserve">introductory page </w:t>
      </w:r>
      <w:r w:rsidRPr="0065676E">
        <w:t xml:space="preserve">will advise </w:t>
      </w:r>
      <w:r w:rsidR="001178FE" w:rsidRPr="0065676E">
        <w:t>consumer</w:t>
      </w:r>
      <w:r w:rsidR="00FD129A" w:rsidRPr="0065676E">
        <w:t xml:space="preserve">s </w:t>
      </w:r>
      <w:r w:rsidRPr="0065676E">
        <w:t xml:space="preserve">that other </w:t>
      </w:r>
      <w:r w:rsidR="00FD129A" w:rsidRPr="0065676E">
        <w:t xml:space="preserve">types of issues such as </w:t>
      </w:r>
      <w:r w:rsidRPr="0065676E">
        <w:t xml:space="preserve">complaints about amenities (like food and parking) or grievances that are not related to </w:t>
      </w:r>
      <w:r w:rsidR="00FD129A" w:rsidRPr="0065676E">
        <w:t xml:space="preserve">the </w:t>
      </w:r>
      <w:r w:rsidRPr="0065676E">
        <w:t xml:space="preserve">safety </w:t>
      </w:r>
      <w:r w:rsidR="00FD129A" w:rsidRPr="0065676E">
        <w:t xml:space="preserve">of care </w:t>
      </w:r>
      <w:r w:rsidRPr="0065676E">
        <w:t xml:space="preserve">should be reported to other systems.  A list of these other reporting resources will be made available to the </w:t>
      </w:r>
      <w:r w:rsidR="001178FE" w:rsidRPr="0065676E">
        <w:t>consumer</w:t>
      </w:r>
      <w:r w:rsidRPr="0065676E">
        <w:t>.</w:t>
      </w:r>
      <w:r w:rsidRPr="00EE1220">
        <w:t xml:space="preserve"> </w:t>
      </w:r>
    </w:p>
    <w:p w:rsidR="00E93F3E" w:rsidRPr="0065676E" w:rsidRDefault="00E93F3E" w:rsidP="00E93F3E"/>
    <w:p w:rsidR="001178FE" w:rsidRPr="0065676E" w:rsidRDefault="00E93F3E" w:rsidP="00E93F3E">
      <w:r w:rsidRPr="0065676E">
        <w:t xml:space="preserve">If the </w:t>
      </w:r>
      <w:r w:rsidR="005167A0" w:rsidRPr="0065676E">
        <w:t xml:space="preserve">patient or caregiver chooses </w:t>
      </w:r>
      <w:r w:rsidRPr="0065676E">
        <w:t>to enter a report, the safety event intake form walks that person through a series of questions about what happened, details of the event, when and where it occurred, whether there were negative effects, the type of negative effect</w:t>
      </w:r>
      <w:r w:rsidR="005167A0" w:rsidRPr="0065676E">
        <w:t xml:space="preserve">. The </w:t>
      </w:r>
      <w:r w:rsidR="001178FE" w:rsidRPr="0065676E">
        <w:t>consumer</w:t>
      </w:r>
      <w:r w:rsidR="005167A0" w:rsidRPr="0065676E">
        <w:t xml:space="preserve"> is given the option to describe in his or her own words what factors might have contributed to the safety event.  T</w:t>
      </w:r>
      <w:r w:rsidRPr="0065676E">
        <w:t xml:space="preserve">he </w:t>
      </w:r>
      <w:r w:rsidR="001178FE" w:rsidRPr="0065676E">
        <w:t>consumer</w:t>
      </w:r>
      <w:r w:rsidRPr="0065676E">
        <w:t xml:space="preserve"> </w:t>
      </w:r>
      <w:r w:rsidR="005167A0" w:rsidRPr="0065676E">
        <w:t xml:space="preserve">is also asked about a selected list of potential factors that in the opinion of the </w:t>
      </w:r>
      <w:r w:rsidR="001178FE" w:rsidRPr="0065676E">
        <w:t>consumer</w:t>
      </w:r>
      <w:r w:rsidR="005167A0" w:rsidRPr="0065676E">
        <w:t xml:space="preserve"> might have contributed </w:t>
      </w:r>
      <w:r w:rsidRPr="0065676E">
        <w:t xml:space="preserve">to </w:t>
      </w:r>
      <w:r w:rsidR="007973DB" w:rsidRPr="0065676E">
        <w:t>the event</w:t>
      </w:r>
      <w:r w:rsidR="005167A0" w:rsidRPr="0065676E">
        <w:t xml:space="preserve">. The selected list of factors has been derived from the contributing factors that have been identified through prior research as issues that are directly observable by a patient or caregiver </w:t>
      </w:r>
      <w:r w:rsidR="001178FE" w:rsidRPr="0065676E">
        <w:t xml:space="preserve">and considered valid and reliable based on prior testing </w:t>
      </w:r>
      <w:r w:rsidR="005167A0" w:rsidRPr="0065676E">
        <w:t>(e.g. communication with providers</w:t>
      </w:r>
      <w:r w:rsidR="001178FE" w:rsidRPr="0065676E">
        <w:t xml:space="preserve"> using constructs that have been tested on prior surveys such as the CAHPS survey series</w:t>
      </w:r>
      <w:r w:rsidR="005167A0" w:rsidRPr="0065676E">
        <w:t xml:space="preserve">) or have been </w:t>
      </w:r>
      <w:r w:rsidR="001178FE" w:rsidRPr="0065676E">
        <w:t xml:space="preserve">used in other safety reporting instruments.  </w:t>
      </w:r>
    </w:p>
    <w:p w:rsidR="001178FE" w:rsidRPr="0065676E" w:rsidRDefault="001178FE" w:rsidP="00E93F3E"/>
    <w:p w:rsidR="00E93F3E" w:rsidRPr="0065676E" w:rsidRDefault="005167A0" w:rsidP="00E93F3E">
      <w:r w:rsidRPr="0065676E">
        <w:t xml:space="preserve">The </w:t>
      </w:r>
      <w:r w:rsidR="001178FE" w:rsidRPr="0065676E">
        <w:t>consumer</w:t>
      </w:r>
      <w:r w:rsidRPr="0065676E">
        <w:t xml:space="preserve"> is asked whether the patient reported the event to a health professional, manager, or other person.  The </w:t>
      </w:r>
      <w:r w:rsidR="001178FE" w:rsidRPr="0065676E">
        <w:t>consumer</w:t>
      </w:r>
      <w:r w:rsidRPr="0065676E">
        <w:t xml:space="preserve"> is also asked whether the event was </w:t>
      </w:r>
      <w:r w:rsidR="00E93F3E" w:rsidRPr="0065676E">
        <w:t xml:space="preserve">disclosed </w:t>
      </w:r>
      <w:r w:rsidRPr="0065676E">
        <w:t xml:space="preserve">to the patient </w:t>
      </w:r>
      <w:r w:rsidR="00E93F3E" w:rsidRPr="0065676E">
        <w:t xml:space="preserve">by a health professional. The </w:t>
      </w:r>
      <w:r w:rsidR="001178FE" w:rsidRPr="0065676E">
        <w:t>consumer</w:t>
      </w:r>
      <w:r w:rsidR="00E93F3E" w:rsidRPr="0065676E">
        <w:t xml:space="preserve"> will have the option to identify the involved professionals and provid</w:t>
      </w:r>
      <w:r w:rsidRPr="0065676E">
        <w:t>ing</w:t>
      </w:r>
      <w:r w:rsidR="00E93F3E" w:rsidRPr="0065676E">
        <w:t xml:space="preserve"> contact information. </w:t>
      </w:r>
      <w:r w:rsidR="001178FE" w:rsidRPr="0065676E">
        <w:t>Consumer</w:t>
      </w:r>
      <w:r w:rsidR="00E93F3E" w:rsidRPr="0065676E">
        <w:t xml:space="preserve">s will also have the option to grant consent for the report to be shared with a contact person at the facility, which may be an administrator or patient safety officer, or with individuals doctors, nurses, or other health care professionals identified by the </w:t>
      </w:r>
      <w:r w:rsidR="001178FE" w:rsidRPr="0065676E">
        <w:t>consumer</w:t>
      </w:r>
      <w:r w:rsidR="00E93F3E" w:rsidRPr="0065676E">
        <w:t xml:space="preserve"> as having some involvement.  The </w:t>
      </w:r>
      <w:r w:rsidR="001178FE" w:rsidRPr="0065676E">
        <w:t>consumer</w:t>
      </w:r>
      <w:r w:rsidR="00E93F3E" w:rsidRPr="0065676E">
        <w:t xml:space="preserve"> can choose to share the report anonymously or include his or her name in the shared report. </w:t>
      </w:r>
    </w:p>
    <w:p w:rsidR="00E93F3E" w:rsidRPr="0065676E" w:rsidRDefault="00E93F3E" w:rsidP="00E93F3E"/>
    <w:p w:rsidR="00E93F3E" w:rsidRPr="0065676E" w:rsidRDefault="00E93F3E" w:rsidP="00E93F3E">
      <w:r w:rsidRPr="0065676E">
        <w:t xml:space="preserve">The </w:t>
      </w:r>
      <w:r w:rsidR="001178FE" w:rsidRPr="0065676E">
        <w:t>consumer</w:t>
      </w:r>
      <w:r w:rsidRPr="0065676E">
        <w:t xml:space="preserve"> may also opt to allow a CRSPS intake staff person to follow up in order to clarify details about the report. Those who opt </w:t>
      </w:r>
      <w:r w:rsidR="007973DB" w:rsidRPr="0065676E">
        <w:t>in</w:t>
      </w:r>
      <w:r w:rsidRPr="0065676E">
        <w:t xml:space="preserve"> will be contacted by telephone by CRSPS staff </w:t>
      </w:r>
      <w:r w:rsidR="00294FC1" w:rsidRPr="0065676E">
        <w:t>that</w:t>
      </w:r>
      <w:r w:rsidRPr="0065676E">
        <w:t xml:space="preserve"> will clarify information in the initial report and annotate the report accordingly (see Attachment </w:t>
      </w:r>
      <w:r w:rsidR="00D70F73">
        <w:t>E</w:t>
      </w:r>
      <w:r w:rsidRPr="0065676E">
        <w:t xml:space="preserve">). </w:t>
      </w:r>
    </w:p>
    <w:p w:rsidR="00E93F3E" w:rsidRPr="0065676E" w:rsidRDefault="00E93F3E" w:rsidP="00E93F3E"/>
    <w:p w:rsidR="00E93F3E" w:rsidRPr="0065676E" w:rsidRDefault="00E93F3E" w:rsidP="00E93F3E">
      <w:r w:rsidRPr="0065676E">
        <w:t xml:space="preserve">Upon leaving the safety intake form page, a reference page will contain several links to other resources and information about patient safety. One link will identify to local patient advocates from the pilot community including those from the </w:t>
      </w:r>
      <w:r w:rsidR="007973DB" w:rsidRPr="0065676E">
        <w:t>participating</w:t>
      </w:r>
      <w:r w:rsidRPr="0065676E">
        <w:t xml:space="preserve"> facilities. The site will identify other systems, such as MedWatch, which is designed for reporting medication problems (MedWatch). </w:t>
      </w:r>
    </w:p>
    <w:p w:rsidR="00E93F3E" w:rsidRPr="0065676E" w:rsidRDefault="00E93F3E" w:rsidP="00E93F3E"/>
    <w:p w:rsidR="00E93F3E" w:rsidRPr="0065676E" w:rsidRDefault="001178FE" w:rsidP="00E93F3E">
      <w:r w:rsidRPr="0065676E">
        <w:t xml:space="preserve">A </w:t>
      </w:r>
      <w:r w:rsidR="00E93F3E" w:rsidRPr="0065676E">
        <w:t xml:space="preserve">Frequently Asked Questions </w:t>
      </w:r>
      <w:r w:rsidRPr="0065676E">
        <w:t xml:space="preserve">is included </w:t>
      </w:r>
      <w:r w:rsidR="00E93F3E" w:rsidRPr="0065676E">
        <w:t xml:space="preserve">for </w:t>
      </w:r>
      <w:r w:rsidRPr="0065676E">
        <w:t xml:space="preserve">consumers </w:t>
      </w:r>
      <w:r w:rsidR="00E93F3E" w:rsidRPr="0065676E">
        <w:t>(see Attachment C, CRSPS FAQs information sheet). The FAQs answer a series of questions that the reporter may have as well as provides directions to links or 800-numbers to answer their questions or concerns.</w:t>
      </w:r>
    </w:p>
    <w:p w:rsidR="00E93F3E" w:rsidRPr="0065676E" w:rsidRDefault="00E93F3E" w:rsidP="00E93F3E">
      <w:r w:rsidRPr="0065676E">
        <w:t xml:space="preserve">After the </w:t>
      </w:r>
      <w:r w:rsidR="001178FE" w:rsidRPr="0065676E">
        <w:t>consumer</w:t>
      </w:r>
      <w:r w:rsidRPr="0065676E">
        <w:t xml:space="preserve"> submits a report its content will be reviewed by an experienced </w:t>
      </w:r>
      <w:r w:rsidR="001178FE" w:rsidRPr="0065676E">
        <w:t>health care professional (</w:t>
      </w:r>
      <w:r w:rsidRPr="0065676E">
        <w:t>physician and</w:t>
      </w:r>
      <w:r w:rsidR="001178FE" w:rsidRPr="0065676E">
        <w:t>/or</w:t>
      </w:r>
      <w:r w:rsidRPr="0065676E">
        <w:t xml:space="preserve"> nurse</w:t>
      </w:r>
      <w:r w:rsidR="001178FE" w:rsidRPr="0065676E">
        <w:t>)</w:t>
      </w:r>
      <w:r w:rsidRPr="0065676E">
        <w:t xml:space="preserve"> for verification and classification based on a </w:t>
      </w:r>
      <w:r w:rsidRPr="0065676E">
        <w:lastRenderedPageBreak/>
        <w:t xml:space="preserve">review protocol. This protocol will mirror prior research </w:t>
      </w:r>
      <w:r w:rsidR="007973DB" w:rsidRPr="0065676E">
        <w:t>approaches</w:t>
      </w:r>
      <w:r w:rsidR="001178FE" w:rsidRPr="0065676E">
        <w:t xml:space="preserve"> to classification and clarification.  R</w:t>
      </w:r>
      <w:r w:rsidRPr="0065676E">
        <w:t xml:space="preserve">eviewers </w:t>
      </w:r>
      <w:r w:rsidR="001178FE" w:rsidRPr="0065676E">
        <w:t xml:space="preserve">will </w:t>
      </w:r>
      <w:r w:rsidRPr="0065676E">
        <w:t xml:space="preserve">flag information that needs clarification. If the reporter has consented for follow-up, then we would contact the </w:t>
      </w:r>
      <w:r w:rsidR="001178FE" w:rsidRPr="0065676E">
        <w:t xml:space="preserve">consumer </w:t>
      </w:r>
      <w:r w:rsidRPr="0065676E">
        <w:t xml:space="preserve">for clarification information (See Attachment </w:t>
      </w:r>
      <w:r w:rsidR="00D70F73">
        <w:t>E</w:t>
      </w:r>
      <w:r w:rsidRPr="0065676E">
        <w:t xml:space="preserve">). </w:t>
      </w:r>
    </w:p>
    <w:p w:rsidR="0043325D" w:rsidRPr="0065676E" w:rsidRDefault="0043325D" w:rsidP="00E93F3E"/>
    <w:p w:rsidR="00E93F3E" w:rsidRPr="0065676E" w:rsidRDefault="00E93F3E" w:rsidP="00E93F3E"/>
    <w:p w:rsidR="000712CD" w:rsidRPr="0065676E" w:rsidRDefault="00E93F3E" w:rsidP="00E93F3E">
      <w:pPr>
        <w:widowControl w:val="0"/>
        <w:autoSpaceDE w:val="0"/>
        <w:autoSpaceDN w:val="0"/>
        <w:adjustRightInd w:val="0"/>
      </w:pPr>
      <w:r w:rsidRPr="0065676E">
        <w:rPr>
          <w:i/>
        </w:rPr>
        <w:t xml:space="preserve">2. Health care provider </w:t>
      </w:r>
      <w:proofErr w:type="gramStart"/>
      <w:r w:rsidRPr="0065676E">
        <w:rPr>
          <w:i/>
        </w:rPr>
        <w:t>follow</w:t>
      </w:r>
      <w:proofErr w:type="gramEnd"/>
      <w:r w:rsidRPr="0065676E">
        <w:rPr>
          <w:i/>
        </w:rPr>
        <w:t xml:space="preserve"> up. </w:t>
      </w:r>
      <w:r w:rsidR="00D3066D" w:rsidRPr="0065676E">
        <w:t xml:space="preserve">If a </w:t>
      </w:r>
      <w:r w:rsidR="001178FE" w:rsidRPr="0065676E">
        <w:t>consumer</w:t>
      </w:r>
      <w:r w:rsidRPr="0065676E">
        <w:t xml:space="preserve"> consent</w:t>
      </w:r>
      <w:r w:rsidR="00D3066D" w:rsidRPr="001D5559">
        <w:t>s</w:t>
      </w:r>
      <w:r w:rsidRPr="00665EB9">
        <w:t xml:space="preserve"> to sharing</w:t>
      </w:r>
      <w:r w:rsidRPr="00BC2F34">
        <w:t xml:space="preserve"> the report with a health care professional or organization, CRSPS staff will </w:t>
      </w:r>
      <w:r w:rsidR="00A0769A" w:rsidRPr="00BC2F34">
        <w:t xml:space="preserve">send </w:t>
      </w:r>
      <w:r w:rsidR="00D3066D" w:rsidRPr="00B35BAA">
        <w:t xml:space="preserve">a formatted version of the </w:t>
      </w:r>
      <w:r w:rsidR="001178FE" w:rsidRPr="0065676E">
        <w:t>consumer</w:t>
      </w:r>
      <w:r w:rsidR="00D3066D" w:rsidRPr="0065676E">
        <w:t>’s</w:t>
      </w:r>
      <w:r w:rsidRPr="0065676E">
        <w:t xml:space="preserve"> report to </w:t>
      </w:r>
      <w:r w:rsidR="00D3066D" w:rsidRPr="0065676E">
        <w:t xml:space="preserve">a designated contact at the </w:t>
      </w:r>
      <w:r w:rsidRPr="0065676E">
        <w:t xml:space="preserve">health care organization </w:t>
      </w:r>
      <w:r w:rsidR="00D3066D" w:rsidRPr="0065676E">
        <w:t xml:space="preserve">(such as a </w:t>
      </w:r>
      <w:r w:rsidRPr="0065676E">
        <w:t>patient safety officer</w:t>
      </w:r>
      <w:r w:rsidR="00D3066D" w:rsidRPr="0065676E">
        <w:t>, medical practice leader,</w:t>
      </w:r>
      <w:r w:rsidRPr="0065676E">
        <w:t xml:space="preserve"> or other </w:t>
      </w:r>
      <w:r w:rsidR="00D3066D" w:rsidRPr="0065676E">
        <w:t>previously identified liaison)</w:t>
      </w:r>
      <w:r w:rsidRPr="0065676E">
        <w:t xml:space="preserve">. </w:t>
      </w:r>
      <w:r w:rsidR="00D3066D" w:rsidRPr="0065676E">
        <w:t xml:space="preserve">Participating organizations and professionals in the pilot community (i.e. all participating facilities and staff) will be PSO members, thus allowing them to analyze </w:t>
      </w:r>
      <w:r w:rsidR="00D3066D" w:rsidRPr="00EE1220">
        <w:t xml:space="preserve">patient safety data </w:t>
      </w:r>
      <w:r w:rsidR="00D3066D" w:rsidRPr="001D5559">
        <w:t>as patient safety work product wit</w:t>
      </w:r>
      <w:r w:rsidR="00D3066D" w:rsidRPr="00665EB9">
        <w:t>hin the PSO framework</w:t>
      </w:r>
      <w:r w:rsidR="00D3066D" w:rsidRPr="0065676E">
        <w:t xml:space="preserve">.  </w:t>
      </w:r>
      <w:r w:rsidRPr="00EE1220">
        <w:t xml:space="preserve">If the organization has an internal incident reporting system, the liaison will look for a matching report, and if appropriate, </w:t>
      </w:r>
      <w:r w:rsidR="00D3066D" w:rsidRPr="00BC2F34">
        <w:t xml:space="preserve">may wish to append the consumer’s </w:t>
      </w:r>
      <w:r w:rsidRPr="00B35BAA">
        <w:t xml:space="preserve">information </w:t>
      </w:r>
      <w:r w:rsidR="00D3066D" w:rsidRPr="00B35BAA">
        <w:t xml:space="preserve">to </w:t>
      </w:r>
      <w:r w:rsidRPr="0065676E">
        <w:t xml:space="preserve">the </w:t>
      </w:r>
      <w:r w:rsidR="00D3066D" w:rsidRPr="0065676E">
        <w:t xml:space="preserve">incident recorded in the organization’s </w:t>
      </w:r>
      <w:r w:rsidRPr="0065676E">
        <w:t xml:space="preserve">incident reporting system (see Attachment </w:t>
      </w:r>
      <w:r w:rsidR="00D70F73">
        <w:t>G</w:t>
      </w:r>
      <w:r w:rsidRPr="0065676E">
        <w:t xml:space="preserve">). </w:t>
      </w:r>
      <w:r w:rsidR="001178FE" w:rsidRPr="0065676E">
        <w:t xml:space="preserve"> </w:t>
      </w:r>
      <w:r w:rsidR="00D3066D" w:rsidRPr="0065676E">
        <w:t>Consumers will not have the option to receive information back from the incident reporting system because i</w:t>
      </w:r>
      <w:r w:rsidRPr="0065676E">
        <w:t xml:space="preserve">ncident reports maintained by facilities </w:t>
      </w:r>
      <w:r w:rsidR="00D3066D" w:rsidRPr="0065676E">
        <w:t xml:space="preserve">must </w:t>
      </w:r>
      <w:r w:rsidRPr="0065676E">
        <w:t xml:space="preserve">remain patient safety work product within the Patient Safety Organization (PSO) framework. </w:t>
      </w:r>
    </w:p>
    <w:p w:rsidR="000712CD" w:rsidRPr="0065676E" w:rsidRDefault="000712CD" w:rsidP="00E93F3E">
      <w:pPr>
        <w:widowControl w:val="0"/>
        <w:autoSpaceDE w:val="0"/>
        <w:autoSpaceDN w:val="0"/>
        <w:adjustRightInd w:val="0"/>
      </w:pPr>
    </w:p>
    <w:p w:rsidR="00644AFE" w:rsidRPr="0065676E" w:rsidRDefault="000712CD" w:rsidP="00E93F3E">
      <w:pPr>
        <w:widowControl w:val="0"/>
        <w:autoSpaceDE w:val="0"/>
        <w:autoSpaceDN w:val="0"/>
        <w:adjustRightInd w:val="0"/>
      </w:pPr>
      <w:r w:rsidRPr="0065676E">
        <w:t xml:space="preserve">The </w:t>
      </w:r>
      <w:r w:rsidR="00D3066D" w:rsidRPr="0065676E">
        <w:t xml:space="preserve">CRSPS </w:t>
      </w:r>
      <w:r w:rsidR="00644AFE" w:rsidRPr="0065676E">
        <w:t xml:space="preserve">database of collected information will be protected as confidential research data and will be protected under AHRQ’s federal authority to protect research data from public disclosure </w:t>
      </w:r>
      <w:r w:rsidR="004367FA" w:rsidRPr="00EE1220">
        <w:t>(see http://www.ahrq.gov/hrqa99.pdf)</w:t>
      </w:r>
      <w:r w:rsidRPr="0065676E">
        <w:t xml:space="preserve">.  </w:t>
      </w:r>
      <w:r w:rsidR="00644AFE" w:rsidRPr="0065676E">
        <w:t>Results of the analyses conducted as part of this project will be included in a report to AHRQ and these r</w:t>
      </w:r>
      <w:r w:rsidRPr="0065676E">
        <w:t xml:space="preserve">esults will be reported in aggregate and summary form to prevent the identification of any individual patient, consumer, or individual clinical provider.  </w:t>
      </w:r>
      <w:r w:rsidR="004367FA">
        <w:t xml:space="preserve"> </w:t>
      </w:r>
    </w:p>
    <w:p w:rsidR="00644AFE" w:rsidRPr="0065676E" w:rsidRDefault="00644AFE" w:rsidP="00E93F3E">
      <w:pPr>
        <w:widowControl w:val="0"/>
        <w:autoSpaceDE w:val="0"/>
        <w:autoSpaceDN w:val="0"/>
        <w:adjustRightInd w:val="0"/>
      </w:pPr>
    </w:p>
    <w:p w:rsidR="00E93F3E" w:rsidRPr="00EE1220" w:rsidRDefault="000712CD" w:rsidP="00E93F3E">
      <w:pPr>
        <w:widowControl w:val="0"/>
        <w:autoSpaceDE w:val="0"/>
        <w:autoSpaceDN w:val="0"/>
        <w:adjustRightInd w:val="0"/>
      </w:pPr>
      <w:r w:rsidRPr="0065676E">
        <w:t xml:space="preserve">Organizations that agree to participate </w:t>
      </w:r>
      <w:r w:rsidR="00D3066D" w:rsidRPr="0065676E">
        <w:t xml:space="preserve">in the pilot project will </w:t>
      </w:r>
      <w:r w:rsidRPr="0065676E">
        <w:t>be identifiable</w:t>
      </w:r>
      <w:r w:rsidR="00D3066D" w:rsidRPr="0065676E">
        <w:t xml:space="preserve"> </w:t>
      </w:r>
      <w:r w:rsidRPr="0065676E">
        <w:t xml:space="preserve">as </w:t>
      </w:r>
      <w:r w:rsidR="00D3066D" w:rsidRPr="0065676E">
        <w:t xml:space="preserve">they would be in </w:t>
      </w:r>
      <w:r w:rsidRPr="0065676E">
        <w:t>any research project</w:t>
      </w:r>
      <w:r w:rsidR="00D3066D" w:rsidRPr="0065676E">
        <w:t xml:space="preserve"> even though the reports of consumers will not be made public.  To minimize the risk of inadvertently disclosing information otherwise protected by HIPAA or PSQIA, we anticipate allowing relevant organizations to pre-review </w:t>
      </w:r>
      <w:r w:rsidR="00644AFE" w:rsidRPr="0065676E">
        <w:t xml:space="preserve">summary or aggregate </w:t>
      </w:r>
      <w:r w:rsidRPr="0065676E">
        <w:t>results</w:t>
      </w:r>
      <w:r w:rsidR="00D3066D" w:rsidRPr="0065676E">
        <w:t xml:space="preserve"> and report any information that might enable identification of a patient or specific health care professional.  </w:t>
      </w:r>
    </w:p>
    <w:p w:rsidR="0048591F" w:rsidRPr="00BC2F34" w:rsidRDefault="0048591F" w:rsidP="005B4C61"/>
    <w:p w:rsidR="009B633D" w:rsidRPr="0065676E" w:rsidRDefault="009B633D" w:rsidP="007C20F0">
      <w:pPr>
        <w:pStyle w:val="Heading2"/>
        <w:spacing w:before="0" w:after="0"/>
        <w:rPr>
          <w:rFonts w:ascii="Times New Roman" w:hAnsi="Times New Roman" w:cs="Times New Roman"/>
          <w:sz w:val="24"/>
          <w:szCs w:val="24"/>
        </w:rPr>
      </w:pPr>
      <w:bookmarkStart w:id="5" w:name="_Toc151782177"/>
      <w:bookmarkStart w:id="6" w:name="_Toc158526217"/>
      <w:r w:rsidRPr="0065676E">
        <w:rPr>
          <w:rFonts w:ascii="Times New Roman" w:hAnsi="Times New Roman" w:cs="Times New Roman"/>
          <w:sz w:val="24"/>
          <w:szCs w:val="24"/>
        </w:rPr>
        <w:t>2. Purpose and Use of Information</w:t>
      </w:r>
      <w:bookmarkEnd w:id="5"/>
      <w:bookmarkEnd w:id="6"/>
    </w:p>
    <w:p w:rsidR="00E92BD6" w:rsidRPr="0065676E" w:rsidRDefault="00E92BD6" w:rsidP="00E93F3E"/>
    <w:p w:rsidR="00E93F3E" w:rsidRPr="0065676E" w:rsidRDefault="00E93F3E" w:rsidP="00E93F3E">
      <w:r w:rsidRPr="0065676E">
        <w:t xml:space="preserve">This demonstration project will allow AHRQ to develop, evaluate, and improve methods for engaging consumers in reporting health-related safety events across the spectrum of practice settings.  Eliciting structured and narrative reports and leveraging electronic technologies are necessary to allow for the coding and classification of preliminary patient reports in a manner that ensures quality control and utility to providers and other stakeholders seeking to improve the quality and safety of care. </w:t>
      </w:r>
      <w:r w:rsidRPr="0065676E">
        <w:rPr>
          <w:bCs/>
          <w:iCs/>
        </w:rPr>
        <w:t xml:space="preserve">The results of the pilot will inform AHRQ about the types of information that might be feasible to collect from patients and health care providers about patient safety events. </w:t>
      </w:r>
      <w:r w:rsidRPr="00EE1220">
        <w:t xml:space="preserve">Data from the safety intake form will help inform AHRQ of the patterns </w:t>
      </w:r>
      <w:r w:rsidRPr="00BC2F34">
        <w:t xml:space="preserve">(type and distribution) of adverse event reporting across various settings within a community. Aggregated data about the consumer-reported patient safety events will be useful to the health care providers in the pilot community in quality or performance </w:t>
      </w:r>
      <w:r w:rsidRPr="00BC2F34">
        <w:lastRenderedPageBreak/>
        <w:t>im</w:t>
      </w:r>
      <w:r w:rsidRPr="0065676E">
        <w:t xml:space="preserve">provement. The evaluation will also inform stakeholders about the potential feasibility and challenges of replicating such consumer reporting systems in other local areas. </w:t>
      </w:r>
    </w:p>
    <w:p w:rsidR="007C20F0" w:rsidRPr="0065676E" w:rsidRDefault="007C20F0" w:rsidP="007C20F0">
      <w:pPr>
        <w:pStyle w:val="Heading2"/>
        <w:spacing w:before="0" w:after="0"/>
        <w:rPr>
          <w:rFonts w:ascii="Times New Roman" w:hAnsi="Times New Roman" w:cs="Times New Roman"/>
          <w:sz w:val="24"/>
          <w:szCs w:val="24"/>
        </w:rPr>
      </w:pPr>
      <w:bookmarkStart w:id="7" w:name="_Toc151782178"/>
      <w:bookmarkStart w:id="8" w:name="_Toc158526218"/>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3. Use of Improved Information Technology</w:t>
      </w:r>
      <w:bookmarkEnd w:id="7"/>
      <w:bookmarkEnd w:id="8"/>
    </w:p>
    <w:p w:rsidR="0048591F" w:rsidRPr="0065676E" w:rsidRDefault="000117AB" w:rsidP="007C20F0">
      <w:pPr>
        <w:widowControl w:val="0"/>
        <w:autoSpaceDE w:val="0"/>
        <w:autoSpaceDN w:val="0"/>
        <w:adjustRightInd w:val="0"/>
      </w:pPr>
      <w:bookmarkStart w:id="9" w:name="_Toc151782179"/>
      <w:bookmarkStart w:id="10" w:name="_Toc158526219"/>
      <w:r w:rsidRPr="0065676E">
        <w:t xml:space="preserve">The intake form </w:t>
      </w:r>
      <w:r w:rsidR="00C46D36" w:rsidRPr="0065676E">
        <w:t xml:space="preserve">will </w:t>
      </w:r>
      <w:r w:rsidRPr="0065676E">
        <w:t xml:space="preserve">collect </w:t>
      </w:r>
      <w:r w:rsidR="00C46D36" w:rsidRPr="0065676E">
        <w:t xml:space="preserve">data </w:t>
      </w:r>
      <w:r w:rsidRPr="0065676E">
        <w:t xml:space="preserve">via a web-based interface and </w:t>
      </w:r>
      <w:r w:rsidR="002456E4" w:rsidRPr="0065676E">
        <w:t>a</w:t>
      </w:r>
      <w:r w:rsidR="00391792" w:rsidRPr="0065676E">
        <w:t xml:space="preserve"> toll-free</w:t>
      </w:r>
      <w:r w:rsidR="002456E4" w:rsidRPr="0065676E">
        <w:t xml:space="preserve"> </w:t>
      </w:r>
      <w:r w:rsidR="00391792" w:rsidRPr="0065676E">
        <w:t xml:space="preserve">telephone </w:t>
      </w:r>
      <w:r w:rsidR="002456E4" w:rsidRPr="0065676E">
        <w:t>number</w:t>
      </w:r>
      <w:r w:rsidRPr="0065676E">
        <w:t>.</w:t>
      </w:r>
    </w:p>
    <w:p w:rsidR="007C20F0" w:rsidRPr="0065676E" w:rsidRDefault="007C20F0" w:rsidP="007C20F0">
      <w:pPr>
        <w:pStyle w:val="Heading2"/>
        <w:spacing w:before="0" w:after="0"/>
        <w:rPr>
          <w:rFonts w:ascii="Times New Roman" w:hAnsi="Times New Roman" w:cs="Times New Roman"/>
          <w:sz w:val="24"/>
          <w:szCs w:val="24"/>
        </w:rPr>
      </w:pPr>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4. Efforts to Identify Duplication</w:t>
      </w:r>
      <w:bookmarkEnd w:id="9"/>
      <w:bookmarkEnd w:id="10"/>
    </w:p>
    <w:p w:rsidR="00277E7E" w:rsidRPr="0065676E" w:rsidRDefault="005956C0" w:rsidP="00277E7E">
      <w:pPr>
        <w:widowControl w:val="0"/>
        <w:autoSpaceDE w:val="0"/>
        <w:autoSpaceDN w:val="0"/>
        <w:adjustRightInd w:val="0"/>
      </w:pPr>
      <w:r w:rsidRPr="0065676E">
        <w:t>This type of</w:t>
      </w:r>
      <w:r w:rsidR="007945AC" w:rsidRPr="0065676E">
        <w:t xml:space="preserve"> </w:t>
      </w:r>
      <w:r w:rsidR="00EE67AD" w:rsidRPr="0065676E">
        <w:t>study</w:t>
      </w:r>
      <w:r w:rsidR="003934D2" w:rsidRPr="0065676E">
        <w:t xml:space="preserve"> </w:t>
      </w:r>
      <w:r w:rsidR="00C81F63" w:rsidRPr="0065676E">
        <w:t>has not been done before.</w:t>
      </w:r>
      <w:r w:rsidR="00BA2E5F" w:rsidRPr="0065676E">
        <w:t xml:space="preserve"> Weissman</w:t>
      </w:r>
      <w:r w:rsidR="003462BD" w:rsidRPr="0065676E">
        <w:t xml:space="preserve"> et al</w:t>
      </w:r>
      <w:r w:rsidR="003934D2" w:rsidRPr="0065676E">
        <w:t>.</w:t>
      </w:r>
      <w:r w:rsidR="003462BD" w:rsidRPr="0065676E">
        <w:t xml:space="preserve"> (</w:t>
      </w:r>
      <w:r w:rsidR="00BA2E5F" w:rsidRPr="0065676E">
        <w:t>2008</w:t>
      </w:r>
      <w:r w:rsidR="00244144" w:rsidRPr="0065676E">
        <w:t>)</w:t>
      </w:r>
      <w:r w:rsidR="00BA2E5F" w:rsidRPr="0065676E">
        <w:t xml:space="preserve"> examined consumer-reported patient safety events in </w:t>
      </w:r>
      <w:r w:rsidR="00564430" w:rsidRPr="0065676E">
        <w:t xml:space="preserve">the </w:t>
      </w:r>
      <w:r w:rsidR="00BA2E5F" w:rsidRPr="0065676E">
        <w:t>hospital</w:t>
      </w:r>
      <w:r w:rsidR="00564430" w:rsidRPr="0065676E">
        <w:t xml:space="preserve"> </w:t>
      </w:r>
      <w:r w:rsidR="00BA2E5F" w:rsidRPr="0065676E">
        <w:t>s</w:t>
      </w:r>
      <w:r w:rsidR="00564430" w:rsidRPr="0065676E">
        <w:t>etting</w:t>
      </w:r>
      <w:r w:rsidR="00BA2E5F" w:rsidRPr="0065676E">
        <w:t xml:space="preserve">. </w:t>
      </w:r>
      <w:r w:rsidR="00127D02" w:rsidRPr="0065676E">
        <w:t xml:space="preserve">Lipczak, et al. (2011) investigated cancer patient's reporting of safety events. </w:t>
      </w:r>
      <w:r w:rsidR="00BA2E5F" w:rsidRPr="0065676E">
        <w:t>Th</w:t>
      </w:r>
      <w:r w:rsidR="00C46D36" w:rsidRPr="0065676E">
        <w:t>e</w:t>
      </w:r>
      <w:r w:rsidR="00BA2E5F" w:rsidRPr="0065676E">
        <w:t xml:space="preserve"> </w:t>
      </w:r>
      <w:r w:rsidR="00564430" w:rsidRPr="0065676E">
        <w:t xml:space="preserve">current </w:t>
      </w:r>
      <w:r w:rsidR="00BA2E5F" w:rsidRPr="0065676E">
        <w:t xml:space="preserve">research </w:t>
      </w:r>
      <w:r w:rsidR="00E93F3E" w:rsidRPr="0065676E">
        <w:t xml:space="preserve">builds on prior studies </w:t>
      </w:r>
      <w:r w:rsidR="00C46D36" w:rsidRPr="0065676E">
        <w:t xml:space="preserve">by </w:t>
      </w:r>
      <w:r w:rsidR="00564430" w:rsidRPr="0065676E">
        <w:t>includ</w:t>
      </w:r>
      <w:r w:rsidR="00C46D36" w:rsidRPr="0065676E">
        <w:t>ing</w:t>
      </w:r>
      <w:r w:rsidR="00BA2E5F" w:rsidRPr="0065676E">
        <w:t xml:space="preserve"> all </w:t>
      </w:r>
      <w:r w:rsidR="002603FF" w:rsidRPr="0065676E">
        <w:t xml:space="preserve">types of </w:t>
      </w:r>
      <w:r w:rsidR="00127D02" w:rsidRPr="0065676E">
        <w:t xml:space="preserve">patients and </w:t>
      </w:r>
      <w:r w:rsidR="002603FF" w:rsidRPr="0065676E">
        <w:t>health care settings.</w:t>
      </w:r>
      <w:r w:rsidR="00277E7E" w:rsidRPr="0065676E">
        <w:t xml:space="preserve"> </w:t>
      </w:r>
    </w:p>
    <w:p w:rsidR="00277E7E" w:rsidRPr="0065676E" w:rsidRDefault="00277E7E" w:rsidP="00277E7E">
      <w:pPr>
        <w:widowControl w:val="0"/>
        <w:autoSpaceDE w:val="0"/>
        <w:autoSpaceDN w:val="0"/>
        <w:adjustRightInd w:val="0"/>
      </w:pPr>
    </w:p>
    <w:p w:rsidR="006C05A4" w:rsidRPr="0065676E" w:rsidRDefault="006C05A4" w:rsidP="006C05A4">
      <w:pPr>
        <w:widowControl w:val="0"/>
        <w:autoSpaceDE w:val="0"/>
        <w:autoSpaceDN w:val="0"/>
        <w:adjustRightInd w:val="0"/>
      </w:pPr>
      <w:r w:rsidRPr="0065676E">
        <w:t xml:space="preserve">In the U.S., there are no comparable community-based reporting systems for consumers, patients, family and caregivers to report the full range of safety issues that might occur during health care including adverse events, mistakes, near misses, or unsafe conditions. The U.S. Food and Drug Administration (FDA) MedWatch Online Voluntary Reporting Form focuses on reporting "serious adverse events for human medical products, including potential and actual product use errors and product quality problems associated with the use of: FDA-regulated drugs, biologics (including human cells, tissues, and cellular and tissue-based products), medical devices (including in vitro diagnostics), and special nutritional products and cosmetics".  The proposed system will enable consumers to report on adverse events, mistakes, near misses, unsafe conditions, or other safety issues that are not related specifically to drugs, biologics, and devices or that consumers do not recognize as related. Consumers who report events that might be related to drugs, biologics, medical devices, and special nutritional products and cosmetics could be encouraged by the proposed system to make a report to MedWatch.  </w:t>
      </w:r>
    </w:p>
    <w:p w:rsidR="007C20F0" w:rsidRPr="0065676E" w:rsidRDefault="007C20F0" w:rsidP="007C20F0">
      <w:pPr>
        <w:pStyle w:val="Heading2"/>
        <w:spacing w:before="0" w:after="0"/>
        <w:rPr>
          <w:rFonts w:ascii="Times New Roman" w:hAnsi="Times New Roman" w:cs="Times New Roman"/>
          <w:sz w:val="24"/>
          <w:szCs w:val="24"/>
        </w:rPr>
      </w:pPr>
      <w:bookmarkStart w:id="11" w:name="_Toc151782180"/>
      <w:bookmarkStart w:id="12" w:name="_Toc158526220"/>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5. Involvement of Small Entities</w:t>
      </w:r>
      <w:bookmarkEnd w:id="11"/>
      <w:bookmarkEnd w:id="12"/>
    </w:p>
    <w:p w:rsidR="00A3049E" w:rsidRPr="0065676E" w:rsidRDefault="00143006" w:rsidP="007C20F0">
      <w:r w:rsidRPr="0065676E">
        <w:t>I</w:t>
      </w:r>
      <w:r w:rsidR="00A3049E" w:rsidRPr="0065676E">
        <w:t xml:space="preserve">nformation being requested </w:t>
      </w:r>
      <w:r w:rsidRPr="0065676E">
        <w:t>from provider organizations</w:t>
      </w:r>
      <w:r w:rsidR="00A3049E" w:rsidRPr="0065676E">
        <w:t xml:space="preserve"> has been held to the absolute minimum required for the intended use. </w:t>
      </w:r>
    </w:p>
    <w:p w:rsidR="007C20F0" w:rsidRPr="0065676E" w:rsidRDefault="007C20F0" w:rsidP="007C20F0">
      <w:pPr>
        <w:pStyle w:val="Heading2"/>
        <w:spacing w:before="0" w:after="0"/>
        <w:rPr>
          <w:rFonts w:ascii="Times New Roman" w:hAnsi="Times New Roman" w:cs="Times New Roman"/>
          <w:sz w:val="24"/>
          <w:szCs w:val="24"/>
        </w:rPr>
      </w:pPr>
      <w:bookmarkStart w:id="13" w:name="_Toc151782181"/>
      <w:bookmarkStart w:id="14" w:name="_Toc158526221"/>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6. Consequences if Information Collected Less Frequently</w:t>
      </w:r>
      <w:bookmarkEnd w:id="13"/>
      <w:bookmarkEnd w:id="14"/>
    </w:p>
    <w:p w:rsidR="00F60488" w:rsidRPr="0065676E" w:rsidRDefault="002C6356" w:rsidP="007C20F0">
      <w:pPr>
        <w:rPr>
          <w:b/>
        </w:rPr>
      </w:pPr>
      <w:bookmarkStart w:id="15" w:name="_Toc151782182"/>
      <w:bookmarkStart w:id="16" w:name="_Toc158526222"/>
      <w:r w:rsidRPr="0065676E">
        <w:t xml:space="preserve">This is a one-time rolling data collection effort that will occur over </w:t>
      </w:r>
      <w:r w:rsidR="00391792" w:rsidRPr="0065676E">
        <w:t xml:space="preserve">a </w:t>
      </w:r>
      <w:r w:rsidR="009B5542" w:rsidRPr="0065676E">
        <w:t>two-</w:t>
      </w:r>
      <w:r w:rsidRPr="0065676E">
        <w:t>year period.</w:t>
      </w:r>
    </w:p>
    <w:p w:rsidR="007C20F0" w:rsidRPr="0065676E" w:rsidRDefault="007C20F0" w:rsidP="007C20F0">
      <w:pPr>
        <w:pStyle w:val="Heading2"/>
        <w:spacing w:before="0" w:after="0"/>
        <w:rPr>
          <w:rFonts w:ascii="Times New Roman" w:hAnsi="Times New Roman" w:cs="Times New Roman"/>
          <w:sz w:val="24"/>
          <w:szCs w:val="24"/>
        </w:rPr>
      </w:pPr>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7. Special Circumstances</w:t>
      </w:r>
      <w:bookmarkEnd w:id="15"/>
      <w:bookmarkEnd w:id="16"/>
    </w:p>
    <w:p w:rsidR="00CC06B5" w:rsidRPr="0065676E" w:rsidRDefault="00CC06B5" w:rsidP="007C20F0">
      <w:r w:rsidRPr="0065676E">
        <w:t xml:space="preserve">This request has special circumstances that are not </w:t>
      </w:r>
      <w:r w:rsidR="009B633D" w:rsidRPr="0065676E">
        <w:t xml:space="preserve">consistent with the general information collection guidelines of 5 CFR 1320.5(d)(2). </w:t>
      </w:r>
      <w:r w:rsidR="009A2878" w:rsidRPr="0065676E">
        <w:t>Namely, t</w:t>
      </w:r>
      <w:r w:rsidR="00C46D36" w:rsidRPr="0065676E">
        <w:t xml:space="preserve">he </w:t>
      </w:r>
      <w:r w:rsidR="00094ECB" w:rsidRPr="0065676E">
        <w:t>project is not a statistical survey</w:t>
      </w:r>
      <w:r w:rsidR="00604E70" w:rsidRPr="0065676E">
        <w:t xml:space="preserve">, but </w:t>
      </w:r>
      <w:r w:rsidR="00AE4A37" w:rsidRPr="0065676E">
        <w:t>rather a convenience sample</w:t>
      </w:r>
      <w:r w:rsidRPr="0065676E">
        <w:t xml:space="preserve"> </w:t>
      </w:r>
      <w:r w:rsidR="00AE4A37" w:rsidRPr="0065676E">
        <w:t xml:space="preserve">of adults who voluntarily report information. </w:t>
      </w:r>
      <w:r w:rsidRPr="0065676E">
        <w:t xml:space="preserve">The </w:t>
      </w:r>
      <w:r w:rsidR="009A2878" w:rsidRPr="0065676E">
        <w:t xml:space="preserve">information </w:t>
      </w:r>
      <w:r w:rsidRPr="0065676E">
        <w:t xml:space="preserve">collected </w:t>
      </w:r>
      <w:r w:rsidR="00E0193E" w:rsidRPr="0065676E">
        <w:t>do</w:t>
      </w:r>
      <w:r w:rsidR="009A2878" w:rsidRPr="0065676E">
        <w:t>es</w:t>
      </w:r>
      <w:r w:rsidR="00E0193E" w:rsidRPr="0065676E">
        <w:t xml:space="preserve"> </w:t>
      </w:r>
      <w:r w:rsidRPr="0065676E">
        <w:t xml:space="preserve">not provide </w:t>
      </w:r>
      <w:r w:rsidR="009676DA" w:rsidRPr="0065676E">
        <w:t>generalizable</w:t>
      </w:r>
      <w:r w:rsidRPr="0065676E">
        <w:t xml:space="preserve"> results</w:t>
      </w:r>
      <w:r w:rsidR="00C46D36" w:rsidRPr="0065676E">
        <w:t xml:space="preserve"> because </w:t>
      </w:r>
      <w:r w:rsidR="009A2878" w:rsidRPr="0065676E">
        <w:t>it</w:t>
      </w:r>
      <w:r w:rsidR="00C46D36" w:rsidRPr="0065676E">
        <w:t xml:space="preserve"> </w:t>
      </w:r>
      <w:r w:rsidR="00391792" w:rsidRPr="0065676E">
        <w:t>depend</w:t>
      </w:r>
      <w:r w:rsidR="009A2878" w:rsidRPr="0065676E">
        <w:t>s</w:t>
      </w:r>
      <w:r w:rsidR="00391792" w:rsidRPr="0065676E">
        <w:t xml:space="preserve"> on </w:t>
      </w:r>
      <w:r w:rsidRPr="0065676E">
        <w:t xml:space="preserve">voluntary </w:t>
      </w:r>
      <w:r w:rsidR="00391792" w:rsidRPr="0065676E">
        <w:t>responses</w:t>
      </w:r>
      <w:r w:rsidR="00C46D36" w:rsidRPr="0065676E">
        <w:t xml:space="preserve"> </w:t>
      </w:r>
      <w:r w:rsidR="000856CB" w:rsidRPr="0065676E">
        <w:t xml:space="preserve">from </w:t>
      </w:r>
      <w:r w:rsidR="00C46D36" w:rsidRPr="0065676E">
        <w:t>a non-systematic sample</w:t>
      </w:r>
      <w:r w:rsidRPr="0065676E">
        <w:t xml:space="preserve">. </w:t>
      </w:r>
      <w:r w:rsidR="000856CB" w:rsidRPr="0065676E">
        <w:t>S</w:t>
      </w:r>
      <w:r w:rsidRPr="0065676E">
        <w:t xml:space="preserve">uch a system is being piloted to understand the type and quantity of data that could be collected from consumers on the occurrence of patient safety events. These consumer reports will be </w:t>
      </w:r>
      <w:r w:rsidR="000856CB" w:rsidRPr="0065676E">
        <w:t xml:space="preserve">new information </w:t>
      </w:r>
      <w:r w:rsidRPr="0065676E">
        <w:t xml:space="preserve">(i.e. not collected through provider based reporting system) and therefore highly valuable, even if not fully generalizable. </w:t>
      </w:r>
    </w:p>
    <w:p w:rsidR="007C20F0" w:rsidRPr="0065676E" w:rsidRDefault="007C20F0" w:rsidP="007C20F0">
      <w:pPr>
        <w:pStyle w:val="Heading2"/>
        <w:spacing w:before="0" w:after="0"/>
        <w:rPr>
          <w:rFonts w:ascii="Times New Roman" w:hAnsi="Times New Roman" w:cs="Times New Roman"/>
          <w:sz w:val="24"/>
          <w:szCs w:val="24"/>
        </w:rPr>
      </w:pPr>
      <w:bookmarkStart w:id="17" w:name="_Toc151782183"/>
      <w:bookmarkStart w:id="18" w:name="_Toc158526223"/>
    </w:p>
    <w:p w:rsidR="004E3A1B"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 xml:space="preserve">8. </w:t>
      </w:r>
      <w:bookmarkEnd w:id="17"/>
      <w:bookmarkEnd w:id="18"/>
      <w:r w:rsidR="004E3A1B" w:rsidRPr="0065676E">
        <w:rPr>
          <w:rFonts w:ascii="Times New Roman" w:hAnsi="Times New Roman" w:cs="Times New Roman"/>
          <w:sz w:val="24"/>
          <w:szCs w:val="24"/>
        </w:rPr>
        <w:t>Federal Register Notice and Outside Consultations</w:t>
      </w:r>
    </w:p>
    <w:p w:rsidR="004E3A1B" w:rsidRPr="0065676E" w:rsidRDefault="004E3A1B" w:rsidP="007C20F0"/>
    <w:p w:rsidR="00131443" w:rsidRPr="0065676E" w:rsidRDefault="004E3A1B" w:rsidP="007C20F0">
      <w:pPr>
        <w:rPr>
          <w:b/>
          <w:bCs/>
          <w:i/>
          <w:iCs/>
        </w:rPr>
      </w:pPr>
      <w:r w:rsidRPr="0065676E">
        <w:rPr>
          <w:b/>
          <w:i/>
        </w:rPr>
        <w:lastRenderedPageBreak/>
        <w:t>8.a.</w:t>
      </w:r>
      <w:r w:rsidRPr="0065676E">
        <w:t xml:space="preserve"> </w:t>
      </w:r>
      <w:r w:rsidRPr="0065676E">
        <w:rPr>
          <w:b/>
          <w:bCs/>
          <w:i/>
          <w:iCs/>
        </w:rPr>
        <w:t>Federal Register Notice</w:t>
      </w:r>
    </w:p>
    <w:p w:rsidR="00B9456C" w:rsidRPr="0065676E" w:rsidRDefault="00A30D9A" w:rsidP="00B9456C">
      <w:bookmarkStart w:id="19" w:name="OLE_LINK3"/>
      <w:bookmarkStart w:id="20" w:name="OLE_LINK4"/>
      <w:r w:rsidRPr="0065676E">
        <w:t xml:space="preserve">As required by </w:t>
      </w:r>
      <w:r w:rsidR="0037771B" w:rsidRPr="0065676E">
        <w:t xml:space="preserve">5 CFR 1320.8(d), </w:t>
      </w:r>
      <w:proofErr w:type="gramStart"/>
      <w:r w:rsidR="0037771B" w:rsidRPr="0065676E">
        <w:t>n</w:t>
      </w:r>
      <w:r w:rsidR="009374DF" w:rsidRPr="0065676E">
        <w:t>otice was published in the Federal Register on</w:t>
      </w:r>
      <w:r w:rsidR="00F5667C">
        <w:t xml:space="preserve"> September 11</w:t>
      </w:r>
      <w:r w:rsidR="00F5667C" w:rsidRPr="00020D61">
        <w:rPr>
          <w:vertAlign w:val="superscript"/>
        </w:rPr>
        <w:t>th</w:t>
      </w:r>
      <w:r w:rsidR="00F5667C">
        <w:t>, 201</w:t>
      </w:r>
      <w:r w:rsidR="00701235">
        <w:t>2 for 60 days and again on June 6</w:t>
      </w:r>
      <w:r w:rsidR="00701235" w:rsidRPr="00701235">
        <w:rPr>
          <w:vertAlign w:val="superscript"/>
        </w:rPr>
        <w:t>th</w:t>
      </w:r>
      <w:r w:rsidR="00701235">
        <w:t>, 2013</w:t>
      </w:r>
      <w:r w:rsidR="00F5667C">
        <w:t xml:space="preserve"> for 30 days (see</w:t>
      </w:r>
      <w:proofErr w:type="gramEnd"/>
      <w:r w:rsidR="00F5667C">
        <w:t xml:space="preserve"> Attachment </w:t>
      </w:r>
      <w:r w:rsidR="008A0C22">
        <w:t>L</w:t>
      </w:r>
      <w:r w:rsidR="00F5667C">
        <w:t>)</w:t>
      </w:r>
      <w:r w:rsidR="008A0C22">
        <w:t>.</w:t>
      </w:r>
      <w:r w:rsidR="009374DF" w:rsidRPr="0065676E">
        <w:t xml:space="preserve"> </w:t>
      </w:r>
      <w:bookmarkEnd w:id="19"/>
      <w:bookmarkEnd w:id="20"/>
      <w:r w:rsidR="00F5667C">
        <w:t xml:space="preserve"> </w:t>
      </w:r>
      <w:r w:rsidR="00436654" w:rsidRPr="0065676E">
        <w:t>AHRQ received substantive comments from 45 members of the public</w:t>
      </w:r>
      <w:r w:rsidR="0099623D" w:rsidRPr="0065676E">
        <w:t>, some of which included supporting documentation</w:t>
      </w:r>
      <w:r w:rsidR="00D12C04">
        <w:t xml:space="preserve"> (See Attachment </w:t>
      </w:r>
      <w:r w:rsidR="00565D59">
        <w:t>I</w:t>
      </w:r>
      <w:r w:rsidR="00D12C04">
        <w:t>)</w:t>
      </w:r>
      <w:r w:rsidR="0099623D" w:rsidRPr="0065676E">
        <w:t xml:space="preserve">. The comments also included 64 personal stories. </w:t>
      </w:r>
      <w:r w:rsidR="00115C1F" w:rsidRPr="0065676E">
        <w:t xml:space="preserve"> These comments and personal stories raised </w:t>
      </w:r>
      <w:r w:rsidR="00B9456C" w:rsidRPr="0065676E">
        <w:t>37</w:t>
      </w:r>
      <w:r w:rsidR="00E02089" w:rsidRPr="0065676E">
        <w:t xml:space="preserve"> </w:t>
      </w:r>
      <w:r w:rsidR="00115C1F" w:rsidRPr="0065676E">
        <w:t>issues</w:t>
      </w:r>
      <w:r w:rsidR="00E02089" w:rsidRPr="0065676E">
        <w:t xml:space="preserve"> in the wording of the intake for</w:t>
      </w:r>
      <w:r w:rsidR="00115C1F" w:rsidRPr="0065676E">
        <w:t xml:space="preserve">m, two issues with wording in other supporting documentation to the intake form, and </w:t>
      </w:r>
      <w:r w:rsidR="00B9456C" w:rsidRPr="0065676E">
        <w:t>69</w:t>
      </w:r>
      <w:r w:rsidR="00EA0E55" w:rsidRPr="0065676E">
        <w:t xml:space="preserve"> individual design issues that we categorized into </w:t>
      </w:r>
      <w:r w:rsidR="0023076C" w:rsidRPr="0065676E">
        <w:t>18</w:t>
      </w:r>
      <w:r w:rsidR="00E4174F" w:rsidRPr="0065676E">
        <w:t xml:space="preserve"> types of design concerns</w:t>
      </w:r>
      <w:r w:rsidR="00E02089" w:rsidRPr="0065676E">
        <w:t>.</w:t>
      </w:r>
      <w:r w:rsidR="00B9456C" w:rsidRPr="0065676E">
        <w:t xml:space="preserve"> For the detailed listing of </w:t>
      </w:r>
      <w:r w:rsidR="00DD6335">
        <w:t>our revisions and responses to these</w:t>
      </w:r>
      <w:r w:rsidR="00DD6335" w:rsidRPr="0065676E">
        <w:t xml:space="preserve"> </w:t>
      </w:r>
      <w:r w:rsidR="00652099" w:rsidRPr="0065676E">
        <w:t xml:space="preserve">public </w:t>
      </w:r>
      <w:r w:rsidR="00B9456C" w:rsidRPr="0065676E">
        <w:t>comm</w:t>
      </w:r>
      <w:r w:rsidR="001E0DBE" w:rsidRPr="0065676E">
        <w:t>ents</w:t>
      </w:r>
      <w:r w:rsidR="00652099" w:rsidRPr="0065676E">
        <w:t xml:space="preserve">, </w:t>
      </w:r>
      <w:r w:rsidR="00DD6335">
        <w:t xml:space="preserve">please </w:t>
      </w:r>
      <w:r w:rsidR="001E0DBE" w:rsidRPr="0065676E">
        <w:t xml:space="preserve">refer </w:t>
      </w:r>
      <w:r w:rsidR="00DD6335">
        <w:t xml:space="preserve">to </w:t>
      </w:r>
      <w:r w:rsidR="001E0DBE" w:rsidRPr="0065676E">
        <w:t xml:space="preserve">Attachment </w:t>
      </w:r>
      <w:r w:rsidR="00565D59">
        <w:t>H</w:t>
      </w:r>
      <w:r w:rsidR="00B9456C" w:rsidRPr="0065676E">
        <w:t>.</w:t>
      </w:r>
    </w:p>
    <w:p w:rsidR="00986BE1" w:rsidRPr="00BC2F34" w:rsidRDefault="00986BE1" w:rsidP="00986BE1"/>
    <w:p w:rsidR="009B633D" w:rsidRPr="0065676E" w:rsidRDefault="004E3A1B"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8.b.  Outside Consultations</w:t>
      </w:r>
    </w:p>
    <w:p w:rsidR="00407BA5" w:rsidRPr="0065676E" w:rsidRDefault="00407BA5" w:rsidP="007C20F0">
      <w:bookmarkStart w:id="21" w:name="_Toc457285506"/>
      <w:bookmarkStart w:id="22" w:name="_Toc58725294"/>
      <w:bookmarkStart w:id="23" w:name="_Toc151782184"/>
      <w:bookmarkStart w:id="24" w:name="_Toc158526224"/>
      <w:r w:rsidRPr="0065676E">
        <w:t>Five sources informed the development of the intake form: (1) a previous survey instrument previously developed and tested by Drs. Schneider, Weissman, and Weingart</w:t>
      </w:r>
      <w:r w:rsidR="008C487B" w:rsidRPr="0065676E">
        <w:t xml:space="preserve"> (Weissman et al</w:t>
      </w:r>
      <w:r w:rsidR="00E10546" w:rsidRPr="0065676E">
        <w:t>.</w:t>
      </w:r>
      <w:r w:rsidR="008C487B" w:rsidRPr="0065676E">
        <w:t>, 2008);</w:t>
      </w:r>
      <w:r w:rsidRPr="0065676E">
        <w:t xml:space="preserve"> (2) reporting forms summarized in the RTI </w:t>
      </w:r>
      <w:r w:rsidR="00391792" w:rsidRPr="0065676E">
        <w:t xml:space="preserve">(2010) </w:t>
      </w:r>
      <w:r w:rsidRPr="0065676E">
        <w:t>report and others identified at the start of the project</w:t>
      </w:r>
      <w:r w:rsidR="00AF4A25" w:rsidRPr="0065676E">
        <w:t>;</w:t>
      </w:r>
      <w:r w:rsidRPr="0065676E">
        <w:t xml:space="preserve"> (3) the domains and forms previously described by the IOM and ARHQ (I</w:t>
      </w:r>
      <w:r w:rsidR="00E10546" w:rsidRPr="0065676E">
        <w:t>nstitute of Medicine</w:t>
      </w:r>
      <w:r w:rsidRPr="0065676E">
        <w:t>, 2003; AHRQ, 2010)</w:t>
      </w:r>
      <w:r w:rsidR="00AF4A25" w:rsidRPr="0065676E">
        <w:t xml:space="preserve">; </w:t>
      </w:r>
      <w:r w:rsidRPr="0065676E">
        <w:t>4) two focus groups (one in English and one in Spanish) held in December 2011 and cognitive interviews conducted in March 2012</w:t>
      </w:r>
      <w:r w:rsidR="000856CB" w:rsidRPr="0065676E">
        <w:t>;</w:t>
      </w:r>
      <w:r w:rsidRPr="0065676E">
        <w:t xml:space="preserve"> and (5) advice and insight from a Technical Expert Panel</w:t>
      </w:r>
      <w:r w:rsidR="00AF4A25" w:rsidRPr="0065676E">
        <w:t xml:space="preserve"> (Schneider and Jones, 2012</w:t>
      </w:r>
      <w:r w:rsidR="00015DDE" w:rsidRPr="0065676E">
        <w:t>)</w:t>
      </w:r>
      <w:r w:rsidRPr="0065676E">
        <w:t xml:space="preserve">. The focus group and cognitive interviews were critical because consumers did not necessarily recognize the AHRQ common formats. For example, consumers may initially </w:t>
      </w:r>
      <w:r w:rsidR="000856CB" w:rsidRPr="0065676E">
        <w:t xml:space="preserve">consider </w:t>
      </w:r>
      <w:r w:rsidRPr="0065676E">
        <w:t xml:space="preserve">safety occurrences </w:t>
      </w:r>
      <w:r w:rsidR="000856CB" w:rsidRPr="0065676E">
        <w:t xml:space="preserve">the same </w:t>
      </w:r>
      <w:r w:rsidRPr="0065676E">
        <w:t>as “complications,” “negative effects,” or “</w:t>
      </w:r>
      <w:r w:rsidR="000856CB" w:rsidRPr="0065676E">
        <w:t xml:space="preserve">unexpected </w:t>
      </w:r>
      <w:r w:rsidRPr="0065676E">
        <w:t>after effects</w:t>
      </w:r>
      <w:r w:rsidR="000856CB" w:rsidRPr="0065676E">
        <w:t>.</w:t>
      </w:r>
      <w:r w:rsidRPr="0065676E">
        <w:t xml:space="preserve">” </w:t>
      </w:r>
    </w:p>
    <w:p w:rsidR="007C20F0" w:rsidRPr="0065676E" w:rsidRDefault="007C20F0" w:rsidP="007C20F0">
      <w:pPr>
        <w:pStyle w:val="Heading2"/>
        <w:spacing w:before="0" w:after="0"/>
        <w:rPr>
          <w:rFonts w:ascii="Times New Roman" w:hAnsi="Times New Roman" w:cs="Times New Roman"/>
          <w:sz w:val="24"/>
          <w:szCs w:val="24"/>
        </w:rPr>
      </w:pPr>
    </w:p>
    <w:p w:rsidR="0038217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9. Payments/Gifts to Respondents</w:t>
      </w:r>
      <w:bookmarkEnd w:id="21"/>
      <w:bookmarkEnd w:id="22"/>
      <w:bookmarkEnd w:id="23"/>
      <w:bookmarkEnd w:id="24"/>
    </w:p>
    <w:p w:rsidR="00D21FD7" w:rsidRPr="0065676E" w:rsidRDefault="00D21FD7" w:rsidP="007C20F0">
      <w:pPr>
        <w:jc w:val="both"/>
      </w:pPr>
      <w:r w:rsidRPr="0065676E">
        <w:t xml:space="preserve">No payments or gifts will be provided to the pilot community partners or </w:t>
      </w:r>
      <w:r w:rsidR="00FE653D" w:rsidRPr="0065676E">
        <w:t>to anyone reporting</w:t>
      </w:r>
      <w:r w:rsidRPr="0065676E">
        <w:t xml:space="preserve"> </w:t>
      </w:r>
      <w:r w:rsidR="00FA7209" w:rsidRPr="0065676E">
        <w:t>information</w:t>
      </w:r>
      <w:r w:rsidR="000856CB" w:rsidRPr="0065676E">
        <w:t>.</w:t>
      </w:r>
      <w:r w:rsidR="00FA7209" w:rsidRPr="0065676E">
        <w:t xml:space="preserve"> </w:t>
      </w:r>
    </w:p>
    <w:p w:rsidR="007C20F0" w:rsidRPr="0065676E" w:rsidRDefault="007C20F0" w:rsidP="007C20F0">
      <w:pPr>
        <w:pStyle w:val="Heading2"/>
        <w:spacing w:before="0" w:after="0"/>
        <w:rPr>
          <w:rFonts w:ascii="Times New Roman" w:hAnsi="Times New Roman" w:cs="Times New Roman"/>
          <w:sz w:val="24"/>
          <w:szCs w:val="24"/>
        </w:rPr>
      </w:pPr>
      <w:bookmarkStart w:id="25" w:name="_Toc151782185"/>
      <w:bookmarkStart w:id="26" w:name="_Toc158526225"/>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10. Assurance of Confidentiality</w:t>
      </w:r>
      <w:bookmarkEnd w:id="25"/>
      <w:bookmarkEnd w:id="26"/>
    </w:p>
    <w:p w:rsidR="008F0B8B" w:rsidRPr="0065676E" w:rsidRDefault="00E10546" w:rsidP="007C20F0">
      <w:pPr>
        <w:autoSpaceDE w:val="0"/>
        <w:autoSpaceDN w:val="0"/>
        <w:adjustRightInd w:val="0"/>
      </w:pPr>
      <w:r w:rsidRPr="0065676E">
        <w:t>Respondents will be informed that all information will be kept strictly confidential and no respondent or organization will ever be named (see Attachment C, CRSPS FAQs information sheet).</w:t>
      </w:r>
      <w:r w:rsidR="00D519F9" w:rsidRPr="0065676E">
        <w:t xml:space="preserve"> </w:t>
      </w:r>
      <w:r w:rsidR="008F0B8B" w:rsidRPr="0065676E">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8F0B8B" w:rsidRPr="0065676E" w:rsidRDefault="008F0B8B" w:rsidP="007C20F0">
      <w:pPr>
        <w:autoSpaceDE w:val="0"/>
        <w:autoSpaceDN w:val="0"/>
        <w:adjustRightInd w:val="0"/>
      </w:pPr>
    </w:p>
    <w:p w:rsidR="00917243" w:rsidRPr="0065676E" w:rsidRDefault="00917243" w:rsidP="007C20F0">
      <w:r w:rsidRPr="0065676E">
        <w:t>Individuals and organizations contacted will be further assured of the confidentiality of their replies under 42 U.S.C. 1306, and 20 CFR 401 and 4225 U.S.C.552a (Privacy Act of 1974).  In instances where respondent identity is needed, the information collection will fully comply with all respects of the Privacy Act.</w:t>
      </w:r>
      <w:r w:rsidR="00E10546" w:rsidRPr="0065676E">
        <w:t xml:space="preserve"> </w:t>
      </w:r>
    </w:p>
    <w:p w:rsidR="00917243" w:rsidRPr="0065676E" w:rsidRDefault="00917243" w:rsidP="007C20F0"/>
    <w:p w:rsidR="007208E0" w:rsidRPr="0065676E" w:rsidRDefault="00A50A06" w:rsidP="007C20F0">
      <w:r w:rsidRPr="0065676E">
        <w:t xml:space="preserve">Any information collected via telephone will ensure that both parties are in a private setting so that the call cannot be overheard. Any data collected with personal identifiers will have the personal identifiers removed during the auditing process including the scrubbing of all text fields for any references to provider names or patient names. The identifiable information will be kept in a separate database that links to the analysis files via a unique </w:t>
      </w:r>
      <w:r w:rsidRPr="0065676E">
        <w:lastRenderedPageBreak/>
        <w:t xml:space="preserve">report number. The identifiable information and linking files will be stored with password protection. </w:t>
      </w:r>
      <w:r w:rsidR="00917243" w:rsidRPr="0065676E">
        <w:t xml:space="preserve">The responses will be aggregated with those of other respondents before any information is reported to any other party outside of the research team.  </w:t>
      </w:r>
    </w:p>
    <w:p w:rsidR="007C20F0" w:rsidRPr="0065676E" w:rsidRDefault="007C20F0" w:rsidP="007C20F0">
      <w:pPr>
        <w:pStyle w:val="Heading2"/>
        <w:spacing w:before="0" w:after="0"/>
        <w:rPr>
          <w:rFonts w:ascii="Times New Roman" w:hAnsi="Times New Roman" w:cs="Times New Roman"/>
          <w:sz w:val="24"/>
          <w:szCs w:val="24"/>
        </w:rPr>
      </w:pPr>
      <w:bookmarkStart w:id="27" w:name="_Toc151782186"/>
      <w:bookmarkStart w:id="28" w:name="_Toc158526226"/>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11. Questions of a Sensitive Nature</w:t>
      </w:r>
      <w:bookmarkEnd w:id="27"/>
      <w:bookmarkEnd w:id="28"/>
    </w:p>
    <w:p w:rsidR="00673259" w:rsidRPr="00EE1220" w:rsidRDefault="005E48DA" w:rsidP="007C20F0">
      <w:r w:rsidRPr="0065676E">
        <w:t>R</w:t>
      </w:r>
      <w:r w:rsidR="00E43892" w:rsidRPr="0065676E">
        <w:t xml:space="preserve">espondents </w:t>
      </w:r>
      <w:r w:rsidRPr="0065676E">
        <w:t xml:space="preserve">will be asked </w:t>
      </w:r>
      <w:r w:rsidR="00E43892" w:rsidRPr="0065676E">
        <w:t xml:space="preserve">if they consent to answer </w:t>
      </w:r>
      <w:r w:rsidR="00D519F9" w:rsidRPr="0065676E">
        <w:t xml:space="preserve">several </w:t>
      </w:r>
      <w:r w:rsidR="00E43892" w:rsidRPr="0065676E">
        <w:t xml:space="preserve">questions of a </w:t>
      </w:r>
      <w:r w:rsidR="004B4BE7" w:rsidRPr="0065676E">
        <w:t>sensitive</w:t>
      </w:r>
      <w:r w:rsidR="00E43892" w:rsidRPr="0065676E">
        <w:t xml:space="preserve"> nature. First, i</w:t>
      </w:r>
      <w:r w:rsidR="009E6B81" w:rsidRPr="0065676E">
        <w:t>f th</w:t>
      </w:r>
      <w:r w:rsidRPr="0065676E">
        <w:t>e respondent</w:t>
      </w:r>
      <w:r w:rsidR="00FC6343" w:rsidRPr="0065676E">
        <w:t xml:space="preserve"> consent</w:t>
      </w:r>
      <w:r w:rsidRPr="0065676E">
        <w:t>s, the system</w:t>
      </w:r>
      <w:r w:rsidR="00FC6343" w:rsidRPr="0065676E">
        <w:t xml:space="preserve"> will </w:t>
      </w:r>
      <w:r w:rsidR="00FA7209" w:rsidRPr="0065676E">
        <w:t>record</w:t>
      </w:r>
      <w:r w:rsidR="00FC6343" w:rsidRPr="0065676E">
        <w:t xml:space="preserve"> the names and </w:t>
      </w:r>
      <w:r w:rsidR="00FE653D" w:rsidRPr="0065676E">
        <w:t>addresses</w:t>
      </w:r>
      <w:r w:rsidR="00FC6343" w:rsidRPr="0065676E">
        <w:t xml:space="preserve"> of the</w:t>
      </w:r>
      <w:r w:rsidR="009E6B81" w:rsidRPr="0065676E">
        <w:t xml:space="preserve"> </w:t>
      </w:r>
      <w:r w:rsidR="00FC6343" w:rsidRPr="0065676E">
        <w:t xml:space="preserve">doctor, nurse, or other health care provider or facility involved in the patient safety </w:t>
      </w:r>
      <w:r w:rsidR="00A50A06" w:rsidRPr="0065676E">
        <w:t>event</w:t>
      </w:r>
      <w:r w:rsidR="00FC6343" w:rsidRPr="0065676E">
        <w:t>.</w:t>
      </w:r>
      <w:r w:rsidR="00CB5089" w:rsidRPr="0065676E">
        <w:t xml:space="preserve"> </w:t>
      </w:r>
      <w:r w:rsidR="00022C66" w:rsidRPr="0065676E">
        <w:t xml:space="preserve">Second, the system </w:t>
      </w:r>
      <w:r w:rsidR="00083CE7" w:rsidRPr="0065676E">
        <w:t>ask</w:t>
      </w:r>
      <w:r w:rsidR="00022C66" w:rsidRPr="0065676E">
        <w:t>s</w:t>
      </w:r>
      <w:r w:rsidR="00083CE7" w:rsidRPr="0065676E">
        <w:t xml:space="preserve"> whether the respondent</w:t>
      </w:r>
      <w:r w:rsidR="00CB5089" w:rsidRPr="0065676E">
        <w:t xml:space="preserve"> give</w:t>
      </w:r>
      <w:r w:rsidR="00083CE7" w:rsidRPr="0065676E">
        <w:t>s</w:t>
      </w:r>
      <w:r w:rsidR="00CB5089" w:rsidRPr="0065676E">
        <w:t xml:space="preserve"> permission for the CRSPS staff to share their report with </w:t>
      </w:r>
      <w:r w:rsidR="00FA7209" w:rsidRPr="0065676E">
        <w:t xml:space="preserve">the </w:t>
      </w:r>
      <w:r w:rsidR="00CB5089" w:rsidRPr="0065676E">
        <w:t xml:space="preserve">doctor, nurse, or other health care provider that was involved </w:t>
      </w:r>
      <w:r w:rsidR="004A0B19">
        <w:t xml:space="preserve">in </w:t>
      </w:r>
      <w:r w:rsidR="00CB5089" w:rsidRPr="0065676E">
        <w:t xml:space="preserve">the </w:t>
      </w:r>
      <w:r w:rsidR="00A50A06" w:rsidRPr="0065676E">
        <w:t>event</w:t>
      </w:r>
      <w:r w:rsidR="00CB5089" w:rsidRPr="0065676E">
        <w:t xml:space="preserve">. </w:t>
      </w:r>
      <w:r w:rsidR="00022C66" w:rsidRPr="0065676E">
        <w:t>The</w:t>
      </w:r>
      <w:r w:rsidR="00E65331" w:rsidRPr="0065676E">
        <w:t xml:space="preserve"> respondent </w:t>
      </w:r>
      <w:r w:rsidR="00022C66" w:rsidRPr="0065676E">
        <w:t xml:space="preserve">has </w:t>
      </w:r>
      <w:r w:rsidR="00E65331" w:rsidRPr="0065676E">
        <w:t xml:space="preserve">the option of sharing their report with or without their name. </w:t>
      </w:r>
      <w:r w:rsidR="00083CE7" w:rsidRPr="00EE1220">
        <w:t xml:space="preserve">This sensitive information is </w:t>
      </w:r>
      <w:r w:rsidR="00E0193E" w:rsidRPr="00BC2F34">
        <w:t xml:space="preserve">necessary </w:t>
      </w:r>
      <w:r w:rsidR="00FA7209" w:rsidRPr="00B35BAA">
        <w:t xml:space="preserve">for </w:t>
      </w:r>
      <w:r w:rsidR="00083CE7" w:rsidRPr="00B35BAA">
        <w:t>match</w:t>
      </w:r>
      <w:r w:rsidR="00FA7209" w:rsidRPr="0065676E">
        <w:t>ing the</w:t>
      </w:r>
      <w:r w:rsidR="00083CE7" w:rsidRPr="0065676E">
        <w:t xml:space="preserve"> consumer-reported </w:t>
      </w:r>
      <w:r w:rsidR="00A50A06" w:rsidRPr="0065676E">
        <w:t xml:space="preserve">event </w:t>
      </w:r>
      <w:r w:rsidR="00FA7209" w:rsidRPr="0065676E">
        <w:t xml:space="preserve">to the </w:t>
      </w:r>
      <w:r w:rsidR="00083CE7" w:rsidRPr="0065676E">
        <w:t>provider</w:t>
      </w:r>
      <w:r w:rsidR="00CE6A8C" w:rsidRPr="0065676E">
        <w:t>'s records of the</w:t>
      </w:r>
      <w:r w:rsidR="00083CE7" w:rsidRPr="0065676E">
        <w:t xml:space="preserve"> incident. </w:t>
      </w:r>
      <w:r w:rsidR="00CD0ED2" w:rsidRPr="0065676E">
        <w:t xml:space="preserve">Third, </w:t>
      </w:r>
      <w:r w:rsidR="00022C66" w:rsidRPr="0065676E">
        <w:t xml:space="preserve">the respondent is asked whether they are </w:t>
      </w:r>
      <w:r w:rsidR="002D5082" w:rsidRPr="0065676E">
        <w:t xml:space="preserve">willing to share </w:t>
      </w:r>
      <w:r w:rsidR="00CD0ED2" w:rsidRPr="0065676E">
        <w:t xml:space="preserve">additional </w:t>
      </w:r>
      <w:r w:rsidR="002D5082" w:rsidRPr="0065676E">
        <w:t>details about their saf</w:t>
      </w:r>
      <w:r w:rsidR="00F258E1" w:rsidRPr="0065676E">
        <w:t>e</w:t>
      </w:r>
      <w:r w:rsidR="002D5082" w:rsidRPr="0065676E">
        <w:t>ty concern</w:t>
      </w:r>
      <w:r w:rsidR="00F258E1" w:rsidRPr="0065676E">
        <w:t xml:space="preserve"> via telephone</w:t>
      </w:r>
      <w:r w:rsidR="002D5082" w:rsidRPr="0065676E">
        <w:t xml:space="preserve">. </w:t>
      </w:r>
      <w:r w:rsidR="00CD0ED2" w:rsidRPr="0065676E">
        <w:t xml:space="preserve">This </w:t>
      </w:r>
      <w:r w:rsidR="00A50A06" w:rsidRPr="0065676E">
        <w:t xml:space="preserve">follow-up </w:t>
      </w:r>
      <w:r w:rsidR="00CD0ED2" w:rsidRPr="0065676E">
        <w:t xml:space="preserve">is </w:t>
      </w:r>
      <w:r w:rsidR="00E0193E" w:rsidRPr="0065676E">
        <w:t xml:space="preserve">necessary </w:t>
      </w:r>
      <w:r w:rsidR="00CD0ED2" w:rsidRPr="0065676E">
        <w:t xml:space="preserve">in </w:t>
      </w:r>
      <w:r w:rsidR="00A50A06" w:rsidRPr="0065676E">
        <w:t xml:space="preserve">the </w:t>
      </w:r>
      <w:r w:rsidR="00CD0ED2" w:rsidRPr="0065676E">
        <w:t xml:space="preserve">case </w:t>
      </w:r>
      <w:r w:rsidR="00A50A06" w:rsidRPr="0065676E">
        <w:t xml:space="preserve">of </w:t>
      </w:r>
      <w:r w:rsidR="00CD0ED2" w:rsidRPr="0065676E">
        <w:t xml:space="preserve">inconsistencies </w:t>
      </w:r>
      <w:r w:rsidR="009E2AAB" w:rsidRPr="0065676E">
        <w:t>across</w:t>
      </w:r>
      <w:r w:rsidR="00CD0ED2" w:rsidRPr="0065676E">
        <w:t xml:space="preserve"> </w:t>
      </w:r>
      <w:r w:rsidR="00232037" w:rsidRPr="0065676E">
        <w:t xml:space="preserve">the patient’s </w:t>
      </w:r>
      <w:r w:rsidR="00CD0ED2" w:rsidRPr="0065676E">
        <w:t xml:space="preserve">responses that </w:t>
      </w:r>
      <w:r w:rsidR="009E2AAB" w:rsidRPr="0065676E">
        <w:t xml:space="preserve">require clarification. </w:t>
      </w:r>
    </w:p>
    <w:p w:rsidR="007C20F0" w:rsidRPr="00BC2F34" w:rsidRDefault="007C20F0" w:rsidP="007C20F0">
      <w:pPr>
        <w:pStyle w:val="Heading2"/>
        <w:spacing w:before="0" w:after="0"/>
        <w:rPr>
          <w:rFonts w:ascii="Times New Roman" w:hAnsi="Times New Roman" w:cs="Times New Roman"/>
          <w:sz w:val="24"/>
          <w:szCs w:val="24"/>
        </w:rPr>
      </w:pPr>
      <w:bookmarkStart w:id="29" w:name="_Toc151782187"/>
      <w:bookmarkStart w:id="30" w:name="_Toc158526227"/>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12. Estimates of Annualized Burden Hours and Costs</w:t>
      </w:r>
      <w:bookmarkEnd w:id="29"/>
      <w:bookmarkEnd w:id="30"/>
    </w:p>
    <w:p w:rsidR="00CF29AE" w:rsidRPr="0065676E" w:rsidRDefault="00345F1D" w:rsidP="007C20F0">
      <w:pPr>
        <w:keepLines/>
        <w:rPr>
          <w:bCs/>
        </w:rPr>
      </w:pPr>
      <w:r w:rsidRPr="0065676E">
        <w:rPr>
          <w:bCs/>
        </w:rPr>
        <w:t xml:space="preserve">Exhibit 1 shows the estimated annualized burden hours for respondents' time to participate in this information collection based on the expected number of respondents, 840 to the intake form and 84 to the provider follow up. The number of respondents is based on the size of the selected community, estimates of health care utilization, rates of adverse events, and response rates in similar investigations. The intake form is expected to maximally require 25 minutes via the web or telephone </w:t>
      </w:r>
      <w:r w:rsidR="008F46E5">
        <w:rPr>
          <w:bCs/>
        </w:rPr>
        <w:t>plus</w:t>
      </w:r>
      <w:r w:rsidR="008F46E5" w:rsidRPr="0065676E">
        <w:rPr>
          <w:bCs/>
        </w:rPr>
        <w:t xml:space="preserve"> </w:t>
      </w:r>
      <w:r w:rsidR="008F46E5">
        <w:rPr>
          <w:bCs/>
        </w:rPr>
        <w:t>an</w:t>
      </w:r>
      <w:r w:rsidRPr="0065676E">
        <w:rPr>
          <w:bCs/>
        </w:rPr>
        <w:t xml:space="preserve"> optional 10 minutes of follow-up questions, resulting in a total burden of 490 hours. The health care provider follow up is expected to take 20 minutes and only occurs for the estimated 10% of patients consenting; this form carries a total burden of 28 hours. The total burden is 518 hours annually.</w:t>
      </w:r>
    </w:p>
    <w:p w:rsidR="009B4420" w:rsidRDefault="009B4420" w:rsidP="007C20F0">
      <w:pPr>
        <w:keepLines/>
        <w:rPr>
          <w:b/>
          <w:bCs/>
        </w:rPr>
      </w:pPr>
    </w:p>
    <w:p w:rsidR="003538DF" w:rsidRPr="0065676E" w:rsidRDefault="003538DF" w:rsidP="007C20F0">
      <w:pPr>
        <w:keepLines/>
        <w:rPr>
          <w:b/>
          <w:bCs/>
        </w:rPr>
      </w:pPr>
    </w:p>
    <w:p w:rsidR="00CF29AE" w:rsidRPr="0065676E" w:rsidRDefault="00CF29AE" w:rsidP="007C20F0">
      <w:pPr>
        <w:rPr>
          <w:b/>
          <w:bCs/>
        </w:rPr>
      </w:pPr>
      <w:r w:rsidRPr="0065676E">
        <w:rPr>
          <w:b/>
          <w:bCs/>
        </w:rPr>
        <w:t>Exhibit 1.  Estimated annualized burden hours</w:t>
      </w:r>
    </w:p>
    <w:tbl>
      <w:tblPr>
        <w:tblW w:w="0" w:type="auto"/>
        <w:tblCellMar>
          <w:left w:w="0" w:type="dxa"/>
          <w:right w:w="0" w:type="dxa"/>
        </w:tblCellMar>
        <w:tblLook w:val="0000"/>
      </w:tblPr>
      <w:tblGrid>
        <w:gridCol w:w="3258"/>
        <w:gridCol w:w="1457"/>
        <w:gridCol w:w="1693"/>
        <w:gridCol w:w="1170"/>
        <w:gridCol w:w="1190"/>
      </w:tblGrid>
      <w:tr w:rsidR="00CF29AE" w:rsidRPr="0065676E" w:rsidTr="00CF29AE">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1D5559" w:rsidRDefault="00CF29AE" w:rsidP="007C20F0">
            <w:pPr>
              <w:rPr>
                <w:b/>
                <w:bCs/>
              </w:rPr>
            </w:pPr>
            <w:r w:rsidRPr="001D5559">
              <w:rPr>
                <w:b/>
                <w:bCs/>
              </w:rPr>
              <w:t>Form Name</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BC2F34" w:rsidRDefault="00CF29AE" w:rsidP="007C20F0">
            <w:pPr>
              <w:jc w:val="center"/>
              <w:rPr>
                <w:b/>
                <w:bCs/>
              </w:rPr>
            </w:pPr>
            <w:r w:rsidRPr="00BC2F34">
              <w:rPr>
                <w:b/>
                <w:bCs/>
              </w:rPr>
              <w:t>Number of respondents</w:t>
            </w:r>
          </w:p>
        </w:tc>
        <w:tc>
          <w:tcPr>
            <w:tcW w:w="16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BC2F34" w:rsidRDefault="00CF29AE" w:rsidP="007C20F0">
            <w:pPr>
              <w:jc w:val="center"/>
              <w:rPr>
                <w:b/>
                <w:bCs/>
              </w:rPr>
            </w:pPr>
            <w:r w:rsidRPr="00BC2F34">
              <w:rPr>
                <w:b/>
                <w:bCs/>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CF29AE" w:rsidRPr="0065676E" w:rsidRDefault="00CF29AE" w:rsidP="007C20F0">
            <w:pPr>
              <w:jc w:val="center"/>
              <w:rPr>
                <w:b/>
                <w:bCs/>
              </w:rPr>
            </w:pPr>
            <w:r w:rsidRPr="0065676E">
              <w:rPr>
                <w:b/>
                <w:bCs/>
              </w:rPr>
              <w:t>Hours per response</w:t>
            </w:r>
          </w:p>
        </w:tc>
        <w:tc>
          <w:tcPr>
            <w:tcW w:w="11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F29AE" w:rsidP="007C20F0">
            <w:pPr>
              <w:jc w:val="center"/>
              <w:rPr>
                <w:b/>
                <w:bCs/>
              </w:rPr>
            </w:pPr>
            <w:r w:rsidRPr="0065676E">
              <w:rPr>
                <w:b/>
                <w:bCs/>
              </w:rPr>
              <w:t>Total burden hours</w:t>
            </w:r>
          </w:p>
        </w:tc>
      </w:tr>
      <w:tr w:rsidR="00CF29AE" w:rsidRPr="0065676E" w:rsidTr="00CF29AE">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F29AE" w:rsidP="007C20F0">
            <w:pPr>
              <w:rPr>
                <w:bCs/>
              </w:rPr>
            </w:pPr>
            <w:r w:rsidRPr="0065676E">
              <w:rPr>
                <w:bCs/>
              </w:rPr>
              <w:t>Safety event intake form</w:t>
            </w:r>
            <w:r w:rsidR="00BC2CDB" w:rsidRPr="0065676E">
              <w:rPr>
                <w:bCs/>
              </w:rPr>
              <w:t xml:space="preserve"> and follow</w:t>
            </w:r>
            <w:r w:rsidR="005110A6" w:rsidRPr="0065676E">
              <w:rPr>
                <w:bCs/>
              </w:rPr>
              <w:t xml:space="preserve"> </w:t>
            </w:r>
            <w:r w:rsidR="00BC2CDB" w:rsidRPr="0065676E">
              <w:rPr>
                <w:bCs/>
              </w:rPr>
              <w:t>up</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621AA" w:rsidP="007C20F0">
            <w:pPr>
              <w:jc w:val="center"/>
              <w:rPr>
                <w:bCs/>
              </w:rPr>
            </w:pPr>
            <w:r w:rsidRPr="0065676E">
              <w:rPr>
                <w:bCs/>
              </w:rPr>
              <w:t>840</w:t>
            </w:r>
          </w:p>
        </w:tc>
        <w:tc>
          <w:tcPr>
            <w:tcW w:w="1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F29AE" w:rsidP="007C20F0">
            <w:pPr>
              <w:jc w:val="center"/>
              <w:rPr>
                <w:bCs/>
              </w:rPr>
            </w:pPr>
            <w:r w:rsidRPr="0065676E">
              <w:rPr>
                <w:bCs/>
              </w:rPr>
              <w:t>1</w:t>
            </w:r>
          </w:p>
        </w:tc>
        <w:tc>
          <w:tcPr>
            <w:tcW w:w="1170" w:type="dxa"/>
            <w:tcBorders>
              <w:top w:val="nil"/>
              <w:left w:val="nil"/>
              <w:bottom w:val="single" w:sz="8" w:space="0" w:color="auto"/>
              <w:right w:val="single" w:sz="8" w:space="0" w:color="auto"/>
            </w:tcBorders>
            <w:vAlign w:val="center"/>
          </w:tcPr>
          <w:p w:rsidR="00CF29AE" w:rsidRPr="0065676E" w:rsidRDefault="00C621AA" w:rsidP="007C20F0">
            <w:pPr>
              <w:jc w:val="center"/>
              <w:rPr>
                <w:bCs/>
              </w:rPr>
            </w:pPr>
            <w:r w:rsidRPr="0065676E">
              <w:rPr>
                <w:bCs/>
              </w:rPr>
              <w:t>3</w:t>
            </w:r>
            <w:r w:rsidR="00CF29AE" w:rsidRPr="0065676E">
              <w:rPr>
                <w:bCs/>
              </w:rPr>
              <w:t>5/60</w:t>
            </w:r>
          </w:p>
        </w:tc>
        <w:tc>
          <w:tcPr>
            <w:tcW w:w="11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621AA" w:rsidP="007C20F0">
            <w:pPr>
              <w:jc w:val="center"/>
              <w:rPr>
                <w:bCs/>
              </w:rPr>
            </w:pPr>
            <w:r w:rsidRPr="0065676E">
              <w:rPr>
                <w:bCs/>
              </w:rPr>
              <w:t>490</w:t>
            </w:r>
          </w:p>
        </w:tc>
      </w:tr>
      <w:tr w:rsidR="00274781" w:rsidRPr="0065676E" w:rsidTr="00CF29AE">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74781" w:rsidRPr="0065676E" w:rsidRDefault="007D4962" w:rsidP="007C20F0">
            <w:pPr>
              <w:rPr>
                <w:bCs/>
              </w:rPr>
            </w:pPr>
            <w:r w:rsidRPr="0065676E">
              <w:rPr>
                <w:bCs/>
              </w:rPr>
              <w:t>Health care provider</w:t>
            </w:r>
            <w:r w:rsidR="00CE6A8C" w:rsidRPr="0065676E">
              <w:rPr>
                <w:bCs/>
              </w:rPr>
              <w:t xml:space="preserve"> </w:t>
            </w:r>
            <w:r w:rsidR="00274781" w:rsidRPr="0065676E">
              <w:rPr>
                <w:bCs/>
              </w:rPr>
              <w:t>follow</w:t>
            </w:r>
            <w:r w:rsidR="005110A6" w:rsidRPr="0065676E">
              <w:rPr>
                <w:bCs/>
              </w:rPr>
              <w:t xml:space="preserve"> </w:t>
            </w:r>
            <w:r w:rsidR="00274781" w:rsidRPr="0065676E">
              <w:rPr>
                <w:bCs/>
              </w:rPr>
              <w:t>up</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781" w:rsidRPr="0065676E" w:rsidRDefault="00C621AA" w:rsidP="007C20F0">
            <w:pPr>
              <w:jc w:val="center"/>
              <w:rPr>
                <w:bCs/>
              </w:rPr>
            </w:pPr>
            <w:r w:rsidRPr="0065676E">
              <w:rPr>
                <w:bCs/>
              </w:rPr>
              <w:t>84</w:t>
            </w:r>
          </w:p>
        </w:tc>
        <w:tc>
          <w:tcPr>
            <w:tcW w:w="1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74781" w:rsidRPr="0065676E" w:rsidRDefault="00F01ACA" w:rsidP="007C20F0">
            <w:pPr>
              <w:jc w:val="center"/>
              <w:rPr>
                <w:bCs/>
              </w:rPr>
            </w:pPr>
            <w:r w:rsidRPr="0065676E">
              <w:rPr>
                <w:bCs/>
              </w:rPr>
              <w:t>1</w:t>
            </w:r>
          </w:p>
        </w:tc>
        <w:tc>
          <w:tcPr>
            <w:tcW w:w="1170" w:type="dxa"/>
            <w:tcBorders>
              <w:top w:val="nil"/>
              <w:left w:val="nil"/>
              <w:bottom w:val="single" w:sz="8" w:space="0" w:color="auto"/>
              <w:right w:val="single" w:sz="8" w:space="0" w:color="auto"/>
            </w:tcBorders>
          </w:tcPr>
          <w:p w:rsidR="00274781" w:rsidRPr="0065676E" w:rsidRDefault="002B3E20" w:rsidP="007C20F0">
            <w:pPr>
              <w:jc w:val="center"/>
              <w:rPr>
                <w:bCs/>
              </w:rPr>
            </w:pPr>
            <w:r w:rsidRPr="0065676E">
              <w:rPr>
                <w:bCs/>
              </w:rPr>
              <w:t>20</w:t>
            </w:r>
            <w:r w:rsidR="00F01ACA" w:rsidRPr="0065676E">
              <w:rPr>
                <w:bCs/>
              </w:rPr>
              <w:t>/60</w:t>
            </w:r>
          </w:p>
        </w:tc>
        <w:tc>
          <w:tcPr>
            <w:tcW w:w="11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74781" w:rsidRPr="0065676E" w:rsidRDefault="00C621AA" w:rsidP="007C20F0">
            <w:pPr>
              <w:jc w:val="center"/>
              <w:rPr>
                <w:bCs/>
              </w:rPr>
            </w:pPr>
            <w:r w:rsidRPr="0065676E">
              <w:rPr>
                <w:bCs/>
              </w:rPr>
              <w:t>28</w:t>
            </w:r>
          </w:p>
        </w:tc>
      </w:tr>
      <w:tr w:rsidR="00CF29AE" w:rsidRPr="0065676E" w:rsidTr="00CF29AE">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F29AE" w:rsidP="007C20F0">
            <w:pPr>
              <w:rPr>
                <w:b/>
                <w:bCs/>
              </w:rPr>
            </w:pPr>
            <w:r w:rsidRPr="0065676E">
              <w:rPr>
                <w:b/>
                <w:bCs/>
              </w:rPr>
              <w:t>Total</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621AA" w:rsidP="007C20F0">
            <w:pPr>
              <w:jc w:val="center"/>
              <w:rPr>
                <w:bCs/>
              </w:rPr>
            </w:pPr>
            <w:r w:rsidRPr="0065676E">
              <w:rPr>
                <w:bCs/>
              </w:rPr>
              <w:t>924</w:t>
            </w:r>
          </w:p>
        </w:tc>
        <w:tc>
          <w:tcPr>
            <w:tcW w:w="16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F29AE" w:rsidP="007C20F0">
            <w:pPr>
              <w:jc w:val="center"/>
              <w:rPr>
                <w:bCs/>
              </w:rPr>
            </w:pPr>
            <w:r w:rsidRPr="0065676E">
              <w:rPr>
                <w:bCs/>
              </w:rPr>
              <w:t>NA</w:t>
            </w:r>
          </w:p>
        </w:tc>
        <w:tc>
          <w:tcPr>
            <w:tcW w:w="1170" w:type="dxa"/>
            <w:tcBorders>
              <w:top w:val="nil"/>
              <w:left w:val="nil"/>
              <w:bottom w:val="single" w:sz="8" w:space="0" w:color="auto"/>
              <w:right w:val="single" w:sz="8" w:space="0" w:color="auto"/>
            </w:tcBorders>
          </w:tcPr>
          <w:p w:rsidR="00CF29AE" w:rsidRPr="0065676E" w:rsidRDefault="00CF29AE" w:rsidP="007C20F0">
            <w:pPr>
              <w:jc w:val="center"/>
              <w:rPr>
                <w:bCs/>
              </w:rPr>
            </w:pPr>
            <w:r w:rsidRPr="0065676E">
              <w:rPr>
                <w:bCs/>
              </w:rPr>
              <w:t>NA</w:t>
            </w:r>
          </w:p>
        </w:tc>
        <w:tc>
          <w:tcPr>
            <w:tcW w:w="11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F29AE" w:rsidRPr="0065676E" w:rsidRDefault="00C579DB" w:rsidP="007C20F0">
            <w:pPr>
              <w:jc w:val="center"/>
              <w:rPr>
                <w:bCs/>
              </w:rPr>
            </w:pPr>
            <w:r w:rsidRPr="0065676E">
              <w:rPr>
                <w:bCs/>
              </w:rPr>
              <w:t>5</w:t>
            </w:r>
            <w:r w:rsidR="00C621AA" w:rsidRPr="0065676E">
              <w:rPr>
                <w:bCs/>
              </w:rPr>
              <w:t>18</w:t>
            </w:r>
          </w:p>
        </w:tc>
      </w:tr>
    </w:tbl>
    <w:p w:rsidR="008F46E5" w:rsidRDefault="008F46E5" w:rsidP="007C20F0">
      <w:pPr>
        <w:rPr>
          <w:b/>
          <w:bCs/>
        </w:rPr>
      </w:pPr>
    </w:p>
    <w:p w:rsidR="008F46E5" w:rsidRPr="0065676E" w:rsidRDefault="008F46E5" w:rsidP="007C20F0">
      <w:pPr>
        <w:rPr>
          <w:b/>
          <w:bCs/>
        </w:rPr>
      </w:pPr>
    </w:p>
    <w:p w:rsidR="00A50A06" w:rsidRDefault="00A50A06" w:rsidP="007C20F0">
      <w:pPr>
        <w:rPr>
          <w:b/>
          <w:bCs/>
        </w:rPr>
      </w:pPr>
    </w:p>
    <w:p w:rsidR="003538DF" w:rsidRPr="0065676E" w:rsidRDefault="003538DF" w:rsidP="007C20F0">
      <w:pPr>
        <w:rPr>
          <w:b/>
          <w:bCs/>
        </w:rPr>
      </w:pPr>
    </w:p>
    <w:p w:rsidR="00A50A06" w:rsidRPr="0065676E" w:rsidRDefault="00A50A06" w:rsidP="007C20F0">
      <w:pPr>
        <w:keepLines/>
        <w:rPr>
          <w:bCs/>
        </w:rPr>
      </w:pPr>
      <w:r w:rsidRPr="0065676E">
        <w:rPr>
          <w:bCs/>
        </w:rPr>
        <w:t xml:space="preserve">Exhibit 2 shows the estimated annualized cost burden for </w:t>
      </w:r>
      <w:r w:rsidR="007A4CAF" w:rsidRPr="0065676E">
        <w:rPr>
          <w:bCs/>
        </w:rPr>
        <w:t>patient</w:t>
      </w:r>
      <w:r w:rsidR="00EA7673" w:rsidRPr="0065676E">
        <w:rPr>
          <w:bCs/>
        </w:rPr>
        <w:t>s</w:t>
      </w:r>
      <w:r w:rsidRPr="0065676E">
        <w:rPr>
          <w:bCs/>
        </w:rPr>
        <w:t>, $</w:t>
      </w:r>
      <w:r w:rsidR="007A4CAF" w:rsidRPr="0065676E">
        <w:rPr>
          <w:bCs/>
        </w:rPr>
        <w:t>10,652</w:t>
      </w:r>
      <w:r w:rsidRPr="0065676E">
        <w:rPr>
          <w:bCs/>
        </w:rPr>
        <w:t xml:space="preserve">, and for the </w:t>
      </w:r>
      <w:r w:rsidR="000F3A38" w:rsidRPr="0065676E">
        <w:rPr>
          <w:bCs/>
        </w:rPr>
        <w:t>health care</w:t>
      </w:r>
      <w:r w:rsidRPr="0065676E">
        <w:rPr>
          <w:bCs/>
        </w:rPr>
        <w:t xml:space="preserve"> organization, $</w:t>
      </w:r>
      <w:r w:rsidR="007A4CAF" w:rsidRPr="0065676E">
        <w:rPr>
          <w:bCs/>
        </w:rPr>
        <w:t>885</w:t>
      </w:r>
      <w:r w:rsidRPr="0065676E">
        <w:rPr>
          <w:bCs/>
        </w:rPr>
        <w:t>, for a total annualized cost burden of $</w:t>
      </w:r>
      <w:r w:rsidR="007A4CAF" w:rsidRPr="0065676E">
        <w:rPr>
          <w:bCs/>
        </w:rPr>
        <w:t>11,537</w:t>
      </w:r>
      <w:r w:rsidRPr="0065676E">
        <w:rPr>
          <w:bCs/>
        </w:rPr>
        <w:t xml:space="preserve">. Respondents will not incur any other costs beyond those associated with their time to participate.   </w:t>
      </w:r>
    </w:p>
    <w:p w:rsidR="003538DF" w:rsidRDefault="003538DF">
      <w:pPr>
        <w:rPr>
          <w:b/>
          <w:bCs/>
        </w:rPr>
      </w:pPr>
    </w:p>
    <w:p w:rsidR="00CF29AE" w:rsidRPr="0065676E" w:rsidRDefault="00CF29AE" w:rsidP="007C20F0">
      <w:pPr>
        <w:rPr>
          <w:b/>
          <w:bCs/>
        </w:rPr>
      </w:pPr>
      <w:r w:rsidRPr="0065676E">
        <w:rPr>
          <w:b/>
          <w:bCs/>
        </w:rPr>
        <w:t>Exhibit 2.  Estimated annualized cost burden</w:t>
      </w:r>
    </w:p>
    <w:tbl>
      <w:tblPr>
        <w:tblW w:w="8868" w:type="dxa"/>
        <w:tblCellMar>
          <w:left w:w="0" w:type="dxa"/>
          <w:right w:w="0" w:type="dxa"/>
        </w:tblCellMar>
        <w:tblLook w:val="0000"/>
      </w:tblPr>
      <w:tblGrid>
        <w:gridCol w:w="3258"/>
        <w:gridCol w:w="1457"/>
        <w:gridCol w:w="1333"/>
        <w:gridCol w:w="1560"/>
        <w:gridCol w:w="1260"/>
      </w:tblGrid>
      <w:tr w:rsidR="00FE653D" w:rsidRPr="0065676E" w:rsidTr="00E30299">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rPr>
                <w:b/>
                <w:bCs/>
              </w:rPr>
            </w:pPr>
            <w:r w:rsidRPr="0065676E">
              <w:rPr>
                <w:b/>
                <w:bCs/>
              </w:rPr>
              <w:t>Form Name</w:t>
            </w:r>
          </w:p>
        </w:tc>
        <w:tc>
          <w:tcPr>
            <w:tcW w:w="145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
                <w:bCs/>
              </w:rPr>
            </w:pPr>
            <w:r w:rsidRPr="0065676E">
              <w:rPr>
                <w:b/>
                <w:bCs/>
              </w:rPr>
              <w:t>Number of respondents</w:t>
            </w:r>
          </w:p>
        </w:tc>
        <w:tc>
          <w:tcPr>
            <w:tcW w:w="13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
                <w:bCs/>
              </w:rPr>
            </w:pPr>
            <w:r w:rsidRPr="0065676E">
              <w:rPr>
                <w:b/>
                <w:bCs/>
              </w:rPr>
              <w:t xml:space="preserve">Total burden </w:t>
            </w:r>
            <w:r w:rsidRPr="0065676E">
              <w:rPr>
                <w:b/>
                <w:bCs/>
              </w:rPr>
              <w:lastRenderedPageBreak/>
              <w:t>hours</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
                <w:bCs/>
              </w:rPr>
            </w:pPr>
            <w:r w:rsidRPr="0065676E">
              <w:rPr>
                <w:b/>
                <w:bCs/>
              </w:rPr>
              <w:lastRenderedPageBreak/>
              <w:t xml:space="preserve">Average hourly wage </w:t>
            </w:r>
            <w:r w:rsidRPr="0065676E">
              <w:rPr>
                <w:b/>
                <w:bCs/>
              </w:rPr>
              <w:lastRenderedPageBreak/>
              <w:t>rate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
                <w:bCs/>
              </w:rPr>
            </w:pPr>
            <w:r w:rsidRPr="0065676E">
              <w:rPr>
                <w:b/>
                <w:bCs/>
              </w:rPr>
              <w:lastRenderedPageBreak/>
              <w:t>Total cost burden</w:t>
            </w:r>
          </w:p>
        </w:tc>
      </w:tr>
      <w:tr w:rsidR="00FE653D" w:rsidRPr="0065676E" w:rsidTr="00E30299">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rPr>
                <w:b/>
                <w:bCs/>
              </w:rPr>
            </w:pPr>
            <w:r w:rsidRPr="0065676E">
              <w:rPr>
                <w:bCs/>
              </w:rPr>
              <w:lastRenderedPageBreak/>
              <w:t>Safety event intake form and follow up</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840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490</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$21.74*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$10,652</w:t>
            </w:r>
          </w:p>
        </w:tc>
      </w:tr>
      <w:tr w:rsidR="00FE653D" w:rsidRPr="0065676E" w:rsidTr="00E30299">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rPr>
                <w:bCs/>
              </w:rPr>
            </w:pPr>
            <w:r w:rsidRPr="0065676E">
              <w:rPr>
                <w:bCs/>
              </w:rPr>
              <w:t xml:space="preserve">Health care provider follow up </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84</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28</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$31.61**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$885</w:t>
            </w:r>
          </w:p>
        </w:tc>
      </w:tr>
      <w:tr w:rsidR="00FE653D" w:rsidRPr="0065676E" w:rsidTr="00E30299">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rPr>
                <w:b/>
                <w:bCs/>
              </w:rPr>
            </w:pPr>
            <w:r w:rsidRPr="0065676E">
              <w:rPr>
                <w:b/>
                <w:bCs/>
              </w:rPr>
              <w:t>Total</w:t>
            </w:r>
          </w:p>
        </w:tc>
        <w:tc>
          <w:tcPr>
            <w:tcW w:w="14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924</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518</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FE653D" w:rsidRPr="0065676E" w:rsidRDefault="00FE653D" w:rsidP="007C20F0">
            <w:pPr>
              <w:jc w:val="center"/>
              <w:rPr>
                <w:bCs/>
              </w:rPr>
            </w:pPr>
            <w:r w:rsidRPr="0065676E">
              <w:rPr>
                <w:bCs/>
              </w:rPr>
              <w:t>$11,537</w:t>
            </w:r>
          </w:p>
        </w:tc>
      </w:tr>
    </w:tbl>
    <w:p w:rsidR="00CF29AE" w:rsidRPr="00EE1220" w:rsidRDefault="00CF29AE" w:rsidP="007C20F0">
      <w:pPr>
        <w:ind w:right="-180"/>
        <w:rPr>
          <w:bCs/>
        </w:rPr>
      </w:pPr>
      <w:r w:rsidRPr="0065676E">
        <w:rPr>
          <w:bCs/>
        </w:rPr>
        <w:t>*Based upon the mean of the average wages, National Compensation Survey: Occupational wages in the United States</w:t>
      </w:r>
      <w:r w:rsidR="009D6F1F" w:rsidRPr="0065676E">
        <w:rPr>
          <w:bCs/>
        </w:rPr>
        <w:t>,</w:t>
      </w:r>
      <w:r w:rsidRPr="0065676E">
        <w:rPr>
          <w:bCs/>
        </w:rPr>
        <w:t xml:space="preserve"> </w:t>
      </w:r>
      <w:r w:rsidR="00764681" w:rsidRPr="0065676E">
        <w:rPr>
          <w:bCs/>
        </w:rPr>
        <w:t>May 2011</w:t>
      </w:r>
      <w:r w:rsidR="00A62EAD" w:rsidRPr="0065676E">
        <w:rPr>
          <w:bCs/>
        </w:rPr>
        <w:t xml:space="preserve">, </w:t>
      </w:r>
      <w:r w:rsidRPr="0065676E">
        <w:rPr>
          <w:bCs/>
        </w:rPr>
        <w:t xml:space="preserve">U.S. Department of Labor, Bureau of Labor Statistics.  </w:t>
      </w:r>
      <w:r w:rsidR="00764681" w:rsidRPr="0065676E">
        <w:t xml:space="preserve"> </w:t>
      </w:r>
      <w:hyperlink r:id="rId9" w:anchor="00-0000" w:history="1">
        <w:r w:rsidR="008C4CC1" w:rsidRPr="001D5559">
          <w:rPr>
            <w:rStyle w:val="Hyperlink"/>
            <w:bCs/>
            <w:color w:val="auto"/>
          </w:rPr>
          <w:t>http://www.bls.gov/oes/current/oes_nat.htm#00-0000</w:t>
        </w:r>
      </w:hyperlink>
    </w:p>
    <w:p w:rsidR="008C4CC1" w:rsidRPr="00EE1220" w:rsidRDefault="008C4CC1" w:rsidP="007C20F0">
      <w:pPr>
        <w:ind w:right="-180"/>
        <w:rPr>
          <w:bCs/>
        </w:rPr>
      </w:pPr>
      <w:r w:rsidRPr="00BC2F34">
        <w:rPr>
          <w:bCs/>
        </w:rPr>
        <w:t>** Based upon the mean of the average wages, National Compensation Survey: Occupational wages in the United St</w:t>
      </w:r>
      <w:r w:rsidRPr="0065676E">
        <w:rPr>
          <w:bCs/>
        </w:rPr>
        <w:t>ates, May 2011</w:t>
      </w:r>
      <w:r w:rsidR="00A67DDA" w:rsidRPr="0065676E">
        <w:rPr>
          <w:bCs/>
        </w:rPr>
        <w:t>: Occupational Health and Safety Specialists (General Medical and Surgical Hospitals).</w:t>
      </w:r>
      <w:r w:rsidRPr="0065676E">
        <w:rPr>
          <w:bCs/>
        </w:rPr>
        <w:t xml:space="preserve"> </w:t>
      </w:r>
      <w:proofErr w:type="gramStart"/>
      <w:r w:rsidRPr="0065676E">
        <w:rPr>
          <w:bCs/>
        </w:rPr>
        <w:t>U.S. Department of Labor, Bureau of Labor Statistics.</w:t>
      </w:r>
      <w:proofErr w:type="gramEnd"/>
      <w:r w:rsidRPr="0065676E">
        <w:rPr>
          <w:bCs/>
        </w:rPr>
        <w:t xml:space="preserve"> </w:t>
      </w:r>
      <w:hyperlink r:id="rId10" w:history="1">
        <w:r w:rsidR="00A67DDA" w:rsidRPr="001D5559">
          <w:rPr>
            <w:rStyle w:val="Hyperlink"/>
            <w:color w:val="auto"/>
          </w:rPr>
          <w:t>http://www.bls.gov/oes/current/oes299011.htm</w:t>
        </w:r>
      </w:hyperlink>
      <w:r w:rsidRPr="00EE1220">
        <w:rPr>
          <w:bCs/>
        </w:rPr>
        <w:t xml:space="preserve"> </w:t>
      </w:r>
    </w:p>
    <w:p w:rsidR="007C20F0" w:rsidRDefault="007C20F0" w:rsidP="007C20F0">
      <w:pPr>
        <w:pStyle w:val="Heading2"/>
        <w:spacing w:before="0" w:after="0"/>
        <w:rPr>
          <w:rFonts w:ascii="Times New Roman" w:hAnsi="Times New Roman" w:cs="Times New Roman"/>
          <w:sz w:val="24"/>
          <w:szCs w:val="24"/>
        </w:rPr>
      </w:pPr>
      <w:bookmarkStart w:id="31" w:name="_Toc151782188"/>
      <w:bookmarkStart w:id="32" w:name="_Toc158526228"/>
    </w:p>
    <w:p w:rsidR="009B633D" w:rsidRPr="00BC2F34" w:rsidRDefault="009B633D" w:rsidP="007C20F0">
      <w:pPr>
        <w:pStyle w:val="Heading2"/>
        <w:spacing w:before="0" w:after="0"/>
        <w:rPr>
          <w:rFonts w:ascii="Times New Roman" w:hAnsi="Times New Roman" w:cs="Times New Roman"/>
          <w:sz w:val="24"/>
          <w:szCs w:val="24"/>
        </w:rPr>
      </w:pPr>
      <w:r w:rsidRPr="00BC2F34">
        <w:rPr>
          <w:rFonts w:ascii="Times New Roman" w:hAnsi="Times New Roman" w:cs="Times New Roman"/>
          <w:sz w:val="24"/>
          <w:szCs w:val="24"/>
        </w:rPr>
        <w:t>13. Estimates of Annualized Respondent Capital and Maintenance Costs</w:t>
      </w:r>
      <w:bookmarkEnd w:id="31"/>
      <w:bookmarkEnd w:id="32"/>
    </w:p>
    <w:p w:rsidR="00623EA2" w:rsidRPr="0065676E" w:rsidRDefault="004F57D0" w:rsidP="008C4254">
      <w:pPr>
        <w:ind w:right="-180"/>
      </w:pPr>
      <w:r w:rsidRPr="0065676E">
        <w:t>Capital and maintenance costs include the purchase of equipment, computers</w:t>
      </w:r>
      <w:proofErr w:type="gramStart"/>
      <w:r w:rsidR="008C4254">
        <w:t xml:space="preserve">, </w:t>
      </w:r>
      <w:r w:rsidRPr="0065676E">
        <w:t xml:space="preserve"> or</w:t>
      </w:r>
      <w:proofErr w:type="gramEnd"/>
      <w:r w:rsidRPr="0065676E">
        <w:t xml:space="preserve"> computer software or services, or storage for records, as a result of complying with this data collection. </w:t>
      </w:r>
      <w:r w:rsidR="00623EA2" w:rsidRPr="0065676E">
        <w:t xml:space="preserve">There are no direct costs to respondents other than their </w:t>
      </w:r>
      <w:r w:rsidR="00C71E5A" w:rsidRPr="0065676E">
        <w:t>time to participate in this project</w:t>
      </w:r>
      <w:r w:rsidR="00623EA2" w:rsidRPr="0065676E">
        <w:t>.</w:t>
      </w:r>
    </w:p>
    <w:p w:rsidR="007C20F0" w:rsidRPr="00484FEE" w:rsidRDefault="007C20F0" w:rsidP="007C20F0">
      <w:pPr>
        <w:pStyle w:val="Heading2"/>
        <w:spacing w:before="0" w:after="0"/>
        <w:rPr>
          <w:rFonts w:ascii="Times New Roman" w:hAnsi="Times New Roman" w:cs="Times New Roman"/>
          <w:sz w:val="22"/>
          <w:szCs w:val="22"/>
        </w:rPr>
      </w:pPr>
      <w:bookmarkStart w:id="33" w:name="_Toc58725299"/>
      <w:bookmarkStart w:id="34" w:name="_Toc151782189"/>
      <w:bookmarkStart w:id="35" w:name="_Toc158526229"/>
    </w:p>
    <w:p w:rsidR="009B633D" w:rsidRPr="00BC2F34" w:rsidRDefault="009B633D" w:rsidP="007C20F0">
      <w:pPr>
        <w:pStyle w:val="Heading2"/>
        <w:spacing w:before="0" w:after="0"/>
        <w:rPr>
          <w:rFonts w:ascii="Times New Roman" w:hAnsi="Times New Roman" w:cs="Times New Roman"/>
          <w:sz w:val="24"/>
          <w:szCs w:val="24"/>
        </w:rPr>
      </w:pPr>
      <w:r w:rsidRPr="00BC2F34">
        <w:rPr>
          <w:rFonts w:ascii="Times New Roman" w:hAnsi="Times New Roman" w:cs="Times New Roman"/>
          <w:sz w:val="24"/>
          <w:szCs w:val="24"/>
        </w:rPr>
        <w:t>14. Estimates of Annualized Cost to the Government</w:t>
      </w:r>
      <w:bookmarkEnd w:id="33"/>
      <w:bookmarkEnd w:id="34"/>
      <w:bookmarkEnd w:id="35"/>
    </w:p>
    <w:p w:rsidR="003E0CA8" w:rsidRPr="0065676E" w:rsidRDefault="009F03E3" w:rsidP="007C20F0">
      <w:bookmarkStart w:id="36" w:name="_Toc151782190"/>
      <w:bookmarkStart w:id="37" w:name="_Toc158526230"/>
      <w:r w:rsidRPr="0065676E">
        <w:t>AHRQ</w:t>
      </w:r>
      <w:r w:rsidR="003E0CA8" w:rsidRPr="0065676E">
        <w:t xml:space="preserve"> is supporting the conduct of this </w:t>
      </w:r>
      <w:r w:rsidR="007C4FA9" w:rsidRPr="0065676E">
        <w:t xml:space="preserve">project </w:t>
      </w:r>
      <w:r w:rsidR="003E0CA8" w:rsidRPr="0065676E">
        <w:t xml:space="preserve">as part of a contract with the RAND Corporation and </w:t>
      </w:r>
      <w:r w:rsidR="007C4FA9" w:rsidRPr="0065676E">
        <w:t xml:space="preserve">the </w:t>
      </w:r>
      <w:r w:rsidR="003E0CA8" w:rsidRPr="0065676E">
        <w:t>ECRI Institute. The estimated cost for this work is $899,827.</w:t>
      </w:r>
    </w:p>
    <w:p w:rsidR="009F03E3" w:rsidRPr="00484FEE" w:rsidRDefault="009F03E3" w:rsidP="007C20F0">
      <w:pPr>
        <w:rPr>
          <w:sz w:val="22"/>
          <w:szCs w:val="22"/>
        </w:rPr>
      </w:pPr>
    </w:p>
    <w:p w:rsidR="00A50A06" w:rsidRPr="001D5559" w:rsidRDefault="00A50A06" w:rsidP="007C20F0">
      <w:r w:rsidRPr="001D5559">
        <w:rPr>
          <w:b/>
          <w:bCs/>
        </w:rPr>
        <w:t>Exhibit 3.  Estimated Total and Annualized Cost</w:t>
      </w:r>
    </w:p>
    <w:tbl>
      <w:tblPr>
        <w:tblW w:w="7043" w:type="dxa"/>
        <w:tblInd w:w="198" w:type="dxa"/>
        <w:tblLook w:val="04A0"/>
      </w:tblPr>
      <w:tblGrid>
        <w:gridCol w:w="3493"/>
        <w:gridCol w:w="2160"/>
        <w:gridCol w:w="1390"/>
      </w:tblGrid>
      <w:tr w:rsidR="000F714A" w:rsidRPr="0065676E" w:rsidTr="00525BED">
        <w:trPr>
          <w:trHeight w:val="585"/>
        </w:trPr>
        <w:tc>
          <w:tcPr>
            <w:tcW w:w="349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pPr>
              <w:rPr>
                <w:b/>
                <w:bCs/>
              </w:rPr>
            </w:pPr>
            <w:r w:rsidRPr="0065676E">
              <w:rPr>
                <w:b/>
                <w:bCs/>
              </w:rPr>
              <w:t>Cost Component</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001C90" w:rsidRPr="0065676E" w:rsidRDefault="000F714A" w:rsidP="007C20F0">
            <w:pPr>
              <w:jc w:val="center"/>
              <w:rPr>
                <w:b/>
                <w:bCs/>
              </w:rPr>
            </w:pPr>
            <w:r w:rsidRPr="0065676E">
              <w:rPr>
                <w:b/>
                <w:bCs/>
              </w:rPr>
              <w:t>Total Cost</w:t>
            </w:r>
          </w:p>
        </w:tc>
        <w:tc>
          <w:tcPr>
            <w:tcW w:w="1390" w:type="dxa"/>
            <w:tcBorders>
              <w:top w:val="single" w:sz="8" w:space="0" w:color="auto"/>
              <w:left w:val="nil"/>
              <w:bottom w:val="single" w:sz="8" w:space="0" w:color="auto"/>
              <w:right w:val="single" w:sz="8" w:space="0" w:color="auto"/>
            </w:tcBorders>
            <w:shd w:val="clear" w:color="auto" w:fill="auto"/>
            <w:vAlign w:val="center"/>
            <w:hideMark/>
          </w:tcPr>
          <w:p w:rsidR="00001C90" w:rsidRPr="0065676E" w:rsidRDefault="000F714A" w:rsidP="007C20F0">
            <w:pPr>
              <w:jc w:val="center"/>
              <w:rPr>
                <w:b/>
                <w:bCs/>
              </w:rPr>
            </w:pPr>
            <w:r w:rsidRPr="0065676E">
              <w:rPr>
                <w:b/>
                <w:bCs/>
              </w:rPr>
              <w:t>Annualized Cost</w:t>
            </w:r>
          </w:p>
        </w:tc>
      </w:tr>
      <w:tr w:rsidR="000F714A" w:rsidRPr="0065676E" w:rsidTr="00525BED">
        <w:trPr>
          <w:trHeight w:val="315"/>
        </w:trPr>
        <w:tc>
          <w:tcPr>
            <w:tcW w:w="3493" w:type="dxa"/>
            <w:tcBorders>
              <w:top w:val="nil"/>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r w:rsidRPr="0065676E">
              <w:t>Intake Form Development</w:t>
            </w:r>
          </w:p>
        </w:tc>
        <w:tc>
          <w:tcPr>
            <w:tcW w:w="216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364,375</w:t>
            </w:r>
          </w:p>
        </w:tc>
        <w:tc>
          <w:tcPr>
            <w:tcW w:w="139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242,917</w:t>
            </w:r>
          </w:p>
        </w:tc>
      </w:tr>
      <w:tr w:rsidR="000F714A" w:rsidRPr="0065676E" w:rsidTr="00525BED">
        <w:trPr>
          <w:trHeight w:val="315"/>
        </w:trPr>
        <w:tc>
          <w:tcPr>
            <w:tcW w:w="3493" w:type="dxa"/>
            <w:tcBorders>
              <w:top w:val="nil"/>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r w:rsidRPr="0065676E">
              <w:t>System Development</w:t>
            </w:r>
          </w:p>
        </w:tc>
        <w:tc>
          <w:tcPr>
            <w:tcW w:w="2160" w:type="dxa"/>
            <w:tcBorders>
              <w:top w:val="nil"/>
              <w:left w:val="nil"/>
              <w:bottom w:val="single" w:sz="8" w:space="0" w:color="auto"/>
              <w:right w:val="nil"/>
            </w:tcBorders>
            <w:shd w:val="clear" w:color="auto" w:fill="auto"/>
            <w:noWrap/>
            <w:vAlign w:val="bottom"/>
            <w:hideMark/>
          </w:tcPr>
          <w:p w:rsidR="00001C90" w:rsidRPr="0065676E" w:rsidRDefault="00EA7673" w:rsidP="007C20F0">
            <w:pPr>
              <w:jc w:val="center"/>
            </w:pPr>
            <w:r w:rsidRPr="0065676E">
              <w:t>$</w:t>
            </w:r>
            <w:r w:rsidR="000F714A" w:rsidRPr="0065676E">
              <w:t>413,860</w:t>
            </w:r>
          </w:p>
        </w:tc>
        <w:tc>
          <w:tcPr>
            <w:tcW w:w="1390" w:type="dxa"/>
            <w:tcBorders>
              <w:top w:val="nil"/>
              <w:left w:val="single" w:sz="8" w:space="0" w:color="auto"/>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275,907</w:t>
            </w:r>
          </w:p>
        </w:tc>
      </w:tr>
      <w:tr w:rsidR="000F714A" w:rsidRPr="0065676E" w:rsidTr="00525BED">
        <w:trPr>
          <w:trHeight w:val="315"/>
        </w:trPr>
        <w:tc>
          <w:tcPr>
            <w:tcW w:w="3493" w:type="dxa"/>
            <w:tcBorders>
              <w:top w:val="nil"/>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r w:rsidRPr="0065676E">
              <w:t>Project Management</w:t>
            </w:r>
          </w:p>
        </w:tc>
        <w:tc>
          <w:tcPr>
            <w:tcW w:w="216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35,325</w:t>
            </w:r>
          </w:p>
        </w:tc>
        <w:tc>
          <w:tcPr>
            <w:tcW w:w="139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23,550</w:t>
            </w:r>
          </w:p>
        </w:tc>
      </w:tr>
      <w:tr w:rsidR="000F714A" w:rsidRPr="0065676E" w:rsidTr="00525BED">
        <w:trPr>
          <w:trHeight w:val="315"/>
        </w:trPr>
        <w:tc>
          <w:tcPr>
            <w:tcW w:w="3493" w:type="dxa"/>
            <w:tcBorders>
              <w:top w:val="nil"/>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r w:rsidRPr="0065676E">
              <w:t>Overhead</w:t>
            </w:r>
          </w:p>
        </w:tc>
        <w:tc>
          <w:tcPr>
            <w:tcW w:w="216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86,267</w:t>
            </w:r>
          </w:p>
        </w:tc>
        <w:tc>
          <w:tcPr>
            <w:tcW w:w="139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pPr>
            <w:r w:rsidRPr="0065676E">
              <w:t>$</w:t>
            </w:r>
            <w:r w:rsidR="000F714A" w:rsidRPr="0065676E">
              <w:t>57,511</w:t>
            </w:r>
          </w:p>
        </w:tc>
      </w:tr>
      <w:tr w:rsidR="000F714A" w:rsidRPr="0065676E" w:rsidTr="00525BED">
        <w:trPr>
          <w:trHeight w:val="315"/>
        </w:trPr>
        <w:tc>
          <w:tcPr>
            <w:tcW w:w="3493" w:type="dxa"/>
            <w:tcBorders>
              <w:top w:val="nil"/>
              <w:left w:val="single" w:sz="8" w:space="0" w:color="auto"/>
              <w:bottom w:val="single" w:sz="8" w:space="0" w:color="auto"/>
              <w:right w:val="single" w:sz="8" w:space="0" w:color="auto"/>
            </w:tcBorders>
            <w:shd w:val="clear" w:color="auto" w:fill="auto"/>
            <w:vAlign w:val="center"/>
            <w:hideMark/>
          </w:tcPr>
          <w:p w:rsidR="000F714A" w:rsidRPr="0065676E" w:rsidRDefault="000F714A" w:rsidP="007C20F0">
            <w:pPr>
              <w:rPr>
                <w:b/>
                <w:bCs/>
              </w:rPr>
            </w:pPr>
            <w:r w:rsidRPr="0065676E">
              <w:rPr>
                <w:b/>
                <w:bCs/>
              </w:rPr>
              <w:t>Total</w:t>
            </w:r>
          </w:p>
        </w:tc>
        <w:tc>
          <w:tcPr>
            <w:tcW w:w="216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rPr>
                <w:b/>
                <w:bCs/>
              </w:rPr>
            </w:pPr>
            <w:r w:rsidRPr="0065676E">
              <w:rPr>
                <w:b/>
                <w:bCs/>
              </w:rPr>
              <w:t>$</w:t>
            </w:r>
            <w:r w:rsidR="000F714A" w:rsidRPr="0065676E">
              <w:rPr>
                <w:b/>
                <w:bCs/>
              </w:rPr>
              <w:t>899,827</w:t>
            </w:r>
          </w:p>
        </w:tc>
        <w:tc>
          <w:tcPr>
            <w:tcW w:w="1390" w:type="dxa"/>
            <w:tcBorders>
              <w:top w:val="nil"/>
              <w:left w:val="nil"/>
              <w:bottom w:val="single" w:sz="8" w:space="0" w:color="auto"/>
              <w:right w:val="single" w:sz="8" w:space="0" w:color="auto"/>
            </w:tcBorders>
            <w:shd w:val="clear" w:color="auto" w:fill="auto"/>
            <w:vAlign w:val="center"/>
            <w:hideMark/>
          </w:tcPr>
          <w:p w:rsidR="00001C90" w:rsidRPr="0065676E" w:rsidRDefault="00EA7673" w:rsidP="007C20F0">
            <w:pPr>
              <w:jc w:val="center"/>
              <w:rPr>
                <w:b/>
                <w:bCs/>
              </w:rPr>
            </w:pPr>
            <w:r w:rsidRPr="0065676E">
              <w:rPr>
                <w:b/>
                <w:bCs/>
              </w:rPr>
              <w:t>$</w:t>
            </w:r>
            <w:r w:rsidR="000F714A" w:rsidRPr="0065676E">
              <w:rPr>
                <w:b/>
                <w:bCs/>
              </w:rPr>
              <w:t>599,885</w:t>
            </w:r>
          </w:p>
        </w:tc>
      </w:tr>
    </w:tbl>
    <w:p w:rsidR="00A50A06" w:rsidRDefault="00A50A06" w:rsidP="007C20F0"/>
    <w:p w:rsidR="009B633D" w:rsidRPr="00BC2F34" w:rsidRDefault="009B633D" w:rsidP="007C20F0">
      <w:pPr>
        <w:pStyle w:val="Heading2"/>
        <w:spacing w:before="0" w:after="0"/>
        <w:rPr>
          <w:rFonts w:ascii="Times New Roman" w:hAnsi="Times New Roman" w:cs="Times New Roman"/>
          <w:sz w:val="24"/>
          <w:szCs w:val="24"/>
        </w:rPr>
      </w:pPr>
      <w:r w:rsidRPr="00BC2F34">
        <w:rPr>
          <w:rFonts w:ascii="Times New Roman" w:hAnsi="Times New Roman" w:cs="Times New Roman"/>
          <w:sz w:val="24"/>
          <w:szCs w:val="24"/>
        </w:rPr>
        <w:t>15. Changes in Hour Burden</w:t>
      </w:r>
      <w:bookmarkEnd w:id="36"/>
      <w:bookmarkEnd w:id="37"/>
    </w:p>
    <w:p w:rsidR="00D20358" w:rsidRPr="0065676E" w:rsidRDefault="00D20358" w:rsidP="007C20F0">
      <w:bookmarkStart w:id="38" w:name="_Toc151782191"/>
      <w:bookmarkStart w:id="39" w:name="_Toc158526231"/>
      <w:r w:rsidRPr="0065676E">
        <w:t xml:space="preserve">This is </w:t>
      </w:r>
      <w:r w:rsidR="002D319F" w:rsidRPr="0065676E">
        <w:t xml:space="preserve">a </w:t>
      </w:r>
      <w:r w:rsidRPr="0065676E">
        <w:t xml:space="preserve">new information </w:t>
      </w:r>
      <w:r w:rsidR="002D319F" w:rsidRPr="0065676E">
        <w:t xml:space="preserve">collection. </w:t>
      </w:r>
    </w:p>
    <w:p w:rsidR="007C20F0" w:rsidRPr="00484FEE" w:rsidRDefault="007C20F0" w:rsidP="007C20F0">
      <w:pPr>
        <w:pStyle w:val="Heading2"/>
        <w:spacing w:before="0" w:after="0"/>
        <w:rPr>
          <w:rFonts w:ascii="Times New Roman" w:hAnsi="Times New Roman" w:cs="Times New Roman"/>
          <w:sz w:val="22"/>
          <w:szCs w:val="22"/>
        </w:rPr>
      </w:pPr>
    </w:p>
    <w:p w:rsidR="009B633D" w:rsidRPr="00BC2F34" w:rsidRDefault="009B633D" w:rsidP="007C20F0">
      <w:pPr>
        <w:pStyle w:val="Heading2"/>
        <w:spacing w:before="0" w:after="0"/>
        <w:rPr>
          <w:rFonts w:ascii="Times New Roman" w:hAnsi="Times New Roman" w:cs="Times New Roman"/>
          <w:sz w:val="24"/>
          <w:szCs w:val="24"/>
        </w:rPr>
      </w:pPr>
      <w:r w:rsidRPr="00BC2F34">
        <w:rPr>
          <w:rFonts w:ascii="Times New Roman" w:hAnsi="Times New Roman" w:cs="Times New Roman"/>
          <w:sz w:val="24"/>
          <w:szCs w:val="24"/>
        </w:rPr>
        <w:t>16. Time Schedule, Publication and Analysis Plans</w:t>
      </w:r>
      <w:bookmarkEnd w:id="38"/>
      <w:bookmarkEnd w:id="39"/>
    </w:p>
    <w:p w:rsidR="00AE0E3B" w:rsidRPr="0065676E" w:rsidRDefault="002D319F" w:rsidP="007C20F0">
      <w:bookmarkStart w:id="40" w:name="_Toc151782192"/>
      <w:r w:rsidRPr="0065676E">
        <w:t>Data collected will be</w:t>
      </w:r>
      <w:r w:rsidR="00AA12BC" w:rsidRPr="0065676E">
        <w:t xml:space="preserve"> analyzed to produce estimates and </w:t>
      </w:r>
      <w:r w:rsidRPr="0065676E">
        <w:t>basic descriptive statistics</w:t>
      </w:r>
      <w:r w:rsidR="00062D97" w:rsidRPr="0065676E">
        <w:t xml:space="preserve">. We will </w:t>
      </w:r>
      <w:r w:rsidR="006C074D" w:rsidRPr="0065676E">
        <w:t>conduct correlations, cross tabulations of responses and other statistical an</w:t>
      </w:r>
      <w:r w:rsidR="00716DBE" w:rsidRPr="0065676E">
        <w:t xml:space="preserve">alyses. We will </w:t>
      </w:r>
      <w:r w:rsidR="00062D97" w:rsidRPr="0065676E">
        <w:t>examine</w:t>
      </w:r>
      <w:r w:rsidR="00AA12BC" w:rsidRPr="0065676E">
        <w:t xml:space="preserve"> the quantity and type of consumer</w:t>
      </w:r>
      <w:r w:rsidR="00FA7209" w:rsidRPr="0065676E">
        <w:t>-</w:t>
      </w:r>
      <w:r w:rsidR="00AA12BC" w:rsidRPr="0065676E">
        <w:t>reported patient safety events</w:t>
      </w:r>
      <w:r w:rsidR="00AE0E3B" w:rsidRPr="0065676E">
        <w:t xml:space="preserve"> and </w:t>
      </w:r>
      <w:r w:rsidRPr="0065676E">
        <w:t>examine the variability of responses to questions</w:t>
      </w:r>
      <w:r w:rsidR="00AE0E3B" w:rsidRPr="0065676E">
        <w:t xml:space="preserve">. </w:t>
      </w:r>
      <w:r w:rsidR="00BD3FC8" w:rsidRPr="0065676E">
        <w:t xml:space="preserve">The </w:t>
      </w:r>
      <w:r w:rsidR="00A81C0D" w:rsidRPr="0065676E">
        <w:t xml:space="preserve">main two </w:t>
      </w:r>
      <w:r w:rsidR="00BD3FC8" w:rsidRPr="0065676E">
        <w:t xml:space="preserve">event types are: </w:t>
      </w:r>
      <w:r w:rsidR="00A81C0D" w:rsidRPr="0065676E">
        <w:t xml:space="preserve">medical mistake or error and </w:t>
      </w:r>
      <w:r w:rsidR="00635E40" w:rsidRPr="0065676E">
        <w:t>negative eff</w:t>
      </w:r>
      <w:r w:rsidR="00C2305C" w:rsidRPr="0065676E">
        <w:t>ects</w:t>
      </w:r>
      <w:r w:rsidR="00A81C0D" w:rsidRPr="0065676E">
        <w:t xml:space="preserve">. We will also examine </w:t>
      </w:r>
      <w:r w:rsidR="00227AAD" w:rsidRPr="0065676E">
        <w:t>the distribution of</w:t>
      </w:r>
      <w:r w:rsidR="00B3179F" w:rsidRPr="0065676E">
        <w:t xml:space="preserve"> negative effect</w:t>
      </w:r>
      <w:r w:rsidR="00227AAD" w:rsidRPr="0065676E">
        <w:t xml:space="preserve">s that were reported </w:t>
      </w:r>
      <w:r w:rsidR="00B3179F" w:rsidRPr="0065676E">
        <w:t>related to medicine, a test, procedure or surgery, pregnancy or childbirth, a diagnosis or medical advice or unsanitary care. These analyses</w:t>
      </w:r>
      <w:r w:rsidR="00BD3FC8" w:rsidRPr="0065676E">
        <w:t xml:space="preserve"> will provide </w:t>
      </w:r>
      <w:r w:rsidR="00B3179F" w:rsidRPr="0065676E">
        <w:t>a descriptive overview of the quantity and</w:t>
      </w:r>
      <w:r w:rsidR="00AE0E3B" w:rsidRPr="0065676E">
        <w:t xml:space="preserve"> type</w:t>
      </w:r>
      <w:r w:rsidR="00B3179F" w:rsidRPr="0065676E">
        <w:t xml:space="preserve"> of </w:t>
      </w:r>
      <w:r w:rsidR="00E830F1" w:rsidRPr="0065676E">
        <w:t>events reported/</w:t>
      </w:r>
      <w:r w:rsidR="00AE0E3B" w:rsidRPr="0065676E">
        <w:t xml:space="preserve">submitted. </w:t>
      </w:r>
    </w:p>
    <w:p w:rsidR="00AE0E3B" w:rsidRPr="0065676E" w:rsidRDefault="00AE0E3B" w:rsidP="007C20F0"/>
    <w:p w:rsidR="00766E7A" w:rsidRPr="0065676E" w:rsidRDefault="00AE0E3B" w:rsidP="007C20F0">
      <w:r w:rsidRPr="0065676E">
        <w:t xml:space="preserve">We will </w:t>
      </w:r>
      <w:r w:rsidR="00E40B4A" w:rsidRPr="0065676E">
        <w:t>examine the mode of data collection by event types</w:t>
      </w:r>
      <w:r w:rsidR="00E830F1" w:rsidRPr="0065676E">
        <w:t xml:space="preserve">, negative effect type, </w:t>
      </w:r>
      <w:r w:rsidR="00DB32AA" w:rsidRPr="0065676E">
        <w:t>and setting</w:t>
      </w:r>
      <w:r w:rsidR="00E830F1" w:rsidRPr="0065676E">
        <w:t xml:space="preserve"> of event</w:t>
      </w:r>
      <w:r w:rsidR="00CF73AA" w:rsidRPr="0065676E">
        <w:t xml:space="preserve"> (including institutionalized </w:t>
      </w:r>
      <w:r w:rsidR="00660DCC" w:rsidRPr="0065676E">
        <w:t>vs.</w:t>
      </w:r>
      <w:r w:rsidR="00CF73AA" w:rsidRPr="0065676E">
        <w:t xml:space="preserve"> inpatient </w:t>
      </w:r>
      <w:r w:rsidR="00660DCC" w:rsidRPr="0065676E">
        <w:t>vs.</w:t>
      </w:r>
      <w:r w:rsidR="00CF73AA" w:rsidRPr="0065676E">
        <w:t xml:space="preserve"> outpatient)</w:t>
      </w:r>
      <w:r w:rsidR="00E830F1" w:rsidRPr="0065676E">
        <w:t xml:space="preserve">, </w:t>
      </w:r>
      <w:r w:rsidR="001D75BD" w:rsidRPr="0065676E">
        <w:t xml:space="preserve">who reported event, </w:t>
      </w:r>
      <w:r w:rsidR="001D75BD" w:rsidRPr="0065676E">
        <w:lastRenderedPageBreak/>
        <w:t>if healthcare was changed as a result of the event</w:t>
      </w:r>
      <w:r w:rsidR="00C2305C" w:rsidRPr="0065676E">
        <w:t>.</w:t>
      </w:r>
      <w:r w:rsidR="006C074D" w:rsidRPr="0065676E">
        <w:t xml:space="preserve"> </w:t>
      </w:r>
      <w:r w:rsidR="00C2305C" w:rsidRPr="0065676E">
        <w:t>F</w:t>
      </w:r>
      <w:r w:rsidR="006C074D" w:rsidRPr="0065676E">
        <w:t>or example</w:t>
      </w:r>
      <w:r w:rsidR="00C2305C" w:rsidRPr="0065676E">
        <w:t>, we will evaluate whether the quantity or nature of the web-based reports are significantly different than the phone-reported events.</w:t>
      </w:r>
      <w:r w:rsidR="00E40B4A" w:rsidRPr="0065676E">
        <w:t xml:space="preserve"> </w:t>
      </w:r>
      <w:r w:rsidR="004158CB" w:rsidRPr="0065676E">
        <w:t>In addition, we</w:t>
      </w:r>
      <w:r w:rsidR="00EE5FED" w:rsidRPr="0065676E">
        <w:t xml:space="preserve"> will </w:t>
      </w:r>
      <w:r w:rsidR="004158CB" w:rsidRPr="0065676E">
        <w:t xml:space="preserve">examine if </w:t>
      </w:r>
      <w:r w:rsidR="00C2305C" w:rsidRPr="0065676E">
        <w:t xml:space="preserve">the quantity or </w:t>
      </w:r>
      <w:r w:rsidR="00DB32AA" w:rsidRPr="0065676E">
        <w:t>nature of</w:t>
      </w:r>
      <w:r w:rsidR="00C2305C" w:rsidRPr="0065676E">
        <w:t xml:space="preserve"> the reports varies based on how they learned about the system (e.g.,</w:t>
      </w:r>
      <w:r w:rsidR="008F7442" w:rsidRPr="0065676E">
        <w:t xml:space="preserve"> from an HCAHPS survey, a kiosk, </w:t>
      </w:r>
      <w:r w:rsidR="00EA1902" w:rsidRPr="0065676E">
        <w:t>or the other specific marketing methods</w:t>
      </w:r>
      <w:r w:rsidR="00F116FD" w:rsidRPr="0065676E">
        <w:t xml:space="preserve"> (Question 6.</w:t>
      </w:r>
      <w:r w:rsidR="006F2D21">
        <w:t>8</w:t>
      </w:r>
      <w:r w:rsidR="00F116FD" w:rsidRPr="0065676E">
        <w:t>)</w:t>
      </w:r>
      <w:r w:rsidR="00C2305C" w:rsidRPr="0065676E">
        <w:t>)</w:t>
      </w:r>
      <w:r w:rsidR="00EA1902" w:rsidRPr="0065676E">
        <w:t>. The specific marketing methods</w:t>
      </w:r>
      <w:r w:rsidR="00DB32AA" w:rsidRPr="0065676E">
        <w:t xml:space="preserve"> th</w:t>
      </w:r>
      <w:r w:rsidR="00C2305C" w:rsidRPr="0065676E">
        <w:t>at will be evaluated</w:t>
      </w:r>
      <w:r w:rsidR="00EA1902" w:rsidRPr="0065676E">
        <w:t xml:space="preserve"> are contingent upon the interest </w:t>
      </w:r>
      <w:r w:rsidR="00C2305C" w:rsidRPr="0065676E">
        <w:t>and resources available in</w:t>
      </w:r>
      <w:r w:rsidR="00EA1902" w:rsidRPr="0065676E">
        <w:t xml:space="preserve"> the pilot community selected</w:t>
      </w:r>
      <w:r w:rsidR="008F7442" w:rsidRPr="0065676E">
        <w:t xml:space="preserve">. </w:t>
      </w:r>
      <w:r w:rsidR="002D319F" w:rsidRPr="0065676E">
        <w:t xml:space="preserve"> </w:t>
      </w:r>
      <w:r w:rsidR="006F23CA" w:rsidRPr="0065676E">
        <w:t xml:space="preserve">We will </w:t>
      </w:r>
      <w:r w:rsidR="00DB32AA" w:rsidRPr="0065676E">
        <w:t>also evaluate which demographic characteristics are associated with a reporter’s willingness</w:t>
      </w:r>
      <w:r w:rsidR="00F116FD" w:rsidRPr="0065676E">
        <w:t xml:space="preserve"> to be </w:t>
      </w:r>
      <w:r w:rsidR="00DB32AA" w:rsidRPr="0065676E">
        <w:t>re-</w:t>
      </w:r>
      <w:r w:rsidR="00F116FD" w:rsidRPr="0065676E">
        <w:t>contacted for clarification.</w:t>
      </w:r>
      <w:r w:rsidR="00552758" w:rsidRPr="0065676E">
        <w:t xml:space="preserve"> </w:t>
      </w:r>
      <w:r w:rsidR="00DB32AA" w:rsidRPr="0065676E">
        <w:t>Finally, i</w:t>
      </w:r>
      <w:r w:rsidR="00552758" w:rsidRPr="0065676E">
        <w:t xml:space="preserve">f sample size allows, we will </w:t>
      </w:r>
      <w:r w:rsidR="00DB32AA" w:rsidRPr="0065676E">
        <w:t xml:space="preserve">also evaluate whether or not </w:t>
      </w:r>
      <w:r w:rsidR="00552758" w:rsidRPr="0065676E">
        <w:t>heath care provider</w:t>
      </w:r>
      <w:r w:rsidR="00DB32AA" w:rsidRPr="0065676E">
        <w:t>s</w:t>
      </w:r>
      <w:r w:rsidR="00552758" w:rsidRPr="0065676E">
        <w:t xml:space="preserve"> making special effort</w:t>
      </w:r>
      <w:r w:rsidR="00DB32AA" w:rsidRPr="0065676E">
        <w:t>s</w:t>
      </w:r>
      <w:r w:rsidR="00552758" w:rsidRPr="0065676E">
        <w:t xml:space="preserve"> to help the patient</w:t>
      </w:r>
      <w:r w:rsidR="00DB32AA" w:rsidRPr="0065676E">
        <w:t xml:space="preserve"> remediate the negative effects </w:t>
      </w:r>
      <w:r w:rsidR="00552758" w:rsidRPr="0065676E">
        <w:t xml:space="preserve"> is associated with </w:t>
      </w:r>
      <w:r w:rsidR="00DB32AA" w:rsidRPr="0065676E">
        <w:t xml:space="preserve">reduced likelihood of changing their healthcare provider. </w:t>
      </w:r>
      <w:r w:rsidR="00552758" w:rsidRPr="0065676E">
        <w:t>(Question 5.</w:t>
      </w:r>
      <w:r w:rsidR="00DB0187" w:rsidRPr="0065676E">
        <w:t>4</w:t>
      </w:r>
      <w:r w:rsidR="00552758" w:rsidRPr="0065676E">
        <w:t>).</w:t>
      </w:r>
    </w:p>
    <w:p w:rsidR="00DB32AA" w:rsidRPr="0065676E" w:rsidRDefault="00DB32AA" w:rsidP="007C20F0"/>
    <w:p w:rsidR="002D319F" w:rsidRPr="0065676E" w:rsidRDefault="002D319F" w:rsidP="007C20F0">
      <w:r w:rsidRPr="0065676E">
        <w:t xml:space="preserve">The results will be submitted for publication in health-related peer-review or social science research journals and other types of reports.   </w:t>
      </w:r>
    </w:p>
    <w:p w:rsidR="00D8453E" w:rsidRDefault="00D8453E" w:rsidP="007C20F0"/>
    <w:p w:rsidR="001E6E09" w:rsidRPr="001D5559" w:rsidRDefault="001E6E09" w:rsidP="007C20F0">
      <w:r w:rsidRPr="001D5559">
        <w:t>The table below presents the project’s current schedule:</w:t>
      </w:r>
    </w:p>
    <w:p w:rsidR="001E6E09" w:rsidRPr="00434CCE" w:rsidRDefault="001E6E09" w:rsidP="007C20F0">
      <w:pPr>
        <w:pStyle w:val="E1-Equation"/>
        <w:tabs>
          <w:tab w:val="clear" w:pos="4680"/>
          <w:tab w:val="clear" w:pos="9360"/>
        </w:tabs>
        <w:spacing w:line="240" w:lineRule="auto"/>
        <w:rPr>
          <w:sz w:val="8"/>
          <w:szCs w:val="8"/>
        </w:rPr>
      </w:pPr>
    </w:p>
    <w:tbl>
      <w:tblPr>
        <w:tblW w:w="0" w:type="auto"/>
        <w:tblInd w:w="648" w:type="dxa"/>
        <w:tblBorders>
          <w:top w:val="single" w:sz="12" w:space="0" w:color="008000"/>
          <w:left w:val="nil"/>
          <w:bottom w:val="single" w:sz="12" w:space="0" w:color="008000"/>
          <w:right w:val="nil"/>
          <w:insideH w:val="nil"/>
          <w:insideV w:val="nil"/>
        </w:tblBorders>
        <w:tblLayout w:type="fixed"/>
        <w:tblLook w:val="00A0"/>
      </w:tblPr>
      <w:tblGrid>
        <w:gridCol w:w="4770"/>
        <w:gridCol w:w="3240"/>
      </w:tblGrid>
      <w:tr w:rsidR="001E6E09" w:rsidRPr="0065676E" w:rsidTr="001E6E09">
        <w:tc>
          <w:tcPr>
            <w:tcW w:w="4770" w:type="dxa"/>
            <w:tcBorders>
              <w:bottom w:val="single" w:sz="6" w:space="0" w:color="008000"/>
            </w:tcBorders>
          </w:tcPr>
          <w:p w:rsidR="001E6E09" w:rsidRPr="00BC2F34" w:rsidRDefault="00246C8A" w:rsidP="007C20F0">
            <w:pPr>
              <w:rPr>
                <w:b/>
              </w:rPr>
            </w:pPr>
            <w:r>
              <w:rPr>
                <w:b/>
              </w:rPr>
              <w:t>TASK/ACTIVITY</w:t>
            </w:r>
          </w:p>
        </w:tc>
        <w:tc>
          <w:tcPr>
            <w:tcW w:w="3240" w:type="dxa"/>
            <w:tcBorders>
              <w:bottom w:val="single" w:sz="6" w:space="0" w:color="008000"/>
            </w:tcBorders>
          </w:tcPr>
          <w:p w:rsidR="001E6E09" w:rsidRPr="00BC2F34" w:rsidRDefault="001E6E09" w:rsidP="00E25F5D">
            <w:pPr>
              <w:pStyle w:val="Heading6"/>
              <w:spacing w:before="0" w:after="0"/>
              <w:ind w:right="-198"/>
              <w:rPr>
                <w:caps/>
                <w:sz w:val="24"/>
                <w:szCs w:val="24"/>
              </w:rPr>
            </w:pPr>
            <w:r w:rsidRPr="00BC2F34">
              <w:rPr>
                <w:caps/>
                <w:sz w:val="24"/>
                <w:szCs w:val="24"/>
              </w:rPr>
              <w:t xml:space="preserve">Timeline and Proposed </w:t>
            </w:r>
          </w:p>
          <w:p w:rsidR="001E6E09" w:rsidRPr="0065676E" w:rsidRDefault="00246C8A" w:rsidP="00E25F5D">
            <w:pPr>
              <w:ind w:right="-198"/>
              <w:rPr>
                <w:b/>
              </w:rPr>
            </w:pPr>
            <w:r>
              <w:rPr>
                <w:b/>
              </w:rPr>
              <w:t>DATE OF COMPLETION</w:t>
            </w:r>
          </w:p>
        </w:tc>
      </w:tr>
      <w:tr w:rsidR="001E6E09" w:rsidRPr="00342056" w:rsidTr="001E6E09">
        <w:tc>
          <w:tcPr>
            <w:tcW w:w="4770" w:type="dxa"/>
          </w:tcPr>
          <w:p w:rsidR="001E6E09" w:rsidRPr="00434CCE" w:rsidRDefault="001E6E09" w:rsidP="007C20F0">
            <w:pPr>
              <w:rPr>
                <w:sz w:val="8"/>
                <w:szCs w:val="8"/>
              </w:rPr>
            </w:pPr>
          </w:p>
        </w:tc>
        <w:tc>
          <w:tcPr>
            <w:tcW w:w="3240" w:type="dxa"/>
          </w:tcPr>
          <w:p w:rsidR="001E6E09" w:rsidRPr="00434CCE" w:rsidRDefault="001E6E09" w:rsidP="007C20F0">
            <w:pPr>
              <w:rPr>
                <w:sz w:val="8"/>
                <w:szCs w:val="8"/>
              </w:rPr>
            </w:pPr>
          </w:p>
        </w:tc>
      </w:tr>
      <w:tr w:rsidR="001E6E09" w:rsidRPr="0065676E" w:rsidTr="001E6E09">
        <w:tc>
          <w:tcPr>
            <w:tcW w:w="4770" w:type="dxa"/>
          </w:tcPr>
          <w:p w:rsidR="00E358A7" w:rsidRDefault="00E358A7" w:rsidP="007C20F0">
            <w:r w:rsidRPr="00C06C9F">
              <w:rPr>
                <w:u w:val="single"/>
              </w:rPr>
              <w:t>Base Period</w:t>
            </w:r>
            <w:r>
              <w:t>:</w:t>
            </w:r>
          </w:p>
          <w:p w:rsidR="001E6E09" w:rsidRPr="0065676E" w:rsidRDefault="001E6E09" w:rsidP="007C20F0">
            <w:r w:rsidRPr="0065676E">
              <w:t xml:space="preserve">Complete </w:t>
            </w:r>
            <w:r w:rsidR="008E7D83">
              <w:t xml:space="preserve">intake </w:t>
            </w:r>
            <w:r w:rsidRPr="0065676E">
              <w:t>form</w:t>
            </w:r>
            <w:r w:rsidR="00B00421" w:rsidRPr="0065676E">
              <w:t>s</w:t>
            </w:r>
            <w:r w:rsidRPr="0065676E">
              <w:t xml:space="preserve"> </w:t>
            </w:r>
          </w:p>
        </w:tc>
        <w:tc>
          <w:tcPr>
            <w:tcW w:w="3240" w:type="dxa"/>
          </w:tcPr>
          <w:p w:rsidR="00E358A7" w:rsidRDefault="00E358A7" w:rsidP="007C20F0"/>
          <w:p w:rsidR="001E6E09" w:rsidRPr="0065676E" w:rsidRDefault="001E6E09" w:rsidP="007C20F0">
            <w:r w:rsidRPr="0065676E">
              <w:t>May 2012</w:t>
            </w:r>
          </w:p>
        </w:tc>
      </w:tr>
      <w:tr w:rsidR="001E6E09" w:rsidRPr="0065676E" w:rsidTr="001E6E09">
        <w:tc>
          <w:tcPr>
            <w:tcW w:w="4770" w:type="dxa"/>
          </w:tcPr>
          <w:p w:rsidR="001E6E09" w:rsidRPr="0065676E" w:rsidRDefault="001E6E09" w:rsidP="007C20F0">
            <w:r w:rsidRPr="0065676E">
              <w:t xml:space="preserve">Submit 60 and 30 day notice </w:t>
            </w:r>
          </w:p>
          <w:p w:rsidR="001E6E09" w:rsidRPr="0065676E" w:rsidRDefault="001E6E09" w:rsidP="007C20F0">
            <w:r w:rsidRPr="0065676E">
              <w:t xml:space="preserve">Submit OMB package </w:t>
            </w:r>
          </w:p>
        </w:tc>
        <w:tc>
          <w:tcPr>
            <w:tcW w:w="3240" w:type="dxa"/>
          </w:tcPr>
          <w:p w:rsidR="001E6E09" w:rsidRPr="0065676E" w:rsidRDefault="00214371" w:rsidP="007C20F0">
            <w:r w:rsidRPr="0065676E">
              <w:t>June 2012</w:t>
            </w:r>
          </w:p>
          <w:p w:rsidR="001E6E09" w:rsidRPr="0065676E" w:rsidRDefault="00B64041" w:rsidP="007C20F0">
            <w:r>
              <w:t xml:space="preserve">May </w:t>
            </w:r>
            <w:r w:rsidR="007B135A">
              <w:t>2013</w:t>
            </w:r>
          </w:p>
        </w:tc>
      </w:tr>
      <w:tr w:rsidR="001E6E09" w:rsidRPr="0065676E" w:rsidTr="001E6E09">
        <w:tc>
          <w:tcPr>
            <w:tcW w:w="4770" w:type="dxa"/>
          </w:tcPr>
          <w:p w:rsidR="001E6E09" w:rsidRPr="0065676E" w:rsidRDefault="001E6E09" w:rsidP="002549BE">
            <w:pPr>
              <w:pStyle w:val="E1-Equation"/>
              <w:tabs>
                <w:tab w:val="clear" w:pos="4680"/>
                <w:tab w:val="clear" w:pos="9360"/>
              </w:tabs>
              <w:spacing w:line="240" w:lineRule="auto"/>
              <w:jc w:val="left"/>
              <w:rPr>
                <w:sz w:val="24"/>
                <w:szCs w:val="24"/>
              </w:rPr>
            </w:pPr>
            <w:r w:rsidRPr="0065676E">
              <w:rPr>
                <w:sz w:val="24"/>
                <w:szCs w:val="24"/>
              </w:rPr>
              <w:t xml:space="preserve">Write </w:t>
            </w:r>
            <w:r w:rsidR="005B49C7" w:rsidRPr="0065676E">
              <w:rPr>
                <w:sz w:val="24"/>
                <w:szCs w:val="24"/>
              </w:rPr>
              <w:t>/s</w:t>
            </w:r>
            <w:r w:rsidRPr="0065676E">
              <w:rPr>
                <w:sz w:val="24"/>
                <w:szCs w:val="24"/>
              </w:rPr>
              <w:t xml:space="preserve">ubmit </w:t>
            </w:r>
            <w:r w:rsidR="002549BE">
              <w:rPr>
                <w:sz w:val="24"/>
                <w:szCs w:val="24"/>
              </w:rPr>
              <w:t>Base Year</w:t>
            </w:r>
            <w:r w:rsidR="002549BE" w:rsidRPr="0065676E">
              <w:rPr>
                <w:sz w:val="24"/>
                <w:szCs w:val="24"/>
              </w:rPr>
              <w:t xml:space="preserve"> </w:t>
            </w:r>
            <w:r w:rsidRPr="0065676E">
              <w:rPr>
                <w:sz w:val="24"/>
                <w:szCs w:val="24"/>
              </w:rPr>
              <w:t>Report</w:t>
            </w:r>
          </w:p>
        </w:tc>
        <w:tc>
          <w:tcPr>
            <w:tcW w:w="3240" w:type="dxa"/>
          </w:tcPr>
          <w:p w:rsidR="001E6E09" w:rsidRPr="0065676E" w:rsidRDefault="004870DF" w:rsidP="007C20F0">
            <w:r>
              <w:t>September 2013</w:t>
            </w:r>
          </w:p>
        </w:tc>
      </w:tr>
      <w:tr w:rsidR="00E358A7" w:rsidRPr="0065676E" w:rsidTr="00E358A7">
        <w:tc>
          <w:tcPr>
            <w:tcW w:w="4770" w:type="dxa"/>
          </w:tcPr>
          <w:p w:rsidR="00E358A7" w:rsidRDefault="00E358A7" w:rsidP="00E358A7">
            <w:r w:rsidRPr="00C06C9F">
              <w:rPr>
                <w:u w:val="single"/>
              </w:rPr>
              <w:t>Option Years</w:t>
            </w:r>
            <w:r>
              <w:t>:</w:t>
            </w:r>
          </w:p>
          <w:p w:rsidR="004870DF" w:rsidRDefault="004870DF" w:rsidP="00E358A7">
            <w:pPr>
              <w:pStyle w:val="E1-Equation"/>
              <w:tabs>
                <w:tab w:val="clear" w:pos="4680"/>
                <w:tab w:val="clear" w:pos="9360"/>
              </w:tabs>
              <w:spacing w:line="240" w:lineRule="auto"/>
              <w:jc w:val="left"/>
              <w:rPr>
                <w:sz w:val="24"/>
                <w:szCs w:val="24"/>
              </w:rPr>
            </w:pPr>
            <w:r>
              <w:rPr>
                <w:sz w:val="24"/>
                <w:szCs w:val="24"/>
              </w:rPr>
              <w:t>Collect reports</w:t>
            </w:r>
          </w:p>
          <w:p w:rsidR="00E358A7" w:rsidRPr="0065676E" w:rsidRDefault="00E358A7" w:rsidP="00E358A7">
            <w:pPr>
              <w:pStyle w:val="E1-Equation"/>
              <w:tabs>
                <w:tab w:val="clear" w:pos="4680"/>
                <w:tab w:val="clear" w:pos="9360"/>
              </w:tabs>
              <w:spacing w:line="240" w:lineRule="auto"/>
              <w:jc w:val="left"/>
              <w:rPr>
                <w:sz w:val="24"/>
                <w:szCs w:val="24"/>
              </w:rPr>
            </w:pPr>
            <w:r w:rsidRPr="0065676E">
              <w:rPr>
                <w:sz w:val="24"/>
                <w:szCs w:val="24"/>
              </w:rPr>
              <w:t>Write /submit Final Report</w:t>
            </w:r>
          </w:p>
        </w:tc>
        <w:tc>
          <w:tcPr>
            <w:tcW w:w="3240" w:type="dxa"/>
          </w:tcPr>
          <w:p w:rsidR="00E358A7" w:rsidRDefault="00E358A7" w:rsidP="00E358A7"/>
          <w:p w:rsidR="004870DF" w:rsidRDefault="004870DF" w:rsidP="00E358A7">
            <w:r>
              <w:t>Oct</w:t>
            </w:r>
            <w:r w:rsidRPr="0065676E">
              <w:t xml:space="preserve"> 2013 –May </w:t>
            </w:r>
            <w:r>
              <w:t>2015</w:t>
            </w:r>
          </w:p>
          <w:p w:rsidR="00E358A7" w:rsidRPr="0065676E" w:rsidRDefault="00E358A7" w:rsidP="00E358A7">
            <w:r w:rsidRPr="0065676E">
              <w:t>August 2015</w:t>
            </w:r>
          </w:p>
        </w:tc>
      </w:tr>
      <w:tr w:rsidR="001E6E09" w:rsidRPr="0065676E" w:rsidTr="001E6E09">
        <w:tc>
          <w:tcPr>
            <w:tcW w:w="4770" w:type="dxa"/>
          </w:tcPr>
          <w:p w:rsidR="001E6E09" w:rsidRPr="0065676E" w:rsidRDefault="001E6E09" w:rsidP="007C20F0">
            <w:r w:rsidRPr="0065676E">
              <w:t xml:space="preserve">Write </w:t>
            </w:r>
            <w:r w:rsidR="005B49C7" w:rsidRPr="0065676E">
              <w:t>/s</w:t>
            </w:r>
            <w:r w:rsidRPr="0065676E">
              <w:t>ubmit papers for professional journals</w:t>
            </w:r>
          </w:p>
        </w:tc>
        <w:tc>
          <w:tcPr>
            <w:tcW w:w="3240" w:type="dxa"/>
          </w:tcPr>
          <w:p w:rsidR="001E6E09" w:rsidRPr="0065676E" w:rsidRDefault="00D35B4C" w:rsidP="007C20F0">
            <w:r w:rsidRPr="0065676E">
              <w:t>April 30</w:t>
            </w:r>
            <w:r w:rsidRPr="0065676E">
              <w:rPr>
                <w:vertAlign w:val="superscript"/>
              </w:rPr>
              <w:t>th</w:t>
            </w:r>
            <w:r w:rsidRPr="0065676E">
              <w:t xml:space="preserve"> </w:t>
            </w:r>
            <w:r w:rsidR="00EF55FA" w:rsidRPr="0065676E">
              <w:t>201</w:t>
            </w:r>
            <w:r w:rsidR="00DF2FBC" w:rsidRPr="0065676E">
              <w:t>6</w:t>
            </w:r>
          </w:p>
        </w:tc>
      </w:tr>
    </w:tbl>
    <w:p w:rsidR="007C20F0" w:rsidRPr="00434CCE" w:rsidRDefault="007C20F0" w:rsidP="007C20F0">
      <w:pPr>
        <w:pStyle w:val="Heading2"/>
        <w:spacing w:before="0" w:after="0"/>
        <w:rPr>
          <w:rFonts w:ascii="Times New Roman" w:hAnsi="Times New Roman" w:cs="Times New Roman"/>
          <w:sz w:val="20"/>
          <w:szCs w:val="20"/>
        </w:rPr>
      </w:pPr>
      <w:bookmarkStart w:id="41" w:name="_Toc151782196"/>
      <w:bookmarkStart w:id="42" w:name="_Toc158526232"/>
      <w:bookmarkEnd w:id="40"/>
    </w:p>
    <w:p w:rsidR="009B633D" w:rsidRPr="0065676E" w:rsidRDefault="009B633D" w:rsidP="007C20F0">
      <w:pPr>
        <w:pStyle w:val="Heading2"/>
        <w:spacing w:before="0" w:after="0"/>
        <w:rPr>
          <w:rFonts w:ascii="Times New Roman" w:hAnsi="Times New Roman" w:cs="Times New Roman"/>
          <w:sz w:val="24"/>
          <w:szCs w:val="24"/>
        </w:rPr>
      </w:pPr>
      <w:r w:rsidRPr="0065676E">
        <w:rPr>
          <w:rFonts w:ascii="Times New Roman" w:hAnsi="Times New Roman" w:cs="Times New Roman"/>
          <w:sz w:val="24"/>
          <w:szCs w:val="24"/>
        </w:rPr>
        <w:t>17. Exemption for Display of Expiration Date</w:t>
      </w:r>
      <w:bookmarkEnd w:id="41"/>
      <w:bookmarkEnd w:id="42"/>
    </w:p>
    <w:p w:rsidR="009B633D" w:rsidRPr="0065676E" w:rsidRDefault="009B633D" w:rsidP="007C20F0">
      <w:r w:rsidRPr="0065676E">
        <w:t>AHRQ does not seek this exemption.</w:t>
      </w:r>
    </w:p>
    <w:p w:rsidR="00BB7D72" w:rsidRPr="00434CCE" w:rsidRDefault="00BB7D72" w:rsidP="007C20F0">
      <w:pPr>
        <w:rPr>
          <w:sz w:val="20"/>
          <w:szCs w:val="20"/>
        </w:rPr>
      </w:pPr>
    </w:p>
    <w:p w:rsidR="00016560" w:rsidRPr="0065676E" w:rsidRDefault="00016560" w:rsidP="007C20F0">
      <w:pPr>
        <w:pStyle w:val="NormalWeb"/>
        <w:spacing w:before="0" w:beforeAutospacing="0" w:after="0" w:afterAutospacing="0"/>
        <w:rPr>
          <w:b/>
          <w:u w:val="single"/>
        </w:rPr>
      </w:pPr>
      <w:r w:rsidRPr="0065676E">
        <w:rPr>
          <w:b/>
          <w:u w:val="single"/>
        </w:rPr>
        <w:t>Attachments:</w:t>
      </w:r>
    </w:p>
    <w:p w:rsidR="006D5AB4" w:rsidRPr="0065676E" w:rsidRDefault="000E25E9" w:rsidP="007C20F0">
      <w:pPr>
        <w:contextualSpacing/>
        <w:rPr>
          <w:b/>
        </w:rPr>
      </w:pPr>
      <w:r w:rsidRPr="0065676E">
        <w:rPr>
          <w:b/>
        </w:rPr>
        <w:t xml:space="preserve">Attachment A: </w:t>
      </w:r>
      <w:r w:rsidR="00A608DB">
        <w:rPr>
          <w:b/>
        </w:rPr>
        <w:t>I</w:t>
      </w:r>
      <w:r w:rsidR="00492C5F" w:rsidRPr="0065676E">
        <w:rPr>
          <w:b/>
        </w:rPr>
        <w:t>ntroductory pages</w:t>
      </w:r>
      <w:r w:rsidR="006D5AB4" w:rsidRPr="0065676E">
        <w:rPr>
          <w:b/>
        </w:rPr>
        <w:t xml:space="preserve"> of website</w:t>
      </w:r>
    </w:p>
    <w:p w:rsidR="006D5AB4" w:rsidRPr="0065676E" w:rsidRDefault="000E25E9" w:rsidP="007C20F0">
      <w:pPr>
        <w:contextualSpacing/>
        <w:rPr>
          <w:b/>
        </w:rPr>
      </w:pPr>
      <w:r w:rsidRPr="0065676E">
        <w:rPr>
          <w:b/>
        </w:rPr>
        <w:t xml:space="preserve">Attachment B: </w:t>
      </w:r>
      <w:r w:rsidR="00A608DB">
        <w:rPr>
          <w:b/>
        </w:rPr>
        <w:t>I</w:t>
      </w:r>
      <w:r w:rsidR="006D5AB4" w:rsidRPr="0065676E">
        <w:rPr>
          <w:b/>
        </w:rPr>
        <w:t xml:space="preserve">ntake </w:t>
      </w:r>
      <w:r w:rsidR="00554196" w:rsidRPr="0065676E">
        <w:rPr>
          <w:b/>
        </w:rPr>
        <w:t>r</w:t>
      </w:r>
      <w:r w:rsidR="007F3118" w:rsidRPr="0065676E">
        <w:rPr>
          <w:b/>
        </w:rPr>
        <w:t xml:space="preserve">eporting </w:t>
      </w:r>
      <w:r w:rsidR="006D5AB4" w:rsidRPr="0065676E">
        <w:rPr>
          <w:b/>
        </w:rPr>
        <w:t>form – web version</w:t>
      </w:r>
    </w:p>
    <w:p w:rsidR="006D5AB4" w:rsidRPr="0065676E" w:rsidRDefault="000E25E9" w:rsidP="007C20F0">
      <w:pPr>
        <w:contextualSpacing/>
        <w:rPr>
          <w:b/>
        </w:rPr>
      </w:pPr>
      <w:r w:rsidRPr="0065676E">
        <w:rPr>
          <w:b/>
        </w:rPr>
        <w:t xml:space="preserve">Attachment C: </w:t>
      </w:r>
      <w:r w:rsidR="00492C5F" w:rsidRPr="0065676E">
        <w:rPr>
          <w:b/>
        </w:rPr>
        <w:t xml:space="preserve">FAQs </w:t>
      </w:r>
      <w:r w:rsidR="00554196" w:rsidRPr="0065676E">
        <w:rPr>
          <w:b/>
        </w:rPr>
        <w:t>list</w:t>
      </w:r>
    </w:p>
    <w:p w:rsidR="006D5AB4" w:rsidRPr="0065676E" w:rsidRDefault="00492C5F" w:rsidP="007C20F0">
      <w:pPr>
        <w:contextualSpacing/>
        <w:rPr>
          <w:b/>
        </w:rPr>
      </w:pPr>
      <w:r w:rsidRPr="0065676E">
        <w:rPr>
          <w:b/>
        </w:rPr>
        <w:t xml:space="preserve">Attachment </w:t>
      </w:r>
      <w:r w:rsidR="00D70F73">
        <w:rPr>
          <w:b/>
        </w:rPr>
        <w:t>D</w:t>
      </w:r>
      <w:r w:rsidR="000E25E9" w:rsidRPr="0065676E">
        <w:rPr>
          <w:b/>
        </w:rPr>
        <w:t xml:space="preserve">: </w:t>
      </w:r>
      <w:r w:rsidR="006D5AB4" w:rsidRPr="0065676E">
        <w:rPr>
          <w:b/>
        </w:rPr>
        <w:t xml:space="preserve"> </w:t>
      </w:r>
      <w:r w:rsidR="00A57DCC">
        <w:rPr>
          <w:b/>
        </w:rPr>
        <w:t>I</w:t>
      </w:r>
      <w:r w:rsidR="006D5AB4" w:rsidRPr="0065676E">
        <w:rPr>
          <w:b/>
        </w:rPr>
        <w:t xml:space="preserve">ntake </w:t>
      </w:r>
      <w:r w:rsidR="00554196" w:rsidRPr="0065676E">
        <w:rPr>
          <w:b/>
        </w:rPr>
        <w:t xml:space="preserve">reporting </w:t>
      </w:r>
      <w:r w:rsidR="006D5AB4" w:rsidRPr="0065676E">
        <w:rPr>
          <w:b/>
        </w:rPr>
        <w:t>form – phone version</w:t>
      </w:r>
    </w:p>
    <w:p w:rsidR="006D5AB4" w:rsidRPr="0065676E" w:rsidRDefault="00492C5F" w:rsidP="007C20F0">
      <w:pPr>
        <w:contextualSpacing/>
        <w:rPr>
          <w:b/>
        </w:rPr>
      </w:pPr>
      <w:r w:rsidRPr="0065676E">
        <w:rPr>
          <w:b/>
        </w:rPr>
        <w:t xml:space="preserve">Attachment </w:t>
      </w:r>
      <w:r w:rsidR="00D70F73">
        <w:rPr>
          <w:b/>
        </w:rPr>
        <w:t>E</w:t>
      </w:r>
      <w:r w:rsidR="000E25E9" w:rsidRPr="0065676E">
        <w:rPr>
          <w:b/>
        </w:rPr>
        <w:t xml:space="preserve">: </w:t>
      </w:r>
      <w:r w:rsidR="00DA7C44">
        <w:rPr>
          <w:b/>
        </w:rPr>
        <w:t>Intake reporting form follow up</w:t>
      </w:r>
    </w:p>
    <w:p w:rsidR="008512E2" w:rsidRPr="0065676E" w:rsidRDefault="008512E2" w:rsidP="007C20F0">
      <w:pPr>
        <w:contextualSpacing/>
        <w:rPr>
          <w:b/>
        </w:rPr>
      </w:pPr>
      <w:r w:rsidRPr="0065676E">
        <w:rPr>
          <w:b/>
        </w:rPr>
        <w:t xml:space="preserve">Attachment </w:t>
      </w:r>
      <w:r w:rsidR="00D70F73">
        <w:rPr>
          <w:b/>
        </w:rPr>
        <w:t>F</w:t>
      </w:r>
      <w:r w:rsidRPr="0065676E">
        <w:rPr>
          <w:b/>
        </w:rPr>
        <w:t xml:space="preserve">: </w:t>
      </w:r>
      <w:r w:rsidR="00C61DA4">
        <w:rPr>
          <w:b/>
        </w:rPr>
        <w:t>M</w:t>
      </w:r>
      <w:r w:rsidRPr="0065676E">
        <w:rPr>
          <w:b/>
        </w:rPr>
        <w:t>arketing flyer</w:t>
      </w:r>
    </w:p>
    <w:p w:rsidR="0083503C" w:rsidRPr="0065676E" w:rsidRDefault="0083503C" w:rsidP="007C20F0">
      <w:pPr>
        <w:ind w:right="-540"/>
        <w:contextualSpacing/>
        <w:rPr>
          <w:b/>
        </w:rPr>
      </w:pPr>
      <w:r w:rsidRPr="0065676E">
        <w:rPr>
          <w:b/>
        </w:rPr>
        <w:t xml:space="preserve">Attachment </w:t>
      </w:r>
      <w:r w:rsidR="00D70F73">
        <w:rPr>
          <w:b/>
        </w:rPr>
        <w:t>G</w:t>
      </w:r>
      <w:r w:rsidRPr="0065676E">
        <w:rPr>
          <w:b/>
        </w:rPr>
        <w:t xml:space="preserve">: </w:t>
      </w:r>
      <w:r w:rsidR="00C61DA4">
        <w:rPr>
          <w:b/>
        </w:rPr>
        <w:t>Health care provider f</w:t>
      </w:r>
      <w:r w:rsidR="00C61DA4" w:rsidRPr="00C61DA4">
        <w:rPr>
          <w:b/>
        </w:rPr>
        <w:t>ollow</w:t>
      </w:r>
      <w:r w:rsidR="008A0C22">
        <w:rPr>
          <w:b/>
        </w:rPr>
        <w:t>-</w:t>
      </w:r>
      <w:r w:rsidR="00C61DA4" w:rsidRPr="00C61DA4">
        <w:rPr>
          <w:b/>
        </w:rPr>
        <w:t>up</w:t>
      </w:r>
      <w:r w:rsidR="00C61DA4">
        <w:rPr>
          <w:b/>
        </w:rPr>
        <w:t xml:space="preserve"> form</w:t>
      </w:r>
    </w:p>
    <w:p w:rsidR="007C20F0" w:rsidRDefault="00B1748B" w:rsidP="007C20F0">
      <w:pPr>
        <w:pStyle w:val="NormalWeb"/>
        <w:spacing w:before="0" w:beforeAutospacing="0" w:after="0" w:afterAutospacing="0"/>
        <w:rPr>
          <w:b/>
          <w:bCs/>
        </w:rPr>
      </w:pPr>
      <w:r w:rsidRPr="0065676E">
        <w:rPr>
          <w:b/>
          <w:bCs/>
        </w:rPr>
        <w:t xml:space="preserve">Attachment </w:t>
      </w:r>
      <w:r w:rsidR="00565D59">
        <w:rPr>
          <w:b/>
          <w:bCs/>
        </w:rPr>
        <w:t>H</w:t>
      </w:r>
      <w:r w:rsidRPr="0065676E">
        <w:rPr>
          <w:b/>
          <w:bCs/>
        </w:rPr>
        <w:t xml:space="preserve">: </w:t>
      </w:r>
      <w:r w:rsidR="00342056">
        <w:rPr>
          <w:b/>
          <w:bCs/>
        </w:rPr>
        <w:t>Revisions and Responses to FRN Public Comments</w:t>
      </w:r>
    </w:p>
    <w:p w:rsidR="008E49EB" w:rsidRDefault="008E49EB" w:rsidP="007C20F0">
      <w:pPr>
        <w:pStyle w:val="NormalWeb"/>
        <w:spacing w:before="0" w:beforeAutospacing="0" w:after="0" w:afterAutospacing="0"/>
        <w:rPr>
          <w:b/>
          <w:bCs/>
        </w:rPr>
      </w:pPr>
      <w:r>
        <w:rPr>
          <w:b/>
          <w:bCs/>
        </w:rPr>
        <w:t xml:space="preserve">Attachment </w:t>
      </w:r>
      <w:r w:rsidR="00565D59">
        <w:rPr>
          <w:b/>
          <w:bCs/>
        </w:rPr>
        <w:t>I</w:t>
      </w:r>
      <w:r>
        <w:rPr>
          <w:b/>
          <w:bCs/>
        </w:rPr>
        <w:t xml:space="preserve">: </w:t>
      </w:r>
      <w:r w:rsidR="00E47C42">
        <w:rPr>
          <w:b/>
          <w:bCs/>
        </w:rPr>
        <w:t>Public</w:t>
      </w:r>
      <w:r>
        <w:rPr>
          <w:b/>
          <w:bCs/>
        </w:rPr>
        <w:t xml:space="preserve"> Comments</w:t>
      </w:r>
    </w:p>
    <w:p w:rsidR="00384D29" w:rsidRDefault="00384D29" w:rsidP="007C20F0">
      <w:pPr>
        <w:pStyle w:val="NormalWeb"/>
        <w:spacing w:before="0" w:beforeAutospacing="0" w:after="0" w:afterAutospacing="0"/>
        <w:rPr>
          <w:b/>
          <w:bCs/>
        </w:rPr>
      </w:pPr>
      <w:r>
        <w:rPr>
          <w:b/>
          <w:bCs/>
        </w:rPr>
        <w:t xml:space="preserve">Attachment J: </w:t>
      </w:r>
      <w:r w:rsidR="008A0C22">
        <w:rPr>
          <w:b/>
          <w:bCs/>
        </w:rPr>
        <w:t xml:space="preserve">Illustrative example of </w:t>
      </w:r>
      <w:r>
        <w:rPr>
          <w:b/>
          <w:bCs/>
        </w:rPr>
        <w:t>Non retaliation policy</w:t>
      </w:r>
    </w:p>
    <w:p w:rsidR="00384D29" w:rsidRDefault="00384D29" w:rsidP="007C20F0">
      <w:pPr>
        <w:pStyle w:val="NormalWeb"/>
        <w:spacing w:before="0" w:beforeAutospacing="0" w:after="0" w:afterAutospacing="0"/>
        <w:rPr>
          <w:b/>
          <w:bCs/>
        </w:rPr>
      </w:pPr>
      <w:r>
        <w:rPr>
          <w:b/>
          <w:bCs/>
        </w:rPr>
        <w:t xml:space="preserve">Attachment K: </w:t>
      </w:r>
      <w:r w:rsidR="008A0C22">
        <w:rPr>
          <w:b/>
          <w:bCs/>
        </w:rPr>
        <w:t xml:space="preserve">Illustrative example of </w:t>
      </w:r>
      <w:r>
        <w:rPr>
          <w:b/>
          <w:bCs/>
        </w:rPr>
        <w:t>No blame policy for providers</w:t>
      </w:r>
    </w:p>
    <w:p w:rsidR="00BE7E01" w:rsidRPr="0065676E" w:rsidRDefault="00BE7E01" w:rsidP="007C20F0">
      <w:pPr>
        <w:pStyle w:val="NormalWeb"/>
        <w:spacing w:before="0" w:beforeAutospacing="0" w:after="0" w:afterAutospacing="0"/>
        <w:rPr>
          <w:b/>
          <w:bCs/>
        </w:rPr>
      </w:pPr>
      <w:r>
        <w:rPr>
          <w:b/>
          <w:bCs/>
        </w:rPr>
        <w:t xml:space="preserve">Attachment </w:t>
      </w:r>
      <w:r w:rsidR="00384D29">
        <w:rPr>
          <w:b/>
          <w:bCs/>
        </w:rPr>
        <w:t>L</w:t>
      </w:r>
      <w:r>
        <w:rPr>
          <w:b/>
          <w:bCs/>
        </w:rPr>
        <w:t>: Federal Register Notice</w:t>
      </w:r>
    </w:p>
    <w:p w:rsidR="004E48FE" w:rsidRPr="0065676E" w:rsidRDefault="004E48FE" w:rsidP="007C20F0">
      <w:pPr>
        <w:pStyle w:val="NormalWeb"/>
        <w:spacing w:before="0" w:beforeAutospacing="0" w:after="0" w:afterAutospacing="0"/>
        <w:rPr>
          <w:b/>
          <w:bCs/>
          <w:u w:val="single"/>
        </w:rPr>
      </w:pPr>
      <w:r w:rsidRPr="0065676E">
        <w:rPr>
          <w:b/>
          <w:bCs/>
          <w:u w:val="single"/>
        </w:rPr>
        <w:t>References</w:t>
      </w:r>
    </w:p>
    <w:p w:rsidR="007C20F0" w:rsidRPr="0065676E" w:rsidRDefault="007C20F0" w:rsidP="007C20F0">
      <w:pPr>
        <w:rPr>
          <w:noProof/>
        </w:rPr>
      </w:pPr>
    </w:p>
    <w:p w:rsidR="0056477C" w:rsidRPr="0065676E" w:rsidRDefault="0056477C" w:rsidP="007C20F0">
      <w:pPr>
        <w:rPr>
          <w:noProof/>
          <w:u w:val="single"/>
        </w:rPr>
      </w:pPr>
      <w:r w:rsidRPr="0065676E">
        <w:rPr>
          <w:noProof/>
        </w:rPr>
        <w:lastRenderedPageBreak/>
        <w:t>AHRQ. Users guide version 1.1:  AHRQ common format for patient safety organizations. 2010. Available from:</w:t>
      </w:r>
      <w:r w:rsidR="00A73946" w:rsidRPr="0065676E">
        <w:rPr>
          <w:noProof/>
        </w:rPr>
        <w:t xml:space="preserve"> </w:t>
      </w:r>
      <w:hyperlink r:id="rId11" w:history="1">
        <w:r w:rsidR="00421210" w:rsidRPr="0065676E">
          <w:rPr>
            <w:rStyle w:val="Hyperlink"/>
            <w:noProof/>
            <w:color w:val="auto"/>
          </w:rPr>
          <w:t>https://w</w:t>
        </w:r>
        <w:r w:rsidRPr="0065676E">
          <w:rPr>
            <w:rStyle w:val="Hyperlink"/>
            <w:noProof/>
            <w:color w:val="auto"/>
          </w:rPr>
          <w:t>ww.psoppc.org/c/document_library/get_file?p_l_id=71042&amp;folderId=234034&amp;name=DLFE-8279.pdf</w:t>
        </w:r>
      </w:hyperlink>
    </w:p>
    <w:p w:rsidR="0056477C" w:rsidRPr="00EE1220" w:rsidRDefault="0056477C" w:rsidP="007C20F0">
      <w:pPr>
        <w:rPr>
          <w:noProof/>
        </w:rPr>
      </w:pPr>
    </w:p>
    <w:p w:rsidR="004E48FE" w:rsidRPr="00B35BAA" w:rsidRDefault="004E48FE" w:rsidP="007C20F0">
      <w:pPr>
        <w:rPr>
          <w:noProof/>
        </w:rPr>
      </w:pPr>
      <w:r w:rsidRPr="00BC2F34">
        <w:rPr>
          <w:noProof/>
        </w:rPr>
        <w:t>Institute of Medicine. Patient safety: Achieving a</w:t>
      </w:r>
      <w:r w:rsidRPr="00B35BAA">
        <w:rPr>
          <w:noProof/>
        </w:rPr>
        <w:t xml:space="preserve"> new standard of care. Washington, DC: National Academies Press; 2004</w:t>
      </w:r>
    </w:p>
    <w:p w:rsidR="004E48FE" w:rsidRPr="0065676E" w:rsidRDefault="004E48FE" w:rsidP="007C20F0">
      <w:pPr>
        <w:pStyle w:val="EndnoteText"/>
        <w:tabs>
          <w:tab w:val="left" w:pos="360"/>
          <w:tab w:val="left" w:pos="720"/>
          <w:tab w:val="left" w:pos="1080"/>
          <w:tab w:val="left" w:pos="4680"/>
          <w:tab w:val="left" w:pos="5940"/>
        </w:tabs>
        <w:rPr>
          <w:sz w:val="24"/>
          <w:szCs w:val="24"/>
        </w:rPr>
      </w:pPr>
    </w:p>
    <w:p w:rsidR="0056477C" w:rsidRPr="0065676E" w:rsidRDefault="0056477C" w:rsidP="007C20F0">
      <w:pPr>
        <w:widowControl w:val="0"/>
        <w:autoSpaceDE w:val="0"/>
        <w:autoSpaceDN w:val="0"/>
        <w:adjustRightInd w:val="0"/>
      </w:pPr>
      <w:r w:rsidRPr="0065676E">
        <w:t>Tejal K. Gandhi, M.D., M.P.H., Saul N. Weingart, M.D., Ph.D., Joshua Borus, B.A., Andrew C. Seger, R.Ph., Josh Peterson, M.D., Elisabeth Burdick, M.S., Diane L. Seger, R.Ph., Kirstin Shu, B.A., Frank Federico, R.Ph., Lucian L. Leape, M.D., and David W. Bates, M.D.</w:t>
      </w:r>
      <w:r w:rsidR="00E01BD7" w:rsidRPr="0065676E">
        <w:t xml:space="preserve"> Adverse Drug Events in Ambulatory Care. </w:t>
      </w:r>
      <w:r w:rsidRPr="0065676E">
        <w:t>N</w:t>
      </w:r>
      <w:r w:rsidR="00E01BD7" w:rsidRPr="0065676E">
        <w:t>ew</w:t>
      </w:r>
      <w:r w:rsidRPr="0065676E">
        <w:t xml:space="preserve"> Engl</w:t>
      </w:r>
      <w:r w:rsidR="00E01BD7" w:rsidRPr="0065676E">
        <w:t>and</w:t>
      </w:r>
      <w:r w:rsidRPr="0065676E">
        <w:t xml:space="preserve"> J</w:t>
      </w:r>
      <w:r w:rsidR="00E01BD7" w:rsidRPr="0065676E">
        <w:t>ournal of</w:t>
      </w:r>
      <w:r w:rsidRPr="0065676E">
        <w:t xml:space="preserve"> Med</w:t>
      </w:r>
      <w:r w:rsidR="00E01BD7" w:rsidRPr="0065676E">
        <w:t>icine,</w:t>
      </w:r>
      <w:r w:rsidRPr="0065676E">
        <w:t xml:space="preserve"> 2003</w:t>
      </w:r>
      <w:r w:rsidR="00E01BD7" w:rsidRPr="0065676E">
        <w:t xml:space="preserve"> April</w:t>
      </w:r>
      <w:r w:rsidRPr="0065676E">
        <w:t>; 348:1556-1564</w:t>
      </w:r>
      <w:r w:rsidR="00E01BD7" w:rsidRPr="0065676E">
        <w:t>.</w:t>
      </w:r>
    </w:p>
    <w:p w:rsidR="007C20F0" w:rsidRPr="0065676E" w:rsidRDefault="007C20F0" w:rsidP="007C20F0">
      <w:pPr>
        <w:widowControl w:val="0"/>
        <w:autoSpaceDE w:val="0"/>
        <w:autoSpaceDN w:val="0"/>
        <w:adjustRightInd w:val="0"/>
      </w:pPr>
    </w:p>
    <w:p w:rsidR="00716ECD" w:rsidRPr="0065676E" w:rsidRDefault="00A0404C" w:rsidP="007C20F0">
      <w:pPr>
        <w:widowControl w:val="0"/>
        <w:autoSpaceDE w:val="0"/>
        <w:autoSpaceDN w:val="0"/>
        <w:adjustRightInd w:val="0"/>
      </w:pPr>
      <w:r w:rsidRPr="0065676E">
        <w:t xml:space="preserve">H Lipczak, J L Knudsen, A Nissen. Safety hazards in cancer care: findings using three different methods. </w:t>
      </w:r>
      <w:r w:rsidR="00C553CF" w:rsidRPr="0065676E">
        <w:t>BMJ</w:t>
      </w:r>
      <w:r w:rsidRPr="0065676E">
        <w:t xml:space="preserve"> Quality and Safety, 2011</w:t>
      </w:r>
      <w:r w:rsidR="00116985" w:rsidRPr="0065676E">
        <w:t xml:space="preserve"> December;20(12):1052-6.</w:t>
      </w:r>
    </w:p>
    <w:p w:rsidR="002576CA" w:rsidRPr="0065676E" w:rsidRDefault="002576CA" w:rsidP="007C20F0">
      <w:pPr>
        <w:pStyle w:val="BodyText2"/>
        <w:spacing w:after="0" w:line="240" w:lineRule="auto"/>
        <w:rPr>
          <w:noProof/>
        </w:rPr>
      </w:pPr>
    </w:p>
    <w:p w:rsidR="00716ECD" w:rsidRPr="0065676E" w:rsidRDefault="00716ECD" w:rsidP="007C20F0">
      <w:pPr>
        <w:pStyle w:val="BodyText2"/>
        <w:spacing w:after="0" w:line="240" w:lineRule="auto"/>
        <w:rPr>
          <w:noProof/>
        </w:rPr>
      </w:pPr>
      <w:r w:rsidRPr="0065676E">
        <w:rPr>
          <w:noProof/>
        </w:rPr>
        <w:t>RTI International, Consumers Advancing Patient Safety. Designing consumer reporting systems for patient safety events. Final project report,  November 2010. Report No.: AHRQ Contract No. HHSA290200600001.</w:t>
      </w:r>
    </w:p>
    <w:p w:rsidR="007C20F0" w:rsidRPr="0065676E" w:rsidRDefault="007C20F0" w:rsidP="007C20F0">
      <w:pPr>
        <w:pStyle w:val="BodyText2"/>
        <w:spacing w:after="0" w:line="240" w:lineRule="auto"/>
        <w:rPr>
          <w:noProof/>
        </w:rPr>
      </w:pPr>
    </w:p>
    <w:p w:rsidR="00116A30" w:rsidRPr="0065676E" w:rsidRDefault="00116A30" w:rsidP="007C20F0">
      <w:pPr>
        <w:pStyle w:val="BodyText2"/>
        <w:spacing w:after="0" w:line="240" w:lineRule="auto"/>
      </w:pPr>
      <w:r w:rsidRPr="0065676E">
        <w:t>Schiller JS, Lucas JW, Ward BW, Peregoy JA. Summary health statistics for U.S. adults: National Health Interview Survey, 2010. National Center for Health Statistics. Vital Health Stat 10(252). 2012</w:t>
      </w:r>
    </w:p>
    <w:p w:rsidR="008666BE" w:rsidRPr="0065676E" w:rsidRDefault="008666BE" w:rsidP="007C20F0">
      <w:pPr>
        <w:pStyle w:val="BodyText2"/>
        <w:spacing w:after="0" w:line="240" w:lineRule="auto"/>
      </w:pPr>
    </w:p>
    <w:p w:rsidR="00015DDE" w:rsidRPr="0065676E" w:rsidRDefault="00015DDE" w:rsidP="007C20F0">
      <w:pPr>
        <w:pStyle w:val="BodyText2"/>
        <w:spacing w:after="0" w:line="240" w:lineRule="auto"/>
        <w:rPr>
          <w:noProof/>
        </w:rPr>
      </w:pPr>
      <w:r w:rsidRPr="0065676E">
        <w:rPr>
          <w:noProof/>
        </w:rPr>
        <w:t>Eric Schneider and Spencer Jones. Summary Report of Technical Expert Panel: A prototype consumer reporting system for patient safety</w:t>
      </w:r>
      <w:r w:rsidR="00631A25" w:rsidRPr="0065676E">
        <w:rPr>
          <w:noProof/>
        </w:rPr>
        <w:t xml:space="preserve"> events</w:t>
      </w:r>
      <w:r w:rsidR="002A7B12" w:rsidRPr="0065676E">
        <w:rPr>
          <w:noProof/>
        </w:rPr>
        <w:t>. AHRQ deliverable</w:t>
      </w:r>
      <w:r w:rsidR="00631A25" w:rsidRPr="0065676E">
        <w:rPr>
          <w:noProof/>
        </w:rPr>
        <w:t xml:space="preserve"> ACTION II RFTO#14</w:t>
      </w:r>
      <w:r w:rsidR="002A7B12" w:rsidRPr="0065676E">
        <w:rPr>
          <w:noProof/>
        </w:rPr>
        <w:t>. 2012 April.</w:t>
      </w:r>
    </w:p>
    <w:p w:rsidR="007C20F0" w:rsidRDefault="007C20F0" w:rsidP="007C20F0">
      <w:pPr>
        <w:pStyle w:val="EndnoteText"/>
        <w:tabs>
          <w:tab w:val="left" w:pos="360"/>
          <w:tab w:val="left" w:pos="720"/>
          <w:tab w:val="left" w:pos="1080"/>
          <w:tab w:val="left" w:pos="4680"/>
          <w:tab w:val="left" w:pos="5940"/>
        </w:tabs>
        <w:rPr>
          <w:sz w:val="24"/>
          <w:szCs w:val="24"/>
        </w:rPr>
      </w:pPr>
    </w:p>
    <w:p w:rsidR="0071710E" w:rsidRPr="0071710E" w:rsidRDefault="0071710E" w:rsidP="007C20F0">
      <w:pPr>
        <w:pStyle w:val="EndnoteText"/>
        <w:tabs>
          <w:tab w:val="left" w:pos="360"/>
          <w:tab w:val="left" w:pos="720"/>
          <w:tab w:val="left" w:pos="1080"/>
          <w:tab w:val="left" w:pos="4680"/>
          <w:tab w:val="left" w:pos="5940"/>
        </w:tabs>
        <w:rPr>
          <w:sz w:val="24"/>
          <w:szCs w:val="24"/>
        </w:rPr>
      </w:pPr>
      <w:r>
        <w:rPr>
          <w:sz w:val="24"/>
          <w:szCs w:val="24"/>
        </w:rPr>
        <w:t xml:space="preserve">T.W. van der Schaaf. Medical applications of industrial safety science. Quality </w:t>
      </w:r>
      <w:r w:rsidR="006E29AB">
        <w:rPr>
          <w:sz w:val="24"/>
          <w:szCs w:val="24"/>
        </w:rPr>
        <w:t>Saf Health Care 2002; 11:205-206.</w:t>
      </w:r>
    </w:p>
    <w:p w:rsidR="0071710E" w:rsidRDefault="0071710E" w:rsidP="007C20F0">
      <w:pPr>
        <w:pStyle w:val="EndnoteText"/>
        <w:tabs>
          <w:tab w:val="left" w:pos="360"/>
          <w:tab w:val="left" w:pos="720"/>
          <w:tab w:val="left" w:pos="1080"/>
          <w:tab w:val="left" w:pos="4680"/>
          <w:tab w:val="left" w:pos="5940"/>
        </w:tabs>
        <w:rPr>
          <w:sz w:val="24"/>
          <w:szCs w:val="24"/>
        </w:rPr>
      </w:pPr>
    </w:p>
    <w:p w:rsidR="008415EB" w:rsidRPr="0065676E" w:rsidRDefault="008415EB" w:rsidP="007C20F0">
      <w:pPr>
        <w:pStyle w:val="EndnoteText"/>
        <w:tabs>
          <w:tab w:val="left" w:pos="360"/>
          <w:tab w:val="left" w:pos="720"/>
          <w:tab w:val="left" w:pos="1080"/>
          <w:tab w:val="left" w:pos="4680"/>
          <w:tab w:val="left" w:pos="5940"/>
        </w:tabs>
        <w:rPr>
          <w:sz w:val="24"/>
          <w:szCs w:val="24"/>
        </w:rPr>
      </w:pPr>
      <w:r w:rsidRPr="0071710E">
        <w:rPr>
          <w:sz w:val="24"/>
          <w:szCs w:val="24"/>
        </w:rPr>
        <w:t>Joel S. Weissman, Eric C. Schneider, Saul N. Weingart, Arnold M. Epstein, JoAnn David-Kas</w:t>
      </w:r>
      <w:r w:rsidRPr="00BC2F34">
        <w:rPr>
          <w:sz w:val="24"/>
          <w:szCs w:val="24"/>
        </w:rPr>
        <w:t>dan, Sandra Feibelmann, Catherine L. Annas, Nancy Ridley, Leslie Kirle, Constantine Gatsonis; Comparing Patient-Reported Hospital Adverse Events with Medical Record</w:t>
      </w:r>
      <w:r w:rsidRPr="0065676E">
        <w:rPr>
          <w:sz w:val="24"/>
          <w:szCs w:val="24"/>
        </w:rPr>
        <w:t xml:space="preserve"> Review: Do Patients Know Something That Hospitals Do Not?. Annals of Internal Medicine. 2008 July;149(2):100-108.</w:t>
      </w:r>
    </w:p>
    <w:p w:rsidR="008415EB" w:rsidRPr="0065676E" w:rsidRDefault="008415EB" w:rsidP="00187B1B">
      <w:pPr>
        <w:pStyle w:val="EndnoteText"/>
        <w:tabs>
          <w:tab w:val="left" w:pos="360"/>
          <w:tab w:val="left" w:pos="720"/>
          <w:tab w:val="left" w:pos="1080"/>
          <w:tab w:val="left" w:pos="4680"/>
          <w:tab w:val="left" w:pos="5940"/>
        </w:tabs>
        <w:rPr>
          <w:sz w:val="24"/>
          <w:szCs w:val="24"/>
        </w:rPr>
      </w:pPr>
    </w:p>
    <w:p w:rsidR="00D3239E" w:rsidRPr="00187B1B" w:rsidRDefault="00665EB9" w:rsidP="00187B1B">
      <w:pPr>
        <w:rPr>
          <w:noProof/>
        </w:rPr>
      </w:pPr>
      <w:r>
        <w:t xml:space="preserve">J. P. </w:t>
      </w:r>
      <w:r w:rsidR="00F0687D" w:rsidRPr="001D5559">
        <w:fldChar w:fldCharType="begin"/>
      </w:r>
      <w:r w:rsidR="00D3239E" w:rsidRPr="0065676E">
        <w:instrText xml:space="preserve"> ADDIN EN.REFLIST </w:instrText>
      </w:r>
      <w:r w:rsidR="00F0687D" w:rsidRPr="001D5559">
        <w:fldChar w:fldCharType="separate"/>
      </w:r>
      <w:bookmarkStart w:id="43" w:name="_ENREF_1"/>
      <w:r w:rsidR="00D3239E" w:rsidRPr="001D5559">
        <w:rPr>
          <w:noProof/>
        </w:rPr>
        <w:t>Pronovost</w:t>
      </w:r>
      <w:r>
        <w:rPr>
          <w:noProof/>
        </w:rPr>
        <w:t xml:space="preserve">, </w:t>
      </w:r>
      <w:r w:rsidR="00D3239E" w:rsidRPr="001D5559">
        <w:rPr>
          <w:noProof/>
        </w:rPr>
        <w:t>D. A. Thompson, et al. (2006). "Toward learning from patient safety</w:t>
      </w:r>
      <w:r w:rsidR="00187B1B">
        <w:rPr>
          <w:noProof/>
        </w:rPr>
        <w:t xml:space="preserve"> </w:t>
      </w:r>
      <w:r w:rsidR="00D3239E" w:rsidRPr="001D5559">
        <w:rPr>
          <w:noProof/>
        </w:rPr>
        <w:t xml:space="preserve">reporting systems." </w:t>
      </w:r>
      <w:r w:rsidR="00D3239E" w:rsidRPr="00434CCE">
        <w:rPr>
          <w:noProof/>
        </w:rPr>
        <w:t>J Crit Care</w:t>
      </w:r>
      <w:r w:rsidR="00D3239E" w:rsidRPr="00187B1B">
        <w:rPr>
          <w:noProof/>
        </w:rPr>
        <w:t xml:space="preserve"> </w:t>
      </w:r>
      <w:r w:rsidR="00D3239E" w:rsidRPr="0065676E">
        <w:rPr>
          <w:noProof/>
        </w:rPr>
        <w:t>21</w:t>
      </w:r>
      <w:r w:rsidR="00D3239E" w:rsidRPr="00187B1B">
        <w:rPr>
          <w:noProof/>
        </w:rPr>
        <w:t>(4): 305-315.</w:t>
      </w:r>
      <w:bookmarkEnd w:id="43"/>
    </w:p>
    <w:p w:rsidR="00D3239E" w:rsidRPr="00187B1B" w:rsidRDefault="00D3239E" w:rsidP="00187B1B">
      <w:pPr>
        <w:rPr>
          <w:noProof/>
        </w:rPr>
      </w:pPr>
    </w:p>
    <w:p w:rsidR="008415EB" w:rsidRPr="00EE1220" w:rsidRDefault="00F0687D" w:rsidP="00187B1B">
      <w:pPr>
        <w:widowControl w:val="0"/>
        <w:autoSpaceDE w:val="0"/>
        <w:autoSpaceDN w:val="0"/>
        <w:adjustRightInd w:val="0"/>
      </w:pPr>
      <w:r w:rsidRPr="001D5559">
        <w:fldChar w:fldCharType="end"/>
      </w:r>
    </w:p>
    <w:sectPr w:rsidR="008415EB" w:rsidRPr="00EE1220" w:rsidSect="00B93093">
      <w:footerReference w:type="even" r:id="rId12"/>
      <w:footerReference w:type="default" r:id="rId13"/>
      <w:endnotePr>
        <w:numFmt w:val="decimal"/>
      </w:endnotePr>
      <w:pgSz w:w="12240" w:h="15840"/>
      <w:pgMar w:top="1440" w:right="1530" w:bottom="126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85C" w:rsidRDefault="00B5485C">
      <w:r>
        <w:separator/>
      </w:r>
    </w:p>
  </w:endnote>
  <w:endnote w:type="continuationSeparator" w:id="0">
    <w:p w:rsidR="00B5485C" w:rsidRDefault="00B548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5C" w:rsidRDefault="00F0687D" w:rsidP="009B633D">
    <w:pPr>
      <w:pStyle w:val="Footer"/>
      <w:framePr w:wrap="around" w:vAnchor="text" w:hAnchor="margin" w:xAlign="center" w:y="1"/>
      <w:rPr>
        <w:rStyle w:val="PageNumber"/>
      </w:rPr>
    </w:pPr>
    <w:r>
      <w:rPr>
        <w:rStyle w:val="PageNumber"/>
      </w:rPr>
      <w:fldChar w:fldCharType="begin"/>
    </w:r>
    <w:r w:rsidR="00B5485C">
      <w:rPr>
        <w:rStyle w:val="PageNumber"/>
      </w:rPr>
      <w:instrText xml:space="preserve">PAGE  </w:instrText>
    </w:r>
    <w:r>
      <w:rPr>
        <w:rStyle w:val="PageNumber"/>
      </w:rPr>
      <w:fldChar w:fldCharType="end"/>
    </w:r>
  </w:p>
  <w:p w:rsidR="00B5485C" w:rsidRDefault="00B548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85C" w:rsidRDefault="00F0687D" w:rsidP="009B633D">
    <w:pPr>
      <w:pStyle w:val="Footer"/>
      <w:framePr w:wrap="around" w:vAnchor="text" w:hAnchor="margin" w:xAlign="center" w:y="1"/>
      <w:rPr>
        <w:rStyle w:val="PageNumber"/>
      </w:rPr>
    </w:pPr>
    <w:r>
      <w:rPr>
        <w:rStyle w:val="PageNumber"/>
      </w:rPr>
      <w:fldChar w:fldCharType="begin"/>
    </w:r>
    <w:r w:rsidR="00B5485C">
      <w:rPr>
        <w:rStyle w:val="PageNumber"/>
      </w:rPr>
      <w:instrText xml:space="preserve">PAGE  </w:instrText>
    </w:r>
    <w:r>
      <w:rPr>
        <w:rStyle w:val="PageNumber"/>
      </w:rPr>
      <w:fldChar w:fldCharType="separate"/>
    </w:r>
    <w:r w:rsidR="00701235">
      <w:rPr>
        <w:rStyle w:val="PageNumber"/>
        <w:noProof/>
      </w:rPr>
      <w:t>- 9 -</w:t>
    </w:r>
    <w:r>
      <w:rPr>
        <w:rStyle w:val="PageNumber"/>
      </w:rPr>
      <w:fldChar w:fldCharType="end"/>
    </w:r>
  </w:p>
  <w:p w:rsidR="00B5485C" w:rsidRDefault="00B548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85C" w:rsidRDefault="00B5485C">
      <w:r>
        <w:separator/>
      </w:r>
    </w:p>
  </w:footnote>
  <w:footnote w:type="continuationSeparator" w:id="0">
    <w:p w:rsidR="00B5485C" w:rsidRDefault="00B548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516D1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34BFD"/>
    <w:multiLevelType w:val="hybridMultilevel"/>
    <w:tmpl w:val="E9F4C5E8"/>
    <w:lvl w:ilvl="0" w:tplc="26481204">
      <w:start w:val="1"/>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A36E3"/>
    <w:multiLevelType w:val="hybridMultilevel"/>
    <w:tmpl w:val="A5B21E00"/>
    <w:lvl w:ilvl="0" w:tplc="2648120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4765"/>
    <w:multiLevelType w:val="hybridMultilevel"/>
    <w:tmpl w:val="6994EA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C07817"/>
    <w:multiLevelType w:val="hybridMultilevel"/>
    <w:tmpl w:val="A4FA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477929"/>
    <w:multiLevelType w:val="multilevel"/>
    <w:tmpl w:val="E2902B0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C0046F"/>
    <w:multiLevelType w:val="hybridMultilevel"/>
    <w:tmpl w:val="8D16012C"/>
    <w:lvl w:ilvl="0" w:tplc="D2C43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A36179"/>
    <w:multiLevelType w:val="hybridMultilevel"/>
    <w:tmpl w:val="721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D73C3F"/>
    <w:multiLevelType w:val="hybridMultilevel"/>
    <w:tmpl w:val="E1C62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77121"/>
    <w:multiLevelType w:val="hybridMultilevel"/>
    <w:tmpl w:val="ABA8D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16"/>
  </w:num>
  <w:num w:numId="2">
    <w:abstractNumId w:val="12"/>
  </w:num>
  <w:num w:numId="3">
    <w:abstractNumId w:val="13"/>
  </w:num>
  <w:num w:numId="4">
    <w:abstractNumId w:val="1"/>
  </w:num>
  <w:num w:numId="5">
    <w:abstractNumId w:val="3"/>
  </w:num>
  <w:num w:numId="6">
    <w:abstractNumId w:val="15"/>
  </w:num>
  <w:num w:numId="7">
    <w:abstractNumId w:val="14"/>
  </w:num>
  <w:num w:numId="8">
    <w:abstractNumId w:val="5"/>
  </w:num>
  <w:num w:numId="9">
    <w:abstractNumId w:val="0"/>
  </w:num>
  <w:num w:numId="10">
    <w:abstractNumId w:val="11"/>
  </w:num>
  <w:num w:numId="11">
    <w:abstractNumId w:val="8"/>
  </w:num>
  <w:num w:numId="12">
    <w:abstractNumId w:val="10"/>
  </w:num>
  <w:num w:numId="13">
    <w:abstractNumId w:val="6"/>
  </w:num>
  <w:num w:numId="14">
    <w:abstractNumId w:val="9"/>
  </w:num>
  <w:num w:numId="15">
    <w:abstractNumId w:val="7"/>
  </w:num>
  <w:num w:numId="16">
    <w:abstractNumId w:val="4"/>
  </w:num>
  <w:num w:numId="17">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rwepwzagr5dtqeew2apd2zqdtf25sxzrx5r&quot;&gt;Schneider-3.4.13 Copy&lt;record-ids&gt;&lt;item&gt;3253&lt;/item&gt;&lt;/record-ids&gt;&lt;/item&gt;&lt;/Libraries&gt;"/>
  </w:docVars>
  <w:rsids>
    <w:rsidRoot w:val="00873F74"/>
    <w:rsid w:val="00001C90"/>
    <w:rsid w:val="00002BC3"/>
    <w:rsid w:val="000046BB"/>
    <w:rsid w:val="00005119"/>
    <w:rsid w:val="000057C0"/>
    <w:rsid w:val="000078CF"/>
    <w:rsid w:val="00010447"/>
    <w:rsid w:val="000117AB"/>
    <w:rsid w:val="00011E85"/>
    <w:rsid w:val="00012FB9"/>
    <w:rsid w:val="00015AAF"/>
    <w:rsid w:val="00015DDE"/>
    <w:rsid w:val="00016560"/>
    <w:rsid w:val="00017F2F"/>
    <w:rsid w:val="00020D61"/>
    <w:rsid w:val="000224F0"/>
    <w:rsid w:val="00022C66"/>
    <w:rsid w:val="000244A0"/>
    <w:rsid w:val="00024FEE"/>
    <w:rsid w:val="00025081"/>
    <w:rsid w:val="00026C80"/>
    <w:rsid w:val="000309F5"/>
    <w:rsid w:val="00032D2F"/>
    <w:rsid w:val="00033301"/>
    <w:rsid w:val="00033639"/>
    <w:rsid w:val="00035EAB"/>
    <w:rsid w:val="00036EB1"/>
    <w:rsid w:val="00037998"/>
    <w:rsid w:val="00043473"/>
    <w:rsid w:val="00043FC8"/>
    <w:rsid w:val="000444A3"/>
    <w:rsid w:val="00044A69"/>
    <w:rsid w:val="00045959"/>
    <w:rsid w:val="00046359"/>
    <w:rsid w:val="00056633"/>
    <w:rsid w:val="00057069"/>
    <w:rsid w:val="0006153D"/>
    <w:rsid w:val="0006207D"/>
    <w:rsid w:val="00062D97"/>
    <w:rsid w:val="000666C2"/>
    <w:rsid w:val="000712CD"/>
    <w:rsid w:val="000721BF"/>
    <w:rsid w:val="00074DA0"/>
    <w:rsid w:val="00075AB9"/>
    <w:rsid w:val="000769F7"/>
    <w:rsid w:val="000779A9"/>
    <w:rsid w:val="000810D0"/>
    <w:rsid w:val="00081304"/>
    <w:rsid w:val="00082047"/>
    <w:rsid w:val="00083CE7"/>
    <w:rsid w:val="00085096"/>
    <w:rsid w:val="000856CB"/>
    <w:rsid w:val="000926B2"/>
    <w:rsid w:val="00094648"/>
    <w:rsid w:val="00094ECB"/>
    <w:rsid w:val="0009503A"/>
    <w:rsid w:val="000A140E"/>
    <w:rsid w:val="000A1F51"/>
    <w:rsid w:val="000A3475"/>
    <w:rsid w:val="000A5322"/>
    <w:rsid w:val="000A63E1"/>
    <w:rsid w:val="000A66A1"/>
    <w:rsid w:val="000A78FB"/>
    <w:rsid w:val="000B1ABD"/>
    <w:rsid w:val="000B53D8"/>
    <w:rsid w:val="000B68D9"/>
    <w:rsid w:val="000B7442"/>
    <w:rsid w:val="000B78CB"/>
    <w:rsid w:val="000B7A3A"/>
    <w:rsid w:val="000C1A49"/>
    <w:rsid w:val="000C4364"/>
    <w:rsid w:val="000C6857"/>
    <w:rsid w:val="000C73D2"/>
    <w:rsid w:val="000C7B4D"/>
    <w:rsid w:val="000D23BE"/>
    <w:rsid w:val="000D429E"/>
    <w:rsid w:val="000D6B9B"/>
    <w:rsid w:val="000D70B9"/>
    <w:rsid w:val="000E01D1"/>
    <w:rsid w:val="000E1D8E"/>
    <w:rsid w:val="000E23FB"/>
    <w:rsid w:val="000E25E9"/>
    <w:rsid w:val="000E2BD7"/>
    <w:rsid w:val="000E2DC6"/>
    <w:rsid w:val="000E4300"/>
    <w:rsid w:val="000E46C7"/>
    <w:rsid w:val="000E6388"/>
    <w:rsid w:val="000E6460"/>
    <w:rsid w:val="000F1328"/>
    <w:rsid w:val="000F13A7"/>
    <w:rsid w:val="000F2B59"/>
    <w:rsid w:val="000F3783"/>
    <w:rsid w:val="000F3A38"/>
    <w:rsid w:val="000F714A"/>
    <w:rsid w:val="000F748D"/>
    <w:rsid w:val="0010067A"/>
    <w:rsid w:val="001016C0"/>
    <w:rsid w:val="00101D77"/>
    <w:rsid w:val="00102461"/>
    <w:rsid w:val="001047BC"/>
    <w:rsid w:val="00104E57"/>
    <w:rsid w:val="00112DF2"/>
    <w:rsid w:val="0011461C"/>
    <w:rsid w:val="001147A8"/>
    <w:rsid w:val="00115C1F"/>
    <w:rsid w:val="00116985"/>
    <w:rsid w:val="00116A30"/>
    <w:rsid w:val="001178FE"/>
    <w:rsid w:val="00120A0C"/>
    <w:rsid w:val="001213D8"/>
    <w:rsid w:val="00124395"/>
    <w:rsid w:val="00124917"/>
    <w:rsid w:val="00126349"/>
    <w:rsid w:val="001276B8"/>
    <w:rsid w:val="00127D02"/>
    <w:rsid w:val="001301AA"/>
    <w:rsid w:val="00131443"/>
    <w:rsid w:val="00132D65"/>
    <w:rsid w:val="00133288"/>
    <w:rsid w:val="0013357A"/>
    <w:rsid w:val="00133F0E"/>
    <w:rsid w:val="00135716"/>
    <w:rsid w:val="0013611F"/>
    <w:rsid w:val="001365F3"/>
    <w:rsid w:val="0014154B"/>
    <w:rsid w:val="001416D6"/>
    <w:rsid w:val="00143006"/>
    <w:rsid w:val="00143197"/>
    <w:rsid w:val="00143A7D"/>
    <w:rsid w:val="00144856"/>
    <w:rsid w:val="001464B7"/>
    <w:rsid w:val="00146D3E"/>
    <w:rsid w:val="001500CC"/>
    <w:rsid w:val="00153D7D"/>
    <w:rsid w:val="00154E96"/>
    <w:rsid w:val="00154F74"/>
    <w:rsid w:val="0016032F"/>
    <w:rsid w:val="00166A69"/>
    <w:rsid w:val="00167E00"/>
    <w:rsid w:val="00171A77"/>
    <w:rsid w:val="001834FD"/>
    <w:rsid w:val="00184269"/>
    <w:rsid w:val="001849F0"/>
    <w:rsid w:val="001852C2"/>
    <w:rsid w:val="001879DD"/>
    <w:rsid w:val="00187A50"/>
    <w:rsid w:val="00187B1B"/>
    <w:rsid w:val="00190536"/>
    <w:rsid w:val="001908EB"/>
    <w:rsid w:val="00191018"/>
    <w:rsid w:val="00192D82"/>
    <w:rsid w:val="0019568A"/>
    <w:rsid w:val="0019604C"/>
    <w:rsid w:val="00196146"/>
    <w:rsid w:val="00197B24"/>
    <w:rsid w:val="00197B77"/>
    <w:rsid w:val="001A28C0"/>
    <w:rsid w:val="001A42A6"/>
    <w:rsid w:val="001A5A3B"/>
    <w:rsid w:val="001A70A6"/>
    <w:rsid w:val="001B1C61"/>
    <w:rsid w:val="001B33F2"/>
    <w:rsid w:val="001C035C"/>
    <w:rsid w:val="001C34C2"/>
    <w:rsid w:val="001C5152"/>
    <w:rsid w:val="001C59E4"/>
    <w:rsid w:val="001C616C"/>
    <w:rsid w:val="001D1315"/>
    <w:rsid w:val="001D2C41"/>
    <w:rsid w:val="001D5559"/>
    <w:rsid w:val="001D6539"/>
    <w:rsid w:val="001D75BD"/>
    <w:rsid w:val="001E0DBE"/>
    <w:rsid w:val="001E13BC"/>
    <w:rsid w:val="001E4939"/>
    <w:rsid w:val="001E4C9B"/>
    <w:rsid w:val="001E6E09"/>
    <w:rsid w:val="001E6F01"/>
    <w:rsid w:val="001F0CBE"/>
    <w:rsid w:val="001F167C"/>
    <w:rsid w:val="001F6FA9"/>
    <w:rsid w:val="002025F0"/>
    <w:rsid w:val="00205A99"/>
    <w:rsid w:val="00214371"/>
    <w:rsid w:val="0021574E"/>
    <w:rsid w:val="00216912"/>
    <w:rsid w:val="0022036F"/>
    <w:rsid w:val="0022366A"/>
    <w:rsid w:val="002242A0"/>
    <w:rsid w:val="00225F58"/>
    <w:rsid w:val="00227AAD"/>
    <w:rsid w:val="00230211"/>
    <w:rsid w:val="0023076C"/>
    <w:rsid w:val="00231A6F"/>
    <w:rsid w:val="00232037"/>
    <w:rsid w:val="002322F5"/>
    <w:rsid w:val="0023469B"/>
    <w:rsid w:val="00242A3F"/>
    <w:rsid w:val="00242D54"/>
    <w:rsid w:val="00244144"/>
    <w:rsid w:val="002456E4"/>
    <w:rsid w:val="00246C8A"/>
    <w:rsid w:val="00251AD0"/>
    <w:rsid w:val="002532A3"/>
    <w:rsid w:val="002535CB"/>
    <w:rsid w:val="002549BE"/>
    <w:rsid w:val="0025710F"/>
    <w:rsid w:val="002576CA"/>
    <w:rsid w:val="00257F8A"/>
    <w:rsid w:val="00260105"/>
    <w:rsid w:val="002603FF"/>
    <w:rsid w:val="0026108E"/>
    <w:rsid w:val="00261772"/>
    <w:rsid w:val="0026424E"/>
    <w:rsid w:val="00266459"/>
    <w:rsid w:val="002670E0"/>
    <w:rsid w:val="00272E29"/>
    <w:rsid w:val="00274781"/>
    <w:rsid w:val="00277E7E"/>
    <w:rsid w:val="00280531"/>
    <w:rsid w:val="00283265"/>
    <w:rsid w:val="00284D43"/>
    <w:rsid w:val="0028555A"/>
    <w:rsid w:val="00285EA7"/>
    <w:rsid w:val="00286B00"/>
    <w:rsid w:val="00287B3D"/>
    <w:rsid w:val="002902EC"/>
    <w:rsid w:val="00291B73"/>
    <w:rsid w:val="0029312C"/>
    <w:rsid w:val="00294F76"/>
    <w:rsid w:val="00294FC1"/>
    <w:rsid w:val="00295A1E"/>
    <w:rsid w:val="0029734C"/>
    <w:rsid w:val="002A125B"/>
    <w:rsid w:val="002A1922"/>
    <w:rsid w:val="002A2352"/>
    <w:rsid w:val="002A2770"/>
    <w:rsid w:val="002A66AC"/>
    <w:rsid w:val="002A69E9"/>
    <w:rsid w:val="002A7150"/>
    <w:rsid w:val="002A733E"/>
    <w:rsid w:val="002A7B12"/>
    <w:rsid w:val="002B079D"/>
    <w:rsid w:val="002B382B"/>
    <w:rsid w:val="002B3E20"/>
    <w:rsid w:val="002B494A"/>
    <w:rsid w:val="002B4BE9"/>
    <w:rsid w:val="002B72FA"/>
    <w:rsid w:val="002B7635"/>
    <w:rsid w:val="002B77F7"/>
    <w:rsid w:val="002C0E8A"/>
    <w:rsid w:val="002C6356"/>
    <w:rsid w:val="002C7E48"/>
    <w:rsid w:val="002D03A9"/>
    <w:rsid w:val="002D319F"/>
    <w:rsid w:val="002D357A"/>
    <w:rsid w:val="002D4CC9"/>
    <w:rsid w:val="002D4EAB"/>
    <w:rsid w:val="002D5082"/>
    <w:rsid w:val="002D580D"/>
    <w:rsid w:val="002D675E"/>
    <w:rsid w:val="002D7388"/>
    <w:rsid w:val="002E098C"/>
    <w:rsid w:val="002E1112"/>
    <w:rsid w:val="002E15E0"/>
    <w:rsid w:val="002E240F"/>
    <w:rsid w:val="002E47C0"/>
    <w:rsid w:val="002E5171"/>
    <w:rsid w:val="002E54EF"/>
    <w:rsid w:val="002E6DE1"/>
    <w:rsid w:val="002F0AF7"/>
    <w:rsid w:val="002F0DEE"/>
    <w:rsid w:val="002F2424"/>
    <w:rsid w:val="002F3329"/>
    <w:rsid w:val="002F4DE8"/>
    <w:rsid w:val="002F562F"/>
    <w:rsid w:val="00300E49"/>
    <w:rsid w:val="00301083"/>
    <w:rsid w:val="00303219"/>
    <w:rsid w:val="00314051"/>
    <w:rsid w:val="003144A5"/>
    <w:rsid w:val="003148BC"/>
    <w:rsid w:val="00321306"/>
    <w:rsid w:val="00321842"/>
    <w:rsid w:val="003247E1"/>
    <w:rsid w:val="00324D6C"/>
    <w:rsid w:val="00325233"/>
    <w:rsid w:val="00325B9C"/>
    <w:rsid w:val="0032657A"/>
    <w:rsid w:val="00333E50"/>
    <w:rsid w:val="00340D97"/>
    <w:rsid w:val="00342056"/>
    <w:rsid w:val="0034325D"/>
    <w:rsid w:val="00345F1D"/>
    <w:rsid w:val="003462BD"/>
    <w:rsid w:val="003512D3"/>
    <w:rsid w:val="00352582"/>
    <w:rsid w:val="003530AB"/>
    <w:rsid w:val="003538DF"/>
    <w:rsid w:val="00357C02"/>
    <w:rsid w:val="00357C09"/>
    <w:rsid w:val="00360DAF"/>
    <w:rsid w:val="00361316"/>
    <w:rsid w:val="00361A0F"/>
    <w:rsid w:val="00361F52"/>
    <w:rsid w:val="0036433A"/>
    <w:rsid w:val="00365B7B"/>
    <w:rsid w:val="003728F4"/>
    <w:rsid w:val="0037427A"/>
    <w:rsid w:val="0037616F"/>
    <w:rsid w:val="003761D3"/>
    <w:rsid w:val="00377301"/>
    <w:rsid w:val="0037771B"/>
    <w:rsid w:val="0038217D"/>
    <w:rsid w:val="00383D83"/>
    <w:rsid w:val="00383FCB"/>
    <w:rsid w:val="00384D29"/>
    <w:rsid w:val="003857EC"/>
    <w:rsid w:val="00385982"/>
    <w:rsid w:val="0038664D"/>
    <w:rsid w:val="00390C1A"/>
    <w:rsid w:val="00390E53"/>
    <w:rsid w:val="00391792"/>
    <w:rsid w:val="003934D2"/>
    <w:rsid w:val="0039752B"/>
    <w:rsid w:val="003A299C"/>
    <w:rsid w:val="003A3B08"/>
    <w:rsid w:val="003A463A"/>
    <w:rsid w:val="003A5A74"/>
    <w:rsid w:val="003B0745"/>
    <w:rsid w:val="003B422B"/>
    <w:rsid w:val="003B516D"/>
    <w:rsid w:val="003B5859"/>
    <w:rsid w:val="003B5871"/>
    <w:rsid w:val="003B5FF2"/>
    <w:rsid w:val="003B6B41"/>
    <w:rsid w:val="003B6C3E"/>
    <w:rsid w:val="003B6F90"/>
    <w:rsid w:val="003C09B2"/>
    <w:rsid w:val="003C4206"/>
    <w:rsid w:val="003C60BD"/>
    <w:rsid w:val="003C785D"/>
    <w:rsid w:val="003D0036"/>
    <w:rsid w:val="003D0185"/>
    <w:rsid w:val="003D21A7"/>
    <w:rsid w:val="003D3295"/>
    <w:rsid w:val="003D3937"/>
    <w:rsid w:val="003D6391"/>
    <w:rsid w:val="003D73D8"/>
    <w:rsid w:val="003D76C9"/>
    <w:rsid w:val="003E0289"/>
    <w:rsid w:val="003E0CA8"/>
    <w:rsid w:val="003E192D"/>
    <w:rsid w:val="003E2801"/>
    <w:rsid w:val="003F0FE3"/>
    <w:rsid w:val="003F2B63"/>
    <w:rsid w:val="003F5921"/>
    <w:rsid w:val="003F597E"/>
    <w:rsid w:val="003F6450"/>
    <w:rsid w:val="003F7742"/>
    <w:rsid w:val="00400059"/>
    <w:rsid w:val="0040497F"/>
    <w:rsid w:val="00404F90"/>
    <w:rsid w:val="00407173"/>
    <w:rsid w:val="00407BA5"/>
    <w:rsid w:val="00414C80"/>
    <w:rsid w:val="004155E1"/>
    <w:rsid w:val="004158CB"/>
    <w:rsid w:val="00416BFA"/>
    <w:rsid w:val="00417C25"/>
    <w:rsid w:val="00420682"/>
    <w:rsid w:val="00420810"/>
    <w:rsid w:val="00421210"/>
    <w:rsid w:val="00421D8D"/>
    <w:rsid w:val="00423C4C"/>
    <w:rsid w:val="004248EE"/>
    <w:rsid w:val="00425974"/>
    <w:rsid w:val="0042770C"/>
    <w:rsid w:val="0043109F"/>
    <w:rsid w:val="0043325D"/>
    <w:rsid w:val="00434CCE"/>
    <w:rsid w:val="0043596B"/>
    <w:rsid w:val="00436654"/>
    <w:rsid w:val="004367FA"/>
    <w:rsid w:val="004409B9"/>
    <w:rsid w:val="00441658"/>
    <w:rsid w:val="00445368"/>
    <w:rsid w:val="00446A15"/>
    <w:rsid w:val="00446F4F"/>
    <w:rsid w:val="0044769A"/>
    <w:rsid w:val="00450538"/>
    <w:rsid w:val="00452268"/>
    <w:rsid w:val="0045509C"/>
    <w:rsid w:val="0045531E"/>
    <w:rsid w:val="00456179"/>
    <w:rsid w:val="004566AC"/>
    <w:rsid w:val="00460815"/>
    <w:rsid w:val="004611A3"/>
    <w:rsid w:val="00462687"/>
    <w:rsid w:val="00466249"/>
    <w:rsid w:val="004670C2"/>
    <w:rsid w:val="00467163"/>
    <w:rsid w:val="00467FF3"/>
    <w:rsid w:val="00471418"/>
    <w:rsid w:val="0047504D"/>
    <w:rsid w:val="0047544B"/>
    <w:rsid w:val="00476F46"/>
    <w:rsid w:val="00477330"/>
    <w:rsid w:val="004811AD"/>
    <w:rsid w:val="004816AD"/>
    <w:rsid w:val="00484FEE"/>
    <w:rsid w:val="0048591F"/>
    <w:rsid w:val="0048644F"/>
    <w:rsid w:val="004870DF"/>
    <w:rsid w:val="00490C34"/>
    <w:rsid w:val="0049194F"/>
    <w:rsid w:val="00492C5F"/>
    <w:rsid w:val="00493D62"/>
    <w:rsid w:val="00494D84"/>
    <w:rsid w:val="0049729B"/>
    <w:rsid w:val="004A0762"/>
    <w:rsid w:val="004A0B19"/>
    <w:rsid w:val="004A1441"/>
    <w:rsid w:val="004A146B"/>
    <w:rsid w:val="004A22F8"/>
    <w:rsid w:val="004A3C39"/>
    <w:rsid w:val="004A5CEA"/>
    <w:rsid w:val="004A623C"/>
    <w:rsid w:val="004A624D"/>
    <w:rsid w:val="004A72D0"/>
    <w:rsid w:val="004B0242"/>
    <w:rsid w:val="004B03E8"/>
    <w:rsid w:val="004B0C89"/>
    <w:rsid w:val="004B4BE7"/>
    <w:rsid w:val="004B577A"/>
    <w:rsid w:val="004B5E21"/>
    <w:rsid w:val="004C13EE"/>
    <w:rsid w:val="004C198E"/>
    <w:rsid w:val="004C2115"/>
    <w:rsid w:val="004C3896"/>
    <w:rsid w:val="004C3BA7"/>
    <w:rsid w:val="004C4A74"/>
    <w:rsid w:val="004C5779"/>
    <w:rsid w:val="004C7711"/>
    <w:rsid w:val="004D7E96"/>
    <w:rsid w:val="004E3A1B"/>
    <w:rsid w:val="004E3F16"/>
    <w:rsid w:val="004E48FE"/>
    <w:rsid w:val="004E4930"/>
    <w:rsid w:val="004F03F4"/>
    <w:rsid w:val="004F2699"/>
    <w:rsid w:val="004F54D4"/>
    <w:rsid w:val="004F57D0"/>
    <w:rsid w:val="00505132"/>
    <w:rsid w:val="0050532B"/>
    <w:rsid w:val="005067B3"/>
    <w:rsid w:val="00506F4F"/>
    <w:rsid w:val="00510909"/>
    <w:rsid w:val="005110A6"/>
    <w:rsid w:val="0051174E"/>
    <w:rsid w:val="00512B2A"/>
    <w:rsid w:val="0051542A"/>
    <w:rsid w:val="0051576F"/>
    <w:rsid w:val="00516155"/>
    <w:rsid w:val="005167A0"/>
    <w:rsid w:val="0051785E"/>
    <w:rsid w:val="00520950"/>
    <w:rsid w:val="00520CE0"/>
    <w:rsid w:val="00525BED"/>
    <w:rsid w:val="00526D97"/>
    <w:rsid w:val="00527BBD"/>
    <w:rsid w:val="00531857"/>
    <w:rsid w:val="00535134"/>
    <w:rsid w:val="00535B56"/>
    <w:rsid w:val="00540047"/>
    <w:rsid w:val="005419D1"/>
    <w:rsid w:val="00545935"/>
    <w:rsid w:val="00551001"/>
    <w:rsid w:val="005513AD"/>
    <w:rsid w:val="005519D6"/>
    <w:rsid w:val="00552758"/>
    <w:rsid w:val="00554196"/>
    <w:rsid w:val="005549C9"/>
    <w:rsid w:val="005551BC"/>
    <w:rsid w:val="00556066"/>
    <w:rsid w:val="00557AD9"/>
    <w:rsid w:val="00560326"/>
    <w:rsid w:val="00560E25"/>
    <w:rsid w:val="005611AD"/>
    <w:rsid w:val="0056238F"/>
    <w:rsid w:val="005636A7"/>
    <w:rsid w:val="005640AE"/>
    <w:rsid w:val="00564430"/>
    <w:rsid w:val="0056477C"/>
    <w:rsid w:val="00565205"/>
    <w:rsid w:val="00565D59"/>
    <w:rsid w:val="00567EE1"/>
    <w:rsid w:val="00570D48"/>
    <w:rsid w:val="005718ED"/>
    <w:rsid w:val="005726E7"/>
    <w:rsid w:val="00574790"/>
    <w:rsid w:val="00576A47"/>
    <w:rsid w:val="00581A17"/>
    <w:rsid w:val="00581BAE"/>
    <w:rsid w:val="00581FD2"/>
    <w:rsid w:val="0058615F"/>
    <w:rsid w:val="00586BF4"/>
    <w:rsid w:val="005931CE"/>
    <w:rsid w:val="00593E67"/>
    <w:rsid w:val="0059456D"/>
    <w:rsid w:val="00594884"/>
    <w:rsid w:val="00594F3B"/>
    <w:rsid w:val="005956C0"/>
    <w:rsid w:val="00595FBB"/>
    <w:rsid w:val="00597509"/>
    <w:rsid w:val="00597557"/>
    <w:rsid w:val="005A20EA"/>
    <w:rsid w:val="005B192F"/>
    <w:rsid w:val="005B1A3B"/>
    <w:rsid w:val="005B2955"/>
    <w:rsid w:val="005B3C01"/>
    <w:rsid w:val="005B49C7"/>
    <w:rsid w:val="005B4C61"/>
    <w:rsid w:val="005B62CF"/>
    <w:rsid w:val="005B6FAA"/>
    <w:rsid w:val="005B715B"/>
    <w:rsid w:val="005C1119"/>
    <w:rsid w:val="005C2DCC"/>
    <w:rsid w:val="005C4087"/>
    <w:rsid w:val="005C6A86"/>
    <w:rsid w:val="005D1177"/>
    <w:rsid w:val="005D30B2"/>
    <w:rsid w:val="005D3FD5"/>
    <w:rsid w:val="005D3FF4"/>
    <w:rsid w:val="005D7EE6"/>
    <w:rsid w:val="005E3573"/>
    <w:rsid w:val="005E4856"/>
    <w:rsid w:val="005E48DA"/>
    <w:rsid w:val="005E49B8"/>
    <w:rsid w:val="005E7432"/>
    <w:rsid w:val="005F00B2"/>
    <w:rsid w:val="005F051E"/>
    <w:rsid w:val="005F0B58"/>
    <w:rsid w:val="005F4B12"/>
    <w:rsid w:val="005F5646"/>
    <w:rsid w:val="0060047D"/>
    <w:rsid w:val="006008E7"/>
    <w:rsid w:val="00600A33"/>
    <w:rsid w:val="006014DB"/>
    <w:rsid w:val="00601A46"/>
    <w:rsid w:val="00603D69"/>
    <w:rsid w:val="00604437"/>
    <w:rsid w:val="00604E70"/>
    <w:rsid w:val="0060533F"/>
    <w:rsid w:val="00605397"/>
    <w:rsid w:val="00606400"/>
    <w:rsid w:val="00606AE8"/>
    <w:rsid w:val="00611AE5"/>
    <w:rsid w:val="00611EEA"/>
    <w:rsid w:val="00612499"/>
    <w:rsid w:val="00612C3E"/>
    <w:rsid w:val="00613409"/>
    <w:rsid w:val="00613C05"/>
    <w:rsid w:val="00615880"/>
    <w:rsid w:val="0061749B"/>
    <w:rsid w:val="00617F2C"/>
    <w:rsid w:val="006200F0"/>
    <w:rsid w:val="00620B93"/>
    <w:rsid w:val="00622210"/>
    <w:rsid w:val="006230AF"/>
    <w:rsid w:val="00623EA2"/>
    <w:rsid w:val="006255C1"/>
    <w:rsid w:val="00625C1B"/>
    <w:rsid w:val="00626ED9"/>
    <w:rsid w:val="0062786D"/>
    <w:rsid w:val="00631A25"/>
    <w:rsid w:val="00631C81"/>
    <w:rsid w:val="00631D70"/>
    <w:rsid w:val="00634293"/>
    <w:rsid w:val="00635119"/>
    <w:rsid w:val="00635AAB"/>
    <w:rsid w:val="00635E40"/>
    <w:rsid w:val="00636A0C"/>
    <w:rsid w:val="00637E26"/>
    <w:rsid w:val="006406B6"/>
    <w:rsid w:val="00644AFE"/>
    <w:rsid w:val="00650DCD"/>
    <w:rsid w:val="00652099"/>
    <w:rsid w:val="00652C84"/>
    <w:rsid w:val="00655A17"/>
    <w:rsid w:val="00655E44"/>
    <w:rsid w:val="0065676E"/>
    <w:rsid w:val="00657812"/>
    <w:rsid w:val="006607AF"/>
    <w:rsid w:val="00660DCC"/>
    <w:rsid w:val="0066120E"/>
    <w:rsid w:val="00661B0A"/>
    <w:rsid w:val="00662E6D"/>
    <w:rsid w:val="00665EB9"/>
    <w:rsid w:val="00666A18"/>
    <w:rsid w:val="00671C77"/>
    <w:rsid w:val="00672A50"/>
    <w:rsid w:val="00673146"/>
    <w:rsid w:val="00673259"/>
    <w:rsid w:val="00674584"/>
    <w:rsid w:val="00674854"/>
    <w:rsid w:val="006754BC"/>
    <w:rsid w:val="00676DE2"/>
    <w:rsid w:val="0068178B"/>
    <w:rsid w:val="006864AA"/>
    <w:rsid w:val="00687ACA"/>
    <w:rsid w:val="00691426"/>
    <w:rsid w:val="006916AC"/>
    <w:rsid w:val="006916C1"/>
    <w:rsid w:val="0069366D"/>
    <w:rsid w:val="00693883"/>
    <w:rsid w:val="00695335"/>
    <w:rsid w:val="00696A2C"/>
    <w:rsid w:val="006A20C1"/>
    <w:rsid w:val="006A28E1"/>
    <w:rsid w:val="006A4D4E"/>
    <w:rsid w:val="006A5792"/>
    <w:rsid w:val="006A6288"/>
    <w:rsid w:val="006A6905"/>
    <w:rsid w:val="006B2D25"/>
    <w:rsid w:val="006B3A37"/>
    <w:rsid w:val="006B4AF1"/>
    <w:rsid w:val="006B52CF"/>
    <w:rsid w:val="006C03C2"/>
    <w:rsid w:val="006C040C"/>
    <w:rsid w:val="006C05A4"/>
    <w:rsid w:val="006C074D"/>
    <w:rsid w:val="006C1B7A"/>
    <w:rsid w:val="006C375C"/>
    <w:rsid w:val="006C3AE8"/>
    <w:rsid w:val="006C45D0"/>
    <w:rsid w:val="006C7A79"/>
    <w:rsid w:val="006C7B0D"/>
    <w:rsid w:val="006D1503"/>
    <w:rsid w:val="006D1C5E"/>
    <w:rsid w:val="006D5AB4"/>
    <w:rsid w:val="006D6428"/>
    <w:rsid w:val="006D7DE0"/>
    <w:rsid w:val="006E04DE"/>
    <w:rsid w:val="006E1FBF"/>
    <w:rsid w:val="006E29AB"/>
    <w:rsid w:val="006E354A"/>
    <w:rsid w:val="006E3BD3"/>
    <w:rsid w:val="006E3D1F"/>
    <w:rsid w:val="006E449F"/>
    <w:rsid w:val="006E58C5"/>
    <w:rsid w:val="006E737B"/>
    <w:rsid w:val="006F23CA"/>
    <w:rsid w:val="006F2D21"/>
    <w:rsid w:val="006F67CC"/>
    <w:rsid w:val="0070072D"/>
    <w:rsid w:val="00701235"/>
    <w:rsid w:val="00701317"/>
    <w:rsid w:val="007034EF"/>
    <w:rsid w:val="00703573"/>
    <w:rsid w:val="00704378"/>
    <w:rsid w:val="00704FC3"/>
    <w:rsid w:val="007109B1"/>
    <w:rsid w:val="00711904"/>
    <w:rsid w:val="007126CD"/>
    <w:rsid w:val="00714C0F"/>
    <w:rsid w:val="00716DBE"/>
    <w:rsid w:val="00716ECD"/>
    <w:rsid w:val="0071710E"/>
    <w:rsid w:val="007208E0"/>
    <w:rsid w:val="00723075"/>
    <w:rsid w:val="00723696"/>
    <w:rsid w:val="00723E0C"/>
    <w:rsid w:val="00731003"/>
    <w:rsid w:val="0073188E"/>
    <w:rsid w:val="00731CC9"/>
    <w:rsid w:val="00734477"/>
    <w:rsid w:val="00737B57"/>
    <w:rsid w:val="00740FF3"/>
    <w:rsid w:val="0074237C"/>
    <w:rsid w:val="00744D19"/>
    <w:rsid w:val="007453DA"/>
    <w:rsid w:val="0074785D"/>
    <w:rsid w:val="00747A7E"/>
    <w:rsid w:val="00747D2F"/>
    <w:rsid w:val="00752EA8"/>
    <w:rsid w:val="00753A0B"/>
    <w:rsid w:val="00753C14"/>
    <w:rsid w:val="00756602"/>
    <w:rsid w:val="00763033"/>
    <w:rsid w:val="00764626"/>
    <w:rsid w:val="00764681"/>
    <w:rsid w:val="00765D1A"/>
    <w:rsid w:val="00766E7A"/>
    <w:rsid w:val="00767FD2"/>
    <w:rsid w:val="007700A7"/>
    <w:rsid w:val="0077057C"/>
    <w:rsid w:val="007713B3"/>
    <w:rsid w:val="007721F3"/>
    <w:rsid w:val="00772482"/>
    <w:rsid w:val="00773CD5"/>
    <w:rsid w:val="00774D1E"/>
    <w:rsid w:val="00775395"/>
    <w:rsid w:val="00776299"/>
    <w:rsid w:val="00776654"/>
    <w:rsid w:val="00776EC5"/>
    <w:rsid w:val="00777511"/>
    <w:rsid w:val="00777880"/>
    <w:rsid w:val="00781CD5"/>
    <w:rsid w:val="00782B2A"/>
    <w:rsid w:val="007834DD"/>
    <w:rsid w:val="007855A4"/>
    <w:rsid w:val="00787123"/>
    <w:rsid w:val="007945AC"/>
    <w:rsid w:val="00795FF0"/>
    <w:rsid w:val="00796B02"/>
    <w:rsid w:val="007973DB"/>
    <w:rsid w:val="007A0A85"/>
    <w:rsid w:val="007A1334"/>
    <w:rsid w:val="007A2501"/>
    <w:rsid w:val="007A3413"/>
    <w:rsid w:val="007A3937"/>
    <w:rsid w:val="007A4CAF"/>
    <w:rsid w:val="007A51CA"/>
    <w:rsid w:val="007B02D9"/>
    <w:rsid w:val="007B0CF3"/>
    <w:rsid w:val="007B135A"/>
    <w:rsid w:val="007B2907"/>
    <w:rsid w:val="007B30D0"/>
    <w:rsid w:val="007B3A8E"/>
    <w:rsid w:val="007B3B6E"/>
    <w:rsid w:val="007B419A"/>
    <w:rsid w:val="007B51A8"/>
    <w:rsid w:val="007C125D"/>
    <w:rsid w:val="007C1ECB"/>
    <w:rsid w:val="007C2093"/>
    <w:rsid w:val="007C20F0"/>
    <w:rsid w:val="007C4FA9"/>
    <w:rsid w:val="007D0791"/>
    <w:rsid w:val="007D0B29"/>
    <w:rsid w:val="007D0FD3"/>
    <w:rsid w:val="007D3E21"/>
    <w:rsid w:val="007D450A"/>
    <w:rsid w:val="007D45BC"/>
    <w:rsid w:val="007D4962"/>
    <w:rsid w:val="007D4F9F"/>
    <w:rsid w:val="007E2211"/>
    <w:rsid w:val="007E3503"/>
    <w:rsid w:val="007E4359"/>
    <w:rsid w:val="007F057E"/>
    <w:rsid w:val="007F1B53"/>
    <w:rsid w:val="007F3118"/>
    <w:rsid w:val="00800B1A"/>
    <w:rsid w:val="008034F3"/>
    <w:rsid w:val="00804AFE"/>
    <w:rsid w:val="00805093"/>
    <w:rsid w:val="0080612B"/>
    <w:rsid w:val="008074B0"/>
    <w:rsid w:val="008148A8"/>
    <w:rsid w:val="0081662F"/>
    <w:rsid w:val="00816EA0"/>
    <w:rsid w:val="00816F25"/>
    <w:rsid w:val="00817DA0"/>
    <w:rsid w:val="0082020D"/>
    <w:rsid w:val="0082349E"/>
    <w:rsid w:val="00823771"/>
    <w:rsid w:val="00823E22"/>
    <w:rsid w:val="00824B01"/>
    <w:rsid w:val="00825DA9"/>
    <w:rsid w:val="008271CD"/>
    <w:rsid w:val="00830167"/>
    <w:rsid w:val="00832DBD"/>
    <w:rsid w:val="00833EE5"/>
    <w:rsid w:val="0083503C"/>
    <w:rsid w:val="00837D4A"/>
    <w:rsid w:val="008415EB"/>
    <w:rsid w:val="008435DD"/>
    <w:rsid w:val="0084406F"/>
    <w:rsid w:val="008441CF"/>
    <w:rsid w:val="008450C0"/>
    <w:rsid w:val="00845684"/>
    <w:rsid w:val="008463AE"/>
    <w:rsid w:val="0085097B"/>
    <w:rsid w:val="008512E2"/>
    <w:rsid w:val="00851EA8"/>
    <w:rsid w:val="008559B6"/>
    <w:rsid w:val="00856092"/>
    <w:rsid w:val="00856709"/>
    <w:rsid w:val="008573ED"/>
    <w:rsid w:val="00861E61"/>
    <w:rsid w:val="008648EC"/>
    <w:rsid w:val="00864F5F"/>
    <w:rsid w:val="008666BE"/>
    <w:rsid w:val="00870BE5"/>
    <w:rsid w:val="00870CB1"/>
    <w:rsid w:val="0087214A"/>
    <w:rsid w:val="00872553"/>
    <w:rsid w:val="00873F74"/>
    <w:rsid w:val="0087452F"/>
    <w:rsid w:val="00874BC6"/>
    <w:rsid w:val="00874ECA"/>
    <w:rsid w:val="00880118"/>
    <w:rsid w:val="0088039F"/>
    <w:rsid w:val="00880DFE"/>
    <w:rsid w:val="00881068"/>
    <w:rsid w:val="008844C6"/>
    <w:rsid w:val="008878D7"/>
    <w:rsid w:val="00887F65"/>
    <w:rsid w:val="00890FA2"/>
    <w:rsid w:val="00892405"/>
    <w:rsid w:val="00892655"/>
    <w:rsid w:val="00892A24"/>
    <w:rsid w:val="00892E5A"/>
    <w:rsid w:val="008974C3"/>
    <w:rsid w:val="008A0C22"/>
    <w:rsid w:val="008A2A4B"/>
    <w:rsid w:val="008A30B9"/>
    <w:rsid w:val="008A6DB7"/>
    <w:rsid w:val="008B2906"/>
    <w:rsid w:val="008B2A91"/>
    <w:rsid w:val="008B3E58"/>
    <w:rsid w:val="008B568B"/>
    <w:rsid w:val="008B593F"/>
    <w:rsid w:val="008B5BFF"/>
    <w:rsid w:val="008B7C4E"/>
    <w:rsid w:val="008C02FC"/>
    <w:rsid w:val="008C40DB"/>
    <w:rsid w:val="008C4254"/>
    <w:rsid w:val="008C487B"/>
    <w:rsid w:val="008C4CC1"/>
    <w:rsid w:val="008C580E"/>
    <w:rsid w:val="008C7460"/>
    <w:rsid w:val="008C74F0"/>
    <w:rsid w:val="008D0811"/>
    <w:rsid w:val="008D0AE0"/>
    <w:rsid w:val="008D1002"/>
    <w:rsid w:val="008D37CD"/>
    <w:rsid w:val="008D4890"/>
    <w:rsid w:val="008E01C1"/>
    <w:rsid w:val="008E10C1"/>
    <w:rsid w:val="008E49EB"/>
    <w:rsid w:val="008E567E"/>
    <w:rsid w:val="008E5B43"/>
    <w:rsid w:val="008E629C"/>
    <w:rsid w:val="008E7D83"/>
    <w:rsid w:val="008F0B8B"/>
    <w:rsid w:val="008F46E5"/>
    <w:rsid w:val="008F5C02"/>
    <w:rsid w:val="008F6CAB"/>
    <w:rsid w:val="008F7442"/>
    <w:rsid w:val="009003F1"/>
    <w:rsid w:val="009027C5"/>
    <w:rsid w:val="00903D43"/>
    <w:rsid w:val="00907565"/>
    <w:rsid w:val="009116B6"/>
    <w:rsid w:val="00913BC7"/>
    <w:rsid w:val="009150E4"/>
    <w:rsid w:val="00917243"/>
    <w:rsid w:val="00920C9E"/>
    <w:rsid w:val="00924BA4"/>
    <w:rsid w:val="00925386"/>
    <w:rsid w:val="0092653F"/>
    <w:rsid w:val="00926E04"/>
    <w:rsid w:val="00927CC7"/>
    <w:rsid w:val="00930EEE"/>
    <w:rsid w:val="009374DF"/>
    <w:rsid w:val="00937B23"/>
    <w:rsid w:val="00942A62"/>
    <w:rsid w:val="009471E4"/>
    <w:rsid w:val="00951C58"/>
    <w:rsid w:val="00952212"/>
    <w:rsid w:val="00952E94"/>
    <w:rsid w:val="00952F3E"/>
    <w:rsid w:val="00953E8C"/>
    <w:rsid w:val="00955553"/>
    <w:rsid w:val="00957069"/>
    <w:rsid w:val="00957B6C"/>
    <w:rsid w:val="0096193B"/>
    <w:rsid w:val="009676DA"/>
    <w:rsid w:val="009745BA"/>
    <w:rsid w:val="009746A1"/>
    <w:rsid w:val="009749D8"/>
    <w:rsid w:val="00974F78"/>
    <w:rsid w:val="00976FED"/>
    <w:rsid w:val="00977A60"/>
    <w:rsid w:val="00977DC3"/>
    <w:rsid w:val="00980973"/>
    <w:rsid w:val="00986BE1"/>
    <w:rsid w:val="009919A7"/>
    <w:rsid w:val="0099252E"/>
    <w:rsid w:val="009941EA"/>
    <w:rsid w:val="009943E2"/>
    <w:rsid w:val="009943E4"/>
    <w:rsid w:val="009948C5"/>
    <w:rsid w:val="00994C16"/>
    <w:rsid w:val="0099623D"/>
    <w:rsid w:val="009979C5"/>
    <w:rsid w:val="009A0A51"/>
    <w:rsid w:val="009A15F1"/>
    <w:rsid w:val="009A1B11"/>
    <w:rsid w:val="009A237A"/>
    <w:rsid w:val="009A2878"/>
    <w:rsid w:val="009A355F"/>
    <w:rsid w:val="009A49A7"/>
    <w:rsid w:val="009A7636"/>
    <w:rsid w:val="009B1C63"/>
    <w:rsid w:val="009B20EC"/>
    <w:rsid w:val="009B2378"/>
    <w:rsid w:val="009B4420"/>
    <w:rsid w:val="009B5542"/>
    <w:rsid w:val="009B5FF8"/>
    <w:rsid w:val="009B633D"/>
    <w:rsid w:val="009B660A"/>
    <w:rsid w:val="009C1234"/>
    <w:rsid w:val="009C1F4B"/>
    <w:rsid w:val="009C206C"/>
    <w:rsid w:val="009C4881"/>
    <w:rsid w:val="009D3DBB"/>
    <w:rsid w:val="009D41DC"/>
    <w:rsid w:val="009D5CB8"/>
    <w:rsid w:val="009D6F1F"/>
    <w:rsid w:val="009D7679"/>
    <w:rsid w:val="009E0235"/>
    <w:rsid w:val="009E2AAB"/>
    <w:rsid w:val="009E44FA"/>
    <w:rsid w:val="009E58F0"/>
    <w:rsid w:val="009E6B81"/>
    <w:rsid w:val="009F03E3"/>
    <w:rsid w:val="009F047C"/>
    <w:rsid w:val="009F299E"/>
    <w:rsid w:val="009F43EA"/>
    <w:rsid w:val="009F57A3"/>
    <w:rsid w:val="009F597D"/>
    <w:rsid w:val="009F7CA3"/>
    <w:rsid w:val="00A0404C"/>
    <w:rsid w:val="00A05D42"/>
    <w:rsid w:val="00A0769A"/>
    <w:rsid w:val="00A07BAF"/>
    <w:rsid w:val="00A10FF1"/>
    <w:rsid w:val="00A11776"/>
    <w:rsid w:val="00A13D8D"/>
    <w:rsid w:val="00A15D49"/>
    <w:rsid w:val="00A20FD4"/>
    <w:rsid w:val="00A233EC"/>
    <w:rsid w:val="00A270D2"/>
    <w:rsid w:val="00A27A53"/>
    <w:rsid w:val="00A3049E"/>
    <w:rsid w:val="00A3094B"/>
    <w:rsid w:val="00A30D9A"/>
    <w:rsid w:val="00A31CBC"/>
    <w:rsid w:val="00A32F71"/>
    <w:rsid w:val="00A33A0D"/>
    <w:rsid w:val="00A34191"/>
    <w:rsid w:val="00A34A7A"/>
    <w:rsid w:val="00A401F0"/>
    <w:rsid w:val="00A419BB"/>
    <w:rsid w:val="00A41F5D"/>
    <w:rsid w:val="00A4694A"/>
    <w:rsid w:val="00A50A06"/>
    <w:rsid w:val="00A5252F"/>
    <w:rsid w:val="00A53686"/>
    <w:rsid w:val="00A56372"/>
    <w:rsid w:val="00A57DCC"/>
    <w:rsid w:val="00A608DB"/>
    <w:rsid w:val="00A62EAD"/>
    <w:rsid w:val="00A63132"/>
    <w:rsid w:val="00A65884"/>
    <w:rsid w:val="00A677D0"/>
    <w:rsid w:val="00A67DDA"/>
    <w:rsid w:val="00A702E5"/>
    <w:rsid w:val="00A70FCF"/>
    <w:rsid w:val="00A73946"/>
    <w:rsid w:val="00A7524F"/>
    <w:rsid w:val="00A75756"/>
    <w:rsid w:val="00A80BA7"/>
    <w:rsid w:val="00A80F0E"/>
    <w:rsid w:val="00A81C0D"/>
    <w:rsid w:val="00A8229D"/>
    <w:rsid w:val="00A835E4"/>
    <w:rsid w:val="00A84BBA"/>
    <w:rsid w:val="00A855BD"/>
    <w:rsid w:val="00A860E8"/>
    <w:rsid w:val="00A905D8"/>
    <w:rsid w:val="00A9248D"/>
    <w:rsid w:val="00A94219"/>
    <w:rsid w:val="00A97983"/>
    <w:rsid w:val="00A97DCD"/>
    <w:rsid w:val="00AA0B6B"/>
    <w:rsid w:val="00AA10B9"/>
    <w:rsid w:val="00AA12BC"/>
    <w:rsid w:val="00AA1DDC"/>
    <w:rsid w:val="00AA28FE"/>
    <w:rsid w:val="00AA3F0B"/>
    <w:rsid w:val="00AA46CD"/>
    <w:rsid w:val="00AA788A"/>
    <w:rsid w:val="00AA7A0A"/>
    <w:rsid w:val="00AB0837"/>
    <w:rsid w:val="00AB31FD"/>
    <w:rsid w:val="00AB57C9"/>
    <w:rsid w:val="00AB61B1"/>
    <w:rsid w:val="00AB6280"/>
    <w:rsid w:val="00AB6D1C"/>
    <w:rsid w:val="00AB6F25"/>
    <w:rsid w:val="00AC0A60"/>
    <w:rsid w:val="00AC7B2B"/>
    <w:rsid w:val="00AD0D0F"/>
    <w:rsid w:val="00AD6516"/>
    <w:rsid w:val="00AD68FC"/>
    <w:rsid w:val="00AD7A03"/>
    <w:rsid w:val="00AE0E3B"/>
    <w:rsid w:val="00AE4702"/>
    <w:rsid w:val="00AE4A37"/>
    <w:rsid w:val="00AF0AFE"/>
    <w:rsid w:val="00AF10BD"/>
    <w:rsid w:val="00AF259A"/>
    <w:rsid w:val="00AF29CA"/>
    <w:rsid w:val="00AF4A25"/>
    <w:rsid w:val="00AF4CEB"/>
    <w:rsid w:val="00AF79B9"/>
    <w:rsid w:val="00B0000D"/>
    <w:rsid w:val="00B00421"/>
    <w:rsid w:val="00B0050B"/>
    <w:rsid w:val="00B00D7F"/>
    <w:rsid w:val="00B04858"/>
    <w:rsid w:val="00B05CE0"/>
    <w:rsid w:val="00B172B2"/>
    <w:rsid w:val="00B173D5"/>
    <w:rsid w:val="00B1748B"/>
    <w:rsid w:val="00B21568"/>
    <w:rsid w:val="00B21973"/>
    <w:rsid w:val="00B238AD"/>
    <w:rsid w:val="00B257FE"/>
    <w:rsid w:val="00B3179F"/>
    <w:rsid w:val="00B35BAA"/>
    <w:rsid w:val="00B36435"/>
    <w:rsid w:val="00B37625"/>
    <w:rsid w:val="00B40707"/>
    <w:rsid w:val="00B47E14"/>
    <w:rsid w:val="00B52533"/>
    <w:rsid w:val="00B5423E"/>
    <w:rsid w:val="00B5485C"/>
    <w:rsid w:val="00B56EA0"/>
    <w:rsid w:val="00B618F4"/>
    <w:rsid w:val="00B61FEB"/>
    <w:rsid w:val="00B6316D"/>
    <w:rsid w:val="00B64041"/>
    <w:rsid w:val="00B645ED"/>
    <w:rsid w:val="00B656BE"/>
    <w:rsid w:val="00B6684E"/>
    <w:rsid w:val="00B66C8B"/>
    <w:rsid w:val="00B70291"/>
    <w:rsid w:val="00B7127C"/>
    <w:rsid w:val="00B720EC"/>
    <w:rsid w:val="00B730B2"/>
    <w:rsid w:val="00B760C8"/>
    <w:rsid w:val="00B762E0"/>
    <w:rsid w:val="00B7675C"/>
    <w:rsid w:val="00B76B6A"/>
    <w:rsid w:val="00B76D1F"/>
    <w:rsid w:val="00B801C7"/>
    <w:rsid w:val="00B825D0"/>
    <w:rsid w:val="00B83929"/>
    <w:rsid w:val="00B83C74"/>
    <w:rsid w:val="00B83F69"/>
    <w:rsid w:val="00B85B48"/>
    <w:rsid w:val="00B915F1"/>
    <w:rsid w:val="00B93093"/>
    <w:rsid w:val="00B9456C"/>
    <w:rsid w:val="00B946B2"/>
    <w:rsid w:val="00BA0E66"/>
    <w:rsid w:val="00BA215D"/>
    <w:rsid w:val="00BA2444"/>
    <w:rsid w:val="00BA2E5F"/>
    <w:rsid w:val="00BA43B5"/>
    <w:rsid w:val="00BA446F"/>
    <w:rsid w:val="00BA52D7"/>
    <w:rsid w:val="00BA594A"/>
    <w:rsid w:val="00BA5EB0"/>
    <w:rsid w:val="00BA6F61"/>
    <w:rsid w:val="00BA6FEF"/>
    <w:rsid w:val="00BA7DEC"/>
    <w:rsid w:val="00BB0A07"/>
    <w:rsid w:val="00BB1C2F"/>
    <w:rsid w:val="00BB2479"/>
    <w:rsid w:val="00BB269B"/>
    <w:rsid w:val="00BB2821"/>
    <w:rsid w:val="00BB7136"/>
    <w:rsid w:val="00BB7192"/>
    <w:rsid w:val="00BB7D72"/>
    <w:rsid w:val="00BC2CDB"/>
    <w:rsid w:val="00BC2DAC"/>
    <w:rsid w:val="00BC2E2E"/>
    <w:rsid w:val="00BC2F34"/>
    <w:rsid w:val="00BC3800"/>
    <w:rsid w:val="00BC69F2"/>
    <w:rsid w:val="00BD1800"/>
    <w:rsid w:val="00BD1CCC"/>
    <w:rsid w:val="00BD1E89"/>
    <w:rsid w:val="00BD357C"/>
    <w:rsid w:val="00BD3FC8"/>
    <w:rsid w:val="00BD6400"/>
    <w:rsid w:val="00BD6F16"/>
    <w:rsid w:val="00BD7742"/>
    <w:rsid w:val="00BE0430"/>
    <w:rsid w:val="00BE063A"/>
    <w:rsid w:val="00BE7E01"/>
    <w:rsid w:val="00BF001E"/>
    <w:rsid w:val="00BF10E7"/>
    <w:rsid w:val="00BF322E"/>
    <w:rsid w:val="00BF4BFA"/>
    <w:rsid w:val="00BF63BD"/>
    <w:rsid w:val="00BF735E"/>
    <w:rsid w:val="00C04633"/>
    <w:rsid w:val="00C047AE"/>
    <w:rsid w:val="00C05C42"/>
    <w:rsid w:val="00C0638C"/>
    <w:rsid w:val="00C0644C"/>
    <w:rsid w:val="00C06C9F"/>
    <w:rsid w:val="00C06E8E"/>
    <w:rsid w:val="00C0752C"/>
    <w:rsid w:val="00C07B97"/>
    <w:rsid w:val="00C1012E"/>
    <w:rsid w:val="00C10BA1"/>
    <w:rsid w:val="00C12048"/>
    <w:rsid w:val="00C1388C"/>
    <w:rsid w:val="00C17768"/>
    <w:rsid w:val="00C205C8"/>
    <w:rsid w:val="00C22A16"/>
    <w:rsid w:val="00C2305C"/>
    <w:rsid w:val="00C31F01"/>
    <w:rsid w:val="00C36495"/>
    <w:rsid w:val="00C37FF7"/>
    <w:rsid w:val="00C4006D"/>
    <w:rsid w:val="00C42EE9"/>
    <w:rsid w:val="00C46D36"/>
    <w:rsid w:val="00C4762E"/>
    <w:rsid w:val="00C5338F"/>
    <w:rsid w:val="00C541B9"/>
    <w:rsid w:val="00C550A9"/>
    <w:rsid w:val="00C553CF"/>
    <w:rsid w:val="00C56E59"/>
    <w:rsid w:val="00C56E66"/>
    <w:rsid w:val="00C579DB"/>
    <w:rsid w:val="00C610BC"/>
    <w:rsid w:val="00C61DA4"/>
    <w:rsid w:val="00C621AA"/>
    <w:rsid w:val="00C65B05"/>
    <w:rsid w:val="00C6753F"/>
    <w:rsid w:val="00C71E5A"/>
    <w:rsid w:val="00C721D8"/>
    <w:rsid w:val="00C73457"/>
    <w:rsid w:val="00C73F08"/>
    <w:rsid w:val="00C77433"/>
    <w:rsid w:val="00C81F63"/>
    <w:rsid w:val="00C83E6A"/>
    <w:rsid w:val="00C84264"/>
    <w:rsid w:val="00C8430D"/>
    <w:rsid w:val="00C84911"/>
    <w:rsid w:val="00C86737"/>
    <w:rsid w:val="00C87FDE"/>
    <w:rsid w:val="00C9261B"/>
    <w:rsid w:val="00C929D4"/>
    <w:rsid w:val="00C933ED"/>
    <w:rsid w:val="00C946F0"/>
    <w:rsid w:val="00C96A14"/>
    <w:rsid w:val="00C97717"/>
    <w:rsid w:val="00CA136B"/>
    <w:rsid w:val="00CA24F0"/>
    <w:rsid w:val="00CA2EF9"/>
    <w:rsid w:val="00CA3B23"/>
    <w:rsid w:val="00CA3DBE"/>
    <w:rsid w:val="00CA4E24"/>
    <w:rsid w:val="00CA5AF7"/>
    <w:rsid w:val="00CA65AE"/>
    <w:rsid w:val="00CA7470"/>
    <w:rsid w:val="00CB0156"/>
    <w:rsid w:val="00CB3478"/>
    <w:rsid w:val="00CB5089"/>
    <w:rsid w:val="00CB50BD"/>
    <w:rsid w:val="00CB52D1"/>
    <w:rsid w:val="00CC06B5"/>
    <w:rsid w:val="00CC2E15"/>
    <w:rsid w:val="00CD002A"/>
    <w:rsid w:val="00CD0ED2"/>
    <w:rsid w:val="00CD37FE"/>
    <w:rsid w:val="00CD455E"/>
    <w:rsid w:val="00CD5D1E"/>
    <w:rsid w:val="00CD5D82"/>
    <w:rsid w:val="00CE01C3"/>
    <w:rsid w:val="00CE2656"/>
    <w:rsid w:val="00CE3382"/>
    <w:rsid w:val="00CE6A8C"/>
    <w:rsid w:val="00CE6D15"/>
    <w:rsid w:val="00CE7F6E"/>
    <w:rsid w:val="00CF149B"/>
    <w:rsid w:val="00CF167D"/>
    <w:rsid w:val="00CF29AE"/>
    <w:rsid w:val="00CF3861"/>
    <w:rsid w:val="00CF3A87"/>
    <w:rsid w:val="00CF693C"/>
    <w:rsid w:val="00CF73AA"/>
    <w:rsid w:val="00CF75AC"/>
    <w:rsid w:val="00D01406"/>
    <w:rsid w:val="00D05296"/>
    <w:rsid w:val="00D053D9"/>
    <w:rsid w:val="00D0660C"/>
    <w:rsid w:val="00D10BB8"/>
    <w:rsid w:val="00D11271"/>
    <w:rsid w:val="00D12C04"/>
    <w:rsid w:val="00D13D3A"/>
    <w:rsid w:val="00D14B7A"/>
    <w:rsid w:val="00D150A9"/>
    <w:rsid w:val="00D15EB1"/>
    <w:rsid w:val="00D20358"/>
    <w:rsid w:val="00D20DA4"/>
    <w:rsid w:val="00D21F9A"/>
    <w:rsid w:val="00D21FD7"/>
    <w:rsid w:val="00D222F2"/>
    <w:rsid w:val="00D24420"/>
    <w:rsid w:val="00D2495A"/>
    <w:rsid w:val="00D24A9A"/>
    <w:rsid w:val="00D2521F"/>
    <w:rsid w:val="00D25A3C"/>
    <w:rsid w:val="00D267EB"/>
    <w:rsid w:val="00D27D52"/>
    <w:rsid w:val="00D3066D"/>
    <w:rsid w:val="00D30C70"/>
    <w:rsid w:val="00D32083"/>
    <w:rsid w:val="00D3239E"/>
    <w:rsid w:val="00D349E2"/>
    <w:rsid w:val="00D34EA4"/>
    <w:rsid w:val="00D35B4C"/>
    <w:rsid w:val="00D37A9B"/>
    <w:rsid w:val="00D4030F"/>
    <w:rsid w:val="00D4046C"/>
    <w:rsid w:val="00D450D1"/>
    <w:rsid w:val="00D46C32"/>
    <w:rsid w:val="00D47D11"/>
    <w:rsid w:val="00D50000"/>
    <w:rsid w:val="00D50B06"/>
    <w:rsid w:val="00D519F9"/>
    <w:rsid w:val="00D52F86"/>
    <w:rsid w:val="00D5329A"/>
    <w:rsid w:val="00D53493"/>
    <w:rsid w:val="00D543D5"/>
    <w:rsid w:val="00D55945"/>
    <w:rsid w:val="00D55ED5"/>
    <w:rsid w:val="00D61511"/>
    <w:rsid w:val="00D63E66"/>
    <w:rsid w:val="00D646D3"/>
    <w:rsid w:val="00D66E74"/>
    <w:rsid w:val="00D708E7"/>
    <w:rsid w:val="00D70B0B"/>
    <w:rsid w:val="00D70F73"/>
    <w:rsid w:val="00D71264"/>
    <w:rsid w:val="00D731E6"/>
    <w:rsid w:val="00D80CC7"/>
    <w:rsid w:val="00D8453E"/>
    <w:rsid w:val="00D90AD9"/>
    <w:rsid w:val="00D91BBE"/>
    <w:rsid w:val="00D92C0E"/>
    <w:rsid w:val="00D9780A"/>
    <w:rsid w:val="00DA097F"/>
    <w:rsid w:val="00DA1871"/>
    <w:rsid w:val="00DA2205"/>
    <w:rsid w:val="00DA3E7C"/>
    <w:rsid w:val="00DA54D8"/>
    <w:rsid w:val="00DA73A3"/>
    <w:rsid w:val="00DA7C44"/>
    <w:rsid w:val="00DB0187"/>
    <w:rsid w:val="00DB32AA"/>
    <w:rsid w:val="00DB3948"/>
    <w:rsid w:val="00DB3FD6"/>
    <w:rsid w:val="00DB49A0"/>
    <w:rsid w:val="00DC0CBD"/>
    <w:rsid w:val="00DC240A"/>
    <w:rsid w:val="00DC2D31"/>
    <w:rsid w:val="00DC39D6"/>
    <w:rsid w:val="00DC71E9"/>
    <w:rsid w:val="00DC725F"/>
    <w:rsid w:val="00DC772B"/>
    <w:rsid w:val="00DD0A49"/>
    <w:rsid w:val="00DD4F54"/>
    <w:rsid w:val="00DD6335"/>
    <w:rsid w:val="00DE019E"/>
    <w:rsid w:val="00DE1528"/>
    <w:rsid w:val="00DE2929"/>
    <w:rsid w:val="00DE3D25"/>
    <w:rsid w:val="00DE438E"/>
    <w:rsid w:val="00DE7358"/>
    <w:rsid w:val="00DE7DF6"/>
    <w:rsid w:val="00DF1C18"/>
    <w:rsid w:val="00DF2A74"/>
    <w:rsid w:val="00DF2FBC"/>
    <w:rsid w:val="00DF3B6C"/>
    <w:rsid w:val="00DF4F3C"/>
    <w:rsid w:val="00DF4F6F"/>
    <w:rsid w:val="00DF6544"/>
    <w:rsid w:val="00E0193E"/>
    <w:rsid w:val="00E01BD7"/>
    <w:rsid w:val="00E02089"/>
    <w:rsid w:val="00E05119"/>
    <w:rsid w:val="00E06011"/>
    <w:rsid w:val="00E076A3"/>
    <w:rsid w:val="00E10335"/>
    <w:rsid w:val="00E10546"/>
    <w:rsid w:val="00E140BB"/>
    <w:rsid w:val="00E14FC3"/>
    <w:rsid w:val="00E157A9"/>
    <w:rsid w:val="00E158EF"/>
    <w:rsid w:val="00E16164"/>
    <w:rsid w:val="00E17BD3"/>
    <w:rsid w:val="00E17C71"/>
    <w:rsid w:val="00E20118"/>
    <w:rsid w:val="00E21794"/>
    <w:rsid w:val="00E23AB1"/>
    <w:rsid w:val="00E23F07"/>
    <w:rsid w:val="00E2592B"/>
    <w:rsid w:val="00E25F5D"/>
    <w:rsid w:val="00E277A7"/>
    <w:rsid w:val="00E27BBF"/>
    <w:rsid w:val="00E30299"/>
    <w:rsid w:val="00E30749"/>
    <w:rsid w:val="00E31000"/>
    <w:rsid w:val="00E329EE"/>
    <w:rsid w:val="00E33A23"/>
    <w:rsid w:val="00E358A7"/>
    <w:rsid w:val="00E3623F"/>
    <w:rsid w:val="00E402AA"/>
    <w:rsid w:val="00E40B4A"/>
    <w:rsid w:val="00E4174F"/>
    <w:rsid w:val="00E41CA0"/>
    <w:rsid w:val="00E43610"/>
    <w:rsid w:val="00E43892"/>
    <w:rsid w:val="00E44655"/>
    <w:rsid w:val="00E459C1"/>
    <w:rsid w:val="00E47851"/>
    <w:rsid w:val="00E47C42"/>
    <w:rsid w:val="00E506F4"/>
    <w:rsid w:val="00E50E19"/>
    <w:rsid w:val="00E5184D"/>
    <w:rsid w:val="00E52235"/>
    <w:rsid w:val="00E562A8"/>
    <w:rsid w:val="00E65331"/>
    <w:rsid w:val="00E706B3"/>
    <w:rsid w:val="00E709EA"/>
    <w:rsid w:val="00E719FB"/>
    <w:rsid w:val="00E71B57"/>
    <w:rsid w:val="00E73D4E"/>
    <w:rsid w:val="00E740E6"/>
    <w:rsid w:val="00E7422B"/>
    <w:rsid w:val="00E7490A"/>
    <w:rsid w:val="00E764B0"/>
    <w:rsid w:val="00E774C6"/>
    <w:rsid w:val="00E812B1"/>
    <w:rsid w:val="00E830F1"/>
    <w:rsid w:val="00E839D2"/>
    <w:rsid w:val="00E92BD6"/>
    <w:rsid w:val="00E93F3E"/>
    <w:rsid w:val="00E9465C"/>
    <w:rsid w:val="00E97584"/>
    <w:rsid w:val="00E97A00"/>
    <w:rsid w:val="00EA0E55"/>
    <w:rsid w:val="00EA1902"/>
    <w:rsid w:val="00EA329E"/>
    <w:rsid w:val="00EA35D4"/>
    <w:rsid w:val="00EA41CC"/>
    <w:rsid w:val="00EA4212"/>
    <w:rsid w:val="00EA68FA"/>
    <w:rsid w:val="00EA7673"/>
    <w:rsid w:val="00EB4E5C"/>
    <w:rsid w:val="00EB58BB"/>
    <w:rsid w:val="00EB58F3"/>
    <w:rsid w:val="00EB5A18"/>
    <w:rsid w:val="00EC0511"/>
    <w:rsid w:val="00EC09EC"/>
    <w:rsid w:val="00ED0EBB"/>
    <w:rsid w:val="00ED4AD8"/>
    <w:rsid w:val="00ED52D0"/>
    <w:rsid w:val="00ED6479"/>
    <w:rsid w:val="00ED76F7"/>
    <w:rsid w:val="00EE1220"/>
    <w:rsid w:val="00EE20BC"/>
    <w:rsid w:val="00EE4455"/>
    <w:rsid w:val="00EE5FED"/>
    <w:rsid w:val="00EE67AD"/>
    <w:rsid w:val="00EF0814"/>
    <w:rsid w:val="00EF0B64"/>
    <w:rsid w:val="00EF4283"/>
    <w:rsid w:val="00EF55FA"/>
    <w:rsid w:val="00EF5B1D"/>
    <w:rsid w:val="00EF7FC5"/>
    <w:rsid w:val="00F00EF3"/>
    <w:rsid w:val="00F01ACA"/>
    <w:rsid w:val="00F04055"/>
    <w:rsid w:val="00F04216"/>
    <w:rsid w:val="00F0687D"/>
    <w:rsid w:val="00F0766C"/>
    <w:rsid w:val="00F07CD0"/>
    <w:rsid w:val="00F10E6D"/>
    <w:rsid w:val="00F116FD"/>
    <w:rsid w:val="00F122B9"/>
    <w:rsid w:val="00F170D7"/>
    <w:rsid w:val="00F17656"/>
    <w:rsid w:val="00F21CD9"/>
    <w:rsid w:val="00F22750"/>
    <w:rsid w:val="00F23242"/>
    <w:rsid w:val="00F23CF7"/>
    <w:rsid w:val="00F258E1"/>
    <w:rsid w:val="00F25A69"/>
    <w:rsid w:val="00F25BD4"/>
    <w:rsid w:val="00F261C5"/>
    <w:rsid w:val="00F2746D"/>
    <w:rsid w:val="00F27495"/>
    <w:rsid w:val="00F27AA2"/>
    <w:rsid w:val="00F30B05"/>
    <w:rsid w:val="00F3207F"/>
    <w:rsid w:val="00F3541A"/>
    <w:rsid w:val="00F36441"/>
    <w:rsid w:val="00F41322"/>
    <w:rsid w:val="00F42F04"/>
    <w:rsid w:val="00F435B8"/>
    <w:rsid w:val="00F43D02"/>
    <w:rsid w:val="00F44071"/>
    <w:rsid w:val="00F44AD9"/>
    <w:rsid w:val="00F45499"/>
    <w:rsid w:val="00F46275"/>
    <w:rsid w:val="00F467B7"/>
    <w:rsid w:val="00F471BC"/>
    <w:rsid w:val="00F4725F"/>
    <w:rsid w:val="00F47BD7"/>
    <w:rsid w:val="00F50196"/>
    <w:rsid w:val="00F506F0"/>
    <w:rsid w:val="00F50A35"/>
    <w:rsid w:val="00F50ADF"/>
    <w:rsid w:val="00F550C1"/>
    <w:rsid w:val="00F56518"/>
    <w:rsid w:val="00F5665A"/>
    <w:rsid w:val="00F5665F"/>
    <w:rsid w:val="00F5667C"/>
    <w:rsid w:val="00F60488"/>
    <w:rsid w:val="00F631B6"/>
    <w:rsid w:val="00F63BC0"/>
    <w:rsid w:val="00F640FB"/>
    <w:rsid w:val="00F6496E"/>
    <w:rsid w:val="00F64AC3"/>
    <w:rsid w:val="00F66490"/>
    <w:rsid w:val="00F70EB0"/>
    <w:rsid w:val="00F719B8"/>
    <w:rsid w:val="00F71D86"/>
    <w:rsid w:val="00F71DFC"/>
    <w:rsid w:val="00F73057"/>
    <w:rsid w:val="00F7628E"/>
    <w:rsid w:val="00F76AD3"/>
    <w:rsid w:val="00F81626"/>
    <w:rsid w:val="00F86AD2"/>
    <w:rsid w:val="00F87024"/>
    <w:rsid w:val="00F87D54"/>
    <w:rsid w:val="00F90152"/>
    <w:rsid w:val="00F904F6"/>
    <w:rsid w:val="00F92916"/>
    <w:rsid w:val="00F92A10"/>
    <w:rsid w:val="00F94B00"/>
    <w:rsid w:val="00F97558"/>
    <w:rsid w:val="00FA03AD"/>
    <w:rsid w:val="00FA2E89"/>
    <w:rsid w:val="00FA3393"/>
    <w:rsid w:val="00FA3775"/>
    <w:rsid w:val="00FA4CEB"/>
    <w:rsid w:val="00FA522E"/>
    <w:rsid w:val="00FA569B"/>
    <w:rsid w:val="00FA7209"/>
    <w:rsid w:val="00FB05E7"/>
    <w:rsid w:val="00FB1866"/>
    <w:rsid w:val="00FB2D96"/>
    <w:rsid w:val="00FB3056"/>
    <w:rsid w:val="00FB4BFF"/>
    <w:rsid w:val="00FB5529"/>
    <w:rsid w:val="00FB5841"/>
    <w:rsid w:val="00FB6500"/>
    <w:rsid w:val="00FC430C"/>
    <w:rsid w:val="00FC47A2"/>
    <w:rsid w:val="00FC5509"/>
    <w:rsid w:val="00FC5F91"/>
    <w:rsid w:val="00FC6343"/>
    <w:rsid w:val="00FC648A"/>
    <w:rsid w:val="00FC7332"/>
    <w:rsid w:val="00FD129A"/>
    <w:rsid w:val="00FD19D5"/>
    <w:rsid w:val="00FD1D9C"/>
    <w:rsid w:val="00FD4BDA"/>
    <w:rsid w:val="00FE0D9B"/>
    <w:rsid w:val="00FE1EAE"/>
    <w:rsid w:val="00FE20AA"/>
    <w:rsid w:val="00FE39E8"/>
    <w:rsid w:val="00FE458F"/>
    <w:rsid w:val="00FE5E31"/>
    <w:rsid w:val="00FE653D"/>
    <w:rsid w:val="00FF5764"/>
    <w:rsid w:val="00FF6229"/>
    <w:rsid w:val="00FF7037"/>
    <w:rsid w:val="00FF7654"/>
    <w:rsid w:val="00FF7B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6">
    <w:name w:val="heading 6"/>
    <w:basedOn w:val="Normal"/>
    <w:next w:val="Normal"/>
    <w:link w:val="Heading6Char"/>
    <w:qFormat/>
    <w:rsid w:val="001E6E0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1-Accent21">
    <w:name w:val="Medium Grid 1 - Accent 21"/>
    <w:basedOn w:val="Normal"/>
    <w:uiPriority w:val="34"/>
    <w:qFormat/>
    <w:rsid w:val="000E46C7"/>
    <w:pPr>
      <w:ind w:left="720"/>
    </w:pPr>
    <w:rPr>
      <w:rFonts w:ascii="Calibri" w:hAnsi="Calibri"/>
      <w:sz w:val="22"/>
      <w:szCs w:val="22"/>
    </w:rPr>
  </w:style>
  <w:style w:type="character" w:customStyle="1" w:styleId="Heading6Char">
    <w:name w:val="Heading 6 Char"/>
    <w:link w:val="Heading6"/>
    <w:rsid w:val="001E6E09"/>
    <w:rPr>
      <w:b/>
      <w:bCs/>
      <w:sz w:val="22"/>
      <w:szCs w:val="22"/>
    </w:rPr>
  </w:style>
  <w:style w:type="paragraph" w:customStyle="1" w:styleId="E1-Equation">
    <w:name w:val="E1-Equation"/>
    <w:rsid w:val="001E6E09"/>
    <w:pPr>
      <w:tabs>
        <w:tab w:val="center" w:pos="4680"/>
        <w:tab w:val="right" w:pos="9360"/>
      </w:tabs>
      <w:spacing w:line="240" w:lineRule="atLeast"/>
      <w:jc w:val="both"/>
    </w:pPr>
    <w:rPr>
      <w:sz w:val="22"/>
    </w:rPr>
  </w:style>
  <w:style w:type="paragraph" w:styleId="BodyText2">
    <w:name w:val="Body Text 2"/>
    <w:basedOn w:val="Normal"/>
    <w:link w:val="BodyText2Char"/>
    <w:rsid w:val="00716ECD"/>
    <w:pPr>
      <w:spacing w:after="120" w:line="480" w:lineRule="auto"/>
    </w:pPr>
  </w:style>
  <w:style w:type="character" w:customStyle="1" w:styleId="BodyText2Char">
    <w:name w:val="Body Text 2 Char"/>
    <w:basedOn w:val="DefaultParagraphFont"/>
    <w:link w:val="BodyText2"/>
    <w:rsid w:val="00716ECD"/>
    <w:rPr>
      <w:sz w:val="24"/>
      <w:szCs w:val="24"/>
    </w:rPr>
  </w:style>
  <w:style w:type="paragraph" w:styleId="Revision">
    <w:name w:val="Revision"/>
    <w:hidden/>
    <w:uiPriority w:val="71"/>
    <w:rsid w:val="000B53D8"/>
    <w:rPr>
      <w:sz w:val="24"/>
      <w:szCs w:val="24"/>
    </w:rPr>
  </w:style>
  <w:style w:type="paragraph" w:styleId="ListParagraph">
    <w:name w:val="List Paragraph"/>
    <w:basedOn w:val="Normal"/>
    <w:uiPriority w:val="34"/>
    <w:qFormat/>
    <w:rsid w:val="002A125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paragraph" w:styleId="Heading6">
    <w:name w:val="heading 6"/>
    <w:basedOn w:val="Normal"/>
    <w:next w:val="Normal"/>
    <w:link w:val="Heading6Char"/>
    <w:qFormat/>
    <w:rsid w:val="001E6E09"/>
    <w:pPr>
      <w:spacing w:before="240" w:after="60"/>
      <w:outlineLvl w:val="5"/>
    </w:pPr>
    <w:rPr>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paragraph" w:customStyle="1" w:styleId="MediumGrid1-Accent21">
    <w:name w:val="Medium Grid 1 - Accent 21"/>
    <w:basedOn w:val="Normal"/>
    <w:uiPriority w:val="34"/>
    <w:qFormat/>
    <w:rsid w:val="000E46C7"/>
    <w:pPr>
      <w:ind w:left="720"/>
    </w:pPr>
    <w:rPr>
      <w:rFonts w:ascii="Calibri" w:hAnsi="Calibri"/>
      <w:sz w:val="22"/>
      <w:szCs w:val="22"/>
    </w:rPr>
  </w:style>
  <w:style w:type="character" w:customStyle="1" w:styleId="Heading6Char">
    <w:name w:val="Heading 6 Char"/>
    <w:link w:val="Heading6"/>
    <w:rsid w:val="001E6E09"/>
    <w:rPr>
      <w:b/>
      <w:bCs/>
      <w:sz w:val="22"/>
      <w:szCs w:val="22"/>
    </w:rPr>
  </w:style>
  <w:style w:type="paragraph" w:customStyle="1" w:styleId="E1-Equation">
    <w:name w:val="E1-Equation"/>
    <w:rsid w:val="001E6E09"/>
    <w:pPr>
      <w:tabs>
        <w:tab w:val="center" w:pos="4680"/>
        <w:tab w:val="right" w:pos="9360"/>
      </w:tabs>
      <w:spacing w:line="240" w:lineRule="atLeast"/>
      <w:jc w:val="both"/>
    </w:pPr>
    <w:rPr>
      <w:sz w:val="22"/>
    </w:rPr>
  </w:style>
  <w:style w:type="paragraph" w:styleId="BodyText2">
    <w:name w:val="Body Text 2"/>
    <w:basedOn w:val="Normal"/>
    <w:link w:val="BodyText2Char"/>
    <w:rsid w:val="00716ECD"/>
    <w:pPr>
      <w:spacing w:after="120" w:line="480" w:lineRule="auto"/>
    </w:pPr>
  </w:style>
  <w:style w:type="character" w:customStyle="1" w:styleId="BodyText2Char">
    <w:name w:val="Body Text 2 Char"/>
    <w:basedOn w:val="DefaultParagraphFont"/>
    <w:link w:val="BodyText2"/>
    <w:rsid w:val="00716ECD"/>
    <w:rPr>
      <w:sz w:val="24"/>
      <w:szCs w:val="24"/>
    </w:rPr>
  </w:style>
  <w:style w:type="paragraph" w:styleId="Revision">
    <w:name w:val="Revision"/>
    <w:hidden/>
    <w:uiPriority w:val="71"/>
    <w:rsid w:val="000B53D8"/>
    <w:rPr>
      <w:sz w:val="24"/>
      <w:szCs w:val="24"/>
    </w:rPr>
  </w:style>
  <w:style w:type="paragraph" w:styleId="ListParagraph">
    <w:name w:val="List Paragraph"/>
    <w:basedOn w:val="Normal"/>
    <w:uiPriority w:val="34"/>
    <w:qFormat/>
    <w:rsid w:val="002A125B"/>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94137737">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5904013">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46211281">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475369759">
      <w:bodyDiv w:val="1"/>
      <w:marLeft w:val="0"/>
      <w:marRight w:val="0"/>
      <w:marTop w:val="0"/>
      <w:marBottom w:val="0"/>
      <w:divBdr>
        <w:top w:val="none" w:sz="0" w:space="0" w:color="auto"/>
        <w:left w:val="none" w:sz="0" w:space="0" w:color="auto"/>
        <w:bottom w:val="none" w:sz="0" w:space="0" w:color="auto"/>
        <w:right w:val="none" w:sz="0" w:space="0" w:color="auto"/>
      </w:divBdr>
    </w:div>
    <w:div w:id="1509323883">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72316031">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43683702">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718856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file:///C:\Users\sjones1\AppData\Local\Microsoft\Windows\Temporary%20Internet%20Files\Content.Outlook\FMY6878I\www.pso.ahrq.gov\formats\commonfmt.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oppc.org/c/document_library/get_file?p_l_id=71042&amp;folderId=234034&amp;name=DLFE-827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299011.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92D02-E605-47AC-981D-EF35DE235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5064</Words>
  <Characters>31105</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36097</CharactersWithSpaces>
  <SharedDoc>false</SharedDoc>
  <HLinks>
    <vt:vector size="6" baseType="variant">
      <vt:variant>
        <vt:i4>786467</vt:i4>
      </vt:variant>
      <vt:variant>
        <vt:i4>3</vt:i4>
      </vt:variant>
      <vt:variant>
        <vt:i4>0</vt:i4>
      </vt:variant>
      <vt:variant>
        <vt:i4>5</vt:i4>
      </vt:variant>
      <vt:variant>
        <vt:lpwstr>http://www.psoppc.org/c/document_library/get_file?p_l_id=71042&amp;folderId=234034&amp;name=DLFE-8279.pdf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DHHS</cp:lastModifiedBy>
  <cp:revision>3</cp:revision>
  <cp:lastPrinted>2012-06-06T20:51:00Z</cp:lastPrinted>
  <dcterms:created xsi:type="dcterms:W3CDTF">2013-06-06T15:35:00Z</dcterms:created>
  <dcterms:modified xsi:type="dcterms:W3CDTF">2013-06-06T16:53:00Z</dcterms:modified>
</cp:coreProperties>
</file>