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5AC" w:rsidRDefault="00EC75AC">
      <w:bookmarkStart w:id="0" w:name="_GoBack"/>
      <w:bookmarkEnd w:id="0"/>
    </w:p>
    <w:p w:rsidR="00EC75AC" w:rsidRDefault="00EC75AC"/>
    <w:p w:rsidR="00EC75AC" w:rsidRDefault="00EC75AC"/>
    <w:p w:rsidR="00EC75AC" w:rsidRDefault="00EC75AC"/>
    <w:p w:rsidR="00EC75AC" w:rsidRDefault="00EC75AC"/>
    <w:p w:rsidR="00EC75AC" w:rsidRDefault="00EC75AC"/>
    <w:p w:rsidR="002412A5" w:rsidRDefault="002412A5" w:rsidP="002412A5">
      <w:pPr>
        <w:jc w:val="center"/>
      </w:pPr>
    </w:p>
    <w:p w:rsidR="002412A5" w:rsidRDefault="002412A5" w:rsidP="002412A5">
      <w:pPr>
        <w:jc w:val="center"/>
      </w:pPr>
      <w:r>
        <w:t xml:space="preserve">Request for Office of Management and Budget Review and Approval </w:t>
      </w:r>
    </w:p>
    <w:p w:rsidR="002412A5" w:rsidRDefault="002412A5" w:rsidP="002412A5">
      <w:pPr>
        <w:jc w:val="center"/>
      </w:pPr>
      <w:r>
        <w:t>for Federally Sponsored Data Collection</w:t>
      </w:r>
    </w:p>
    <w:p w:rsidR="002412A5" w:rsidRDefault="002412A5" w:rsidP="002412A5"/>
    <w:p w:rsidR="002412A5" w:rsidRDefault="002412A5" w:rsidP="002412A5"/>
    <w:p w:rsidR="002412A5" w:rsidRDefault="002412A5" w:rsidP="002412A5"/>
    <w:p w:rsidR="002412A5" w:rsidRDefault="002412A5" w:rsidP="002412A5"/>
    <w:p w:rsidR="002412A5" w:rsidRDefault="002412A5" w:rsidP="002412A5"/>
    <w:p w:rsidR="002412A5" w:rsidRDefault="002412A5" w:rsidP="002412A5"/>
    <w:p w:rsidR="002412A5" w:rsidRDefault="002412A5" w:rsidP="002412A5"/>
    <w:p w:rsidR="002412A5" w:rsidRDefault="002412A5" w:rsidP="002412A5"/>
    <w:p w:rsidR="002412A5" w:rsidRDefault="002412A5" w:rsidP="002412A5"/>
    <w:p w:rsidR="002412A5" w:rsidRDefault="002412A5" w:rsidP="002412A5"/>
    <w:p w:rsidR="002412A5" w:rsidRDefault="002412A5" w:rsidP="002412A5">
      <w:pPr>
        <w:jc w:val="center"/>
        <w:rPr>
          <w:b/>
        </w:rPr>
      </w:pPr>
      <w:r>
        <w:rPr>
          <w:b/>
        </w:rPr>
        <w:t xml:space="preserve">Spectrum of Flavoring Chemical-Related Lung Disease </w:t>
      </w:r>
    </w:p>
    <w:p w:rsidR="002412A5" w:rsidRDefault="002412A5" w:rsidP="002412A5">
      <w:pPr>
        <w:jc w:val="center"/>
        <w:rPr>
          <w:b/>
        </w:rPr>
      </w:pPr>
    </w:p>
    <w:p w:rsidR="002412A5" w:rsidRDefault="002412A5" w:rsidP="002412A5">
      <w:pPr>
        <w:jc w:val="center"/>
        <w:rPr>
          <w:b/>
        </w:rPr>
      </w:pPr>
    </w:p>
    <w:p w:rsidR="002412A5" w:rsidRDefault="002412A5" w:rsidP="002412A5">
      <w:pPr>
        <w:jc w:val="center"/>
        <w:rPr>
          <w:b/>
        </w:rPr>
      </w:pPr>
    </w:p>
    <w:p w:rsidR="002412A5" w:rsidRDefault="002412A5" w:rsidP="002412A5">
      <w:pPr>
        <w:jc w:val="center"/>
        <w:rPr>
          <w:b/>
        </w:rPr>
      </w:pPr>
    </w:p>
    <w:p w:rsidR="002412A5" w:rsidRDefault="002412A5" w:rsidP="002412A5">
      <w:pPr>
        <w:jc w:val="center"/>
        <w:rPr>
          <w:b/>
        </w:rPr>
      </w:pPr>
    </w:p>
    <w:p w:rsidR="002412A5" w:rsidRDefault="002412A5" w:rsidP="002412A5">
      <w:pPr>
        <w:jc w:val="center"/>
        <w:rPr>
          <w:b/>
        </w:rPr>
      </w:pPr>
      <w:r>
        <w:rPr>
          <w:b/>
        </w:rPr>
        <w:t>Section B</w:t>
      </w:r>
    </w:p>
    <w:p w:rsidR="00EC75AC" w:rsidRDefault="00EC75AC" w:rsidP="00EC75AC">
      <w:pPr>
        <w:jc w:val="center"/>
        <w:rPr>
          <w:b/>
        </w:rPr>
      </w:pPr>
    </w:p>
    <w:p w:rsidR="00EC75AC" w:rsidRDefault="00EC75AC" w:rsidP="00EC75AC">
      <w:pPr>
        <w:jc w:val="center"/>
        <w:rPr>
          <w:b/>
        </w:rPr>
      </w:pPr>
    </w:p>
    <w:p w:rsidR="00EC75AC" w:rsidRDefault="00EC75AC" w:rsidP="00EC75AC">
      <w:pPr>
        <w:jc w:val="center"/>
        <w:rPr>
          <w:b/>
        </w:rPr>
      </w:pPr>
    </w:p>
    <w:p w:rsidR="00EC75AC" w:rsidRDefault="00EC75AC" w:rsidP="00EC75AC">
      <w:pPr>
        <w:jc w:val="center"/>
        <w:rPr>
          <w:b/>
        </w:rPr>
      </w:pPr>
    </w:p>
    <w:p w:rsidR="00EC75AC" w:rsidRDefault="00EC75AC" w:rsidP="00EC75AC">
      <w:pPr>
        <w:jc w:val="center"/>
        <w:rPr>
          <w:b/>
        </w:rPr>
      </w:pPr>
    </w:p>
    <w:p w:rsidR="00EC75AC" w:rsidRDefault="00EC75AC" w:rsidP="00EC75AC">
      <w:pPr>
        <w:jc w:val="center"/>
        <w:rPr>
          <w:b/>
        </w:rPr>
      </w:pPr>
    </w:p>
    <w:p w:rsidR="00EC75AC" w:rsidRDefault="00EC75AC" w:rsidP="00EC75AC">
      <w:pPr>
        <w:jc w:val="center"/>
      </w:pPr>
      <w:r>
        <w:t>Principal Investigator</w:t>
      </w:r>
      <w:r w:rsidR="00682E39">
        <w:t>s</w:t>
      </w:r>
      <w:r>
        <w:t>:</w:t>
      </w:r>
    </w:p>
    <w:p w:rsidR="00EC75AC" w:rsidRDefault="00EC75AC" w:rsidP="00EC75AC">
      <w:pPr>
        <w:jc w:val="center"/>
      </w:pPr>
    </w:p>
    <w:p w:rsidR="002F1B98" w:rsidRDefault="00852609" w:rsidP="00EC75AC">
      <w:pPr>
        <w:jc w:val="center"/>
      </w:pPr>
      <w:r>
        <w:t>Rachel L. Bailey, DO</w:t>
      </w:r>
      <w:r w:rsidR="00CA2A5B">
        <w:t>, MPH</w:t>
      </w:r>
      <w:r w:rsidR="00682E39">
        <w:t xml:space="preserve"> </w:t>
      </w:r>
    </w:p>
    <w:p w:rsidR="00EC75AC" w:rsidRDefault="00682E39" w:rsidP="00EC75AC">
      <w:pPr>
        <w:jc w:val="center"/>
      </w:pPr>
      <w:r>
        <w:t>Jean M. Cox-Ganser, PhD</w:t>
      </w:r>
    </w:p>
    <w:p w:rsidR="00EC75AC" w:rsidRDefault="00682E39" w:rsidP="00EC75AC">
      <w:pPr>
        <w:jc w:val="center"/>
      </w:pPr>
      <w:r>
        <w:t>National Institute for Occupational Safety and Health</w:t>
      </w:r>
    </w:p>
    <w:p w:rsidR="00EC75AC" w:rsidRDefault="00EC75AC" w:rsidP="00EC75AC">
      <w:pPr>
        <w:jc w:val="center"/>
      </w:pPr>
      <w:r>
        <w:t>Division of Respiratory Disease Studies</w:t>
      </w:r>
    </w:p>
    <w:p w:rsidR="00EC75AC" w:rsidRDefault="00EC75AC" w:rsidP="00EC75AC">
      <w:pPr>
        <w:jc w:val="center"/>
      </w:pPr>
      <w:r>
        <w:t>Phone: 304-285-5818</w:t>
      </w:r>
    </w:p>
    <w:p w:rsidR="00EC75AC" w:rsidRDefault="00EC75AC" w:rsidP="00EC75AC">
      <w:pPr>
        <w:jc w:val="center"/>
      </w:pPr>
      <w:r>
        <w:t>Fax: 304-285-5820</w:t>
      </w:r>
    </w:p>
    <w:p w:rsidR="00EC75AC" w:rsidRDefault="00EC75AC" w:rsidP="00EC75AC">
      <w:pPr>
        <w:jc w:val="center"/>
      </w:pPr>
    </w:p>
    <w:p w:rsidR="00EC75AC" w:rsidRDefault="00EC75AC" w:rsidP="00EC75AC">
      <w:pPr>
        <w:jc w:val="center"/>
      </w:pPr>
    </w:p>
    <w:p w:rsidR="00EC75AC" w:rsidRDefault="00EC75AC" w:rsidP="00EC75AC">
      <w:pPr>
        <w:jc w:val="center"/>
      </w:pPr>
    </w:p>
    <w:p w:rsidR="00EC75AC" w:rsidRDefault="00104322" w:rsidP="00EC75AC">
      <w:pPr>
        <w:jc w:val="center"/>
      </w:pPr>
      <w:r>
        <w:t xml:space="preserve">April </w:t>
      </w:r>
      <w:r w:rsidR="00C21A56">
        <w:t xml:space="preserve">5, </w:t>
      </w:r>
      <w:r w:rsidR="00852609">
        <w:t>2013</w:t>
      </w:r>
    </w:p>
    <w:p w:rsidR="00EC75AC" w:rsidRDefault="00EC75AC" w:rsidP="00EC75AC">
      <w:pPr>
        <w:jc w:val="center"/>
      </w:pPr>
    </w:p>
    <w:p w:rsidR="00EC75AC" w:rsidRDefault="00EC75AC" w:rsidP="00EC75AC">
      <w:pPr>
        <w:jc w:val="center"/>
      </w:pPr>
    </w:p>
    <w:p w:rsidR="00EC75AC" w:rsidRDefault="00EC75AC" w:rsidP="00EC75AC">
      <w:pPr>
        <w:jc w:val="center"/>
      </w:pPr>
    </w:p>
    <w:p w:rsidR="00EC75AC" w:rsidRDefault="00EC75AC" w:rsidP="00EC75AC">
      <w:pPr>
        <w:jc w:val="center"/>
      </w:pPr>
    </w:p>
    <w:p w:rsidR="008444AD" w:rsidRDefault="008444AD" w:rsidP="002412A5"/>
    <w:p w:rsidR="00DF3ACA" w:rsidRDefault="00DF3ACA" w:rsidP="00EC75AC">
      <w:pPr>
        <w:jc w:val="center"/>
      </w:pPr>
    </w:p>
    <w:p w:rsidR="002A4A75" w:rsidRDefault="002A4A75" w:rsidP="00EC75AC">
      <w:pPr>
        <w:rPr>
          <w:b/>
          <w:u w:val="single"/>
        </w:rPr>
      </w:pPr>
    </w:p>
    <w:p w:rsidR="00281905" w:rsidRDefault="00773DCB" w:rsidP="00281905">
      <w:pPr>
        <w:pStyle w:val="TOC1"/>
      </w:pPr>
      <w:bookmarkStart w:id="1" w:name="_Toc161124059"/>
      <w:bookmarkStart w:id="2" w:name="_Toc161124921"/>
      <w:r w:rsidRPr="008E0A98">
        <w:t>Table of Contents</w:t>
      </w:r>
    </w:p>
    <w:p w:rsidR="00281905" w:rsidRDefault="00281905" w:rsidP="00281905"/>
    <w:p w:rsidR="00281905" w:rsidRDefault="00281905" w:rsidP="00281905">
      <w:r>
        <w:rPr>
          <w:b/>
        </w:rPr>
        <w:t>B.   Collections of Information Employing Statistical Methods</w:t>
      </w:r>
    </w:p>
    <w:p w:rsidR="00281905" w:rsidRDefault="00281905" w:rsidP="00281905"/>
    <w:p w:rsidR="00281905" w:rsidRDefault="00281905" w:rsidP="00281905">
      <w:r>
        <w:t>B1.  Respondent Universe and Sampling Methods</w:t>
      </w:r>
    </w:p>
    <w:p w:rsidR="00281905" w:rsidRDefault="00281905" w:rsidP="00281905"/>
    <w:p w:rsidR="00281905" w:rsidRDefault="00281905" w:rsidP="00281905">
      <w:r>
        <w:t>B2.  Procedures for the Collection of Information</w:t>
      </w:r>
    </w:p>
    <w:p w:rsidR="00281905" w:rsidRDefault="00281905" w:rsidP="00281905"/>
    <w:p w:rsidR="00281905" w:rsidRDefault="00281905" w:rsidP="00281905">
      <w:r>
        <w:t>B3.  Methods to Maximize Response Rates and Deal with Non</w:t>
      </w:r>
      <w:r w:rsidR="00026035">
        <w:t>-</w:t>
      </w:r>
      <w:r w:rsidR="00E00B59">
        <w:t>R</w:t>
      </w:r>
      <w:r>
        <w:t>esponse</w:t>
      </w:r>
    </w:p>
    <w:p w:rsidR="00281905" w:rsidRDefault="00281905" w:rsidP="00281905"/>
    <w:p w:rsidR="00281905" w:rsidRDefault="00281905" w:rsidP="00281905">
      <w:r>
        <w:t>B4.  Tests of Procedures or Methods to be Undertaken</w:t>
      </w:r>
    </w:p>
    <w:p w:rsidR="00281905" w:rsidRDefault="00281905" w:rsidP="00281905"/>
    <w:p w:rsidR="00281905" w:rsidRDefault="00281905" w:rsidP="00281905">
      <w:r>
        <w:t>B5.  Individuals Consulted on Statistical Aspects and Individuals Collecting and/or Analyzing Data</w:t>
      </w:r>
    </w:p>
    <w:p w:rsidR="00104322" w:rsidRDefault="00104322" w:rsidP="00281905"/>
    <w:p w:rsidR="00104322" w:rsidRPr="00D4565B" w:rsidRDefault="00104322" w:rsidP="00281905">
      <w:pPr>
        <w:rPr>
          <w:b/>
        </w:rPr>
      </w:pPr>
      <w:r w:rsidRPr="00D4565B">
        <w:rPr>
          <w:b/>
        </w:rPr>
        <w:t>References</w:t>
      </w:r>
    </w:p>
    <w:p w:rsidR="00281905" w:rsidRPr="00281905" w:rsidRDefault="00281905" w:rsidP="00281905"/>
    <w:p w:rsidR="008A0509" w:rsidRPr="008A0509" w:rsidRDefault="00281905" w:rsidP="00E25F75">
      <w:pPr>
        <w:pStyle w:val="Level10"/>
        <w:ind w:left="720" w:hanging="720"/>
      </w:pPr>
      <w:r>
        <w:br w:type="page"/>
      </w:r>
      <w:bookmarkStart w:id="3" w:name="_Toc161124943"/>
      <w:bookmarkStart w:id="4" w:name="_Toc179766432"/>
      <w:bookmarkStart w:id="5" w:name="_Toc179774565"/>
      <w:bookmarkEnd w:id="1"/>
      <w:bookmarkEnd w:id="2"/>
      <w:r w:rsidRPr="008A0509">
        <w:lastRenderedPageBreak/>
        <w:t xml:space="preserve"> </w:t>
      </w:r>
      <w:r w:rsidR="008A0509" w:rsidRPr="008A0509">
        <w:t>B.  COLLECTION OF INFORMATION EMPLOYING STATISTICAL</w:t>
      </w:r>
      <w:r w:rsidR="00E25F75">
        <w:t xml:space="preserve"> </w:t>
      </w:r>
      <w:r w:rsidR="008A0509" w:rsidRPr="008A0509">
        <w:t>METHODS</w:t>
      </w:r>
      <w:bookmarkEnd w:id="3"/>
      <w:bookmarkEnd w:id="4"/>
      <w:bookmarkEnd w:id="5"/>
    </w:p>
    <w:p w:rsidR="008A0509" w:rsidRDefault="008A0509" w:rsidP="00E54551">
      <w:pPr>
        <w:ind w:left="360" w:hanging="360"/>
      </w:pPr>
    </w:p>
    <w:p w:rsidR="008A0509" w:rsidRDefault="008A0509" w:rsidP="00E25F75">
      <w:pPr>
        <w:pStyle w:val="Level2"/>
      </w:pPr>
      <w:bookmarkStart w:id="6" w:name="_Toc161124944"/>
      <w:bookmarkStart w:id="7" w:name="_Toc179766433"/>
      <w:bookmarkStart w:id="8" w:name="_Toc179774566"/>
      <w:r>
        <w:t>1.</w:t>
      </w:r>
      <w:r>
        <w:tab/>
        <w:t>Respondent Universe and Sampling Methods</w:t>
      </w:r>
      <w:bookmarkEnd w:id="6"/>
      <w:bookmarkEnd w:id="7"/>
      <w:bookmarkEnd w:id="8"/>
    </w:p>
    <w:p w:rsidR="00BF3353" w:rsidRDefault="00BF3353" w:rsidP="00BF3353">
      <w:pPr>
        <w:ind w:firstLine="720"/>
        <w:outlineLvl w:val="2"/>
      </w:pPr>
      <w:r>
        <w:t>Study population A</w:t>
      </w:r>
      <w:r w:rsidRPr="000213E6">
        <w:t xml:space="preserve"> </w:t>
      </w:r>
      <w:r>
        <w:t>will be recruited from the current and former workers of the sentinel microwave popcorn plant that participated in NIOSH testing conducted from 2000 through mid-2003.  Participation among current workers from Population A in previous surveys ranged from 71%-91%. We will invite the 132 participants who had abnormal results on any NIOSH spirometry test to join this study. Of these 132</w:t>
      </w:r>
      <w:r w:rsidRPr="000213E6">
        <w:t xml:space="preserve"> workers, </w:t>
      </w:r>
      <w:r>
        <w:t>74 had at least one test showing an obstructive or mixed pattern, and 58 had a restrictive pattern</w:t>
      </w:r>
      <w:r w:rsidRPr="000213E6">
        <w:t xml:space="preserve">.  Study population </w:t>
      </w:r>
      <w:r w:rsidR="00246B18">
        <w:t>A</w:t>
      </w:r>
      <w:r w:rsidRPr="000213E6">
        <w:t xml:space="preserve"> will also include 30 workers chosen at random who had normal spirometry on their last test.</w:t>
      </w:r>
      <w:r>
        <w:t xml:space="preserve"> Approximately half of this workforce is male and 83% is Caucasian. At least 16% of workers </w:t>
      </w:r>
      <w:r w:rsidR="00246B18">
        <w:t xml:space="preserve">were identified </w:t>
      </w:r>
      <w:r>
        <w:t xml:space="preserve">to be of Hispanic origin. </w:t>
      </w:r>
    </w:p>
    <w:p w:rsidR="00BF3353" w:rsidRDefault="00BF3353" w:rsidP="000213E6">
      <w:pPr>
        <w:ind w:firstLine="720"/>
        <w:outlineLvl w:val="2"/>
      </w:pPr>
      <w:r>
        <w:t>Study population B</w:t>
      </w:r>
      <w:r w:rsidR="000213E6" w:rsidRPr="000213E6">
        <w:t xml:space="preserve"> is composed of </w:t>
      </w:r>
      <w:r w:rsidR="00852609">
        <w:t>112</w:t>
      </w:r>
      <w:r w:rsidR="009B3EBB">
        <w:t xml:space="preserve"> workers from the </w:t>
      </w:r>
      <w:r w:rsidR="000213E6" w:rsidRPr="000213E6">
        <w:t xml:space="preserve">flavorings plant for whom we have </w:t>
      </w:r>
      <w:r w:rsidR="009A6C85">
        <w:t xml:space="preserve">historical </w:t>
      </w:r>
      <w:r w:rsidR="000213E6" w:rsidRPr="000213E6">
        <w:t>spirometry data</w:t>
      </w:r>
      <w:r w:rsidR="009A6C85">
        <w:t xml:space="preserve"> collected by medical providers between 1998 and 2009</w:t>
      </w:r>
      <w:r w:rsidR="000213E6" w:rsidRPr="000213E6">
        <w:t xml:space="preserve">.  </w:t>
      </w:r>
      <w:r>
        <w:t>This population is primarily male (86%) and Caucasian (77%).</w:t>
      </w:r>
      <w:r w:rsidRPr="000213E6">
        <w:t xml:space="preserve"> </w:t>
      </w:r>
      <w:r>
        <w:t xml:space="preserve"> </w:t>
      </w:r>
      <w:r w:rsidR="000213E6" w:rsidRPr="000213E6">
        <w:t>From</w:t>
      </w:r>
      <w:r>
        <w:t xml:space="preserve"> the most recent spirometry test available</w:t>
      </w:r>
      <w:r w:rsidR="000213E6" w:rsidRPr="000213E6">
        <w:t xml:space="preserve"> on these workers, </w:t>
      </w:r>
      <w:r>
        <w:t>30</w:t>
      </w:r>
      <w:r w:rsidR="009B3EBB">
        <w:t xml:space="preserve"> had </w:t>
      </w:r>
      <w:r>
        <w:t>a restrictive pattern, one had a mixed pattern, and three had an obstructive pattern</w:t>
      </w:r>
      <w:r w:rsidR="000213E6" w:rsidRPr="000213E6">
        <w:t xml:space="preserve">.  There were an additional 5 workers with spirometry results in the normal range but with indications of excessive drop in FEV1 over time. </w:t>
      </w:r>
    </w:p>
    <w:p w:rsidR="007E7833" w:rsidRDefault="007E7833" w:rsidP="000213E6">
      <w:pPr>
        <w:ind w:firstLine="720"/>
        <w:outlineLvl w:val="2"/>
      </w:pPr>
    </w:p>
    <w:tbl>
      <w:tblPr>
        <w:tblStyle w:val="TableGrid"/>
        <w:tblW w:w="0" w:type="auto"/>
        <w:tblLook w:val="04A0" w:firstRow="1" w:lastRow="0" w:firstColumn="1" w:lastColumn="0" w:noHBand="0" w:noVBand="1"/>
      </w:tblPr>
      <w:tblGrid>
        <w:gridCol w:w="4428"/>
        <w:gridCol w:w="4428"/>
      </w:tblGrid>
      <w:tr w:rsidR="007E7833" w:rsidTr="007E7833">
        <w:tc>
          <w:tcPr>
            <w:tcW w:w="4428" w:type="dxa"/>
          </w:tcPr>
          <w:p w:rsidR="007E7833" w:rsidRDefault="007E7833" w:rsidP="000213E6">
            <w:pPr>
              <w:outlineLvl w:val="2"/>
            </w:pPr>
            <w:r>
              <w:t>Respondents</w:t>
            </w:r>
          </w:p>
        </w:tc>
        <w:tc>
          <w:tcPr>
            <w:tcW w:w="4428" w:type="dxa"/>
          </w:tcPr>
          <w:p w:rsidR="007E7833" w:rsidRDefault="007E7833" w:rsidP="000213E6">
            <w:pPr>
              <w:outlineLvl w:val="2"/>
            </w:pPr>
            <w:r>
              <w:t>Number</w:t>
            </w:r>
          </w:p>
        </w:tc>
      </w:tr>
      <w:tr w:rsidR="007E7833" w:rsidTr="007E7833">
        <w:tc>
          <w:tcPr>
            <w:tcW w:w="4428" w:type="dxa"/>
          </w:tcPr>
          <w:p w:rsidR="00511CF5" w:rsidRDefault="007E7833" w:rsidP="000213E6">
            <w:pPr>
              <w:outlineLvl w:val="2"/>
            </w:pPr>
            <w:r>
              <w:t>Study population A</w:t>
            </w:r>
          </w:p>
        </w:tc>
        <w:tc>
          <w:tcPr>
            <w:tcW w:w="4428" w:type="dxa"/>
          </w:tcPr>
          <w:p w:rsidR="007E7833" w:rsidRDefault="00BF3353" w:rsidP="000213E6">
            <w:pPr>
              <w:outlineLvl w:val="2"/>
            </w:pPr>
            <w:r>
              <w:t>162</w:t>
            </w:r>
          </w:p>
        </w:tc>
      </w:tr>
      <w:tr w:rsidR="007E7833" w:rsidTr="00511CF5">
        <w:trPr>
          <w:trHeight w:val="305"/>
        </w:trPr>
        <w:tc>
          <w:tcPr>
            <w:tcW w:w="4428" w:type="dxa"/>
          </w:tcPr>
          <w:p w:rsidR="007E7833" w:rsidRDefault="007E7833" w:rsidP="000213E6">
            <w:pPr>
              <w:outlineLvl w:val="2"/>
            </w:pPr>
            <w:r>
              <w:t>Study population B</w:t>
            </w:r>
          </w:p>
        </w:tc>
        <w:tc>
          <w:tcPr>
            <w:tcW w:w="4428" w:type="dxa"/>
          </w:tcPr>
          <w:p w:rsidR="007E7833" w:rsidRDefault="007E7833" w:rsidP="000213E6">
            <w:pPr>
              <w:outlineLvl w:val="2"/>
            </w:pPr>
            <w:r>
              <w:t>1</w:t>
            </w:r>
            <w:r w:rsidR="00BF3353">
              <w:t>12</w:t>
            </w:r>
          </w:p>
        </w:tc>
      </w:tr>
      <w:tr w:rsidR="00511CF5" w:rsidTr="007E7833">
        <w:tc>
          <w:tcPr>
            <w:tcW w:w="4428" w:type="dxa"/>
          </w:tcPr>
          <w:p w:rsidR="00511CF5" w:rsidRDefault="00511CF5" w:rsidP="000213E6">
            <w:pPr>
              <w:outlineLvl w:val="2"/>
            </w:pPr>
            <w:r>
              <w:t>Total respondent universe</w:t>
            </w:r>
          </w:p>
        </w:tc>
        <w:tc>
          <w:tcPr>
            <w:tcW w:w="4428" w:type="dxa"/>
          </w:tcPr>
          <w:p w:rsidR="00511CF5" w:rsidRDefault="00511CF5" w:rsidP="000213E6">
            <w:pPr>
              <w:outlineLvl w:val="2"/>
            </w:pPr>
            <w:r>
              <w:t>27</w:t>
            </w:r>
            <w:r w:rsidR="00852609">
              <w:t>4</w:t>
            </w:r>
          </w:p>
        </w:tc>
      </w:tr>
    </w:tbl>
    <w:p w:rsidR="007E7833" w:rsidRPr="000213E6" w:rsidRDefault="007E7833" w:rsidP="000213E6">
      <w:pPr>
        <w:ind w:firstLine="720"/>
        <w:outlineLvl w:val="2"/>
      </w:pPr>
    </w:p>
    <w:p w:rsidR="008A0509" w:rsidRDefault="008A0509" w:rsidP="00E25F75">
      <w:pPr>
        <w:pStyle w:val="Level2"/>
      </w:pPr>
      <w:bookmarkStart w:id="9" w:name="_Toc161124945"/>
      <w:bookmarkStart w:id="10" w:name="_Toc179766434"/>
      <w:bookmarkStart w:id="11" w:name="_Toc179774567"/>
      <w:r>
        <w:t>2.</w:t>
      </w:r>
      <w:r>
        <w:tab/>
        <w:t>Procedures for the Collection of Information</w:t>
      </w:r>
      <w:bookmarkEnd w:id="9"/>
      <w:bookmarkEnd w:id="10"/>
      <w:bookmarkEnd w:id="11"/>
    </w:p>
    <w:p w:rsidR="00634730" w:rsidRPr="001C054D" w:rsidRDefault="000307F2" w:rsidP="00AF4AF5">
      <w:pPr>
        <w:ind w:firstLine="720"/>
        <w:outlineLvl w:val="2"/>
      </w:pPr>
      <w:r>
        <w:t xml:space="preserve">We will recruit participants for the medical testing as follows. For </w:t>
      </w:r>
      <w:r w:rsidR="00AF4AF5">
        <w:t>study population A, we have addresses and telephone numbers which were current as of the date of their most recent NIOSH test.  Participants also provided contact information for a person who would know how to get in touch with the participant in case of relocation. We will conduct searches to update and/or verify the addresses on file using Accurint</w:t>
      </w:r>
      <w:r w:rsidR="00AF4AF5" w:rsidRPr="00AF4AF5">
        <w:rPr>
          <w:vertAlign w:val="superscript"/>
        </w:rPr>
        <w:t xml:space="preserve">® </w:t>
      </w:r>
      <w:r w:rsidR="00AF4AF5">
        <w:t>(LexisNexis</w:t>
      </w:r>
      <w:r w:rsidR="00AF4AF5" w:rsidRPr="00AF4AF5">
        <w:rPr>
          <w:vertAlign w:val="superscript"/>
        </w:rPr>
        <w:t>®</w:t>
      </w:r>
      <w:r w:rsidR="00AF4AF5">
        <w:t xml:space="preserve">). </w:t>
      </w:r>
      <w:r w:rsidR="005B2F52">
        <w:t xml:space="preserve"> </w:t>
      </w:r>
      <w:r w:rsidR="00AF4AF5">
        <w:t xml:space="preserve">For study population B, we will work with the Union to obtain current contact information by supplying the name, gender, race, and age from our existing database. </w:t>
      </w:r>
      <w:r w:rsidR="00CA2A5B">
        <w:t xml:space="preserve"> </w:t>
      </w:r>
      <w:r w:rsidR="00AF4AF5">
        <w:t>For people we cannot locate through the Union, we will conduct searches for contact information using Accurint</w:t>
      </w:r>
      <w:r w:rsidR="00AF4AF5" w:rsidRPr="00AF4AF5">
        <w:rPr>
          <w:vertAlign w:val="superscript"/>
        </w:rPr>
        <w:t xml:space="preserve">® </w:t>
      </w:r>
      <w:r w:rsidR="00AF4AF5">
        <w:t>(</w:t>
      </w:r>
      <w:r w:rsidR="00AF4AF5" w:rsidRPr="001C054D">
        <w:t>LexisNexis</w:t>
      </w:r>
      <w:r w:rsidR="00AF4AF5" w:rsidRPr="001C054D">
        <w:rPr>
          <w:vertAlign w:val="superscript"/>
        </w:rPr>
        <w:t>®</w:t>
      </w:r>
      <w:r w:rsidR="00AF4AF5" w:rsidRPr="001C054D">
        <w:t xml:space="preserve">).  One month before each study, we will contact invitees from the study populations by mail (with return receipt).  The mailing will include </w:t>
      </w:r>
      <w:r w:rsidR="00F506E0" w:rsidRPr="001C054D">
        <w:t xml:space="preserve">an invitation letter (Appendix </w:t>
      </w:r>
      <w:r w:rsidR="00DD2530">
        <w:t>H</w:t>
      </w:r>
      <w:r w:rsidR="00AF4AF5" w:rsidRPr="001C054D">
        <w:t>) which will include the NIOSH toll-free number, an i</w:t>
      </w:r>
      <w:r w:rsidR="00F506E0" w:rsidRPr="001C054D">
        <w:t xml:space="preserve">nformational handout (Appendix </w:t>
      </w:r>
      <w:r w:rsidR="00DD2530">
        <w:t>I</w:t>
      </w:r>
      <w:r w:rsidR="00F506E0" w:rsidRPr="001C054D">
        <w:t xml:space="preserve">), job history form (Appendix </w:t>
      </w:r>
      <w:r w:rsidR="00DD2530">
        <w:t>J</w:t>
      </w:r>
      <w:r w:rsidR="00F506E0" w:rsidRPr="001C054D">
        <w:t xml:space="preserve">), medication form (Appendix </w:t>
      </w:r>
      <w:r w:rsidR="00DD2530">
        <w:t>K</w:t>
      </w:r>
      <w:r w:rsidR="00AF4AF5" w:rsidRPr="001C054D">
        <w:t>), and</w:t>
      </w:r>
      <w:r w:rsidR="004C45C5" w:rsidRPr="001C054D">
        <w:t xml:space="preserve"> an informed consent (Appendix G</w:t>
      </w:r>
      <w:r w:rsidR="00AF4AF5" w:rsidRPr="001C054D">
        <w:t>).  The materials are available</w:t>
      </w:r>
      <w:r w:rsidR="00915401" w:rsidRPr="001C054D">
        <w:t xml:space="preserve"> in both English and Spanish. </w:t>
      </w:r>
    </w:p>
    <w:p w:rsidR="00F925A3" w:rsidRPr="001C054D" w:rsidRDefault="00915401" w:rsidP="00915401">
      <w:pPr>
        <w:outlineLvl w:val="2"/>
      </w:pPr>
      <w:r w:rsidRPr="001C054D">
        <w:tab/>
        <w:t xml:space="preserve">Two weeks before the medical study, we will phone potential participants </w:t>
      </w:r>
      <w:r w:rsidR="00B47A19" w:rsidRPr="001C054D">
        <w:t>that we have not heard from to recruit them for the study.  If the potential participant wishes, we will mail him or her a packet containing the invitation letter, informed consent, informational handout, job history form, and medication form, if they did not receive it already in the mail.</w:t>
      </w:r>
      <w:r w:rsidRPr="001C054D">
        <w:t xml:space="preserve">  </w:t>
      </w:r>
      <w:r w:rsidR="00EC23E2" w:rsidRPr="001C054D">
        <w:t xml:space="preserve">Participants will be asked to complete the job history and medication </w:t>
      </w:r>
      <w:r w:rsidR="00EC23E2" w:rsidRPr="001C054D">
        <w:lastRenderedPageBreak/>
        <w:t>forms prior to their appointment.  The job history form will take approximately 10 minutes to complete, and the medication history should take no more than 5 minutes.</w:t>
      </w:r>
    </w:p>
    <w:p w:rsidR="00156C61" w:rsidRPr="00156C61" w:rsidRDefault="00915401">
      <w:pPr>
        <w:ind w:firstLine="720"/>
        <w:outlineLvl w:val="2"/>
      </w:pPr>
      <w:r w:rsidRPr="001C054D">
        <w:t>When particip</w:t>
      </w:r>
      <w:r w:rsidR="00797510" w:rsidRPr="001C054D">
        <w:t xml:space="preserve">ants arrive at the </w:t>
      </w:r>
      <w:r w:rsidR="00B47A19" w:rsidRPr="001C054D">
        <w:t>testing site</w:t>
      </w:r>
      <w:r w:rsidRPr="001C054D">
        <w:t>, we will provide them a copy of the informed consent and encourage them to read it.  We will then have a NIOSH employee explain the main points of the informed consent</w:t>
      </w:r>
      <w:r w:rsidR="00537E3B">
        <w:t>,</w:t>
      </w:r>
      <w:r w:rsidRPr="001C054D">
        <w:t xml:space="preserve"> ensure that the person fully comprehen</w:t>
      </w:r>
      <w:r w:rsidR="00537E3B">
        <w:t>ds</w:t>
      </w:r>
      <w:r w:rsidRPr="001C054D">
        <w:t xml:space="preserve"> the consent</w:t>
      </w:r>
      <w:r w:rsidR="00537E3B">
        <w:t>,</w:t>
      </w:r>
      <w:r w:rsidRPr="001C054D">
        <w:t xml:space="preserve"> and answer any additional questions.  At that time, we will record the person’s name, age, gender, and any medications currently being taken on a control card.  During the medical testing, w</w:t>
      </w:r>
      <w:r w:rsidR="00156C61" w:rsidRPr="001C054D">
        <w:t>e will use computer-assisted, interviewer-administered questionnaires</w:t>
      </w:r>
      <w:r w:rsidR="00156C61" w:rsidRPr="00156C61">
        <w:t xml:space="preserve"> to ascertain respiratory symptoms and diagnoses, work history with microwave popcorn and/or flavorings, exposures to other lung hazards, </w:t>
      </w:r>
      <w:r>
        <w:t>and cigarette smoking history</w:t>
      </w:r>
      <w:r w:rsidR="00856C8F">
        <w:t xml:space="preserve"> (Appendix D)</w:t>
      </w:r>
      <w:r>
        <w:t xml:space="preserve">.  </w:t>
      </w:r>
      <w:r w:rsidR="00797510">
        <w:t xml:space="preserve">This will take 20 minutes or less. </w:t>
      </w:r>
      <w:r w:rsidR="00CA2A5B">
        <w:t xml:space="preserve"> </w:t>
      </w:r>
      <w:r w:rsidR="00797510">
        <w:t>We will have a Spanish translator available during the testing</w:t>
      </w:r>
      <w:r w:rsidR="00511CF5">
        <w:t>.</w:t>
      </w:r>
      <w:r w:rsidR="00797510">
        <w:t xml:space="preserve"> </w:t>
      </w:r>
    </w:p>
    <w:p w:rsidR="00156C61" w:rsidRPr="008D1BBD" w:rsidRDefault="00156C61" w:rsidP="008A0509">
      <w:pPr>
        <w:ind w:left="360" w:hanging="360"/>
        <w:outlineLvl w:val="2"/>
        <w:rPr>
          <w:u w:val="single"/>
        </w:rPr>
      </w:pPr>
    </w:p>
    <w:p w:rsidR="008A0509" w:rsidRDefault="008A0509" w:rsidP="00E25F75">
      <w:pPr>
        <w:pStyle w:val="Level2"/>
      </w:pPr>
      <w:bookmarkStart w:id="12" w:name="_Toc161124946"/>
      <w:bookmarkStart w:id="13" w:name="_Toc179766435"/>
      <w:bookmarkStart w:id="14" w:name="_Toc179774568"/>
      <w:r>
        <w:t>3.</w:t>
      </w:r>
      <w:r>
        <w:tab/>
        <w:t>Methods to Maximize Response Rates and Deal with Non</w:t>
      </w:r>
      <w:r w:rsidR="00184AF9">
        <w:t>-R</w:t>
      </w:r>
      <w:r>
        <w:t>esponse</w:t>
      </w:r>
      <w:bookmarkEnd w:id="12"/>
      <w:bookmarkEnd w:id="13"/>
      <w:bookmarkEnd w:id="14"/>
    </w:p>
    <w:p w:rsidR="008A0509" w:rsidRPr="001C054D" w:rsidRDefault="005F5A70" w:rsidP="007C665A">
      <w:pPr>
        <w:ind w:firstLine="720"/>
        <w:outlineLvl w:val="2"/>
      </w:pPr>
      <w:r>
        <w:t>To encourage participation in the questionnaire, we</w:t>
      </w:r>
      <w:r w:rsidR="00EC23E2">
        <w:t xml:space="preserve"> will send an informational package</w:t>
      </w:r>
      <w:r>
        <w:t xml:space="preserve"> to all </w:t>
      </w:r>
      <w:r w:rsidR="00CA2A5B">
        <w:t xml:space="preserve">potential </w:t>
      </w:r>
      <w:r w:rsidR="00CA2A5B" w:rsidRPr="001C054D">
        <w:t>participants</w:t>
      </w:r>
      <w:r w:rsidRPr="001C054D">
        <w:t xml:space="preserve"> prior to our visit explaining the purpose of the study.  </w:t>
      </w:r>
      <w:r w:rsidR="00DB1A20">
        <w:t xml:space="preserve">Copies </w:t>
      </w:r>
      <w:r w:rsidR="00DF4211" w:rsidRPr="001C054D">
        <w:t xml:space="preserve">of the </w:t>
      </w:r>
      <w:r w:rsidR="00EC23E2" w:rsidRPr="001C054D">
        <w:t xml:space="preserve">letter and informational fact sheet </w:t>
      </w:r>
      <w:r w:rsidR="00DB1A20">
        <w:t>are</w:t>
      </w:r>
      <w:r w:rsidR="00774D28" w:rsidRPr="001C054D">
        <w:t xml:space="preserve"> provided in Appendices</w:t>
      </w:r>
      <w:r w:rsidR="00961D13" w:rsidRPr="001C054D">
        <w:t xml:space="preserve"> </w:t>
      </w:r>
      <w:r w:rsidR="00AA324A" w:rsidRPr="001C054D">
        <w:t>I</w:t>
      </w:r>
      <w:r w:rsidR="00774D28" w:rsidRPr="001C054D">
        <w:t xml:space="preserve"> and J</w:t>
      </w:r>
      <w:r w:rsidR="0023090F">
        <w:t>, respectively</w:t>
      </w:r>
      <w:r w:rsidR="00DF4211" w:rsidRPr="001C054D">
        <w:t xml:space="preserve">.  </w:t>
      </w:r>
    </w:p>
    <w:p w:rsidR="00CA2A5B" w:rsidRPr="001C054D" w:rsidRDefault="00DF4211" w:rsidP="00BE1B2A">
      <w:pPr>
        <w:ind w:firstLine="720"/>
        <w:outlineLvl w:val="2"/>
      </w:pPr>
      <w:r w:rsidRPr="001C054D">
        <w:t xml:space="preserve">To maximize response, we will contact </w:t>
      </w:r>
      <w:r w:rsidR="002E0DC3">
        <w:t>potential participants</w:t>
      </w:r>
      <w:r w:rsidRPr="001C054D">
        <w:t xml:space="preserve"> by phone to </w:t>
      </w:r>
      <w:r w:rsidR="0023090F">
        <w:t>ask them if they would like to participate in the NIOSH study and to answer any questions or address any concerns they may have in regards to participating</w:t>
      </w:r>
      <w:r w:rsidRPr="001C054D">
        <w:t>.</w:t>
      </w:r>
      <w:r w:rsidR="00645B52" w:rsidRPr="001C054D">
        <w:t xml:space="preserve">  </w:t>
      </w:r>
      <w:r w:rsidR="002E0DC3">
        <w:t>We will make five attempts to reach the participant by telephone.</w:t>
      </w:r>
    </w:p>
    <w:p w:rsidR="004C3A7A" w:rsidRDefault="00AA324A" w:rsidP="00BE1B2A">
      <w:pPr>
        <w:ind w:firstLine="720"/>
        <w:outlineLvl w:val="2"/>
      </w:pPr>
      <w:r w:rsidRPr="001C054D">
        <w:t xml:space="preserve">Due to the </w:t>
      </w:r>
      <w:r w:rsidR="00C6614A" w:rsidRPr="001C054D">
        <w:t>time commitment</w:t>
      </w:r>
      <w:r w:rsidRPr="001C054D">
        <w:t xml:space="preserve"> required to complete the medical evalu</w:t>
      </w:r>
      <w:r w:rsidR="009936BC" w:rsidRPr="001C054D">
        <w:t>a</w:t>
      </w:r>
      <w:r w:rsidRPr="001C054D">
        <w:t xml:space="preserve">tion, along with the fact that several participants will have to travel several miles </w:t>
      </w:r>
      <w:r w:rsidR="00B323B5" w:rsidRPr="001C054D">
        <w:t xml:space="preserve">to the </w:t>
      </w:r>
      <w:r w:rsidR="00774D28" w:rsidRPr="001C054D">
        <w:t>testing site</w:t>
      </w:r>
      <w:r w:rsidR="00C6614A" w:rsidRPr="001C054D">
        <w:t xml:space="preserve">, we plan to offer remuneration to all participants </w:t>
      </w:r>
      <w:r w:rsidR="001C054D" w:rsidRPr="001C054D">
        <w:t xml:space="preserve">who complete any portion of the </w:t>
      </w:r>
      <w:r w:rsidR="00104322">
        <w:t>study</w:t>
      </w:r>
      <w:r w:rsidR="00C6614A" w:rsidRPr="001C054D">
        <w:t xml:space="preserve">.  We will compensate participants </w:t>
      </w:r>
      <w:r w:rsidR="00697747" w:rsidRPr="001C054D">
        <w:t>with gift cards</w:t>
      </w:r>
      <w:r w:rsidR="00C6614A" w:rsidRPr="001C054D">
        <w:t xml:space="preserve"> to a local merch</w:t>
      </w:r>
      <w:r w:rsidR="00B876A9" w:rsidRPr="001C054D">
        <w:t>ant for their time and effort.</w:t>
      </w:r>
      <w:r w:rsidR="00B876A9">
        <w:t xml:space="preserve"> </w:t>
      </w:r>
    </w:p>
    <w:p w:rsidR="00774D28" w:rsidRDefault="00C6614A" w:rsidP="003F3E15">
      <w:pPr>
        <w:outlineLvl w:val="2"/>
      </w:pPr>
      <w:r>
        <w:t xml:space="preserve"> </w:t>
      </w:r>
    </w:p>
    <w:p w:rsidR="008A0509" w:rsidRDefault="008A0509" w:rsidP="00E25F75">
      <w:pPr>
        <w:pStyle w:val="Level2"/>
      </w:pPr>
      <w:bookmarkStart w:id="15" w:name="_Toc161124947"/>
      <w:bookmarkStart w:id="16" w:name="_Toc179766436"/>
      <w:bookmarkStart w:id="17" w:name="_Toc179774569"/>
      <w:r>
        <w:t>4.</w:t>
      </w:r>
      <w:r>
        <w:tab/>
        <w:t>Tests of Procedures o</w:t>
      </w:r>
      <w:r w:rsidR="00961D13">
        <w:t>r</w:t>
      </w:r>
      <w:r>
        <w:t xml:space="preserve"> Methods to be Undertaken</w:t>
      </w:r>
      <w:bookmarkEnd w:id="15"/>
      <w:bookmarkEnd w:id="16"/>
      <w:bookmarkEnd w:id="17"/>
    </w:p>
    <w:p w:rsidR="00BC46C1" w:rsidRDefault="00BC46C1" w:rsidP="00DB1A20">
      <w:pPr>
        <w:ind w:firstLine="720"/>
        <w:outlineLvl w:val="2"/>
      </w:pPr>
      <w:r>
        <w:t>The following procedures will be done as part of this study:</w:t>
      </w:r>
      <w:r w:rsidR="008C4038">
        <w:t xml:space="preserve"> </w:t>
      </w:r>
    </w:p>
    <w:p w:rsidR="00F3671A" w:rsidRPr="000829F5" w:rsidRDefault="006836BD" w:rsidP="00BE1B2A">
      <w:pPr>
        <w:rPr>
          <w:u w:val="single"/>
        </w:rPr>
      </w:pPr>
      <w:r>
        <w:rPr>
          <w:u w:val="single"/>
        </w:rPr>
        <w:t>A</w:t>
      </w:r>
      <w:r w:rsidR="00B672B5">
        <w:rPr>
          <w:u w:val="single"/>
        </w:rPr>
        <w:t xml:space="preserve">.  </w:t>
      </w:r>
      <w:r w:rsidR="007D2E23" w:rsidRPr="000829F5">
        <w:rPr>
          <w:u w:val="single"/>
        </w:rPr>
        <w:t xml:space="preserve">NIOSH </w:t>
      </w:r>
      <w:r w:rsidR="00B672B5">
        <w:rPr>
          <w:u w:val="single"/>
        </w:rPr>
        <w:t>q</w:t>
      </w:r>
      <w:r w:rsidR="00BC46C1" w:rsidRPr="000829F5">
        <w:rPr>
          <w:u w:val="single"/>
        </w:rPr>
        <w:t>uestionnaire</w:t>
      </w:r>
      <w:r w:rsidR="00F3671A" w:rsidRPr="000829F5">
        <w:rPr>
          <w:u w:val="single"/>
        </w:rPr>
        <w:t xml:space="preserve">  </w:t>
      </w:r>
    </w:p>
    <w:p w:rsidR="00DE70B7" w:rsidRDefault="00774D28" w:rsidP="00774D28">
      <w:pPr>
        <w:autoSpaceDE w:val="0"/>
        <w:autoSpaceDN w:val="0"/>
        <w:adjustRightInd w:val="0"/>
        <w:ind w:firstLine="720"/>
        <w:rPr>
          <w:lang w:eastAsia="ja-JP"/>
        </w:rPr>
      </w:pPr>
      <w:r w:rsidRPr="004262D6">
        <w:rPr>
          <w:lang w:eastAsia="ja-JP"/>
        </w:rPr>
        <w:t>Trained NIOSH interviewers will</w:t>
      </w:r>
      <w:r w:rsidRPr="004262D6">
        <w:t xml:space="preserve"> administer a computerized questionnaire</w:t>
      </w:r>
      <w:r w:rsidRPr="004262D6">
        <w:rPr>
          <w:lang w:eastAsia="ja-JP"/>
        </w:rPr>
        <w:t xml:space="preserve"> to </w:t>
      </w:r>
      <w:r w:rsidR="00643EFC">
        <w:rPr>
          <w:lang w:eastAsia="ja-JP"/>
        </w:rPr>
        <w:t xml:space="preserve">both the popcorn and flavoring workers to </w:t>
      </w:r>
      <w:r w:rsidRPr="004262D6">
        <w:rPr>
          <w:lang w:eastAsia="ja-JP"/>
        </w:rPr>
        <w:t xml:space="preserve">collect demographic information, work history, lower respiratory symptoms, physician diagnoses of respiratory conditions, cigarette smoking history, and medication use </w:t>
      </w:r>
      <w:r w:rsidRPr="004262D6">
        <w:rPr>
          <w:color w:val="000000"/>
          <w:lang w:eastAsia="ja-JP"/>
        </w:rPr>
        <w:t>(</w:t>
      </w:r>
      <w:r>
        <w:rPr>
          <w:color w:val="000000"/>
          <w:lang w:eastAsia="ja-JP"/>
        </w:rPr>
        <w:t>Appendix D</w:t>
      </w:r>
      <w:r w:rsidRPr="004262D6">
        <w:rPr>
          <w:color w:val="000000"/>
          <w:lang w:eastAsia="ja-JP"/>
        </w:rPr>
        <w:t>).</w:t>
      </w:r>
      <w:r w:rsidRPr="004262D6">
        <w:rPr>
          <w:lang w:eastAsia="ja-JP"/>
        </w:rPr>
        <w:t xml:space="preserve">  The questionnaires were developed from instruments used in previous studies conducted as part of our Health Hazard Evaluations in the popcorn and flavoring industries</w:t>
      </w:r>
      <w:r>
        <w:rPr>
          <w:lang w:eastAsia="ja-JP"/>
        </w:rPr>
        <w:t xml:space="preserve"> (</w:t>
      </w:r>
      <w:r>
        <w:t>OMB Approval No. 0920-0260, Expires 11/30/2014)</w:t>
      </w:r>
      <w:r w:rsidRPr="004262D6">
        <w:t xml:space="preserve">. </w:t>
      </w:r>
      <w:r w:rsidRPr="004262D6">
        <w:rPr>
          <w:rFonts w:ascii="TimesNewRomanPSMT" w:hAnsi="TimesNewRomanPSMT" w:cs="TimesNewRomanPSMT"/>
        </w:rPr>
        <w:t xml:space="preserve"> The questionnaires </w:t>
      </w:r>
      <w:r>
        <w:rPr>
          <w:rFonts w:ascii="TimesNewRomanPSMT" w:hAnsi="TimesNewRomanPSMT" w:cs="TimesNewRomanPSMT"/>
        </w:rPr>
        <w:t>have been</w:t>
      </w:r>
      <w:r w:rsidRPr="004262D6">
        <w:rPr>
          <w:rFonts w:ascii="TimesNewRomanPSMT" w:hAnsi="TimesNewRomanPSMT" w:cs="TimesNewRomanPSMT"/>
        </w:rPr>
        <w:t xml:space="preserve"> translated into Spanish, and Spanish interpreters will be present to assist.  Expected time to complete the questionnaire is approximately 20 minutes</w:t>
      </w:r>
      <w:r w:rsidR="00F3671A" w:rsidRPr="00137F5E">
        <w:rPr>
          <w:color w:val="000000"/>
          <w:lang w:eastAsia="ja-JP"/>
        </w:rPr>
        <w:t>.</w:t>
      </w:r>
      <w:r w:rsidR="00F3671A">
        <w:rPr>
          <w:lang w:eastAsia="ja-JP"/>
        </w:rPr>
        <w:t xml:space="preserve">  </w:t>
      </w:r>
    </w:p>
    <w:p w:rsidR="00643EFC" w:rsidRDefault="00643EFC" w:rsidP="00D4565B">
      <w:pPr>
        <w:autoSpaceDE w:val="0"/>
        <w:autoSpaceDN w:val="0"/>
        <w:adjustRightInd w:val="0"/>
        <w:rPr>
          <w:u w:val="single"/>
          <w:lang w:eastAsia="ja-JP"/>
        </w:rPr>
      </w:pPr>
      <w:r>
        <w:rPr>
          <w:u w:val="single"/>
          <w:lang w:eastAsia="ja-JP"/>
        </w:rPr>
        <w:t>B. Job history and medication forms</w:t>
      </w:r>
    </w:p>
    <w:p w:rsidR="00325611" w:rsidRDefault="00643EFC" w:rsidP="00D4565B">
      <w:pPr>
        <w:autoSpaceDE w:val="0"/>
        <w:autoSpaceDN w:val="0"/>
        <w:adjustRightInd w:val="0"/>
        <w:rPr>
          <w:lang w:eastAsia="ja-JP"/>
        </w:rPr>
      </w:pPr>
      <w:r>
        <w:rPr>
          <w:lang w:eastAsia="ja-JP"/>
        </w:rPr>
        <w:tab/>
        <w:t>Prior to their appointment, participants will be asked to complete both a job history an</w:t>
      </w:r>
      <w:r w:rsidR="00D4565B">
        <w:rPr>
          <w:lang w:eastAsia="ja-JP"/>
        </w:rPr>
        <w:t>d medication form and bring these</w:t>
      </w:r>
      <w:r>
        <w:rPr>
          <w:lang w:eastAsia="ja-JP"/>
        </w:rPr>
        <w:t xml:space="preserve"> </w:t>
      </w:r>
      <w:r w:rsidR="0096715B">
        <w:rPr>
          <w:lang w:eastAsia="ja-JP"/>
        </w:rPr>
        <w:t>with them</w:t>
      </w:r>
      <w:r w:rsidR="00DD2530">
        <w:rPr>
          <w:lang w:eastAsia="ja-JP"/>
        </w:rPr>
        <w:t xml:space="preserve"> (Appendices J and K)</w:t>
      </w:r>
      <w:r>
        <w:rPr>
          <w:lang w:eastAsia="ja-JP"/>
        </w:rPr>
        <w:t xml:space="preserve">.  This will help facilitate the collection of information during the questionnaire and medical testing.  Since we had interviewed </w:t>
      </w:r>
      <w:r w:rsidR="00325611">
        <w:rPr>
          <w:lang w:eastAsia="ja-JP"/>
        </w:rPr>
        <w:t xml:space="preserve">study population A between 2000 and </w:t>
      </w:r>
      <w:r>
        <w:rPr>
          <w:lang w:eastAsia="ja-JP"/>
        </w:rPr>
        <w:t xml:space="preserve">2003, they will only be asked to provide their </w:t>
      </w:r>
      <w:r w:rsidR="00325611">
        <w:rPr>
          <w:lang w:eastAsia="ja-JP"/>
        </w:rPr>
        <w:t>work history since we last interviewed them.  For study population B, we ask them to provide their complete work history since beginning employment.</w:t>
      </w:r>
    </w:p>
    <w:p w:rsidR="0096715B" w:rsidRDefault="0096715B" w:rsidP="00D4565B">
      <w:pPr>
        <w:autoSpaceDE w:val="0"/>
        <w:autoSpaceDN w:val="0"/>
        <w:adjustRightInd w:val="0"/>
        <w:rPr>
          <w:lang w:eastAsia="ja-JP"/>
        </w:rPr>
      </w:pPr>
    </w:p>
    <w:p w:rsidR="00325611" w:rsidRDefault="00325611" w:rsidP="00D4565B">
      <w:pPr>
        <w:autoSpaceDE w:val="0"/>
        <w:autoSpaceDN w:val="0"/>
        <w:adjustRightInd w:val="0"/>
        <w:rPr>
          <w:u w:val="single"/>
          <w:lang w:eastAsia="ja-JP"/>
        </w:rPr>
      </w:pPr>
      <w:r>
        <w:rPr>
          <w:u w:val="single"/>
          <w:lang w:eastAsia="ja-JP"/>
        </w:rPr>
        <w:lastRenderedPageBreak/>
        <w:t>C. Clinical tests</w:t>
      </w:r>
    </w:p>
    <w:p w:rsidR="00325611" w:rsidRDefault="00325611" w:rsidP="00D4565B">
      <w:pPr>
        <w:autoSpaceDE w:val="0"/>
        <w:autoSpaceDN w:val="0"/>
        <w:adjustRightInd w:val="0"/>
        <w:rPr>
          <w:lang w:eastAsia="ja-JP"/>
        </w:rPr>
      </w:pPr>
      <w:r>
        <w:rPr>
          <w:lang w:eastAsia="ja-JP"/>
        </w:rPr>
        <w:tab/>
        <w:t>NIOSH will also be offering participants several clinical tests to determine lung function status.  The com</w:t>
      </w:r>
      <w:r w:rsidR="00D4565B">
        <w:rPr>
          <w:lang w:eastAsia="ja-JP"/>
        </w:rPr>
        <w:t>plete list of clinical tests is</w:t>
      </w:r>
      <w:r>
        <w:rPr>
          <w:lang w:eastAsia="ja-JP"/>
        </w:rPr>
        <w:t xml:space="preserve"> given in the table below.</w:t>
      </w:r>
    </w:p>
    <w:tbl>
      <w:tblPr>
        <w:tblStyle w:val="TableGrid"/>
        <w:tblW w:w="0" w:type="auto"/>
        <w:tblLook w:val="04A0" w:firstRow="1" w:lastRow="0" w:firstColumn="1" w:lastColumn="0" w:noHBand="0" w:noVBand="1"/>
      </w:tblPr>
      <w:tblGrid>
        <w:gridCol w:w="4428"/>
        <w:gridCol w:w="4428"/>
      </w:tblGrid>
      <w:tr w:rsidR="00325611" w:rsidTr="00325611">
        <w:tc>
          <w:tcPr>
            <w:tcW w:w="4428" w:type="dxa"/>
          </w:tcPr>
          <w:p w:rsidR="00325611" w:rsidRDefault="00325611">
            <w:pPr>
              <w:autoSpaceDE w:val="0"/>
              <w:autoSpaceDN w:val="0"/>
              <w:adjustRightInd w:val="0"/>
              <w:rPr>
                <w:lang w:eastAsia="ja-JP"/>
              </w:rPr>
            </w:pPr>
            <w:r>
              <w:rPr>
                <w:lang w:eastAsia="ja-JP"/>
              </w:rPr>
              <w:t>Study Group</w:t>
            </w:r>
          </w:p>
        </w:tc>
        <w:tc>
          <w:tcPr>
            <w:tcW w:w="4428" w:type="dxa"/>
          </w:tcPr>
          <w:p w:rsidR="00325611" w:rsidRDefault="00325611">
            <w:pPr>
              <w:autoSpaceDE w:val="0"/>
              <w:autoSpaceDN w:val="0"/>
              <w:adjustRightInd w:val="0"/>
              <w:rPr>
                <w:lang w:eastAsia="ja-JP"/>
              </w:rPr>
            </w:pPr>
            <w:r>
              <w:rPr>
                <w:lang w:eastAsia="ja-JP"/>
              </w:rPr>
              <w:t>Clinical Test</w:t>
            </w:r>
          </w:p>
        </w:tc>
      </w:tr>
      <w:tr w:rsidR="00325611" w:rsidTr="00325611">
        <w:tc>
          <w:tcPr>
            <w:tcW w:w="4428" w:type="dxa"/>
          </w:tcPr>
          <w:p w:rsidR="00325611" w:rsidRDefault="00325611">
            <w:pPr>
              <w:autoSpaceDE w:val="0"/>
              <w:autoSpaceDN w:val="0"/>
              <w:adjustRightInd w:val="0"/>
              <w:rPr>
                <w:lang w:eastAsia="ja-JP"/>
              </w:rPr>
            </w:pPr>
            <w:r>
              <w:rPr>
                <w:lang w:eastAsia="ja-JP"/>
              </w:rPr>
              <w:t>Popcorn workers with normal spirometry</w:t>
            </w:r>
          </w:p>
        </w:tc>
        <w:tc>
          <w:tcPr>
            <w:tcW w:w="4428" w:type="dxa"/>
          </w:tcPr>
          <w:p w:rsidR="00325611" w:rsidRDefault="00325611">
            <w:pPr>
              <w:autoSpaceDE w:val="0"/>
              <w:autoSpaceDN w:val="0"/>
              <w:adjustRightInd w:val="0"/>
              <w:rPr>
                <w:lang w:eastAsia="ja-JP"/>
              </w:rPr>
            </w:pPr>
            <w:r>
              <w:rPr>
                <w:lang w:eastAsia="ja-JP"/>
              </w:rPr>
              <w:t>Spirometry</w:t>
            </w:r>
          </w:p>
          <w:p w:rsidR="00325611" w:rsidRDefault="00325611">
            <w:pPr>
              <w:autoSpaceDE w:val="0"/>
              <w:autoSpaceDN w:val="0"/>
              <w:adjustRightInd w:val="0"/>
              <w:rPr>
                <w:lang w:eastAsia="ja-JP"/>
              </w:rPr>
            </w:pPr>
            <w:r>
              <w:rPr>
                <w:lang w:eastAsia="ja-JP"/>
              </w:rPr>
              <w:t>DLCO</w:t>
            </w:r>
          </w:p>
          <w:p w:rsidR="00325611" w:rsidRDefault="00325611">
            <w:pPr>
              <w:autoSpaceDE w:val="0"/>
              <w:autoSpaceDN w:val="0"/>
              <w:adjustRightInd w:val="0"/>
              <w:rPr>
                <w:lang w:eastAsia="ja-JP"/>
              </w:rPr>
            </w:pPr>
            <w:r>
              <w:rPr>
                <w:lang w:eastAsia="ja-JP"/>
              </w:rPr>
              <w:t>TLC</w:t>
            </w:r>
          </w:p>
          <w:p w:rsidR="00325611" w:rsidRDefault="00325611">
            <w:pPr>
              <w:autoSpaceDE w:val="0"/>
              <w:autoSpaceDN w:val="0"/>
              <w:adjustRightInd w:val="0"/>
              <w:rPr>
                <w:lang w:eastAsia="ja-JP"/>
              </w:rPr>
            </w:pPr>
            <w:r>
              <w:rPr>
                <w:lang w:eastAsia="ja-JP"/>
              </w:rPr>
              <w:t>HRCT</w:t>
            </w:r>
          </w:p>
          <w:p w:rsidR="004B5B0C" w:rsidRDefault="004B5B0C">
            <w:pPr>
              <w:autoSpaceDE w:val="0"/>
              <w:autoSpaceDN w:val="0"/>
              <w:adjustRightInd w:val="0"/>
              <w:rPr>
                <w:lang w:eastAsia="ja-JP"/>
              </w:rPr>
            </w:pPr>
            <w:r>
              <w:rPr>
                <w:lang w:eastAsia="ja-JP"/>
              </w:rPr>
              <w:t>Blood draw</w:t>
            </w:r>
          </w:p>
        </w:tc>
      </w:tr>
      <w:tr w:rsidR="00325611" w:rsidTr="00325611">
        <w:tc>
          <w:tcPr>
            <w:tcW w:w="4428" w:type="dxa"/>
          </w:tcPr>
          <w:p w:rsidR="00325611" w:rsidRDefault="00325611">
            <w:pPr>
              <w:autoSpaceDE w:val="0"/>
              <w:autoSpaceDN w:val="0"/>
              <w:adjustRightInd w:val="0"/>
              <w:rPr>
                <w:lang w:eastAsia="ja-JP"/>
              </w:rPr>
            </w:pPr>
            <w:r>
              <w:rPr>
                <w:lang w:eastAsia="ja-JP"/>
              </w:rPr>
              <w:t>Popcorn workers with abnormal spirometry</w:t>
            </w:r>
          </w:p>
        </w:tc>
        <w:tc>
          <w:tcPr>
            <w:tcW w:w="4428" w:type="dxa"/>
          </w:tcPr>
          <w:p w:rsidR="00325611" w:rsidRDefault="00325611">
            <w:pPr>
              <w:autoSpaceDE w:val="0"/>
              <w:autoSpaceDN w:val="0"/>
              <w:adjustRightInd w:val="0"/>
              <w:rPr>
                <w:lang w:eastAsia="ja-JP"/>
              </w:rPr>
            </w:pPr>
            <w:r>
              <w:rPr>
                <w:lang w:eastAsia="ja-JP"/>
              </w:rPr>
              <w:t>Spirometry</w:t>
            </w:r>
          </w:p>
          <w:p w:rsidR="00325611" w:rsidRDefault="00325611">
            <w:pPr>
              <w:autoSpaceDE w:val="0"/>
              <w:autoSpaceDN w:val="0"/>
              <w:adjustRightInd w:val="0"/>
              <w:rPr>
                <w:lang w:eastAsia="ja-JP"/>
              </w:rPr>
            </w:pPr>
            <w:r>
              <w:rPr>
                <w:lang w:eastAsia="ja-JP"/>
              </w:rPr>
              <w:t>DLCO</w:t>
            </w:r>
          </w:p>
          <w:p w:rsidR="00325611" w:rsidRDefault="00325611">
            <w:pPr>
              <w:autoSpaceDE w:val="0"/>
              <w:autoSpaceDN w:val="0"/>
              <w:adjustRightInd w:val="0"/>
              <w:rPr>
                <w:lang w:eastAsia="ja-JP"/>
              </w:rPr>
            </w:pPr>
            <w:r>
              <w:rPr>
                <w:lang w:eastAsia="ja-JP"/>
              </w:rPr>
              <w:t>TLC</w:t>
            </w:r>
          </w:p>
          <w:p w:rsidR="00325611" w:rsidRDefault="00325611">
            <w:pPr>
              <w:autoSpaceDE w:val="0"/>
              <w:autoSpaceDN w:val="0"/>
              <w:adjustRightInd w:val="0"/>
              <w:rPr>
                <w:lang w:eastAsia="ja-JP"/>
              </w:rPr>
            </w:pPr>
            <w:r>
              <w:rPr>
                <w:lang w:eastAsia="ja-JP"/>
              </w:rPr>
              <w:t>HRCT</w:t>
            </w:r>
          </w:p>
          <w:p w:rsidR="004B5B0C" w:rsidRDefault="004B5B0C">
            <w:pPr>
              <w:autoSpaceDE w:val="0"/>
              <w:autoSpaceDN w:val="0"/>
              <w:adjustRightInd w:val="0"/>
              <w:rPr>
                <w:lang w:eastAsia="ja-JP"/>
              </w:rPr>
            </w:pPr>
            <w:r>
              <w:rPr>
                <w:lang w:eastAsia="ja-JP"/>
              </w:rPr>
              <w:t>Blood draw</w:t>
            </w:r>
          </w:p>
          <w:p w:rsidR="00325611" w:rsidRDefault="00325611">
            <w:pPr>
              <w:autoSpaceDE w:val="0"/>
              <w:autoSpaceDN w:val="0"/>
              <w:adjustRightInd w:val="0"/>
              <w:rPr>
                <w:lang w:eastAsia="ja-JP"/>
              </w:rPr>
            </w:pPr>
            <w:r>
              <w:rPr>
                <w:lang w:eastAsia="ja-JP"/>
              </w:rPr>
              <w:t>Bronchodilator test</w:t>
            </w:r>
          </w:p>
        </w:tc>
      </w:tr>
      <w:tr w:rsidR="00325611" w:rsidTr="00325611">
        <w:tc>
          <w:tcPr>
            <w:tcW w:w="4428" w:type="dxa"/>
          </w:tcPr>
          <w:p w:rsidR="00325611" w:rsidRDefault="00325611">
            <w:pPr>
              <w:autoSpaceDE w:val="0"/>
              <w:autoSpaceDN w:val="0"/>
              <w:adjustRightInd w:val="0"/>
              <w:rPr>
                <w:lang w:eastAsia="ja-JP"/>
              </w:rPr>
            </w:pPr>
            <w:r>
              <w:rPr>
                <w:lang w:eastAsia="ja-JP"/>
              </w:rPr>
              <w:t>Flavoring workers with normal spirometry</w:t>
            </w:r>
          </w:p>
        </w:tc>
        <w:tc>
          <w:tcPr>
            <w:tcW w:w="4428" w:type="dxa"/>
          </w:tcPr>
          <w:p w:rsidR="00325611" w:rsidRDefault="00325611">
            <w:pPr>
              <w:autoSpaceDE w:val="0"/>
              <w:autoSpaceDN w:val="0"/>
              <w:adjustRightInd w:val="0"/>
              <w:rPr>
                <w:lang w:eastAsia="ja-JP"/>
              </w:rPr>
            </w:pPr>
            <w:r>
              <w:rPr>
                <w:lang w:eastAsia="ja-JP"/>
              </w:rPr>
              <w:t>Spirometry</w:t>
            </w:r>
          </w:p>
          <w:p w:rsidR="00325611" w:rsidRDefault="00325611">
            <w:pPr>
              <w:autoSpaceDE w:val="0"/>
              <w:autoSpaceDN w:val="0"/>
              <w:adjustRightInd w:val="0"/>
              <w:rPr>
                <w:lang w:eastAsia="ja-JP"/>
              </w:rPr>
            </w:pPr>
            <w:r>
              <w:rPr>
                <w:lang w:eastAsia="ja-JP"/>
              </w:rPr>
              <w:t>DLCO</w:t>
            </w:r>
          </w:p>
          <w:p w:rsidR="00325611" w:rsidRDefault="00325611">
            <w:pPr>
              <w:autoSpaceDE w:val="0"/>
              <w:autoSpaceDN w:val="0"/>
              <w:adjustRightInd w:val="0"/>
              <w:rPr>
                <w:lang w:eastAsia="ja-JP"/>
              </w:rPr>
            </w:pPr>
            <w:r>
              <w:rPr>
                <w:lang w:eastAsia="ja-JP"/>
              </w:rPr>
              <w:t>TLC</w:t>
            </w:r>
          </w:p>
          <w:p w:rsidR="00325611" w:rsidRDefault="00325611">
            <w:pPr>
              <w:autoSpaceDE w:val="0"/>
              <w:autoSpaceDN w:val="0"/>
              <w:adjustRightInd w:val="0"/>
              <w:rPr>
                <w:lang w:eastAsia="ja-JP"/>
              </w:rPr>
            </w:pPr>
            <w:r>
              <w:rPr>
                <w:lang w:eastAsia="ja-JP"/>
              </w:rPr>
              <w:t>HRCT</w:t>
            </w:r>
          </w:p>
          <w:p w:rsidR="004B5B0C" w:rsidRDefault="004B5B0C">
            <w:pPr>
              <w:autoSpaceDE w:val="0"/>
              <w:autoSpaceDN w:val="0"/>
              <w:adjustRightInd w:val="0"/>
              <w:rPr>
                <w:lang w:eastAsia="ja-JP"/>
              </w:rPr>
            </w:pPr>
            <w:r>
              <w:rPr>
                <w:lang w:eastAsia="ja-JP"/>
              </w:rPr>
              <w:t>Blood draw</w:t>
            </w:r>
          </w:p>
        </w:tc>
      </w:tr>
      <w:tr w:rsidR="00325611" w:rsidTr="00325611">
        <w:tc>
          <w:tcPr>
            <w:tcW w:w="4428" w:type="dxa"/>
          </w:tcPr>
          <w:p w:rsidR="00325611" w:rsidRDefault="00325611">
            <w:pPr>
              <w:autoSpaceDE w:val="0"/>
              <w:autoSpaceDN w:val="0"/>
              <w:adjustRightInd w:val="0"/>
              <w:rPr>
                <w:lang w:eastAsia="ja-JP"/>
              </w:rPr>
            </w:pPr>
            <w:r>
              <w:rPr>
                <w:lang w:eastAsia="ja-JP"/>
              </w:rPr>
              <w:t>Flavoring workers with abnormal spirometry</w:t>
            </w:r>
          </w:p>
        </w:tc>
        <w:tc>
          <w:tcPr>
            <w:tcW w:w="4428" w:type="dxa"/>
          </w:tcPr>
          <w:p w:rsidR="00325611" w:rsidRDefault="00325611">
            <w:pPr>
              <w:autoSpaceDE w:val="0"/>
              <w:autoSpaceDN w:val="0"/>
              <w:adjustRightInd w:val="0"/>
              <w:rPr>
                <w:lang w:eastAsia="ja-JP"/>
              </w:rPr>
            </w:pPr>
            <w:r>
              <w:rPr>
                <w:lang w:eastAsia="ja-JP"/>
              </w:rPr>
              <w:t>Spirometry</w:t>
            </w:r>
          </w:p>
          <w:p w:rsidR="00325611" w:rsidRDefault="00325611">
            <w:pPr>
              <w:autoSpaceDE w:val="0"/>
              <w:autoSpaceDN w:val="0"/>
              <w:adjustRightInd w:val="0"/>
              <w:rPr>
                <w:lang w:eastAsia="ja-JP"/>
              </w:rPr>
            </w:pPr>
            <w:r>
              <w:rPr>
                <w:lang w:eastAsia="ja-JP"/>
              </w:rPr>
              <w:t>DLCO</w:t>
            </w:r>
          </w:p>
          <w:p w:rsidR="00325611" w:rsidRDefault="00325611">
            <w:pPr>
              <w:autoSpaceDE w:val="0"/>
              <w:autoSpaceDN w:val="0"/>
              <w:adjustRightInd w:val="0"/>
              <w:rPr>
                <w:lang w:eastAsia="ja-JP"/>
              </w:rPr>
            </w:pPr>
            <w:r>
              <w:rPr>
                <w:lang w:eastAsia="ja-JP"/>
              </w:rPr>
              <w:t>TLC</w:t>
            </w:r>
          </w:p>
          <w:p w:rsidR="00325611" w:rsidRDefault="00325611">
            <w:pPr>
              <w:autoSpaceDE w:val="0"/>
              <w:autoSpaceDN w:val="0"/>
              <w:adjustRightInd w:val="0"/>
              <w:rPr>
                <w:lang w:eastAsia="ja-JP"/>
              </w:rPr>
            </w:pPr>
            <w:r>
              <w:rPr>
                <w:lang w:eastAsia="ja-JP"/>
              </w:rPr>
              <w:t>HRCT</w:t>
            </w:r>
          </w:p>
          <w:p w:rsidR="004B5B0C" w:rsidRDefault="004B5B0C">
            <w:pPr>
              <w:autoSpaceDE w:val="0"/>
              <w:autoSpaceDN w:val="0"/>
              <w:adjustRightInd w:val="0"/>
              <w:rPr>
                <w:lang w:eastAsia="ja-JP"/>
              </w:rPr>
            </w:pPr>
            <w:r>
              <w:rPr>
                <w:lang w:eastAsia="ja-JP"/>
              </w:rPr>
              <w:t>Blood draw</w:t>
            </w:r>
          </w:p>
          <w:p w:rsidR="00325611" w:rsidRDefault="00325611">
            <w:pPr>
              <w:autoSpaceDE w:val="0"/>
              <w:autoSpaceDN w:val="0"/>
              <w:adjustRightInd w:val="0"/>
              <w:rPr>
                <w:lang w:eastAsia="ja-JP"/>
              </w:rPr>
            </w:pPr>
            <w:r>
              <w:rPr>
                <w:lang w:eastAsia="ja-JP"/>
              </w:rPr>
              <w:t>Bronchodilator test</w:t>
            </w:r>
          </w:p>
        </w:tc>
      </w:tr>
    </w:tbl>
    <w:p w:rsidR="00643EFC" w:rsidRPr="00643EFC" w:rsidRDefault="00325611" w:rsidP="00D4565B">
      <w:pPr>
        <w:autoSpaceDE w:val="0"/>
        <w:autoSpaceDN w:val="0"/>
        <w:adjustRightInd w:val="0"/>
        <w:rPr>
          <w:rFonts w:ascii="TimesNewRomanPSMT" w:hAnsi="TimesNewRomanPSMT" w:cs="TimesNewRomanPSMT"/>
        </w:rPr>
      </w:pPr>
      <w:r>
        <w:rPr>
          <w:lang w:eastAsia="ja-JP"/>
        </w:rPr>
        <w:t xml:space="preserve"> </w:t>
      </w:r>
    </w:p>
    <w:p w:rsidR="008A0509" w:rsidRPr="00C05226" w:rsidRDefault="008A0509" w:rsidP="00C05226">
      <w:pPr>
        <w:pStyle w:val="Level2"/>
      </w:pPr>
      <w:bookmarkStart w:id="18" w:name="_Toc161124948"/>
      <w:bookmarkStart w:id="19" w:name="_Toc179766437"/>
      <w:bookmarkStart w:id="20" w:name="_Toc179774570"/>
      <w:r w:rsidRPr="00C05226">
        <w:t>5.</w:t>
      </w:r>
      <w:r w:rsidRPr="00C05226">
        <w:tab/>
      </w:r>
      <w:r w:rsidR="00B9378B" w:rsidRPr="00C05226">
        <w:t>Individuals Consulted on Statistical Aspects and Individuals Collecting and/or Analyzing Data</w:t>
      </w:r>
      <w:bookmarkEnd w:id="18"/>
      <w:bookmarkEnd w:id="19"/>
      <w:bookmarkEnd w:id="20"/>
    </w:p>
    <w:p w:rsidR="002119C9" w:rsidRDefault="002119C9" w:rsidP="00BE1B2A">
      <w:pPr>
        <w:ind w:firstLine="360"/>
      </w:pPr>
      <w:r>
        <w:rPr>
          <w:b/>
        </w:rPr>
        <w:tab/>
      </w:r>
      <w:r>
        <w:t xml:space="preserve">The following individuals will be involved in the design, </w:t>
      </w:r>
      <w:r w:rsidR="00165850">
        <w:t xml:space="preserve">collection and analysis of </w:t>
      </w:r>
      <w:r w:rsidR="001F1B7B">
        <w:t>the data obtained in this study:</w:t>
      </w:r>
    </w:p>
    <w:p w:rsidR="00165850" w:rsidRDefault="00C41234" w:rsidP="002119C9">
      <w:pPr>
        <w:ind w:left="360" w:hanging="360"/>
      </w:pPr>
      <w:r>
        <w:tab/>
      </w:r>
    </w:p>
    <w:p w:rsidR="00BF3353" w:rsidRDefault="00BF3353" w:rsidP="00D87C1F">
      <w:pPr>
        <w:ind w:hanging="360"/>
      </w:pPr>
      <w:r>
        <w:tab/>
      </w:r>
      <w:r>
        <w:rPr>
          <w:u w:val="single"/>
        </w:rPr>
        <w:t xml:space="preserve">Rachel Bailey, DO, MPH </w:t>
      </w:r>
      <w:r>
        <w:t xml:space="preserve">– Medical Officer, Field Studies Branch, Division of Respiratory Disease Studies, NIOSH, Morgantown WV, 304-285-5757, </w:t>
      </w:r>
      <w:hyperlink r:id="rId9" w:history="1">
        <w:r w:rsidRPr="00743F9B">
          <w:rPr>
            <w:rStyle w:val="Hyperlink"/>
          </w:rPr>
          <w:t>feu2@cdc.gov</w:t>
        </w:r>
      </w:hyperlink>
      <w:r w:rsidR="00BA0BA2">
        <w:t xml:space="preserve"> is a co-</w:t>
      </w:r>
      <w:r>
        <w:t>principal investigator for this study and will be involved in the design, collection, and analysis of the medical data.</w:t>
      </w:r>
      <w:r w:rsidR="00C41234">
        <w:tab/>
      </w:r>
    </w:p>
    <w:p w:rsidR="00BF3353" w:rsidRDefault="00BF3353" w:rsidP="00D87C1F">
      <w:pPr>
        <w:ind w:hanging="360"/>
      </w:pPr>
    </w:p>
    <w:p w:rsidR="00165850" w:rsidRDefault="005A3531" w:rsidP="00BF3353">
      <w:r>
        <w:rPr>
          <w:u w:val="single"/>
        </w:rPr>
        <w:t>Jean Cox-Ganser, Ph</w:t>
      </w:r>
      <w:r w:rsidR="00165850">
        <w:rPr>
          <w:u w:val="single"/>
        </w:rPr>
        <w:t>D</w:t>
      </w:r>
      <w:r w:rsidR="001F1B7B">
        <w:t xml:space="preserve"> </w:t>
      </w:r>
      <w:r w:rsidR="00C41234">
        <w:t>–</w:t>
      </w:r>
      <w:r w:rsidR="00165850">
        <w:t xml:space="preserve"> </w:t>
      </w:r>
      <w:r w:rsidR="00C41234">
        <w:t>Senior Scientist/Advisor</w:t>
      </w:r>
      <w:r w:rsidR="00165850">
        <w:t>, Field Studies Branch, Division of Respiratory Disease Studies, NIOSH, Morgantown WV</w:t>
      </w:r>
      <w:r w:rsidR="001F1B7B">
        <w:t>,</w:t>
      </w:r>
      <w:r w:rsidR="00165850">
        <w:t xml:space="preserve"> 304-</w:t>
      </w:r>
      <w:r w:rsidR="001F1B7B">
        <w:t xml:space="preserve">285-5818, </w:t>
      </w:r>
      <w:hyperlink r:id="rId10" w:history="1">
        <w:r w:rsidR="00165850" w:rsidRPr="005F4CC3">
          <w:rPr>
            <w:rStyle w:val="Hyperlink"/>
          </w:rPr>
          <w:t>jjc8@cdc.gov</w:t>
        </w:r>
      </w:hyperlink>
      <w:r w:rsidR="00165850">
        <w:t xml:space="preserve"> </w:t>
      </w:r>
      <w:r w:rsidR="00BF3353">
        <w:t xml:space="preserve">is </w:t>
      </w:r>
      <w:r w:rsidR="00BA0BA2">
        <w:t xml:space="preserve">a co-principal investigator on this project and is also </w:t>
      </w:r>
      <w:r w:rsidR="00BF3353">
        <w:t>the Research Team leader</w:t>
      </w:r>
      <w:r w:rsidR="00BA0BA2">
        <w:t>.  She</w:t>
      </w:r>
      <w:r w:rsidR="00156C61">
        <w:t xml:space="preserve"> </w:t>
      </w:r>
      <w:r w:rsidR="00165850">
        <w:t xml:space="preserve">will </w:t>
      </w:r>
      <w:r w:rsidR="00BF3353">
        <w:t>provide oversight</w:t>
      </w:r>
      <w:r w:rsidR="00BA0BA2">
        <w:t xml:space="preserve"> of the study</w:t>
      </w:r>
      <w:r w:rsidR="00BF3353">
        <w:t xml:space="preserve">, as well as </w:t>
      </w:r>
      <w:r w:rsidR="00165850">
        <w:t xml:space="preserve">be involved in the design, collection and </w:t>
      </w:r>
      <w:r w:rsidR="001F1B7B">
        <w:t xml:space="preserve">analysis of </w:t>
      </w:r>
      <w:r w:rsidR="00165850">
        <w:t>data.</w:t>
      </w:r>
    </w:p>
    <w:p w:rsidR="00165850" w:rsidRDefault="00165850" w:rsidP="00165850">
      <w:pPr>
        <w:ind w:left="360" w:hanging="360"/>
      </w:pPr>
    </w:p>
    <w:p w:rsidR="001F1B7B" w:rsidRDefault="00165850" w:rsidP="00D87C1F">
      <w:pPr>
        <w:ind w:hanging="360"/>
      </w:pPr>
      <w:r>
        <w:tab/>
      </w:r>
      <w:r w:rsidR="005A3531">
        <w:rPr>
          <w:u w:val="single"/>
        </w:rPr>
        <w:t>Sandra White, M</w:t>
      </w:r>
      <w:r w:rsidR="001F1B7B">
        <w:rPr>
          <w:u w:val="single"/>
        </w:rPr>
        <w:t>S</w:t>
      </w:r>
      <w:r w:rsidR="001F1B7B">
        <w:t xml:space="preserve"> – </w:t>
      </w:r>
      <w:r w:rsidR="00C41234">
        <w:t>Project Manager/</w:t>
      </w:r>
      <w:r w:rsidR="00156C61">
        <w:t>Epidemiologist</w:t>
      </w:r>
      <w:r w:rsidR="001F1B7B">
        <w:t xml:space="preserve">, Field Studies Branch, Division of Respiratory Disease Studies, NIOSH, Morgantown WV, 304-285-6094, </w:t>
      </w:r>
      <w:hyperlink r:id="rId11" w:history="1">
        <w:r w:rsidR="001F1B7B" w:rsidRPr="005F4CC3">
          <w:rPr>
            <w:rStyle w:val="Hyperlink"/>
          </w:rPr>
          <w:t>sqg8@cdc.gov</w:t>
        </w:r>
      </w:hyperlink>
      <w:r w:rsidR="001F1B7B">
        <w:t xml:space="preserve"> will be involved in the design, collection and analysis of data.</w:t>
      </w:r>
    </w:p>
    <w:p w:rsidR="005B47DA" w:rsidRDefault="005B47DA" w:rsidP="00D87C1F">
      <w:pPr>
        <w:ind w:hanging="360"/>
      </w:pPr>
    </w:p>
    <w:p w:rsidR="00C41234" w:rsidRDefault="005B47DA" w:rsidP="00D87C1F">
      <w:pPr>
        <w:ind w:hanging="360"/>
      </w:pPr>
      <w:r>
        <w:lastRenderedPageBreak/>
        <w:tab/>
      </w:r>
      <w:r w:rsidR="00C41234" w:rsidRPr="00C41234">
        <w:rPr>
          <w:u w:val="single"/>
        </w:rPr>
        <w:t>Ka</w:t>
      </w:r>
      <w:r w:rsidR="003D1D05">
        <w:rPr>
          <w:u w:val="single"/>
        </w:rPr>
        <w:t>thleen</w:t>
      </w:r>
      <w:r w:rsidR="00C41234" w:rsidRPr="00C41234">
        <w:rPr>
          <w:u w:val="single"/>
        </w:rPr>
        <w:t xml:space="preserve"> Kreiss, MD</w:t>
      </w:r>
      <w:r w:rsidR="00C41234">
        <w:t xml:space="preserve"> – </w:t>
      </w:r>
      <w:r w:rsidR="00F925A3">
        <w:t>Physician</w:t>
      </w:r>
      <w:r w:rsidR="00C41234">
        <w:t>/Advisor, Field Studies Branch, Division of Respiratory Disease Studies, NIOSH, Morgantown WV, 304-285-</w:t>
      </w:r>
      <w:r w:rsidR="00B43CB0">
        <w:t>5800</w:t>
      </w:r>
      <w:r w:rsidR="00C41234">
        <w:t xml:space="preserve">, </w:t>
      </w:r>
      <w:hyperlink r:id="rId12" w:history="1">
        <w:r w:rsidR="00B43CB0" w:rsidRPr="00DA339C">
          <w:rPr>
            <w:rStyle w:val="Hyperlink"/>
          </w:rPr>
          <w:t>kxk2@cdc.gov</w:t>
        </w:r>
      </w:hyperlink>
      <w:r w:rsidR="00C41234">
        <w:t xml:space="preserve"> </w:t>
      </w:r>
      <w:r w:rsidR="00BF3353">
        <w:t>is the Branch Chief and will provide oversight</w:t>
      </w:r>
      <w:r w:rsidR="00C41234">
        <w:t xml:space="preserve"> in the design and analysis of data.</w:t>
      </w:r>
    </w:p>
    <w:p w:rsidR="00C41234" w:rsidRDefault="00C41234" w:rsidP="00E54551">
      <w:pPr>
        <w:ind w:left="360" w:hanging="360"/>
      </w:pPr>
    </w:p>
    <w:p w:rsidR="000F5EAB" w:rsidRDefault="001F1B7B" w:rsidP="008A208E">
      <w:pPr>
        <w:ind w:hanging="360"/>
      </w:pPr>
      <w:r>
        <w:tab/>
      </w:r>
      <w:r w:rsidR="00C41234" w:rsidRPr="000F5EAB">
        <w:rPr>
          <w:u w:val="single"/>
        </w:rPr>
        <w:t>Kath</w:t>
      </w:r>
      <w:r w:rsidR="003D1D05">
        <w:rPr>
          <w:u w:val="single"/>
        </w:rPr>
        <w:t>leen</w:t>
      </w:r>
      <w:r w:rsidR="00C41234" w:rsidRPr="000F5EAB">
        <w:rPr>
          <w:u w:val="single"/>
        </w:rPr>
        <w:t xml:space="preserve"> Fedan, B</w:t>
      </w:r>
      <w:r w:rsidR="005A3531">
        <w:rPr>
          <w:u w:val="single"/>
        </w:rPr>
        <w:t>S</w:t>
      </w:r>
      <w:r w:rsidR="000F5EAB">
        <w:t xml:space="preserve"> – Statistician, Field Studies Branch, Division of Respiratory Disease Studies, NIOSH, Morgantown WV, 304-285-6289, </w:t>
      </w:r>
      <w:hyperlink r:id="rId13" w:history="1">
        <w:r w:rsidR="000F5EAB" w:rsidRPr="00125AD5">
          <w:rPr>
            <w:rStyle w:val="Hyperlink"/>
          </w:rPr>
          <w:t>kbk1@cdc.gov</w:t>
        </w:r>
      </w:hyperlink>
      <w:r w:rsidR="000F5EAB">
        <w:t xml:space="preserve"> will be involved in the design</w:t>
      </w:r>
      <w:r w:rsidR="009936BC">
        <w:t>, collection,</w:t>
      </w:r>
      <w:r w:rsidR="000F5EAB">
        <w:t xml:space="preserve"> and analysis of data.</w:t>
      </w:r>
    </w:p>
    <w:p w:rsidR="00C41234" w:rsidRDefault="00C41234" w:rsidP="00E54551">
      <w:pPr>
        <w:ind w:left="360" w:hanging="360"/>
      </w:pPr>
    </w:p>
    <w:p w:rsidR="000F5EAB" w:rsidRPr="00B43CB0" w:rsidRDefault="00C41234" w:rsidP="00D87C1F">
      <w:pPr>
        <w:ind w:hanging="360"/>
      </w:pPr>
      <w:r>
        <w:tab/>
      </w:r>
      <w:r w:rsidRPr="000F5EAB">
        <w:rPr>
          <w:u w:val="single"/>
        </w:rPr>
        <w:t>Brian Tift</w:t>
      </w:r>
      <w:r w:rsidR="005A3531">
        <w:rPr>
          <w:u w:val="single"/>
        </w:rPr>
        <w:t>, MS</w:t>
      </w:r>
      <w:r w:rsidR="000F5EAB">
        <w:t xml:space="preserve"> – Computer Specialist, Field Studies Branch, Division of Respiratory Disease Studies, NIOSH, Morgantown WV, 304-285-6097, </w:t>
      </w:r>
      <w:hyperlink r:id="rId14" w:history="1">
        <w:r w:rsidR="000F5EAB" w:rsidRPr="00125AD5">
          <w:rPr>
            <w:rStyle w:val="Hyperlink"/>
          </w:rPr>
          <w:t>bet5@cdc.gov</w:t>
        </w:r>
      </w:hyperlink>
      <w:r w:rsidR="000F5EAB">
        <w:t xml:space="preserve"> will be involved in the design, collection, and analysis of data.</w:t>
      </w:r>
    </w:p>
    <w:p w:rsidR="00C41234" w:rsidRDefault="00C41234" w:rsidP="00E54551">
      <w:pPr>
        <w:ind w:left="360" w:hanging="360"/>
      </w:pPr>
    </w:p>
    <w:p w:rsidR="00343F21" w:rsidRDefault="00343F21" w:rsidP="00343F21">
      <w:r>
        <w:rPr>
          <w:u w:val="single"/>
        </w:rPr>
        <w:t>Nicole Edwards, MS</w:t>
      </w:r>
      <w:r>
        <w:t xml:space="preserve"> – Health Scientist, Field Studies Branch, Division of Respiratory Disease Studies, NIOSH, Morgantown WV, 304-285-6311, </w:t>
      </w:r>
      <w:hyperlink r:id="rId15" w:history="1">
        <w:r w:rsidRPr="00125AD5">
          <w:rPr>
            <w:rStyle w:val="Hyperlink"/>
          </w:rPr>
          <w:t>zwc1@cdc.gov</w:t>
        </w:r>
      </w:hyperlink>
      <w:r>
        <w:t xml:space="preserve"> will be involved in the collection, management, and analysis of data.</w:t>
      </w:r>
    </w:p>
    <w:p w:rsidR="009936BC" w:rsidRPr="00B43CB0" w:rsidRDefault="009936BC" w:rsidP="00343F21"/>
    <w:p w:rsidR="00C41234" w:rsidRDefault="00C41234" w:rsidP="00E54551">
      <w:pPr>
        <w:ind w:left="360" w:hanging="360"/>
      </w:pPr>
    </w:p>
    <w:p w:rsidR="00DF3ACA" w:rsidRDefault="00DF3ACA" w:rsidP="00E54551">
      <w:pPr>
        <w:ind w:left="360" w:hanging="360"/>
      </w:pPr>
    </w:p>
    <w:p w:rsidR="00DF3ACA" w:rsidRDefault="00DF3ACA" w:rsidP="00E54551">
      <w:pPr>
        <w:ind w:left="360" w:hanging="360"/>
      </w:pPr>
    </w:p>
    <w:p w:rsidR="00DF3ACA" w:rsidRDefault="00DF3ACA" w:rsidP="00E54551">
      <w:pPr>
        <w:ind w:left="360" w:hanging="360"/>
      </w:pPr>
    </w:p>
    <w:p w:rsidR="00E92FD0" w:rsidRDefault="00E92FD0">
      <w:pPr>
        <w:rPr>
          <w:b/>
        </w:rPr>
      </w:pPr>
      <w:r>
        <w:rPr>
          <w:b/>
        </w:rPr>
        <w:br w:type="page"/>
      </w:r>
    </w:p>
    <w:p w:rsidR="00E95FAA" w:rsidRDefault="00E92FD0" w:rsidP="00CA5201">
      <w:pPr>
        <w:rPr>
          <w:b/>
        </w:rPr>
      </w:pPr>
      <w:r>
        <w:rPr>
          <w:b/>
        </w:rPr>
        <w:lastRenderedPageBreak/>
        <w:t>REFERENCES</w:t>
      </w:r>
    </w:p>
    <w:p w:rsidR="000D0C26" w:rsidRDefault="000D0C26" w:rsidP="00B159FC">
      <w:pPr>
        <w:ind w:left="-720"/>
        <w:rPr>
          <w:b/>
        </w:rPr>
      </w:pPr>
    </w:p>
    <w:p w:rsidR="000D0C26" w:rsidRPr="000D0C26" w:rsidRDefault="000D0C26" w:rsidP="000D0C26">
      <w:pPr>
        <w:ind w:left="-720"/>
      </w:pPr>
      <w:r w:rsidRPr="000D0C26">
        <w:t>Aaron SD, Dales RE, Cardinal P [1999]. How accurate is spirometry at predicting restrictive pulmonary impairment? Chest 115:869-873.</w:t>
      </w:r>
    </w:p>
    <w:p w:rsidR="000D0C26" w:rsidRPr="000D0C26" w:rsidRDefault="000D0C26" w:rsidP="000D0C26">
      <w:pPr>
        <w:ind w:left="-720"/>
      </w:pPr>
    </w:p>
    <w:p w:rsidR="000D0C26" w:rsidRPr="0096715B" w:rsidRDefault="000D0C26" w:rsidP="000D0C26">
      <w:pPr>
        <w:ind w:left="-720"/>
        <w:rPr>
          <w:lang w:val="es-US"/>
        </w:rPr>
      </w:pPr>
      <w:r w:rsidRPr="000D0C26">
        <w:t xml:space="preserve">Akpinar-Elci M, Travis WD, Lynch DA, Kreiss K [2004]. Bronchiolitis obliterans syndrome in popcorn production plant workers. </w:t>
      </w:r>
      <w:r w:rsidRPr="0096715B">
        <w:rPr>
          <w:lang w:val="es-US"/>
        </w:rPr>
        <w:t>Eur Respir J 24:298–302.</w:t>
      </w:r>
    </w:p>
    <w:p w:rsidR="000D0C26" w:rsidRPr="0096715B" w:rsidRDefault="000D0C26" w:rsidP="000D0C26">
      <w:pPr>
        <w:ind w:left="-720"/>
        <w:rPr>
          <w:lang w:val="es-US"/>
        </w:rPr>
      </w:pPr>
    </w:p>
    <w:p w:rsidR="000D0C26" w:rsidRPr="000D0C26" w:rsidRDefault="000D0C26" w:rsidP="000D0C26">
      <w:pPr>
        <w:ind w:left="-720"/>
      </w:pPr>
      <w:r w:rsidRPr="005B2F52">
        <w:rPr>
          <w:lang w:val="es-US"/>
        </w:rPr>
        <w:t xml:space="preserve">Amicarelli F, Colafarina S, Cattani F, Cimini A, Di Ilio C, Ceru MP, Miranda M [2003]. </w:t>
      </w:r>
      <w:r w:rsidRPr="000D0C26">
        <w:t>Scavenging system efficiency is crucial for cell resistance to ROS-mediated methylglyoxal injury. Free Radic Biol Med 35:856-71.</w:t>
      </w:r>
    </w:p>
    <w:p w:rsidR="000D0C26" w:rsidRPr="000D0C26" w:rsidRDefault="000D0C26" w:rsidP="000D0C26">
      <w:pPr>
        <w:ind w:left="-720"/>
      </w:pPr>
    </w:p>
    <w:p w:rsidR="000D0C26" w:rsidRDefault="000D0C26" w:rsidP="000D0C26">
      <w:pPr>
        <w:ind w:left="-720"/>
      </w:pPr>
      <w:r w:rsidRPr="000D0C26">
        <w:t xml:space="preserve">Brouwers O, Niessen PM, Haenen G, Miyata T, Brownlee M, Stehouwer CD, De Mey JG, Schalkwijk CG [2010].Hyperglycaemia-induced impairment of endothelium-dependent vasorelaxation in rat mesenteric arteries is mediated by intracellular methylglyoxal levels in a pathway dependent on oxidative stress. Diabetologia 53:989-1000. </w:t>
      </w:r>
    </w:p>
    <w:p w:rsidR="001D2257" w:rsidRDefault="001D2257" w:rsidP="000D0C26">
      <w:pPr>
        <w:ind w:left="-720"/>
      </w:pPr>
    </w:p>
    <w:p w:rsidR="001D2257" w:rsidRPr="000D0C26" w:rsidRDefault="001D2257" w:rsidP="001D2257">
      <w:pPr>
        <w:ind w:left="-720" w:right="-540"/>
      </w:pPr>
      <w:r w:rsidRPr="001D2257">
        <w:t>Bureau of Labor Statisti</w:t>
      </w:r>
      <w:r>
        <w:t>cs, Department of Labor</w:t>
      </w:r>
      <w:r w:rsidRPr="001D2257">
        <w:t xml:space="preserve">. May 2011 </w:t>
      </w:r>
      <w:r>
        <w:t>Occupational Employment and Wages, 51-3092 Food Batchmakers</w:t>
      </w:r>
      <w:r w:rsidRPr="001D2257">
        <w:t xml:space="preserve">. </w:t>
      </w:r>
      <w:r>
        <w:t xml:space="preserve">[Available at </w:t>
      </w:r>
      <w:r w:rsidRPr="001D2257">
        <w:t>http://www.bls.gov/oes/current/oes513092.htm#st</w:t>
      </w:r>
      <w:r>
        <w:t>].</w:t>
      </w:r>
      <w:r w:rsidRPr="001D2257">
        <w:t xml:space="preserve"> </w:t>
      </w:r>
      <w:r>
        <w:t>Date accessed: March 2013.</w:t>
      </w:r>
    </w:p>
    <w:p w:rsidR="000D0C26" w:rsidRPr="000D0C26" w:rsidRDefault="000D0C26" w:rsidP="000D0C26">
      <w:pPr>
        <w:ind w:left="-720"/>
      </w:pPr>
    </w:p>
    <w:p w:rsidR="000D0C26" w:rsidRPr="000D0C26" w:rsidRDefault="000D0C26" w:rsidP="000D0C26">
      <w:pPr>
        <w:ind w:left="-720"/>
      </w:pPr>
      <w:r w:rsidRPr="000D0C26">
        <w:t>CDC [2002]. Fixed obstructive lung disease in workers at a microwave popcorn factory--Missouri, 2000–2002. MMWR 51:345-347.</w:t>
      </w:r>
    </w:p>
    <w:p w:rsidR="000D0C26" w:rsidRPr="000D0C26" w:rsidRDefault="000D0C26" w:rsidP="000D0C26">
      <w:pPr>
        <w:ind w:left="-720"/>
      </w:pPr>
    </w:p>
    <w:p w:rsidR="000D0C26" w:rsidRPr="000D0C26" w:rsidRDefault="000D0C26" w:rsidP="000D0C26">
      <w:pPr>
        <w:ind w:left="-720"/>
      </w:pPr>
      <w:r w:rsidRPr="000D0C26">
        <w:t>CDC [2007]. Fixed obstructive lung disease among workers in the flavor-manufacturing industry--California, 2004–2007. MMWR 56:389–393.</w:t>
      </w:r>
    </w:p>
    <w:p w:rsidR="000D0C26" w:rsidRPr="000D0C26" w:rsidRDefault="000D0C26" w:rsidP="00BD1A75"/>
    <w:p w:rsidR="000D0C26" w:rsidRDefault="000D0C26" w:rsidP="000D0C26">
      <w:pPr>
        <w:ind w:left="-720"/>
      </w:pPr>
      <w:r w:rsidRPr="000D0C26">
        <w:t>Gardiner DW, Goldsmith WT, Morris JB, Battelli LA, Friend S, Castranova V, Hubbs AF [2009]. Adhesion molecule expression and cytotoxicity in diacetyl exposed rat lungs [Abstract]. Toxicologist 108(1):432.</w:t>
      </w:r>
    </w:p>
    <w:p w:rsidR="00773F72" w:rsidRDefault="00773F72" w:rsidP="000D0C26">
      <w:pPr>
        <w:ind w:left="-720"/>
      </w:pPr>
    </w:p>
    <w:p w:rsidR="00773F72" w:rsidRDefault="00773F72" w:rsidP="00773F72">
      <w:pPr>
        <w:ind w:left="-720" w:right="-720"/>
      </w:pPr>
      <w:r>
        <w:t>Hallagan J [2010]. Letter of October 19, 2010, from John Hallagan, General Counsel</w:t>
      </w:r>
    </w:p>
    <w:p w:rsidR="00773F72" w:rsidRDefault="00773F72" w:rsidP="00773F72">
      <w:pPr>
        <w:ind w:left="-720"/>
      </w:pPr>
      <w:r>
        <w:t>Flavor Extract Manufacturers Association, based upon 2010 Industry Survey, to L.</w:t>
      </w:r>
    </w:p>
    <w:p w:rsidR="00773F72" w:rsidRDefault="00773F72" w:rsidP="00773F72">
      <w:pPr>
        <w:ind w:left="-720"/>
      </w:pPr>
      <w:r>
        <w:t>McKernan, Education and Information Division, National Institute for Occupational</w:t>
      </w:r>
    </w:p>
    <w:p w:rsidR="00773F72" w:rsidRDefault="00773F72" w:rsidP="00773F72">
      <w:pPr>
        <w:ind w:left="-720"/>
      </w:pPr>
      <w:r>
        <w:t>Safety and Health, Centers for Disease Control and Prevention, Department of Health and</w:t>
      </w:r>
    </w:p>
    <w:p w:rsidR="00773F72" w:rsidRPr="000D0C26" w:rsidRDefault="00773F72" w:rsidP="00773F72">
      <w:pPr>
        <w:ind w:left="-720"/>
      </w:pPr>
      <w:r>
        <w:t>Human Services.</w:t>
      </w:r>
    </w:p>
    <w:p w:rsidR="000D0C26" w:rsidRDefault="000D0C26" w:rsidP="000D0C26">
      <w:pPr>
        <w:ind w:left="-720"/>
      </w:pPr>
    </w:p>
    <w:p w:rsidR="000D0C26" w:rsidRPr="000D0C26" w:rsidRDefault="000D0C26" w:rsidP="000D0C26">
      <w:pPr>
        <w:ind w:left="-720"/>
      </w:pPr>
      <w:r w:rsidRPr="000D0C26">
        <w:t>Hubbs AF, Battelli LA, Goldsmith WT, Porter DW, Frazer D, Friend S, Schwegler-Berry D, Mercer RR, Reynolds JS, Grote A, Castranova V, Kullman G, Fedan JS, Dowdy J, Jones WG [2002]. Necrosis of nasal and airway epithelium in rats inhaling vapors of artificial butter flavoring. Toxicol Appl Pharmacol. 185:128-35.</w:t>
      </w:r>
    </w:p>
    <w:p w:rsidR="000D0C26" w:rsidRPr="000D0C26" w:rsidRDefault="000D0C26" w:rsidP="000D0C26">
      <w:pPr>
        <w:ind w:left="-720"/>
      </w:pPr>
    </w:p>
    <w:p w:rsidR="000D0C26" w:rsidRPr="000D0C26" w:rsidRDefault="000D0C26" w:rsidP="000D0C26">
      <w:pPr>
        <w:ind w:left="-720"/>
      </w:pPr>
      <w:r w:rsidRPr="000D0C26">
        <w:t>Hubbs AF, Cumpston AM, Goldsmith WT, Battelli LA, Kashon ML, Jackson MC, Frazer DG, Fedan JS, Goravanahally MP, Castranova V, Kreiss K, Willard PA, Friend S, Schwegler-Berry D, Fluharty KL, Sriram K [2012]. Respiratory and olfactory cytotoxicity of inhaled 2,3-pentanedione in Sprague-Dawley rats. Am J Pathol. 181:829-44.</w:t>
      </w:r>
    </w:p>
    <w:p w:rsidR="000D0C26" w:rsidRPr="000D0C26" w:rsidRDefault="000D0C26" w:rsidP="000D0C26">
      <w:pPr>
        <w:ind w:left="-720"/>
      </w:pPr>
    </w:p>
    <w:p w:rsidR="000D0C26" w:rsidRPr="000D0C26" w:rsidRDefault="000D0C26" w:rsidP="000D0C26">
      <w:pPr>
        <w:ind w:left="-720"/>
      </w:pPr>
      <w:r w:rsidRPr="000D0C26">
        <w:lastRenderedPageBreak/>
        <w:t>Hubbs AF, Goldsmith WT, Kashon ML, Frazer D, Mercer RR, Battelli LA, Kullman GJ, Schwegler-Berry D, Friend S, Castranova V [2008]. Respiratory toxicologic pathology of inhaled diacetyl in sprague-dawley rats. Toxicol Pathol. 36:330-44.</w:t>
      </w:r>
    </w:p>
    <w:p w:rsidR="000D0C26" w:rsidRPr="000D0C26" w:rsidRDefault="000D0C26" w:rsidP="00BD1A75"/>
    <w:p w:rsidR="000D0C26" w:rsidRPr="000D0C26" w:rsidRDefault="000D0C26" w:rsidP="000D0C26">
      <w:pPr>
        <w:ind w:left="-720"/>
      </w:pPr>
      <w:r w:rsidRPr="000D0C26">
        <w:t>Kanwal R [2003]. Letter of July 2, 2003, from R. Kanwal, Division of Respiratory Disease Studies, National Institute for Occupational Safety and Health, Centers for Disease Control and Prevention, Department of Health and Human Services, to Frank Morrison, Nebraska Popcorn Clearwater, NE.</w:t>
      </w:r>
    </w:p>
    <w:p w:rsidR="000D0C26" w:rsidRPr="000D0C26" w:rsidRDefault="000D0C26" w:rsidP="000D0C26">
      <w:pPr>
        <w:ind w:left="-720"/>
      </w:pPr>
    </w:p>
    <w:p w:rsidR="000D0C26" w:rsidRPr="000D0C26" w:rsidRDefault="000D0C26" w:rsidP="000D0C26">
      <w:pPr>
        <w:ind w:left="-720"/>
      </w:pPr>
      <w:r w:rsidRPr="000D0C26">
        <w:t>Kanwal R, Martin S [2003]. Letter of May 13, 2003, from R. Kanwal and S. Martin, Division of Respiratory Disease Studies, National Institute for Occupational Safety and Health, Centers for Disease Control and Prevention, Department of Health and Human Services, to Keith Heuermann, B.K. Heuermann Popcorn, Inc. Phillips, NE.</w:t>
      </w:r>
    </w:p>
    <w:p w:rsidR="000D0C26" w:rsidRPr="000D0C26" w:rsidRDefault="000D0C26" w:rsidP="000D0C26">
      <w:pPr>
        <w:ind w:left="-720"/>
      </w:pPr>
    </w:p>
    <w:p w:rsidR="000D0C26" w:rsidRPr="000D0C26" w:rsidRDefault="000D0C26" w:rsidP="000D0C26">
      <w:pPr>
        <w:ind w:left="-720"/>
      </w:pPr>
      <w:r w:rsidRPr="000D0C26">
        <w:t>Kanwal R [2008]. Bronchiolitis obliterans in workers exposed to flavoring chemicals. Curr Opin Pulm Med 14:141–146.</w:t>
      </w:r>
    </w:p>
    <w:p w:rsidR="000D0C26" w:rsidRPr="000D0C26" w:rsidRDefault="000D0C26" w:rsidP="000D0C26">
      <w:pPr>
        <w:ind w:left="-720"/>
      </w:pPr>
    </w:p>
    <w:p w:rsidR="000D0C26" w:rsidRDefault="000D0C26" w:rsidP="000D0C26">
      <w:pPr>
        <w:ind w:left="-720"/>
      </w:pPr>
      <w:r w:rsidRPr="000D0C26">
        <w:t>Kreiss K, Gomaa A, Kullman G, Fedan K, Simoes EJ, Enright PL [2002]. Clinical bronchiolitis obliterans in workers at a microwave-popcorn plant. N Engl J Med 347:330–338.</w:t>
      </w:r>
    </w:p>
    <w:p w:rsidR="00EE0988" w:rsidRDefault="00EE0988" w:rsidP="000D0C26">
      <w:pPr>
        <w:ind w:left="-720"/>
      </w:pPr>
    </w:p>
    <w:p w:rsidR="00EE0988" w:rsidRDefault="00EE0988" w:rsidP="00EE0988">
      <w:pPr>
        <w:ind w:left="-720"/>
      </w:pPr>
      <w:r>
        <w:t>Kreiss K [2007]. Flavoring-related bronchiolitis obliterans. Curr Opin Allergy Clin Immunol 7:162-167.</w:t>
      </w:r>
    </w:p>
    <w:p w:rsidR="000D0C26" w:rsidRDefault="000D0C26" w:rsidP="000D0C26">
      <w:pPr>
        <w:ind w:left="-720"/>
      </w:pPr>
    </w:p>
    <w:p w:rsidR="000D0C26" w:rsidRDefault="000D0C26" w:rsidP="000D0C26">
      <w:pPr>
        <w:ind w:left="-720"/>
      </w:pPr>
      <w:r w:rsidRPr="000D0C26">
        <w:t>MacIntyre N, Crapo RO, Viegi G, Johnson DC, van der Grinten CP, Brusasco V, Burgos F, Casaburi R, Coates A, Enright P, Gustafsson P, Hankinson J, Jensen R, McKay R, Miller MR, Navajas D, Pedersen OF, Pellegrino R, Wanger J [2005]. Standardisation of the single-breath determination of carbon monoxide uptake in the lung. Eur Respir J 26:720-735.</w:t>
      </w:r>
    </w:p>
    <w:p w:rsidR="000D0C26" w:rsidRPr="000D0C26" w:rsidRDefault="000D0C26" w:rsidP="000D0C26">
      <w:pPr>
        <w:ind w:left="-720"/>
      </w:pPr>
    </w:p>
    <w:p w:rsidR="000D0C26" w:rsidRPr="000D0C26" w:rsidRDefault="000D0C26" w:rsidP="000D0C26">
      <w:pPr>
        <w:ind w:left="-720"/>
      </w:pPr>
      <w:r w:rsidRPr="000D0C26">
        <w:t xml:space="preserve">Mathews JM, Watson SL, Snyder RW, Burgess JP, Morgan DL [2010]. Reaction of the butter flavorant diacetyl (2,3-butanedione) with N-α-acetylarginine: a model for epitope formation with pulmonary proteins in the etiology of obliterative bronchiolitis. J Agric Food Chem 58:12761-8. </w:t>
      </w:r>
    </w:p>
    <w:p w:rsidR="00C66FB6" w:rsidRPr="000D0C26" w:rsidRDefault="00C66FB6" w:rsidP="0096715B"/>
    <w:p w:rsidR="000D0C26" w:rsidRPr="000D0C26" w:rsidRDefault="000D0C26" w:rsidP="000D0C26">
      <w:pPr>
        <w:ind w:left="-720"/>
      </w:pPr>
      <w:r w:rsidRPr="000D0C26">
        <w:t xml:space="preserve">More SS, Raza A, Vince R [2012].The butter flavorant, diacetyl, forms a covalent adduct with 2-deoxyguanosine, uncoils DNA, and leads to cell death. J Agric Food Chem 60:3311-3317. </w:t>
      </w:r>
    </w:p>
    <w:p w:rsidR="000D0C26" w:rsidRPr="000D0C26" w:rsidRDefault="000D0C26" w:rsidP="000D0C26">
      <w:pPr>
        <w:ind w:left="-720"/>
      </w:pPr>
    </w:p>
    <w:p w:rsidR="000D0C26" w:rsidRPr="000D0C26" w:rsidRDefault="000D0C26" w:rsidP="000D0C26">
      <w:pPr>
        <w:ind w:left="-720"/>
      </w:pPr>
      <w:r w:rsidRPr="000D0C26">
        <w:t>Morgan DL, Jokinen MP, Price HC, Gwinn WM, Palmer SM, Flake GP [2012]. Bronchial and bronchiolar fibrosis in rats exposed to 2,3-pentanedione vapors: implications for bronchiolitis obliterans in humans. Toxicol Pathol 40:448-65.</w:t>
      </w:r>
    </w:p>
    <w:p w:rsidR="000D0C26" w:rsidRPr="000D0C26" w:rsidRDefault="000D0C26" w:rsidP="000D0C26">
      <w:pPr>
        <w:ind w:left="-720"/>
      </w:pPr>
    </w:p>
    <w:p w:rsidR="000D0C26" w:rsidRPr="000D0C26" w:rsidRDefault="000D0C26" w:rsidP="000D0C26">
      <w:pPr>
        <w:ind w:left="-720"/>
      </w:pPr>
      <w:r w:rsidRPr="000D0C26">
        <w:t>Nakagawa J, Ishikura S, Asami J, Isaji T, Usami N, Hara A, Sakurai T, Tsuritani K, Oda K, Takahashi M, Yoshimoto M, Otsuka N, Kitamura K [2002]. Molecular characterization of mammalian dicarbonyl/L-xylulose reductase and its localization in kidney. J Biol Chem  277:17883-17891.</w:t>
      </w:r>
    </w:p>
    <w:p w:rsidR="000D0C26" w:rsidRPr="000D0C26" w:rsidRDefault="000D0C26" w:rsidP="000D0C26">
      <w:pPr>
        <w:ind w:left="-720"/>
      </w:pPr>
    </w:p>
    <w:p w:rsidR="000D0C26" w:rsidRPr="000D0C26" w:rsidRDefault="000D0C26" w:rsidP="000D0C26">
      <w:pPr>
        <w:ind w:left="-720"/>
      </w:pPr>
      <w:r w:rsidRPr="000D0C26">
        <w:t>NIOSH [2003]. Hazard evaluation and technical assistance report: Agrilink Foods Popcorn Plant, Ridgway, IL. By Sahakian N, Choe K, Boylstein R, Schleiff P. Cincinnati, OH: U.S. Department of Health and Human Services, Centers for Disease Control and Prevention, National Institute for Occupational Safety and Health, NIOSH HETA Report No. 2002–0408–2915.</w:t>
      </w:r>
    </w:p>
    <w:p w:rsidR="000D0C26" w:rsidRPr="000D0C26" w:rsidRDefault="000D0C26" w:rsidP="000D0C26">
      <w:pPr>
        <w:ind w:left="-720"/>
      </w:pPr>
    </w:p>
    <w:p w:rsidR="000D0C26" w:rsidRPr="000D0C26" w:rsidRDefault="000D0C26" w:rsidP="000D0C26">
      <w:pPr>
        <w:ind w:left="-720"/>
      </w:pPr>
      <w:r w:rsidRPr="000D0C26">
        <w:t>NIOSH [2004a]. Hazard evaluation and technical assistance report: American Pop Corn Company, Sioux City, IA. By Kanwal R, Boylstein R, Piacitelli C. Cincinnati, OH: U.S. Department of Health and Human Services, Centers for Disease Control and Prevention, National Institute for Occupational Safety and Health, NIOSH HETA Report No. 2001–0474–2943.</w:t>
      </w:r>
    </w:p>
    <w:p w:rsidR="000D0C26" w:rsidRPr="000D0C26" w:rsidRDefault="000D0C26" w:rsidP="000D0C26">
      <w:pPr>
        <w:ind w:left="-720"/>
      </w:pPr>
    </w:p>
    <w:p w:rsidR="000D0C26" w:rsidRPr="000D0C26" w:rsidRDefault="000D0C26" w:rsidP="000D0C26">
      <w:pPr>
        <w:ind w:left="-720"/>
      </w:pPr>
      <w:r w:rsidRPr="000D0C26">
        <w:t>NIOSH [2004b]. Hazard evaluation and technical assistance report: ConAgra Snack Foods, Marion, OH. By Kanwal R, Kullman G. Cincinnati, OH: U.S. Department of Health and Human Services, Centers for Disease Control and Prevention, National Institute for Occupational Safety and Health, NIOSH HETA Report No. 2003–0112–2949.</w:t>
      </w:r>
    </w:p>
    <w:p w:rsidR="000D0C26" w:rsidRPr="000D0C26" w:rsidRDefault="000D0C26" w:rsidP="000D0C26">
      <w:pPr>
        <w:ind w:left="-720"/>
      </w:pPr>
    </w:p>
    <w:p w:rsidR="000D0C26" w:rsidRPr="000D0C26" w:rsidRDefault="000D0C26" w:rsidP="000D0C26">
      <w:pPr>
        <w:ind w:left="-720"/>
      </w:pPr>
      <w:r w:rsidRPr="000D0C26">
        <w:t>NIOSH [2006]. Hazard evaluation and technical assistance report: Gilster-Mary Lee Corporation, Jasper, MO. By Kanwal R, Kullman G, Fedan K, Kreiss K. Cincinnati, OH: U.S. Department of Health and Human Services, Centers for Disease Control and Prevention, National Institute for Occupational Safety and Health, NIOSH HETA Report No. 2000–0401–2991.</w:t>
      </w:r>
    </w:p>
    <w:p w:rsidR="00F41C13" w:rsidRDefault="00F41C13" w:rsidP="00BD1A75"/>
    <w:p w:rsidR="000D0C26" w:rsidRPr="000D0C26" w:rsidRDefault="000D0C26" w:rsidP="000D0C26">
      <w:pPr>
        <w:ind w:left="-720"/>
      </w:pPr>
      <w:r w:rsidRPr="000D0C26">
        <w:t>NIOSH [2009]. Hazard evaluation and technical assistance report: Report on an investigation of buttermilk flavoring exposures and respiratory health at a bakery mix production facility, General Mills, Los Angeles, CA. By Day G, Cummings K, Kullman G. Cincinnati, OH: U.S. Department of Health and Human Services, Centers for Disease Control and Prevention, National Institute for Occupational Safety and Health, NIOSH HETA Report No. 2008–0230–3096.</w:t>
      </w:r>
    </w:p>
    <w:p w:rsidR="00E56FDF" w:rsidRPr="000D0C26" w:rsidRDefault="00E56FDF" w:rsidP="00F925A3"/>
    <w:p w:rsidR="000D0C26" w:rsidRPr="000D0C26" w:rsidRDefault="000D0C26" w:rsidP="000D0C26">
      <w:pPr>
        <w:ind w:left="-720"/>
      </w:pPr>
      <w:r w:rsidRPr="000D0C26">
        <w:t>NIOSH [2011a]. Draft criteria for a recommended standard: Occupational exposure to diacetyl and 2,3-pentanedione. Cincinnati, OH: U.S. Department of Health and Human Services, Centers for Disease Control and Prevention, NIOSH; external review draft; August 12, 2011.</w:t>
      </w:r>
      <w:r w:rsidR="00F41C13">
        <w:t xml:space="preserve"> </w:t>
      </w:r>
      <w:r w:rsidRPr="000D0C26">
        <w:t xml:space="preserve">[Available at: http://www.cdc.gov/niosh/docket/archive/docket245.html]. Date accessed: </w:t>
      </w:r>
      <w:r w:rsidR="00F41C13">
        <w:t>March</w:t>
      </w:r>
      <w:r w:rsidRPr="000D0C26">
        <w:t xml:space="preserve"> 2013.</w:t>
      </w:r>
    </w:p>
    <w:p w:rsidR="000D0C26" w:rsidRDefault="000D0C26" w:rsidP="00B159FC">
      <w:pPr>
        <w:ind w:left="-720"/>
      </w:pPr>
    </w:p>
    <w:p w:rsidR="00F41C13" w:rsidRPr="004B3CC3" w:rsidRDefault="00F41C13" w:rsidP="00F41C13">
      <w:pPr>
        <w:ind w:left="-720"/>
      </w:pPr>
      <w:r w:rsidRPr="00BD1A75">
        <w:rPr>
          <w:color w:val="000000"/>
        </w:rPr>
        <w:t xml:space="preserve">NIOSH [2011b]. Health Hazard Evaluation Report: Lung Function (Spirometry) Testing in Employees at a Flavorings Manufacturing Plant --- Indiana. </w:t>
      </w:r>
      <w:r w:rsidR="00D37463" w:rsidRPr="004B3CC3">
        <w:t xml:space="preserve">By Kreiss K, Piacitelli C, Cox-Ganser J. </w:t>
      </w:r>
      <w:r w:rsidRPr="00BD1A75">
        <w:rPr>
          <w:color w:val="000000"/>
        </w:rPr>
        <w:t>U.S. Department of Health and Human Services, Public Health Service, Centers for Disease Control and Prevention, National Institute for Occupational Safety and Health, NIOSH HETA No. 2008-0155-3131.</w:t>
      </w:r>
    </w:p>
    <w:p w:rsidR="00F41C13" w:rsidRDefault="00F41C13" w:rsidP="00BD1A75"/>
    <w:p w:rsidR="00C66FB6" w:rsidRPr="000D0C26" w:rsidRDefault="00C66FB6" w:rsidP="00B159FC">
      <w:pPr>
        <w:ind w:left="-720"/>
      </w:pPr>
    </w:p>
    <w:sectPr w:rsidR="00C66FB6" w:rsidRPr="000D0C26" w:rsidSect="00D52195">
      <w:footerReference w:type="even" r:id="rId16"/>
      <w:footerReference w:type="default" r:id="rId17"/>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7FB" w:rsidRDefault="00E817FB">
      <w:r>
        <w:separator/>
      </w:r>
    </w:p>
  </w:endnote>
  <w:endnote w:type="continuationSeparator" w:id="0">
    <w:p w:rsidR="00E817FB" w:rsidRDefault="00E8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7FB" w:rsidRDefault="00E817FB" w:rsidP="009B4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17FB" w:rsidRDefault="00E817FB" w:rsidP="006316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7FB" w:rsidRDefault="00E817FB" w:rsidP="009B4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7DB0">
      <w:rPr>
        <w:rStyle w:val="PageNumber"/>
        <w:noProof/>
      </w:rPr>
      <w:t>3</w:t>
    </w:r>
    <w:r>
      <w:rPr>
        <w:rStyle w:val="PageNumber"/>
      </w:rPr>
      <w:fldChar w:fldCharType="end"/>
    </w:r>
  </w:p>
  <w:p w:rsidR="00E817FB" w:rsidRDefault="00E817FB" w:rsidP="006316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7FB" w:rsidRDefault="00E817FB">
      <w:r>
        <w:separator/>
      </w:r>
    </w:p>
  </w:footnote>
  <w:footnote w:type="continuationSeparator" w:id="0">
    <w:p w:rsidR="00E817FB" w:rsidRDefault="00E81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lvl w:ilvl="0">
      <w:start w:val="1"/>
      <w:numFmt w:val="upperRoman"/>
      <w:suff w:val="nothing"/>
      <w:lvlText w:val="%1."/>
      <w:lvlJc w:val="left"/>
    </w:lvl>
  </w:abstractNum>
  <w:abstractNum w:abstractNumId="1">
    <w:nsid w:val="0000001F"/>
    <w:multiLevelType w:val="singleLevel"/>
    <w:tmpl w:val="0000001F"/>
    <w:lvl w:ilvl="0">
      <w:start w:val="1"/>
      <w:numFmt w:val="none"/>
      <w:suff w:val="nothing"/>
      <w:lvlText w:val="IV"/>
      <w:lvlJc w:val="left"/>
    </w:lvl>
  </w:abstractNum>
  <w:abstractNum w:abstractNumId="2">
    <w:nsid w:val="00000021"/>
    <w:multiLevelType w:val="singleLevel"/>
    <w:tmpl w:val="00000021"/>
    <w:lvl w:ilvl="0">
      <w:start w:val="1"/>
      <w:numFmt w:val="none"/>
      <w:suff w:val="nothing"/>
      <w:lvlText w:val="II"/>
      <w:lvlJc w:val="left"/>
    </w:lvl>
  </w:abstractNum>
  <w:abstractNum w:abstractNumId="3">
    <w:nsid w:val="00000023"/>
    <w:multiLevelType w:val="singleLevel"/>
    <w:tmpl w:val="00000023"/>
    <w:lvl w:ilvl="0">
      <w:start w:val="1"/>
      <w:numFmt w:val="none"/>
      <w:suff w:val="nothing"/>
      <w:lvlText w:val="IV"/>
      <w:lvlJc w:val="left"/>
    </w:lvl>
  </w:abstractNum>
  <w:abstractNum w:abstractNumId="4">
    <w:nsid w:val="00000024"/>
    <w:multiLevelType w:val="singleLevel"/>
    <w:tmpl w:val="00000024"/>
    <w:lvl w:ilvl="0">
      <w:start w:val="1"/>
      <w:numFmt w:val="upperRoman"/>
      <w:suff w:val="nothing"/>
      <w:lvlText w:val="%1."/>
      <w:lvlJc w:val="left"/>
    </w:lvl>
  </w:abstractNum>
  <w:abstractNum w:abstractNumId="5">
    <w:nsid w:val="08C92A72"/>
    <w:multiLevelType w:val="hybridMultilevel"/>
    <w:tmpl w:val="BAEED102"/>
    <w:lvl w:ilvl="0" w:tplc="8AA8E410">
      <w:start w:val="49"/>
      <w:numFmt w:val="bullet"/>
      <w:lvlText w:val=""/>
      <w:lvlJc w:val="left"/>
      <w:pPr>
        <w:tabs>
          <w:tab w:val="num" w:pos="0"/>
        </w:tabs>
        <w:ind w:left="0" w:hanging="720"/>
      </w:pPr>
      <w:rPr>
        <w:rFonts w:ascii="Symbol" w:eastAsia="Times New Roman" w:hAnsi="Symbol"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0F0552E8"/>
    <w:multiLevelType w:val="multilevel"/>
    <w:tmpl w:val="EAF2EABE"/>
    <w:lvl w:ilvl="0">
      <w:start w:val="1"/>
      <w:numFmt w:val="lowerLetter"/>
      <w:pStyle w:val="ProtocolHeading3"/>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023D31"/>
    <w:multiLevelType w:val="hybridMultilevel"/>
    <w:tmpl w:val="7C66F81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37F02E5B"/>
    <w:multiLevelType w:val="hybridMultilevel"/>
    <w:tmpl w:val="48929BBC"/>
    <w:lvl w:ilvl="0" w:tplc="0EA87FCE">
      <w:start w:val="1"/>
      <w:numFmt w:val="decimal"/>
      <w:suff w:val="nothing"/>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F658C0"/>
    <w:multiLevelType w:val="hybridMultilevel"/>
    <w:tmpl w:val="E7461906"/>
    <w:lvl w:ilvl="0" w:tplc="1780F99C">
      <w:start w:val="1"/>
      <w:numFmt w:val="upperLetter"/>
      <w:lvlText w:val="%1."/>
      <w:lvlJc w:val="left"/>
      <w:pPr>
        <w:tabs>
          <w:tab w:val="num" w:pos="792"/>
        </w:tabs>
        <w:ind w:left="792" w:hanging="432"/>
      </w:pPr>
      <w:rPr>
        <w:rFonts w:hint="default"/>
      </w:rPr>
    </w:lvl>
    <w:lvl w:ilvl="1" w:tplc="1BE0EA1C">
      <w:start w:val="1"/>
      <w:numFmt w:val="upperLetter"/>
      <w:lvlText w:val="%2."/>
      <w:lvlJc w:val="left"/>
      <w:pPr>
        <w:tabs>
          <w:tab w:val="num" w:pos="1512"/>
        </w:tabs>
        <w:ind w:left="1512" w:hanging="432"/>
      </w:pPr>
      <w:rPr>
        <w:rFonts w:hint="default"/>
      </w:rPr>
    </w:lvl>
    <w:lvl w:ilvl="2" w:tplc="FC0291B8">
      <w:start w:val="3"/>
      <w:numFmt w:val="upperRoman"/>
      <w:lvlText w:val="%3."/>
      <w:lvlJc w:val="left"/>
      <w:pPr>
        <w:tabs>
          <w:tab w:val="num" w:pos="504"/>
        </w:tabs>
        <w:ind w:left="504" w:hanging="50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AF52A4"/>
    <w:multiLevelType w:val="hybridMultilevel"/>
    <w:tmpl w:val="CCFEB462"/>
    <w:lvl w:ilvl="0" w:tplc="8AC63B8E">
      <w:start w:val="1"/>
      <w:numFmt w:val="upperLetter"/>
      <w:lvlText w:val="%1."/>
      <w:lvlJc w:val="left"/>
      <w:pPr>
        <w:tabs>
          <w:tab w:val="num" w:pos="1176"/>
        </w:tabs>
        <w:ind w:left="1176" w:hanging="456"/>
      </w:pPr>
      <w:rPr>
        <w:rFonts w:hint="default"/>
      </w:rPr>
    </w:lvl>
    <w:lvl w:ilvl="1" w:tplc="AA4218E8">
      <w:start w:val="190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C970AD0"/>
    <w:multiLevelType w:val="hybridMultilevel"/>
    <w:tmpl w:val="AFBE78A4"/>
    <w:lvl w:ilvl="0" w:tplc="0A220B54">
      <w:start w:val="1"/>
      <w:numFmt w:val="upperRoman"/>
      <w:lvlText w:val="%1."/>
      <w:lvlJc w:val="left"/>
      <w:pPr>
        <w:tabs>
          <w:tab w:val="num" w:pos="504"/>
        </w:tabs>
        <w:ind w:left="504" w:hanging="504"/>
      </w:pPr>
      <w:rPr>
        <w:rFonts w:hint="default"/>
      </w:rPr>
    </w:lvl>
    <w:lvl w:ilvl="1" w:tplc="BD02A0FE">
      <w:start w:val="1"/>
      <w:numFmt w:val="decimal"/>
      <w:suff w:val="nothing"/>
      <w:lvlText w:val="%2."/>
      <w:lvlJc w:val="left"/>
      <w:pPr>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A91237"/>
    <w:multiLevelType w:val="hybridMultilevel"/>
    <w:tmpl w:val="35BE4598"/>
    <w:lvl w:ilvl="0" w:tplc="8C5E92FA">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54207BB"/>
    <w:multiLevelType w:val="hybridMultilevel"/>
    <w:tmpl w:val="41DE379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7AA60B34"/>
    <w:multiLevelType w:val="hybridMultilevel"/>
    <w:tmpl w:val="81E6B73E"/>
    <w:lvl w:ilvl="0" w:tplc="B83A100A">
      <w:start w:val="1"/>
      <w:numFmt w:val="upperRoman"/>
      <w:lvlText w:val="%1."/>
      <w:lvlJc w:val="left"/>
      <w:pPr>
        <w:tabs>
          <w:tab w:val="num" w:pos="504"/>
        </w:tabs>
        <w:ind w:left="504" w:hanging="504"/>
      </w:pPr>
      <w:rPr>
        <w:rFonts w:hint="default"/>
      </w:rPr>
    </w:lvl>
    <w:lvl w:ilvl="1" w:tplc="0A220B54">
      <w:start w:val="1"/>
      <w:numFmt w:val="upperRoman"/>
      <w:lvlText w:val="%2."/>
      <w:lvlJc w:val="left"/>
      <w:pPr>
        <w:tabs>
          <w:tab w:val="num" w:pos="504"/>
        </w:tabs>
        <w:ind w:left="504" w:hanging="504"/>
      </w:pPr>
      <w:rPr>
        <w:rFonts w:hint="default"/>
      </w:rPr>
    </w:lvl>
    <w:lvl w:ilvl="2" w:tplc="9ACADD98">
      <w:start w:val="1"/>
      <w:numFmt w:val="decimal"/>
      <w:lvlText w:val="%3."/>
      <w:lvlJc w:val="left"/>
      <w:pPr>
        <w:tabs>
          <w:tab w:val="num" w:pos="1584"/>
        </w:tabs>
        <w:ind w:left="1584" w:hanging="432"/>
      </w:pPr>
      <w:rPr>
        <w:rFonts w:hint="default"/>
      </w:rPr>
    </w:lvl>
    <w:lvl w:ilvl="3" w:tplc="7A4E871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5A0C2A"/>
    <w:multiLevelType w:val="hybridMultilevel"/>
    <w:tmpl w:val="9214A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15"/>
  </w:num>
  <w:num w:numId="4">
    <w:abstractNumId w:val="5"/>
  </w:num>
  <w:num w:numId="5">
    <w:abstractNumId w:val="9"/>
  </w:num>
  <w:num w:numId="6">
    <w:abstractNumId w:val="11"/>
  </w:num>
  <w:num w:numId="7">
    <w:abstractNumId w:val="6"/>
  </w:num>
  <w:num w:numId="8">
    <w:abstractNumId w:val="0"/>
  </w:num>
  <w:num w:numId="9">
    <w:abstractNumId w:val="1"/>
  </w:num>
  <w:num w:numId="10">
    <w:abstractNumId w:val="8"/>
  </w:num>
  <w:num w:numId="11">
    <w:abstractNumId w:val="2"/>
  </w:num>
  <w:num w:numId="12">
    <w:abstractNumId w:val="3"/>
  </w:num>
  <w:num w:numId="13">
    <w:abstractNumId w:val="4"/>
  </w:num>
  <w:num w:numId="14">
    <w:abstractNumId w:val="12"/>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AC"/>
    <w:rsid w:val="00006384"/>
    <w:rsid w:val="000066F7"/>
    <w:rsid w:val="00010701"/>
    <w:rsid w:val="00016449"/>
    <w:rsid w:val="00016AA4"/>
    <w:rsid w:val="000213E6"/>
    <w:rsid w:val="00026035"/>
    <w:rsid w:val="000307F2"/>
    <w:rsid w:val="00044A4A"/>
    <w:rsid w:val="00046939"/>
    <w:rsid w:val="000566EA"/>
    <w:rsid w:val="00063CDB"/>
    <w:rsid w:val="00067CCF"/>
    <w:rsid w:val="000722A5"/>
    <w:rsid w:val="0007396D"/>
    <w:rsid w:val="00073A55"/>
    <w:rsid w:val="00074E2B"/>
    <w:rsid w:val="0008156F"/>
    <w:rsid w:val="000829F5"/>
    <w:rsid w:val="00083453"/>
    <w:rsid w:val="00083884"/>
    <w:rsid w:val="000839E6"/>
    <w:rsid w:val="000902C3"/>
    <w:rsid w:val="00095489"/>
    <w:rsid w:val="0009585B"/>
    <w:rsid w:val="0009741E"/>
    <w:rsid w:val="000A28D0"/>
    <w:rsid w:val="000A39B2"/>
    <w:rsid w:val="000A5F92"/>
    <w:rsid w:val="000C3B66"/>
    <w:rsid w:val="000C44B6"/>
    <w:rsid w:val="000D0C26"/>
    <w:rsid w:val="000E303A"/>
    <w:rsid w:val="000E670E"/>
    <w:rsid w:val="000E7F32"/>
    <w:rsid w:val="000F4ADC"/>
    <w:rsid w:val="000F4E9E"/>
    <w:rsid w:val="000F5EAB"/>
    <w:rsid w:val="00100B9B"/>
    <w:rsid w:val="00104322"/>
    <w:rsid w:val="00115155"/>
    <w:rsid w:val="00120241"/>
    <w:rsid w:val="00123FAF"/>
    <w:rsid w:val="001248F1"/>
    <w:rsid w:val="001338B2"/>
    <w:rsid w:val="001355BB"/>
    <w:rsid w:val="00142B14"/>
    <w:rsid w:val="00151B02"/>
    <w:rsid w:val="00156C61"/>
    <w:rsid w:val="00162816"/>
    <w:rsid w:val="00165850"/>
    <w:rsid w:val="00165E01"/>
    <w:rsid w:val="001677D9"/>
    <w:rsid w:val="00173F8B"/>
    <w:rsid w:val="001757C1"/>
    <w:rsid w:val="00184AF9"/>
    <w:rsid w:val="001857B1"/>
    <w:rsid w:val="00190653"/>
    <w:rsid w:val="00193F6B"/>
    <w:rsid w:val="00196A67"/>
    <w:rsid w:val="00197E0A"/>
    <w:rsid w:val="001B3C56"/>
    <w:rsid w:val="001C054D"/>
    <w:rsid w:val="001C326A"/>
    <w:rsid w:val="001D0318"/>
    <w:rsid w:val="001D2257"/>
    <w:rsid w:val="001E3ED0"/>
    <w:rsid w:val="001F1B7B"/>
    <w:rsid w:val="001F7FAA"/>
    <w:rsid w:val="002007F7"/>
    <w:rsid w:val="002010D6"/>
    <w:rsid w:val="002017ED"/>
    <w:rsid w:val="00201861"/>
    <w:rsid w:val="0020186A"/>
    <w:rsid w:val="002119C9"/>
    <w:rsid w:val="00222EFC"/>
    <w:rsid w:val="0023090F"/>
    <w:rsid w:val="00233FD3"/>
    <w:rsid w:val="002341C3"/>
    <w:rsid w:val="002412A5"/>
    <w:rsid w:val="00246B18"/>
    <w:rsid w:val="002474CF"/>
    <w:rsid w:val="00251FA8"/>
    <w:rsid w:val="00254CA4"/>
    <w:rsid w:val="0025584F"/>
    <w:rsid w:val="00260387"/>
    <w:rsid w:val="00263DFE"/>
    <w:rsid w:val="002640DC"/>
    <w:rsid w:val="00270635"/>
    <w:rsid w:val="00270E2D"/>
    <w:rsid w:val="002719A8"/>
    <w:rsid w:val="0027396F"/>
    <w:rsid w:val="00274DB0"/>
    <w:rsid w:val="002770FC"/>
    <w:rsid w:val="00281905"/>
    <w:rsid w:val="002915E9"/>
    <w:rsid w:val="002926BD"/>
    <w:rsid w:val="002A4A75"/>
    <w:rsid w:val="002A5AAD"/>
    <w:rsid w:val="002A5F84"/>
    <w:rsid w:val="002B1173"/>
    <w:rsid w:val="002B1C09"/>
    <w:rsid w:val="002B67C4"/>
    <w:rsid w:val="002C06AE"/>
    <w:rsid w:val="002C6C41"/>
    <w:rsid w:val="002D5501"/>
    <w:rsid w:val="002D7368"/>
    <w:rsid w:val="002E0DC3"/>
    <w:rsid w:val="002E4F1E"/>
    <w:rsid w:val="002F18BC"/>
    <w:rsid w:val="002F1B98"/>
    <w:rsid w:val="002F3B72"/>
    <w:rsid w:val="002F3BCC"/>
    <w:rsid w:val="002F6FAB"/>
    <w:rsid w:val="002F7203"/>
    <w:rsid w:val="002F72D7"/>
    <w:rsid w:val="00314D8A"/>
    <w:rsid w:val="0031550C"/>
    <w:rsid w:val="00325611"/>
    <w:rsid w:val="003260E5"/>
    <w:rsid w:val="003304D0"/>
    <w:rsid w:val="00331BA9"/>
    <w:rsid w:val="003379B2"/>
    <w:rsid w:val="00343F21"/>
    <w:rsid w:val="00346D0D"/>
    <w:rsid w:val="0035014A"/>
    <w:rsid w:val="0035783B"/>
    <w:rsid w:val="00357B42"/>
    <w:rsid w:val="003645AC"/>
    <w:rsid w:val="003806D0"/>
    <w:rsid w:val="003A19AB"/>
    <w:rsid w:val="003B2B8B"/>
    <w:rsid w:val="003B2C99"/>
    <w:rsid w:val="003B67F0"/>
    <w:rsid w:val="003C4425"/>
    <w:rsid w:val="003D1D05"/>
    <w:rsid w:val="003E2233"/>
    <w:rsid w:val="003E3736"/>
    <w:rsid w:val="003F3DCF"/>
    <w:rsid w:val="003F3E15"/>
    <w:rsid w:val="00400255"/>
    <w:rsid w:val="00401B6D"/>
    <w:rsid w:val="00406E56"/>
    <w:rsid w:val="0041226A"/>
    <w:rsid w:val="00436A78"/>
    <w:rsid w:val="00441CC6"/>
    <w:rsid w:val="00445600"/>
    <w:rsid w:val="004506D2"/>
    <w:rsid w:val="00455422"/>
    <w:rsid w:val="00470DA5"/>
    <w:rsid w:val="004902A3"/>
    <w:rsid w:val="004A1319"/>
    <w:rsid w:val="004A2BC1"/>
    <w:rsid w:val="004A680E"/>
    <w:rsid w:val="004A7B2C"/>
    <w:rsid w:val="004B1ACE"/>
    <w:rsid w:val="004B2187"/>
    <w:rsid w:val="004B3CC3"/>
    <w:rsid w:val="004B5B0C"/>
    <w:rsid w:val="004C1C04"/>
    <w:rsid w:val="004C245D"/>
    <w:rsid w:val="004C3A7A"/>
    <w:rsid w:val="004C45C5"/>
    <w:rsid w:val="004D03B2"/>
    <w:rsid w:val="004D4FAB"/>
    <w:rsid w:val="004D63B7"/>
    <w:rsid w:val="004E2175"/>
    <w:rsid w:val="004E7149"/>
    <w:rsid w:val="00511CF5"/>
    <w:rsid w:val="0051391B"/>
    <w:rsid w:val="00523319"/>
    <w:rsid w:val="00526DA8"/>
    <w:rsid w:val="00527BFF"/>
    <w:rsid w:val="0053166D"/>
    <w:rsid w:val="00535D03"/>
    <w:rsid w:val="00537E3B"/>
    <w:rsid w:val="00543432"/>
    <w:rsid w:val="00546FFC"/>
    <w:rsid w:val="00555B1A"/>
    <w:rsid w:val="00561A27"/>
    <w:rsid w:val="0056333A"/>
    <w:rsid w:val="00566EB8"/>
    <w:rsid w:val="00574B1A"/>
    <w:rsid w:val="0059447E"/>
    <w:rsid w:val="005978D2"/>
    <w:rsid w:val="005A29C6"/>
    <w:rsid w:val="005A3360"/>
    <w:rsid w:val="005A3531"/>
    <w:rsid w:val="005A3F04"/>
    <w:rsid w:val="005B1140"/>
    <w:rsid w:val="005B2860"/>
    <w:rsid w:val="005B2F52"/>
    <w:rsid w:val="005B47DA"/>
    <w:rsid w:val="005B61BD"/>
    <w:rsid w:val="005C302A"/>
    <w:rsid w:val="005C5E72"/>
    <w:rsid w:val="005D1325"/>
    <w:rsid w:val="005F4901"/>
    <w:rsid w:val="005F5A70"/>
    <w:rsid w:val="005F77A4"/>
    <w:rsid w:val="0060055B"/>
    <w:rsid w:val="006201CB"/>
    <w:rsid w:val="0062164D"/>
    <w:rsid w:val="00626949"/>
    <w:rsid w:val="006316F1"/>
    <w:rsid w:val="00633795"/>
    <w:rsid w:val="00634730"/>
    <w:rsid w:val="0063481C"/>
    <w:rsid w:val="00643EFC"/>
    <w:rsid w:val="00645B52"/>
    <w:rsid w:val="00646C33"/>
    <w:rsid w:val="00657650"/>
    <w:rsid w:val="00682E39"/>
    <w:rsid w:val="006836BD"/>
    <w:rsid w:val="00697747"/>
    <w:rsid w:val="006A08F9"/>
    <w:rsid w:val="006A11BF"/>
    <w:rsid w:val="006A6920"/>
    <w:rsid w:val="006A769F"/>
    <w:rsid w:val="006F2504"/>
    <w:rsid w:val="00701042"/>
    <w:rsid w:val="0070300E"/>
    <w:rsid w:val="00707389"/>
    <w:rsid w:val="00707DB0"/>
    <w:rsid w:val="00732EE4"/>
    <w:rsid w:val="00734FA7"/>
    <w:rsid w:val="00746DB7"/>
    <w:rsid w:val="00752B50"/>
    <w:rsid w:val="00754944"/>
    <w:rsid w:val="00762454"/>
    <w:rsid w:val="0076317F"/>
    <w:rsid w:val="00766A33"/>
    <w:rsid w:val="00771250"/>
    <w:rsid w:val="00772E41"/>
    <w:rsid w:val="00773DCB"/>
    <w:rsid w:val="00773F72"/>
    <w:rsid w:val="00774D28"/>
    <w:rsid w:val="00777114"/>
    <w:rsid w:val="007776D0"/>
    <w:rsid w:val="00780FC2"/>
    <w:rsid w:val="00793017"/>
    <w:rsid w:val="00794455"/>
    <w:rsid w:val="00794F69"/>
    <w:rsid w:val="007954E4"/>
    <w:rsid w:val="00795E0C"/>
    <w:rsid w:val="00797510"/>
    <w:rsid w:val="007B7966"/>
    <w:rsid w:val="007C0065"/>
    <w:rsid w:val="007C1321"/>
    <w:rsid w:val="007C4DFB"/>
    <w:rsid w:val="007C532D"/>
    <w:rsid w:val="007C648E"/>
    <w:rsid w:val="007C665A"/>
    <w:rsid w:val="007D2E23"/>
    <w:rsid w:val="007D5572"/>
    <w:rsid w:val="007D5ADC"/>
    <w:rsid w:val="007E7833"/>
    <w:rsid w:val="007F1CA3"/>
    <w:rsid w:val="007F31CC"/>
    <w:rsid w:val="007F7627"/>
    <w:rsid w:val="00805A66"/>
    <w:rsid w:val="008208B0"/>
    <w:rsid w:val="008249C3"/>
    <w:rsid w:val="00826BAC"/>
    <w:rsid w:val="0083283A"/>
    <w:rsid w:val="008444AD"/>
    <w:rsid w:val="008451E0"/>
    <w:rsid w:val="00852609"/>
    <w:rsid w:val="00856C8F"/>
    <w:rsid w:val="00857F0E"/>
    <w:rsid w:val="008610BE"/>
    <w:rsid w:val="00863D59"/>
    <w:rsid w:val="00871E73"/>
    <w:rsid w:val="00873254"/>
    <w:rsid w:val="0087326F"/>
    <w:rsid w:val="00873D3A"/>
    <w:rsid w:val="00873DA0"/>
    <w:rsid w:val="008A0509"/>
    <w:rsid w:val="008A208E"/>
    <w:rsid w:val="008A3639"/>
    <w:rsid w:val="008A6C23"/>
    <w:rsid w:val="008A751F"/>
    <w:rsid w:val="008B6CF0"/>
    <w:rsid w:val="008C2D86"/>
    <w:rsid w:val="008C4038"/>
    <w:rsid w:val="008D1BBD"/>
    <w:rsid w:val="008D5A60"/>
    <w:rsid w:val="008D7E47"/>
    <w:rsid w:val="008E0A98"/>
    <w:rsid w:val="008E20B5"/>
    <w:rsid w:val="008E470D"/>
    <w:rsid w:val="008F0CED"/>
    <w:rsid w:val="008F62F1"/>
    <w:rsid w:val="009028C5"/>
    <w:rsid w:val="00904011"/>
    <w:rsid w:val="00906A29"/>
    <w:rsid w:val="00906ED1"/>
    <w:rsid w:val="00915401"/>
    <w:rsid w:val="00915B99"/>
    <w:rsid w:val="009169A4"/>
    <w:rsid w:val="00924685"/>
    <w:rsid w:val="0092791E"/>
    <w:rsid w:val="00930B47"/>
    <w:rsid w:val="00935298"/>
    <w:rsid w:val="00940E1E"/>
    <w:rsid w:val="00946680"/>
    <w:rsid w:val="00956458"/>
    <w:rsid w:val="00956BC1"/>
    <w:rsid w:val="009578E6"/>
    <w:rsid w:val="00961D13"/>
    <w:rsid w:val="009625C9"/>
    <w:rsid w:val="0096715B"/>
    <w:rsid w:val="009722C3"/>
    <w:rsid w:val="0098492E"/>
    <w:rsid w:val="009936BC"/>
    <w:rsid w:val="00993B78"/>
    <w:rsid w:val="009A0059"/>
    <w:rsid w:val="009A6C85"/>
    <w:rsid w:val="009B151C"/>
    <w:rsid w:val="009B2AED"/>
    <w:rsid w:val="009B3EBB"/>
    <w:rsid w:val="009B4ECD"/>
    <w:rsid w:val="009D183F"/>
    <w:rsid w:val="009D446E"/>
    <w:rsid w:val="009D7A1D"/>
    <w:rsid w:val="009E46FE"/>
    <w:rsid w:val="009F08FF"/>
    <w:rsid w:val="009F39D8"/>
    <w:rsid w:val="009F5A1C"/>
    <w:rsid w:val="009F7ACB"/>
    <w:rsid w:val="009F7D94"/>
    <w:rsid w:val="00A009E2"/>
    <w:rsid w:val="00A0674F"/>
    <w:rsid w:val="00A0695B"/>
    <w:rsid w:val="00A10AE7"/>
    <w:rsid w:val="00A13AE6"/>
    <w:rsid w:val="00A276CF"/>
    <w:rsid w:val="00A315BE"/>
    <w:rsid w:val="00A37147"/>
    <w:rsid w:val="00A42921"/>
    <w:rsid w:val="00A553D9"/>
    <w:rsid w:val="00A56229"/>
    <w:rsid w:val="00A606D9"/>
    <w:rsid w:val="00A642DB"/>
    <w:rsid w:val="00A70F49"/>
    <w:rsid w:val="00A76352"/>
    <w:rsid w:val="00A802AA"/>
    <w:rsid w:val="00A87FB9"/>
    <w:rsid w:val="00A90B75"/>
    <w:rsid w:val="00AA324A"/>
    <w:rsid w:val="00AB46BB"/>
    <w:rsid w:val="00AC06EC"/>
    <w:rsid w:val="00AC46E7"/>
    <w:rsid w:val="00AC651C"/>
    <w:rsid w:val="00AC7F2F"/>
    <w:rsid w:val="00AD4D81"/>
    <w:rsid w:val="00AE5EA5"/>
    <w:rsid w:val="00AF4AF5"/>
    <w:rsid w:val="00B026CF"/>
    <w:rsid w:val="00B159FC"/>
    <w:rsid w:val="00B1762C"/>
    <w:rsid w:val="00B22261"/>
    <w:rsid w:val="00B26F75"/>
    <w:rsid w:val="00B323B5"/>
    <w:rsid w:val="00B32716"/>
    <w:rsid w:val="00B32EA0"/>
    <w:rsid w:val="00B407A1"/>
    <w:rsid w:val="00B41457"/>
    <w:rsid w:val="00B43CB0"/>
    <w:rsid w:val="00B47A19"/>
    <w:rsid w:val="00B547E0"/>
    <w:rsid w:val="00B55A1A"/>
    <w:rsid w:val="00B617CF"/>
    <w:rsid w:val="00B63FF5"/>
    <w:rsid w:val="00B672B5"/>
    <w:rsid w:val="00B71A27"/>
    <w:rsid w:val="00B731E6"/>
    <w:rsid w:val="00B75348"/>
    <w:rsid w:val="00B81F48"/>
    <w:rsid w:val="00B85A5B"/>
    <w:rsid w:val="00B86A8E"/>
    <w:rsid w:val="00B876A9"/>
    <w:rsid w:val="00B91232"/>
    <w:rsid w:val="00B9378B"/>
    <w:rsid w:val="00BA0BA2"/>
    <w:rsid w:val="00BA3263"/>
    <w:rsid w:val="00BA3A6D"/>
    <w:rsid w:val="00BB3400"/>
    <w:rsid w:val="00BB35AB"/>
    <w:rsid w:val="00BB65D6"/>
    <w:rsid w:val="00BC242A"/>
    <w:rsid w:val="00BC24C4"/>
    <w:rsid w:val="00BC2D85"/>
    <w:rsid w:val="00BC46C1"/>
    <w:rsid w:val="00BD0C08"/>
    <w:rsid w:val="00BD1A75"/>
    <w:rsid w:val="00BE07EE"/>
    <w:rsid w:val="00BE1B2A"/>
    <w:rsid w:val="00BE54A7"/>
    <w:rsid w:val="00BF01E7"/>
    <w:rsid w:val="00BF3353"/>
    <w:rsid w:val="00BF4FF7"/>
    <w:rsid w:val="00C05226"/>
    <w:rsid w:val="00C21A56"/>
    <w:rsid w:val="00C21CF0"/>
    <w:rsid w:val="00C32038"/>
    <w:rsid w:val="00C338D8"/>
    <w:rsid w:val="00C41234"/>
    <w:rsid w:val="00C46814"/>
    <w:rsid w:val="00C47960"/>
    <w:rsid w:val="00C47C38"/>
    <w:rsid w:val="00C50F37"/>
    <w:rsid w:val="00C61FBC"/>
    <w:rsid w:val="00C6466A"/>
    <w:rsid w:val="00C6614A"/>
    <w:rsid w:val="00C66FB6"/>
    <w:rsid w:val="00C70CA8"/>
    <w:rsid w:val="00C7236D"/>
    <w:rsid w:val="00C7387C"/>
    <w:rsid w:val="00C7751F"/>
    <w:rsid w:val="00C8460C"/>
    <w:rsid w:val="00C863D7"/>
    <w:rsid w:val="00C91CCC"/>
    <w:rsid w:val="00C93D2E"/>
    <w:rsid w:val="00C96D24"/>
    <w:rsid w:val="00CA2A5B"/>
    <w:rsid w:val="00CA344A"/>
    <w:rsid w:val="00CA5201"/>
    <w:rsid w:val="00CA668C"/>
    <w:rsid w:val="00CB15CD"/>
    <w:rsid w:val="00CB2B08"/>
    <w:rsid w:val="00CC0466"/>
    <w:rsid w:val="00CC2860"/>
    <w:rsid w:val="00CD66B9"/>
    <w:rsid w:val="00CD73F2"/>
    <w:rsid w:val="00CE635A"/>
    <w:rsid w:val="00CE67A0"/>
    <w:rsid w:val="00CF356C"/>
    <w:rsid w:val="00CF5CDA"/>
    <w:rsid w:val="00D0163F"/>
    <w:rsid w:val="00D077F6"/>
    <w:rsid w:val="00D07B12"/>
    <w:rsid w:val="00D22CD1"/>
    <w:rsid w:val="00D326C6"/>
    <w:rsid w:val="00D34752"/>
    <w:rsid w:val="00D37463"/>
    <w:rsid w:val="00D4310E"/>
    <w:rsid w:val="00D4565B"/>
    <w:rsid w:val="00D45F38"/>
    <w:rsid w:val="00D52195"/>
    <w:rsid w:val="00D5281F"/>
    <w:rsid w:val="00D564AC"/>
    <w:rsid w:val="00D63491"/>
    <w:rsid w:val="00D73E8C"/>
    <w:rsid w:val="00D7415B"/>
    <w:rsid w:val="00D74432"/>
    <w:rsid w:val="00D7474C"/>
    <w:rsid w:val="00D759E9"/>
    <w:rsid w:val="00D808FE"/>
    <w:rsid w:val="00D848BD"/>
    <w:rsid w:val="00D84ED5"/>
    <w:rsid w:val="00D87C1F"/>
    <w:rsid w:val="00D92509"/>
    <w:rsid w:val="00D9729D"/>
    <w:rsid w:val="00DA38B4"/>
    <w:rsid w:val="00DA55D5"/>
    <w:rsid w:val="00DB1A20"/>
    <w:rsid w:val="00DB425F"/>
    <w:rsid w:val="00DC1B22"/>
    <w:rsid w:val="00DC1DEE"/>
    <w:rsid w:val="00DD006F"/>
    <w:rsid w:val="00DD2530"/>
    <w:rsid w:val="00DD5136"/>
    <w:rsid w:val="00DD5C2E"/>
    <w:rsid w:val="00DD796C"/>
    <w:rsid w:val="00DE1044"/>
    <w:rsid w:val="00DE1B01"/>
    <w:rsid w:val="00DE70B7"/>
    <w:rsid w:val="00DF3ACA"/>
    <w:rsid w:val="00DF4211"/>
    <w:rsid w:val="00E00B59"/>
    <w:rsid w:val="00E05B41"/>
    <w:rsid w:val="00E05EA2"/>
    <w:rsid w:val="00E23BE7"/>
    <w:rsid w:val="00E25F75"/>
    <w:rsid w:val="00E32EF2"/>
    <w:rsid w:val="00E41871"/>
    <w:rsid w:val="00E46829"/>
    <w:rsid w:val="00E54551"/>
    <w:rsid w:val="00E56FDF"/>
    <w:rsid w:val="00E60D99"/>
    <w:rsid w:val="00E62396"/>
    <w:rsid w:val="00E63482"/>
    <w:rsid w:val="00E637B0"/>
    <w:rsid w:val="00E70B37"/>
    <w:rsid w:val="00E719A8"/>
    <w:rsid w:val="00E761FD"/>
    <w:rsid w:val="00E80B22"/>
    <w:rsid w:val="00E817FB"/>
    <w:rsid w:val="00E92FD0"/>
    <w:rsid w:val="00E95FAA"/>
    <w:rsid w:val="00E9699A"/>
    <w:rsid w:val="00EB49CE"/>
    <w:rsid w:val="00EC23E2"/>
    <w:rsid w:val="00EC75AC"/>
    <w:rsid w:val="00ED0519"/>
    <w:rsid w:val="00ED2977"/>
    <w:rsid w:val="00EE0988"/>
    <w:rsid w:val="00EE2659"/>
    <w:rsid w:val="00EE4D4A"/>
    <w:rsid w:val="00EE50D1"/>
    <w:rsid w:val="00EF0075"/>
    <w:rsid w:val="00EF14AB"/>
    <w:rsid w:val="00EF1837"/>
    <w:rsid w:val="00EF7583"/>
    <w:rsid w:val="00F06BE0"/>
    <w:rsid w:val="00F12ECB"/>
    <w:rsid w:val="00F14A21"/>
    <w:rsid w:val="00F20E0B"/>
    <w:rsid w:val="00F2330C"/>
    <w:rsid w:val="00F2718A"/>
    <w:rsid w:val="00F32E41"/>
    <w:rsid w:val="00F33431"/>
    <w:rsid w:val="00F33BF9"/>
    <w:rsid w:val="00F3618D"/>
    <w:rsid w:val="00F3671A"/>
    <w:rsid w:val="00F41C13"/>
    <w:rsid w:val="00F42242"/>
    <w:rsid w:val="00F44FF0"/>
    <w:rsid w:val="00F506E0"/>
    <w:rsid w:val="00F51CCA"/>
    <w:rsid w:val="00F61FA6"/>
    <w:rsid w:val="00F66AED"/>
    <w:rsid w:val="00F70AC3"/>
    <w:rsid w:val="00F72CC0"/>
    <w:rsid w:val="00F7327B"/>
    <w:rsid w:val="00F925A3"/>
    <w:rsid w:val="00F940B7"/>
    <w:rsid w:val="00F9795C"/>
    <w:rsid w:val="00F97C64"/>
    <w:rsid w:val="00FA0C34"/>
    <w:rsid w:val="00FA21C0"/>
    <w:rsid w:val="00FA2C28"/>
    <w:rsid w:val="00FA69A3"/>
    <w:rsid w:val="00FB0DD8"/>
    <w:rsid w:val="00FB4EB8"/>
    <w:rsid w:val="00FC5772"/>
    <w:rsid w:val="00FD7FB1"/>
    <w:rsid w:val="00FE1C7C"/>
    <w:rsid w:val="00FE4F94"/>
    <w:rsid w:val="00FE4FBE"/>
    <w:rsid w:val="00FF0412"/>
    <w:rsid w:val="00FF1271"/>
    <w:rsid w:val="00F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281905"/>
    <w:pPr>
      <w:tabs>
        <w:tab w:val="left" w:pos="480"/>
        <w:tab w:val="right" w:leader="dot" w:pos="8630"/>
      </w:tabs>
      <w:spacing w:before="240" w:after="120"/>
      <w:jc w:val="center"/>
    </w:pPr>
    <w:rPr>
      <w:b/>
      <w:bCs/>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281905"/>
    <w:pPr>
      <w:tabs>
        <w:tab w:val="left" w:pos="480"/>
        <w:tab w:val="right" w:leader="dot" w:pos="8630"/>
      </w:tabs>
      <w:spacing w:before="240" w:after="120"/>
      <w:jc w:val="center"/>
    </w:pPr>
    <w:rPr>
      <w:b/>
      <w:bCs/>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293600">
      <w:bodyDiv w:val="1"/>
      <w:marLeft w:val="0"/>
      <w:marRight w:val="0"/>
      <w:marTop w:val="0"/>
      <w:marBottom w:val="0"/>
      <w:divBdr>
        <w:top w:val="none" w:sz="0" w:space="0" w:color="auto"/>
        <w:left w:val="none" w:sz="0" w:space="0" w:color="auto"/>
        <w:bottom w:val="none" w:sz="0" w:space="0" w:color="auto"/>
        <w:right w:val="none" w:sz="0" w:space="0" w:color="auto"/>
      </w:divBdr>
      <w:divsChild>
        <w:div w:id="340208995">
          <w:marLeft w:val="0"/>
          <w:marRight w:val="0"/>
          <w:marTop w:val="0"/>
          <w:marBottom w:val="0"/>
          <w:divBdr>
            <w:top w:val="none" w:sz="0" w:space="0" w:color="auto"/>
            <w:left w:val="none" w:sz="0" w:space="0" w:color="auto"/>
            <w:bottom w:val="none" w:sz="0" w:space="0" w:color="auto"/>
            <w:right w:val="none" w:sz="0" w:space="0" w:color="auto"/>
          </w:divBdr>
          <w:divsChild>
            <w:div w:id="1602911445">
              <w:marLeft w:val="0"/>
              <w:marRight w:val="0"/>
              <w:marTop w:val="0"/>
              <w:marBottom w:val="0"/>
              <w:divBdr>
                <w:top w:val="none" w:sz="0" w:space="0" w:color="auto"/>
                <w:left w:val="single" w:sz="6" w:space="0" w:color="E2E2E2"/>
                <w:bottom w:val="none" w:sz="0" w:space="0" w:color="auto"/>
                <w:right w:val="single" w:sz="6" w:space="0" w:color="E2E2E2"/>
              </w:divBdr>
              <w:divsChild>
                <w:div w:id="229467182">
                  <w:marLeft w:val="0"/>
                  <w:marRight w:val="0"/>
                  <w:marTop w:val="0"/>
                  <w:marBottom w:val="0"/>
                  <w:divBdr>
                    <w:top w:val="none" w:sz="0" w:space="0" w:color="auto"/>
                    <w:left w:val="none" w:sz="0" w:space="0" w:color="auto"/>
                    <w:bottom w:val="none" w:sz="0" w:space="0" w:color="auto"/>
                    <w:right w:val="none" w:sz="0" w:space="0" w:color="auto"/>
                  </w:divBdr>
                  <w:divsChild>
                    <w:div w:id="7893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96028">
      <w:bodyDiv w:val="1"/>
      <w:marLeft w:val="0"/>
      <w:marRight w:val="0"/>
      <w:marTop w:val="100"/>
      <w:marBottom w:val="100"/>
      <w:divBdr>
        <w:top w:val="none" w:sz="0" w:space="0" w:color="auto"/>
        <w:left w:val="none" w:sz="0" w:space="0" w:color="auto"/>
        <w:bottom w:val="none" w:sz="0" w:space="0" w:color="auto"/>
        <w:right w:val="none" w:sz="0" w:space="0" w:color="auto"/>
      </w:divBdr>
      <w:divsChild>
        <w:div w:id="1933123011">
          <w:marLeft w:val="0"/>
          <w:marRight w:val="0"/>
          <w:marTop w:val="0"/>
          <w:marBottom w:val="0"/>
          <w:divBdr>
            <w:top w:val="none" w:sz="0" w:space="0" w:color="auto"/>
            <w:left w:val="none" w:sz="0" w:space="0" w:color="auto"/>
            <w:bottom w:val="none" w:sz="0" w:space="0" w:color="auto"/>
            <w:right w:val="none" w:sz="0" w:space="0" w:color="auto"/>
          </w:divBdr>
          <w:divsChild>
            <w:div w:id="1591810673">
              <w:marLeft w:val="0"/>
              <w:marRight w:val="0"/>
              <w:marTop w:val="0"/>
              <w:marBottom w:val="0"/>
              <w:divBdr>
                <w:top w:val="none" w:sz="0" w:space="0" w:color="auto"/>
                <w:left w:val="none" w:sz="0" w:space="0" w:color="auto"/>
                <w:bottom w:val="none" w:sz="0" w:space="0" w:color="auto"/>
                <w:right w:val="none" w:sz="0" w:space="0" w:color="auto"/>
              </w:divBdr>
              <w:divsChild>
                <w:div w:id="1091781877">
                  <w:marLeft w:val="0"/>
                  <w:marRight w:val="0"/>
                  <w:marTop w:val="0"/>
                  <w:marBottom w:val="0"/>
                  <w:divBdr>
                    <w:top w:val="none" w:sz="0" w:space="0" w:color="auto"/>
                    <w:left w:val="none" w:sz="0" w:space="0" w:color="auto"/>
                    <w:bottom w:val="none" w:sz="0" w:space="0" w:color="auto"/>
                    <w:right w:val="none" w:sz="0" w:space="0" w:color="auto"/>
                  </w:divBdr>
                  <w:divsChild>
                    <w:div w:id="1381898002">
                      <w:marLeft w:val="0"/>
                      <w:marRight w:val="0"/>
                      <w:marTop w:val="0"/>
                      <w:marBottom w:val="0"/>
                      <w:divBdr>
                        <w:top w:val="none" w:sz="0" w:space="0" w:color="auto"/>
                        <w:left w:val="none" w:sz="0" w:space="0" w:color="auto"/>
                        <w:bottom w:val="none" w:sz="0" w:space="0" w:color="auto"/>
                        <w:right w:val="none" w:sz="0" w:space="0" w:color="auto"/>
                      </w:divBdr>
                      <w:divsChild>
                        <w:div w:id="221411366">
                          <w:marLeft w:val="0"/>
                          <w:marRight w:val="0"/>
                          <w:marTop w:val="0"/>
                          <w:marBottom w:val="0"/>
                          <w:divBdr>
                            <w:top w:val="none" w:sz="0" w:space="0" w:color="auto"/>
                            <w:left w:val="none" w:sz="0" w:space="0" w:color="auto"/>
                            <w:bottom w:val="none" w:sz="0" w:space="0" w:color="auto"/>
                            <w:right w:val="none" w:sz="0" w:space="0" w:color="auto"/>
                          </w:divBdr>
                          <w:divsChild>
                            <w:div w:id="3826388">
                              <w:marLeft w:val="0"/>
                              <w:marRight w:val="0"/>
                              <w:marTop w:val="0"/>
                              <w:marBottom w:val="0"/>
                              <w:divBdr>
                                <w:top w:val="none" w:sz="0" w:space="0" w:color="auto"/>
                                <w:left w:val="none" w:sz="0" w:space="0" w:color="auto"/>
                                <w:bottom w:val="none" w:sz="0" w:space="0" w:color="auto"/>
                                <w:right w:val="none" w:sz="0" w:space="0" w:color="auto"/>
                              </w:divBdr>
                            </w:div>
                            <w:div w:id="2096785050">
                              <w:marLeft w:val="0"/>
                              <w:marRight w:val="0"/>
                              <w:marTop w:val="0"/>
                              <w:marBottom w:val="0"/>
                              <w:divBdr>
                                <w:top w:val="none" w:sz="0" w:space="0" w:color="auto"/>
                                <w:left w:val="none" w:sz="0" w:space="0" w:color="auto"/>
                                <w:bottom w:val="none" w:sz="0" w:space="0" w:color="auto"/>
                                <w:right w:val="none" w:sz="0" w:space="0" w:color="auto"/>
                              </w:divBdr>
                            </w:div>
                            <w:div w:id="1203712862">
                              <w:marLeft w:val="0"/>
                              <w:marRight w:val="0"/>
                              <w:marTop w:val="0"/>
                              <w:marBottom w:val="0"/>
                              <w:divBdr>
                                <w:top w:val="none" w:sz="0" w:space="0" w:color="auto"/>
                                <w:left w:val="none" w:sz="0" w:space="0" w:color="auto"/>
                                <w:bottom w:val="none" w:sz="0" w:space="0" w:color="auto"/>
                                <w:right w:val="none" w:sz="0" w:space="0" w:color="auto"/>
                              </w:divBdr>
                            </w:div>
                            <w:div w:id="1011881465">
                              <w:marLeft w:val="0"/>
                              <w:marRight w:val="0"/>
                              <w:marTop w:val="0"/>
                              <w:marBottom w:val="0"/>
                              <w:divBdr>
                                <w:top w:val="none" w:sz="0" w:space="0" w:color="auto"/>
                                <w:left w:val="none" w:sz="0" w:space="0" w:color="auto"/>
                                <w:bottom w:val="none" w:sz="0" w:space="0" w:color="auto"/>
                                <w:right w:val="none" w:sz="0" w:space="0" w:color="auto"/>
                              </w:divBdr>
                            </w:div>
                            <w:div w:id="304164668">
                              <w:marLeft w:val="0"/>
                              <w:marRight w:val="0"/>
                              <w:marTop w:val="0"/>
                              <w:marBottom w:val="0"/>
                              <w:divBdr>
                                <w:top w:val="none" w:sz="0" w:space="0" w:color="auto"/>
                                <w:left w:val="none" w:sz="0" w:space="0" w:color="auto"/>
                                <w:bottom w:val="none" w:sz="0" w:space="0" w:color="auto"/>
                                <w:right w:val="none" w:sz="0" w:space="0" w:color="auto"/>
                              </w:divBdr>
                            </w:div>
                            <w:div w:id="617877607">
                              <w:marLeft w:val="0"/>
                              <w:marRight w:val="0"/>
                              <w:marTop w:val="0"/>
                              <w:marBottom w:val="0"/>
                              <w:divBdr>
                                <w:top w:val="none" w:sz="0" w:space="0" w:color="auto"/>
                                <w:left w:val="none" w:sz="0" w:space="0" w:color="auto"/>
                                <w:bottom w:val="none" w:sz="0" w:space="0" w:color="auto"/>
                                <w:right w:val="none" w:sz="0" w:space="0" w:color="auto"/>
                              </w:divBdr>
                            </w:div>
                            <w:div w:id="1325742419">
                              <w:marLeft w:val="0"/>
                              <w:marRight w:val="0"/>
                              <w:marTop w:val="0"/>
                              <w:marBottom w:val="0"/>
                              <w:divBdr>
                                <w:top w:val="none" w:sz="0" w:space="0" w:color="auto"/>
                                <w:left w:val="none" w:sz="0" w:space="0" w:color="auto"/>
                                <w:bottom w:val="none" w:sz="0" w:space="0" w:color="auto"/>
                                <w:right w:val="none" w:sz="0" w:space="0" w:color="auto"/>
                              </w:divBdr>
                            </w:div>
                            <w:div w:id="1109276810">
                              <w:marLeft w:val="0"/>
                              <w:marRight w:val="0"/>
                              <w:marTop w:val="0"/>
                              <w:marBottom w:val="0"/>
                              <w:divBdr>
                                <w:top w:val="none" w:sz="0" w:space="0" w:color="auto"/>
                                <w:left w:val="none" w:sz="0" w:space="0" w:color="auto"/>
                                <w:bottom w:val="none" w:sz="0" w:space="0" w:color="auto"/>
                                <w:right w:val="none" w:sz="0" w:space="0" w:color="auto"/>
                              </w:divBdr>
                            </w:div>
                          </w:divsChild>
                        </w:div>
                        <w:div w:id="74982538">
                          <w:marLeft w:val="0"/>
                          <w:marRight w:val="0"/>
                          <w:marTop w:val="0"/>
                          <w:marBottom w:val="0"/>
                          <w:divBdr>
                            <w:top w:val="none" w:sz="0" w:space="0" w:color="auto"/>
                            <w:left w:val="none" w:sz="0" w:space="0" w:color="auto"/>
                            <w:bottom w:val="none" w:sz="0" w:space="0" w:color="auto"/>
                            <w:right w:val="none" w:sz="0" w:space="0" w:color="auto"/>
                          </w:divBdr>
                        </w:div>
                      </w:divsChild>
                    </w:div>
                    <w:div w:id="368841154">
                      <w:marLeft w:val="0"/>
                      <w:marRight w:val="0"/>
                      <w:marTop w:val="0"/>
                      <w:marBottom w:val="0"/>
                      <w:divBdr>
                        <w:top w:val="none" w:sz="0" w:space="0" w:color="auto"/>
                        <w:left w:val="none" w:sz="0" w:space="0" w:color="auto"/>
                        <w:bottom w:val="none" w:sz="0" w:space="0" w:color="auto"/>
                        <w:right w:val="none" w:sz="0" w:space="0" w:color="auto"/>
                      </w:divBdr>
                    </w:div>
                  </w:divsChild>
                </w:div>
                <w:div w:id="25193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bk1@cdc.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xk2@cdc.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qg8@cdc.gov" TargetMode="External"/><Relationship Id="rId5" Type="http://schemas.openxmlformats.org/officeDocument/2006/relationships/settings" Target="settings.xml"/><Relationship Id="rId15" Type="http://schemas.openxmlformats.org/officeDocument/2006/relationships/hyperlink" Target="mailto:zwc1@cdc.gov" TargetMode="External"/><Relationship Id="rId10" Type="http://schemas.openxmlformats.org/officeDocument/2006/relationships/hyperlink" Target="mailto:jjc8@cdc.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feu2@cdc.gov" TargetMode="External"/><Relationship Id="rId14" Type="http://schemas.openxmlformats.org/officeDocument/2006/relationships/hyperlink" Target="mailto:bet5@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EE48A-B352-4942-BC44-5597AE96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2554</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Building Related Asthma Research in Public Schools (New)</vt:lpstr>
    </vt:vector>
  </TitlesOfParts>
  <Company>ITSO</Company>
  <LinksUpToDate>false</LinksUpToDate>
  <CharactersWithSpaces>17774</CharactersWithSpaces>
  <SharedDoc>false</SharedDoc>
  <HLinks>
    <vt:vector size="72" baseType="variant">
      <vt:variant>
        <vt:i4>1966187</vt:i4>
      </vt:variant>
      <vt:variant>
        <vt:i4>33</vt:i4>
      </vt:variant>
      <vt:variant>
        <vt:i4>0</vt:i4>
      </vt:variant>
      <vt:variant>
        <vt:i4>5</vt:i4>
      </vt:variant>
      <vt:variant>
        <vt:lpwstr>mailto:zwc1@cdc.gov</vt:lpwstr>
      </vt:variant>
      <vt:variant>
        <vt:lpwstr/>
      </vt:variant>
      <vt:variant>
        <vt:i4>1638521</vt:i4>
      </vt:variant>
      <vt:variant>
        <vt:i4>30</vt:i4>
      </vt:variant>
      <vt:variant>
        <vt:i4>0</vt:i4>
      </vt:variant>
      <vt:variant>
        <vt:i4>5</vt:i4>
      </vt:variant>
      <vt:variant>
        <vt:lpwstr>mailto:jet1@cdc.gov</vt:lpwstr>
      </vt:variant>
      <vt:variant>
        <vt:lpwstr/>
      </vt:variant>
      <vt:variant>
        <vt:i4>327793</vt:i4>
      </vt:variant>
      <vt:variant>
        <vt:i4>27</vt:i4>
      </vt:variant>
      <vt:variant>
        <vt:i4>0</vt:i4>
      </vt:variant>
      <vt:variant>
        <vt:i4>5</vt:i4>
      </vt:variant>
      <vt:variant>
        <vt:lpwstr>mailto:dlf0@cdc.gov</vt:lpwstr>
      </vt:variant>
      <vt:variant>
        <vt:lpwstr/>
      </vt:variant>
      <vt:variant>
        <vt:i4>1114237</vt:i4>
      </vt:variant>
      <vt:variant>
        <vt:i4>24</vt:i4>
      </vt:variant>
      <vt:variant>
        <vt:i4>0</vt:i4>
      </vt:variant>
      <vt:variant>
        <vt:i4>5</vt:i4>
      </vt:variant>
      <vt:variant>
        <vt:lpwstr>mailto:bet5@cdc.gov</vt:lpwstr>
      </vt:variant>
      <vt:variant>
        <vt:lpwstr/>
      </vt:variant>
      <vt:variant>
        <vt:i4>458878</vt:i4>
      </vt:variant>
      <vt:variant>
        <vt:i4>21</vt:i4>
      </vt:variant>
      <vt:variant>
        <vt:i4>0</vt:i4>
      </vt:variant>
      <vt:variant>
        <vt:i4>5</vt:i4>
      </vt:variant>
      <vt:variant>
        <vt:lpwstr>mailto:kbk1@cdc.gov</vt:lpwstr>
      </vt:variant>
      <vt:variant>
        <vt:lpwstr/>
      </vt:variant>
      <vt:variant>
        <vt:i4>1704048</vt:i4>
      </vt:variant>
      <vt:variant>
        <vt:i4>18</vt:i4>
      </vt:variant>
      <vt:variant>
        <vt:i4>0</vt:i4>
      </vt:variant>
      <vt:variant>
        <vt:i4>5</vt:i4>
      </vt:variant>
      <vt:variant>
        <vt:lpwstr>mailto:nks6@cdc.gov</vt:lpwstr>
      </vt:variant>
      <vt:variant>
        <vt:lpwstr/>
      </vt:variant>
      <vt:variant>
        <vt:i4>1966195</vt:i4>
      </vt:variant>
      <vt:variant>
        <vt:i4>15</vt:i4>
      </vt:variant>
      <vt:variant>
        <vt:i4>0</vt:i4>
      </vt:variant>
      <vt:variant>
        <vt:i4>5</vt:i4>
      </vt:variant>
      <vt:variant>
        <vt:lpwstr>mailto:rnk0@cdc.gov</vt:lpwstr>
      </vt:variant>
      <vt:variant>
        <vt:lpwstr/>
      </vt:variant>
      <vt:variant>
        <vt:i4>458855</vt:i4>
      </vt:variant>
      <vt:variant>
        <vt:i4>12</vt:i4>
      </vt:variant>
      <vt:variant>
        <vt:i4>0</vt:i4>
      </vt:variant>
      <vt:variant>
        <vt:i4>5</vt:i4>
      </vt:variant>
      <vt:variant>
        <vt:lpwstr>mailto:kxk2@cdc.gov</vt:lpwstr>
      </vt:variant>
      <vt:variant>
        <vt:lpwstr/>
      </vt:variant>
      <vt:variant>
        <vt:i4>196711</vt:i4>
      </vt:variant>
      <vt:variant>
        <vt:i4>9</vt:i4>
      </vt:variant>
      <vt:variant>
        <vt:i4>0</vt:i4>
      </vt:variant>
      <vt:variant>
        <vt:i4>5</vt:i4>
      </vt:variant>
      <vt:variant>
        <vt:lpwstr>mailto:eya3@cdc.gov</vt:lpwstr>
      </vt:variant>
      <vt:variant>
        <vt:lpwstr/>
      </vt:variant>
      <vt:variant>
        <vt:i4>1245284</vt:i4>
      </vt:variant>
      <vt:variant>
        <vt:i4>6</vt:i4>
      </vt:variant>
      <vt:variant>
        <vt:i4>0</vt:i4>
      </vt:variant>
      <vt:variant>
        <vt:i4>5</vt:i4>
      </vt:variant>
      <vt:variant>
        <vt:lpwstr>mailto:sqg8@cdc.gov</vt:lpwstr>
      </vt:variant>
      <vt:variant>
        <vt:lpwstr/>
      </vt:variant>
      <vt:variant>
        <vt:i4>917631</vt:i4>
      </vt:variant>
      <vt:variant>
        <vt:i4>3</vt:i4>
      </vt:variant>
      <vt:variant>
        <vt:i4>0</vt:i4>
      </vt:variant>
      <vt:variant>
        <vt:i4>5</vt:i4>
      </vt:variant>
      <vt:variant>
        <vt:lpwstr>mailto:jjc8@cdc.gov</vt:lpwstr>
      </vt:variant>
      <vt:variant>
        <vt:lpwstr/>
      </vt:variant>
      <vt:variant>
        <vt:i4>1048687</vt:i4>
      </vt:variant>
      <vt:variant>
        <vt:i4>0</vt:i4>
      </vt:variant>
      <vt:variant>
        <vt:i4>0</vt:i4>
      </vt:variant>
      <vt:variant>
        <vt:i4>5</vt:i4>
      </vt:variant>
      <vt:variant>
        <vt:lpwstr>mailto:gzp8@cdc.gov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Related Asthma Research in Public Schools (New)</dc:title>
  <dc:creator>sqg8</dc:creator>
  <cp:lastModifiedBy>CDC User</cp:lastModifiedBy>
  <cp:revision>2</cp:revision>
  <cp:lastPrinted>2013-04-05T18:04:00Z</cp:lastPrinted>
  <dcterms:created xsi:type="dcterms:W3CDTF">2013-05-23T16:13:00Z</dcterms:created>
  <dcterms:modified xsi:type="dcterms:W3CDTF">2013-05-23T16:13:00Z</dcterms:modified>
</cp:coreProperties>
</file>