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AC" w:rsidRDefault="00EC75AC"/>
    <w:p w:rsidR="00EC75AC" w:rsidRDefault="00EC75AC"/>
    <w:p w:rsidR="00EC75AC" w:rsidRDefault="00EC75AC"/>
    <w:p w:rsidR="00EC75AC" w:rsidRDefault="00EC75AC"/>
    <w:p w:rsidR="00EC75AC" w:rsidRDefault="00EC75AC"/>
    <w:p w:rsidR="00EC75AC" w:rsidRDefault="00EC75AC"/>
    <w:p w:rsidR="00E25105" w:rsidRDefault="00E25105" w:rsidP="00E25105">
      <w:pPr>
        <w:jc w:val="center"/>
      </w:pPr>
    </w:p>
    <w:p w:rsidR="00E25105" w:rsidRDefault="00E25105" w:rsidP="00E25105">
      <w:pPr>
        <w:jc w:val="center"/>
      </w:pPr>
      <w:r>
        <w:t xml:space="preserve">Request for Office of Management and Budget Review and Approval </w:t>
      </w:r>
    </w:p>
    <w:p w:rsidR="00E25105" w:rsidRDefault="00E25105" w:rsidP="00E25105">
      <w:pPr>
        <w:jc w:val="center"/>
      </w:pPr>
      <w:proofErr w:type="gramStart"/>
      <w:r>
        <w:t>for</w:t>
      </w:r>
      <w:proofErr w:type="gramEnd"/>
      <w:r>
        <w:t xml:space="preserve"> Federally Sponsored Data Collection</w:t>
      </w:r>
    </w:p>
    <w:p w:rsidR="00EC75AC" w:rsidRDefault="00EC75AC"/>
    <w:p w:rsidR="00EC75AC" w:rsidRDefault="00EC75AC"/>
    <w:p w:rsidR="00EC75AC" w:rsidRDefault="00EC75AC"/>
    <w:p w:rsidR="00EC75AC" w:rsidRDefault="00EC75AC"/>
    <w:p w:rsidR="00EC75AC" w:rsidRDefault="00EC75AC"/>
    <w:p w:rsidR="00EC75AC" w:rsidRDefault="00EC75AC"/>
    <w:p w:rsidR="00EC75AC" w:rsidRDefault="00EC75AC"/>
    <w:p w:rsidR="00EC75AC" w:rsidRDefault="00EC75AC"/>
    <w:p w:rsidR="00EC75AC" w:rsidRDefault="00EC75AC"/>
    <w:p w:rsidR="00EC75AC" w:rsidRDefault="00EC75AC"/>
    <w:p w:rsidR="00EC75AC" w:rsidRDefault="0006305B" w:rsidP="00EC75AC">
      <w:pPr>
        <w:jc w:val="center"/>
        <w:rPr>
          <w:b/>
        </w:rPr>
      </w:pPr>
      <w:r>
        <w:rPr>
          <w:b/>
        </w:rPr>
        <w:t>Spectrum of Flavoring Chemical-Related Lung Disease</w:t>
      </w:r>
      <w:r w:rsidR="00EC75AC">
        <w:rPr>
          <w:b/>
        </w:rPr>
        <w:t xml:space="preserve"> </w:t>
      </w: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25105" w:rsidP="00EC75AC">
      <w:pPr>
        <w:jc w:val="center"/>
        <w:rPr>
          <w:b/>
        </w:rPr>
      </w:pPr>
      <w:r>
        <w:rPr>
          <w:b/>
        </w:rPr>
        <w:t>Section A</w:t>
      </w: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C75AC" w:rsidP="00EC75AC">
      <w:pPr>
        <w:jc w:val="center"/>
        <w:rPr>
          <w:b/>
        </w:rPr>
      </w:pPr>
    </w:p>
    <w:p w:rsidR="00EC75AC" w:rsidRDefault="00EC75AC" w:rsidP="00EC75AC">
      <w:pPr>
        <w:jc w:val="center"/>
      </w:pPr>
      <w:r>
        <w:t>Principal Investigator</w:t>
      </w:r>
      <w:r w:rsidR="003F2243">
        <w:t>s</w:t>
      </w:r>
      <w:r>
        <w:t>:</w:t>
      </w:r>
    </w:p>
    <w:p w:rsidR="00EC75AC" w:rsidRDefault="00EC75AC" w:rsidP="00EC75AC">
      <w:pPr>
        <w:jc w:val="center"/>
      </w:pPr>
    </w:p>
    <w:p w:rsidR="00EC75AC" w:rsidRDefault="002C4472" w:rsidP="00EC75AC">
      <w:pPr>
        <w:jc w:val="center"/>
      </w:pPr>
      <w:r>
        <w:t>Rachel L. Bailey, DO</w:t>
      </w:r>
      <w:r w:rsidR="00595637">
        <w:t>, MPH</w:t>
      </w:r>
    </w:p>
    <w:p w:rsidR="003F2243" w:rsidRDefault="003F2243" w:rsidP="00EC75AC">
      <w:pPr>
        <w:jc w:val="center"/>
      </w:pPr>
      <w:r>
        <w:t>Jean M. Cox-Ganser, PhD</w:t>
      </w:r>
    </w:p>
    <w:p w:rsidR="00EC75AC" w:rsidRDefault="000C30C2" w:rsidP="00EC75AC">
      <w:pPr>
        <w:jc w:val="center"/>
      </w:pPr>
      <w:r>
        <w:t>National Institute for Occupational Safety and Health</w:t>
      </w:r>
    </w:p>
    <w:p w:rsidR="00EC75AC" w:rsidRDefault="00EC75AC" w:rsidP="00EC75AC">
      <w:pPr>
        <w:jc w:val="center"/>
      </w:pPr>
      <w:r>
        <w:t>Division of Respiratory Disease Studies</w:t>
      </w:r>
    </w:p>
    <w:p w:rsidR="000C30C2" w:rsidRDefault="000C30C2" w:rsidP="00EC75AC">
      <w:pPr>
        <w:jc w:val="center"/>
      </w:pPr>
      <w:r>
        <w:t xml:space="preserve">Email: </w:t>
      </w:r>
      <w:r w:rsidR="003F2243">
        <w:t>feu2@cdc.gov</w:t>
      </w:r>
    </w:p>
    <w:p w:rsidR="00EC75AC" w:rsidRDefault="00EC75AC" w:rsidP="00EC75AC">
      <w:pPr>
        <w:jc w:val="center"/>
      </w:pPr>
      <w:r>
        <w:t xml:space="preserve">Phone: </w:t>
      </w:r>
      <w:r w:rsidR="003F2243">
        <w:t>304-285-5757</w:t>
      </w:r>
    </w:p>
    <w:p w:rsidR="00EC75AC" w:rsidRDefault="00EC75AC" w:rsidP="00EC75AC">
      <w:pPr>
        <w:jc w:val="center"/>
      </w:pPr>
      <w:r>
        <w:t>Fax: 304-285-5820</w:t>
      </w:r>
    </w:p>
    <w:p w:rsidR="00EC75AC" w:rsidRDefault="00EC75AC" w:rsidP="00EC75AC">
      <w:pPr>
        <w:jc w:val="center"/>
      </w:pPr>
    </w:p>
    <w:p w:rsidR="00EC75AC" w:rsidRDefault="00EC75AC" w:rsidP="00EC75AC">
      <w:pPr>
        <w:jc w:val="center"/>
      </w:pPr>
    </w:p>
    <w:p w:rsidR="00EC75AC" w:rsidRDefault="00EC75AC" w:rsidP="00EC75AC">
      <w:pPr>
        <w:jc w:val="center"/>
      </w:pPr>
    </w:p>
    <w:p w:rsidR="00EC75AC" w:rsidRDefault="006E79E9" w:rsidP="00EC75AC">
      <w:pPr>
        <w:jc w:val="center"/>
      </w:pPr>
      <w:r>
        <w:t>May 2013</w:t>
      </w:r>
    </w:p>
    <w:p w:rsidR="0006305B" w:rsidRDefault="0006305B" w:rsidP="00EC75AC">
      <w:pPr>
        <w:jc w:val="center"/>
      </w:pPr>
    </w:p>
    <w:p w:rsidR="0006305B" w:rsidRDefault="0006305B" w:rsidP="00EC75AC">
      <w:pPr>
        <w:jc w:val="center"/>
      </w:pPr>
    </w:p>
    <w:p w:rsidR="0006305B" w:rsidRDefault="0006305B" w:rsidP="00EC75AC">
      <w:pPr>
        <w:jc w:val="center"/>
      </w:pPr>
    </w:p>
    <w:p w:rsidR="0006305B" w:rsidRDefault="0006305B" w:rsidP="00EC75AC">
      <w:pPr>
        <w:jc w:val="center"/>
      </w:pPr>
    </w:p>
    <w:p w:rsidR="00EC75AC" w:rsidRDefault="00EC75AC" w:rsidP="00EC75AC">
      <w:pPr>
        <w:jc w:val="center"/>
      </w:pPr>
    </w:p>
    <w:p w:rsidR="004845E8" w:rsidRDefault="00773DCB" w:rsidP="00514A8D">
      <w:pPr>
        <w:pStyle w:val="TOC1"/>
        <w:rPr>
          <w:sz w:val="24"/>
          <w:szCs w:val="24"/>
        </w:rPr>
      </w:pPr>
      <w:bookmarkStart w:id="0" w:name="_Toc161124059"/>
      <w:bookmarkStart w:id="1" w:name="_Toc161124921"/>
      <w:r w:rsidRPr="008E0A98">
        <w:rPr>
          <w:sz w:val="24"/>
          <w:szCs w:val="24"/>
        </w:rPr>
        <w:lastRenderedPageBreak/>
        <w:t>Table of Contents</w:t>
      </w:r>
    </w:p>
    <w:p w:rsidR="004845E8" w:rsidRPr="004845E8" w:rsidRDefault="004845E8" w:rsidP="00514A8D">
      <w:pPr>
        <w:pStyle w:val="TOC1"/>
        <w:jc w:val="left"/>
        <w:rPr>
          <w:sz w:val="24"/>
          <w:szCs w:val="24"/>
        </w:rPr>
      </w:pPr>
    </w:p>
    <w:p w:rsidR="004845E8" w:rsidRPr="004845E8" w:rsidRDefault="004845E8" w:rsidP="00514A8D">
      <w:pPr>
        <w:pStyle w:val="TOC1"/>
        <w:jc w:val="left"/>
        <w:rPr>
          <w:sz w:val="24"/>
          <w:szCs w:val="24"/>
        </w:rPr>
      </w:pPr>
      <w:r w:rsidRPr="004845E8">
        <w:rPr>
          <w:sz w:val="24"/>
          <w:szCs w:val="24"/>
        </w:rPr>
        <w:t>A</w:t>
      </w:r>
      <w:r w:rsidR="00E75A51">
        <w:rPr>
          <w:sz w:val="24"/>
          <w:szCs w:val="24"/>
        </w:rPr>
        <w:t xml:space="preserve">.  </w:t>
      </w:r>
      <w:r w:rsidRPr="004845E8">
        <w:rPr>
          <w:sz w:val="24"/>
          <w:szCs w:val="24"/>
        </w:rPr>
        <w:t xml:space="preserve"> </w:t>
      </w:r>
      <w:r>
        <w:rPr>
          <w:sz w:val="24"/>
          <w:szCs w:val="24"/>
        </w:rPr>
        <w:t xml:space="preserve"> </w:t>
      </w:r>
      <w:r w:rsidRPr="004845E8">
        <w:rPr>
          <w:sz w:val="24"/>
          <w:szCs w:val="24"/>
        </w:rPr>
        <w:t>Justification</w:t>
      </w:r>
    </w:p>
    <w:p w:rsidR="004845E8" w:rsidRPr="004845E8" w:rsidRDefault="004845E8" w:rsidP="00514A8D">
      <w:pPr>
        <w:pStyle w:val="TOC1"/>
        <w:jc w:val="left"/>
        <w:rPr>
          <w:sz w:val="24"/>
          <w:szCs w:val="24"/>
        </w:rPr>
      </w:pPr>
      <w:r w:rsidRPr="004845E8">
        <w:rPr>
          <w:b w:val="0"/>
          <w:sz w:val="24"/>
          <w:szCs w:val="24"/>
        </w:rPr>
        <w:t>A1</w:t>
      </w:r>
      <w:r w:rsidR="00E75A51">
        <w:rPr>
          <w:b w:val="0"/>
          <w:sz w:val="24"/>
          <w:szCs w:val="24"/>
        </w:rPr>
        <w:t xml:space="preserve">.  </w:t>
      </w:r>
      <w:r>
        <w:rPr>
          <w:b w:val="0"/>
          <w:sz w:val="24"/>
          <w:szCs w:val="24"/>
        </w:rPr>
        <w:t xml:space="preserve"> </w:t>
      </w:r>
      <w:r w:rsidRPr="004845E8">
        <w:rPr>
          <w:b w:val="0"/>
          <w:sz w:val="24"/>
          <w:szCs w:val="24"/>
        </w:rPr>
        <w:t>Circumstances Making the Collection of Information Necessary</w:t>
      </w:r>
      <w:r w:rsidRPr="004845E8">
        <w:rPr>
          <w:sz w:val="24"/>
          <w:szCs w:val="24"/>
        </w:rPr>
        <w:t xml:space="preserve"> </w:t>
      </w:r>
    </w:p>
    <w:p w:rsidR="004845E8" w:rsidRDefault="004845E8" w:rsidP="00514A8D">
      <w:pPr>
        <w:pStyle w:val="TOC1"/>
        <w:jc w:val="left"/>
        <w:rPr>
          <w:sz w:val="24"/>
          <w:szCs w:val="24"/>
        </w:rPr>
      </w:pPr>
      <w:r>
        <w:rPr>
          <w:b w:val="0"/>
          <w:sz w:val="24"/>
          <w:szCs w:val="24"/>
        </w:rPr>
        <w:t>A2</w:t>
      </w:r>
      <w:r w:rsidR="00E75A51">
        <w:rPr>
          <w:b w:val="0"/>
          <w:sz w:val="24"/>
          <w:szCs w:val="24"/>
        </w:rPr>
        <w:t xml:space="preserve">.  </w:t>
      </w:r>
      <w:r>
        <w:rPr>
          <w:b w:val="0"/>
          <w:sz w:val="24"/>
          <w:szCs w:val="24"/>
        </w:rPr>
        <w:t xml:space="preserve"> </w:t>
      </w:r>
      <w:r w:rsidRPr="004845E8">
        <w:rPr>
          <w:b w:val="0"/>
          <w:sz w:val="24"/>
          <w:szCs w:val="24"/>
        </w:rPr>
        <w:t>Purpose and Use of Information Collection</w:t>
      </w:r>
      <w:r w:rsidRPr="004845E8">
        <w:rPr>
          <w:sz w:val="24"/>
          <w:szCs w:val="24"/>
        </w:rPr>
        <w:t xml:space="preserve"> </w:t>
      </w:r>
    </w:p>
    <w:p w:rsidR="004845E8" w:rsidRDefault="004845E8" w:rsidP="00514A8D">
      <w:pPr>
        <w:pStyle w:val="TOC1"/>
        <w:jc w:val="left"/>
        <w:rPr>
          <w:b w:val="0"/>
          <w:sz w:val="24"/>
          <w:szCs w:val="24"/>
        </w:rPr>
      </w:pPr>
      <w:r>
        <w:rPr>
          <w:b w:val="0"/>
          <w:sz w:val="24"/>
          <w:szCs w:val="24"/>
        </w:rPr>
        <w:t>A3</w:t>
      </w:r>
      <w:r w:rsidR="00E75A51">
        <w:rPr>
          <w:b w:val="0"/>
          <w:sz w:val="24"/>
          <w:szCs w:val="24"/>
        </w:rPr>
        <w:t xml:space="preserve">.  </w:t>
      </w:r>
      <w:r>
        <w:rPr>
          <w:b w:val="0"/>
          <w:sz w:val="24"/>
          <w:szCs w:val="24"/>
        </w:rPr>
        <w:t xml:space="preserve"> Use of Improved Information Technology and Burden Reduction</w:t>
      </w:r>
    </w:p>
    <w:p w:rsidR="004845E8" w:rsidRDefault="004845E8" w:rsidP="00514A8D">
      <w:pPr>
        <w:pStyle w:val="TOC1"/>
        <w:jc w:val="left"/>
        <w:rPr>
          <w:b w:val="0"/>
          <w:sz w:val="24"/>
          <w:szCs w:val="24"/>
        </w:rPr>
      </w:pPr>
      <w:r>
        <w:rPr>
          <w:b w:val="0"/>
          <w:sz w:val="24"/>
          <w:szCs w:val="24"/>
        </w:rPr>
        <w:t>A4</w:t>
      </w:r>
      <w:r w:rsidR="00E75A51">
        <w:rPr>
          <w:b w:val="0"/>
          <w:sz w:val="24"/>
          <w:szCs w:val="24"/>
        </w:rPr>
        <w:t xml:space="preserve">.  </w:t>
      </w:r>
      <w:r>
        <w:rPr>
          <w:b w:val="0"/>
          <w:sz w:val="24"/>
          <w:szCs w:val="24"/>
        </w:rPr>
        <w:t xml:space="preserve"> Efforts to Identify Duplication and Use of Similar Information</w:t>
      </w:r>
    </w:p>
    <w:p w:rsidR="004845E8" w:rsidRDefault="004845E8" w:rsidP="00514A8D">
      <w:pPr>
        <w:pStyle w:val="TOC1"/>
        <w:jc w:val="left"/>
        <w:rPr>
          <w:b w:val="0"/>
          <w:sz w:val="24"/>
          <w:szCs w:val="24"/>
        </w:rPr>
      </w:pPr>
      <w:r>
        <w:rPr>
          <w:b w:val="0"/>
          <w:sz w:val="24"/>
          <w:szCs w:val="24"/>
        </w:rPr>
        <w:t>A5</w:t>
      </w:r>
      <w:r w:rsidR="00E75A51">
        <w:rPr>
          <w:b w:val="0"/>
          <w:sz w:val="24"/>
          <w:szCs w:val="24"/>
        </w:rPr>
        <w:t xml:space="preserve">.  </w:t>
      </w:r>
      <w:r>
        <w:rPr>
          <w:b w:val="0"/>
          <w:sz w:val="24"/>
          <w:szCs w:val="24"/>
        </w:rPr>
        <w:t xml:space="preserve"> Impact on Small Businesses or Other Small Entities</w:t>
      </w:r>
    </w:p>
    <w:p w:rsidR="004845E8" w:rsidRDefault="004845E8" w:rsidP="00514A8D">
      <w:pPr>
        <w:pStyle w:val="TOC1"/>
        <w:jc w:val="left"/>
        <w:rPr>
          <w:b w:val="0"/>
          <w:sz w:val="24"/>
          <w:szCs w:val="24"/>
        </w:rPr>
      </w:pPr>
      <w:r>
        <w:rPr>
          <w:b w:val="0"/>
          <w:sz w:val="24"/>
          <w:szCs w:val="24"/>
        </w:rPr>
        <w:t>A6</w:t>
      </w:r>
      <w:r w:rsidR="00E75A51">
        <w:rPr>
          <w:b w:val="0"/>
          <w:sz w:val="24"/>
          <w:szCs w:val="24"/>
        </w:rPr>
        <w:t xml:space="preserve">.  </w:t>
      </w:r>
      <w:r>
        <w:rPr>
          <w:b w:val="0"/>
          <w:sz w:val="24"/>
          <w:szCs w:val="24"/>
        </w:rPr>
        <w:t xml:space="preserve"> Consequences of Collecting the Information Less Frequently</w:t>
      </w:r>
    </w:p>
    <w:p w:rsidR="004845E8" w:rsidRDefault="004845E8" w:rsidP="00514A8D">
      <w:pPr>
        <w:pStyle w:val="TOC1"/>
        <w:jc w:val="left"/>
        <w:rPr>
          <w:b w:val="0"/>
          <w:sz w:val="24"/>
          <w:szCs w:val="24"/>
        </w:rPr>
      </w:pPr>
      <w:r>
        <w:rPr>
          <w:b w:val="0"/>
          <w:sz w:val="24"/>
          <w:szCs w:val="24"/>
        </w:rPr>
        <w:t>A7</w:t>
      </w:r>
      <w:r w:rsidR="00E75A51">
        <w:rPr>
          <w:b w:val="0"/>
          <w:sz w:val="24"/>
          <w:szCs w:val="24"/>
        </w:rPr>
        <w:t xml:space="preserve">.  </w:t>
      </w:r>
      <w:r>
        <w:rPr>
          <w:b w:val="0"/>
          <w:sz w:val="24"/>
          <w:szCs w:val="24"/>
        </w:rPr>
        <w:t xml:space="preserve"> Special Circumstances Relating to the Guidelines of 5 CFR 1320.5</w:t>
      </w:r>
    </w:p>
    <w:p w:rsidR="004845E8" w:rsidRDefault="004845E8" w:rsidP="00514A8D">
      <w:pPr>
        <w:pStyle w:val="TOC1"/>
        <w:ind w:left="540" w:hanging="540"/>
        <w:jc w:val="left"/>
        <w:rPr>
          <w:b w:val="0"/>
          <w:sz w:val="24"/>
          <w:szCs w:val="24"/>
        </w:rPr>
      </w:pPr>
      <w:r>
        <w:rPr>
          <w:b w:val="0"/>
          <w:sz w:val="24"/>
          <w:szCs w:val="24"/>
        </w:rPr>
        <w:t>A8</w:t>
      </w:r>
      <w:r w:rsidR="00E75A51">
        <w:rPr>
          <w:b w:val="0"/>
          <w:sz w:val="24"/>
          <w:szCs w:val="24"/>
        </w:rPr>
        <w:t xml:space="preserve">.  </w:t>
      </w:r>
      <w:r>
        <w:rPr>
          <w:b w:val="0"/>
          <w:sz w:val="24"/>
          <w:szCs w:val="24"/>
        </w:rPr>
        <w:t xml:space="preserve"> Comments in Response to the Federal Register Notice and Efforts to Consult Outside the Agency</w:t>
      </w:r>
    </w:p>
    <w:p w:rsidR="004845E8" w:rsidRDefault="004845E8" w:rsidP="00514A8D">
      <w:pPr>
        <w:pStyle w:val="TOC1"/>
        <w:jc w:val="left"/>
        <w:rPr>
          <w:b w:val="0"/>
          <w:sz w:val="24"/>
          <w:szCs w:val="24"/>
        </w:rPr>
      </w:pPr>
      <w:r>
        <w:rPr>
          <w:b w:val="0"/>
          <w:sz w:val="24"/>
          <w:szCs w:val="24"/>
        </w:rPr>
        <w:t>A9</w:t>
      </w:r>
      <w:r w:rsidR="00E75A51">
        <w:rPr>
          <w:b w:val="0"/>
          <w:sz w:val="24"/>
          <w:szCs w:val="24"/>
        </w:rPr>
        <w:t xml:space="preserve">.  </w:t>
      </w:r>
      <w:r>
        <w:rPr>
          <w:b w:val="0"/>
          <w:sz w:val="24"/>
          <w:szCs w:val="24"/>
        </w:rPr>
        <w:t xml:space="preserve"> Explanation of Any Payment or Gift to Respondents</w:t>
      </w:r>
    </w:p>
    <w:p w:rsidR="004845E8" w:rsidRDefault="004845E8" w:rsidP="00514A8D">
      <w:pPr>
        <w:pStyle w:val="TOC1"/>
        <w:jc w:val="left"/>
        <w:rPr>
          <w:b w:val="0"/>
          <w:sz w:val="24"/>
          <w:szCs w:val="24"/>
        </w:rPr>
      </w:pPr>
      <w:r>
        <w:rPr>
          <w:b w:val="0"/>
          <w:sz w:val="24"/>
          <w:szCs w:val="24"/>
        </w:rPr>
        <w:t>A10</w:t>
      </w:r>
      <w:r w:rsidR="00E75A51">
        <w:rPr>
          <w:b w:val="0"/>
          <w:sz w:val="24"/>
          <w:szCs w:val="24"/>
        </w:rPr>
        <w:t xml:space="preserve">.  </w:t>
      </w:r>
      <w:r>
        <w:rPr>
          <w:b w:val="0"/>
          <w:sz w:val="24"/>
          <w:szCs w:val="24"/>
        </w:rPr>
        <w:t>Assurance of Confidentiality Provided to Respondents</w:t>
      </w:r>
    </w:p>
    <w:p w:rsidR="004845E8" w:rsidRDefault="004845E8" w:rsidP="00514A8D">
      <w:pPr>
        <w:pStyle w:val="TOC1"/>
        <w:jc w:val="left"/>
        <w:rPr>
          <w:b w:val="0"/>
          <w:sz w:val="24"/>
          <w:szCs w:val="24"/>
        </w:rPr>
      </w:pPr>
      <w:r>
        <w:rPr>
          <w:b w:val="0"/>
          <w:sz w:val="24"/>
          <w:szCs w:val="24"/>
        </w:rPr>
        <w:t>A1</w:t>
      </w:r>
      <w:r w:rsidR="00482BA4">
        <w:rPr>
          <w:b w:val="0"/>
          <w:sz w:val="24"/>
          <w:szCs w:val="24"/>
        </w:rPr>
        <w:t>1</w:t>
      </w:r>
      <w:r w:rsidR="00E75A51">
        <w:rPr>
          <w:b w:val="0"/>
          <w:sz w:val="24"/>
          <w:szCs w:val="24"/>
        </w:rPr>
        <w:t xml:space="preserve">.  </w:t>
      </w:r>
      <w:r w:rsidR="00482BA4">
        <w:rPr>
          <w:b w:val="0"/>
          <w:sz w:val="24"/>
          <w:szCs w:val="24"/>
        </w:rPr>
        <w:t>Justification for Sensitive</w:t>
      </w:r>
      <w:r>
        <w:rPr>
          <w:b w:val="0"/>
          <w:sz w:val="24"/>
          <w:szCs w:val="24"/>
        </w:rPr>
        <w:t xml:space="preserve"> Questions</w:t>
      </w:r>
    </w:p>
    <w:p w:rsidR="004845E8" w:rsidRDefault="004845E8" w:rsidP="00514A8D">
      <w:pPr>
        <w:pStyle w:val="TOC1"/>
        <w:jc w:val="left"/>
        <w:rPr>
          <w:b w:val="0"/>
          <w:sz w:val="24"/>
          <w:szCs w:val="24"/>
        </w:rPr>
      </w:pPr>
      <w:r>
        <w:rPr>
          <w:b w:val="0"/>
          <w:sz w:val="24"/>
          <w:szCs w:val="24"/>
        </w:rPr>
        <w:t>A12</w:t>
      </w:r>
      <w:r w:rsidR="00E75A51">
        <w:rPr>
          <w:b w:val="0"/>
          <w:sz w:val="24"/>
          <w:szCs w:val="24"/>
        </w:rPr>
        <w:t xml:space="preserve">.  </w:t>
      </w:r>
      <w:r>
        <w:rPr>
          <w:b w:val="0"/>
          <w:sz w:val="24"/>
          <w:szCs w:val="24"/>
        </w:rPr>
        <w:t>Estimates of Annualized Burden Hours and Costs</w:t>
      </w:r>
    </w:p>
    <w:p w:rsidR="004845E8" w:rsidRDefault="004845E8" w:rsidP="00514A8D">
      <w:pPr>
        <w:pStyle w:val="TOC1"/>
        <w:jc w:val="left"/>
        <w:rPr>
          <w:b w:val="0"/>
          <w:sz w:val="24"/>
          <w:szCs w:val="24"/>
        </w:rPr>
      </w:pPr>
      <w:r>
        <w:rPr>
          <w:b w:val="0"/>
          <w:sz w:val="24"/>
          <w:szCs w:val="24"/>
        </w:rPr>
        <w:t>A13</w:t>
      </w:r>
      <w:r w:rsidR="00E75A51">
        <w:rPr>
          <w:b w:val="0"/>
          <w:sz w:val="24"/>
          <w:szCs w:val="24"/>
        </w:rPr>
        <w:t xml:space="preserve">.  </w:t>
      </w:r>
      <w:r>
        <w:rPr>
          <w:b w:val="0"/>
          <w:sz w:val="24"/>
          <w:szCs w:val="24"/>
        </w:rPr>
        <w:t>Estimates of Other Total Annual Cost Burden to Respondents or Record Keepers</w:t>
      </w:r>
    </w:p>
    <w:p w:rsidR="00482BA4" w:rsidRDefault="004845E8" w:rsidP="00514A8D">
      <w:pPr>
        <w:pStyle w:val="TOC1"/>
        <w:jc w:val="left"/>
        <w:rPr>
          <w:b w:val="0"/>
          <w:sz w:val="24"/>
          <w:szCs w:val="24"/>
        </w:rPr>
      </w:pPr>
      <w:r>
        <w:rPr>
          <w:b w:val="0"/>
          <w:sz w:val="24"/>
          <w:szCs w:val="24"/>
        </w:rPr>
        <w:t>A14</w:t>
      </w:r>
      <w:r w:rsidR="00E75A51">
        <w:rPr>
          <w:b w:val="0"/>
          <w:sz w:val="24"/>
          <w:szCs w:val="24"/>
        </w:rPr>
        <w:t xml:space="preserve">.  </w:t>
      </w:r>
      <w:r>
        <w:rPr>
          <w:b w:val="0"/>
          <w:sz w:val="24"/>
          <w:szCs w:val="24"/>
        </w:rPr>
        <w:t>Annualized Cost to the Government</w:t>
      </w:r>
    </w:p>
    <w:p w:rsidR="00482BA4" w:rsidRDefault="00482BA4" w:rsidP="00514A8D">
      <w:pPr>
        <w:pStyle w:val="TOC1"/>
        <w:jc w:val="left"/>
        <w:rPr>
          <w:b w:val="0"/>
          <w:sz w:val="24"/>
          <w:szCs w:val="24"/>
        </w:rPr>
      </w:pPr>
      <w:r>
        <w:rPr>
          <w:b w:val="0"/>
          <w:sz w:val="24"/>
          <w:szCs w:val="24"/>
        </w:rPr>
        <w:t>A15</w:t>
      </w:r>
      <w:r w:rsidR="00E75A51">
        <w:rPr>
          <w:b w:val="0"/>
          <w:sz w:val="24"/>
          <w:szCs w:val="24"/>
        </w:rPr>
        <w:t xml:space="preserve">.  </w:t>
      </w:r>
      <w:r>
        <w:rPr>
          <w:b w:val="0"/>
          <w:sz w:val="24"/>
          <w:szCs w:val="24"/>
        </w:rPr>
        <w:t>Explanation for Program Changes or Adjustments</w:t>
      </w:r>
    </w:p>
    <w:p w:rsidR="00482BA4" w:rsidRDefault="00482BA4" w:rsidP="00514A8D">
      <w:pPr>
        <w:pStyle w:val="TOC1"/>
        <w:jc w:val="left"/>
        <w:rPr>
          <w:b w:val="0"/>
          <w:sz w:val="24"/>
          <w:szCs w:val="24"/>
        </w:rPr>
      </w:pPr>
      <w:r>
        <w:rPr>
          <w:b w:val="0"/>
          <w:sz w:val="24"/>
          <w:szCs w:val="24"/>
        </w:rPr>
        <w:t>A16</w:t>
      </w:r>
      <w:r w:rsidR="00E75A51">
        <w:rPr>
          <w:b w:val="0"/>
          <w:sz w:val="24"/>
          <w:szCs w:val="24"/>
        </w:rPr>
        <w:t xml:space="preserve">.  </w:t>
      </w:r>
      <w:r>
        <w:rPr>
          <w:b w:val="0"/>
          <w:sz w:val="24"/>
          <w:szCs w:val="24"/>
        </w:rPr>
        <w:t>Plans for Tabulation and Publication and Project Time Schedule</w:t>
      </w:r>
    </w:p>
    <w:p w:rsidR="00482BA4" w:rsidRDefault="00482BA4" w:rsidP="00514A8D">
      <w:pPr>
        <w:pStyle w:val="TOC1"/>
        <w:jc w:val="left"/>
        <w:rPr>
          <w:b w:val="0"/>
          <w:sz w:val="24"/>
          <w:szCs w:val="24"/>
        </w:rPr>
      </w:pPr>
      <w:r>
        <w:rPr>
          <w:b w:val="0"/>
          <w:sz w:val="24"/>
          <w:szCs w:val="24"/>
        </w:rPr>
        <w:t>A17</w:t>
      </w:r>
      <w:r w:rsidR="00E75A51">
        <w:rPr>
          <w:b w:val="0"/>
          <w:sz w:val="24"/>
          <w:szCs w:val="24"/>
        </w:rPr>
        <w:t xml:space="preserve">.  </w:t>
      </w:r>
      <w:r>
        <w:rPr>
          <w:b w:val="0"/>
          <w:sz w:val="24"/>
          <w:szCs w:val="24"/>
        </w:rPr>
        <w:t>Reason(s) Display of OMB Expiration Date is Inappropriate</w:t>
      </w:r>
    </w:p>
    <w:p w:rsidR="00AA7D4F" w:rsidRDefault="00482BA4" w:rsidP="00514A8D">
      <w:pPr>
        <w:pStyle w:val="TOC1"/>
        <w:jc w:val="left"/>
        <w:rPr>
          <w:b w:val="0"/>
          <w:sz w:val="24"/>
          <w:szCs w:val="24"/>
        </w:rPr>
      </w:pPr>
      <w:r>
        <w:rPr>
          <w:b w:val="0"/>
          <w:sz w:val="24"/>
          <w:szCs w:val="24"/>
        </w:rPr>
        <w:t>A18</w:t>
      </w:r>
      <w:r w:rsidR="00E75A51">
        <w:rPr>
          <w:b w:val="0"/>
          <w:sz w:val="24"/>
          <w:szCs w:val="24"/>
        </w:rPr>
        <w:t xml:space="preserve">.  </w:t>
      </w:r>
      <w:r>
        <w:rPr>
          <w:b w:val="0"/>
          <w:sz w:val="24"/>
          <w:szCs w:val="24"/>
        </w:rPr>
        <w:t>Exceptions to Certification for Paperwork Reduction Act Submissions</w:t>
      </w:r>
    </w:p>
    <w:p w:rsidR="00AA7D4F" w:rsidRDefault="00AA7D4F">
      <w:pPr>
        <w:rPr>
          <w:bCs/>
        </w:rPr>
      </w:pPr>
      <w:r>
        <w:rPr>
          <w:b/>
        </w:rPr>
        <w:br w:type="page"/>
      </w:r>
    </w:p>
    <w:p w:rsidR="00627137" w:rsidRPr="00AA7D4F" w:rsidRDefault="00AA7D4F" w:rsidP="00514A8D">
      <w:pPr>
        <w:pStyle w:val="TOC1"/>
        <w:jc w:val="left"/>
        <w:rPr>
          <w:sz w:val="24"/>
          <w:szCs w:val="24"/>
        </w:rPr>
      </w:pPr>
      <w:r>
        <w:rPr>
          <w:sz w:val="24"/>
          <w:szCs w:val="24"/>
        </w:rPr>
        <w:lastRenderedPageBreak/>
        <w:t>Appendices</w:t>
      </w:r>
    </w:p>
    <w:p w:rsidR="00627137" w:rsidRPr="00AE3113" w:rsidRDefault="00627137" w:rsidP="00AE3113">
      <w:pPr>
        <w:pStyle w:val="NoSpacing"/>
      </w:pPr>
      <w:r w:rsidRPr="00AE3113">
        <w:t>Appendix A</w:t>
      </w:r>
      <w:r w:rsidR="00C151E8">
        <w:t xml:space="preserve">. </w:t>
      </w:r>
      <w:r w:rsidR="00E75A51" w:rsidRPr="00AE3113">
        <w:t xml:space="preserve">  </w:t>
      </w:r>
      <w:r w:rsidRPr="00AE3113">
        <w:t xml:space="preserve"> </w:t>
      </w:r>
      <w:r w:rsidR="00FD411E" w:rsidRPr="00AE3113">
        <w:t xml:space="preserve"> </w:t>
      </w:r>
      <w:r w:rsidRPr="00AE3113">
        <w:t>Occupational Safety and Health Act of 1970 Public Law 91-256</w:t>
      </w:r>
    </w:p>
    <w:p w:rsidR="00627137" w:rsidRPr="00AE3113" w:rsidRDefault="00860C44" w:rsidP="00AE3113">
      <w:pPr>
        <w:pStyle w:val="NoSpacing"/>
      </w:pPr>
      <w:r w:rsidRPr="00AE3113">
        <w:t>Appendix B</w:t>
      </w:r>
      <w:r w:rsidR="00C151E8">
        <w:t>.</w:t>
      </w:r>
      <w:r w:rsidR="00FD411E" w:rsidRPr="00AE3113">
        <w:t xml:space="preserve"> </w:t>
      </w:r>
      <w:r w:rsidR="00C151E8">
        <w:t xml:space="preserve"> </w:t>
      </w:r>
      <w:r w:rsidR="00FD411E" w:rsidRPr="00AE3113">
        <w:t xml:space="preserve">   </w:t>
      </w:r>
      <w:r w:rsidR="00627137" w:rsidRPr="00AE3113">
        <w:t xml:space="preserve">Federal Register Notice </w:t>
      </w:r>
    </w:p>
    <w:p w:rsidR="008510E2" w:rsidRPr="00AE3113" w:rsidRDefault="00C151E8" w:rsidP="00AE3113">
      <w:pPr>
        <w:pStyle w:val="NoSpacing"/>
      </w:pPr>
      <w:r>
        <w:t>Appendix C.</w:t>
      </w:r>
      <w:r w:rsidR="008510E2" w:rsidRPr="00AE3113">
        <w:t xml:space="preserve">  </w:t>
      </w:r>
      <w:r>
        <w:t xml:space="preserve"> </w:t>
      </w:r>
      <w:r w:rsidR="008510E2" w:rsidRPr="00AE3113">
        <w:t xml:space="preserve">  </w:t>
      </w:r>
      <w:r w:rsidR="00DC6148" w:rsidRPr="00AE3113">
        <w:t>Response to Comments from 60-Day Federal Register Notice</w:t>
      </w:r>
    </w:p>
    <w:p w:rsidR="00AE3113" w:rsidRPr="00AE3113" w:rsidRDefault="00141483" w:rsidP="00141483">
      <w:pPr>
        <w:pStyle w:val="NoSpacing"/>
      </w:pPr>
      <w:r>
        <w:t xml:space="preserve">Appendix </w:t>
      </w:r>
      <w:r w:rsidR="00C151E8">
        <w:rPr>
          <w:bCs/>
          <w:szCs w:val="20"/>
        </w:rPr>
        <w:t xml:space="preserve">D.1. </w:t>
      </w:r>
      <w:r w:rsidR="00AE3113" w:rsidRPr="00AE3113">
        <w:rPr>
          <w:bCs/>
          <w:szCs w:val="20"/>
        </w:rPr>
        <w:t xml:space="preserve"> Popcorn Workers Questionnaire </w:t>
      </w:r>
    </w:p>
    <w:p w:rsidR="00AE3113" w:rsidRPr="00C151E8" w:rsidRDefault="00141483" w:rsidP="00AE3113">
      <w:pPr>
        <w:pStyle w:val="NoSpacing"/>
        <w:ind w:firstLine="720"/>
      </w:pPr>
      <w:r w:rsidRPr="00C151E8">
        <w:t xml:space="preserve">     </w:t>
      </w:r>
      <w:r w:rsidR="00C151E8">
        <w:t xml:space="preserve">D.2. </w:t>
      </w:r>
      <w:r w:rsidR="00AE3113" w:rsidRPr="00C151E8">
        <w:t xml:space="preserve"> Popcorn Workers Questionnaire (Spanish)</w:t>
      </w:r>
    </w:p>
    <w:p w:rsidR="00AE3113" w:rsidRPr="00AE3113" w:rsidRDefault="00141483" w:rsidP="00AE3113">
      <w:pPr>
        <w:pStyle w:val="NoSpacing"/>
        <w:ind w:firstLine="720"/>
      </w:pPr>
      <w:r>
        <w:t xml:space="preserve">     </w:t>
      </w:r>
      <w:r w:rsidR="00C151E8">
        <w:t xml:space="preserve">D.3. </w:t>
      </w:r>
      <w:r w:rsidR="00AE3113" w:rsidRPr="00AE3113">
        <w:t xml:space="preserve"> Flavoring Workers Questionnaire </w:t>
      </w:r>
    </w:p>
    <w:p w:rsidR="00AE3113" w:rsidRPr="00AE3113" w:rsidRDefault="00141483" w:rsidP="00141483">
      <w:pPr>
        <w:pStyle w:val="NoSpacing"/>
        <w:ind w:firstLine="720"/>
      </w:pPr>
      <w:r>
        <w:t xml:space="preserve">     </w:t>
      </w:r>
      <w:r w:rsidR="00C151E8">
        <w:t xml:space="preserve">D.4. </w:t>
      </w:r>
      <w:r w:rsidR="00AE3113" w:rsidRPr="00AE3113">
        <w:t xml:space="preserve"> Flavoring Workers Questionnaire (Spanish)</w:t>
      </w:r>
    </w:p>
    <w:p w:rsidR="00627137" w:rsidRPr="00AE3113" w:rsidRDefault="008510E2" w:rsidP="00AE3113">
      <w:pPr>
        <w:pStyle w:val="NoSpacing"/>
      </w:pPr>
      <w:r w:rsidRPr="00AE3113">
        <w:t>Appendix E</w:t>
      </w:r>
      <w:r w:rsidR="00C151E8">
        <w:t xml:space="preserve">. </w:t>
      </w:r>
      <w:r w:rsidR="00E75A51" w:rsidRPr="00AE3113">
        <w:t xml:space="preserve">  </w:t>
      </w:r>
      <w:r w:rsidR="00627137" w:rsidRPr="00AE3113">
        <w:t xml:space="preserve"> </w:t>
      </w:r>
      <w:r w:rsidR="005F0696" w:rsidRPr="00AE3113">
        <w:t xml:space="preserve"> </w:t>
      </w:r>
      <w:r w:rsidR="00C151E8">
        <w:t xml:space="preserve"> </w:t>
      </w:r>
      <w:r w:rsidR="00052831" w:rsidRPr="00AE3113">
        <w:t xml:space="preserve">External </w:t>
      </w:r>
      <w:r w:rsidR="00627137" w:rsidRPr="00AE3113">
        <w:t>Review Comments</w:t>
      </w:r>
    </w:p>
    <w:p w:rsidR="00627137" w:rsidRPr="00AE3113" w:rsidRDefault="008510E2" w:rsidP="00AE3113">
      <w:pPr>
        <w:pStyle w:val="NoSpacing"/>
      </w:pPr>
      <w:r w:rsidRPr="00AE3113">
        <w:t>Appendix F</w:t>
      </w:r>
      <w:r w:rsidR="00C151E8">
        <w:t xml:space="preserve">. </w:t>
      </w:r>
      <w:r w:rsidR="00E75A51" w:rsidRPr="00AE3113">
        <w:t xml:space="preserve">  </w:t>
      </w:r>
      <w:r w:rsidR="001B6B2D" w:rsidRPr="00AE3113">
        <w:t xml:space="preserve"> </w:t>
      </w:r>
      <w:r w:rsidR="005F0696" w:rsidRPr="00AE3113">
        <w:t xml:space="preserve"> </w:t>
      </w:r>
      <w:r w:rsidR="00C151E8">
        <w:t xml:space="preserve"> </w:t>
      </w:r>
      <w:r w:rsidR="00052831" w:rsidRPr="00AE3113">
        <w:t>IRB</w:t>
      </w:r>
      <w:r w:rsidR="00627137" w:rsidRPr="00AE3113">
        <w:t xml:space="preserve"> Approval Letter</w:t>
      </w:r>
    </w:p>
    <w:p w:rsidR="00AE3113" w:rsidRPr="00AE3113" w:rsidRDefault="00141483" w:rsidP="00141483">
      <w:pPr>
        <w:pStyle w:val="NoSpacing"/>
      </w:pPr>
      <w:r>
        <w:t xml:space="preserve">Appendix </w:t>
      </w:r>
      <w:r w:rsidR="00C151E8">
        <w:t xml:space="preserve">G.1. </w:t>
      </w:r>
      <w:r w:rsidR="00AE3113" w:rsidRPr="00AE3113">
        <w:t xml:space="preserve"> Consent Form</w:t>
      </w:r>
      <w:r>
        <w:t xml:space="preserve"> </w:t>
      </w:r>
    </w:p>
    <w:p w:rsidR="00AE3113" w:rsidRPr="00AE3113" w:rsidRDefault="00141483" w:rsidP="00AE3113">
      <w:pPr>
        <w:pStyle w:val="NoSpacing"/>
        <w:ind w:firstLine="720"/>
      </w:pPr>
      <w:r>
        <w:t xml:space="preserve">     </w:t>
      </w:r>
      <w:r w:rsidR="00C151E8">
        <w:t>G.2</w:t>
      </w:r>
      <w:r w:rsidR="003436EC">
        <w:t>.  Consent</w:t>
      </w:r>
      <w:r w:rsidR="00AE3113" w:rsidRPr="00AE3113">
        <w:t xml:space="preserve"> Form</w:t>
      </w:r>
      <w:r w:rsidR="00C151E8">
        <w:t xml:space="preserve"> (Spanish)</w:t>
      </w:r>
      <w:r w:rsidR="00AE3113" w:rsidRPr="00AE3113">
        <w:t xml:space="preserve"> </w:t>
      </w:r>
    </w:p>
    <w:p w:rsidR="00AE3113" w:rsidRPr="00AE3113" w:rsidRDefault="005F0696" w:rsidP="00141483">
      <w:pPr>
        <w:pStyle w:val="NoSpacing"/>
      </w:pPr>
      <w:r w:rsidRPr="00AE3113">
        <w:t xml:space="preserve">Appendix </w:t>
      </w:r>
      <w:r w:rsidR="00C151E8">
        <w:t xml:space="preserve">H.1. </w:t>
      </w:r>
      <w:r w:rsidR="00AE3113" w:rsidRPr="00AE3113">
        <w:t xml:space="preserve"> Study Announcement for Popcorn Workers </w:t>
      </w:r>
    </w:p>
    <w:p w:rsidR="00AE3113" w:rsidRPr="00AE3113" w:rsidRDefault="00141483" w:rsidP="00AE3113">
      <w:pPr>
        <w:pStyle w:val="NoSpacing"/>
        <w:ind w:firstLine="720"/>
      </w:pPr>
      <w:r>
        <w:t xml:space="preserve">     </w:t>
      </w:r>
      <w:r w:rsidR="00C151E8">
        <w:t xml:space="preserve">H.2. </w:t>
      </w:r>
      <w:r w:rsidR="00AE3113" w:rsidRPr="00AE3113">
        <w:t xml:space="preserve"> Study Announcement for Popcorn Workers (Spanish)</w:t>
      </w:r>
    </w:p>
    <w:p w:rsidR="00AE3113" w:rsidRPr="00AE3113" w:rsidRDefault="00141483" w:rsidP="00AE3113">
      <w:pPr>
        <w:pStyle w:val="NoSpacing"/>
        <w:ind w:firstLine="720"/>
      </w:pPr>
      <w:r>
        <w:t xml:space="preserve">     </w:t>
      </w:r>
      <w:r w:rsidR="00C151E8">
        <w:t xml:space="preserve">H.3. </w:t>
      </w:r>
      <w:r w:rsidR="00AE3113" w:rsidRPr="00AE3113">
        <w:t xml:space="preserve"> Study Announcement for Flavoring Workers </w:t>
      </w:r>
    </w:p>
    <w:p w:rsidR="00AE3113" w:rsidRPr="00AE3113" w:rsidRDefault="00141483" w:rsidP="00AE3113">
      <w:pPr>
        <w:pStyle w:val="NoSpacing"/>
        <w:ind w:firstLine="720"/>
      </w:pPr>
      <w:r>
        <w:t xml:space="preserve">     </w:t>
      </w:r>
      <w:r w:rsidR="00C151E8">
        <w:t xml:space="preserve">H.4. </w:t>
      </w:r>
      <w:r w:rsidR="00AE3113" w:rsidRPr="00AE3113">
        <w:t xml:space="preserve"> Study Announcement for Flavoring Workers (Spanish)</w:t>
      </w:r>
    </w:p>
    <w:p w:rsidR="00AE3113" w:rsidRPr="00AE3113" w:rsidRDefault="005F0696" w:rsidP="00141483">
      <w:pPr>
        <w:pStyle w:val="NoSpacing"/>
      </w:pPr>
      <w:r w:rsidRPr="00AE3113">
        <w:t xml:space="preserve">Appendix </w:t>
      </w:r>
      <w:r w:rsidR="00C151E8">
        <w:t xml:space="preserve"> I.1.</w:t>
      </w:r>
      <w:r w:rsidR="00AE3113" w:rsidRPr="00AE3113">
        <w:t xml:space="preserve"> </w:t>
      </w:r>
      <w:r w:rsidR="00C151E8">
        <w:t xml:space="preserve">  </w:t>
      </w:r>
      <w:r w:rsidR="00AE3113" w:rsidRPr="00AE3113">
        <w:t xml:space="preserve">Popcorn Worker Informational Fact Sheet </w:t>
      </w:r>
    </w:p>
    <w:p w:rsidR="00AE3113" w:rsidRDefault="00141483" w:rsidP="00AE3113">
      <w:pPr>
        <w:pStyle w:val="NoSpacing"/>
        <w:ind w:firstLine="720"/>
      </w:pPr>
      <w:r>
        <w:t xml:space="preserve">     </w:t>
      </w:r>
      <w:r w:rsidR="00C151E8">
        <w:t xml:space="preserve"> I.2.</w:t>
      </w:r>
      <w:r w:rsidR="00AE3113" w:rsidRPr="00AE3113">
        <w:t xml:space="preserve"> </w:t>
      </w:r>
      <w:r w:rsidR="00C151E8">
        <w:t xml:space="preserve">  </w:t>
      </w:r>
      <w:r w:rsidR="00AE3113" w:rsidRPr="00AE3113">
        <w:t>Popcorn Worker Informational Fact Sheet (Spanish)</w:t>
      </w:r>
    </w:p>
    <w:p w:rsidR="00A0578D" w:rsidRDefault="00A0578D" w:rsidP="00A0578D">
      <w:pPr>
        <w:pStyle w:val="NoSpacing"/>
        <w:ind w:firstLine="720"/>
      </w:pPr>
      <w:r>
        <w:t xml:space="preserve">      I.3.   Flavoring Workers Informational Fact Sheet </w:t>
      </w:r>
    </w:p>
    <w:p w:rsidR="00A0578D" w:rsidRPr="00AE3113" w:rsidRDefault="00A0578D" w:rsidP="00A0578D">
      <w:pPr>
        <w:pStyle w:val="NoSpacing"/>
        <w:ind w:firstLine="720"/>
      </w:pPr>
      <w:r>
        <w:t xml:space="preserve">      I.4.   Flavoring Workers Informational Fact Sheet (Spanish)</w:t>
      </w:r>
      <w:r>
        <w:tab/>
      </w:r>
    </w:p>
    <w:p w:rsidR="00AE3113" w:rsidRPr="00AE3113" w:rsidRDefault="005F0696" w:rsidP="00141483">
      <w:pPr>
        <w:pStyle w:val="NoSpacing"/>
      </w:pPr>
      <w:proofErr w:type="gramStart"/>
      <w:r w:rsidRPr="00AE3113">
        <w:t xml:space="preserve">Appendix </w:t>
      </w:r>
      <w:r w:rsidR="00C151E8">
        <w:t xml:space="preserve"> </w:t>
      </w:r>
      <w:r w:rsidR="00AE3113" w:rsidRPr="00AE3113">
        <w:t>J</w:t>
      </w:r>
      <w:r w:rsidR="00C151E8">
        <w:t>.1</w:t>
      </w:r>
      <w:proofErr w:type="gramEnd"/>
      <w:r w:rsidR="00C151E8">
        <w:t>.</w:t>
      </w:r>
      <w:r w:rsidR="00AE3113" w:rsidRPr="00AE3113">
        <w:t xml:space="preserve"> </w:t>
      </w:r>
      <w:r w:rsidR="00C151E8">
        <w:t xml:space="preserve">  </w:t>
      </w:r>
      <w:r w:rsidR="00AE3113" w:rsidRPr="00AE3113">
        <w:t xml:space="preserve">Popcorn Worker Job History Form </w:t>
      </w:r>
    </w:p>
    <w:p w:rsidR="00AE3113" w:rsidRPr="00AE3113" w:rsidRDefault="00141483" w:rsidP="00AE3113">
      <w:pPr>
        <w:pStyle w:val="NoSpacing"/>
        <w:ind w:firstLine="720"/>
      </w:pPr>
      <w:r>
        <w:t xml:space="preserve">     </w:t>
      </w:r>
      <w:r w:rsidR="00144919">
        <w:t xml:space="preserve"> </w:t>
      </w:r>
      <w:r w:rsidR="00C151E8">
        <w:t>J.2.</w:t>
      </w:r>
      <w:r w:rsidR="00AE3113" w:rsidRPr="00AE3113">
        <w:t xml:space="preserve"> </w:t>
      </w:r>
      <w:r w:rsidR="00144919">
        <w:t xml:space="preserve">  </w:t>
      </w:r>
      <w:r w:rsidR="00AE3113" w:rsidRPr="00AE3113">
        <w:t>Popcorn Worker Job History Form (Spanish)</w:t>
      </w:r>
    </w:p>
    <w:p w:rsidR="00AE3113" w:rsidRPr="00AE3113" w:rsidRDefault="00141483" w:rsidP="00AE3113">
      <w:pPr>
        <w:pStyle w:val="NoSpacing"/>
        <w:ind w:firstLine="720"/>
      </w:pPr>
      <w:r>
        <w:t xml:space="preserve">     </w:t>
      </w:r>
      <w:r w:rsidR="00144919">
        <w:t xml:space="preserve"> </w:t>
      </w:r>
      <w:r w:rsidR="00C151E8">
        <w:t>J.3.</w:t>
      </w:r>
      <w:r w:rsidR="00AE3113" w:rsidRPr="00AE3113">
        <w:t xml:space="preserve"> </w:t>
      </w:r>
      <w:r w:rsidR="00144919">
        <w:t xml:space="preserve">  </w:t>
      </w:r>
      <w:r w:rsidR="00AE3113" w:rsidRPr="00AE3113">
        <w:t xml:space="preserve">Flavoring Worker Job History Form </w:t>
      </w:r>
    </w:p>
    <w:p w:rsidR="00AE3113" w:rsidRPr="00AE3113" w:rsidRDefault="00141483" w:rsidP="00AE3113">
      <w:pPr>
        <w:pStyle w:val="NoSpacing"/>
        <w:ind w:firstLine="720"/>
      </w:pPr>
      <w:r>
        <w:t xml:space="preserve">     </w:t>
      </w:r>
      <w:r w:rsidR="00144919">
        <w:t xml:space="preserve"> </w:t>
      </w:r>
      <w:r w:rsidR="00C151E8">
        <w:t>J.4.</w:t>
      </w:r>
      <w:r w:rsidR="00AE3113" w:rsidRPr="00AE3113">
        <w:t xml:space="preserve"> </w:t>
      </w:r>
      <w:r w:rsidR="00144919">
        <w:t xml:space="preserve">  </w:t>
      </w:r>
      <w:r w:rsidR="00AE3113" w:rsidRPr="00AE3113">
        <w:t>Flavoring Worker Job History Form (Spanish)</w:t>
      </w:r>
    </w:p>
    <w:p w:rsidR="00AE3113" w:rsidRDefault="005F0696" w:rsidP="00141483">
      <w:pPr>
        <w:pStyle w:val="NoSpacing"/>
      </w:pPr>
      <w:r w:rsidRPr="00AE3113">
        <w:t xml:space="preserve">Appendix </w:t>
      </w:r>
      <w:r w:rsidR="00144919">
        <w:t xml:space="preserve"> K.1.</w:t>
      </w:r>
      <w:r w:rsidR="00AE3113" w:rsidRPr="00AE3113">
        <w:t xml:space="preserve"> </w:t>
      </w:r>
      <w:r w:rsidR="00144919">
        <w:t xml:space="preserve"> </w:t>
      </w:r>
      <w:r w:rsidR="00AE3113" w:rsidRPr="00AE3113">
        <w:t xml:space="preserve">Medication Form </w:t>
      </w:r>
    </w:p>
    <w:p w:rsidR="00076160" w:rsidRDefault="00141483" w:rsidP="00AE3113">
      <w:pPr>
        <w:pStyle w:val="NoSpacing"/>
        <w:ind w:firstLine="720"/>
      </w:pPr>
      <w:r>
        <w:t xml:space="preserve">     </w:t>
      </w:r>
      <w:r w:rsidR="00144919">
        <w:t xml:space="preserve"> K.2</w:t>
      </w:r>
      <w:proofErr w:type="gramStart"/>
      <w:r w:rsidR="00144919">
        <w:t xml:space="preserve">. </w:t>
      </w:r>
      <w:r w:rsidR="00AE3113" w:rsidRPr="00AE3113">
        <w:t xml:space="preserve"> Medication</w:t>
      </w:r>
      <w:proofErr w:type="gramEnd"/>
      <w:r w:rsidR="00AE3113" w:rsidRPr="00AE3113">
        <w:t xml:space="preserve"> Form (Spanish)</w:t>
      </w:r>
    </w:p>
    <w:p w:rsidR="00076160" w:rsidRDefault="00076160" w:rsidP="00076160">
      <w:pPr>
        <w:pStyle w:val="NoSpacing"/>
      </w:pPr>
      <w:r>
        <w:t xml:space="preserve">Appendix  L.1.   </w:t>
      </w:r>
      <w:r w:rsidR="004F7A4D">
        <w:t xml:space="preserve">Popcorn Worker </w:t>
      </w:r>
      <w:r>
        <w:t>Phone Script</w:t>
      </w:r>
      <w:r w:rsidR="004F7A4D">
        <w:t xml:space="preserve"> (English)</w:t>
      </w:r>
    </w:p>
    <w:p w:rsidR="004F7A4D" w:rsidRDefault="00076160" w:rsidP="004F7A4D">
      <w:pPr>
        <w:pStyle w:val="NoSpacing"/>
      </w:pPr>
      <w:r>
        <w:t xml:space="preserve">                  L.2.   </w:t>
      </w:r>
      <w:r w:rsidR="004F7A4D">
        <w:t xml:space="preserve">Popcorn Worker </w:t>
      </w:r>
      <w:r>
        <w:t>Phone Script (Spanish)</w:t>
      </w:r>
    </w:p>
    <w:p w:rsidR="004F7A4D" w:rsidRDefault="004F7A4D" w:rsidP="004F7A4D">
      <w:pPr>
        <w:pStyle w:val="NoSpacing"/>
      </w:pPr>
      <w:r>
        <w:t xml:space="preserve">                  L.3.   Flavoring Worker Phone Script (English)</w:t>
      </w:r>
    </w:p>
    <w:p w:rsidR="00EC75AC" w:rsidRPr="004845E8" w:rsidRDefault="004F7A4D" w:rsidP="004F7A4D">
      <w:pPr>
        <w:pStyle w:val="NoSpacing"/>
      </w:pPr>
      <w:r>
        <w:t xml:space="preserve">                  L.4.   Flavoring Worker Phone Script (Spanish) </w:t>
      </w:r>
      <w:r w:rsidR="00FF0412" w:rsidRPr="004845E8">
        <w:br w:type="page"/>
      </w:r>
      <w:r w:rsidR="00EC75AC" w:rsidRPr="004845E8">
        <w:lastRenderedPageBreak/>
        <w:t>SUPPORTING STATEMENT</w:t>
      </w:r>
      <w:bookmarkEnd w:id="0"/>
      <w:bookmarkEnd w:id="1"/>
    </w:p>
    <w:p w:rsidR="00C00B83" w:rsidRDefault="00C00B83" w:rsidP="003D3A07">
      <w:pPr>
        <w:ind w:firstLine="720"/>
      </w:pPr>
      <w:r>
        <w:t>This is a new data collection, and we ar</w:t>
      </w:r>
      <w:r w:rsidR="00EA13E5">
        <w:t xml:space="preserve">e seeking OMB approval for </w:t>
      </w:r>
      <w:r w:rsidR="006E79E9">
        <w:t xml:space="preserve">two </w:t>
      </w:r>
      <w:r>
        <w:t>years</w:t>
      </w:r>
      <w:r w:rsidR="00E75A51">
        <w:t xml:space="preserve">.  </w:t>
      </w:r>
      <w:r w:rsidR="0061608C">
        <w:t>Contact with participants</w:t>
      </w:r>
      <w:r w:rsidR="00EA13E5">
        <w:t xml:space="preserve"> is expected to begin during FY 2</w:t>
      </w:r>
      <w:r w:rsidR="0061608C">
        <w:t>013 and continue through FY 201</w:t>
      </w:r>
      <w:r w:rsidR="00076160">
        <w:t>4</w:t>
      </w:r>
      <w:r w:rsidR="00E75A51">
        <w:t xml:space="preserve">.  </w:t>
      </w:r>
      <w:r w:rsidR="00876771">
        <w:t>The funding source is dir</w:t>
      </w:r>
      <w:r w:rsidR="000917F2">
        <w:t>ectly linked to this time frame</w:t>
      </w:r>
      <w:r w:rsidR="00876771">
        <w:t xml:space="preserve"> and is not carried forward over fiscal years.</w:t>
      </w:r>
    </w:p>
    <w:p w:rsidR="00876771" w:rsidRPr="00876771" w:rsidRDefault="00876771" w:rsidP="00EC75AC"/>
    <w:p w:rsidR="00EC75AC" w:rsidRDefault="002915E9" w:rsidP="00FA21C0">
      <w:pPr>
        <w:pStyle w:val="Level10"/>
      </w:pPr>
      <w:bookmarkStart w:id="2" w:name="_Toc161124060"/>
      <w:bookmarkStart w:id="3" w:name="_Toc161124922"/>
      <w:bookmarkStart w:id="4" w:name="_Toc179766415"/>
      <w:bookmarkStart w:id="5" w:name="_Toc179774546"/>
      <w:r>
        <w:t>A.</w:t>
      </w:r>
      <w:r>
        <w:tab/>
      </w:r>
      <w:r w:rsidR="00EC75AC" w:rsidRPr="00FA21C0">
        <w:t>JUSTIFICATION</w:t>
      </w:r>
      <w:bookmarkEnd w:id="2"/>
      <w:bookmarkEnd w:id="3"/>
      <w:bookmarkEnd w:id="4"/>
      <w:bookmarkEnd w:id="5"/>
    </w:p>
    <w:p w:rsidR="00EC75AC" w:rsidRDefault="00EC75AC" w:rsidP="00EC75AC">
      <w:pPr>
        <w:rPr>
          <w:b/>
        </w:rPr>
      </w:pPr>
    </w:p>
    <w:p w:rsidR="00EC75AC" w:rsidRPr="00FA21C0" w:rsidRDefault="00EC75AC" w:rsidP="00FA21C0">
      <w:pPr>
        <w:pStyle w:val="Level2"/>
      </w:pPr>
      <w:bookmarkStart w:id="6" w:name="_Toc161124061"/>
      <w:bookmarkStart w:id="7" w:name="_Toc161124923"/>
      <w:bookmarkStart w:id="8" w:name="_Toc179766416"/>
      <w:bookmarkStart w:id="9" w:name="_Toc179774547"/>
      <w:r w:rsidRPr="00FA21C0">
        <w:t>1</w:t>
      </w:r>
      <w:r w:rsidR="00E75A51">
        <w:t xml:space="preserve">.  </w:t>
      </w:r>
      <w:r w:rsidRPr="00FA21C0">
        <w:t xml:space="preserve"> </w:t>
      </w:r>
      <w:r w:rsidR="002915E9" w:rsidRPr="00FA21C0">
        <w:tab/>
      </w:r>
      <w:r w:rsidRPr="00FA21C0">
        <w:t>Circumstances Making the Collection of Information Necessary</w:t>
      </w:r>
      <w:bookmarkEnd w:id="6"/>
      <w:bookmarkEnd w:id="7"/>
      <w:bookmarkEnd w:id="8"/>
      <w:bookmarkEnd w:id="9"/>
    </w:p>
    <w:p w:rsidR="00EE4D4A" w:rsidRPr="003D1D05" w:rsidRDefault="00E9699A" w:rsidP="003D1D05">
      <w:pPr>
        <w:ind w:firstLine="720"/>
        <w:rPr>
          <w:u w:val="single"/>
        </w:rPr>
      </w:pPr>
      <w:r w:rsidRPr="00EC4757">
        <w:t xml:space="preserve">The National Institute for Occupational Safety and Health (NIOSH) </w:t>
      </w:r>
      <w:r w:rsidR="00626C0C" w:rsidRPr="00EC4757">
        <w:t xml:space="preserve">will be conducting a </w:t>
      </w:r>
      <w:r w:rsidR="000917F2" w:rsidRPr="00EC4757">
        <w:t>study</w:t>
      </w:r>
      <w:r w:rsidR="00AA7D5B" w:rsidRPr="00EC4757">
        <w:t xml:space="preserve"> to </w:t>
      </w:r>
      <w:r w:rsidR="00A733E3">
        <w:t xml:space="preserve">investigate and </w:t>
      </w:r>
      <w:r w:rsidR="00AA7D5B" w:rsidRPr="00EC4757">
        <w:t xml:space="preserve">characterize the </w:t>
      </w:r>
      <w:r w:rsidR="00DE4DFD" w:rsidRPr="00EC4757">
        <w:t>spectrum</w:t>
      </w:r>
      <w:r w:rsidR="00AA7D5B" w:rsidRPr="00EC4757">
        <w:t xml:space="preserve"> of flavoring chemical-related</w:t>
      </w:r>
      <w:r w:rsidR="00DE4DFD" w:rsidRPr="00EC4757">
        <w:t xml:space="preserve"> lung disease, including</w:t>
      </w:r>
      <w:r w:rsidR="00AA7D5B" w:rsidRPr="00EC4757">
        <w:t xml:space="preserve"> </w:t>
      </w:r>
      <w:r w:rsidR="002762A3" w:rsidRPr="00EC4757">
        <w:t xml:space="preserve">restrictive </w:t>
      </w:r>
      <w:r w:rsidR="00AA7D5B" w:rsidRPr="00EC4757">
        <w:t>lung disease</w:t>
      </w:r>
      <w:r w:rsidR="00DE4DFD" w:rsidRPr="00EC4757">
        <w:t>,</w:t>
      </w:r>
      <w:r w:rsidR="00AA7D5B" w:rsidRPr="00EC4757">
        <w:t xml:space="preserve"> occurring among </w:t>
      </w:r>
      <w:r w:rsidR="00132D9C" w:rsidRPr="00EC4757">
        <w:t>workers</w:t>
      </w:r>
      <w:r w:rsidR="00AA7D5B" w:rsidRPr="00EC4757">
        <w:t xml:space="preserve"> in the popcorn and flavoring</w:t>
      </w:r>
      <w:r w:rsidR="00DE4DFD" w:rsidRPr="00EC4757">
        <w:t xml:space="preserve"> manufacturing</w:t>
      </w:r>
      <w:r w:rsidR="00AA7D5B" w:rsidRPr="00EC4757">
        <w:t xml:space="preserve"> industries</w:t>
      </w:r>
      <w:r w:rsidR="00E75A51" w:rsidRPr="00EC4757">
        <w:t xml:space="preserve">.  </w:t>
      </w:r>
      <w:r w:rsidR="003304D0" w:rsidRPr="00EC4757">
        <w:t xml:space="preserve">In order to achieve our goals of understanding </w:t>
      </w:r>
      <w:r w:rsidR="00AA7D5B" w:rsidRPr="00EC4757">
        <w:t xml:space="preserve">this </w:t>
      </w:r>
      <w:r w:rsidR="006B42A4">
        <w:t>spectrum</w:t>
      </w:r>
      <w:r w:rsidR="003304D0" w:rsidRPr="00EC4757">
        <w:t>, we need to collect information</w:t>
      </w:r>
      <w:r w:rsidR="003304D0">
        <w:t xml:space="preserve"> as described in this OMB supporting statement</w:t>
      </w:r>
      <w:r w:rsidR="00E75A51">
        <w:t xml:space="preserve">.  </w:t>
      </w:r>
      <w:r>
        <w:t>The Occupational Safety and Health Act, Public Law 91-596 (section 20[a</w:t>
      </w:r>
      <w:proofErr w:type="gramStart"/>
      <w:r>
        <w:t>][</w:t>
      </w:r>
      <w:proofErr w:type="gramEnd"/>
      <w:r>
        <w:t xml:space="preserve">1]) authorizes NIOSH to conduct research to advance the </w:t>
      </w:r>
      <w:r w:rsidR="00C61FBC">
        <w:t>health and safety of workers (</w:t>
      </w:r>
      <w:r w:rsidR="000C3D18">
        <w:t xml:space="preserve">see </w:t>
      </w:r>
      <w:r w:rsidR="00C61FBC">
        <w:t>Appendix A).</w:t>
      </w:r>
    </w:p>
    <w:p w:rsidR="00F44FF0" w:rsidRPr="008B69FB" w:rsidRDefault="00DB7257" w:rsidP="003D1D05">
      <w:pPr>
        <w:pStyle w:val="BodyText3"/>
        <w:ind w:firstLine="720"/>
      </w:pPr>
      <w:r w:rsidRPr="00FA2E6F">
        <w:t xml:space="preserve">According to the Flavor </w:t>
      </w:r>
      <w:r w:rsidR="006B42A4">
        <w:t xml:space="preserve">and </w:t>
      </w:r>
      <w:r w:rsidRPr="00FA2E6F">
        <w:t xml:space="preserve">Extract </w:t>
      </w:r>
      <w:r w:rsidR="007B1091" w:rsidRPr="00FA2E6F">
        <w:t>Manufacturers Association</w:t>
      </w:r>
      <w:r w:rsidR="00F44FF0" w:rsidRPr="00FA2E6F">
        <w:t xml:space="preserve">, </w:t>
      </w:r>
      <w:r w:rsidRPr="00FA2E6F">
        <w:t>a total of 6,520 workers are employed</w:t>
      </w:r>
      <w:r w:rsidR="00F44FF0" w:rsidRPr="00FA2E6F">
        <w:t xml:space="preserve"> </w:t>
      </w:r>
      <w:r w:rsidRPr="00FA2E6F">
        <w:t xml:space="preserve">in the flavorings industry or in laboratory activities in membership companies </w:t>
      </w:r>
      <w:r w:rsidR="00F44FF0" w:rsidRPr="00A32405">
        <w:t>(</w:t>
      </w:r>
      <w:proofErr w:type="spellStart"/>
      <w:r w:rsidRPr="00A32405">
        <w:t>Hallagan</w:t>
      </w:r>
      <w:proofErr w:type="spellEnd"/>
      <w:r w:rsidRPr="00A32405">
        <w:t xml:space="preserve"> 2010</w:t>
      </w:r>
      <w:r w:rsidR="00F44FF0" w:rsidRPr="00A32405">
        <w:t>)</w:t>
      </w:r>
      <w:r w:rsidR="00E75A51" w:rsidRPr="00A32405">
        <w:t>.</w:t>
      </w:r>
      <w:r w:rsidR="00E75A51" w:rsidRPr="00FA2E6F">
        <w:t xml:space="preserve">  </w:t>
      </w:r>
      <w:r w:rsidRPr="00FA2E6F">
        <w:t xml:space="preserve">However, </w:t>
      </w:r>
      <w:r w:rsidR="00666999" w:rsidRPr="00FA2E6F">
        <w:t xml:space="preserve">other workers in the food industry can </w:t>
      </w:r>
      <w:r w:rsidR="00531CC8">
        <w:t>develop respiratory problems from exposure to</w:t>
      </w:r>
      <w:r w:rsidR="00666999" w:rsidRPr="00FA2E6F">
        <w:t xml:space="preserve"> flavorings through the production of various products such as </w:t>
      </w:r>
      <w:r w:rsidR="006B42A4">
        <w:t>microwave popcorn</w:t>
      </w:r>
      <w:r w:rsidR="00666999" w:rsidRPr="00FA2E6F">
        <w:t xml:space="preserve"> and potato chips</w:t>
      </w:r>
      <w:r w:rsidR="00531CC8">
        <w:t xml:space="preserve"> </w:t>
      </w:r>
      <w:r w:rsidR="00666999" w:rsidRPr="00FA2E6F">
        <w:t>(</w:t>
      </w:r>
      <w:r w:rsidR="004A6FE9" w:rsidRPr="004A6FE9">
        <w:t>Kreiss 2007</w:t>
      </w:r>
      <w:r w:rsidR="00666999" w:rsidRPr="004A6FE9">
        <w:t>)</w:t>
      </w:r>
      <w:r w:rsidR="00E75A51" w:rsidRPr="004A6FE9">
        <w:t>.</w:t>
      </w:r>
      <w:r w:rsidR="00E75A51" w:rsidRPr="00FA2E6F">
        <w:t xml:space="preserve">  </w:t>
      </w:r>
      <w:r w:rsidR="00E54518" w:rsidRPr="00463BAC">
        <w:t xml:space="preserve">According to the Bureau of Labor Statistics, in 2011, there were over 100,000 workers employed as food </w:t>
      </w:r>
      <w:proofErr w:type="spellStart"/>
      <w:r w:rsidR="00E54518" w:rsidRPr="00463BAC">
        <w:t>batchmakers</w:t>
      </w:r>
      <w:proofErr w:type="spellEnd"/>
      <w:r w:rsidR="00E54518" w:rsidRPr="00463BAC">
        <w:t xml:space="preserve"> in the United States (Bureau of Labor Statistics 2011).</w:t>
      </w:r>
    </w:p>
    <w:p w:rsidR="004472BC" w:rsidRDefault="00C70473" w:rsidP="004472BC">
      <w:pPr>
        <w:ind w:firstLine="720"/>
        <w:rPr>
          <w:bCs/>
          <w:szCs w:val="20"/>
          <w:lang w:eastAsia="ja-JP"/>
        </w:rPr>
      </w:pPr>
      <w:r w:rsidRPr="00C70473">
        <w:rPr>
          <w:bCs/>
          <w:szCs w:val="20"/>
          <w:lang w:eastAsia="ja-JP"/>
        </w:rPr>
        <w:t>Previous studies on flavoring-exposed workers focused on bronchiolitis obliterans, a severe obstructive lung disease involving inflammation and scarring of the small airways called bronchioles for the following reasons</w:t>
      </w:r>
      <w:r w:rsidR="00E75A51">
        <w:rPr>
          <w:bCs/>
          <w:szCs w:val="20"/>
          <w:lang w:eastAsia="ja-JP"/>
        </w:rPr>
        <w:t xml:space="preserve">.  </w:t>
      </w:r>
      <w:r w:rsidRPr="00C70473">
        <w:rPr>
          <w:bCs/>
          <w:szCs w:val="20"/>
          <w:lang w:eastAsia="ja-JP"/>
        </w:rPr>
        <w:t xml:space="preserve">In 2000, NIOSH </w:t>
      </w:r>
      <w:r w:rsidR="002762A3">
        <w:rPr>
          <w:bCs/>
          <w:szCs w:val="20"/>
          <w:lang w:eastAsia="ja-JP"/>
        </w:rPr>
        <w:t>investigated a</w:t>
      </w:r>
      <w:r w:rsidRPr="00C70473">
        <w:rPr>
          <w:bCs/>
          <w:szCs w:val="20"/>
          <w:lang w:eastAsia="ja-JP"/>
        </w:rPr>
        <w:t xml:space="preserve"> report of eight sentinel cases of bronchiolitis obliterans among former workers of a microwave popcorn plant in Missouri by testing the current work force, in partnership with the Missouri Department of Health and Senior Services</w:t>
      </w:r>
      <w:r w:rsidR="00E75A51">
        <w:rPr>
          <w:bCs/>
          <w:szCs w:val="20"/>
          <w:lang w:eastAsia="ja-JP"/>
        </w:rPr>
        <w:t xml:space="preserve">.  </w:t>
      </w:r>
      <w:r w:rsidRPr="00C70473">
        <w:rPr>
          <w:bCs/>
          <w:szCs w:val="20"/>
          <w:lang w:eastAsia="ja-JP"/>
        </w:rPr>
        <w:t>This cross-sectional health hazard evaluation demonstrated that current workers had a 27% prevalence of spirometric abnormalities (CDC 2002; Kreiss et al</w:t>
      </w:r>
      <w:r w:rsidR="007B1091">
        <w:rPr>
          <w:bCs/>
          <w:szCs w:val="20"/>
          <w:lang w:eastAsia="ja-JP"/>
        </w:rPr>
        <w:t xml:space="preserve">. </w:t>
      </w:r>
      <w:r w:rsidRPr="00C70473">
        <w:rPr>
          <w:bCs/>
          <w:szCs w:val="20"/>
          <w:lang w:eastAsia="ja-JP"/>
        </w:rPr>
        <w:t>2002)</w:t>
      </w:r>
      <w:r w:rsidR="00E75A51">
        <w:rPr>
          <w:bCs/>
          <w:szCs w:val="20"/>
          <w:lang w:eastAsia="ja-JP"/>
        </w:rPr>
        <w:t xml:space="preserve">.  </w:t>
      </w:r>
      <w:r w:rsidRPr="00C70473">
        <w:rPr>
          <w:bCs/>
          <w:szCs w:val="20"/>
          <w:lang w:eastAsia="ja-JP"/>
        </w:rPr>
        <w:t>Because the sentinel cases had fixed airways obstruction and a rare lung disease (Akpinar-Elci et al</w:t>
      </w:r>
      <w:r w:rsidR="00653048">
        <w:rPr>
          <w:bCs/>
          <w:szCs w:val="20"/>
          <w:lang w:eastAsia="ja-JP"/>
        </w:rPr>
        <w:t xml:space="preserve">. </w:t>
      </w:r>
      <w:r w:rsidRPr="00C70473">
        <w:rPr>
          <w:bCs/>
          <w:szCs w:val="20"/>
          <w:lang w:eastAsia="ja-JP"/>
        </w:rPr>
        <w:t>2004), we devoted our attention to the occurrence of similar undiagnosed cases with obstructive spirometry, who accounted for 18% of the workforce</w:t>
      </w:r>
      <w:r w:rsidR="00E75A51">
        <w:rPr>
          <w:bCs/>
          <w:szCs w:val="20"/>
          <w:lang w:eastAsia="ja-JP"/>
        </w:rPr>
        <w:t xml:space="preserve">.  </w:t>
      </w:r>
      <w:r w:rsidRPr="00C70473">
        <w:rPr>
          <w:bCs/>
          <w:szCs w:val="20"/>
          <w:lang w:eastAsia="ja-JP"/>
        </w:rPr>
        <w:t xml:space="preserve">In the intensive work that followed in other microwave popcorn plants in which we conducted health hazard evaluations from 2001 to 2003, we found bronchiolitis obliterans cases in four of five popcorn plants, but we did not extensively study the workers with restrictive spirometric abnormalities (Kanwal 2003; Kanwal and Martin 2003; NIOSH 2003, 2004a, </w:t>
      </w:r>
      <w:r w:rsidR="00E54518">
        <w:rPr>
          <w:bCs/>
          <w:szCs w:val="20"/>
          <w:lang w:eastAsia="ja-JP"/>
        </w:rPr>
        <w:t>2004</w:t>
      </w:r>
      <w:r w:rsidRPr="00C70473">
        <w:rPr>
          <w:bCs/>
          <w:szCs w:val="20"/>
          <w:lang w:eastAsia="ja-JP"/>
        </w:rPr>
        <w:t>b)</w:t>
      </w:r>
      <w:r w:rsidR="00E75A51">
        <w:rPr>
          <w:bCs/>
          <w:szCs w:val="20"/>
          <w:lang w:eastAsia="ja-JP"/>
        </w:rPr>
        <w:t xml:space="preserve">.  </w:t>
      </w:r>
      <w:r w:rsidRPr="00C70473">
        <w:rPr>
          <w:bCs/>
          <w:szCs w:val="20"/>
          <w:lang w:eastAsia="ja-JP"/>
        </w:rPr>
        <w:t>Workers at several flavoring manufacturing pla</w:t>
      </w:r>
      <w:r w:rsidR="002762A3">
        <w:rPr>
          <w:bCs/>
          <w:szCs w:val="20"/>
          <w:lang w:eastAsia="ja-JP"/>
        </w:rPr>
        <w:t>nts had</w:t>
      </w:r>
      <w:r w:rsidRPr="00C70473">
        <w:rPr>
          <w:bCs/>
          <w:szCs w:val="20"/>
          <w:lang w:eastAsia="ja-JP"/>
        </w:rPr>
        <w:t xml:space="preserve"> developed severe fixed airways obstruction and other findings consistent with bronchiolitis obliterans (CDC 2007, Kanwal 2008)</w:t>
      </w:r>
      <w:r w:rsidR="00E75A51">
        <w:rPr>
          <w:bCs/>
          <w:szCs w:val="20"/>
          <w:lang w:eastAsia="ja-JP"/>
        </w:rPr>
        <w:t xml:space="preserve">.  </w:t>
      </w:r>
      <w:r w:rsidRPr="00C70473">
        <w:rPr>
          <w:bCs/>
          <w:szCs w:val="20"/>
          <w:lang w:eastAsia="ja-JP"/>
        </w:rPr>
        <w:t xml:space="preserve">Results from the studies on obstructive lung disease in relation to flavorings exposure (specifically to artificial butter flavorings which contain diacetyl), as well as animal exposure studies, have indicated the seriousness of the lung disease that can occur, including placement on </w:t>
      </w:r>
      <w:r w:rsidR="00916CAD">
        <w:rPr>
          <w:bCs/>
          <w:szCs w:val="20"/>
          <w:lang w:eastAsia="ja-JP"/>
        </w:rPr>
        <w:t xml:space="preserve">lung transplant lists and death. </w:t>
      </w:r>
      <w:r w:rsidR="004E7C7D">
        <w:rPr>
          <w:bCs/>
          <w:szCs w:val="20"/>
          <w:lang w:eastAsia="ja-JP"/>
        </w:rPr>
        <w:t xml:space="preserve"> </w:t>
      </w:r>
      <w:r w:rsidR="00916CAD">
        <w:rPr>
          <w:bCs/>
          <w:szCs w:val="20"/>
          <w:lang w:eastAsia="ja-JP"/>
        </w:rPr>
        <w:t>This</w:t>
      </w:r>
      <w:r w:rsidR="006D5B0F">
        <w:rPr>
          <w:bCs/>
          <w:szCs w:val="20"/>
          <w:lang w:eastAsia="ja-JP"/>
        </w:rPr>
        <w:t xml:space="preserve"> </w:t>
      </w:r>
      <w:r w:rsidR="002762A3">
        <w:rPr>
          <w:bCs/>
          <w:szCs w:val="20"/>
          <w:lang w:eastAsia="ja-JP"/>
        </w:rPr>
        <w:t>work has led to a draft NIOSH criteria document for occupational exposure to diacetyl a</w:t>
      </w:r>
      <w:r w:rsidR="003F2243">
        <w:rPr>
          <w:bCs/>
          <w:szCs w:val="20"/>
          <w:lang w:eastAsia="ja-JP"/>
        </w:rPr>
        <w:t>nd 2</w:t>
      </w:r>
      <w:proofErr w:type="gramStart"/>
      <w:r w:rsidR="003F2243">
        <w:rPr>
          <w:bCs/>
          <w:szCs w:val="20"/>
          <w:lang w:eastAsia="ja-JP"/>
        </w:rPr>
        <w:t>,3</w:t>
      </w:r>
      <w:proofErr w:type="gramEnd"/>
      <w:r w:rsidR="003F2243">
        <w:rPr>
          <w:bCs/>
          <w:szCs w:val="20"/>
          <w:lang w:eastAsia="ja-JP"/>
        </w:rPr>
        <w:t>-pentanedione (NIOSH 2011</w:t>
      </w:r>
      <w:r w:rsidR="00761515">
        <w:rPr>
          <w:bCs/>
          <w:szCs w:val="20"/>
          <w:lang w:eastAsia="ja-JP"/>
        </w:rPr>
        <w:t>a</w:t>
      </w:r>
      <w:r w:rsidR="002762A3">
        <w:rPr>
          <w:bCs/>
          <w:szCs w:val="20"/>
          <w:lang w:eastAsia="ja-JP"/>
        </w:rPr>
        <w:t>)</w:t>
      </w:r>
      <w:r w:rsidRPr="00C70473">
        <w:rPr>
          <w:bCs/>
          <w:szCs w:val="20"/>
          <w:lang w:eastAsia="ja-JP"/>
        </w:rPr>
        <w:t>.</w:t>
      </w:r>
      <w:r w:rsidR="004472BC">
        <w:rPr>
          <w:bCs/>
          <w:szCs w:val="20"/>
          <w:lang w:eastAsia="ja-JP"/>
        </w:rPr>
        <w:t xml:space="preserve">  The proposed NIOSH recommended exposure limit for diacetyl is 5 ppb (eight-hour time-weighted average (TWA)) and 9.3 ppb (eight-hour TWA) for 2,3-</w:t>
      </w:r>
      <w:r w:rsidR="004472BC">
        <w:rPr>
          <w:bCs/>
          <w:szCs w:val="20"/>
          <w:lang w:eastAsia="ja-JP"/>
        </w:rPr>
        <w:lastRenderedPageBreak/>
        <w:t>pentanedione.  The corresponding proposed 15-minute short-term exposure limits are 25 ppb for diacetyl and 31 ppb for 2,3-pentanedione.</w:t>
      </w:r>
    </w:p>
    <w:p w:rsidR="00BB374A" w:rsidRPr="004262D6" w:rsidRDefault="00BB374A" w:rsidP="00BB374A">
      <w:pPr>
        <w:tabs>
          <w:tab w:val="left" w:pos="9630"/>
          <w:tab w:val="left" w:pos="9720"/>
        </w:tabs>
        <w:ind w:right="-90" w:firstLine="720"/>
        <w:rPr>
          <w:rFonts w:ascii="Arial" w:hAnsi="Arial" w:cs="Arial"/>
          <w:color w:val="000000"/>
        </w:rPr>
      </w:pPr>
      <w:r>
        <w:rPr>
          <w:bCs/>
          <w:szCs w:val="20"/>
          <w:lang w:eastAsia="ja-JP"/>
        </w:rPr>
        <w:t xml:space="preserve">There may be worker sub-populations more susceptible to flavoring-related disease. </w:t>
      </w:r>
      <w:r w:rsidR="004E7C7D">
        <w:rPr>
          <w:bCs/>
          <w:szCs w:val="20"/>
          <w:lang w:eastAsia="ja-JP"/>
        </w:rPr>
        <w:t xml:space="preserve"> </w:t>
      </w:r>
      <w:r>
        <w:rPr>
          <w:bCs/>
          <w:szCs w:val="20"/>
          <w:lang w:eastAsia="ja-JP"/>
        </w:rPr>
        <w:t>In draft risk assessment modeling performed by NIOSH, a more susceptible sub-population of workers existed who showed lung function deficits at low cumulative e</w:t>
      </w:r>
      <w:r w:rsidR="003F2243">
        <w:rPr>
          <w:bCs/>
          <w:szCs w:val="20"/>
          <w:lang w:eastAsia="ja-JP"/>
        </w:rPr>
        <w:t xml:space="preserve">xposure </w:t>
      </w:r>
      <w:r w:rsidR="006B42A4">
        <w:rPr>
          <w:bCs/>
          <w:szCs w:val="20"/>
          <w:lang w:eastAsia="ja-JP"/>
        </w:rPr>
        <w:t>to</w:t>
      </w:r>
      <w:r w:rsidR="003F2243">
        <w:rPr>
          <w:bCs/>
          <w:szCs w:val="20"/>
          <w:lang w:eastAsia="ja-JP"/>
        </w:rPr>
        <w:t xml:space="preserve"> diacetyl (NIOSH 2011</w:t>
      </w:r>
      <w:r w:rsidR="002121F9">
        <w:rPr>
          <w:bCs/>
          <w:szCs w:val="20"/>
          <w:lang w:eastAsia="ja-JP"/>
        </w:rPr>
        <w:t>a</w:t>
      </w:r>
      <w:r>
        <w:rPr>
          <w:bCs/>
          <w:szCs w:val="20"/>
          <w:lang w:eastAsia="ja-JP"/>
        </w:rPr>
        <w:t xml:space="preserve">). </w:t>
      </w:r>
      <w:r w:rsidR="004E7C7D">
        <w:rPr>
          <w:bCs/>
          <w:szCs w:val="20"/>
          <w:lang w:eastAsia="ja-JP"/>
        </w:rPr>
        <w:t xml:space="preserve"> </w:t>
      </w:r>
      <w:r w:rsidRPr="004262D6">
        <w:t>The metabolism of diacetyl in the body may account for some of the differential susceptibility found in the risk models.  A major enzyme responsible for diacetyl and 2</w:t>
      </w:r>
      <w:proofErr w:type="gramStart"/>
      <w:r w:rsidRPr="004262D6">
        <w:t>,3</w:t>
      </w:r>
      <w:proofErr w:type="gramEnd"/>
      <w:r w:rsidRPr="004262D6">
        <w:t xml:space="preserve">-pentanedione metabolism is </w:t>
      </w:r>
      <w:proofErr w:type="spellStart"/>
      <w:r w:rsidRPr="004262D6">
        <w:t>dicarbonyl</w:t>
      </w:r>
      <w:proofErr w:type="spellEnd"/>
      <w:r w:rsidRPr="004262D6">
        <w:t>/L-</w:t>
      </w:r>
      <w:proofErr w:type="spellStart"/>
      <w:r w:rsidRPr="004262D6">
        <w:t>xylulose</w:t>
      </w:r>
      <w:proofErr w:type="spellEnd"/>
      <w:r w:rsidRPr="004262D6">
        <w:t xml:space="preserve"> </w:t>
      </w:r>
      <w:proofErr w:type="spellStart"/>
      <w:r w:rsidRPr="004262D6">
        <w:t>reductase</w:t>
      </w:r>
      <w:proofErr w:type="spellEnd"/>
      <w:r w:rsidRPr="004262D6">
        <w:t xml:space="preserve"> (DCXR), which is also involved in the </w:t>
      </w:r>
      <w:proofErr w:type="spellStart"/>
      <w:r w:rsidRPr="004262D6">
        <w:t>uronate</w:t>
      </w:r>
      <w:proofErr w:type="spellEnd"/>
      <w:r w:rsidRPr="004262D6">
        <w:t xml:space="preserve"> cycle of glucose metabolism (Nakagawa et al. 2002; Hubbs et al. 2012).  Differences in the DCXR gene, and thus the enzyme, may manifest differences in the ability to metabolize diacetyl.  Work in diacetyl-exposed rats has indicated that the DCXR enzyme can be found in the membranes of the terminal bronchioles (Gardiner et al. 2009).  We know of no work in humans on the distribution of DCXR in lung tissue; however, significant rodent work is ongoing (Hubbs et al. 2002, 2008, 2012; Morgan et al. 2012).  </w:t>
      </w:r>
      <w:r w:rsidRPr="004262D6">
        <w:rPr>
          <w:color w:val="000000"/>
        </w:rPr>
        <w:t>Polymorphisms in genes responsible for protecting cells from or responding to reactive oxygen species, protein damage, or DNA damage may influence susceptibility to diacetyl-induced injury</w:t>
      </w:r>
      <w:r>
        <w:rPr>
          <w:color w:val="000000"/>
        </w:rPr>
        <w:t>.</w:t>
      </w:r>
      <w:r w:rsidRPr="004262D6">
        <w:t xml:space="preserve">  As a class, α-diketones such as diacetyl and 2,3-pentandione cause toxicity through three described mechanisms (Hubbs et al. 2012): modification of essential proteins (Mathews et al. 2010); interactions with DNA (More et al. 2012); and cell injury (</w:t>
      </w:r>
      <w:proofErr w:type="spellStart"/>
      <w:r w:rsidRPr="004262D6">
        <w:t>Amicarelli</w:t>
      </w:r>
      <w:proofErr w:type="spellEnd"/>
      <w:r w:rsidRPr="004262D6">
        <w:t xml:space="preserve"> et al. 2003; </w:t>
      </w:r>
      <w:proofErr w:type="spellStart"/>
      <w:r w:rsidRPr="004262D6">
        <w:t>Brouwers</w:t>
      </w:r>
      <w:proofErr w:type="spellEnd"/>
      <w:r w:rsidRPr="004262D6">
        <w:t xml:space="preserve"> et al. 2010).  </w:t>
      </w:r>
      <w:r w:rsidRPr="004262D6">
        <w:rPr>
          <w:color w:val="000000"/>
        </w:rPr>
        <w:t>There are many potentially important polymorphisms and mutations that could affect the susceptibility of workers to diacetyl-induced airway epithelial damage and the propensity to respond by developing bronchiolitis obliterans.</w:t>
      </w:r>
    </w:p>
    <w:p w:rsidR="002652FC" w:rsidRDefault="00FE2E27" w:rsidP="002652FC">
      <w:pPr>
        <w:ind w:firstLine="720"/>
        <w:rPr>
          <w:bCs/>
          <w:szCs w:val="20"/>
          <w:lang w:eastAsia="ja-JP"/>
        </w:rPr>
      </w:pPr>
      <w:r w:rsidRPr="00EC4757">
        <w:rPr>
          <w:bCs/>
          <w:szCs w:val="20"/>
          <w:lang w:eastAsia="ja-JP"/>
        </w:rPr>
        <w:t>Several factors le</w:t>
      </w:r>
      <w:r w:rsidR="002652FC" w:rsidRPr="00EC4757">
        <w:rPr>
          <w:bCs/>
          <w:szCs w:val="20"/>
          <w:lang w:eastAsia="ja-JP"/>
        </w:rPr>
        <w:t xml:space="preserve">d us to </w:t>
      </w:r>
      <w:r w:rsidR="00BB6B61">
        <w:rPr>
          <w:bCs/>
          <w:szCs w:val="20"/>
          <w:lang w:eastAsia="ja-JP"/>
        </w:rPr>
        <w:t>examine</w:t>
      </w:r>
      <w:r w:rsidR="004E7C7D" w:rsidRPr="00EC4757">
        <w:rPr>
          <w:bCs/>
          <w:szCs w:val="20"/>
          <w:lang w:eastAsia="ja-JP"/>
        </w:rPr>
        <w:t xml:space="preserve"> the spectrum </w:t>
      </w:r>
      <w:r w:rsidR="00BB6B61">
        <w:rPr>
          <w:bCs/>
          <w:szCs w:val="20"/>
          <w:lang w:eastAsia="ja-JP"/>
        </w:rPr>
        <w:t xml:space="preserve">of </w:t>
      </w:r>
      <w:r w:rsidR="004E7C7D" w:rsidRPr="00EC4757">
        <w:rPr>
          <w:bCs/>
          <w:szCs w:val="20"/>
          <w:lang w:eastAsia="ja-JP"/>
        </w:rPr>
        <w:t>lung disease</w:t>
      </w:r>
      <w:r w:rsidR="00BB6B61">
        <w:rPr>
          <w:bCs/>
          <w:szCs w:val="20"/>
          <w:lang w:eastAsia="ja-JP"/>
        </w:rPr>
        <w:t>,</w:t>
      </w:r>
      <w:r w:rsidR="004E7C7D" w:rsidRPr="00EC4757">
        <w:rPr>
          <w:bCs/>
          <w:szCs w:val="20"/>
          <w:lang w:eastAsia="ja-JP"/>
        </w:rPr>
        <w:t xml:space="preserve"> such as </w:t>
      </w:r>
      <w:r w:rsidR="002652FC" w:rsidRPr="00EC4757">
        <w:rPr>
          <w:bCs/>
          <w:szCs w:val="20"/>
          <w:lang w:eastAsia="ja-JP"/>
        </w:rPr>
        <w:t>the occurrence of restrictive spirometric abnormalities</w:t>
      </w:r>
      <w:r w:rsidR="002121F9">
        <w:rPr>
          <w:bCs/>
          <w:szCs w:val="20"/>
          <w:lang w:eastAsia="ja-JP"/>
        </w:rPr>
        <w:t>,</w:t>
      </w:r>
      <w:r w:rsidR="002652FC" w:rsidRPr="00EC4757">
        <w:rPr>
          <w:bCs/>
          <w:szCs w:val="20"/>
          <w:lang w:eastAsia="ja-JP"/>
        </w:rPr>
        <w:t xml:space="preserve"> in flavoring-exposed workers</w:t>
      </w:r>
      <w:r w:rsidR="00E75A51" w:rsidRPr="00EC4757">
        <w:rPr>
          <w:bCs/>
          <w:szCs w:val="20"/>
          <w:lang w:eastAsia="ja-JP"/>
        </w:rPr>
        <w:t>.</w:t>
      </w:r>
      <w:r w:rsidR="00E75A51">
        <w:rPr>
          <w:bCs/>
          <w:szCs w:val="20"/>
          <w:lang w:eastAsia="ja-JP"/>
        </w:rPr>
        <w:t xml:space="preserve">  </w:t>
      </w:r>
      <w:r w:rsidR="002652FC" w:rsidRPr="002652FC">
        <w:rPr>
          <w:bCs/>
          <w:szCs w:val="20"/>
          <w:lang w:eastAsia="ja-JP"/>
        </w:rPr>
        <w:t>First, we have received case reports of severe restrictive lung disease in flavoring-exposed workers with no</w:t>
      </w:r>
      <w:r w:rsidR="00A61751">
        <w:rPr>
          <w:bCs/>
          <w:szCs w:val="20"/>
          <w:lang w:eastAsia="ja-JP"/>
        </w:rPr>
        <w:t xml:space="preserve"> other</w:t>
      </w:r>
      <w:r w:rsidR="002652FC" w:rsidRPr="002652FC">
        <w:rPr>
          <w:bCs/>
          <w:szCs w:val="20"/>
          <w:lang w:eastAsia="ja-JP"/>
        </w:rPr>
        <w:t xml:space="preserve"> evident explanation</w:t>
      </w:r>
      <w:r w:rsidR="00E75A51">
        <w:rPr>
          <w:bCs/>
          <w:szCs w:val="20"/>
          <w:lang w:eastAsia="ja-JP"/>
        </w:rPr>
        <w:t xml:space="preserve">.  </w:t>
      </w:r>
      <w:r w:rsidR="000A4371" w:rsidRPr="007207E3">
        <w:rPr>
          <w:bCs/>
          <w:szCs w:val="20"/>
          <w:lang w:eastAsia="ja-JP"/>
        </w:rPr>
        <w:t xml:space="preserve">Two of the </w:t>
      </w:r>
      <w:r w:rsidR="002652FC" w:rsidRPr="007207E3">
        <w:rPr>
          <w:bCs/>
          <w:szCs w:val="20"/>
          <w:lang w:eastAsia="ja-JP"/>
        </w:rPr>
        <w:t>current worker</w:t>
      </w:r>
      <w:r w:rsidR="000A4371" w:rsidRPr="007207E3">
        <w:rPr>
          <w:bCs/>
          <w:szCs w:val="20"/>
          <w:lang w:eastAsia="ja-JP"/>
        </w:rPr>
        <w:t>s that participated in all medical surveys</w:t>
      </w:r>
      <w:r w:rsidR="002652FC" w:rsidRPr="007207E3">
        <w:rPr>
          <w:bCs/>
          <w:szCs w:val="20"/>
          <w:lang w:eastAsia="ja-JP"/>
        </w:rPr>
        <w:t xml:space="preserve"> developed restrictive lung disease during o</w:t>
      </w:r>
      <w:r w:rsidR="00CB289D" w:rsidRPr="007207E3">
        <w:rPr>
          <w:bCs/>
          <w:szCs w:val="20"/>
          <w:lang w:eastAsia="ja-JP"/>
        </w:rPr>
        <w:t>ur nearly three years of follow-</w:t>
      </w:r>
      <w:r w:rsidR="002652FC" w:rsidRPr="007207E3">
        <w:rPr>
          <w:bCs/>
          <w:szCs w:val="20"/>
          <w:lang w:eastAsia="ja-JP"/>
        </w:rPr>
        <w:t>up in the sentinel plant (NIOSH</w:t>
      </w:r>
      <w:r w:rsidR="00A32405" w:rsidRPr="007207E3">
        <w:rPr>
          <w:bCs/>
          <w:szCs w:val="20"/>
          <w:lang w:eastAsia="ja-JP"/>
        </w:rPr>
        <w:t>, unpublished data</w:t>
      </w:r>
      <w:r w:rsidR="002652FC" w:rsidRPr="007207E3">
        <w:rPr>
          <w:bCs/>
          <w:szCs w:val="20"/>
          <w:lang w:eastAsia="ja-JP"/>
        </w:rPr>
        <w:t>)</w:t>
      </w:r>
      <w:r w:rsidR="00E75A51" w:rsidRPr="007207E3">
        <w:rPr>
          <w:bCs/>
          <w:szCs w:val="20"/>
          <w:lang w:eastAsia="ja-JP"/>
        </w:rPr>
        <w:t>.</w:t>
      </w:r>
      <w:r w:rsidR="00E75A51">
        <w:rPr>
          <w:bCs/>
          <w:szCs w:val="20"/>
          <w:lang w:eastAsia="ja-JP"/>
        </w:rPr>
        <w:t xml:space="preserve">  </w:t>
      </w:r>
      <w:r w:rsidR="002652FC" w:rsidRPr="002652FC">
        <w:rPr>
          <w:bCs/>
          <w:szCs w:val="20"/>
          <w:lang w:eastAsia="ja-JP"/>
        </w:rPr>
        <w:t>Second, the 3.3-fold excess of obstructive disease among current workers at the sentinel microwave popcorn plant in comparison to the U.S</w:t>
      </w:r>
      <w:r>
        <w:rPr>
          <w:bCs/>
          <w:szCs w:val="20"/>
          <w:lang w:eastAsia="ja-JP"/>
        </w:rPr>
        <w:t xml:space="preserve">. </w:t>
      </w:r>
      <w:r w:rsidR="002652FC" w:rsidRPr="002652FC">
        <w:rPr>
          <w:bCs/>
          <w:szCs w:val="20"/>
          <w:lang w:eastAsia="ja-JP"/>
        </w:rPr>
        <w:t>population was based on combining the 11 persons with pure obstruction with 10 persons with mixed obstructive and restrictive spirometric abnormalities</w:t>
      </w:r>
      <w:r w:rsidR="00E75A51">
        <w:rPr>
          <w:bCs/>
          <w:szCs w:val="20"/>
          <w:lang w:eastAsia="ja-JP"/>
        </w:rPr>
        <w:t xml:space="preserve">.  </w:t>
      </w:r>
      <w:r w:rsidR="002652FC" w:rsidRPr="002652FC">
        <w:rPr>
          <w:bCs/>
          <w:szCs w:val="20"/>
          <w:lang w:eastAsia="ja-JP"/>
        </w:rPr>
        <w:t>Had we combined the latter group with the 10 persons with pure spirometric restriction, we would have had an excess of restriction in comparison to the U.S</w:t>
      </w:r>
      <w:r>
        <w:rPr>
          <w:bCs/>
          <w:szCs w:val="20"/>
          <w:lang w:eastAsia="ja-JP"/>
        </w:rPr>
        <w:t xml:space="preserve">. </w:t>
      </w:r>
      <w:r w:rsidR="002652FC" w:rsidRPr="002652FC">
        <w:rPr>
          <w:bCs/>
          <w:szCs w:val="20"/>
          <w:lang w:eastAsia="ja-JP"/>
        </w:rPr>
        <w:t>population</w:t>
      </w:r>
      <w:r w:rsidR="00E75A51">
        <w:rPr>
          <w:bCs/>
          <w:szCs w:val="20"/>
          <w:lang w:eastAsia="ja-JP"/>
        </w:rPr>
        <w:t xml:space="preserve">.  </w:t>
      </w:r>
      <w:r w:rsidR="002652FC" w:rsidRPr="002652FC">
        <w:rPr>
          <w:bCs/>
          <w:szCs w:val="20"/>
          <w:lang w:eastAsia="ja-JP"/>
        </w:rPr>
        <w:t>Of the 10 employees with pure spirometric restriction, seven had a low total lung capacity</w:t>
      </w:r>
      <w:r w:rsidR="00CB289D">
        <w:rPr>
          <w:bCs/>
          <w:szCs w:val="20"/>
          <w:lang w:eastAsia="ja-JP"/>
        </w:rPr>
        <w:t xml:space="preserve"> (TLC)</w:t>
      </w:r>
      <w:r w:rsidR="002652FC" w:rsidRPr="002652FC">
        <w:rPr>
          <w:bCs/>
          <w:szCs w:val="20"/>
          <w:lang w:eastAsia="ja-JP"/>
        </w:rPr>
        <w:t xml:space="preserve"> consistent with the presence of restrictive lung disease (Kreiss et al</w:t>
      </w:r>
      <w:r w:rsidR="006D5B0F">
        <w:rPr>
          <w:bCs/>
          <w:szCs w:val="20"/>
          <w:lang w:eastAsia="ja-JP"/>
        </w:rPr>
        <w:t xml:space="preserve">. </w:t>
      </w:r>
      <w:r w:rsidR="002652FC" w:rsidRPr="002652FC">
        <w:rPr>
          <w:bCs/>
          <w:szCs w:val="20"/>
          <w:lang w:eastAsia="ja-JP"/>
        </w:rPr>
        <w:t>2002)</w:t>
      </w:r>
      <w:r w:rsidR="00E75A51">
        <w:rPr>
          <w:bCs/>
          <w:szCs w:val="20"/>
          <w:lang w:eastAsia="ja-JP"/>
        </w:rPr>
        <w:t xml:space="preserve">.  </w:t>
      </w:r>
      <w:r w:rsidR="002652FC" w:rsidRPr="002652FC">
        <w:rPr>
          <w:bCs/>
          <w:szCs w:val="20"/>
          <w:lang w:eastAsia="ja-JP"/>
        </w:rPr>
        <w:t>Third, we found excesses of restr</w:t>
      </w:r>
      <w:r>
        <w:rPr>
          <w:bCs/>
          <w:szCs w:val="20"/>
          <w:lang w:eastAsia="ja-JP"/>
        </w:rPr>
        <w:t xml:space="preserve">ictive spirometry in a </w:t>
      </w:r>
      <w:r w:rsidR="002652FC" w:rsidRPr="002652FC">
        <w:rPr>
          <w:bCs/>
          <w:szCs w:val="20"/>
          <w:lang w:eastAsia="ja-JP"/>
        </w:rPr>
        <w:t>flavoring manufacturing plant (</w:t>
      </w:r>
      <w:r w:rsidR="00761515">
        <w:rPr>
          <w:bCs/>
          <w:szCs w:val="20"/>
          <w:lang w:eastAsia="ja-JP"/>
        </w:rPr>
        <w:t>NIOSH 2011b</w:t>
      </w:r>
      <w:r>
        <w:rPr>
          <w:bCs/>
          <w:szCs w:val="20"/>
          <w:lang w:eastAsia="ja-JP"/>
        </w:rPr>
        <w:t xml:space="preserve">) and </w:t>
      </w:r>
      <w:r w:rsidR="002652FC" w:rsidRPr="002652FC">
        <w:rPr>
          <w:bCs/>
          <w:szCs w:val="20"/>
          <w:lang w:eastAsia="ja-JP"/>
        </w:rPr>
        <w:t xml:space="preserve">flavoring-exposed food production plant (NIOSH 2009), with </w:t>
      </w:r>
      <w:r w:rsidR="006B42A4">
        <w:rPr>
          <w:bCs/>
          <w:szCs w:val="20"/>
          <w:lang w:eastAsia="ja-JP"/>
        </w:rPr>
        <w:t>little to</w:t>
      </w:r>
      <w:r w:rsidR="002652FC" w:rsidRPr="002652FC">
        <w:rPr>
          <w:bCs/>
          <w:szCs w:val="20"/>
          <w:lang w:eastAsia="ja-JP"/>
        </w:rPr>
        <w:t xml:space="preserve"> no obstructive lung disease in either </w:t>
      </w:r>
      <w:r w:rsidR="006D5B0F">
        <w:rPr>
          <w:bCs/>
          <w:szCs w:val="20"/>
          <w:lang w:eastAsia="ja-JP"/>
        </w:rPr>
        <w:t>study population</w:t>
      </w:r>
      <w:r w:rsidR="00E75A51">
        <w:rPr>
          <w:bCs/>
          <w:szCs w:val="20"/>
          <w:lang w:eastAsia="ja-JP"/>
        </w:rPr>
        <w:t xml:space="preserve">.  </w:t>
      </w:r>
      <w:r w:rsidR="002652FC" w:rsidRPr="002652FC">
        <w:rPr>
          <w:bCs/>
          <w:szCs w:val="20"/>
          <w:lang w:eastAsia="ja-JP"/>
        </w:rPr>
        <w:t>Finally, NIOSH researchers conducting risk assessment analyses with our serial microwave popcorn data from the eight cross-sectional studies at the sentinel microwave popcorn plant have found strong relationships between decreases in forced expiratory volume in one second (FEV1) and cumulative exposure estimates, without differentiating between obstructive and restrictive abnormalities.</w:t>
      </w:r>
    </w:p>
    <w:p w:rsidR="002652FC" w:rsidRDefault="002652FC" w:rsidP="002652FC">
      <w:pPr>
        <w:ind w:firstLine="720"/>
        <w:rPr>
          <w:bCs/>
          <w:szCs w:val="20"/>
          <w:lang w:eastAsia="ja-JP"/>
        </w:rPr>
      </w:pPr>
      <w:r w:rsidRPr="002652FC">
        <w:rPr>
          <w:bCs/>
          <w:szCs w:val="20"/>
          <w:lang w:eastAsia="ja-JP"/>
        </w:rPr>
        <w:t>In microwave popcorn and flavoring workers, the occurrence of restrictive lung disease has not been systematically explored to date</w:t>
      </w:r>
      <w:r w:rsidR="00E75A51">
        <w:rPr>
          <w:bCs/>
          <w:szCs w:val="20"/>
          <w:lang w:eastAsia="ja-JP"/>
        </w:rPr>
        <w:t xml:space="preserve">.  </w:t>
      </w:r>
      <w:r w:rsidRPr="002652FC">
        <w:rPr>
          <w:bCs/>
          <w:szCs w:val="20"/>
          <w:lang w:eastAsia="ja-JP"/>
        </w:rPr>
        <w:t xml:space="preserve">The significance of this epidemiologic work is that past conclusions about the emerging lung disease hazard in flavoring-exposed workers can be corrected and extended, if necessary, to the full range </w:t>
      </w:r>
      <w:r w:rsidRPr="002652FC">
        <w:rPr>
          <w:bCs/>
          <w:szCs w:val="20"/>
          <w:lang w:eastAsia="ja-JP"/>
        </w:rPr>
        <w:lastRenderedPageBreak/>
        <w:t>of conditions that employees, physicians, companies, workers’ compensation insurance agencies, and regulators must take into account in their efforts to prevent the burden of disease associated with flavorings</w:t>
      </w:r>
      <w:r w:rsidR="00E75A51">
        <w:rPr>
          <w:bCs/>
          <w:szCs w:val="20"/>
          <w:lang w:eastAsia="ja-JP"/>
        </w:rPr>
        <w:t xml:space="preserve">.  </w:t>
      </w:r>
      <w:r>
        <w:rPr>
          <w:bCs/>
          <w:szCs w:val="20"/>
          <w:lang w:eastAsia="ja-JP"/>
        </w:rPr>
        <w:t>F</w:t>
      </w:r>
      <w:r w:rsidRPr="002652FC">
        <w:rPr>
          <w:bCs/>
          <w:szCs w:val="20"/>
          <w:lang w:eastAsia="ja-JP"/>
        </w:rPr>
        <w:t xml:space="preserve">urther work is required to explore the nature of the </w:t>
      </w:r>
      <w:r w:rsidR="00A733E3">
        <w:rPr>
          <w:bCs/>
          <w:szCs w:val="20"/>
          <w:lang w:eastAsia="ja-JP"/>
        </w:rPr>
        <w:t xml:space="preserve">spirometric restriction </w:t>
      </w:r>
      <w:r w:rsidRPr="002652FC">
        <w:rPr>
          <w:bCs/>
          <w:szCs w:val="20"/>
          <w:lang w:eastAsia="ja-JP"/>
        </w:rPr>
        <w:t>that we have encountered</w:t>
      </w:r>
      <w:r w:rsidR="00E75A51">
        <w:rPr>
          <w:bCs/>
          <w:szCs w:val="20"/>
          <w:lang w:eastAsia="ja-JP"/>
        </w:rPr>
        <w:t xml:space="preserve">.  </w:t>
      </w:r>
      <w:r w:rsidRPr="006B42A4">
        <w:rPr>
          <w:bCs/>
          <w:szCs w:val="20"/>
          <w:lang w:eastAsia="ja-JP"/>
        </w:rPr>
        <w:t xml:space="preserve">The </w:t>
      </w:r>
      <w:r w:rsidR="00A733E3">
        <w:rPr>
          <w:bCs/>
          <w:szCs w:val="20"/>
          <w:lang w:eastAsia="ja-JP"/>
        </w:rPr>
        <w:t xml:space="preserve">over three-fold </w:t>
      </w:r>
      <w:r w:rsidRPr="002652FC">
        <w:rPr>
          <w:bCs/>
          <w:szCs w:val="20"/>
          <w:lang w:eastAsia="ja-JP"/>
        </w:rPr>
        <w:t xml:space="preserve">prevalence ratio </w:t>
      </w:r>
      <w:r w:rsidR="00CF6619">
        <w:rPr>
          <w:bCs/>
          <w:szCs w:val="20"/>
          <w:lang w:eastAsia="ja-JP"/>
        </w:rPr>
        <w:t xml:space="preserve">for </w:t>
      </w:r>
      <w:r w:rsidR="00953E3C" w:rsidRPr="00953E3C">
        <w:rPr>
          <w:bCs/>
          <w:szCs w:val="20"/>
          <w:lang w:eastAsia="ja-JP"/>
        </w:rPr>
        <w:t xml:space="preserve">spirometric restriction </w:t>
      </w:r>
      <w:r w:rsidR="00CF6619">
        <w:rPr>
          <w:bCs/>
          <w:szCs w:val="20"/>
          <w:lang w:eastAsia="ja-JP"/>
        </w:rPr>
        <w:t xml:space="preserve">among </w:t>
      </w:r>
      <w:r w:rsidRPr="002652FC">
        <w:rPr>
          <w:bCs/>
          <w:szCs w:val="20"/>
          <w:lang w:eastAsia="ja-JP"/>
        </w:rPr>
        <w:t xml:space="preserve">the workers </w:t>
      </w:r>
      <w:r w:rsidR="00CF6619">
        <w:rPr>
          <w:bCs/>
          <w:szCs w:val="20"/>
          <w:lang w:eastAsia="ja-JP"/>
        </w:rPr>
        <w:t xml:space="preserve">in the flavoring plant </w:t>
      </w:r>
      <w:r w:rsidRPr="002652FC">
        <w:rPr>
          <w:bCs/>
          <w:szCs w:val="20"/>
          <w:lang w:eastAsia="ja-JP"/>
        </w:rPr>
        <w:t>compared to the U.S</w:t>
      </w:r>
      <w:r w:rsidR="0094730C">
        <w:rPr>
          <w:bCs/>
          <w:szCs w:val="20"/>
          <w:lang w:eastAsia="ja-JP"/>
        </w:rPr>
        <w:t xml:space="preserve">. </w:t>
      </w:r>
      <w:r w:rsidRPr="002652FC">
        <w:rPr>
          <w:bCs/>
          <w:szCs w:val="20"/>
          <w:lang w:eastAsia="ja-JP"/>
        </w:rPr>
        <w:t xml:space="preserve">population </w:t>
      </w:r>
      <w:r w:rsidR="00953E3C">
        <w:rPr>
          <w:bCs/>
          <w:szCs w:val="20"/>
          <w:lang w:eastAsia="ja-JP"/>
        </w:rPr>
        <w:t>was</w:t>
      </w:r>
      <w:r w:rsidRPr="002652FC">
        <w:rPr>
          <w:bCs/>
          <w:szCs w:val="20"/>
          <w:lang w:eastAsia="ja-JP"/>
        </w:rPr>
        <w:t xml:space="preserve"> adjusted for age, gender, race, and obesity</w:t>
      </w:r>
      <w:r w:rsidR="00E75A51">
        <w:rPr>
          <w:bCs/>
          <w:szCs w:val="20"/>
          <w:lang w:eastAsia="ja-JP"/>
        </w:rPr>
        <w:t xml:space="preserve">.  </w:t>
      </w:r>
      <w:r w:rsidRPr="002652FC">
        <w:rPr>
          <w:bCs/>
          <w:szCs w:val="20"/>
          <w:lang w:eastAsia="ja-JP"/>
        </w:rPr>
        <w:t>Even with a low positive predictive value of 58% for restrictive spirometry indicating low TLC (Aaron et al</w:t>
      </w:r>
      <w:r w:rsidR="00E75A51">
        <w:rPr>
          <w:bCs/>
          <w:szCs w:val="20"/>
          <w:lang w:eastAsia="ja-JP"/>
        </w:rPr>
        <w:t xml:space="preserve">. </w:t>
      </w:r>
      <w:r w:rsidRPr="002652FC">
        <w:rPr>
          <w:bCs/>
          <w:szCs w:val="20"/>
          <w:lang w:eastAsia="ja-JP"/>
        </w:rPr>
        <w:t xml:space="preserve">1999), this prevalence ratio </w:t>
      </w:r>
      <w:r w:rsidR="00953E3C">
        <w:rPr>
          <w:bCs/>
          <w:szCs w:val="20"/>
          <w:lang w:eastAsia="ja-JP"/>
        </w:rPr>
        <w:t>raises the possibility o</w:t>
      </w:r>
      <w:r w:rsidRPr="002652FC">
        <w:rPr>
          <w:bCs/>
          <w:szCs w:val="20"/>
          <w:lang w:eastAsia="ja-JP"/>
        </w:rPr>
        <w:t>f excess lung disease of a restrictive type</w:t>
      </w:r>
      <w:r w:rsidR="00E75A51">
        <w:rPr>
          <w:bCs/>
          <w:szCs w:val="20"/>
          <w:lang w:eastAsia="ja-JP"/>
        </w:rPr>
        <w:t xml:space="preserve">.  </w:t>
      </w:r>
      <w:r w:rsidRPr="002652FC">
        <w:rPr>
          <w:bCs/>
          <w:szCs w:val="20"/>
          <w:lang w:eastAsia="ja-JP"/>
        </w:rPr>
        <w:t xml:space="preserve">For </w:t>
      </w:r>
      <w:r w:rsidR="002A3579">
        <w:rPr>
          <w:bCs/>
          <w:szCs w:val="20"/>
          <w:lang w:eastAsia="ja-JP"/>
        </w:rPr>
        <w:t xml:space="preserve">the various reasons outlined above, </w:t>
      </w:r>
      <w:r w:rsidRPr="002652FC">
        <w:rPr>
          <w:bCs/>
          <w:szCs w:val="20"/>
          <w:lang w:eastAsia="ja-JP"/>
        </w:rPr>
        <w:t xml:space="preserve">we </w:t>
      </w:r>
      <w:r w:rsidR="00E75A51">
        <w:rPr>
          <w:bCs/>
          <w:szCs w:val="20"/>
          <w:lang w:eastAsia="ja-JP"/>
        </w:rPr>
        <w:t>plan to conduct</w:t>
      </w:r>
      <w:r w:rsidRPr="002652FC">
        <w:rPr>
          <w:bCs/>
          <w:szCs w:val="20"/>
          <w:lang w:eastAsia="ja-JP"/>
        </w:rPr>
        <w:t xml:space="preserve"> additi</w:t>
      </w:r>
      <w:r w:rsidR="008169C1">
        <w:rPr>
          <w:bCs/>
          <w:szCs w:val="20"/>
          <w:lang w:eastAsia="ja-JP"/>
        </w:rPr>
        <w:t xml:space="preserve">onal field work to </w:t>
      </w:r>
      <w:r w:rsidR="00BB374A">
        <w:rPr>
          <w:bCs/>
          <w:szCs w:val="20"/>
          <w:lang w:eastAsia="ja-JP"/>
        </w:rPr>
        <w:t xml:space="preserve">investigate the spectrum of lung disease occurring in flavoring and microwave popcorn workers by </w:t>
      </w:r>
      <w:r w:rsidR="00BF58FE">
        <w:rPr>
          <w:bCs/>
          <w:szCs w:val="20"/>
          <w:lang w:eastAsia="ja-JP"/>
        </w:rPr>
        <w:t>collec</w:t>
      </w:r>
      <w:r w:rsidR="00AA7D4F">
        <w:rPr>
          <w:bCs/>
          <w:szCs w:val="20"/>
          <w:lang w:eastAsia="ja-JP"/>
        </w:rPr>
        <w:t xml:space="preserve">ting a medical and </w:t>
      </w:r>
      <w:r w:rsidR="00BF58FE">
        <w:rPr>
          <w:bCs/>
          <w:szCs w:val="20"/>
          <w:lang w:eastAsia="ja-JP"/>
        </w:rPr>
        <w:t xml:space="preserve">work history questionnaire and </w:t>
      </w:r>
      <w:r w:rsidR="00BB374A">
        <w:rPr>
          <w:bCs/>
          <w:szCs w:val="20"/>
          <w:lang w:eastAsia="ja-JP"/>
        </w:rPr>
        <w:t>conducting</w:t>
      </w:r>
      <w:r w:rsidR="00BF58FE">
        <w:rPr>
          <w:bCs/>
          <w:szCs w:val="20"/>
          <w:lang w:eastAsia="ja-JP"/>
        </w:rPr>
        <w:t xml:space="preserve"> clinical tests, including</w:t>
      </w:r>
      <w:r w:rsidR="00BB374A">
        <w:rPr>
          <w:bCs/>
          <w:szCs w:val="20"/>
          <w:lang w:eastAsia="ja-JP"/>
        </w:rPr>
        <w:t xml:space="preserve"> lung function testing</w:t>
      </w:r>
      <w:r w:rsidR="00BA2BE3">
        <w:rPr>
          <w:bCs/>
          <w:szCs w:val="20"/>
          <w:lang w:eastAsia="ja-JP"/>
        </w:rPr>
        <w:t xml:space="preserve"> (spirometry, bronchodilator testing, TLC, and lun</w:t>
      </w:r>
      <w:r w:rsidR="00BB374A">
        <w:rPr>
          <w:bCs/>
          <w:szCs w:val="20"/>
          <w:lang w:eastAsia="ja-JP"/>
        </w:rPr>
        <w:t xml:space="preserve">g diffusion capacity), </w:t>
      </w:r>
      <w:r w:rsidR="00BA2BE3">
        <w:rPr>
          <w:bCs/>
          <w:szCs w:val="20"/>
          <w:lang w:eastAsia="ja-JP"/>
        </w:rPr>
        <w:t xml:space="preserve">high-resolution computed tomography (HRCT) scans, </w:t>
      </w:r>
      <w:r w:rsidR="00186434">
        <w:rPr>
          <w:bCs/>
          <w:szCs w:val="20"/>
          <w:lang w:eastAsia="ja-JP"/>
        </w:rPr>
        <w:t>and blood collection</w:t>
      </w:r>
      <w:r w:rsidR="00BB374A">
        <w:rPr>
          <w:bCs/>
          <w:szCs w:val="20"/>
          <w:lang w:eastAsia="ja-JP"/>
        </w:rPr>
        <w:t xml:space="preserve"> for future genetic and biomarker testing</w:t>
      </w:r>
      <w:r w:rsidR="00186434">
        <w:rPr>
          <w:bCs/>
          <w:szCs w:val="20"/>
          <w:lang w:eastAsia="ja-JP"/>
        </w:rPr>
        <w:t>.</w:t>
      </w:r>
    </w:p>
    <w:p w:rsidR="00E925A4" w:rsidRDefault="00E925A4" w:rsidP="003633EC">
      <w:pPr>
        <w:rPr>
          <w:bCs/>
          <w:szCs w:val="20"/>
          <w:u w:val="single"/>
          <w:lang w:eastAsia="ja-JP"/>
        </w:rPr>
      </w:pPr>
    </w:p>
    <w:p w:rsidR="003633EC" w:rsidRDefault="0095451F" w:rsidP="003633EC">
      <w:pPr>
        <w:rPr>
          <w:bCs/>
          <w:szCs w:val="20"/>
          <w:u w:val="single"/>
          <w:lang w:eastAsia="ja-JP"/>
        </w:rPr>
      </w:pPr>
      <w:r>
        <w:rPr>
          <w:bCs/>
          <w:szCs w:val="20"/>
          <w:u w:val="single"/>
          <w:lang w:eastAsia="ja-JP"/>
        </w:rPr>
        <w:t xml:space="preserve">1.1 </w:t>
      </w:r>
      <w:r w:rsidR="003633EC">
        <w:rPr>
          <w:bCs/>
          <w:szCs w:val="20"/>
          <w:u w:val="single"/>
          <w:lang w:eastAsia="ja-JP"/>
        </w:rPr>
        <w:t>Privacy Impact Assessment</w:t>
      </w:r>
    </w:p>
    <w:p w:rsidR="00965B80" w:rsidRPr="00E925A4" w:rsidRDefault="00965B80" w:rsidP="00E925A4">
      <w:pPr>
        <w:autoSpaceDE w:val="0"/>
        <w:autoSpaceDN w:val="0"/>
        <w:adjustRightInd w:val="0"/>
        <w:rPr>
          <w:bCs/>
          <w:i/>
          <w:u w:val="single"/>
        </w:rPr>
      </w:pPr>
      <w:r w:rsidRPr="00E925A4">
        <w:rPr>
          <w:bCs/>
          <w:i/>
          <w:u w:val="single"/>
        </w:rPr>
        <w:t>Overview of the Data Collection System</w:t>
      </w:r>
    </w:p>
    <w:p w:rsidR="00965B80" w:rsidRDefault="00965B80" w:rsidP="00965B80">
      <w:pPr>
        <w:autoSpaceDE w:val="0"/>
        <w:autoSpaceDN w:val="0"/>
        <w:adjustRightInd w:val="0"/>
        <w:rPr>
          <w:bCs/>
        </w:rPr>
      </w:pPr>
      <w:r>
        <w:rPr>
          <w:bCs/>
        </w:rPr>
        <w:tab/>
      </w:r>
      <w:r w:rsidR="00BF58FE">
        <w:rPr>
          <w:bCs/>
        </w:rPr>
        <w:t xml:space="preserve">Participants will be asked to complete job and medication forms prior to their medical appointment. </w:t>
      </w:r>
      <w:r>
        <w:rPr>
          <w:bCs/>
        </w:rPr>
        <w:t>Data from the questionnaire will be entered directly into a NIOSH computer during a face-to-face interview with the worker.  All data collected for this project will be maintained according to CDC record schedule.</w:t>
      </w:r>
    </w:p>
    <w:p w:rsidR="00965B80" w:rsidRPr="00E925A4" w:rsidRDefault="00965B80" w:rsidP="00965B80">
      <w:pPr>
        <w:autoSpaceDE w:val="0"/>
        <w:autoSpaceDN w:val="0"/>
        <w:adjustRightInd w:val="0"/>
        <w:rPr>
          <w:bCs/>
          <w:u w:val="single"/>
        </w:rPr>
      </w:pPr>
      <w:r w:rsidRPr="00E925A4">
        <w:rPr>
          <w:bCs/>
          <w:i/>
          <w:u w:val="single"/>
        </w:rPr>
        <w:t xml:space="preserve">Items of Information to be </w:t>
      </w:r>
      <w:proofErr w:type="gramStart"/>
      <w:r w:rsidRPr="00E925A4">
        <w:rPr>
          <w:bCs/>
          <w:i/>
          <w:u w:val="single"/>
        </w:rPr>
        <w:t>Collected</w:t>
      </w:r>
      <w:proofErr w:type="gramEnd"/>
    </w:p>
    <w:p w:rsidR="00965B80" w:rsidRDefault="00965B80" w:rsidP="00965B80">
      <w:pPr>
        <w:autoSpaceDE w:val="0"/>
        <w:autoSpaceDN w:val="0"/>
        <w:adjustRightInd w:val="0"/>
        <w:rPr>
          <w:bCs/>
        </w:rPr>
      </w:pPr>
      <w:r>
        <w:rPr>
          <w:bCs/>
        </w:rPr>
        <w:tab/>
      </w:r>
      <w:r w:rsidRPr="004D3359">
        <w:rPr>
          <w:bCs/>
        </w:rPr>
        <w:t>Data collected from participants include:</w:t>
      </w:r>
      <w:r w:rsidR="00BF58FE" w:rsidRPr="004D3359">
        <w:rPr>
          <w:bCs/>
        </w:rPr>
        <w:t xml:space="preserve"> </w:t>
      </w:r>
      <w:r w:rsidRPr="004D3359">
        <w:rPr>
          <w:bCs/>
        </w:rPr>
        <w:t>questionnaire responses</w:t>
      </w:r>
      <w:r w:rsidR="00AA7D4F" w:rsidRPr="004D3359">
        <w:rPr>
          <w:bCs/>
        </w:rPr>
        <w:t>, medication forms, and job history forms.</w:t>
      </w:r>
      <w:r w:rsidRPr="004D3359">
        <w:rPr>
          <w:bCs/>
        </w:rPr>
        <w:t xml:space="preserve"> </w:t>
      </w:r>
      <w:r w:rsidR="00AA7D4F" w:rsidRPr="004D3359">
        <w:rPr>
          <w:bCs/>
        </w:rPr>
        <w:t>L</w:t>
      </w:r>
      <w:r w:rsidRPr="004D3359">
        <w:rPr>
          <w:bCs/>
        </w:rPr>
        <w:t>ung func</w:t>
      </w:r>
      <w:r w:rsidR="00595637" w:rsidRPr="004D3359">
        <w:rPr>
          <w:bCs/>
        </w:rPr>
        <w:t xml:space="preserve">tion test data (spirometry, </w:t>
      </w:r>
      <w:r w:rsidR="007B3AEE" w:rsidRPr="004D3359">
        <w:rPr>
          <w:bCs/>
        </w:rPr>
        <w:t>diffuse lung capacity (</w:t>
      </w:r>
      <w:r w:rsidR="00595637" w:rsidRPr="004D3359">
        <w:rPr>
          <w:bCs/>
        </w:rPr>
        <w:t>DLCO</w:t>
      </w:r>
      <w:r w:rsidR="007B3AEE" w:rsidRPr="004D3359">
        <w:rPr>
          <w:bCs/>
        </w:rPr>
        <w:t>)</w:t>
      </w:r>
      <w:r w:rsidRPr="004D3359">
        <w:rPr>
          <w:bCs/>
        </w:rPr>
        <w:t xml:space="preserve">, TLC, bronchodilator testing), </w:t>
      </w:r>
      <w:r w:rsidR="00CF6619" w:rsidRPr="004D3359">
        <w:rPr>
          <w:bCs/>
        </w:rPr>
        <w:t xml:space="preserve">blood banking, </w:t>
      </w:r>
      <w:r w:rsidRPr="004D3359">
        <w:rPr>
          <w:bCs/>
        </w:rPr>
        <w:t>and HRCT</w:t>
      </w:r>
      <w:r w:rsidR="00AA7D4F" w:rsidRPr="004D3359">
        <w:rPr>
          <w:bCs/>
        </w:rPr>
        <w:t xml:space="preserve"> will be collected as well</w:t>
      </w:r>
      <w:r w:rsidRPr="004D3359">
        <w:rPr>
          <w:bCs/>
        </w:rPr>
        <w:t xml:space="preserve">.  </w:t>
      </w:r>
      <w:r w:rsidR="0012443A" w:rsidRPr="004D3359">
        <w:rPr>
          <w:bCs/>
        </w:rPr>
        <w:t>Individually identifiable information will be collected</w:t>
      </w:r>
      <w:r w:rsidR="0012443A">
        <w:rPr>
          <w:bCs/>
        </w:rPr>
        <w:t xml:space="preserve"> from participants, which includes: name, date of birth, mailing address, </w:t>
      </w:r>
      <w:r w:rsidR="00204016">
        <w:rPr>
          <w:bCs/>
        </w:rPr>
        <w:t xml:space="preserve">and </w:t>
      </w:r>
      <w:r w:rsidR="0012443A">
        <w:rPr>
          <w:bCs/>
        </w:rPr>
        <w:t>phone number, along with a name, address, and phone number of a friend or relative that we can contact if we cannot reach the participant.</w:t>
      </w:r>
    </w:p>
    <w:p w:rsidR="00965B80" w:rsidRDefault="00965B80" w:rsidP="00965B80">
      <w:pPr>
        <w:autoSpaceDE w:val="0"/>
        <w:autoSpaceDN w:val="0"/>
        <w:adjustRightInd w:val="0"/>
        <w:rPr>
          <w:bCs/>
        </w:rPr>
      </w:pPr>
      <w:r>
        <w:rPr>
          <w:bCs/>
        </w:rPr>
        <w:tab/>
        <w:t>Questionnaire data includes:</w:t>
      </w:r>
    </w:p>
    <w:p w:rsidR="00965B80" w:rsidRDefault="00965B80" w:rsidP="00965B80">
      <w:pPr>
        <w:pStyle w:val="ListParagraph"/>
        <w:numPr>
          <w:ilvl w:val="0"/>
          <w:numId w:val="15"/>
        </w:numPr>
        <w:autoSpaceDE w:val="0"/>
        <w:autoSpaceDN w:val="0"/>
        <w:adjustRightInd w:val="0"/>
        <w:rPr>
          <w:bCs/>
          <w:sz w:val="24"/>
          <w:szCs w:val="24"/>
        </w:rPr>
      </w:pPr>
      <w:r>
        <w:rPr>
          <w:bCs/>
          <w:sz w:val="24"/>
          <w:szCs w:val="24"/>
        </w:rPr>
        <w:t>Medical information</w:t>
      </w:r>
    </w:p>
    <w:p w:rsidR="00965B80" w:rsidRDefault="00965B80" w:rsidP="00965B80">
      <w:pPr>
        <w:pStyle w:val="ListParagraph"/>
        <w:numPr>
          <w:ilvl w:val="0"/>
          <w:numId w:val="15"/>
        </w:numPr>
        <w:autoSpaceDE w:val="0"/>
        <w:autoSpaceDN w:val="0"/>
        <w:adjustRightInd w:val="0"/>
        <w:rPr>
          <w:bCs/>
          <w:sz w:val="24"/>
          <w:szCs w:val="24"/>
        </w:rPr>
      </w:pPr>
      <w:r>
        <w:rPr>
          <w:bCs/>
          <w:sz w:val="24"/>
          <w:szCs w:val="24"/>
        </w:rPr>
        <w:t>Employment information</w:t>
      </w:r>
    </w:p>
    <w:p w:rsidR="00965B80" w:rsidRDefault="00965B80" w:rsidP="00965B80">
      <w:pPr>
        <w:pStyle w:val="ListParagraph"/>
        <w:numPr>
          <w:ilvl w:val="0"/>
          <w:numId w:val="15"/>
        </w:numPr>
        <w:autoSpaceDE w:val="0"/>
        <w:autoSpaceDN w:val="0"/>
        <w:adjustRightInd w:val="0"/>
        <w:rPr>
          <w:bCs/>
          <w:sz w:val="24"/>
          <w:szCs w:val="24"/>
        </w:rPr>
      </w:pPr>
      <w:r>
        <w:rPr>
          <w:bCs/>
          <w:sz w:val="24"/>
          <w:szCs w:val="24"/>
        </w:rPr>
        <w:t>Smoking history</w:t>
      </w:r>
    </w:p>
    <w:p w:rsidR="00965B80" w:rsidRDefault="00965B80" w:rsidP="00965B80">
      <w:pPr>
        <w:pStyle w:val="ListParagraph"/>
        <w:numPr>
          <w:ilvl w:val="0"/>
          <w:numId w:val="15"/>
        </w:numPr>
        <w:autoSpaceDE w:val="0"/>
        <w:autoSpaceDN w:val="0"/>
        <w:adjustRightInd w:val="0"/>
        <w:rPr>
          <w:bCs/>
          <w:sz w:val="24"/>
          <w:szCs w:val="24"/>
        </w:rPr>
      </w:pPr>
      <w:r>
        <w:rPr>
          <w:bCs/>
          <w:sz w:val="24"/>
          <w:szCs w:val="24"/>
        </w:rPr>
        <w:t>Demographic data</w:t>
      </w:r>
    </w:p>
    <w:p w:rsidR="007B3AEE" w:rsidRDefault="007B3AEE" w:rsidP="00965B80">
      <w:pPr>
        <w:pStyle w:val="ListParagraph"/>
        <w:numPr>
          <w:ilvl w:val="0"/>
          <w:numId w:val="15"/>
        </w:numPr>
        <w:autoSpaceDE w:val="0"/>
        <w:autoSpaceDN w:val="0"/>
        <w:adjustRightInd w:val="0"/>
        <w:rPr>
          <w:bCs/>
          <w:sz w:val="24"/>
          <w:szCs w:val="24"/>
        </w:rPr>
      </w:pPr>
      <w:r>
        <w:rPr>
          <w:bCs/>
          <w:sz w:val="24"/>
          <w:szCs w:val="24"/>
        </w:rPr>
        <w:t xml:space="preserve">Other exposures </w:t>
      </w:r>
    </w:p>
    <w:p w:rsidR="00965B80" w:rsidRPr="00E925A4" w:rsidRDefault="00965B80" w:rsidP="00965B80">
      <w:pPr>
        <w:autoSpaceDE w:val="0"/>
        <w:autoSpaceDN w:val="0"/>
        <w:adjustRightInd w:val="0"/>
        <w:rPr>
          <w:bCs/>
          <w:u w:val="single"/>
        </w:rPr>
      </w:pPr>
      <w:r w:rsidRPr="00E925A4">
        <w:rPr>
          <w:bCs/>
          <w:i/>
          <w:u w:val="single"/>
        </w:rPr>
        <w:t>Identification of Website</w:t>
      </w:r>
      <w:r w:rsidR="006379F5" w:rsidRPr="00E925A4">
        <w:rPr>
          <w:bCs/>
          <w:i/>
          <w:u w:val="single"/>
        </w:rPr>
        <w:t xml:space="preserve"> Content Directed at Children Under 13 Years of Age</w:t>
      </w:r>
    </w:p>
    <w:p w:rsidR="00E925A4" w:rsidRDefault="006E79E9" w:rsidP="008E05D4">
      <w:pPr>
        <w:autoSpaceDE w:val="0"/>
        <w:autoSpaceDN w:val="0"/>
        <w:adjustRightInd w:val="0"/>
        <w:rPr>
          <w:b/>
        </w:rPr>
      </w:pPr>
      <w:r>
        <w:rPr>
          <w:bCs/>
        </w:rPr>
        <w:t xml:space="preserve">This project does not involve any web-based data collection methods with content directed at children </w:t>
      </w:r>
      <w:proofErr w:type="gramStart"/>
      <w:r>
        <w:rPr>
          <w:bCs/>
        </w:rPr>
        <w:t>under</w:t>
      </w:r>
      <w:proofErr w:type="gramEnd"/>
      <w:r>
        <w:rPr>
          <w:bCs/>
        </w:rPr>
        <w:t xml:space="preserve"> 13 years of age.</w:t>
      </w:r>
      <w:r w:rsidR="003D1D05">
        <w:rPr>
          <w:i/>
          <w:lang w:eastAsia="ja-JP"/>
        </w:rPr>
        <w:br/>
      </w:r>
      <w:bookmarkStart w:id="10" w:name="_Toc161124062"/>
      <w:bookmarkStart w:id="11" w:name="_Toc161124924"/>
      <w:bookmarkStart w:id="12" w:name="_Toc179766417"/>
      <w:bookmarkStart w:id="13" w:name="_Toc179774548"/>
    </w:p>
    <w:p w:rsidR="00EE4D4A" w:rsidRPr="00965B80" w:rsidRDefault="002915E9" w:rsidP="008E05D4">
      <w:pPr>
        <w:autoSpaceDE w:val="0"/>
        <w:autoSpaceDN w:val="0"/>
        <w:adjustRightInd w:val="0"/>
        <w:rPr>
          <w:b/>
        </w:rPr>
      </w:pPr>
      <w:r w:rsidRPr="00965B80">
        <w:rPr>
          <w:b/>
        </w:rPr>
        <w:t>2.</w:t>
      </w:r>
      <w:r w:rsidRPr="00965B80">
        <w:rPr>
          <w:b/>
        </w:rPr>
        <w:tab/>
      </w:r>
      <w:r w:rsidR="00EE4D4A" w:rsidRPr="00965B80">
        <w:rPr>
          <w:b/>
        </w:rPr>
        <w:t>Purpose and Use of Information Collection</w:t>
      </w:r>
      <w:bookmarkEnd w:id="10"/>
      <w:bookmarkEnd w:id="11"/>
      <w:bookmarkEnd w:id="12"/>
      <w:bookmarkEnd w:id="13"/>
    </w:p>
    <w:p w:rsidR="00730E66" w:rsidRDefault="008A6C23" w:rsidP="00095489">
      <w:pPr>
        <w:ind w:firstLine="720"/>
      </w:pPr>
      <w:r>
        <w:t xml:space="preserve">This </w:t>
      </w:r>
      <w:r w:rsidR="008C2D86">
        <w:t>research project is</w:t>
      </w:r>
      <w:r>
        <w:t xml:space="preserve"> </w:t>
      </w:r>
      <w:r w:rsidR="00746DB7">
        <w:t>funded by the</w:t>
      </w:r>
      <w:r>
        <w:t xml:space="preserve"> National Occupational Research Agenda (NORA) to assess </w:t>
      </w:r>
      <w:r w:rsidR="006F59A4">
        <w:t>lung disease</w:t>
      </w:r>
      <w:r w:rsidR="00746DB7">
        <w:t xml:space="preserve"> in relation to </w:t>
      </w:r>
      <w:r w:rsidR="0017271B">
        <w:t>the use of flavoring chemicals in the popcorn and flavoring industries</w:t>
      </w:r>
      <w:r w:rsidR="00E75A51">
        <w:t xml:space="preserve">.  </w:t>
      </w:r>
      <w:r w:rsidR="00E6206A">
        <w:t xml:space="preserve">Data collection will be carried out by NIOSH personnel and will only be performed one time. </w:t>
      </w:r>
      <w:r w:rsidR="004E7C7D">
        <w:t xml:space="preserve"> </w:t>
      </w:r>
      <w:r>
        <w:t xml:space="preserve">This </w:t>
      </w:r>
      <w:r w:rsidR="008C2D86">
        <w:t>study has been funded</w:t>
      </w:r>
      <w:r w:rsidR="0017271B">
        <w:t xml:space="preserve"> </w:t>
      </w:r>
      <w:r w:rsidR="00BC6C29">
        <w:t>for the 2013-</w:t>
      </w:r>
      <w:r w:rsidR="0017271B">
        <w:t>2015</w:t>
      </w:r>
      <w:r>
        <w:t xml:space="preserve"> fiscal year</w:t>
      </w:r>
      <w:r w:rsidR="00BC6C29">
        <w:t>s</w:t>
      </w:r>
      <w:r w:rsidR="001270F4">
        <w:t xml:space="preserve">.  </w:t>
      </w:r>
    </w:p>
    <w:p w:rsidR="00E41871" w:rsidRPr="004C45D2" w:rsidRDefault="00DE1B01" w:rsidP="00095489">
      <w:pPr>
        <w:ind w:firstLine="720"/>
      </w:pPr>
      <w:r>
        <w:t xml:space="preserve">The </w:t>
      </w:r>
      <w:r w:rsidR="00C65B5E">
        <w:t>goal of this project is</w:t>
      </w:r>
      <w:r w:rsidR="00E17984">
        <w:t xml:space="preserve"> to assess the </w:t>
      </w:r>
      <w:r w:rsidR="006F59A4">
        <w:t>spectrum</w:t>
      </w:r>
      <w:r w:rsidR="00E17984">
        <w:t xml:space="preserve"> of lung disease among workers exposed to flavoring chemicals</w:t>
      </w:r>
      <w:r w:rsidR="00E75A51">
        <w:t xml:space="preserve">.  </w:t>
      </w:r>
      <w:r w:rsidR="006F59A4">
        <w:t xml:space="preserve">This will be done by performing additional lung testing </w:t>
      </w:r>
      <w:r w:rsidR="006F59A4">
        <w:lastRenderedPageBreak/>
        <w:t>and chest radiography on participants from a previously investigated flavoring plant and microwave popcorn plant.</w:t>
      </w:r>
      <w:r w:rsidR="00C65B5E">
        <w:t xml:space="preserve">  </w:t>
      </w:r>
      <w:r w:rsidR="000430FC">
        <w:t xml:space="preserve">The primary objective of this study is to </w:t>
      </w:r>
      <w:r w:rsidR="00693339">
        <w:t xml:space="preserve">investigate and </w:t>
      </w:r>
      <w:r w:rsidR="000430FC">
        <w:t xml:space="preserve">characterize </w:t>
      </w:r>
      <w:r w:rsidR="00507780">
        <w:t xml:space="preserve">the </w:t>
      </w:r>
      <w:r w:rsidR="00693339">
        <w:t xml:space="preserve">possible </w:t>
      </w:r>
      <w:r w:rsidR="00507780">
        <w:t xml:space="preserve">presence of </w:t>
      </w:r>
      <w:r w:rsidR="000430FC">
        <w:t xml:space="preserve">emerging lung disease in flavoring and food production industries to enable healthcare providers to identify work-related </w:t>
      </w:r>
      <w:r w:rsidR="00BC6C29">
        <w:t>flavoring-</w:t>
      </w:r>
      <w:r w:rsidR="00BC6C29" w:rsidRPr="004C45D2">
        <w:t>related</w:t>
      </w:r>
      <w:r w:rsidR="00507780" w:rsidRPr="004C45D2">
        <w:t xml:space="preserve"> </w:t>
      </w:r>
      <w:r w:rsidR="000430FC" w:rsidRPr="004C45D2">
        <w:t>lung disease and aid companies in prevention efforts.</w:t>
      </w:r>
      <w:r w:rsidR="00BC6C29" w:rsidRPr="004C45D2">
        <w:t xml:space="preserve"> </w:t>
      </w:r>
      <w:r w:rsidR="00464E35" w:rsidRPr="004C45D2">
        <w:t xml:space="preserve"> </w:t>
      </w:r>
      <w:r w:rsidR="00BC6C29" w:rsidRPr="004C45D2">
        <w:t>A secondar</w:t>
      </w:r>
      <w:r w:rsidR="006F59A4" w:rsidRPr="004C45D2">
        <w:t>y objective is to study the natu</w:t>
      </w:r>
      <w:r w:rsidR="00BC6C29" w:rsidRPr="004C45D2">
        <w:t>ral history of lung disease among the popcorn workers that were studied between 2000 and 2003.</w:t>
      </w:r>
    </w:p>
    <w:p w:rsidR="000430FC" w:rsidRDefault="000430FC" w:rsidP="00095489">
      <w:pPr>
        <w:ind w:firstLine="720"/>
      </w:pPr>
      <w:r w:rsidRPr="004C45D2">
        <w:t>The target audiences of our project include 1) healthcare providers who evaluate and treat flavoring-exposed workers, 2) food production companies, 3) flavoring-exposed workers, 4) trade associations, 5) state health departments, and 6) the Occupational Safety and Health Administration.</w:t>
      </w:r>
    </w:p>
    <w:p w:rsidR="00C65B5E" w:rsidRDefault="000430FC" w:rsidP="000430FC">
      <w:pPr>
        <w:ind w:firstLine="720"/>
        <w:rPr>
          <w:bCs/>
        </w:rPr>
      </w:pPr>
      <w:r>
        <w:t>Outputs of our project</w:t>
      </w:r>
      <w:r w:rsidR="00C65B5E">
        <w:rPr>
          <w:bCs/>
        </w:rPr>
        <w:t xml:space="preserve"> </w:t>
      </w:r>
      <w:r w:rsidR="00507780">
        <w:rPr>
          <w:bCs/>
        </w:rPr>
        <w:t xml:space="preserve">will include </w:t>
      </w:r>
      <w:r w:rsidR="004E7C7D">
        <w:rPr>
          <w:bCs/>
        </w:rPr>
        <w:t xml:space="preserve">one or more </w:t>
      </w:r>
      <w:r w:rsidR="00507780">
        <w:rPr>
          <w:bCs/>
        </w:rPr>
        <w:t>NIOSH</w:t>
      </w:r>
      <w:r w:rsidR="004E7C7D">
        <w:rPr>
          <w:bCs/>
        </w:rPr>
        <w:t xml:space="preserve"> publications.  We </w:t>
      </w:r>
      <w:r w:rsidR="00E968D8">
        <w:rPr>
          <w:bCs/>
        </w:rPr>
        <w:t>will also update the NIOSH flavorings website</w:t>
      </w:r>
      <w:r w:rsidR="004E7C7D">
        <w:rPr>
          <w:bCs/>
        </w:rPr>
        <w:t xml:space="preserve">.  </w:t>
      </w:r>
      <w:r w:rsidR="00E968D8">
        <w:rPr>
          <w:bCs/>
        </w:rPr>
        <w:t>Additionally, we will give presentations at major medical/scientific conferences</w:t>
      </w:r>
      <w:r w:rsidR="004E7C7D">
        <w:rPr>
          <w:bCs/>
        </w:rPr>
        <w:t xml:space="preserve"> and</w:t>
      </w:r>
      <w:r w:rsidR="00E968D8">
        <w:rPr>
          <w:bCs/>
        </w:rPr>
        <w:t xml:space="preserve"> publish our findings in major peer-reviewed journals. </w:t>
      </w:r>
    </w:p>
    <w:p w:rsidR="00EC4757" w:rsidRPr="00EC4757" w:rsidRDefault="00E968D8" w:rsidP="000430FC">
      <w:pPr>
        <w:ind w:firstLine="720"/>
        <w:rPr>
          <w:bCs/>
        </w:rPr>
      </w:pPr>
      <w:r>
        <w:rPr>
          <w:bCs/>
        </w:rPr>
        <w:t xml:space="preserve">The potential impact of this research is the prevention of occupational lung disease in flavoring-exposed workers. </w:t>
      </w:r>
      <w:r w:rsidR="004E7C7D">
        <w:rPr>
          <w:bCs/>
        </w:rPr>
        <w:t xml:space="preserve"> </w:t>
      </w:r>
      <w:r>
        <w:rPr>
          <w:bCs/>
        </w:rPr>
        <w:t xml:space="preserve">With new knowledge about the types of excess lung disease occurring in flavoring </w:t>
      </w:r>
      <w:r w:rsidR="006B42A4">
        <w:rPr>
          <w:bCs/>
        </w:rPr>
        <w:t>workers</w:t>
      </w:r>
      <w:r>
        <w:rPr>
          <w:bCs/>
        </w:rPr>
        <w:t xml:space="preserve">, physicians can identify appropriate secondary prevention measures for affected workers and alert companies of the </w:t>
      </w:r>
      <w:r w:rsidR="006B42A4">
        <w:rPr>
          <w:bCs/>
        </w:rPr>
        <w:t xml:space="preserve">possible </w:t>
      </w:r>
      <w:r>
        <w:rPr>
          <w:bCs/>
        </w:rPr>
        <w:t xml:space="preserve">insufficiency of primary preventive measures undertaken to curtail exposures. </w:t>
      </w:r>
      <w:r w:rsidRPr="00EC4757">
        <w:rPr>
          <w:bCs/>
        </w:rPr>
        <w:t>Government can incorporate this new knowledge about the types of flavoring-</w:t>
      </w:r>
      <w:r w:rsidR="00EC4757" w:rsidRPr="00EC4757">
        <w:rPr>
          <w:bCs/>
        </w:rPr>
        <w:t>related lung</w:t>
      </w:r>
      <w:r w:rsidRPr="00EC4757">
        <w:rPr>
          <w:bCs/>
        </w:rPr>
        <w:t xml:space="preserve"> disease into more robust risk assessments, recommendations and regulatory actions. </w:t>
      </w:r>
    </w:p>
    <w:p w:rsidR="00E968D8" w:rsidRDefault="00947E88" w:rsidP="00EC4757">
      <w:pPr>
        <w:rPr>
          <w:bCs/>
        </w:rPr>
      </w:pPr>
      <w:r w:rsidRPr="00EC4757">
        <w:rPr>
          <w:bCs/>
        </w:rPr>
        <w:t>Only epidemiologic and physiologic research approaches will produce knowledge and consensus that can lead to preventive action.</w:t>
      </w:r>
    </w:p>
    <w:p w:rsidR="00C65B5E" w:rsidRPr="00A23AA2" w:rsidRDefault="0095451F" w:rsidP="00C65B5E">
      <w:pPr>
        <w:autoSpaceDE w:val="0"/>
        <w:autoSpaceDN w:val="0"/>
        <w:adjustRightInd w:val="0"/>
        <w:rPr>
          <w:bCs/>
          <w:u w:val="single"/>
        </w:rPr>
      </w:pPr>
      <w:r>
        <w:rPr>
          <w:bCs/>
          <w:u w:val="single"/>
        </w:rPr>
        <w:t xml:space="preserve">2.1 </w:t>
      </w:r>
      <w:r w:rsidR="00C65B5E" w:rsidRPr="00A23AA2">
        <w:rPr>
          <w:bCs/>
          <w:u w:val="single"/>
        </w:rPr>
        <w:t xml:space="preserve">Privacy Impact Assessment </w:t>
      </w:r>
    </w:p>
    <w:p w:rsidR="00E6206A" w:rsidRDefault="004C193A" w:rsidP="00E6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ab/>
      </w:r>
      <w:r w:rsidR="00947E88">
        <w:rPr>
          <w:bCs/>
        </w:rPr>
        <w:t>Some</w:t>
      </w:r>
      <w:r w:rsidR="00C65B5E">
        <w:rPr>
          <w:bCs/>
        </w:rPr>
        <w:t xml:space="preserve"> identifiable personal information (i.e., names, addresses,</w:t>
      </w:r>
      <w:r w:rsidR="00947E88">
        <w:rPr>
          <w:bCs/>
        </w:rPr>
        <w:t xml:space="preserve"> </w:t>
      </w:r>
      <w:r w:rsidR="00B66D26">
        <w:rPr>
          <w:bCs/>
        </w:rPr>
        <w:t xml:space="preserve">phone numbers, and </w:t>
      </w:r>
      <w:r w:rsidR="00947E88">
        <w:rPr>
          <w:bCs/>
        </w:rPr>
        <w:t>date of birth</w:t>
      </w:r>
      <w:r w:rsidR="00B66D26">
        <w:rPr>
          <w:bCs/>
        </w:rPr>
        <w:t xml:space="preserve">) </w:t>
      </w:r>
      <w:r w:rsidR="00C65B5E">
        <w:rPr>
          <w:bCs/>
        </w:rPr>
        <w:t>will be coll</w:t>
      </w:r>
      <w:r w:rsidR="00947E88">
        <w:rPr>
          <w:bCs/>
        </w:rPr>
        <w:t xml:space="preserve">ected during this study. </w:t>
      </w:r>
      <w:r w:rsidR="00464E35">
        <w:rPr>
          <w:bCs/>
        </w:rPr>
        <w:t xml:space="preserve"> </w:t>
      </w:r>
      <w:r w:rsidR="00947E88">
        <w:rPr>
          <w:bCs/>
        </w:rPr>
        <w:t>In addition</w:t>
      </w:r>
      <w:r w:rsidR="00C65B5E">
        <w:rPr>
          <w:bCs/>
        </w:rPr>
        <w:t>, data such as information on current and past employment a</w:t>
      </w:r>
      <w:r w:rsidR="008E6E6C">
        <w:rPr>
          <w:bCs/>
        </w:rPr>
        <w:t>nd health state will be taken</w:t>
      </w:r>
      <w:r w:rsidR="00C65B5E">
        <w:rPr>
          <w:bCs/>
        </w:rPr>
        <w:t xml:space="preserve">. </w:t>
      </w:r>
      <w:r w:rsidR="00464E35">
        <w:rPr>
          <w:bCs/>
        </w:rPr>
        <w:t xml:space="preserve"> </w:t>
      </w:r>
      <w:r w:rsidR="00E6206A">
        <w:rPr>
          <w:bCs/>
        </w:rPr>
        <w:t>This information could have a</w:t>
      </w:r>
      <w:r w:rsidR="004552C6">
        <w:rPr>
          <w:bCs/>
        </w:rPr>
        <w:t>n</w:t>
      </w:r>
      <w:r w:rsidR="00E6206A">
        <w:rPr>
          <w:bCs/>
        </w:rPr>
        <w:t xml:space="preserve"> effect on the respondent’s privacy if there were a breach of </w:t>
      </w:r>
      <w:r w:rsidR="00E25105">
        <w:rPr>
          <w:bCs/>
        </w:rPr>
        <w:t>security</w:t>
      </w:r>
      <w:r w:rsidR="00E6206A">
        <w:rPr>
          <w:bCs/>
        </w:rPr>
        <w:t xml:space="preserve">. </w:t>
      </w:r>
      <w:r w:rsidR="00464E35">
        <w:rPr>
          <w:bCs/>
        </w:rPr>
        <w:t xml:space="preserve"> </w:t>
      </w:r>
      <w:r w:rsidR="00E6206A">
        <w:t>Therefore</w:t>
      </w:r>
      <w:r w:rsidR="00E6206A" w:rsidRPr="00685B14">
        <w:t xml:space="preserve">, </w:t>
      </w:r>
      <w:r w:rsidR="00E25105" w:rsidRPr="00685B14">
        <w:t>privacy</w:t>
      </w:r>
      <w:r w:rsidR="00E6206A" w:rsidRPr="00685B14">
        <w:t xml:space="preserve"> will be assured by using subject numbers and codes in all analysis work.  </w:t>
      </w:r>
      <w:r w:rsidRPr="00685B14">
        <w:rPr>
          <w:bCs/>
        </w:rPr>
        <w:t>In addition, individual level data from participants will only be available to study personnel</w:t>
      </w:r>
      <w:r w:rsidR="008E6E6C" w:rsidRPr="00685B14">
        <w:rPr>
          <w:bCs/>
        </w:rPr>
        <w:t>.</w:t>
      </w:r>
      <w:r w:rsidRPr="00685B14">
        <w:t xml:space="preserve"> </w:t>
      </w:r>
      <w:r w:rsidR="008E6E6C" w:rsidRPr="00685B14">
        <w:t xml:space="preserve"> </w:t>
      </w:r>
      <w:r w:rsidR="00E6206A" w:rsidRPr="00685B14">
        <w:t xml:space="preserve">Subject files will be kept in a separate file location and any data entered into computer data bases will be entered only by subject number and code.  </w:t>
      </w:r>
      <w:r w:rsidR="00E25105" w:rsidRPr="00685B14">
        <w:t>Privacy</w:t>
      </w:r>
      <w:r w:rsidR="00E6206A" w:rsidRPr="00685B14">
        <w:t xml:space="preserve"> is also enhanced through controlled access to the NIOSH facility and the office where the files will be stored along with the rest of the Field Studies Branch human subject data.  The specific information derived from the participants in this study will be kept </w:t>
      </w:r>
      <w:r w:rsidR="00E25105" w:rsidRPr="00685B14">
        <w:t>secure</w:t>
      </w:r>
      <w:r w:rsidR="00E6206A" w:rsidRPr="00685B14">
        <w:t xml:space="preserve"> and will not be disclosed to others without written consent except as required by law.</w:t>
      </w:r>
      <w:r w:rsidR="00E6206A" w:rsidRPr="009A58B4">
        <w:t xml:space="preserve">  This information will be used for statistical and research purposes in such manner that no individual can be identified.</w:t>
      </w:r>
    </w:p>
    <w:p w:rsidR="00C151E8" w:rsidRPr="009A58B4" w:rsidRDefault="00C151E8" w:rsidP="00E6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E4D4A" w:rsidRDefault="002915E9" w:rsidP="00E25F75">
      <w:pPr>
        <w:pStyle w:val="Level2"/>
      </w:pPr>
      <w:bookmarkStart w:id="14" w:name="_Toc161124063"/>
      <w:bookmarkStart w:id="15" w:name="_Toc161124925"/>
      <w:bookmarkStart w:id="16" w:name="_Toc179766418"/>
      <w:bookmarkStart w:id="17" w:name="_Toc179774549"/>
      <w:r>
        <w:t>3.</w:t>
      </w:r>
      <w:r>
        <w:tab/>
      </w:r>
      <w:r w:rsidR="00EE4D4A">
        <w:t>Use of Improved Information Technology and Burden Reduction</w:t>
      </w:r>
      <w:bookmarkEnd w:id="14"/>
      <w:bookmarkEnd w:id="15"/>
      <w:bookmarkEnd w:id="16"/>
      <w:bookmarkEnd w:id="17"/>
    </w:p>
    <w:p w:rsidR="00A90B75" w:rsidRDefault="00E622FB" w:rsidP="00E46420">
      <w:pPr>
        <w:ind w:firstLine="720"/>
      </w:pPr>
      <w:r w:rsidRPr="00076160">
        <w:t xml:space="preserve">Almost all information </w:t>
      </w:r>
      <w:r w:rsidR="00752299" w:rsidRPr="00076160">
        <w:t xml:space="preserve">(90%) </w:t>
      </w:r>
      <w:r w:rsidRPr="00076160">
        <w:t xml:space="preserve">that is collected will be done </w:t>
      </w:r>
      <w:r w:rsidR="00752299" w:rsidRPr="00076160">
        <w:t xml:space="preserve">so </w:t>
      </w:r>
      <w:r w:rsidRPr="00076160">
        <w:t>electronically.</w:t>
      </w:r>
      <w:r>
        <w:t xml:space="preserve"> </w:t>
      </w:r>
      <w:r w:rsidR="005B1528">
        <w:t>NI</w:t>
      </w:r>
      <w:r w:rsidR="00E46420">
        <w:t>OSH interviewers will use</w:t>
      </w:r>
      <w:r w:rsidR="005B1528">
        <w:t xml:space="preserve"> a </w:t>
      </w:r>
      <w:r w:rsidR="00E46420">
        <w:t xml:space="preserve">computer-based </w:t>
      </w:r>
      <w:r w:rsidR="00052831">
        <w:t xml:space="preserve">questionnaire </w:t>
      </w:r>
      <w:r w:rsidR="00E46420">
        <w:t>to complete all interviews with workers</w:t>
      </w:r>
      <w:r w:rsidR="00E75A51">
        <w:t xml:space="preserve">.  </w:t>
      </w:r>
      <w:r w:rsidR="005B1528">
        <w:t xml:space="preserve">All the interviews will be administered face-to-face, and </w:t>
      </w:r>
      <w:r w:rsidR="009C7449">
        <w:t xml:space="preserve">the </w:t>
      </w:r>
      <w:r w:rsidR="005B1528">
        <w:t>responses will be recorded by the NIOSH interviewer directly</w:t>
      </w:r>
      <w:r w:rsidR="00E46420">
        <w:t xml:space="preserve"> </w:t>
      </w:r>
      <w:r w:rsidR="001270F4">
        <w:t>into a computer (see App</w:t>
      </w:r>
      <w:r w:rsidR="00B66D26">
        <w:t xml:space="preserve">endix </w:t>
      </w:r>
      <w:r w:rsidR="008510E2">
        <w:t>D</w:t>
      </w:r>
      <w:r w:rsidR="005B1528">
        <w:t>)</w:t>
      </w:r>
      <w:r w:rsidR="00E75A51">
        <w:t xml:space="preserve">.  </w:t>
      </w:r>
      <w:r w:rsidR="00076160">
        <w:t xml:space="preserve">This is necessary to ensure the accurate collection of information.  </w:t>
      </w:r>
      <w:r w:rsidR="00E50BD6">
        <w:t>The consent, job history form, and medication form will be sent to the participant in the mail prior to the medical testing, a</w:t>
      </w:r>
      <w:r w:rsidR="00204016">
        <w:t xml:space="preserve">nd we will ask them to complete </w:t>
      </w:r>
      <w:r w:rsidR="00E50BD6">
        <w:t xml:space="preserve">paper </w:t>
      </w:r>
      <w:r w:rsidR="00204016">
        <w:t>copies</w:t>
      </w:r>
      <w:r w:rsidR="00E50BD6">
        <w:t xml:space="preserve"> of the job history and medication </w:t>
      </w:r>
      <w:r w:rsidR="00E50BD6">
        <w:lastRenderedPageBreak/>
        <w:t>forms and return these to us on the day of the medical test.  It would not be feasible to collect these forms electronically, since we do not have the capacity to email these to the participants.</w:t>
      </w:r>
    </w:p>
    <w:p w:rsidR="009D446E" w:rsidRPr="00CA668C" w:rsidRDefault="009D446E" w:rsidP="00CA668C">
      <w:pPr>
        <w:ind w:left="720" w:firstLine="720"/>
      </w:pPr>
    </w:p>
    <w:p w:rsidR="00EE4D4A" w:rsidRDefault="002915E9" w:rsidP="00E25F75">
      <w:pPr>
        <w:pStyle w:val="Level2"/>
      </w:pPr>
      <w:bookmarkStart w:id="18" w:name="_Toc161124064"/>
      <w:bookmarkStart w:id="19" w:name="_Toc161124926"/>
      <w:bookmarkStart w:id="20" w:name="_Toc179766419"/>
      <w:bookmarkStart w:id="21" w:name="_Toc179774550"/>
      <w:r>
        <w:t>4.</w:t>
      </w:r>
      <w:r>
        <w:tab/>
      </w:r>
      <w:r w:rsidR="00EE4D4A">
        <w:t>Efforts to Identify Duplication and Use of Similar Information</w:t>
      </w:r>
      <w:bookmarkEnd w:id="18"/>
      <w:bookmarkEnd w:id="19"/>
      <w:bookmarkEnd w:id="20"/>
      <w:bookmarkEnd w:id="21"/>
    </w:p>
    <w:p w:rsidR="00FE68D6" w:rsidRDefault="00B55A1A" w:rsidP="009F0CC4">
      <w:pPr>
        <w:ind w:firstLine="720"/>
      </w:pPr>
      <w:r>
        <w:t xml:space="preserve">NIOSH is in a unique position to study </w:t>
      </w:r>
      <w:r w:rsidR="00E46420">
        <w:t>popcorn and flavoring manufacturing workers from our previous work through the Health Hazard Evaluation program</w:t>
      </w:r>
      <w:r w:rsidR="00E75A51">
        <w:t xml:space="preserve">.  </w:t>
      </w:r>
    </w:p>
    <w:p w:rsidR="00010CE1" w:rsidRDefault="00B95965" w:rsidP="009F0CC4">
      <w:pPr>
        <w:rPr>
          <w:rFonts w:eastAsiaTheme="minorHAnsi"/>
        </w:rPr>
      </w:pPr>
      <w:r w:rsidRPr="005F0696">
        <w:t xml:space="preserve">To our </w:t>
      </w:r>
      <w:r w:rsidRPr="00EC4757">
        <w:t xml:space="preserve">knowledge, no </w:t>
      </w:r>
      <w:r w:rsidR="00E46420" w:rsidRPr="00EC4757">
        <w:t xml:space="preserve">medical survey </w:t>
      </w:r>
      <w:r w:rsidRPr="00EC4757">
        <w:t>this extensive has been done to explore</w:t>
      </w:r>
      <w:r w:rsidR="00EC4757" w:rsidRPr="00EC4757">
        <w:t xml:space="preserve"> the spectrum of lung </w:t>
      </w:r>
      <w:r w:rsidR="00BB6B61">
        <w:t>disease,</w:t>
      </w:r>
      <w:r w:rsidRPr="00EC4757">
        <w:t xml:space="preserve"> </w:t>
      </w:r>
      <w:r w:rsidR="00EC4757" w:rsidRPr="00EC4757">
        <w:t xml:space="preserve">including </w:t>
      </w:r>
      <w:r w:rsidRPr="00EC4757">
        <w:t>restrictive abnormalities</w:t>
      </w:r>
      <w:r w:rsidR="00BB6B61">
        <w:t>,</w:t>
      </w:r>
      <w:r w:rsidR="00E46420" w:rsidRPr="00EC4757">
        <w:t xml:space="preserve"> among this workforce</w:t>
      </w:r>
      <w:r w:rsidR="00E75A51" w:rsidRPr="00EC4757">
        <w:t>.</w:t>
      </w:r>
      <w:r w:rsidRPr="00EC4757">
        <w:t xml:space="preserve"> </w:t>
      </w:r>
      <w:r w:rsidR="009F0CC4">
        <w:rPr>
          <w:rFonts w:asciiTheme="minorHAnsi" w:eastAsiaTheme="minorHAnsi" w:hAnsiTheme="minorHAnsi" w:cstheme="minorBidi"/>
          <w:sz w:val="22"/>
          <w:szCs w:val="22"/>
        </w:rPr>
        <w:t xml:space="preserve"> </w:t>
      </w:r>
      <w:r w:rsidR="009F0CC4" w:rsidRPr="004D3359">
        <w:rPr>
          <w:rFonts w:eastAsiaTheme="minorHAnsi"/>
          <w:sz w:val="22"/>
          <w:szCs w:val="22"/>
        </w:rPr>
        <w:t>We</w:t>
      </w:r>
      <w:r w:rsidR="009F0CC4">
        <w:rPr>
          <w:rFonts w:asciiTheme="minorHAnsi" w:eastAsiaTheme="minorHAnsi" w:hAnsiTheme="minorHAnsi" w:cstheme="minorBidi"/>
          <w:sz w:val="22"/>
          <w:szCs w:val="22"/>
        </w:rPr>
        <w:t xml:space="preserve"> </w:t>
      </w:r>
      <w:r w:rsidR="009F0CC4" w:rsidRPr="009F0CC4">
        <w:rPr>
          <w:rFonts w:eastAsiaTheme="minorHAnsi"/>
        </w:rPr>
        <w:t xml:space="preserve">have analyzed available spirometry data which documents </w:t>
      </w:r>
      <w:r w:rsidR="00860AC4">
        <w:rPr>
          <w:rFonts w:eastAsiaTheme="minorHAnsi"/>
        </w:rPr>
        <w:t>over a three</w:t>
      </w:r>
      <w:r w:rsidR="009F0CC4" w:rsidRPr="009F0CC4">
        <w:rPr>
          <w:rFonts w:eastAsiaTheme="minorHAnsi"/>
        </w:rPr>
        <w:t>-fold excess of spirometric restriction among production workers in the flavoring plant and exposure-related excessive declines in spirometry during employment</w:t>
      </w:r>
      <w:r w:rsidR="001051FF">
        <w:rPr>
          <w:rFonts w:eastAsiaTheme="minorHAnsi"/>
        </w:rPr>
        <w:t xml:space="preserve"> </w:t>
      </w:r>
      <w:r w:rsidR="007C49FA">
        <w:rPr>
          <w:rFonts w:eastAsiaTheme="minorHAnsi"/>
        </w:rPr>
        <w:t>(</w:t>
      </w:r>
      <w:r w:rsidR="001051FF">
        <w:rPr>
          <w:rFonts w:eastAsiaTheme="minorHAnsi"/>
        </w:rPr>
        <w:t>NIOSH 2011</w:t>
      </w:r>
      <w:r w:rsidR="0029050B">
        <w:rPr>
          <w:rFonts w:eastAsiaTheme="minorHAnsi"/>
        </w:rPr>
        <w:t>b</w:t>
      </w:r>
      <w:r w:rsidR="007C49FA">
        <w:rPr>
          <w:rFonts w:eastAsiaTheme="minorHAnsi"/>
        </w:rPr>
        <w:t>)</w:t>
      </w:r>
      <w:r w:rsidR="009F0CC4" w:rsidRPr="009F0CC4">
        <w:rPr>
          <w:rFonts w:eastAsiaTheme="minorHAnsi"/>
        </w:rPr>
        <w:t xml:space="preserve">.  </w:t>
      </w:r>
      <w:r w:rsidR="00A56248" w:rsidRPr="009F0CC4">
        <w:rPr>
          <w:rFonts w:eastAsiaTheme="minorHAnsi"/>
        </w:rPr>
        <w:t>To our knowledge</w:t>
      </w:r>
      <w:r w:rsidR="00A56248">
        <w:rPr>
          <w:rFonts w:eastAsiaTheme="minorHAnsi"/>
        </w:rPr>
        <w:t>,</w:t>
      </w:r>
      <w:r w:rsidR="00A56248" w:rsidRPr="009F0CC4">
        <w:rPr>
          <w:rFonts w:eastAsiaTheme="minorHAnsi"/>
        </w:rPr>
        <w:t xml:space="preserve"> </w:t>
      </w:r>
      <w:r w:rsidR="00A56248">
        <w:rPr>
          <w:rFonts w:eastAsiaTheme="minorHAnsi"/>
        </w:rPr>
        <w:t>n</w:t>
      </w:r>
      <w:r w:rsidR="009F0CC4" w:rsidRPr="009F0CC4">
        <w:rPr>
          <w:rFonts w:eastAsiaTheme="minorHAnsi"/>
        </w:rPr>
        <w:t xml:space="preserve">o medical questionnaire survey or </w:t>
      </w:r>
      <w:r w:rsidR="00A56248">
        <w:rPr>
          <w:rFonts w:eastAsiaTheme="minorHAnsi"/>
        </w:rPr>
        <w:t xml:space="preserve">additional medical tests exist </w:t>
      </w:r>
      <w:r w:rsidR="009F0CC4" w:rsidRPr="009F0CC4">
        <w:rPr>
          <w:rFonts w:eastAsiaTheme="minorHAnsi"/>
        </w:rPr>
        <w:t xml:space="preserve">with which to further document the existence of or nature of lung disease that may explain these spirometric </w:t>
      </w:r>
      <w:r w:rsidR="009F0CC4" w:rsidRPr="007D7B0B">
        <w:rPr>
          <w:rFonts w:eastAsiaTheme="minorHAnsi"/>
        </w:rPr>
        <w:t xml:space="preserve">abnormalities.  </w:t>
      </w:r>
    </w:p>
    <w:p w:rsidR="00010CE1" w:rsidRPr="007C49FA" w:rsidRDefault="00010CE1" w:rsidP="007C49FA">
      <w:pPr>
        <w:ind w:firstLine="720"/>
        <w:rPr>
          <w:rFonts w:eastAsiaTheme="minorHAnsi"/>
        </w:rPr>
      </w:pPr>
      <w:r w:rsidRPr="007C49FA">
        <w:t>Findings from NIOSH’s prior work showed that one of the eight sentinel cases</w:t>
      </w:r>
      <w:r w:rsidR="00387449" w:rsidRPr="007C49FA">
        <w:t xml:space="preserve"> in the </w:t>
      </w:r>
      <w:r w:rsidR="005E48FB">
        <w:t>micro</w:t>
      </w:r>
      <w:r w:rsidRPr="007C49FA">
        <w:t xml:space="preserve">wave popcorn plant had restrictive spirometry, and some current workers developed restrictive lung disease during our nearly three years of follow up surveys in the sentinel plant </w:t>
      </w:r>
      <w:r w:rsidR="007C49FA">
        <w:t>(</w:t>
      </w:r>
      <w:r w:rsidRPr="007C49FA">
        <w:rPr>
          <w:noProof/>
        </w:rPr>
        <w:t>NIOSH 2006</w:t>
      </w:r>
      <w:r w:rsidR="007C49FA">
        <w:rPr>
          <w:noProof/>
        </w:rPr>
        <w:t>)</w:t>
      </w:r>
      <w:r w:rsidRPr="007C49FA">
        <w:t>.  Furthermore</w:t>
      </w:r>
      <w:r w:rsidR="005E48FB">
        <w:t>,</w:t>
      </w:r>
      <w:r w:rsidRPr="007C49FA">
        <w:t xml:space="preserve"> had we combined the 10 persons with pure restriction with the 10 persons with mixed obstructive and restrictive spirometric abnormalities</w:t>
      </w:r>
      <w:r w:rsidR="005E48FB">
        <w:t>,</w:t>
      </w:r>
      <w:r w:rsidRPr="007C49FA">
        <w:t xml:space="preserve"> we would have had an excess of</w:t>
      </w:r>
      <w:r w:rsidR="009558A3" w:rsidRPr="007C49FA">
        <w:t xml:space="preserve"> spirometric</w:t>
      </w:r>
      <w:r w:rsidRPr="007C49FA">
        <w:t xml:space="preserve"> restriction in comparison to the U.S. population.  Of the 10 employees with pure spirometric restriction, seven had a low total lung capacity consistent with the presence of restrictive lung disease </w:t>
      </w:r>
      <w:r w:rsidR="007C49FA">
        <w:t>(</w:t>
      </w:r>
      <w:r w:rsidRPr="007C49FA">
        <w:t>Kreiss et al. 2002</w:t>
      </w:r>
      <w:r w:rsidR="007C49FA">
        <w:t>)</w:t>
      </w:r>
      <w:r w:rsidRPr="007C49FA">
        <w:t>.</w:t>
      </w:r>
    </w:p>
    <w:p w:rsidR="009F0CC4" w:rsidRPr="0018019C" w:rsidRDefault="009F0CC4" w:rsidP="009E46FE">
      <w:pPr>
        <w:ind w:firstLine="720"/>
        <w:rPr>
          <w:b/>
        </w:rPr>
      </w:pPr>
      <w:r w:rsidRPr="007D7B0B">
        <w:rPr>
          <w:rFonts w:eastAsiaTheme="minorHAnsi"/>
        </w:rPr>
        <w:t xml:space="preserve">Our study </w:t>
      </w:r>
      <w:r w:rsidR="000071DF">
        <w:rPr>
          <w:rFonts w:eastAsiaTheme="minorHAnsi"/>
        </w:rPr>
        <w:t xml:space="preserve">uses </w:t>
      </w:r>
      <w:r w:rsidR="009558A3">
        <w:rPr>
          <w:rFonts w:eastAsiaTheme="minorHAnsi"/>
        </w:rPr>
        <w:t>spirome</w:t>
      </w:r>
      <w:r w:rsidR="000071DF">
        <w:rPr>
          <w:rFonts w:eastAsiaTheme="minorHAnsi"/>
        </w:rPr>
        <w:t>try in addition to other medical tests to</w:t>
      </w:r>
      <w:r w:rsidR="00860AC4">
        <w:rPr>
          <w:rFonts w:eastAsiaTheme="minorHAnsi"/>
        </w:rPr>
        <w:t xml:space="preserve"> further </w:t>
      </w:r>
      <w:r w:rsidR="009558A3">
        <w:rPr>
          <w:rFonts w:eastAsiaTheme="minorHAnsi"/>
        </w:rPr>
        <w:t>investigate</w:t>
      </w:r>
      <w:r w:rsidR="00860AC4">
        <w:rPr>
          <w:rFonts w:eastAsiaTheme="minorHAnsi"/>
        </w:rPr>
        <w:t xml:space="preserve"> the presence </w:t>
      </w:r>
      <w:r w:rsidRPr="007D7B0B">
        <w:rPr>
          <w:rFonts w:eastAsiaTheme="minorHAnsi"/>
        </w:rPr>
        <w:t xml:space="preserve">of lung disease </w:t>
      </w:r>
      <w:r w:rsidR="000071DF">
        <w:rPr>
          <w:rFonts w:eastAsiaTheme="minorHAnsi"/>
        </w:rPr>
        <w:t>in these two groups.</w:t>
      </w:r>
      <w:r w:rsidR="009558A3">
        <w:t xml:space="preserve"> </w:t>
      </w:r>
      <w:r w:rsidR="00BA199C" w:rsidRPr="00A56248">
        <w:rPr>
          <w:rFonts w:eastAsiaTheme="minorHAnsi"/>
        </w:rPr>
        <w:t>These efforts are motivated, in part, by the evolving literature on constrictive bronchiolitis, including the spirometric findings in U.S. soldiers in Iraq and Afghanistan with biopsy-documented constrictive bronchiolitis.</w:t>
      </w:r>
      <w:r w:rsidR="00BA199C">
        <w:rPr>
          <w:rFonts w:eastAsiaTheme="minorHAnsi"/>
        </w:rPr>
        <w:t xml:space="preserve">  </w:t>
      </w:r>
      <w:r w:rsidR="00BA199C" w:rsidRPr="00A56248">
        <w:rPr>
          <w:rFonts w:eastAsiaTheme="minorHAnsi"/>
        </w:rPr>
        <w:t>In the case series findings, spirometric abnormalities were rare and included both restrictive</w:t>
      </w:r>
      <w:r w:rsidR="00BA199C" w:rsidRPr="007D7B0B">
        <w:rPr>
          <w:rFonts w:eastAsiaTheme="minorHAnsi"/>
        </w:rPr>
        <w:t xml:space="preserve"> and obstructive abnormalities </w:t>
      </w:r>
      <w:r w:rsidR="00BA199C">
        <w:rPr>
          <w:rFonts w:eastAsiaTheme="minorHAnsi"/>
        </w:rPr>
        <w:t>(</w:t>
      </w:r>
      <w:r w:rsidR="00BA199C" w:rsidRPr="00A56248">
        <w:rPr>
          <w:rFonts w:eastAsiaTheme="minorHAnsi"/>
        </w:rPr>
        <w:t>King</w:t>
      </w:r>
      <w:r w:rsidR="00BA199C">
        <w:rPr>
          <w:rFonts w:eastAsiaTheme="minorHAnsi"/>
        </w:rPr>
        <w:t xml:space="preserve"> et al. 2011)</w:t>
      </w:r>
      <w:r w:rsidR="00BA199C" w:rsidRPr="00A56248">
        <w:rPr>
          <w:rFonts w:eastAsiaTheme="minorHAnsi"/>
        </w:rPr>
        <w:t>.</w:t>
      </w:r>
    </w:p>
    <w:p w:rsidR="00E925A4" w:rsidRDefault="00E925A4" w:rsidP="00E25F75">
      <w:pPr>
        <w:pStyle w:val="Level2"/>
      </w:pPr>
      <w:bookmarkStart w:id="22" w:name="_Toc161124065"/>
      <w:bookmarkStart w:id="23" w:name="_Toc161124927"/>
      <w:bookmarkStart w:id="24" w:name="_Toc179766420"/>
      <w:bookmarkStart w:id="25" w:name="_Toc179774551"/>
    </w:p>
    <w:p w:rsidR="00EE4D4A" w:rsidRPr="0018019C" w:rsidRDefault="002915E9" w:rsidP="00E25F75">
      <w:pPr>
        <w:pStyle w:val="Level2"/>
      </w:pPr>
      <w:r w:rsidRPr="0018019C">
        <w:t>5.</w:t>
      </w:r>
      <w:r w:rsidRPr="0018019C">
        <w:tab/>
      </w:r>
      <w:r w:rsidR="00EE4D4A" w:rsidRPr="0018019C">
        <w:t>Impact on Small Businesses or Other Small Entities</w:t>
      </w:r>
      <w:bookmarkEnd w:id="22"/>
      <w:bookmarkEnd w:id="23"/>
      <w:bookmarkEnd w:id="24"/>
      <w:bookmarkEnd w:id="25"/>
    </w:p>
    <w:p w:rsidR="00EE4D4A" w:rsidRDefault="00EE4D4A" w:rsidP="00752B50">
      <w:pPr>
        <w:ind w:firstLine="720"/>
      </w:pPr>
      <w:r>
        <w:t xml:space="preserve">No small businesses will be involved in </w:t>
      </w:r>
      <w:r w:rsidR="000F4CFE">
        <w:t>this data collection</w:t>
      </w:r>
      <w:r>
        <w:t>.</w:t>
      </w:r>
    </w:p>
    <w:p w:rsidR="00EE4D4A" w:rsidRDefault="00EE4D4A" w:rsidP="00EC75AC"/>
    <w:p w:rsidR="00EE4D4A" w:rsidRPr="00FE2319" w:rsidRDefault="002915E9" w:rsidP="00E25F75">
      <w:pPr>
        <w:pStyle w:val="Level2"/>
      </w:pPr>
      <w:bookmarkStart w:id="26" w:name="_Toc161124066"/>
      <w:bookmarkStart w:id="27" w:name="_Toc161124928"/>
      <w:bookmarkStart w:id="28" w:name="_Toc179766421"/>
      <w:bookmarkStart w:id="29" w:name="_Toc179774552"/>
      <w:r w:rsidRPr="00FE2319">
        <w:t>6.</w:t>
      </w:r>
      <w:r w:rsidRPr="00FE2319">
        <w:tab/>
      </w:r>
      <w:r w:rsidR="00EE4D4A" w:rsidRPr="00FE2319">
        <w:t>Consequences of Collecting the Information Less Frequently</w:t>
      </w:r>
      <w:bookmarkEnd w:id="26"/>
      <w:bookmarkEnd w:id="27"/>
      <w:bookmarkEnd w:id="28"/>
      <w:bookmarkEnd w:id="29"/>
    </w:p>
    <w:p w:rsidR="004579E5" w:rsidRPr="004579E5" w:rsidRDefault="004579E5" w:rsidP="004579E5">
      <w:pPr>
        <w:ind w:firstLine="720"/>
        <w:outlineLvl w:val="2"/>
      </w:pPr>
      <w:bookmarkStart w:id="30" w:name="_Toc161124067"/>
      <w:bookmarkStart w:id="31" w:name="_Toc161124929"/>
      <w:r w:rsidRPr="00FE2319">
        <w:t>The activities involve a one-time collection of data.  There ar</w:t>
      </w:r>
      <w:r w:rsidR="000F4CFE" w:rsidRPr="00FE2319">
        <w:t>e no legal obstacles to reduce</w:t>
      </w:r>
      <w:r w:rsidRPr="00FE2319">
        <w:t xml:space="preserve"> the burden.</w:t>
      </w:r>
    </w:p>
    <w:p w:rsidR="00DF3ACA" w:rsidRDefault="00DF3ACA" w:rsidP="008A0509">
      <w:pPr>
        <w:outlineLvl w:val="2"/>
        <w:rPr>
          <w:b/>
        </w:rPr>
      </w:pPr>
    </w:p>
    <w:p w:rsidR="00EE4D4A" w:rsidRDefault="002915E9" w:rsidP="00E25F75">
      <w:pPr>
        <w:pStyle w:val="Level2"/>
      </w:pPr>
      <w:bookmarkStart w:id="32" w:name="_Toc179766422"/>
      <w:bookmarkStart w:id="33" w:name="_Toc179774553"/>
      <w:r>
        <w:t>7.</w:t>
      </w:r>
      <w:r>
        <w:tab/>
      </w:r>
      <w:r w:rsidR="00EE4D4A">
        <w:t>Special Circumstances Relating to the Guidelines of 5 CFR 1320.5</w:t>
      </w:r>
      <w:bookmarkEnd w:id="30"/>
      <w:bookmarkEnd w:id="31"/>
      <w:bookmarkEnd w:id="32"/>
      <w:bookmarkEnd w:id="33"/>
    </w:p>
    <w:p w:rsidR="00EE4D4A" w:rsidRDefault="000F4CFE" w:rsidP="00752B50">
      <w:pPr>
        <w:ind w:left="1080" w:hanging="360"/>
      </w:pPr>
      <w:r>
        <w:t>This request fully complies with the regulation 5 CFR 1320.5.</w:t>
      </w:r>
    </w:p>
    <w:p w:rsidR="00AE5EA5" w:rsidRDefault="00AE5EA5" w:rsidP="00AE5EA5"/>
    <w:p w:rsidR="001B3C56" w:rsidRDefault="002915E9" w:rsidP="00C05226">
      <w:pPr>
        <w:pStyle w:val="Level2"/>
      </w:pPr>
      <w:bookmarkStart w:id="34" w:name="_Toc161124930"/>
      <w:bookmarkStart w:id="35" w:name="_Toc179774554"/>
      <w:r>
        <w:t>8.</w:t>
      </w:r>
      <w:r>
        <w:tab/>
      </w:r>
      <w:r w:rsidR="00AE5EA5" w:rsidRPr="00C05226">
        <w:t>Comments in Response to the Federal Registe</w:t>
      </w:r>
      <w:r w:rsidR="005D1325" w:rsidRPr="00C05226">
        <w:t xml:space="preserve">r Notice and Efforts to Consult </w:t>
      </w:r>
      <w:r w:rsidR="00AE5EA5" w:rsidRPr="00C05226">
        <w:t>Outside the Agency</w:t>
      </w:r>
      <w:bookmarkEnd w:id="34"/>
      <w:bookmarkEnd w:id="35"/>
    </w:p>
    <w:p w:rsidR="004C1C04" w:rsidRDefault="00A61751" w:rsidP="00A61751">
      <w:pPr>
        <w:outlineLvl w:val="2"/>
      </w:pPr>
      <w:r>
        <w:t>A.</w:t>
      </w:r>
      <w:r>
        <w:tab/>
      </w:r>
      <w:r w:rsidR="001B3C56">
        <w:t>Attached is a copy of the Federal Register Notice (</w:t>
      </w:r>
      <w:r w:rsidR="00C50F37">
        <w:t xml:space="preserve">see </w:t>
      </w:r>
      <w:r w:rsidR="001B3C56" w:rsidRPr="004C5B2B">
        <w:t>A</w:t>
      </w:r>
      <w:r w:rsidR="008208B0">
        <w:t>ppendix</w:t>
      </w:r>
      <w:r w:rsidR="001B3C56" w:rsidRPr="004C5B2B">
        <w:t xml:space="preserve"> </w:t>
      </w:r>
      <w:r w:rsidR="00860C44">
        <w:t>B</w:t>
      </w:r>
      <w:r w:rsidR="001B3C56" w:rsidRPr="004C5B2B">
        <w:t>)</w:t>
      </w:r>
      <w:r w:rsidR="001B3C56">
        <w:rPr>
          <w:color w:val="FF0000"/>
        </w:rPr>
        <w:t xml:space="preserve"> </w:t>
      </w:r>
      <w:r w:rsidR="001B3C56">
        <w:t>which contains the request for comments on the proposed collection of information</w:t>
      </w:r>
      <w:r w:rsidR="00916CAD">
        <w:t xml:space="preserve">.  </w:t>
      </w:r>
      <w:r w:rsidR="001B3C56">
        <w:t xml:space="preserve">CDC published the notice </w:t>
      </w:r>
      <w:r w:rsidR="001B3C56" w:rsidRPr="004C5B2B">
        <w:t xml:space="preserve">on </w:t>
      </w:r>
      <w:r w:rsidR="00FE2E27">
        <w:t xml:space="preserve">November 16, 2012 </w:t>
      </w:r>
      <w:r w:rsidR="001B3C56" w:rsidRPr="004C5B2B">
        <w:t xml:space="preserve">(Volume </w:t>
      </w:r>
      <w:r w:rsidR="00FE2E27">
        <w:t>77</w:t>
      </w:r>
      <w:r w:rsidR="001B3C56" w:rsidRPr="004C5B2B">
        <w:t xml:space="preserve">, Number </w:t>
      </w:r>
      <w:r w:rsidR="00FE2E27">
        <w:t>222</w:t>
      </w:r>
      <w:r w:rsidR="001B3C56" w:rsidRPr="004C5B2B">
        <w:t xml:space="preserve"> (pages </w:t>
      </w:r>
      <w:r w:rsidR="00CF6619">
        <w:t>68780-68782</w:t>
      </w:r>
      <w:r w:rsidR="004C1C04">
        <w:t>)</w:t>
      </w:r>
      <w:r w:rsidR="00E75A51">
        <w:t xml:space="preserve">. </w:t>
      </w:r>
      <w:r w:rsidR="00464E35">
        <w:t xml:space="preserve"> </w:t>
      </w:r>
      <w:r w:rsidR="008E6E6C">
        <w:t>One comment was received which was considered non-substantive, and a standard CD</w:t>
      </w:r>
      <w:r w:rsidR="00EB73D0">
        <w:t>C reply was sent</w:t>
      </w:r>
      <w:r w:rsidR="008E6E6C">
        <w:t>.</w:t>
      </w:r>
      <w:r w:rsidR="00E75A51">
        <w:t xml:space="preserve">  </w:t>
      </w:r>
      <w:r w:rsidR="00D438C4">
        <w:t xml:space="preserve">Two other comments were received which were </w:t>
      </w:r>
      <w:r w:rsidR="00D438C4">
        <w:lastRenderedPageBreak/>
        <w:t xml:space="preserve">considered substantive in nature.  A detailed response was sent to each entity, and a summary of the responses is provided in Appendix C. </w:t>
      </w:r>
      <w:r w:rsidR="004C1C04">
        <w:t xml:space="preserve"> </w:t>
      </w:r>
    </w:p>
    <w:p w:rsidR="00E719A8" w:rsidRPr="00E719A8" w:rsidRDefault="00A61751" w:rsidP="00A61751">
      <w:r>
        <w:t>B.</w:t>
      </w:r>
      <w:r>
        <w:tab/>
      </w:r>
      <w:r w:rsidR="00DD5136">
        <w:t xml:space="preserve">This </w:t>
      </w:r>
      <w:r w:rsidR="00E719A8">
        <w:t>project was subject to extensive external and internal review</w:t>
      </w:r>
      <w:r w:rsidR="00D808FE">
        <w:t xml:space="preserve"> in </w:t>
      </w:r>
      <w:r w:rsidR="00E116DD">
        <w:t>2011</w:t>
      </w:r>
      <w:r w:rsidR="00DD5136">
        <w:t xml:space="preserve"> when it was submitted as a NORA</w:t>
      </w:r>
      <w:r w:rsidR="00821CF8" w:rsidRPr="00821CF8">
        <w:t xml:space="preserve"> (</w:t>
      </w:r>
      <w:r w:rsidR="00821CF8" w:rsidRPr="00821CF8">
        <w:rPr>
          <w:rStyle w:val="Emphasis"/>
          <w:b w:val="0"/>
          <w:lang w:val="en"/>
        </w:rPr>
        <w:t>National Occupational Research Agenda)</w:t>
      </w:r>
      <w:r w:rsidR="00DD5136" w:rsidRPr="00821CF8">
        <w:t xml:space="preserve"> </w:t>
      </w:r>
      <w:r w:rsidR="00DD5136">
        <w:t>project</w:t>
      </w:r>
      <w:r w:rsidR="00E75A51">
        <w:t xml:space="preserve">.  </w:t>
      </w:r>
      <w:r w:rsidR="00DE133D">
        <w:t>Since this project was</w:t>
      </w:r>
      <w:r w:rsidR="00076160">
        <w:t xml:space="preserve"> confidentially</w:t>
      </w:r>
      <w:r w:rsidR="00DE133D">
        <w:t xml:space="preserve"> reviewed, </w:t>
      </w:r>
      <w:r w:rsidR="00076160">
        <w:t>we are unable to provide the names of reviewers.  However, a</w:t>
      </w:r>
      <w:r w:rsidR="00FE2319">
        <w:t xml:space="preserve"> copy of the evaluation is</w:t>
      </w:r>
      <w:r w:rsidR="00B66D26">
        <w:t xml:space="preserve"> provided in Appendix </w:t>
      </w:r>
      <w:r w:rsidR="00052831">
        <w:t>E</w:t>
      </w:r>
      <w:r w:rsidR="00E75A51">
        <w:t xml:space="preserve">.   </w:t>
      </w:r>
    </w:p>
    <w:p w:rsidR="00AE5EA5" w:rsidRDefault="00AE5EA5" w:rsidP="00AE5EA5">
      <w:pPr>
        <w:rPr>
          <w:b/>
        </w:rPr>
      </w:pPr>
    </w:p>
    <w:p w:rsidR="00AE5EA5" w:rsidRDefault="002915E9" w:rsidP="00E25F75">
      <w:pPr>
        <w:pStyle w:val="Level2"/>
      </w:pPr>
      <w:bookmarkStart w:id="36" w:name="_Toc161124931"/>
      <w:bookmarkStart w:id="37" w:name="_Toc179766423"/>
      <w:bookmarkStart w:id="38" w:name="_Toc179774555"/>
      <w:r>
        <w:t>9.</w:t>
      </w:r>
      <w:r>
        <w:tab/>
      </w:r>
      <w:r w:rsidR="00AE5EA5">
        <w:t>Explanation of Any Payment or Gift to Respondents</w:t>
      </w:r>
      <w:bookmarkEnd w:id="36"/>
      <w:bookmarkEnd w:id="37"/>
      <w:bookmarkEnd w:id="38"/>
    </w:p>
    <w:p w:rsidR="00C97BB2" w:rsidRDefault="00C97BB2" w:rsidP="008314A3">
      <w:pPr>
        <w:ind w:firstLine="720"/>
      </w:pPr>
      <w:r>
        <w:t xml:space="preserve">Participants who complete </w:t>
      </w:r>
      <w:r w:rsidR="006A3FD6">
        <w:t>any portion of the medical testing</w:t>
      </w:r>
      <w:r>
        <w:t xml:space="preserve"> will be </w:t>
      </w:r>
      <w:r w:rsidR="00D81A9E">
        <w:t>given a token of appreciation</w:t>
      </w:r>
      <w:r>
        <w:t xml:space="preserve"> for their time</w:t>
      </w:r>
      <w:r w:rsidR="006A3FD6">
        <w:t xml:space="preserve"> and interest</w:t>
      </w:r>
      <w:r w:rsidR="006601E4">
        <w:t xml:space="preserve">.  </w:t>
      </w:r>
      <w:r w:rsidR="00BD1BB9">
        <w:t>Although the questionnaire, consent, job and medication forms are only estimated to take 45 minutes to complete, there will be additional burden placed on responden</w:t>
      </w:r>
      <w:r w:rsidR="00166D83">
        <w:t>ts in terms of their travel to and from the testing site</w:t>
      </w:r>
      <w:r w:rsidR="00BD1BB9">
        <w:t xml:space="preserve">, and </w:t>
      </w:r>
      <w:r w:rsidR="00166D83">
        <w:t xml:space="preserve">the </w:t>
      </w:r>
      <w:r w:rsidR="00BD1BB9">
        <w:t>additional time required to complete the clinical te</w:t>
      </w:r>
      <w:r w:rsidR="00166D83">
        <w:t>s</w:t>
      </w:r>
      <w:r w:rsidR="00BD1BB9">
        <w:t xml:space="preserve">ts. </w:t>
      </w:r>
      <w:r w:rsidR="00821CF8">
        <w:t xml:space="preserve"> </w:t>
      </w:r>
      <w:r>
        <w:t>We estimate that completion of the medical survey, includ</w:t>
      </w:r>
      <w:r w:rsidR="00780081">
        <w:t>in</w:t>
      </w:r>
      <w:r w:rsidR="004B43B3">
        <w:t>g the HRCT, will take 3</w:t>
      </w:r>
      <w:r w:rsidR="00D75A2D">
        <w:t>-3.5 hours</w:t>
      </w:r>
      <w:r w:rsidR="00E75A51">
        <w:t>.</w:t>
      </w:r>
      <w:r w:rsidR="0021532A">
        <w:t xml:space="preserve"> </w:t>
      </w:r>
      <w:r w:rsidR="004E7C7D">
        <w:t xml:space="preserve"> </w:t>
      </w:r>
      <w:r w:rsidR="0021532A">
        <w:t>This will be done on the participant’s own time and outside of work hours, which is a burden on the respondent.</w:t>
      </w:r>
      <w:r w:rsidR="00E75A51">
        <w:t xml:space="preserve">  </w:t>
      </w:r>
      <w:r>
        <w:t xml:space="preserve">Therefore, we </w:t>
      </w:r>
      <w:r w:rsidR="00BD1BB9">
        <w:t>r</w:t>
      </w:r>
      <w:r w:rsidR="005A2D58">
        <w:t>equest to</w:t>
      </w:r>
      <w:r w:rsidR="00BD1BB9">
        <w:t xml:space="preserve"> </w:t>
      </w:r>
      <w:r>
        <w:t>pr</w:t>
      </w:r>
      <w:r w:rsidR="00EB73D0">
        <w:t>ovide participants who complete any portion of the medical testing</w:t>
      </w:r>
      <w:r w:rsidR="008314A3">
        <w:t xml:space="preserve"> a $50 gift card to a local merchant</w:t>
      </w:r>
      <w:r w:rsidR="00E75A51">
        <w:t xml:space="preserve">.  </w:t>
      </w:r>
      <w:r w:rsidR="00BD1BB9">
        <w:t>The use of gift cards can be beneficial in increasing response rates.  The National Health and Nutrition Examination Survey (NHANES), which includes both an extensive questionnaire and clinical testing,</w:t>
      </w:r>
      <w:r w:rsidR="00166D83">
        <w:t xml:space="preserve"> routinely use</w:t>
      </w:r>
      <w:r w:rsidR="00BD1BB9">
        <w:t xml:space="preserve"> monetary incentives to increase participation rate.  </w:t>
      </w:r>
      <w:r w:rsidR="00D952E6">
        <w:t>Previous NIOSH studies which involve clinical testing have had difficulty recruiting respondents</w:t>
      </w:r>
      <w:r w:rsidR="00166D83">
        <w:t>, and it has been found that participation can increase when there is an incentive</w:t>
      </w:r>
      <w:r w:rsidR="00D952E6">
        <w:t xml:space="preserve">.  For example, in the NIOSH study “Workplace Stress </w:t>
      </w:r>
      <w:proofErr w:type="gramStart"/>
      <w:r w:rsidR="00D952E6">
        <w:t>Among</w:t>
      </w:r>
      <w:proofErr w:type="gramEnd"/>
      <w:r w:rsidR="00D952E6">
        <w:t xml:space="preserve"> Underground Coal Miners” (OMB No. 0920-0657), respondents received a $35 incentive for completing the test</w:t>
      </w:r>
      <w:r w:rsidR="00A40233">
        <w:t>,</w:t>
      </w:r>
      <w:r w:rsidR="005A2D58">
        <w:t xml:space="preserve"> and this was found to be very effective</w:t>
      </w:r>
      <w:r w:rsidR="00D952E6">
        <w:t xml:space="preserve">.  </w:t>
      </w:r>
      <w:r w:rsidR="00D2634F">
        <w:t xml:space="preserve">Gift cards will </w:t>
      </w:r>
      <w:r>
        <w:t>be</w:t>
      </w:r>
      <w:r w:rsidR="008314A3">
        <w:t xml:space="preserve"> issued </w:t>
      </w:r>
      <w:r w:rsidR="006A3FD6">
        <w:t>when the participant returns his/her control card to a NIOSH representat</w:t>
      </w:r>
      <w:r w:rsidR="00EB73D0">
        <w:t>ive</w:t>
      </w:r>
      <w:r>
        <w:t>.</w:t>
      </w:r>
      <w:r w:rsidR="00FE2319">
        <w:t xml:space="preserve"> </w:t>
      </w:r>
      <w:r w:rsidR="00821CF8">
        <w:t xml:space="preserve"> </w:t>
      </w:r>
      <w:r w:rsidR="00FE2319">
        <w:t xml:space="preserve">The use of gift cards has been approved by the NIOSH IRB. </w:t>
      </w:r>
    </w:p>
    <w:p w:rsidR="002C6C41" w:rsidRPr="002C6C41" w:rsidRDefault="002C6C41" w:rsidP="00752B50">
      <w:pPr>
        <w:ind w:firstLine="720"/>
      </w:pPr>
    </w:p>
    <w:p w:rsidR="00AE5EA5" w:rsidRDefault="002915E9" w:rsidP="00E25F75">
      <w:pPr>
        <w:pStyle w:val="Level2"/>
      </w:pPr>
      <w:bookmarkStart w:id="39" w:name="_Toc161124932"/>
      <w:bookmarkStart w:id="40" w:name="_Toc179766424"/>
      <w:bookmarkStart w:id="41" w:name="_Toc179774556"/>
      <w:r>
        <w:t>10.</w:t>
      </w:r>
      <w:r>
        <w:tab/>
      </w:r>
      <w:r w:rsidR="00AE5EA5">
        <w:t>Assurance of Confidentiality Provided to Respondents</w:t>
      </w:r>
      <w:bookmarkEnd w:id="39"/>
      <w:bookmarkEnd w:id="40"/>
      <w:bookmarkEnd w:id="41"/>
    </w:p>
    <w:p w:rsidR="002564F9" w:rsidRDefault="00EE0034" w:rsidP="002A52B9">
      <w:pPr>
        <w:rPr>
          <w:u w:val="single"/>
          <w:lang w:eastAsia="ja-JP"/>
        </w:rPr>
      </w:pPr>
      <w:r>
        <w:rPr>
          <w:u w:val="single"/>
          <w:lang w:eastAsia="ja-JP"/>
        </w:rPr>
        <w:t xml:space="preserve">10.1 </w:t>
      </w:r>
      <w:r w:rsidR="007C5CF1">
        <w:rPr>
          <w:u w:val="single"/>
          <w:lang w:eastAsia="ja-JP"/>
        </w:rPr>
        <w:tab/>
      </w:r>
      <w:r w:rsidR="002564F9">
        <w:rPr>
          <w:u w:val="single"/>
          <w:lang w:eastAsia="ja-JP"/>
        </w:rPr>
        <w:t>Privacy Impact Assessment Information</w:t>
      </w:r>
    </w:p>
    <w:p w:rsidR="002564F9" w:rsidRDefault="002564F9" w:rsidP="002564F9">
      <w:pPr>
        <w:ind w:firstLine="720"/>
        <w:rPr>
          <w:lang w:eastAsia="ja-JP"/>
        </w:rPr>
      </w:pPr>
      <w:r>
        <w:rPr>
          <w:lang w:eastAsia="ja-JP"/>
        </w:rPr>
        <w:t>This submission has been reviewed by ICRO, who has determined that the Privacy Act does apply.  The applicable System of Records Notice is 09-20-0147</w:t>
      </w:r>
      <w:r w:rsidR="00BB5F2D">
        <w:rPr>
          <w:lang w:eastAsia="ja-JP"/>
        </w:rPr>
        <w:t>, Occupational Health Epidemiological Studies and EEOICPA Program Records</w:t>
      </w:r>
      <w:r>
        <w:rPr>
          <w:lang w:eastAsia="ja-JP"/>
        </w:rPr>
        <w:t xml:space="preserve">. </w:t>
      </w:r>
      <w:r w:rsidR="00821CF8">
        <w:rPr>
          <w:lang w:eastAsia="ja-JP"/>
        </w:rPr>
        <w:t xml:space="preserve"> </w:t>
      </w:r>
      <w:r>
        <w:rPr>
          <w:lang w:eastAsia="ja-JP"/>
        </w:rPr>
        <w:t xml:space="preserve">The data collection will involve collecting sensitive and/or personally identifiable information, which includes: name, address and phone number, birth date, race/ethnicity, gender, </w:t>
      </w:r>
      <w:r w:rsidR="00BB5F2D">
        <w:rPr>
          <w:lang w:eastAsia="ja-JP"/>
        </w:rPr>
        <w:t xml:space="preserve">and </w:t>
      </w:r>
      <w:r>
        <w:rPr>
          <w:lang w:eastAsia="ja-JP"/>
        </w:rPr>
        <w:t>questions on health and well-being.  The collection of this information is covered under the CDC Privacy Act.  NIOSH will use standard methods to ensure the security and privacy of this data.  All data with personal identifiers will be stored on password protected computers; any paper copies with personal identifying information will be stored in locked file rooms or cabinets; data access will be restricted to only NIOSH personnel and contractors that are involved in the study.  No names or other personal identifiers will be used to link results.</w:t>
      </w:r>
      <w:r w:rsidR="00821CF8">
        <w:rPr>
          <w:lang w:eastAsia="ja-JP"/>
        </w:rPr>
        <w:t xml:space="preserve"> </w:t>
      </w:r>
      <w:r w:rsidR="005E48FB">
        <w:rPr>
          <w:lang w:eastAsia="ja-JP"/>
        </w:rPr>
        <w:t xml:space="preserve"> </w:t>
      </w:r>
      <w:r w:rsidR="00FD7D29">
        <w:rPr>
          <w:lang w:eastAsia="ja-JP"/>
        </w:rPr>
        <w:t xml:space="preserve">Instead, </w:t>
      </w:r>
      <w:r w:rsidR="00A275F1">
        <w:rPr>
          <w:lang w:eastAsia="ja-JP"/>
        </w:rPr>
        <w:t xml:space="preserve">NIOSH will </w:t>
      </w:r>
      <w:r w:rsidR="00FD7D29">
        <w:rPr>
          <w:lang w:eastAsia="ja-JP"/>
        </w:rPr>
        <w:t xml:space="preserve">link </w:t>
      </w:r>
      <w:r w:rsidR="00A275F1">
        <w:rPr>
          <w:lang w:eastAsia="ja-JP"/>
        </w:rPr>
        <w:t xml:space="preserve">study results </w:t>
      </w:r>
      <w:r w:rsidR="00FD7D29">
        <w:rPr>
          <w:lang w:eastAsia="ja-JP"/>
        </w:rPr>
        <w:t xml:space="preserve">using a subject ID number assigned on the day of testing. </w:t>
      </w:r>
      <w:r w:rsidR="00A275F1">
        <w:rPr>
          <w:lang w:eastAsia="ja-JP"/>
        </w:rPr>
        <w:t xml:space="preserve"> </w:t>
      </w:r>
      <w:r w:rsidR="00FD7D29">
        <w:rPr>
          <w:lang w:eastAsia="ja-JP"/>
        </w:rPr>
        <w:t xml:space="preserve">The </w:t>
      </w:r>
      <w:r w:rsidR="00A275F1">
        <w:rPr>
          <w:lang w:eastAsia="ja-JP"/>
        </w:rPr>
        <w:t xml:space="preserve">NIOSH </w:t>
      </w:r>
      <w:r w:rsidR="00FD7D29">
        <w:rPr>
          <w:lang w:eastAsia="ja-JP"/>
        </w:rPr>
        <w:t xml:space="preserve">data analyst will use subject ID numbers in all coding work.  </w:t>
      </w:r>
      <w:r w:rsidR="004D4E5C">
        <w:rPr>
          <w:lang w:eastAsia="ja-JP"/>
        </w:rPr>
        <w:t>NIOSH maintains</w:t>
      </w:r>
      <w:r w:rsidR="00A275F1">
        <w:rPr>
          <w:lang w:eastAsia="ja-JP"/>
        </w:rPr>
        <w:t xml:space="preserve"> t</w:t>
      </w:r>
      <w:r w:rsidR="001327C0">
        <w:rPr>
          <w:lang w:eastAsia="ja-JP"/>
        </w:rPr>
        <w:t>he linkage between name and ID number</w:t>
      </w:r>
      <w:r w:rsidR="004D4E5C">
        <w:rPr>
          <w:lang w:eastAsia="ja-JP"/>
        </w:rPr>
        <w:t xml:space="preserve"> in a secure network file during and after the study.</w:t>
      </w:r>
      <w:r w:rsidR="001327C0">
        <w:rPr>
          <w:lang w:eastAsia="ja-JP"/>
        </w:rPr>
        <w:t xml:space="preserve">  </w:t>
      </w:r>
      <w:r w:rsidR="00B97799">
        <w:rPr>
          <w:lang w:eastAsia="ja-JP"/>
        </w:rPr>
        <w:t>NIOSH owns the data</w:t>
      </w:r>
      <w:r w:rsidR="0029050B">
        <w:rPr>
          <w:lang w:eastAsia="ja-JP"/>
        </w:rPr>
        <w:t xml:space="preserve"> and </w:t>
      </w:r>
      <w:r w:rsidR="005E48FB">
        <w:rPr>
          <w:lang w:eastAsia="ja-JP"/>
        </w:rPr>
        <w:t xml:space="preserve">any </w:t>
      </w:r>
      <w:r w:rsidR="0029050B">
        <w:rPr>
          <w:lang w:eastAsia="ja-JP"/>
        </w:rPr>
        <w:t>c</w:t>
      </w:r>
      <w:r w:rsidR="00B97799">
        <w:rPr>
          <w:lang w:eastAsia="ja-JP"/>
        </w:rPr>
        <w:t xml:space="preserve">ollaborators </w:t>
      </w:r>
      <w:r w:rsidR="0029050B">
        <w:rPr>
          <w:lang w:eastAsia="ja-JP"/>
        </w:rPr>
        <w:t>will</w:t>
      </w:r>
      <w:r w:rsidR="00B97799">
        <w:rPr>
          <w:lang w:eastAsia="ja-JP"/>
        </w:rPr>
        <w:t xml:space="preserve"> not have access to the linking information.</w:t>
      </w:r>
      <w:r>
        <w:rPr>
          <w:lang w:eastAsia="ja-JP"/>
        </w:rPr>
        <w:t xml:space="preserve">  </w:t>
      </w:r>
    </w:p>
    <w:p w:rsidR="00E925A4" w:rsidRDefault="00E925A4" w:rsidP="00B83BD6">
      <w:pPr>
        <w:rPr>
          <w:u w:val="single"/>
          <w:lang w:eastAsia="ja-JP"/>
        </w:rPr>
      </w:pPr>
    </w:p>
    <w:p w:rsidR="007C5CF1" w:rsidRPr="00B83BD6" w:rsidRDefault="007C5CF1" w:rsidP="00B83BD6">
      <w:pPr>
        <w:rPr>
          <w:u w:val="single"/>
          <w:lang w:eastAsia="ja-JP"/>
        </w:rPr>
      </w:pPr>
      <w:r>
        <w:rPr>
          <w:u w:val="single"/>
          <w:lang w:eastAsia="ja-JP"/>
        </w:rPr>
        <w:t>IRB Approval</w:t>
      </w:r>
    </w:p>
    <w:p w:rsidR="002564F9" w:rsidRPr="00A61751" w:rsidRDefault="002564F9" w:rsidP="00A61751">
      <w:pPr>
        <w:ind w:firstLine="720"/>
        <w:rPr>
          <w:u w:val="single"/>
          <w:lang w:eastAsia="ja-JP"/>
        </w:rPr>
      </w:pPr>
      <w:r w:rsidRPr="00B62A4E">
        <w:rPr>
          <w:lang w:eastAsia="ja-JP"/>
        </w:rPr>
        <w:lastRenderedPageBreak/>
        <w:t xml:space="preserve">This study has been approved by </w:t>
      </w:r>
      <w:r>
        <w:rPr>
          <w:lang w:eastAsia="ja-JP"/>
        </w:rPr>
        <w:t>the NIOSH IRB;</w:t>
      </w:r>
      <w:r w:rsidRPr="00B62A4E">
        <w:rPr>
          <w:lang w:eastAsia="ja-JP"/>
        </w:rPr>
        <w:t xml:space="preserve"> a copy of the approval letter is attached (</w:t>
      </w:r>
      <w:r>
        <w:rPr>
          <w:lang w:eastAsia="ja-JP"/>
        </w:rPr>
        <w:t>see Appendix F</w:t>
      </w:r>
      <w:r w:rsidRPr="00B62A4E">
        <w:rPr>
          <w:lang w:eastAsia="ja-JP"/>
        </w:rPr>
        <w:t>)</w:t>
      </w:r>
      <w:r>
        <w:rPr>
          <w:lang w:eastAsia="ja-JP"/>
        </w:rPr>
        <w:t xml:space="preserve">.  </w:t>
      </w:r>
      <w:r w:rsidRPr="008E7080">
        <w:rPr>
          <w:lang w:eastAsia="ja-JP"/>
        </w:rPr>
        <w:t xml:space="preserve">Participation in any part of the NIOSH study is completely voluntary, and participants may withdraw their consent at any time. </w:t>
      </w:r>
      <w:r w:rsidR="00A275F1">
        <w:rPr>
          <w:lang w:eastAsia="ja-JP"/>
        </w:rPr>
        <w:t xml:space="preserve"> </w:t>
      </w:r>
      <w:r w:rsidRPr="008E7080">
        <w:rPr>
          <w:lang w:eastAsia="ja-JP"/>
        </w:rPr>
        <w:t xml:space="preserve">A copy of the consent form is provided in Appendix G. </w:t>
      </w:r>
      <w:r w:rsidR="00A275F1">
        <w:rPr>
          <w:lang w:eastAsia="ja-JP"/>
        </w:rPr>
        <w:t xml:space="preserve"> </w:t>
      </w:r>
      <w:r w:rsidR="00282D78" w:rsidRPr="008E7080">
        <w:rPr>
          <w:lang w:eastAsia="ja-JP"/>
        </w:rPr>
        <w:t xml:space="preserve">Section IX of the consent form addresses the use of information and how </w:t>
      </w:r>
      <w:r w:rsidR="00D72C75" w:rsidRPr="008E7080">
        <w:rPr>
          <w:lang w:eastAsia="ja-JP"/>
        </w:rPr>
        <w:t>respondents’</w:t>
      </w:r>
      <w:r w:rsidR="00282D78" w:rsidRPr="008E7080">
        <w:rPr>
          <w:lang w:eastAsia="ja-JP"/>
        </w:rPr>
        <w:t xml:space="preserve"> data are protected.  We also include</w:t>
      </w:r>
      <w:r w:rsidR="007207E3" w:rsidRPr="008E7080">
        <w:rPr>
          <w:lang w:eastAsia="ja-JP"/>
        </w:rPr>
        <w:t>d</w:t>
      </w:r>
      <w:r w:rsidR="00282D78" w:rsidRPr="008E7080">
        <w:rPr>
          <w:lang w:eastAsia="ja-JP"/>
        </w:rPr>
        <w:t xml:space="preserve"> an appendix which explains the CDC Privacy Act and under what circumstances data could be released. </w:t>
      </w:r>
    </w:p>
    <w:p w:rsidR="00B672B5" w:rsidRDefault="00B672B5" w:rsidP="00AE5EA5">
      <w:pPr>
        <w:rPr>
          <w:b/>
        </w:rPr>
      </w:pPr>
    </w:p>
    <w:p w:rsidR="00AE5EA5" w:rsidRDefault="002915E9" w:rsidP="00E25F75">
      <w:pPr>
        <w:pStyle w:val="Level2"/>
      </w:pPr>
      <w:bookmarkStart w:id="42" w:name="_Toc161124933"/>
      <w:bookmarkStart w:id="43" w:name="_Toc179766425"/>
      <w:bookmarkStart w:id="44" w:name="_Toc179774557"/>
      <w:r>
        <w:t>11.</w:t>
      </w:r>
      <w:r>
        <w:tab/>
      </w:r>
      <w:r w:rsidR="00AE5EA5">
        <w:t>Justi</w:t>
      </w:r>
      <w:r w:rsidR="005D1325">
        <w:t>fication for Sensitive Questions</w:t>
      </w:r>
      <w:bookmarkEnd w:id="42"/>
      <w:bookmarkEnd w:id="43"/>
      <w:bookmarkEnd w:id="44"/>
    </w:p>
    <w:p w:rsidR="005D1325" w:rsidRDefault="00FE2319" w:rsidP="00ED0519">
      <w:pPr>
        <w:ind w:firstLine="720"/>
      </w:pPr>
      <w:r>
        <w:t xml:space="preserve">No questions that are considered sensitive will be used in this study. </w:t>
      </w:r>
      <w:r w:rsidR="00A275F1">
        <w:t xml:space="preserve"> </w:t>
      </w:r>
      <w:r w:rsidR="00C91291">
        <w:t xml:space="preserve">We </w:t>
      </w:r>
      <w:r>
        <w:t xml:space="preserve">do </w:t>
      </w:r>
      <w:r w:rsidR="00C91291">
        <w:t>plan on collecting</w:t>
      </w:r>
      <w:r w:rsidR="0024576D">
        <w:t xml:space="preserve"> </w:t>
      </w:r>
      <w:r w:rsidR="00C91291">
        <w:t>i</w:t>
      </w:r>
      <w:r w:rsidR="007F1CA3">
        <w:t>nformation on race, ethnicity, gender</w:t>
      </w:r>
      <w:r w:rsidR="00C91291">
        <w:t>, and date of birth for the flavorings workers, and current smoking status for both study populations</w:t>
      </w:r>
      <w:r w:rsidR="00E75A51">
        <w:t xml:space="preserve">. </w:t>
      </w:r>
      <w:r w:rsidR="00A275F1">
        <w:t xml:space="preserve"> </w:t>
      </w:r>
      <w:r w:rsidR="00C91291">
        <w:t>Demographic information and smoking history are necessary to evaluate the results of the lung function tests.</w:t>
      </w:r>
    </w:p>
    <w:p w:rsidR="00DF4211" w:rsidRDefault="00DF4211" w:rsidP="005D1325"/>
    <w:p w:rsidR="005D1325" w:rsidRDefault="002915E9" w:rsidP="00E25F75">
      <w:pPr>
        <w:pStyle w:val="Level2"/>
      </w:pPr>
      <w:bookmarkStart w:id="45" w:name="_Toc161124934"/>
      <w:bookmarkStart w:id="46" w:name="_Toc179766426"/>
      <w:bookmarkStart w:id="47" w:name="_Toc179774558"/>
      <w:r>
        <w:t>12.</w:t>
      </w:r>
      <w:r>
        <w:tab/>
      </w:r>
      <w:r w:rsidR="005D1325">
        <w:t>Estimates of Annualized Burden Hours and Costs</w:t>
      </w:r>
      <w:bookmarkEnd w:id="45"/>
      <w:bookmarkEnd w:id="46"/>
      <w:bookmarkEnd w:id="47"/>
    </w:p>
    <w:p w:rsidR="005E48FB" w:rsidRDefault="00B62A4E" w:rsidP="000A4371">
      <w:r>
        <w:rPr>
          <w:b/>
        </w:rPr>
        <w:tab/>
      </w:r>
      <w:r w:rsidR="00607BAA" w:rsidRPr="005E48FB">
        <w:t>A.</w:t>
      </w:r>
      <w:r w:rsidR="00607BAA">
        <w:rPr>
          <w:b/>
        </w:rPr>
        <w:t xml:space="preserve"> </w:t>
      </w:r>
      <w:r w:rsidR="00FC103A">
        <w:t>We estimate</w:t>
      </w:r>
      <w:r>
        <w:t xml:space="preserve"> that the maximum number of </w:t>
      </w:r>
      <w:r w:rsidR="00843EF3">
        <w:t>flavoring and popcorn workers</w:t>
      </w:r>
      <w:r>
        <w:t xml:space="preserve"> that we would have at the </w:t>
      </w:r>
      <w:r w:rsidR="00843EF3">
        <w:t xml:space="preserve">two sites would be </w:t>
      </w:r>
      <w:r w:rsidR="002048D6">
        <w:t>274</w:t>
      </w:r>
      <w:r w:rsidR="00CB4D22">
        <w:t xml:space="preserve">, with 162 popcorn workers and 112 flavoring workers as the expected sample sizes.  Based on a </w:t>
      </w:r>
      <w:r w:rsidR="00CB4D22" w:rsidRPr="00A275F1">
        <w:t>t</w:t>
      </w:r>
      <w:r w:rsidR="00A275F1" w:rsidRPr="00A275F1">
        <w:t>w</w:t>
      </w:r>
      <w:r w:rsidR="00A275F1">
        <w:t>o</w:t>
      </w:r>
      <w:r w:rsidR="00CB4D22" w:rsidRPr="00A275F1">
        <w:t>-year</w:t>
      </w:r>
      <w:r w:rsidR="00CB4D22">
        <w:t xml:space="preserve"> approval, the annualized burden is for </w:t>
      </w:r>
      <w:r w:rsidR="00986494">
        <w:t xml:space="preserve">81 </w:t>
      </w:r>
      <w:r w:rsidR="00CB4D22">
        <w:t xml:space="preserve">popcorn workers and </w:t>
      </w:r>
      <w:r w:rsidR="00986494">
        <w:t xml:space="preserve">56 </w:t>
      </w:r>
      <w:r w:rsidR="00CB4D22">
        <w:t>flavoring workers.</w:t>
      </w:r>
      <w:r w:rsidR="00E75A51">
        <w:t xml:space="preserve">  </w:t>
      </w:r>
      <w:r w:rsidR="00F27EBE">
        <w:t xml:space="preserve">Prior to the testing, participants will be sent an informed consent to review, and both a job history and medication form to complete. </w:t>
      </w:r>
      <w:r w:rsidR="00464E35">
        <w:t xml:space="preserve"> </w:t>
      </w:r>
      <w:r w:rsidR="001E69D2">
        <w:t>The consent form will take approximately 10 minutes to review.  The job history and medication forms are estimated to take no more than 15 minutes</w:t>
      </w:r>
      <w:r w:rsidR="008418C9">
        <w:t xml:space="preserve"> (total)</w:t>
      </w:r>
      <w:r w:rsidR="001E69D2">
        <w:t xml:space="preserve"> to complete.  </w:t>
      </w:r>
      <w:r w:rsidR="0007596A">
        <w:t xml:space="preserve">During the medical testing, </w:t>
      </w:r>
      <w:r w:rsidR="00DE133D">
        <w:t xml:space="preserve">a </w:t>
      </w:r>
      <w:r w:rsidR="0007596A">
        <w:t xml:space="preserve">NIOSH </w:t>
      </w:r>
      <w:r w:rsidR="00DE133D">
        <w:t xml:space="preserve">team member </w:t>
      </w:r>
      <w:r w:rsidR="0007596A">
        <w:t>will review the informed consent</w:t>
      </w:r>
      <w:r w:rsidR="00DE133D">
        <w:t xml:space="preserve"> at the beginning of the appointment</w:t>
      </w:r>
      <w:r w:rsidR="0007596A">
        <w:t xml:space="preserve"> with the participant which will take approximately five minutes. </w:t>
      </w:r>
      <w:r w:rsidR="00A275F1">
        <w:t xml:space="preserve"> </w:t>
      </w:r>
      <w:r w:rsidR="001E69D2">
        <w:t>T</w:t>
      </w:r>
      <w:r w:rsidR="00E50BD6">
        <w:t>he NIOSH-</w:t>
      </w:r>
      <w:r w:rsidR="001E69D2">
        <w:t xml:space="preserve">administered questionnaire will be </w:t>
      </w:r>
      <w:r w:rsidR="0007596A">
        <w:t>about</w:t>
      </w:r>
      <w:r w:rsidR="001E69D2">
        <w:t xml:space="preserve"> 20 minutes long. </w:t>
      </w:r>
      <w:r w:rsidR="00A275F1">
        <w:t xml:space="preserve"> </w:t>
      </w:r>
      <w:r w:rsidR="001E69D2">
        <w:t xml:space="preserve">The total burden </w:t>
      </w:r>
      <w:r w:rsidR="00B825D1">
        <w:t>hours are 105</w:t>
      </w:r>
      <w:r w:rsidR="00F94D29">
        <w:t>.</w:t>
      </w:r>
    </w:p>
    <w:p w:rsidR="005E48FB" w:rsidRDefault="005E48FB" w:rsidP="000A4371"/>
    <w:p w:rsidR="00A61751" w:rsidRPr="00A61751" w:rsidRDefault="00A61751" w:rsidP="000A4371">
      <w:pPr>
        <w:rPr>
          <w:u w:val="single"/>
        </w:rPr>
      </w:pPr>
      <w:r w:rsidRPr="00A61751">
        <w:rPr>
          <w:u w:val="single"/>
        </w:rPr>
        <w:t>Estimated Annualized Burden Hours</w:t>
      </w:r>
    </w:p>
    <w:p w:rsidR="00BF58FE" w:rsidRDefault="00BF58FE" w:rsidP="00BF58FE">
      <w:pPr>
        <w:rPr>
          <w:color w:val="1F497D"/>
        </w:rPr>
      </w:pPr>
    </w:p>
    <w:tbl>
      <w:tblPr>
        <w:tblpPr w:leftFromText="180" w:rightFromText="180" w:vertAnchor="text"/>
        <w:tblW w:w="9540" w:type="dxa"/>
        <w:tblCellMar>
          <w:left w:w="0" w:type="dxa"/>
          <w:right w:w="0" w:type="dxa"/>
        </w:tblCellMar>
        <w:tblLook w:val="04A0" w:firstRow="1" w:lastRow="0" w:firstColumn="1" w:lastColumn="0" w:noHBand="0" w:noVBand="1"/>
      </w:tblPr>
      <w:tblGrid>
        <w:gridCol w:w="1530"/>
        <w:gridCol w:w="2610"/>
        <w:gridCol w:w="1530"/>
        <w:gridCol w:w="1440"/>
        <w:gridCol w:w="1350"/>
        <w:gridCol w:w="1080"/>
      </w:tblGrid>
      <w:tr w:rsidR="00BF58FE" w:rsidRPr="004C45D2" w:rsidTr="00BF58FE">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58FE" w:rsidRPr="004C45D2" w:rsidRDefault="00BF58FE">
            <w:pPr>
              <w:rPr>
                <w:rFonts w:ascii="Calibri" w:eastAsiaTheme="minorHAnsi" w:hAnsi="Calibri"/>
                <w:sz w:val="22"/>
                <w:szCs w:val="22"/>
              </w:rPr>
            </w:pPr>
            <w:r w:rsidRPr="004C45D2">
              <w:t>Type of Respondents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58FE" w:rsidRPr="004C45D2" w:rsidRDefault="003436EC">
            <w:pPr>
              <w:rPr>
                <w:rFonts w:ascii="Calibri" w:eastAsiaTheme="minorHAnsi" w:hAnsi="Calibri"/>
                <w:sz w:val="22"/>
                <w:szCs w:val="22"/>
              </w:rPr>
            </w:pPr>
            <w:r w:rsidRPr="004C45D2">
              <w:t>Form Name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58FE" w:rsidRPr="004C45D2" w:rsidRDefault="00BF58FE">
            <w:pPr>
              <w:rPr>
                <w:rFonts w:ascii="Calibri" w:eastAsiaTheme="minorHAnsi" w:hAnsi="Calibri"/>
                <w:sz w:val="22"/>
                <w:szCs w:val="22"/>
              </w:rPr>
            </w:pPr>
            <w:r w:rsidRPr="004C45D2">
              <w:t>No. of 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58FE" w:rsidRPr="004C45D2" w:rsidRDefault="00BF58FE">
            <w:pPr>
              <w:rPr>
                <w:rFonts w:ascii="Calibri" w:eastAsiaTheme="minorHAnsi" w:hAnsi="Calibri"/>
                <w:sz w:val="22"/>
                <w:szCs w:val="22"/>
              </w:rPr>
            </w:pPr>
            <w:r w:rsidRPr="004C45D2">
              <w:t>No.  of Responses per Respondent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58FE" w:rsidRPr="004C45D2" w:rsidRDefault="00BF58FE">
            <w:pPr>
              <w:rPr>
                <w:rFonts w:ascii="Calibri" w:eastAsiaTheme="minorHAnsi" w:hAnsi="Calibri"/>
                <w:sz w:val="22"/>
                <w:szCs w:val="22"/>
              </w:rPr>
            </w:pPr>
            <w:r w:rsidRPr="004C45D2">
              <w:t>Average burden per response (in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58FE" w:rsidRPr="004C45D2" w:rsidRDefault="00BF58FE">
            <w:pPr>
              <w:rPr>
                <w:rFonts w:ascii="Calibri" w:eastAsiaTheme="minorHAnsi" w:hAnsi="Calibri"/>
                <w:sz w:val="22"/>
                <w:szCs w:val="22"/>
              </w:rPr>
            </w:pPr>
            <w:r w:rsidRPr="004C45D2">
              <w:t>Total burden hours</w:t>
            </w:r>
          </w:p>
        </w:tc>
      </w:tr>
      <w:tr w:rsidR="00AB6C2F" w:rsidRPr="004C45D2" w:rsidTr="00F94D29">
        <w:trPr>
          <w:trHeight w:val="472"/>
        </w:trPr>
        <w:tc>
          <w:tcPr>
            <w:tcW w:w="1530" w:type="dxa"/>
            <w:vMerge w:val="restart"/>
            <w:tcBorders>
              <w:top w:val="nil"/>
              <w:left w:val="single" w:sz="8" w:space="0" w:color="auto"/>
              <w:right w:val="single" w:sz="8" w:space="0" w:color="auto"/>
            </w:tcBorders>
            <w:tcMar>
              <w:top w:w="0" w:type="dxa"/>
              <w:left w:w="108" w:type="dxa"/>
              <w:bottom w:w="0" w:type="dxa"/>
              <w:right w:w="108" w:type="dxa"/>
            </w:tcMar>
            <w:hideMark/>
          </w:tcPr>
          <w:p w:rsidR="00AB6C2F" w:rsidRPr="004C45D2" w:rsidRDefault="00AB6C2F">
            <w:pPr>
              <w:rPr>
                <w:rFonts w:ascii="Calibri" w:eastAsiaTheme="minorHAnsi" w:hAnsi="Calibri"/>
                <w:sz w:val="22"/>
                <w:szCs w:val="22"/>
              </w:rPr>
            </w:pPr>
            <w:r w:rsidRPr="004C45D2">
              <w:t xml:space="preserve">Popcorn workers </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pPr>
              <w:rPr>
                <w:rFonts w:ascii="Calibri" w:eastAsiaTheme="minorHAnsi" w:hAnsi="Calibri"/>
                <w:sz w:val="22"/>
                <w:szCs w:val="22"/>
              </w:rPr>
            </w:pPr>
            <w:r w:rsidRPr="004C45D2">
              <w:t>Informed consent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B6C2F" w:rsidRPr="004C45D2" w:rsidRDefault="00AB6C2F">
            <w:r w:rsidRPr="004C45D2">
              <w:t>81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AB6C2F" w:rsidRPr="004C45D2" w:rsidRDefault="00AB6C2F">
            <w:pPr>
              <w:rPr>
                <w:rFonts w:ascii="Calibri" w:eastAsiaTheme="minorHAnsi" w:hAnsi="Calibri"/>
                <w:sz w:val="22"/>
                <w:szCs w:val="22"/>
              </w:rPr>
            </w:pPr>
            <w:r w:rsidRPr="004C45D2">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pPr>
              <w:rPr>
                <w:rFonts w:ascii="Calibri" w:eastAsiaTheme="minorHAnsi" w:hAnsi="Calibri"/>
                <w:sz w:val="22"/>
                <w:szCs w:val="22"/>
              </w:rPr>
            </w:pPr>
            <w:r w:rsidRPr="004C45D2">
              <w:t>10/60</w:t>
            </w:r>
          </w:p>
          <w:p w:rsidR="00AB6C2F" w:rsidRPr="004C45D2" w:rsidRDefault="00AB6C2F">
            <w:pPr>
              <w:rPr>
                <w:rFonts w:ascii="Calibri" w:eastAsiaTheme="minorHAnsi" w:hAnsi="Calibri"/>
                <w:sz w:val="22"/>
                <w:szCs w:val="22"/>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sidP="00A61751">
            <w:pPr>
              <w:rPr>
                <w:rFonts w:eastAsiaTheme="minorHAnsi"/>
              </w:rPr>
            </w:pPr>
            <w:r w:rsidRPr="004C45D2">
              <w:rPr>
                <w:rFonts w:eastAsiaTheme="minorHAnsi"/>
              </w:rPr>
              <w:t>14</w:t>
            </w:r>
          </w:p>
        </w:tc>
      </w:tr>
      <w:tr w:rsidR="00AB6C2F" w:rsidRPr="004C45D2" w:rsidTr="00DE1DC3">
        <w:tc>
          <w:tcPr>
            <w:tcW w:w="1530" w:type="dxa"/>
            <w:vMerge/>
            <w:tcBorders>
              <w:left w:val="single" w:sz="8" w:space="0" w:color="auto"/>
              <w:right w:val="single" w:sz="8" w:space="0" w:color="auto"/>
            </w:tcBorders>
            <w:tcMar>
              <w:top w:w="0" w:type="dxa"/>
              <w:left w:w="108" w:type="dxa"/>
              <w:bottom w:w="0" w:type="dxa"/>
              <w:right w:w="108" w:type="dxa"/>
            </w:tcMar>
          </w:tcPr>
          <w:p w:rsidR="00AB6C2F" w:rsidRPr="004C45D2" w:rsidRDefault="00AB6C2F"/>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Medication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81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8/60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sidP="00A61751">
            <w:pPr>
              <w:rPr>
                <w:rFonts w:eastAsiaTheme="minorHAnsi"/>
              </w:rPr>
            </w:pPr>
            <w:r w:rsidRPr="004C45D2">
              <w:rPr>
                <w:rFonts w:eastAsiaTheme="minorHAnsi"/>
              </w:rPr>
              <w:t>11</w:t>
            </w:r>
          </w:p>
        </w:tc>
      </w:tr>
      <w:tr w:rsidR="00AB6C2F" w:rsidRPr="004C45D2" w:rsidTr="00DE1DC3">
        <w:tc>
          <w:tcPr>
            <w:tcW w:w="1530" w:type="dxa"/>
            <w:vMerge/>
            <w:tcBorders>
              <w:left w:val="single" w:sz="8" w:space="0" w:color="auto"/>
              <w:right w:val="single" w:sz="8" w:space="0" w:color="auto"/>
            </w:tcBorders>
            <w:tcMar>
              <w:top w:w="0" w:type="dxa"/>
              <w:left w:w="108" w:type="dxa"/>
              <w:bottom w:w="0" w:type="dxa"/>
              <w:right w:w="108" w:type="dxa"/>
            </w:tcMar>
          </w:tcPr>
          <w:p w:rsidR="00AB6C2F" w:rsidRPr="004C45D2" w:rsidRDefault="00AB6C2F"/>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Job history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81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8/60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sidP="00A61751">
            <w:pPr>
              <w:rPr>
                <w:rFonts w:eastAsiaTheme="minorHAnsi"/>
              </w:rPr>
            </w:pPr>
            <w:r w:rsidRPr="004C45D2">
              <w:rPr>
                <w:rFonts w:eastAsiaTheme="minorHAnsi"/>
              </w:rPr>
              <w:t>11</w:t>
            </w:r>
          </w:p>
        </w:tc>
      </w:tr>
      <w:tr w:rsidR="00AB6C2F" w:rsidRPr="004C45D2" w:rsidTr="00DE1DC3">
        <w:tc>
          <w:tcPr>
            <w:tcW w:w="1530" w:type="dxa"/>
            <w:vMerge/>
            <w:tcBorders>
              <w:left w:val="single" w:sz="8" w:space="0" w:color="auto"/>
              <w:bottom w:val="single" w:sz="8" w:space="0" w:color="auto"/>
              <w:right w:val="single" w:sz="8" w:space="0" w:color="auto"/>
            </w:tcBorders>
            <w:tcMar>
              <w:top w:w="0" w:type="dxa"/>
              <w:left w:w="108" w:type="dxa"/>
              <w:bottom w:w="0" w:type="dxa"/>
              <w:right w:w="108" w:type="dxa"/>
            </w:tcMar>
          </w:tcPr>
          <w:p w:rsidR="00AB6C2F" w:rsidRPr="004C45D2" w:rsidRDefault="00AB6C2F"/>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Questionnaire</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81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20/60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sidP="00A61751">
            <w:pPr>
              <w:rPr>
                <w:rFonts w:eastAsiaTheme="minorHAnsi"/>
              </w:rPr>
            </w:pPr>
            <w:r w:rsidRPr="004C45D2">
              <w:rPr>
                <w:rFonts w:eastAsiaTheme="minorHAnsi"/>
              </w:rPr>
              <w:t>27</w:t>
            </w:r>
          </w:p>
        </w:tc>
      </w:tr>
      <w:tr w:rsidR="00AB6C2F" w:rsidRPr="004C45D2" w:rsidTr="003A704F">
        <w:tc>
          <w:tcPr>
            <w:tcW w:w="1530" w:type="dxa"/>
            <w:vMerge w:val="restart"/>
            <w:tcBorders>
              <w:top w:val="nil"/>
              <w:left w:val="single" w:sz="8" w:space="0" w:color="auto"/>
              <w:right w:val="single" w:sz="8" w:space="0" w:color="auto"/>
            </w:tcBorders>
            <w:tcMar>
              <w:top w:w="0" w:type="dxa"/>
              <w:left w:w="108" w:type="dxa"/>
              <w:bottom w:w="0" w:type="dxa"/>
              <w:right w:w="108" w:type="dxa"/>
            </w:tcMar>
            <w:hideMark/>
          </w:tcPr>
          <w:p w:rsidR="00AB6C2F" w:rsidRPr="004C45D2" w:rsidRDefault="00AB6C2F">
            <w:pPr>
              <w:rPr>
                <w:rFonts w:ascii="Calibri" w:eastAsiaTheme="minorHAnsi" w:hAnsi="Calibri"/>
                <w:sz w:val="22"/>
                <w:szCs w:val="22"/>
              </w:rPr>
            </w:pPr>
            <w:r w:rsidRPr="004C45D2">
              <w:t>Flavoring workers</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pPr>
              <w:rPr>
                <w:rFonts w:ascii="Calibri" w:eastAsiaTheme="minorHAnsi" w:hAnsi="Calibri"/>
                <w:sz w:val="22"/>
                <w:szCs w:val="22"/>
              </w:rPr>
            </w:pPr>
            <w:r w:rsidRPr="004C45D2">
              <w:t>Informed consent</w:t>
            </w:r>
          </w:p>
          <w:p w:rsidR="00AB6C2F" w:rsidRPr="004C45D2" w:rsidRDefault="00AB6C2F" w:rsidP="00AB6C2F">
            <w:pPr>
              <w:rPr>
                <w:rFonts w:ascii="Calibri" w:eastAsiaTheme="minorHAnsi" w:hAnsi="Calibri"/>
                <w:sz w:val="22"/>
                <w:szCs w:val="22"/>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B6C2F" w:rsidRPr="004C45D2" w:rsidRDefault="00AB6C2F">
            <w:r w:rsidRPr="004C45D2">
              <w:t>56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AB6C2F" w:rsidRPr="004C45D2" w:rsidRDefault="00AB6C2F">
            <w:pPr>
              <w:rPr>
                <w:rFonts w:ascii="Calibri" w:eastAsiaTheme="minorHAnsi" w:hAnsi="Calibri"/>
                <w:sz w:val="22"/>
                <w:szCs w:val="22"/>
              </w:rPr>
            </w:pPr>
            <w:r w:rsidRPr="004C45D2">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pPr>
              <w:rPr>
                <w:rFonts w:ascii="Calibri" w:eastAsiaTheme="minorHAnsi" w:hAnsi="Calibri"/>
                <w:sz w:val="22"/>
                <w:szCs w:val="22"/>
              </w:rPr>
            </w:pPr>
            <w:r w:rsidRPr="004C45D2">
              <w:t>10/60</w:t>
            </w:r>
          </w:p>
          <w:p w:rsidR="00AB6C2F" w:rsidRPr="004C45D2" w:rsidRDefault="00AB6C2F">
            <w:pPr>
              <w:rPr>
                <w:rFonts w:ascii="Calibri" w:eastAsiaTheme="minorHAnsi" w:hAnsi="Calibri"/>
                <w:sz w:val="22"/>
                <w:szCs w:val="22"/>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pPr>
              <w:rPr>
                <w:rFonts w:eastAsiaTheme="minorHAnsi"/>
              </w:rPr>
            </w:pPr>
            <w:r w:rsidRPr="004C45D2">
              <w:rPr>
                <w:rFonts w:eastAsiaTheme="minorHAnsi"/>
              </w:rPr>
              <w:t>9</w:t>
            </w:r>
          </w:p>
        </w:tc>
      </w:tr>
      <w:tr w:rsidR="00AB6C2F" w:rsidRPr="004C45D2" w:rsidTr="003A704F">
        <w:tc>
          <w:tcPr>
            <w:tcW w:w="1530" w:type="dxa"/>
            <w:vMerge/>
            <w:tcBorders>
              <w:left w:val="single" w:sz="8" w:space="0" w:color="auto"/>
              <w:right w:val="single" w:sz="8" w:space="0" w:color="auto"/>
            </w:tcBorders>
            <w:tcMar>
              <w:top w:w="0" w:type="dxa"/>
              <w:left w:w="108" w:type="dxa"/>
              <w:bottom w:w="0" w:type="dxa"/>
              <w:right w:w="108" w:type="dxa"/>
            </w:tcMar>
          </w:tcPr>
          <w:p w:rsidR="00AB6C2F" w:rsidRPr="004C45D2" w:rsidRDefault="00AB6C2F"/>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Medication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56</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sidP="00537B65">
            <w:r w:rsidRPr="004C45D2">
              <w:t>8/60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B825D1">
            <w:pPr>
              <w:rPr>
                <w:rFonts w:eastAsiaTheme="minorHAnsi"/>
              </w:rPr>
            </w:pPr>
            <w:r>
              <w:rPr>
                <w:rFonts w:eastAsiaTheme="minorHAnsi"/>
              </w:rPr>
              <w:t>7</w:t>
            </w:r>
          </w:p>
        </w:tc>
      </w:tr>
      <w:tr w:rsidR="00AB6C2F" w:rsidRPr="004C45D2" w:rsidTr="003A704F">
        <w:tc>
          <w:tcPr>
            <w:tcW w:w="1530" w:type="dxa"/>
            <w:vMerge/>
            <w:tcBorders>
              <w:left w:val="single" w:sz="8" w:space="0" w:color="auto"/>
              <w:right w:val="single" w:sz="8" w:space="0" w:color="auto"/>
            </w:tcBorders>
            <w:tcMar>
              <w:top w:w="0" w:type="dxa"/>
              <w:left w:w="108" w:type="dxa"/>
              <w:bottom w:w="0" w:type="dxa"/>
              <w:right w:w="108" w:type="dxa"/>
            </w:tcMar>
          </w:tcPr>
          <w:p w:rsidR="00AB6C2F" w:rsidRPr="004C45D2" w:rsidRDefault="00AB6C2F"/>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Job history form</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56</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sidP="00537B65">
            <w:r w:rsidRPr="004C45D2">
              <w:t>8/60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B825D1">
            <w:pPr>
              <w:rPr>
                <w:rFonts w:eastAsiaTheme="minorHAnsi"/>
              </w:rPr>
            </w:pPr>
            <w:r>
              <w:rPr>
                <w:rFonts w:eastAsiaTheme="minorHAnsi"/>
              </w:rPr>
              <w:t>7</w:t>
            </w:r>
          </w:p>
        </w:tc>
      </w:tr>
      <w:tr w:rsidR="00AB6C2F" w:rsidRPr="004C45D2" w:rsidTr="003A704F">
        <w:tc>
          <w:tcPr>
            <w:tcW w:w="1530" w:type="dxa"/>
            <w:vMerge/>
            <w:tcBorders>
              <w:left w:val="single" w:sz="8" w:space="0" w:color="auto"/>
              <w:bottom w:val="single" w:sz="8" w:space="0" w:color="auto"/>
              <w:right w:val="single" w:sz="8" w:space="0" w:color="auto"/>
            </w:tcBorders>
            <w:tcMar>
              <w:top w:w="0" w:type="dxa"/>
              <w:left w:w="108" w:type="dxa"/>
              <w:bottom w:w="0" w:type="dxa"/>
              <w:right w:w="108" w:type="dxa"/>
            </w:tcMar>
          </w:tcPr>
          <w:p w:rsidR="00AB6C2F" w:rsidRPr="004C45D2" w:rsidRDefault="00AB6C2F"/>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Questionnaire</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56</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 w:rsidRPr="004C45D2">
              <w:t>1</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AB6C2F" w:rsidP="00537B65">
            <w:r w:rsidRPr="004C45D2">
              <w:t>20/60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B6C2F" w:rsidRPr="004C45D2" w:rsidRDefault="00F94D29">
            <w:pPr>
              <w:rPr>
                <w:rFonts w:eastAsiaTheme="minorHAnsi"/>
              </w:rPr>
            </w:pPr>
            <w:r w:rsidRPr="004C45D2">
              <w:rPr>
                <w:rFonts w:eastAsiaTheme="minorHAnsi"/>
              </w:rPr>
              <w:t>19</w:t>
            </w:r>
          </w:p>
        </w:tc>
      </w:tr>
      <w:tr w:rsidR="00475CDE" w:rsidTr="00555AA2">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5CDE" w:rsidRPr="004C45D2" w:rsidRDefault="00475CDE">
            <w:pPr>
              <w:rPr>
                <w:rFonts w:ascii="Calibri" w:eastAsiaTheme="minorHAnsi" w:hAnsi="Calibri"/>
                <w:b/>
                <w:sz w:val="22"/>
                <w:szCs w:val="22"/>
              </w:rPr>
            </w:pPr>
            <w:r w:rsidRPr="004C45D2">
              <w:rPr>
                <w:b/>
              </w:rPr>
              <w:t>Total</w:t>
            </w:r>
          </w:p>
        </w:tc>
        <w:tc>
          <w:tcPr>
            <w:tcW w:w="6930" w:type="dxa"/>
            <w:gridSpan w:val="4"/>
            <w:tcBorders>
              <w:top w:val="nil"/>
              <w:left w:val="nil"/>
              <w:bottom w:val="single" w:sz="8" w:space="0" w:color="auto"/>
              <w:right w:val="single" w:sz="8" w:space="0" w:color="auto"/>
            </w:tcBorders>
            <w:tcMar>
              <w:top w:w="0" w:type="dxa"/>
              <w:left w:w="108" w:type="dxa"/>
              <w:bottom w:w="0" w:type="dxa"/>
              <w:right w:w="108" w:type="dxa"/>
            </w:tcMar>
          </w:tcPr>
          <w:p w:rsidR="00475CDE" w:rsidRPr="004C45D2" w:rsidRDefault="00475CDE">
            <w:pPr>
              <w:rPr>
                <w:rFonts w:ascii="Calibri" w:eastAsiaTheme="minorHAnsi" w:hAnsi="Calibri"/>
                <w:b/>
                <w:sz w:val="22"/>
                <w:szCs w:val="22"/>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475CDE" w:rsidRPr="007E7A42" w:rsidRDefault="00F94D29">
            <w:pPr>
              <w:rPr>
                <w:rFonts w:eastAsiaTheme="minorHAnsi"/>
                <w:b/>
              </w:rPr>
            </w:pPr>
            <w:r w:rsidRPr="004C45D2">
              <w:rPr>
                <w:rFonts w:eastAsiaTheme="minorHAnsi"/>
                <w:b/>
              </w:rPr>
              <w:t>10</w:t>
            </w:r>
            <w:r w:rsidR="00B825D1">
              <w:rPr>
                <w:rFonts w:eastAsiaTheme="minorHAnsi"/>
                <w:b/>
              </w:rPr>
              <w:t>5</w:t>
            </w:r>
          </w:p>
        </w:tc>
      </w:tr>
    </w:tbl>
    <w:p w:rsidR="00BF58FE" w:rsidRDefault="00BF58FE" w:rsidP="00BF58FE">
      <w:pPr>
        <w:rPr>
          <w:rFonts w:ascii="Calibri" w:eastAsiaTheme="minorHAnsi" w:hAnsi="Calibri"/>
          <w:color w:val="1F497D"/>
          <w:sz w:val="22"/>
          <w:szCs w:val="22"/>
        </w:rPr>
      </w:pPr>
    </w:p>
    <w:p w:rsidR="00B62A4E" w:rsidRDefault="00B62A4E" w:rsidP="000A4371"/>
    <w:p w:rsidR="00475CDE" w:rsidRDefault="00475CDE" w:rsidP="0061608C">
      <w:pPr>
        <w:outlineLvl w:val="3"/>
        <w:rPr>
          <w:u w:val="single"/>
        </w:rPr>
      </w:pPr>
    </w:p>
    <w:p w:rsidR="00475CDE" w:rsidRDefault="00475CDE" w:rsidP="0061608C">
      <w:pPr>
        <w:outlineLvl w:val="3"/>
        <w:rPr>
          <w:u w:val="single"/>
        </w:rPr>
      </w:pPr>
    </w:p>
    <w:p w:rsidR="00BD40B9" w:rsidRPr="00A61751" w:rsidRDefault="002C06AE" w:rsidP="0061608C">
      <w:pPr>
        <w:outlineLvl w:val="3"/>
        <w:rPr>
          <w:color w:val="0000FF"/>
          <w:u w:val="single"/>
        </w:rPr>
      </w:pPr>
      <w:r w:rsidRPr="00B672B5">
        <w:rPr>
          <w:u w:val="single"/>
        </w:rPr>
        <w:t xml:space="preserve">Estimated </w:t>
      </w:r>
      <w:r w:rsidR="002E0EC1">
        <w:rPr>
          <w:u w:val="single"/>
        </w:rPr>
        <w:t>A</w:t>
      </w:r>
      <w:r w:rsidR="00B672B5" w:rsidRPr="00B672B5">
        <w:rPr>
          <w:u w:val="single"/>
        </w:rPr>
        <w:t xml:space="preserve">nnualized </w:t>
      </w:r>
      <w:r w:rsidR="002E0EC1">
        <w:rPr>
          <w:u w:val="single"/>
        </w:rPr>
        <w:t xml:space="preserve">Burden </w:t>
      </w:r>
      <w:r w:rsidR="00FE2319">
        <w:rPr>
          <w:u w:val="single"/>
        </w:rPr>
        <w:t>Costs</w:t>
      </w:r>
      <w:r w:rsidR="00A61751">
        <w:rPr>
          <w:rStyle w:val="Hyperlink"/>
        </w:rPr>
        <w:t xml:space="preserve"> </w:t>
      </w:r>
    </w:p>
    <w:p w:rsidR="00CA344A" w:rsidRDefault="002C06AE" w:rsidP="0061608C">
      <w:pPr>
        <w:outlineLvl w:val="3"/>
        <w:rPr>
          <w:b/>
        </w:rPr>
      </w:pPr>
      <w:r>
        <w:rPr>
          <w:b/>
        </w:rPr>
        <w:tab/>
      </w:r>
    </w:p>
    <w:tbl>
      <w:tblPr>
        <w:tblStyle w:val="TableGrid"/>
        <w:tblW w:w="0" w:type="auto"/>
        <w:tblInd w:w="108" w:type="dxa"/>
        <w:tblLook w:val="01E0" w:firstRow="1" w:lastRow="1" w:firstColumn="1" w:lastColumn="1" w:noHBand="0" w:noVBand="0"/>
      </w:tblPr>
      <w:tblGrid>
        <w:gridCol w:w="2691"/>
        <w:gridCol w:w="1563"/>
        <w:gridCol w:w="1544"/>
        <w:gridCol w:w="1536"/>
        <w:gridCol w:w="1414"/>
      </w:tblGrid>
      <w:tr w:rsidR="00475CDE" w:rsidTr="00475CDE">
        <w:tc>
          <w:tcPr>
            <w:tcW w:w="2691" w:type="dxa"/>
          </w:tcPr>
          <w:p w:rsidR="00475CDE" w:rsidRDefault="00475CDE" w:rsidP="00CA344A">
            <w:r>
              <w:t>Type of Respondent</w:t>
            </w:r>
          </w:p>
        </w:tc>
        <w:tc>
          <w:tcPr>
            <w:tcW w:w="1563" w:type="dxa"/>
          </w:tcPr>
          <w:p w:rsidR="00475CDE" w:rsidRDefault="00475CDE" w:rsidP="00CA344A">
            <w:r w:rsidRPr="00475CDE">
              <w:t>Form Name</w:t>
            </w:r>
          </w:p>
        </w:tc>
        <w:tc>
          <w:tcPr>
            <w:tcW w:w="1544" w:type="dxa"/>
          </w:tcPr>
          <w:p w:rsidR="00475CDE" w:rsidRDefault="00475CDE" w:rsidP="00CA344A">
            <w:r>
              <w:t>Total Burden Hours</w:t>
            </w:r>
          </w:p>
        </w:tc>
        <w:tc>
          <w:tcPr>
            <w:tcW w:w="1536" w:type="dxa"/>
          </w:tcPr>
          <w:p w:rsidR="00475CDE" w:rsidRDefault="00475CDE" w:rsidP="00CA344A">
            <w:r>
              <w:t>Hourly Wage Rate</w:t>
            </w:r>
          </w:p>
        </w:tc>
        <w:tc>
          <w:tcPr>
            <w:tcW w:w="1414" w:type="dxa"/>
          </w:tcPr>
          <w:p w:rsidR="00475CDE" w:rsidRDefault="00475CDE" w:rsidP="00CA344A">
            <w:r>
              <w:t>Total Respondent Costs</w:t>
            </w:r>
          </w:p>
        </w:tc>
      </w:tr>
      <w:tr w:rsidR="004C45D2" w:rsidTr="00475CDE">
        <w:tc>
          <w:tcPr>
            <w:tcW w:w="2691" w:type="dxa"/>
            <w:vMerge w:val="restart"/>
          </w:tcPr>
          <w:p w:rsidR="004C45D2" w:rsidRDefault="004C45D2" w:rsidP="00475CDE">
            <w:r>
              <w:t>Popcorn workers</w:t>
            </w:r>
          </w:p>
        </w:tc>
        <w:tc>
          <w:tcPr>
            <w:tcW w:w="1563" w:type="dxa"/>
          </w:tcPr>
          <w:p w:rsidR="004C45D2" w:rsidRDefault="004C45D2" w:rsidP="00475CDE">
            <w:pPr>
              <w:rPr>
                <w:rFonts w:ascii="Calibri" w:eastAsiaTheme="minorHAnsi" w:hAnsi="Calibri"/>
                <w:sz w:val="22"/>
                <w:szCs w:val="22"/>
              </w:rPr>
            </w:pPr>
            <w:r>
              <w:t>Informed consent</w:t>
            </w:r>
          </w:p>
          <w:p w:rsidR="004C45D2" w:rsidRDefault="004C45D2" w:rsidP="00726677">
            <w:pPr>
              <w:rPr>
                <w:rFonts w:ascii="Calibri" w:eastAsiaTheme="minorHAnsi" w:hAnsi="Calibri"/>
                <w:sz w:val="22"/>
                <w:szCs w:val="22"/>
              </w:rPr>
            </w:pPr>
          </w:p>
        </w:tc>
        <w:tc>
          <w:tcPr>
            <w:tcW w:w="1544" w:type="dxa"/>
          </w:tcPr>
          <w:p w:rsidR="004C45D2" w:rsidRPr="0053349F" w:rsidRDefault="004C45D2" w:rsidP="00D2699B">
            <w:r w:rsidRPr="0053349F">
              <w:t>14</w:t>
            </w:r>
          </w:p>
        </w:tc>
        <w:tc>
          <w:tcPr>
            <w:tcW w:w="1536" w:type="dxa"/>
          </w:tcPr>
          <w:p w:rsidR="004C45D2" w:rsidRDefault="004C45D2" w:rsidP="00475CDE">
            <w:r>
              <w:t>$13.26</w:t>
            </w:r>
          </w:p>
        </w:tc>
        <w:tc>
          <w:tcPr>
            <w:tcW w:w="1414" w:type="dxa"/>
          </w:tcPr>
          <w:p w:rsidR="004C45D2" w:rsidRDefault="004C45D2" w:rsidP="00726677">
            <w:r>
              <w:t>$186</w:t>
            </w:r>
          </w:p>
        </w:tc>
      </w:tr>
      <w:tr w:rsidR="004C45D2" w:rsidTr="00475CDE">
        <w:tc>
          <w:tcPr>
            <w:tcW w:w="2691" w:type="dxa"/>
            <w:vMerge/>
          </w:tcPr>
          <w:p w:rsidR="004C45D2" w:rsidRDefault="004C45D2" w:rsidP="00475CDE"/>
        </w:tc>
        <w:tc>
          <w:tcPr>
            <w:tcW w:w="1563" w:type="dxa"/>
          </w:tcPr>
          <w:p w:rsidR="004C45D2" w:rsidRDefault="004C45D2" w:rsidP="00475CDE">
            <w:r w:rsidRPr="00726677">
              <w:t>Medication form</w:t>
            </w:r>
          </w:p>
        </w:tc>
        <w:tc>
          <w:tcPr>
            <w:tcW w:w="1544" w:type="dxa"/>
          </w:tcPr>
          <w:p w:rsidR="004C45D2" w:rsidRPr="0053349F" w:rsidRDefault="004C45D2" w:rsidP="00D2699B">
            <w:r w:rsidRPr="0053349F">
              <w:t>11</w:t>
            </w:r>
          </w:p>
        </w:tc>
        <w:tc>
          <w:tcPr>
            <w:tcW w:w="1536" w:type="dxa"/>
          </w:tcPr>
          <w:p w:rsidR="004C45D2" w:rsidRDefault="004C45D2" w:rsidP="00726677">
            <w:r>
              <w:t>$13.26</w:t>
            </w:r>
          </w:p>
        </w:tc>
        <w:tc>
          <w:tcPr>
            <w:tcW w:w="1414" w:type="dxa"/>
          </w:tcPr>
          <w:p w:rsidR="004C45D2" w:rsidRDefault="004C45D2" w:rsidP="00475CDE">
            <w:r>
              <w:t>$146</w:t>
            </w:r>
          </w:p>
        </w:tc>
      </w:tr>
      <w:tr w:rsidR="004C45D2" w:rsidTr="00475CDE">
        <w:tc>
          <w:tcPr>
            <w:tcW w:w="2691" w:type="dxa"/>
            <w:vMerge/>
          </w:tcPr>
          <w:p w:rsidR="004C45D2" w:rsidRDefault="004C45D2" w:rsidP="00475CDE"/>
        </w:tc>
        <w:tc>
          <w:tcPr>
            <w:tcW w:w="1563" w:type="dxa"/>
          </w:tcPr>
          <w:p w:rsidR="004C45D2" w:rsidRDefault="004C45D2" w:rsidP="00475CDE">
            <w:r w:rsidRPr="00726677">
              <w:t>Job history form</w:t>
            </w:r>
          </w:p>
        </w:tc>
        <w:tc>
          <w:tcPr>
            <w:tcW w:w="1544" w:type="dxa"/>
          </w:tcPr>
          <w:p w:rsidR="004C45D2" w:rsidRPr="0053349F" w:rsidRDefault="004C45D2" w:rsidP="00D2699B">
            <w:r w:rsidRPr="0053349F">
              <w:t>11</w:t>
            </w:r>
          </w:p>
        </w:tc>
        <w:tc>
          <w:tcPr>
            <w:tcW w:w="1536" w:type="dxa"/>
          </w:tcPr>
          <w:p w:rsidR="004C45D2" w:rsidRPr="00EE5326" w:rsidRDefault="004C45D2" w:rsidP="005902A6">
            <w:r w:rsidRPr="00EE5326">
              <w:t>$13.26</w:t>
            </w:r>
          </w:p>
        </w:tc>
        <w:tc>
          <w:tcPr>
            <w:tcW w:w="1414" w:type="dxa"/>
          </w:tcPr>
          <w:p w:rsidR="004C45D2" w:rsidRDefault="004C45D2" w:rsidP="005902A6">
            <w:r w:rsidRPr="00EE5326">
              <w:t>$146</w:t>
            </w:r>
          </w:p>
        </w:tc>
      </w:tr>
      <w:tr w:rsidR="004C45D2" w:rsidTr="00475CDE">
        <w:tc>
          <w:tcPr>
            <w:tcW w:w="2691" w:type="dxa"/>
            <w:vMerge/>
          </w:tcPr>
          <w:p w:rsidR="004C45D2" w:rsidRDefault="004C45D2" w:rsidP="00475CDE"/>
        </w:tc>
        <w:tc>
          <w:tcPr>
            <w:tcW w:w="1563" w:type="dxa"/>
          </w:tcPr>
          <w:p w:rsidR="004C45D2" w:rsidRDefault="004C45D2" w:rsidP="00475CDE">
            <w:r w:rsidRPr="00726677">
              <w:t>Questionnaire</w:t>
            </w:r>
          </w:p>
        </w:tc>
        <w:tc>
          <w:tcPr>
            <w:tcW w:w="1544" w:type="dxa"/>
          </w:tcPr>
          <w:p w:rsidR="004C45D2" w:rsidRDefault="004C45D2" w:rsidP="00D2699B">
            <w:r w:rsidRPr="0053349F">
              <w:t>27</w:t>
            </w:r>
          </w:p>
        </w:tc>
        <w:tc>
          <w:tcPr>
            <w:tcW w:w="1536" w:type="dxa"/>
          </w:tcPr>
          <w:p w:rsidR="004C45D2" w:rsidRDefault="004C45D2" w:rsidP="00475CDE">
            <w:r>
              <w:t>$13.26</w:t>
            </w:r>
          </w:p>
        </w:tc>
        <w:tc>
          <w:tcPr>
            <w:tcW w:w="1414" w:type="dxa"/>
          </w:tcPr>
          <w:p w:rsidR="004C45D2" w:rsidRDefault="004C45D2" w:rsidP="00475CDE">
            <w:r>
              <w:t>$358</w:t>
            </w:r>
          </w:p>
        </w:tc>
      </w:tr>
      <w:tr w:rsidR="004C45D2" w:rsidTr="00475CDE">
        <w:tc>
          <w:tcPr>
            <w:tcW w:w="2691" w:type="dxa"/>
            <w:vMerge w:val="restart"/>
          </w:tcPr>
          <w:p w:rsidR="004C45D2" w:rsidRDefault="004C45D2" w:rsidP="00475CDE">
            <w:r>
              <w:t>Flavoring workers</w:t>
            </w:r>
          </w:p>
        </w:tc>
        <w:tc>
          <w:tcPr>
            <w:tcW w:w="1563" w:type="dxa"/>
          </w:tcPr>
          <w:p w:rsidR="004C45D2" w:rsidRDefault="004C45D2" w:rsidP="00475CDE">
            <w:pPr>
              <w:rPr>
                <w:rFonts w:ascii="Calibri" w:eastAsiaTheme="minorHAnsi" w:hAnsi="Calibri"/>
                <w:sz w:val="22"/>
                <w:szCs w:val="22"/>
              </w:rPr>
            </w:pPr>
            <w:r>
              <w:t>Informed consent</w:t>
            </w:r>
          </w:p>
          <w:p w:rsidR="004C45D2" w:rsidRDefault="004C45D2" w:rsidP="00726677">
            <w:pPr>
              <w:rPr>
                <w:rFonts w:ascii="Calibri" w:eastAsiaTheme="minorHAnsi" w:hAnsi="Calibri"/>
                <w:sz w:val="22"/>
                <w:szCs w:val="22"/>
              </w:rPr>
            </w:pPr>
          </w:p>
        </w:tc>
        <w:tc>
          <w:tcPr>
            <w:tcW w:w="1544" w:type="dxa"/>
          </w:tcPr>
          <w:p w:rsidR="004C45D2" w:rsidRPr="00050CFE" w:rsidRDefault="004C45D2" w:rsidP="007556C0">
            <w:r w:rsidRPr="00050CFE">
              <w:t>9</w:t>
            </w:r>
          </w:p>
        </w:tc>
        <w:tc>
          <w:tcPr>
            <w:tcW w:w="1536" w:type="dxa"/>
          </w:tcPr>
          <w:p w:rsidR="004C45D2" w:rsidRDefault="004C45D2" w:rsidP="00475CDE">
            <w:r>
              <w:t>$13.26</w:t>
            </w:r>
          </w:p>
        </w:tc>
        <w:tc>
          <w:tcPr>
            <w:tcW w:w="1414" w:type="dxa"/>
          </w:tcPr>
          <w:p w:rsidR="004C45D2" w:rsidRDefault="004C45D2" w:rsidP="00726677">
            <w:r>
              <w:t>$119</w:t>
            </w:r>
          </w:p>
        </w:tc>
      </w:tr>
      <w:tr w:rsidR="004C45D2" w:rsidTr="00475CDE">
        <w:tc>
          <w:tcPr>
            <w:tcW w:w="2691" w:type="dxa"/>
            <w:vMerge/>
          </w:tcPr>
          <w:p w:rsidR="004C45D2" w:rsidRDefault="004C45D2" w:rsidP="00475CDE"/>
        </w:tc>
        <w:tc>
          <w:tcPr>
            <w:tcW w:w="1563" w:type="dxa"/>
          </w:tcPr>
          <w:p w:rsidR="004C45D2" w:rsidRDefault="004C45D2" w:rsidP="00475CDE">
            <w:r w:rsidRPr="00726677">
              <w:t>Medication form</w:t>
            </w:r>
          </w:p>
        </w:tc>
        <w:tc>
          <w:tcPr>
            <w:tcW w:w="1544" w:type="dxa"/>
          </w:tcPr>
          <w:p w:rsidR="004C45D2" w:rsidRPr="00050CFE" w:rsidRDefault="009E5DB1" w:rsidP="007556C0">
            <w:r>
              <w:t>7</w:t>
            </w:r>
          </w:p>
        </w:tc>
        <w:tc>
          <w:tcPr>
            <w:tcW w:w="1536" w:type="dxa"/>
          </w:tcPr>
          <w:p w:rsidR="004C45D2" w:rsidRPr="00C109B7" w:rsidRDefault="004C45D2" w:rsidP="0092364A">
            <w:r w:rsidRPr="00C109B7">
              <w:t>$13.26</w:t>
            </w:r>
          </w:p>
        </w:tc>
        <w:tc>
          <w:tcPr>
            <w:tcW w:w="1414" w:type="dxa"/>
          </w:tcPr>
          <w:p w:rsidR="004C45D2" w:rsidRDefault="004C45D2" w:rsidP="00475CDE">
            <w:r>
              <w:t>$</w:t>
            </w:r>
            <w:r w:rsidR="009E5DB1">
              <w:t>93</w:t>
            </w:r>
          </w:p>
        </w:tc>
      </w:tr>
      <w:tr w:rsidR="004C45D2" w:rsidTr="00475CDE">
        <w:tc>
          <w:tcPr>
            <w:tcW w:w="2691" w:type="dxa"/>
            <w:vMerge/>
          </w:tcPr>
          <w:p w:rsidR="004C45D2" w:rsidRDefault="004C45D2" w:rsidP="00475CDE"/>
        </w:tc>
        <w:tc>
          <w:tcPr>
            <w:tcW w:w="1563" w:type="dxa"/>
          </w:tcPr>
          <w:p w:rsidR="004C45D2" w:rsidRDefault="004C45D2" w:rsidP="00475CDE">
            <w:r w:rsidRPr="00726677">
              <w:t>Job history form</w:t>
            </w:r>
          </w:p>
        </w:tc>
        <w:tc>
          <w:tcPr>
            <w:tcW w:w="1544" w:type="dxa"/>
          </w:tcPr>
          <w:p w:rsidR="004C45D2" w:rsidRPr="00050CFE" w:rsidRDefault="009E5DB1" w:rsidP="007556C0">
            <w:r>
              <w:t>7</w:t>
            </w:r>
          </w:p>
        </w:tc>
        <w:tc>
          <w:tcPr>
            <w:tcW w:w="1536" w:type="dxa"/>
          </w:tcPr>
          <w:p w:rsidR="004C45D2" w:rsidRPr="00C109B7" w:rsidRDefault="004C45D2" w:rsidP="0092364A">
            <w:r w:rsidRPr="00C109B7">
              <w:t>$13.26</w:t>
            </w:r>
          </w:p>
        </w:tc>
        <w:tc>
          <w:tcPr>
            <w:tcW w:w="1414" w:type="dxa"/>
          </w:tcPr>
          <w:p w:rsidR="004C45D2" w:rsidRDefault="004C45D2" w:rsidP="00475CDE">
            <w:r>
              <w:t>$</w:t>
            </w:r>
            <w:r w:rsidR="009E5DB1">
              <w:t>93</w:t>
            </w:r>
          </w:p>
        </w:tc>
      </w:tr>
      <w:tr w:rsidR="004C45D2" w:rsidTr="00475CDE">
        <w:tc>
          <w:tcPr>
            <w:tcW w:w="2691" w:type="dxa"/>
            <w:vMerge/>
          </w:tcPr>
          <w:p w:rsidR="004C45D2" w:rsidRDefault="004C45D2" w:rsidP="00475CDE"/>
        </w:tc>
        <w:tc>
          <w:tcPr>
            <w:tcW w:w="1563" w:type="dxa"/>
          </w:tcPr>
          <w:p w:rsidR="004C45D2" w:rsidRDefault="004C45D2" w:rsidP="00475CDE">
            <w:r w:rsidRPr="00726677">
              <w:t>Questionnaire</w:t>
            </w:r>
          </w:p>
        </w:tc>
        <w:tc>
          <w:tcPr>
            <w:tcW w:w="1544" w:type="dxa"/>
          </w:tcPr>
          <w:p w:rsidR="004C45D2" w:rsidRDefault="004C45D2" w:rsidP="007556C0">
            <w:r w:rsidRPr="00050CFE">
              <w:t>19</w:t>
            </w:r>
          </w:p>
        </w:tc>
        <w:tc>
          <w:tcPr>
            <w:tcW w:w="1536" w:type="dxa"/>
          </w:tcPr>
          <w:p w:rsidR="004C45D2" w:rsidRDefault="004C45D2" w:rsidP="0092364A">
            <w:r w:rsidRPr="00C109B7">
              <w:t>$13.26</w:t>
            </w:r>
          </w:p>
        </w:tc>
        <w:tc>
          <w:tcPr>
            <w:tcW w:w="1414" w:type="dxa"/>
          </w:tcPr>
          <w:p w:rsidR="004C45D2" w:rsidRDefault="004C45D2" w:rsidP="00475CDE">
            <w:r>
              <w:t>$252</w:t>
            </w:r>
          </w:p>
        </w:tc>
      </w:tr>
      <w:tr w:rsidR="00475CDE" w:rsidTr="00475CDE">
        <w:tc>
          <w:tcPr>
            <w:tcW w:w="2691" w:type="dxa"/>
          </w:tcPr>
          <w:p w:rsidR="00475CDE" w:rsidRPr="007E7A42" w:rsidRDefault="00475CDE" w:rsidP="00CA344A">
            <w:pPr>
              <w:rPr>
                <w:b/>
              </w:rPr>
            </w:pPr>
            <w:r w:rsidRPr="007E7A42">
              <w:rPr>
                <w:b/>
              </w:rPr>
              <w:t>Total</w:t>
            </w:r>
          </w:p>
        </w:tc>
        <w:tc>
          <w:tcPr>
            <w:tcW w:w="4643" w:type="dxa"/>
            <w:gridSpan w:val="3"/>
          </w:tcPr>
          <w:p w:rsidR="00475CDE" w:rsidRPr="007E7A42" w:rsidRDefault="00475CDE" w:rsidP="00E75A51">
            <w:pPr>
              <w:rPr>
                <w:b/>
              </w:rPr>
            </w:pPr>
          </w:p>
        </w:tc>
        <w:tc>
          <w:tcPr>
            <w:tcW w:w="1414" w:type="dxa"/>
          </w:tcPr>
          <w:p w:rsidR="00475CDE" w:rsidRPr="007E7A42" w:rsidRDefault="00475CDE" w:rsidP="009E5DB1">
            <w:pPr>
              <w:rPr>
                <w:b/>
              </w:rPr>
            </w:pPr>
            <w:r w:rsidRPr="007E7A42">
              <w:rPr>
                <w:b/>
              </w:rPr>
              <w:t>$</w:t>
            </w:r>
            <w:r w:rsidR="009E5DB1">
              <w:rPr>
                <w:b/>
              </w:rPr>
              <w:t>13</w:t>
            </w:r>
            <w:r w:rsidR="00726677">
              <w:rPr>
                <w:b/>
              </w:rPr>
              <w:t>9</w:t>
            </w:r>
            <w:r w:rsidR="009E5DB1">
              <w:rPr>
                <w:b/>
              </w:rPr>
              <w:t>3</w:t>
            </w:r>
            <w:bookmarkStart w:id="48" w:name="_GoBack"/>
            <w:bookmarkEnd w:id="48"/>
          </w:p>
        </w:tc>
      </w:tr>
    </w:tbl>
    <w:p w:rsidR="00A61751" w:rsidRDefault="00120241" w:rsidP="00A61751">
      <w:r>
        <w:tab/>
      </w:r>
    </w:p>
    <w:p w:rsidR="00A61751" w:rsidRDefault="00607BAA" w:rsidP="00B83BD6">
      <w:pPr>
        <w:ind w:firstLine="720"/>
      </w:pPr>
      <w:r>
        <w:t xml:space="preserve">B. </w:t>
      </w:r>
      <w:r w:rsidR="00A61751">
        <w:t xml:space="preserve">These estimates are calculated from the U.S. Department of Labor’s National Industry-Specific Occupational Employment and Wage Earnings in May 2011 for the average hourly rate of food </w:t>
      </w:r>
      <w:proofErr w:type="spellStart"/>
      <w:r w:rsidR="00A61751">
        <w:t>batchmakers</w:t>
      </w:r>
      <w:proofErr w:type="spellEnd"/>
      <w:r w:rsidR="00A61751">
        <w:t>.  Popcorn and flavoring workers are estimated using the average hourly wages for this occupation.</w:t>
      </w:r>
    </w:p>
    <w:p w:rsidR="00A61751" w:rsidRDefault="00A61751" w:rsidP="00A61751">
      <w:pPr>
        <w:outlineLvl w:val="3"/>
        <w:rPr>
          <w:rStyle w:val="Hyperlink"/>
        </w:rPr>
      </w:pPr>
      <w:r>
        <w:t xml:space="preserve">Website: </w:t>
      </w:r>
      <w:hyperlink r:id="rId9" w:anchor="st" w:history="1">
        <w:r w:rsidRPr="007D407E">
          <w:rPr>
            <w:rStyle w:val="Hyperlink"/>
          </w:rPr>
          <w:t>http://www.bls.gov/oes/current/oes513092.htm#st</w:t>
        </w:r>
      </w:hyperlink>
    </w:p>
    <w:p w:rsidR="00A61751" w:rsidRDefault="00A61751" w:rsidP="00D759E9"/>
    <w:p w:rsidR="00A61751" w:rsidRDefault="00A61751" w:rsidP="00D759E9"/>
    <w:p w:rsidR="00C61FBC" w:rsidRDefault="002915E9" w:rsidP="00C05226">
      <w:pPr>
        <w:pStyle w:val="Level2"/>
      </w:pPr>
      <w:bookmarkStart w:id="49" w:name="_Toc161124937"/>
      <w:bookmarkStart w:id="50" w:name="_Toc179774559"/>
      <w:r>
        <w:t>13.</w:t>
      </w:r>
      <w:r>
        <w:tab/>
      </w:r>
      <w:r w:rsidR="009F5A1C" w:rsidRPr="00C05226">
        <w:t>Estimates of Other Total Annual Cost Burden to Respondents or Record Keepers</w:t>
      </w:r>
      <w:bookmarkEnd w:id="49"/>
      <w:bookmarkEnd w:id="50"/>
    </w:p>
    <w:p w:rsidR="009F5A1C" w:rsidRDefault="009F5A1C" w:rsidP="009F5A1C">
      <w:pPr>
        <w:ind w:left="360" w:hanging="360"/>
      </w:pPr>
      <w:r>
        <w:rPr>
          <w:b/>
        </w:rPr>
        <w:tab/>
      </w:r>
      <w:r w:rsidR="001902C9">
        <w:rPr>
          <w:b/>
        </w:rPr>
        <w:tab/>
      </w:r>
      <w:r w:rsidR="001902C9">
        <w:t>Ther</w:t>
      </w:r>
      <w:r w:rsidR="00F346F6">
        <w:t>e are none.</w:t>
      </w:r>
    </w:p>
    <w:p w:rsidR="00EF1837" w:rsidRDefault="00EF1837" w:rsidP="009F5A1C">
      <w:pPr>
        <w:ind w:left="360" w:hanging="360"/>
      </w:pPr>
    </w:p>
    <w:p w:rsidR="009F5A1C" w:rsidRDefault="002915E9" w:rsidP="00E25F75">
      <w:pPr>
        <w:pStyle w:val="Level2"/>
      </w:pPr>
      <w:bookmarkStart w:id="51" w:name="_Toc161124938"/>
      <w:bookmarkStart w:id="52" w:name="_Toc179766427"/>
      <w:bookmarkStart w:id="53" w:name="_Toc179774560"/>
      <w:r>
        <w:t>14.</w:t>
      </w:r>
      <w:r>
        <w:tab/>
      </w:r>
      <w:r w:rsidR="009F5A1C">
        <w:t>Annualized Cost to the Government</w:t>
      </w:r>
      <w:bookmarkEnd w:id="51"/>
      <w:bookmarkEnd w:id="52"/>
      <w:bookmarkEnd w:id="53"/>
      <w:r w:rsidR="00100B9B">
        <w:t xml:space="preserve"> </w:t>
      </w:r>
    </w:p>
    <w:p w:rsidR="00866A22" w:rsidRDefault="00E20EA6" w:rsidP="00866A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The annualized cost to th</w:t>
      </w:r>
      <w:r w:rsidR="00C77A14">
        <w:t xml:space="preserve">e government </w:t>
      </w:r>
      <w:r w:rsidR="0031746D">
        <w:t>is</w:t>
      </w:r>
      <w:r w:rsidR="00C77A14">
        <w:t xml:space="preserve"> $</w:t>
      </w:r>
      <w:r w:rsidR="002E4248">
        <w:t>78,019</w:t>
      </w:r>
      <w:r w:rsidR="00C77E9A">
        <w:t xml:space="preserve"> for the first year </w:t>
      </w:r>
      <w:r w:rsidR="00664530">
        <w:t>and</w:t>
      </w:r>
      <w:r w:rsidR="00C77E9A">
        <w:t xml:space="preserve"> $</w:t>
      </w:r>
      <w:r w:rsidR="002E4248">
        <w:t>54,034</w:t>
      </w:r>
      <w:r>
        <w:t xml:space="preserve"> for the </w:t>
      </w:r>
      <w:r w:rsidR="0031746D">
        <w:t>second year</w:t>
      </w:r>
      <w:r w:rsidR="00E75A51">
        <w:t xml:space="preserve">.  </w:t>
      </w:r>
      <w:r w:rsidR="00F86B30">
        <w:t>Equipment and supplies for FY 2013 and FY 2014 include general office supplies, supplies for th</w:t>
      </w:r>
      <w:r w:rsidR="003435D8">
        <w:t>e lung function testing, and $50</w:t>
      </w:r>
      <w:r w:rsidR="00F86B30">
        <w:t xml:space="preserve"> gift cards to reimburse participants for the time and expense incurred by participating in the medical surveys</w:t>
      </w:r>
      <w:r w:rsidR="00E75A51">
        <w:t xml:space="preserve">.  </w:t>
      </w:r>
      <w:r w:rsidR="00866A22">
        <w:t>Contractual costs i</w:t>
      </w:r>
      <w:r w:rsidR="00CB04F0">
        <w:t>n FY 2013 include the cost to locate study subjects (e.g., LexisNexis) and contracts to perform and read HRCT scans</w:t>
      </w:r>
      <w:r w:rsidR="00E75A51">
        <w:t xml:space="preserve">.  </w:t>
      </w:r>
      <w:r w:rsidR="0000481E">
        <w:t>Contractual costs in FY 2014 only relate to costs associated with performing and reading HRCT scans</w:t>
      </w:r>
      <w:r w:rsidR="00E75A51">
        <w:t xml:space="preserve">.  </w:t>
      </w:r>
      <w:r w:rsidR="00866A22">
        <w:t>Travel</w:t>
      </w:r>
      <w:r w:rsidR="00087C3B">
        <w:t xml:space="preserve"> includes the costs for the </w:t>
      </w:r>
      <w:r w:rsidR="0000481E">
        <w:t>two</w:t>
      </w:r>
      <w:r w:rsidR="00087C3B">
        <w:t xml:space="preserve"> medical surveys, as well as travel to other stakeholder and national meetings</w:t>
      </w:r>
      <w:r w:rsidR="006F0E7F">
        <w:t>.</w:t>
      </w:r>
      <w:r w:rsidR="00E75A51">
        <w:t xml:space="preserve"> </w:t>
      </w:r>
      <w:r w:rsidR="00087C3B">
        <w:t xml:space="preserve"> We expect </w:t>
      </w:r>
      <w:r w:rsidR="00664530">
        <w:t xml:space="preserve">between </w:t>
      </w:r>
      <w:r w:rsidR="0000481E">
        <w:t xml:space="preserve">seven </w:t>
      </w:r>
      <w:r w:rsidR="00664530">
        <w:t xml:space="preserve">to nine </w:t>
      </w:r>
      <w:r w:rsidR="00087C3B">
        <w:t>government employees will b</w:t>
      </w:r>
      <w:r w:rsidR="0000481E">
        <w:t xml:space="preserve">e needed to conduct the </w:t>
      </w:r>
      <w:r w:rsidR="0000481E">
        <w:lastRenderedPageBreak/>
        <w:t>health surveys in FY 2013 and FY 2014</w:t>
      </w:r>
      <w:r w:rsidR="00E75A51">
        <w:t xml:space="preserve">.  </w:t>
      </w:r>
      <w:r w:rsidR="00E25105">
        <w:t>The total annualized costs to the government are $</w:t>
      </w:r>
      <w:r w:rsidR="00621545">
        <w:t>1</w:t>
      </w:r>
      <w:r w:rsidR="002E4248">
        <w:t>32,053</w:t>
      </w:r>
      <w:r w:rsidR="00E25105">
        <w:t>.</w:t>
      </w:r>
      <w:r w:rsidR="00087C3B">
        <w:t xml:space="preserve">  </w:t>
      </w:r>
      <w:r w:rsidR="00017D13" w:rsidRPr="001C7F28">
        <w:t xml:space="preserve">  </w:t>
      </w:r>
      <w:r w:rsidR="00866A22">
        <w:t xml:space="preserve">   </w:t>
      </w:r>
    </w:p>
    <w:p w:rsidR="00E54551" w:rsidRPr="009F5A1C" w:rsidRDefault="00E54551" w:rsidP="009F5A1C">
      <w:pPr>
        <w:ind w:left="360" w:hanging="360"/>
        <w:rPr>
          <w:b/>
        </w:rPr>
      </w:pPr>
      <w:r>
        <w:rPr>
          <w:b/>
        </w:rPr>
        <w:tab/>
      </w:r>
    </w:p>
    <w:tbl>
      <w:tblPr>
        <w:tblStyle w:val="TableGrid"/>
        <w:tblW w:w="0" w:type="auto"/>
        <w:tblInd w:w="108" w:type="dxa"/>
        <w:tblLayout w:type="fixed"/>
        <w:tblLook w:val="01E0" w:firstRow="1" w:lastRow="1" w:firstColumn="1" w:lastColumn="1" w:noHBand="0" w:noVBand="0"/>
      </w:tblPr>
      <w:tblGrid>
        <w:gridCol w:w="2880"/>
        <w:gridCol w:w="1440"/>
        <w:gridCol w:w="1260"/>
        <w:gridCol w:w="1440"/>
        <w:gridCol w:w="1260"/>
      </w:tblGrid>
      <w:tr w:rsidR="00BA3A6D" w:rsidTr="00766A33">
        <w:tc>
          <w:tcPr>
            <w:tcW w:w="2880" w:type="dxa"/>
          </w:tcPr>
          <w:p w:rsidR="00BA3A6D" w:rsidRPr="00BA3A6D" w:rsidRDefault="00BA3A6D" w:rsidP="009F5A1C">
            <w:pPr>
              <w:rPr>
                <w:b/>
              </w:rPr>
            </w:pPr>
            <w:r w:rsidRPr="00BA3A6D">
              <w:rPr>
                <w:b/>
              </w:rPr>
              <w:t>Item</w:t>
            </w:r>
          </w:p>
        </w:tc>
        <w:tc>
          <w:tcPr>
            <w:tcW w:w="1440" w:type="dxa"/>
          </w:tcPr>
          <w:p w:rsidR="00BA3A6D" w:rsidRPr="00BA3A6D" w:rsidRDefault="0061608C" w:rsidP="009F5A1C">
            <w:pPr>
              <w:rPr>
                <w:b/>
              </w:rPr>
            </w:pPr>
            <w:r>
              <w:rPr>
                <w:b/>
              </w:rPr>
              <w:t>FY 2013</w:t>
            </w:r>
          </w:p>
        </w:tc>
        <w:tc>
          <w:tcPr>
            <w:tcW w:w="1260" w:type="dxa"/>
          </w:tcPr>
          <w:p w:rsidR="00BA3A6D" w:rsidRPr="00BA3A6D" w:rsidRDefault="00BA3A6D" w:rsidP="009F5A1C">
            <w:pPr>
              <w:rPr>
                <w:b/>
              </w:rPr>
            </w:pPr>
            <w:r>
              <w:rPr>
                <w:b/>
              </w:rPr>
              <w:t>FY 20</w:t>
            </w:r>
            <w:r w:rsidR="0061608C">
              <w:rPr>
                <w:b/>
              </w:rPr>
              <w:t>14</w:t>
            </w:r>
          </w:p>
        </w:tc>
        <w:tc>
          <w:tcPr>
            <w:tcW w:w="1440" w:type="dxa"/>
          </w:tcPr>
          <w:p w:rsidR="00BA3A6D" w:rsidRPr="00BA3A6D" w:rsidRDefault="00BA3A6D" w:rsidP="009F5A1C">
            <w:pPr>
              <w:rPr>
                <w:b/>
              </w:rPr>
            </w:pPr>
          </w:p>
        </w:tc>
        <w:tc>
          <w:tcPr>
            <w:tcW w:w="1260" w:type="dxa"/>
          </w:tcPr>
          <w:p w:rsidR="00BA3A6D" w:rsidRPr="00BA3A6D" w:rsidRDefault="00BA3A6D" w:rsidP="009F5A1C">
            <w:pPr>
              <w:rPr>
                <w:b/>
              </w:rPr>
            </w:pPr>
            <w:r>
              <w:rPr>
                <w:b/>
              </w:rPr>
              <w:t>Total</w:t>
            </w:r>
          </w:p>
        </w:tc>
      </w:tr>
      <w:tr w:rsidR="00BA3A6D" w:rsidTr="00766A33">
        <w:tc>
          <w:tcPr>
            <w:tcW w:w="2880" w:type="dxa"/>
          </w:tcPr>
          <w:p w:rsidR="002007F7" w:rsidRPr="00E54551" w:rsidRDefault="00BA3A6D" w:rsidP="009F5A1C">
            <w:r>
              <w:t>Equipment and supplies</w:t>
            </w:r>
          </w:p>
        </w:tc>
        <w:tc>
          <w:tcPr>
            <w:tcW w:w="1440" w:type="dxa"/>
          </w:tcPr>
          <w:p w:rsidR="002007F7" w:rsidRPr="00BA3A6D" w:rsidRDefault="00254DA5" w:rsidP="009F5A1C">
            <w:r>
              <w:t>$10,150</w:t>
            </w:r>
          </w:p>
        </w:tc>
        <w:tc>
          <w:tcPr>
            <w:tcW w:w="1260" w:type="dxa"/>
          </w:tcPr>
          <w:p w:rsidR="002007F7" w:rsidRDefault="00254DA5" w:rsidP="009F5A1C">
            <w:r>
              <w:t>$12,460</w:t>
            </w:r>
          </w:p>
        </w:tc>
        <w:tc>
          <w:tcPr>
            <w:tcW w:w="1440" w:type="dxa"/>
          </w:tcPr>
          <w:p w:rsidR="002007F7" w:rsidRDefault="002007F7" w:rsidP="009F5A1C"/>
        </w:tc>
        <w:tc>
          <w:tcPr>
            <w:tcW w:w="1260" w:type="dxa"/>
          </w:tcPr>
          <w:p w:rsidR="002007F7" w:rsidRDefault="00380D1B" w:rsidP="009F5A1C">
            <w:r>
              <w:t>$22,</w:t>
            </w:r>
            <w:r w:rsidR="00621545">
              <w:t>6</w:t>
            </w:r>
            <w:r>
              <w:t>10</w:t>
            </w:r>
          </w:p>
        </w:tc>
      </w:tr>
      <w:tr w:rsidR="00BA3A6D" w:rsidTr="00766A33">
        <w:tc>
          <w:tcPr>
            <w:tcW w:w="2880" w:type="dxa"/>
          </w:tcPr>
          <w:p w:rsidR="0059447E" w:rsidRPr="00E54551" w:rsidRDefault="00BA3A6D" w:rsidP="009F5A1C">
            <w:r>
              <w:t>Contract</w:t>
            </w:r>
            <w:r w:rsidR="00D9729D">
              <w:t>ual</w:t>
            </w:r>
          </w:p>
        </w:tc>
        <w:tc>
          <w:tcPr>
            <w:tcW w:w="1440" w:type="dxa"/>
          </w:tcPr>
          <w:p w:rsidR="00871E73" w:rsidRPr="00BA3A6D" w:rsidRDefault="002E4248" w:rsidP="009F5A1C">
            <w:r>
              <w:t>$52,350</w:t>
            </w:r>
          </w:p>
        </w:tc>
        <w:tc>
          <w:tcPr>
            <w:tcW w:w="1260" w:type="dxa"/>
          </w:tcPr>
          <w:p w:rsidR="00871E73" w:rsidRDefault="002E4248" w:rsidP="009F5A1C">
            <w:r>
              <w:t>$30,800</w:t>
            </w:r>
          </w:p>
        </w:tc>
        <w:tc>
          <w:tcPr>
            <w:tcW w:w="1440" w:type="dxa"/>
          </w:tcPr>
          <w:p w:rsidR="00871E73" w:rsidRDefault="00871E73" w:rsidP="009F5A1C"/>
        </w:tc>
        <w:tc>
          <w:tcPr>
            <w:tcW w:w="1260" w:type="dxa"/>
          </w:tcPr>
          <w:p w:rsidR="00871E73" w:rsidRDefault="00380D1B" w:rsidP="009F5A1C">
            <w:r>
              <w:t>$</w:t>
            </w:r>
            <w:r w:rsidR="002E4248">
              <w:t>83,150</w:t>
            </w:r>
          </w:p>
        </w:tc>
      </w:tr>
      <w:tr w:rsidR="00BA3A6D" w:rsidTr="00766A33">
        <w:tc>
          <w:tcPr>
            <w:tcW w:w="2880" w:type="dxa"/>
          </w:tcPr>
          <w:p w:rsidR="00D9729D" w:rsidRPr="00E54551" w:rsidRDefault="00BA3A6D" w:rsidP="009F5A1C">
            <w:r>
              <w:t>Travel</w:t>
            </w:r>
          </w:p>
        </w:tc>
        <w:tc>
          <w:tcPr>
            <w:tcW w:w="1440" w:type="dxa"/>
          </w:tcPr>
          <w:p w:rsidR="00D9729D" w:rsidRPr="00100B9B" w:rsidRDefault="000E3123" w:rsidP="00E159B3">
            <w:r>
              <w:t>$15,519</w:t>
            </w:r>
          </w:p>
        </w:tc>
        <w:tc>
          <w:tcPr>
            <w:tcW w:w="1260" w:type="dxa"/>
          </w:tcPr>
          <w:p w:rsidR="00871E73" w:rsidRDefault="000E3123" w:rsidP="009F5A1C">
            <w:r>
              <w:t>$10,774</w:t>
            </w:r>
          </w:p>
        </w:tc>
        <w:tc>
          <w:tcPr>
            <w:tcW w:w="1440" w:type="dxa"/>
          </w:tcPr>
          <w:p w:rsidR="00871E73" w:rsidRDefault="00871E73" w:rsidP="009F5A1C"/>
        </w:tc>
        <w:tc>
          <w:tcPr>
            <w:tcW w:w="1260" w:type="dxa"/>
          </w:tcPr>
          <w:p w:rsidR="00871E73" w:rsidRDefault="00380D1B" w:rsidP="009F5A1C">
            <w:r>
              <w:t>$</w:t>
            </w:r>
            <w:r w:rsidR="00621545">
              <w:t>2</w:t>
            </w:r>
            <w:r w:rsidR="000E3123">
              <w:t>6,293</w:t>
            </w:r>
          </w:p>
        </w:tc>
      </w:tr>
      <w:tr w:rsidR="00BA3A6D" w:rsidTr="00766A33">
        <w:tc>
          <w:tcPr>
            <w:tcW w:w="2880" w:type="dxa"/>
          </w:tcPr>
          <w:p w:rsidR="002007F7" w:rsidRDefault="00BA3A6D" w:rsidP="009F5A1C">
            <w:r>
              <w:t>Annualized estimate of federal costs</w:t>
            </w:r>
          </w:p>
        </w:tc>
        <w:tc>
          <w:tcPr>
            <w:tcW w:w="1440" w:type="dxa"/>
          </w:tcPr>
          <w:p w:rsidR="005B61BD" w:rsidRPr="00BA3A6D" w:rsidRDefault="00380D1B" w:rsidP="009F5A1C">
            <w:r>
              <w:t>$</w:t>
            </w:r>
            <w:r w:rsidR="002E4248">
              <w:t>78,019</w:t>
            </w:r>
          </w:p>
        </w:tc>
        <w:tc>
          <w:tcPr>
            <w:tcW w:w="1260" w:type="dxa"/>
          </w:tcPr>
          <w:p w:rsidR="00BA3A6D" w:rsidRDefault="00AA6AB4" w:rsidP="009F5A1C">
            <w:r>
              <w:t>$</w:t>
            </w:r>
            <w:r w:rsidR="002E4248">
              <w:t>54,034</w:t>
            </w:r>
          </w:p>
        </w:tc>
        <w:tc>
          <w:tcPr>
            <w:tcW w:w="1440" w:type="dxa"/>
          </w:tcPr>
          <w:p w:rsidR="00BA3A6D" w:rsidRDefault="00BA3A6D" w:rsidP="009F5A1C"/>
        </w:tc>
        <w:tc>
          <w:tcPr>
            <w:tcW w:w="1260" w:type="dxa"/>
          </w:tcPr>
          <w:p w:rsidR="00BA3A6D" w:rsidRDefault="00AA6AB4" w:rsidP="009F5A1C">
            <w:r>
              <w:t>$</w:t>
            </w:r>
            <w:r w:rsidR="002E4248">
              <w:t>132,053</w:t>
            </w:r>
          </w:p>
        </w:tc>
      </w:tr>
    </w:tbl>
    <w:p w:rsidR="005B61BD" w:rsidRPr="005B61BD" w:rsidRDefault="005B61BD" w:rsidP="005B61BD">
      <w:pPr>
        <w:ind w:left="720"/>
      </w:pPr>
    </w:p>
    <w:p w:rsidR="00E54551" w:rsidRDefault="002915E9" w:rsidP="00E25F75">
      <w:pPr>
        <w:pStyle w:val="Level2"/>
      </w:pPr>
      <w:bookmarkStart w:id="54" w:name="_Toc161124939"/>
      <w:bookmarkStart w:id="55" w:name="_Toc179766428"/>
      <w:bookmarkStart w:id="56" w:name="_Toc179774561"/>
      <w:r>
        <w:t>15.</w:t>
      </w:r>
      <w:r>
        <w:tab/>
      </w:r>
      <w:r w:rsidR="00E54551">
        <w:t>Explanation for Program Changes or Adjustments</w:t>
      </w:r>
      <w:bookmarkEnd w:id="54"/>
      <w:bookmarkEnd w:id="55"/>
      <w:bookmarkEnd w:id="56"/>
    </w:p>
    <w:p w:rsidR="00EC75AC" w:rsidRDefault="00E54551" w:rsidP="00E54551">
      <w:pPr>
        <w:ind w:left="360" w:hanging="360"/>
      </w:pPr>
      <w:r>
        <w:tab/>
      </w:r>
      <w:r w:rsidR="002915E9">
        <w:tab/>
        <w:t>This is a new data collection.</w:t>
      </w:r>
      <w:r w:rsidR="00C61FBC">
        <w:tab/>
      </w:r>
      <w:r w:rsidR="00EC75AC">
        <w:t xml:space="preserve"> </w:t>
      </w:r>
    </w:p>
    <w:p w:rsidR="002915E9" w:rsidRDefault="002915E9" w:rsidP="00E54551">
      <w:pPr>
        <w:ind w:left="360" w:hanging="360"/>
      </w:pPr>
    </w:p>
    <w:p w:rsidR="002915E9" w:rsidRDefault="002915E9" w:rsidP="00E25F75">
      <w:pPr>
        <w:pStyle w:val="Level2"/>
      </w:pPr>
      <w:bookmarkStart w:id="57" w:name="_Toc161124940"/>
      <w:bookmarkStart w:id="58" w:name="_Toc179766429"/>
      <w:bookmarkStart w:id="59" w:name="_Toc179774562"/>
      <w:r>
        <w:t>16.</w:t>
      </w:r>
      <w:r>
        <w:tab/>
        <w:t>Plans for Tabulation and Publication and Project Time Schedule</w:t>
      </w:r>
      <w:bookmarkEnd w:id="57"/>
      <w:bookmarkEnd w:id="58"/>
      <w:bookmarkEnd w:id="59"/>
    </w:p>
    <w:p w:rsidR="00A61751" w:rsidRDefault="00A61751" w:rsidP="003B2C99">
      <w:pPr>
        <w:rPr>
          <w:u w:val="single"/>
        </w:rPr>
      </w:pPr>
    </w:p>
    <w:p w:rsidR="00210887" w:rsidRPr="00210887" w:rsidRDefault="00210887" w:rsidP="003B2C99">
      <w:r>
        <w:tab/>
      </w:r>
      <w:r w:rsidR="00BB6B61">
        <w:t xml:space="preserve">In </w:t>
      </w:r>
      <w:r w:rsidR="006B42A4">
        <w:t>July</w:t>
      </w:r>
      <w:r w:rsidR="00BB6B61">
        <w:t xml:space="preserve"> 2013, a</w:t>
      </w:r>
      <w:r>
        <w:t xml:space="preserve">fter we receive approval from OMB, we plan to notify </w:t>
      </w:r>
      <w:r w:rsidR="00464E35">
        <w:t>potential</w:t>
      </w:r>
      <w:r w:rsidR="00080182">
        <w:t xml:space="preserve"> participants </w:t>
      </w:r>
      <w:r w:rsidR="00464E35">
        <w:t xml:space="preserve">who participated in previous NIOSH studies </w:t>
      </w:r>
      <w:r w:rsidR="00080182">
        <w:t xml:space="preserve">at the popcorn plant </w:t>
      </w:r>
      <w:r>
        <w:t>with a st</w:t>
      </w:r>
      <w:r w:rsidR="001A7A78">
        <w:t>udy announcement</w:t>
      </w:r>
      <w:r w:rsidR="00A22A40">
        <w:t xml:space="preserve"> and informational fact sheet (see Appendices</w:t>
      </w:r>
      <w:r w:rsidR="00052831">
        <w:t xml:space="preserve"> </w:t>
      </w:r>
      <w:r w:rsidR="00180D86">
        <w:t xml:space="preserve">H and </w:t>
      </w:r>
      <w:proofErr w:type="gramStart"/>
      <w:r w:rsidR="00B01F94">
        <w:t>I</w:t>
      </w:r>
      <w:proofErr w:type="gramEnd"/>
      <w:r>
        <w:t>)</w:t>
      </w:r>
      <w:r w:rsidR="00E75A51">
        <w:t xml:space="preserve">.  </w:t>
      </w:r>
      <w:r w:rsidR="00080182">
        <w:t>We will then recruit and schedule appointments for potential part</w:t>
      </w:r>
      <w:r w:rsidR="004012B9">
        <w:t>icipants over the next few weeks</w:t>
      </w:r>
      <w:r w:rsidR="00E75A51">
        <w:t xml:space="preserve">.  </w:t>
      </w:r>
      <w:r w:rsidR="00080182">
        <w:t>I</w:t>
      </w:r>
      <w:r w:rsidR="002512E8">
        <w:t xml:space="preserve">n </w:t>
      </w:r>
      <w:r w:rsidR="006B42A4">
        <w:t>August</w:t>
      </w:r>
      <w:r w:rsidR="002512E8">
        <w:t xml:space="preserve"> 2013</w:t>
      </w:r>
      <w:r w:rsidR="00080182">
        <w:t xml:space="preserve">, </w:t>
      </w:r>
      <w:r>
        <w:t>we wi</w:t>
      </w:r>
      <w:r w:rsidR="00080182">
        <w:t>ll conduct the health survey</w:t>
      </w:r>
      <w:r w:rsidR="00180D86">
        <w:t xml:space="preserve">, along with the </w:t>
      </w:r>
      <w:r w:rsidR="009B51AD">
        <w:t>lung functio</w:t>
      </w:r>
      <w:r w:rsidR="00080182">
        <w:t>n testing, HRCT</w:t>
      </w:r>
      <w:r w:rsidR="001E69D2">
        <w:t>, and blood draw</w:t>
      </w:r>
      <w:r w:rsidR="00E75A51">
        <w:t xml:space="preserve">.  </w:t>
      </w:r>
      <w:r w:rsidR="006E41C7">
        <w:t xml:space="preserve">In </w:t>
      </w:r>
      <w:r w:rsidR="000275EF">
        <w:t>FY 2014</w:t>
      </w:r>
      <w:r w:rsidR="006E41C7">
        <w:t>, we plan to notify and recruit participants from the flavorin</w:t>
      </w:r>
      <w:r w:rsidR="006925D7">
        <w:t xml:space="preserve">g manufacturing </w:t>
      </w:r>
      <w:r w:rsidR="001C4ACB">
        <w:t>workers</w:t>
      </w:r>
      <w:r w:rsidR="00E75A51">
        <w:t xml:space="preserve">.  </w:t>
      </w:r>
      <w:r w:rsidR="006E41C7">
        <w:t xml:space="preserve">We will conduct our medical evaluation site visit </w:t>
      </w:r>
      <w:r w:rsidR="000275EF">
        <w:t xml:space="preserve">during </w:t>
      </w:r>
      <w:r w:rsidR="00664530">
        <w:t xml:space="preserve">FY </w:t>
      </w:r>
      <w:r w:rsidR="006E41C7">
        <w:t>2014</w:t>
      </w:r>
      <w:r w:rsidR="00E75A51">
        <w:t xml:space="preserve">.  </w:t>
      </w:r>
      <w:r w:rsidR="000A4371">
        <w:t>Dat</w:t>
      </w:r>
      <w:r w:rsidR="007207E3">
        <w:t xml:space="preserve">a collection </w:t>
      </w:r>
      <w:r w:rsidR="000275EF">
        <w:t xml:space="preserve">for the popcorn workers </w:t>
      </w:r>
      <w:r w:rsidR="007207E3">
        <w:t>would need to be</w:t>
      </w:r>
      <w:r w:rsidR="000A4371">
        <w:t xml:space="preserve"> </w:t>
      </w:r>
      <w:r w:rsidR="000275EF">
        <w:t xml:space="preserve">completed during FY </w:t>
      </w:r>
      <w:r w:rsidR="000A4371">
        <w:t>2013, since funding is not carried forward over fiscal years.</w:t>
      </w:r>
    </w:p>
    <w:p w:rsidR="007B012C" w:rsidRPr="003D1D05" w:rsidRDefault="007B012C" w:rsidP="003B2C99">
      <w:pPr>
        <w:rPr>
          <w:u w:val="single"/>
        </w:rPr>
      </w:pPr>
    </w:p>
    <w:tbl>
      <w:tblPr>
        <w:tblStyle w:val="TableGrid"/>
        <w:tblW w:w="0" w:type="auto"/>
        <w:tblInd w:w="108" w:type="dxa"/>
        <w:tblLook w:val="01E0" w:firstRow="1" w:lastRow="1" w:firstColumn="1" w:lastColumn="1" w:noHBand="0" w:noVBand="0"/>
      </w:tblPr>
      <w:tblGrid>
        <w:gridCol w:w="4680"/>
        <w:gridCol w:w="3600"/>
      </w:tblGrid>
      <w:tr w:rsidR="00F3618D" w:rsidRPr="00F3618D" w:rsidTr="00766A33">
        <w:tc>
          <w:tcPr>
            <w:tcW w:w="4680" w:type="dxa"/>
          </w:tcPr>
          <w:p w:rsidR="00F3618D" w:rsidRPr="00F3618D" w:rsidRDefault="00F3618D" w:rsidP="00F3618D">
            <w:pPr>
              <w:rPr>
                <w:b/>
              </w:rPr>
            </w:pPr>
            <w:r w:rsidRPr="00F3618D">
              <w:rPr>
                <w:b/>
              </w:rPr>
              <w:t>Activity</w:t>
            </w:r>
          </w:p>
        </w:tc>
        <w:tc>
          <w:tcPr>
            <w:tcW w:w="3600" w:type="dxa"/>
          </w:tcPr>
          <w:p w:rsidR="00F3618D" w:rsidRPr="00F3618D" w:rsidRDefault="00F3618D" w:rsidP="00F3618D">
            <w:pPr>
              <w:rPr>
                <w:b/>
              </w:rPr>
            </w:pPr>
            <w:r w:rsidRPr="00F3618D">
              <w:rPr>
                <w:b/>
              </w:rPr>
              <w:t>Time Schedule</w:t>
            </w:r>
          </w:p>
        </w:tc>
      </w:tr>
      <w:tr w:rsidR="00F3618D" w:rsidTr="00766A33">
        <w:tc>
          <w:tcPr>
            <w:tcW w:w="4680" w:type="dxa"/>
          </w:tcPr>
          <w:p w:rsidR="00F3618D" w:rsidRDefault="00F3618D" w:rsidP="00F3618D">
            <w:r>
              <w:t xml:space="preserve">Notification </w:t>
            </w:r>
            <w:r w:rsidR="006A11BF">
              <w:t xml:space="preserve">of study </w:t>
            </w:r>
            <w:r>
              <w:t xml:space="preserve">to respondents </w:t>
            </w:r>
          </w:p>
        </w:tc>
        <w:tc>
          <w:tcPr>
            <w:tcW w:w="3600" w:type="dxa"/>
          </w:tcPr>
          <w:p w:rsidR="00F3618D" w:rsidRDefault="002512E8" w:rsidP="00F3618D">
            <w:r>
              <w:t xml:space="preserve">Immediately </w:t>
            </w:r>
            <w:r w:rsidR="00794455">
              <w:t>after OMB approval</w:t>
            </w:r>
          </w:p>
        </w:tc>
      </w:tr>
      <w:tr w:rsidR="00F3618D" w:rsidTr="00766A33">
        <w:tc>
          <w:tcPr>
            <w:tcW w:w="4680" w:type="dxa"/>
          </w:tcPr>
          <w:p w:rsidR="00F3618D" w:rsidRDefault="004012B9" w:rsidP="004012B9">
            <w:r>
              <w:t>Medical evaluation site visit of popcorn workers</w:t>
            </w:r>
          </w:p>
        </w:tc>
        <w:tc>
          <w:tcPr>
            <w:tcW w:w="3600" w:type="dxa"/>
          </w:tcPr>
          <w:p w:rsidR="00F3618D" w:rsidRDefault="002512E8" w:rsidP="00F3618D">
            <w:r>
              <w:t>1</w:t>
            </w:r>
            <w:r w:rsidR="00B32ABD">
              <w:t>-</w:t>
            </w:r>
            <w:r w:rsidR="007D7B0B">
              <w:t>3</w:t>
            </w:r>
            <w:r>
              <w:t xml:space="preserve"> month</w:t>
            </w:r>
            <w:r w:rsidR="00B32ABD">
              <w:t>s</w:t>
            </w:r>
            <w:r w:rsidR="00F2330C">
              <w:t xml:space="preserve"> after OMB approval</w:t>
            </w:r>
          </w:p>
        </w:tc>
      </w:tr>
      <w:tr w:rsidR="00010701" w:rsidTr="00766A33">
        <w:tc>
          <w:tcPr>
            <w:tcW w:w="4680" w:type="dxa"/>
          </w:tcPr>
          <w:p w:rsidR="00010701" w:rsidRDefault="004012B9" w:rsidP="004012B9">
            <w:r>
              <w:t>Medical evaluation site visit of flavoring workers</w:t>
            </w:r>
          </w:p>
        </w:tc>
        <w:tc>
          <w:tcPr>
            <w:tcW w:w="3600" w:type="dxa"/>
          </w:tcPr>
          <w:p w:rsidR="00010701" w:rsidRDefault="002512E8" w:rsidP="00F3618D">
            <w:r>
              <w:t>1</w:t>
            </w:r>
            <w:r w:rsidR="007D7B0B">
              <w:t>2-15</w:t>
            </w:r>
            <w:r w:rsidR="00010701">
              <w:t xml:space="preserve"> months after OMB approval</w:t>
            </w:r>
          </w:p>
        </w:tc>
      </w:tr>
    </w:tbl>
    <w:p w:rsidR="00F3618D" w:rsidRPr="00F3618D" w:rsidRDefault="00F3618D" w:rsidP="00F3618D"/>
    <w:p w:rsidR="001E7C32" w:rsidRDefault="001E7C32" w:rsidP="001E7C32">
      <w:pPr>
        <w:ind w:firstLine="720"/>
      </w:pPr>
      <w:r>
        <w:t>All d</w:t>
      </w:r>
      <w:r w:rsidRPr="00E25316">
        <w:t xml:space="preserve">ata management and analysis will be carried out using statistical software from the SAS Institute, </w:t>
      </w:r>
      <w:proofErr w:type="spellStart"/>
      <w:r w:rsidRPr="00E25316">
        <w:t>Inc</w:t>
      </w:r>
      <w:proofErr w:type="spellEnd"/>
      <w:r w:rsidRPr="00E25316">
        <w:t>, Cary, NC.  Data preparation will include</w:t>
      </w:r>
      <w:r w:rsidR="005F41A3">
        <w:t xml:space="preserve"> the application of </w:t>
      </w:r>
      <w:r w:rsidR="006B42A4">
        <w:t xml:space="preserve">definitions for </w:t>
      </w:r>
      <w:r w:rsidR="005F41A3">
        <w:t>spirometry quality</w:t>
      </w:r>
      <w:r w:rsidR="003F3D15">
        <w:t xml:space="preserve">, </w:t>
      </w:r>
      <w:r w:rsidR="005F41A3">
        <w:t>medical test abnormalities</w:t>
      </w:r>
      <w:r w:rsidR="003F3D15">
        <w:t>,</w:t>
      </w:r>
      <w:r w:rsidR="005F41A3">
        <w:t xml:space="preserve"> and smoking</w:t>
      </w:r>
      <w:r w:rsidR="003F3D15">
        <w:t>.</w:t>
      </w:r>
      <w:r w:rsidRPr="00E25316">
        <w:t xml:space="preserve"> </w:t>
      </w:r>
    </w:p>
    <w:p w:rsidR="001E7C32" w:rsidRDefault="001E7C32" w:rsidP="001E7C32">
      <w:pPr>
        <w:ind w:firstLine="720"/>
        <w:rPr>
          <w:bCs/>
          <w:color w:val="000000"/>
          <w:shd w:val="clear" w:color="auto" w:fill="FFFFFF"/>
        </w:rPr>
      </w:pPr>
      <w:r>
        <w:rPr>
          <w:bCs/>
          <w:color w:val="000000"/>
          <w:shd w:val="clear" w:color="auto" w:fill="FFFFFF"/>
        </w:rPr>
        <w:t>W</w:t>
      </w:r>
      <w:r w:rsidRPr="00E25316">
        <w:rPr>
          <w:bCs/>
          <w:color w:val="000000"/>
          <w:shd w:val="clear" w:color="auto" w:fill="FFFFFF"/>
        </w:rPr>
        <w:t xml:space="preserve">e will compare spirometry results with indices of exposure to flavorings.  NIOSH has the most extensive diacetyl sampling data </w:t>
      </w:r>
      <w:r w:rsidR="000B22BC">
        <w:rPr>
          <w:bCs/>
          <w:color w:val="000000"/>
          <w:shd w:val="clear" w:color="auto" w:fill="FFFFFF"/>
        </w:rPr>
        <w:t>from nine environmental surveys at</w:t>
      </w:r>
      <w:r w:rsidRPr="00E25316">
        <w:rPr>
          <w:bCs/>
          <w:color w:val="000000"/>
          <w:shd w:val="clear" w:color="auto" w:fill="FFFFFF"/>
        </w:rPr>
        <w:t xml:space="preserve"> the microwave popcorn plant, and with collaboration with investigators from the Occupational Safety and Health Administration, we have created a </w:t>
      </w:r>
      <w:r>
        <w:rPr>
          <w:bCs/>
          <w:color w:val="000000"/>
          <w:shd w:val="clear" w:color="auto" w:fill="FFFFFF"/>
        </w:rPr>
        <w:t>job exposure matrix (</w:t>
      </w:r>
      <w:r w:rsidRPr="00E25316">
        <w:rPr>
          <w:bCs/>
          <w:color w:val="000000"/>
          <w:shd w:val="clear" w:color="auto" w:fill="FFFFFF"/>
        </w:rPr>
        <w:t>JEM</w:t>
      </w:r>
      <w:r>
        <w:rPr>
          <w:bCs/>
          <w:color w:val="000000"/>
          <w:shd w:val="clear" w:color="auto" w:fill="FFFFFF"/>
        </w:rPr>
        <w:t>)</w:t>
      </w:r>
      <w:r w:rsidRPr="00E25316">
        <w:rPr>
          <w:bCs/>
          <w:color w:val="000000"/>
          <w:shd w:val="clear" w:color="auto" w:fill="FFFFFF"/>
        </w:rPr>
        <w:t xml:space="preserve"> for diacetyl, specific for job and time period for this workforce.  This JEM has been used for risk assessment analysis for obstructive lung disease for the NIOSH criteria document</w:t>
      </w:r>
      <w:r w:rsidR="003F2243">
        <w:rPr>
          <w:bCs/>
          <w:color w:val="000000"/>
          <w:shd w:val="clear" w:color="auto" w:fill="FFFFFF"/>
        </w:rPr>
        <w:t xml:space="preserve"> (NIOSH 2011</w:t>
      </w:r>
      <w:r w:rsidR="00E57580">
        <w:rPr>
          <w:bCs/>
          <w:color w:val="000000"/>
          <w:shd w:val="clear" w:color="auto" w:fill="FFFFFF"/>
        </w:rPr>
        <w:t>a</w:t>
      </w:r>
      <w:r w:rsidR="003F2243">
        <w:rPr>
          <w:bCs/>
          <w:color w:val="000000"/>
          <w:shd w:val="clear" w:color="auto" w:fill="FFFFFF"/>
        </w:rPr>
        <w:t>)</w:t>
      </w:r>
      <w:r>
        <w:rPr>
          <w:bCs/>
          <w:color w:val="000000"/>
          <w:shd w:val="clear" w:color="auto" w:fill="FFFFFF"/>
        </w:rPr>
        <w:t>.</w:t>
      </w:r>
    </w:p>
    <w:p w:rsidR="001E7C32" w:rsidRDefault="001E7C32" w:rsidP="001E7C32">
      <w:pPr>
        <w:ind w:firstLine="720"/>
      </w:pPr>
      <w:r w:rsidRPr="00E25316">
        <w:rPr>
          <w:bCs/>
          <w:color w:val="000000"/>
          <w:shd w:val="clear" w:color="auto" w:fill="FFFFFF"/>
        </w:rPr>
        <w:t>There is little exposure assessment data for the flavoring manufacturing workers, and we will not have the ability to create cumulative diacetyl exposures for individuals or quantitative metrics of exposure for other types of flavoring chemicals.  Instead</w:t>
      </w:r>
      <w:r w:rsidR="005F41A3">
        <w:rPr>
          <w:bCs/>
          <w:color w:val="000000"/>
          <w:shd w:val="clear" w:color="auto" w:fill="FFFFFF"/>
        </w:rPr>
        <w:t>,</w:t>
      </w:r>
      <w:r w:rsidRPr="00E25316">
        <w:rPr>
          <w:bCs/>
          <w:color w:val="000000"/>
          <w:shd w:val="clear" w:color="auto" w:fill="FFFFFF"/>
        </w:rPr>
        <w:t xml:space="preserve"> we will use job-based exposure metrics.  </w:t>
      </w:r>
      <w:r w:rsidR="006925D7">
        <w:t xml:space="preserve">For the </w:t>
      </w:r>
      <w:r w:rsidRPr="00E25316">
        <w:t>flavoring manufacturing plant</w:t>
      </w:r>
      <w:r w:rsidR="005F41A3">
        <w:t>,</w:t>
      </w:r>
      <w:r w:rsidRPr="00E25316">
        <w:t xml:space="preserve"> we </w:t>
      </w:r>
      <w:r>
        <w:t>will collect</w:t>
      </w:r>
      <w:r w:rsidRPr="00E25316">
        <w:t xml:space="preserve"> job information, which will allow us to use job-based exposure indices.</w:t>
      </w:r>
    </w:p>
    <w:p w:rsidR="00C85835" w:rsidRPr="00C85835" w:rsidRDefault="00C85835" w:rsidP="00BD40B9">
      <w:pPr>
        <w:ind w:right="-180" w:firstLine="720"/>
      </w:pPr>
      <w:r w:rsidRPr="00C85835">
        <w:lastRenderedPageBreak/>
        <w:t>We will analyze the results of the medical testing to l</w:t>
      </w:r>
      <w:r w:rsidR="000B22BC">
        <w:t xml:space="preserve">ook for evidence of </w:t>
      </w:r>
      <w:r w:rsidRPr="00C85835">
        <w:t>l</w:t>
      </w:r>
      <w:r w:rsidR="000B22BC">
        <w:t>ung disease</w:t>
      </w:r>
      <w:r w:rsidRPr="00C85835">
        <w:t xml:space="preserve">.  </w:t>
      </w:r>
      <w:r w:rsidR="005F41A3">
        <w:t xml:space="preserve">For the microwave popcorn workers and </w:t>
      </w:r>
      <w:r w:rsidR="00DE4DFD">
        <w:t>flavoring</w:t>
      </w:r>
      <w:r w:rsidR="005F41A3">
        <w:t xml:space="preserve"> </w:t>
      </w:r>
      <w:r w:rsidR="00DE4DFD">
        <w:t xml:space="preserve">manufacturing </w:t>
      </w:r>
      <w:r w:rsidR="005F41A3">
        <w:t xml:space="preserve">workers, we will </w:t>
      </w:r>
      <w:r w:rsidR="003F3D15">
        <w:t xml:space="preserve">also </w:t>
      </w:r>
      <w:r w:rsidR="00DE4DFD">
        <w:t>analyze</w:t>
      </w:r>
      <w:r w:rsidR="003F3D15">
        <w:t xml:space="preserve"> lung function longitudinally using previously collected data and the current data.  We will qualitatively compare medical test findings between the microwave popcorn group and the flavoring</w:t>
      </w:r>
      <w:r w:rsidR="00DE4DFD">
        <w:t xml:space="preserve"> manufacturing</w:t>
      </w:r>
      <w:r w:rsidR="003F3D15">
        <w:t xml:space="preserve"> group. </w:t>
      </w:r>
      <w:r w:rsidR="00DE4DFD">
        <w:t xml:space="preserve"> </w:t>
      </w:r>
      <w:r w:rsidRPr="00C85835">
        <w:t>We will investigate if findings differed between microwave popcorn or flavorings manufacturing workers, job group within industry, and potential for flavorings exposure ascertained from questionnaire information.  For the microwave popcorn workers, we will compare the lung testing findings to cumulative diacetyl exposure ascertained from the existing JEM.</w:t>
      </w:r>
      <w:r w:rsidR="000B22BC">
        <w:t xml:space="preserve">  We will also analyze lung function longitudinally using previously collected data and the current data.</w:t>
      </w:r>
    </w:p>
    <w:p w:rsidR="003B2B8B" w:rsidRPr="003B2B8B" w:rsidRDefault="003B2B8B" w:rsidP="00E54551">
      <w:pPr>
        <w:ind w:left="360" w:hanging="360"/>
        <w:rPr>
          <w:b/>
        </w:rPr>
      </w:pPr>
    </w:p>
    <w:p w:rsidR="002915E9" w:rsidRDefault="002915E9" w:rsidP="00E25F75">
      <w:pPr>
        <w:pStyle w:val="Level2"/>
      </w:pPr>
      <w:bookmarkStart w:id="60" w:name="_Toc161124941"/>
      <w:bookmarkStart w:id="61" w:name="_Toc179766430"/>
      <w:bookmarkStart w:id="62" w:name="_Toc179774563"/>
      <w:r>
        <w:t>17.</w:t>
      </w:r>
      <w:r>
        <w:tab/>
        <w:t>Reason(s) Display of OMB Expiration is Inappropriate</w:t>
      </w:r>
      <w:bookmarkEnd w:id="60"/>
      <w:bookmarkEnd w:id="61"/>
      <w:bookmarkEnd w:id="62"/>
    </w:p>
    <w:p w:rsidR="002915E9" w:rsidRDefault="002915E9" w:rsidP="00E54551">
      <w:pPr>
        <w:ind w:left="360" w:hanging="360"/>
      </w:pPr>
      <w:r>
        <w:rPr>
          <w:b/>
        </w:rPr>
        <w:tab/>
      </w:r>
      <w:r>
        <w:rPr>
          <w:b/>
        </w:rPr>
        <w:tab/>
      </w:r>
      <w:r>
        <w:t>We are not requesting an expiration date display exemption.</w:t>
      </w:r>
    </w:p>
    <w:p w:rsidR="002915E9" w:rsidRDefault="002915E9" w:rsidP="00E54551">
      <w:pPr>
        <w:ind w:left="360" w:hanging="360"/>
      </w:pPr>
    </w:p>
    <w:p w:rsidR="002915E9" w:rsidRDefault="002915E9" w:rsidP="00E25F75">
      <w:pPr>
        <w:pStyle w:val="Level2"/>
      </w:pPr>
      <w:bookmarkStart w:id="63" w:name="_Toc161124942"/>
      <w:bookmarkStart w:id="64" w:name="_Toc179766431"/>
      <w:bookmarkStart w:id="65" w:name="_Toc179774564"/>
      <w:r>
        <w:t>18.</w:t>
      </w:r>
      <w:r>
        <w:tab/>
      </w:r>
      <w:r w:rsidRPr="00E25F75">
        <w:t>Exceptions to Certification for Paperwork Reduction Act Submissions</w:t>
      </w:r>
      <w:bookmarkEnd w:id="63"/>
      <w:bookmarkEnd w:id="64"/>
      <w:bookmarkEnd w:id="65"/>
    </w:p>
    <w:p w:rsidR="008A0509" w:rsidRDefault="002915E9" w:rsidP="00E54551">
      <w:pPr>
        <w:ind w:left="360" w:hanging="360"/>
      </w:pPr>
      <w:r>
        <w:rPr>
          <w:b/>
        </w:rPr>
        <w:tab/>
      </w:r>
      <w:r>
        <w:rPr>
          <w:b/>
        </w:rPr>
        <w:tab/>
      </w:r>
      <w:r>
        <w:t>There are no exceptions to the certification.</w:t>
      </w:r>
      <w:r w:rsidR="00BD40B9" w:rsidDel="00BD40B9">
        <w:t xml:space="preserve"> </w:t>
      </w:r>
    </w:p>
    <w:sectPr w:rsidR="008A0509" w:rsidSect="00D52195">
      <w:footerReference w:type="even" r:id="rId10"/>
      <w:footerReference w:type="default" r:id="rId11"/>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14" w:rsidRDefault="00E36B14">
      <w:r>
        <w:separator/>
      </w:r>
    </w:p>
  </w:endnote>
  <w:endnote w:type="continuationSeparator" w:id="0">
    <w:p w:rsidR="00E36B14" w:rsidRDefault="00E3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80" w:rsidRDefault="00257D80"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7D80" w:rsidRDefault="00257D80"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D80" w:rsidRDefault="00257D80"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14" w:rsidRDefault="00E36B14">
      <w:r>
        <w:separator/>
      </w:r>
    </w:p>
  </w:footnote>
  <w:footnote w:type="continuationSeparator" w:id="0">
    <w:p w:rsidR="00E36B14" w:rsidRDefault="00E36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19C4639"/>
    <w:multiLevelType w:val="hybridMultilevel"/>
    <w:tmpl w:val="90AC8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4"/>
  </w:num>
  <w:num w:numId="4">
    <w:abstractNumId w:val="5"/>
  </w:num>
  <w:num w:numId="5">
    <w:abstractNumId w:val="8"/>
  </w:num>
  <w:num w:numId="6">
    <w:abstractNumId w:val="10"/>
  </w:num>
  <w:num w:numId="7">
    <w:abstractNumId w:val="6"/>
  </w:num>
  <w:num w:numId="8">
    <w:abstractNumId w:val="0"/>
  </w:num>
  <w:num w:numId="9">
    <w:abstractNumId w:val="1"/>
  </w:num>
  <w:num w:numId="10">
    <w:abstractNumId w:val="7"/>
  </w:num>
  <w:num w:numId="11">
    <w:abstractNumId w:val="2"/>
  </w:num>
  <w:num w:numId="12">
    <w:abstractNumId w:val="3"/>
  </w:num>
  <w:num w:numId="13">
    <w:abstractNumId w:val="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481E"/>
    <w:rsid w:val="000066F7"/>
    <w:rsid w:val="000071DF"/>
    <w:rsid w:val="00010701"/>
    <w:rsid w:val="00010CE1"/>
    <w:rsid w:val="00011842"/>
    <w:rsid w:val="00016AA4"/>
    <w:rsid w:val="00017D13"/>
    <w:rsid w:val="000275EF"/>
    <w:rsid w:val="00032D2C"/>
    <w:rsid w:val="0003769D"/>
    <w:rsid w:val="000430FC"/>
    <w:rsid w:val="00044A4A"/>
    <w:rsid w:val="0004629B"/>
    <w:rsid w:val="00046939"/>
    <w:rsid w:val="00052831"/>
    <w:rsid w:val="000566EA"/>
    <w:rsid w:val="0006305B"/>
    <w:rsid w:val="00063CDB"/>
    <w:rsid w:val="00066C68"/>
    <w:rsid w:val="00067CCF"/>
    <w:rsid w:val="000722A5"/>
    <w:rsid w:val="0007396D"/>
    <w:rsid w:val="00073A55"/>
    <w:rsid w:val="0007596A"/>
    <w:rsid w:val="00076160"/>
    <w:rsid w:val="00080182"/>
    <w:rsid w:val="0008156F"/>
    <w:rsid w:val="000829F5"/>
    <w:rsid w:val="00083453"/>
    <w:rsid w:val="00087C3B"/>
    <w:rsid w:val="000902C3"/>
    <w:rsid w:val="000917F2"/>
    <w:rsid w:val="00095489"/>
    <w:rsid w:val="0009585B"/>
    <w:rsid w:val="000962FD"/>
    <w:rsid w:val="00096A68"/>
    <w:rsid w:val="0009741E"/>
    <w:rsid w:val="000A0260"/>
    <w:rsid w:val="000A28D0"/>
    <w:rsid w:val="000A39B2"/>
    <w:rsid w:val="000A39B4"/>
    <w:rsid w:val="000A4371"/>
    <w:rsid w:val="000A5F92"/>
    <w:rsid w:val="000B1018"/>
    <w:rsid w:val="000B22BC"/>
    <w:rsid w:val="000B768E"/>
    <w:rsid w:val="000B7ADA"/>
    <w:rsid w:val="000C30C2"/>
    <w:rsid w:val="000C3B66"/>
    <w:rsid w:val="000C3D18"/>
    <w:rsid w:val="000C44B6"/>
    <w:rsid w:val="000E303A"/>
    <w:rsid w:val="000E3123"/>
    <w:rsid w:val="000E670E"/>
    <w:rsid w:val="000E7F32"/>
    <w:rsid w:val="000F3127"/>
    <w:rsid w:val="000F36D9"/>
    <w:rsid w:val="000F4ADC"/>
    <w:rsid w:val="000F4CFE"/>
    <w:rsid w:val="000F4E9E"/>
    <w:rsid w:val="000F538B"/>
    <w:rsid w:val="000F5EAB"/>
    <w:rsid w:val="00100B9B"/>
    <w:rsid w:val="00101CE3"/>
    <w:rsid w:val="00101D1B"/>
    <w:rsid w:val="001051FF"/>
    <w:rsid w:val="0011687E"/>
    <w:rsid w:val="001171C2"/>
    <w:rsid w:val="00120241"/>
    <w:rsid w:val="00122D11"/>
    <w:rsid w:val="00123FAF"/>
    <w:rsid w:val="0012443A"/>
    <w:rsid w:val="001248F1"/>
    <w:rsid w:val="001270F4"/>
    <w:rsid w:val="001327C0"/>
    <w:rsid w:val="00132D9C"/>
    <w:rsid w:val="001338B2"/>
    <w:rsid w:val="001355BB"/>
    <w:rsid w:val="00136BD6"/>
    <w:rsid w:val="00141483"/>
    <w:rsid w:val="00142B14"/>
    <w:rsid w:val="00144919"/>
    <w:rsid w:val="00151B02"/>
    <w:rsid w:val="00153E02"/>
    <w:rsid w:val="001554CF"/>
    <w:rsid w:val="00162816"/>
    <w:rsid w:val="00165850"/>
    <w:rsid w:val="00166D83"/>
    <w:rsid w:val="0017271B"/>
    <w:rsid w:val="00173F8B"/>
    <w:rsid w:val="001757C1"/>
    <w:rsid w:val="0018019C"/>
    <w:rsid w:val="00180D86"/>
    <w:rsid w:val="00184AF9"/>
    <w:rsid w:val="001857B1"/>
    <w:rsid w:val="00186434"/>
    <w:rsid w:val="001902C9"/>
    <w:rsid w:val="00193F6B"/>
    <w:rsid w:val="00196A67"/>
    <w:rsid w:val="00197E0A"/>
    <w:rsid w:val="001A2E3D"/>
    <w:rsid w:val="001A4C71"/>
    <w:rsid w:val="001A7A78"/>
    <w:rsid w:val="001B19B3"/>
    <w:rsid w:val="001B30A9"/>
    <w:rsid w:val="001B3C56"/>
    <w:rsid w:val="001B6B2D"/>
    <w:rsid w:val="001B7D01"/>
    <w:rsid w:val="001C326A"/>
    <w:rsid w:val="001C4ACB"/>
    <w:rsid w:val="001C4D16"/>
    <w:rsid w:val="001D0318"/>
    <w:rsid w:val="001D0C26"/>
    <w:rsid w:val="001D1903"/>
    <w:rsid w:val="001D24A4"/>
    <w:rsid w:val="001E3ED0"/>
    <w:rsid w:val="001E5AB1"/>
    <w:rsid w:val="001E658F"/>
    <w:rsid w:val="001E69D2"/>
    <w:rsid w:val="001E7C32"/>
    <w:rsid w:val="001F1B7B"/>
    <w:rsid w:val="001F5939"/>
    <w:rsid w:val="001F7FAA"/>
    <w:rsid w:val="002007F7"/>
    <w:rsid w:val="002017ED"/>
    <w:rsid w:val="0020186A"/>
    <w:rsid w:val="00204016"/>
    <w:rsid w:val="002048D6"/>
    <w:rsid w:val="00210887"/>
    <w:rsid w:val="002119C9"/>
    <w:rsid w:val="002121F9"/>
    <w:rsid w:val="00213DED"/>
    <w:rsid w:val="0021532A"/>
    <w:rsid w:val="0022270D"/>
    <w:rsid w:val="00222EFC"/>
    <w:rsid w:val="00225CD5"/>
    <w:rsid w:val="00235596"/>
    <w:rsid w:val="0024576D"/>
    <w:rsid w:val="002474CF"/>
    <w:rsid w:val="002512E8"/>
    <w:rsid w:val="00251FA8"/>
    <w:rsid w:val="00252B71"/>
    <w:rsid w:val="002539BE"/>
    <w:rsid w:val="00254CA4"/>
    <w:rsid w:val="00254DA5"/>
    <w:rsid w:val="0025584F"/>
    <w:rsid w:val="002564F9"/>
    <w:rsid w:val="00257D80"/>
    <w:rsid w:val="00260387"/>
    <w:rsid w:val="00262E2F"/>
    <w:rsid w:val="00263DFE"/>
    <w:rsid w:val="002640DC"/>
    <w:rsid w:val="002652FC"/>
    <w:rsid w:val="00270635"/>
    <w:rsid w:val="00270E2D"/>
    <w:rsid w:val="002719A8"/>
    <w:rsid w:val="0027396F"/>
    <w:rsid w:val="00274DB0"/>
    <w:rsid w:val="002762A3"/>
    <w:rsid w:val="002770FC"/>
    <w:rsid w:val="00282D78"/>
    <w:rsid w:val="00286DA8"/>
    <w:rsid w:val="00286E76"/>
    <w:rsid w:val="0029050B"/>
    <w:rsid w:val="002915E9"/>
    <w:rsid w:val="002926BD"/>
    <w:rsid w:val="00297165"/>
    <w:rsid w:val="002A3579"/>
    <w:rsid w:val="002A4A75"/>
    <w:rsid w:val="002A52B9"/>
    <w:rsid w:val="002A5AAD"/>
    <w:rsid w:val="002A5F84"/>
    <w:rsid w:val="002B1173"/>
    <w:rsid w:val="002B180A"/>
    <w:rsid w:val="002B67C4"/>
    <w:rsid w:val="002C06AE"/>
    <w:rsid w:val="002C4472"/>
    <w:rsid w:val="002C5B21"/>
    <w:rsid w:val="002C6C41"/>
    <w:rsid w:val="002C7827"/>
    <w:rsid w:val="002C7ED6"/>
    <w:rsid w:val="002D5501"/>
    <w:rsid w:val="002D7368"/>
    <w:rsid w:val="002D7C32"/>
    <w:rsid w:val="002E0EC1"/>
    <w:rsid w:val="002E0EE7"/>
    <w:rsid w:val="002E4248"/>
    <w:rsid w:val="002E4F1E"/>
    <w:rsid w:val="002F18BC"/>
    <w:rsid w:val="002F3B72"/>
    <w:rsid w:val="002F3BCC"/>
    <w:rsid w:val="00301FEA"/>
    <w:rsid w:val="0031240C"/>
    <w:rsid w:val="00314D8A"/>
    <w:rsid w:val="0031746D"/>
    <w:rsid w:val="003260E5"/>
    <w:rsid w:val="003304D0"/>
    <w:rsid w:val="00331BA9"/>
    <w:rsid w:val="003379B2"/>
    <w:rsid w:val="0034148E"/>
    <w:rsid w:val="003435D8"/>
    <w:rsid w:val="003436EC"/>
    <w:rsid w:val="00346D0D"/>
    <w:rsid w:val="0035014A"/>
    <w:rsid w:val="0035783B"/>
    <w:rsid w:val="003633EC"/>
    <w:rsid w:val="003806D0"/>
    <w:rsid w:val="00380D1B"/>
    <w:rsid w:val="00383800"/>
    <w:rsid w:val="00387449"/>
    <w:rsid w:val="003949D9"/>
    <w:rsid w:val="003A19AB"/>
    <w:rsid w:val="003A1B6A"/>
    <w:rsid w:val="003B2B8B"/>
    <w:rsid w:val="003B2C99"/>
    <w:rsid w:val="003B67F0"/>
    <w:rsid w:val="003B6ECD"/>
    <w:rsid w:val="003C6DC9"/>
    <w:rsid w:val="003D1D05"/>
    <w:rsid w:val="003D3A07"/>
    <w:rsid w:val="003D79DB"/>
    <w:rsid w:val="003E0BB7"/>
    <w:rsid w:val="003E3736"/>
    <w:rsid w:val="003E37BC"/>
    <w:rsid w:val="003E38B6"/>
    <w:rsid w:val="003F2243"/>
    <w:rsid w:val="003F2306"/>
    <w:rsid w:val="003F3D15"/>
    <w:rsid w:val="003F3DCF"/>
    <w:rsid w:val="003F3E15"/>
    <w:rsid w:val="00400255"/>
    <w:rsid w:val="00400E60"/>
    <w:rsid w:val="004012B9"/>
    <w:rsid w:val="00401B6D"/>
    <w:rsid w:val="00401E82"/>
    <w:rsid w:val="00402AB3"/>
    <w:rsid w:val="00406E56"/>
    <w:rsid w:val="00410F90"/>
    <w:rsid w:val="0041226A"/>
    <w:rsid w:val="00413FCC"/>
    <w:rsid w:val="00430263"/>
    <w:rsid w:val="00436A78"/>
    <w:rsid w:val="00441CC6"/>
    <w:rsid w:val="004446A9"/>
    <w:rsid w:val="004472BC"/>
    <w:rsid w:val="0045061C"/>
    <w:rsid w:val="004552C6"/>
    <w:rsid w:val="004579E5"/>
    <w:rsid w:val="00457E2F"/>
    <w:rsid w:val="00461486"/>
    <w:rsid w:val="00463BAC"/>
    <w:rsid w:val="00464E35"/>
    <w:rsid w:val="00466F0A"/>
    <w:rsid w:val="00475CDE"/>
    <w:rsid w:val="00482733"/>
    <w:rsid w:val="00482BA4"/>
    <w:rsid w:val="004845E8"/>
    <w:rsid w:val="004902A3"/>
    <w:rsid w:val="004913F4"/>
    <w:rsid w:val="004A1319"/>
    <w:rsid w:val="004A2BC1"/>
    <w:rsid w:val="004A680E"/>
    <w:rsid w:val="004A6FE9"/>
    <w:rsid w:val="004A7B2C"/>
    <w:rsid w:val="004B1ACE"/>
    <w:rsid w:val="004B43B3"/>
    <w:rsid w:val="004C026A"/>
    <w:rsid w:val="004C193A"/>
    <w:rsid w:val="004C1C04"/>
    <w:rsid w:val="004C245D"/>
    <w:rsid w:val="004C2B59"/>
    <w:rsid w:val="004C37A1"/>
    <w:rsid w:val="004C3A7A"/>
    <w:rsid w:val="004C45D2"/>
    <w:rsid w:val="004C54DB"/>
    <w:rsid w:val="004D03B2"/>
    <w:rsid w:val="004D3359"/>
    <w:rsid w:val="004D4E5C"/>
    <w:rsid w:val="004D4FAB"/>
    <w:rsid w:val="004D63B7"/>
    <w:rsid w:val="004E2175"/>
    <w:rsid w:val="004E7C7D"/>
    <w:rsid w:val="004F7A4D"/>
    <w:rsid w:val="00507780"/>
    <w:rsid w:val="0051391B"/>
    <w:rsid w:val="00514A8D"/>
    <w:rsid w:val="0051534B"/>
    <w:rsid w:val="005221DB"/>
    <w:rsid w:val="005224DC"/>
    <w:rsid w:val="00523319"/>
    <w:rsid w:val="00526DA8"/>
    <w:rsid w:val="00527985"/>
    <w:rsid w:val="00527BFF"/>
    <w:rsid w:val="0053166D"/>
    <w:rsid w:val="00531CC8"/>
    <w:rsid w:val="00535D03"/>
    <w:rsid w:val="00543432"/>
    <w:rsid w:val="00555266"/>
    <w:rsid w:val="00555B1A"/>
    <w:rsid w:val="00560BB1"/>
    <w:rsid w:val="00561A27"/>
    <w:rsid w:val="0056333A"/>
    <w:rsid w:val="00566EB8"/>
    <w:rsid w:val="00574B1A"/>
    <w:rsid w:val="00580920"/>
    <w:rsid w:val="00583099"/>
    <w:rsid w:val="005837F4"/>
    <w:rsid w:val="00590330"/>
    <w:rsid w:val="00592D93"/>
    <w:rsid w:val="0059447E"/>
    <w:rsid w:val="00595637"/>
    <w:rsid w:val="005978D2"/>
    <w:rsid w:val="005A2D58"/>
    <w:rsid w:val="005A3360"/>
    <w:rsid w:val="005A3F04"/>
    <w:rsid w:val="005B1140"/>
    <w:rsid w:val="005B1528"/>
    <w:rsid w:val="005B47DA"/>
    <w:rsid w:val="005B61BD"/>
    <w:rsid w:val="005C302A"/>
    <w:rsid w:val="005C5E72"/>
    <w:rsid w:val="005D1325"/>
    <w:rsid w:val="005E48FB"/>
    <w:rsid w:val="005F0696"/>
    <w:rsid w:val="005F41A3"/>
    <w:rsid w:val="005F4901"/>
    <w:rsid w:val="005F5A70"/>
    <w:rsid w:val="005F5F37"/>
    <w:rsid w:val="005F66FE"/>
    <w:rsid w:val="005F77A4"/>
    <w:rsid w:val="0060055B"/>
    <w:rsid w:val="00607BAA"/>
    <w:rsid w:val="0061608C"/>
    <w:rsid w:val="006201CB"/>
    <w:rsid w:val="00621545"/>
    <w:rsid w:val="0062164D"/>
    <w:rsid w:val="00626949"/>
    <w:rsid w:val="00626C0C"/>
    <w:rsid w:val="00627137"/>
    <w:rsid w:val="006316F1"/>
    <w:rsid w:val="00633795"/>
    <w:rsid w:val="0063481C"/>
    <w:rsid w:val="006379F5"/>
    <w:rsid w:val="00645B52"/>
    <w:rsid w:val="00646C33"/>
    <w:rsid w:val="00651497"/>
    <w:rsid w:val="00653048"/>
    <w:rsid w:val="0065399D"/>
    <w:rsid w:val="00654C71"/>
    <w:rsid w:val="0065568E"/>
    <w:rsid w:val="00657650"/>
    <w:rsid w:val="006601E4"/>
    <w:rsid w:val="00664530"/>
    <w:rsid w:val="00666999"/>
    <w:rsid w:val="00685B14"/>
    <w:rsid w:val="0068637F"/>
    <w:rsid w:val="00686BCA"/>
    <w:rsid w:val="006925D7"/>
    <w:rsid w:val="00693339"/>
    <w:rsid w:val="00697747"/>
    <w:rsid w:val="006A08F9"/>
    <w:rsid w:val="006A11BF"/>
    <w:rsid w:val="006A3FD6"/>
    <w:rsid w:val="006A6920"/>
    <w:rsid w:val="006A769F"/>
    <w:rsid w:val="006B1A3B"/>
    <w:rsid w:val="006B42A4"/>
    <w:rsid w:val="006D150E"/>
    <w:rsid w:val="006D2E6E"/>
    <w:rsid w:val="006D3CE9"/>
    <w:rsid w:val="006D5B0F"/>
    <w:rsid w:val="006E41C7"/>
    <w:rsid w:val="006E79E9"/>
    <w:rsid w:val="006F0E7F"/>
    <w:rsid w:val="006F2504"/>
    <w:rsid w:val="006F59A4"/>
    <w:rsid w:val="00701042"/>
    <w:rsid w:val="00702A07"/>
    <w:rsid w:val="0070300E"/>
    <w:rsid w:val="0071187D"/>
    <w:rsid w:val="007207E3"/>
    <w:rsid w:val="00726677"/>
    <w:rsid w:val="00730E66"/>
    <w:rsid w:val="00732EE4"/>
    <w:rsid w:val="00734FA7"/>
    <w:rsid w:val="00735BC0"/>
    <w:rsid w:val="00746DB7"/>
    <w:rsid w:val="00752299"/>
    <w:rsid w:val="00752B50"/>
    <w:rsid w:val="00753611"/>
    <w:rsid w:val="00754944"/>
    <w:rsid w:val="00761515"/>
    <w:rsid w:val="00762454"/>
    <w:rsid w:val="0076317F"/>
    <w:rsid w:val="00766A33"/>
    <w:rsid w:val="00772E41"/>
    <w:rsid w:val="00773DCB"/>
    <w:rsid w:val="00774BE5"/>
    <w:rsid w:val="00777089"/>
    <w:rsid w:val="00777114"/>
    <w:rsid w:val="00780081"/>
    <w:rsid w:val="00780FC2"/>
    <w:rsid w:val="00781873"/>
    <w:rsid w:val="00793017"/>
    <w:rsid w:val="00794455"/>
    <w:rsid w:val="00794F69"/>
    <w:rsid w:val="007954E4"/>
    <w:rsid w:val="00795E0C"/>
    <w:rsid w:val="00797F20"/>
    <w:rsid w:val="007B012C"/>
    <w:rsid w:val="007B1091"/>
    <w:rsid w:val="007B3AEE"/>
    <w:rsid w:val="007B7966"/>
    <w:rsid w:val="007C49FA"/>
    <w:rsid w:val="007C532D"/>
    <w:rsid w:val="007C5CF1"/>
    <w:rsid w:val="007C648E"/>
    <w:rsid w:val="007C665A"/>
    <w:rsid w:val="007C7CD0"/>
    <w:rsid w:val="007D2E23"/>
    <w:rsid w:val="007D37F3"/>
    <w:rsid w:val="007D5572"/>
    <w:rsid w:val="007D5ADC"/>
    <w:rsid w:val="007D7B0B"/>
    <w:rsid w:val="007E6B97"/>
    <w:rsid w:val="007E7A42"/>
    <w:rsid w:val="007F1CA3"/>
    <w:rsid w:val="007F31CC"/>
    <w:rsid w:val="007F7627"/>
    <w:rsid w:val="0081383D"/>
    <w:rsid w:val="00814C50"/>
    <w:rsid w:val="008169C1"/>
    <w:rsid w:val="008208B0"/>
    <w:rsid w:val="00821CF8"/>
    <w:rsid w:val="008249C3"/>
    <w:rsid w:val="008314A3"/>
    <w:rsid w:val="0083283A"/>
    <w:rsid w:val="008356B9"/>
    <w:rsid w:val="0084123A"/>
    <w:rsid w:val="008418C9"/>
    <w:rsid w:val="00843EF3"/>
    <w:rsid w:val="008444AD"/>
    <w:rsid w:val="008451E0"/>
    <w:rsid w:val="008510E2"/>
    <w:rsid w:val="0086025A"/>
    <w:rsid w:val="00860AC4"/>
    <w:rsid w:val="00860C44"/>
    <w:rsid w:val="008610BE"/>
    <w:rsid w:val="00863D59"/>
    <w:rsid w:val="00866A22"/>
    <w:rsid w:val="00870976"/>
    <w:rsid w:val="00871E73"/>
    <w:rsid w:val="00873254"/>
    <w:rsid w:val="0087326F"/>
    <w:rsid w:val="00873DA0"/>
    <w:rsid w:val="00876771"/>
    <w:rsid w:val="008A0509"/>
    <w:rsid w:val="008A06B7"/>
    <w:rsid w:val="008A0819"/>
    <w:rsid w:val="008A2305"/>
    <w:rsid w:val="008A3639"/>
    <w:rsid w:val="008A6C23"/>
    <w:rsid w:val="008A751F"/>
    <w:rsid w:val="008B6CF0"/>
    <w:rsid w:val="008B73D9"/>
    <w:rsid w:val="008C1261"/>
    <w:rsid w:val="008C2D86"/>
    <w:rsid w:val="008C4038"/>
    <w:rsid w:val="008C7494"/>
    <w:rsid w:val="008D1BBD"/>
    <w:rsid w:val="008D4B57"/>
    <w:rsid w:val="008D5A60"/>
    <w:rsid w:val="008D767F"/>
    <w:rsid w:val="008D7E47"/>
    <w:rsid w:val="008E05D4"/>
    <w:rsid w:val="008E0A98"/>
    <w:rsid w:val="008E20B5"/>
    <w:rsid w:val="008E470D"/>
    <w:rsid w:val="008E6E6C"/>
    <w:rsid w:val="008E7080"/>
    <w:rsid w:val="008F0CED"/>
    <w:rsid w:val="00901539"/>
    <w:rsid w:val="009028C5"/>
    <w:rsid w:val="00904011"/>
    <w:rsid w:val="00904C7E"/>
    <w:rsid w:val="00906A29"/>
    <w:rsid w:val="0091211C"/>
    <w:rsid w:val="00916CAD"/>
    <w:rsid w:val="00916F04"/>
    <w:rsid w:val="00924685"/>
    <w:rsid w:val="0092791E"/>
    <w:rsid w:val="00930B47"/>
    <w:rsid w:val="00940E1E"/>
    <w:rsid w:val="00943924"/>
    <w:rsid w:val="00946680"/>
    <w:rsid w:val="0094730C"/>
    <w:rsid w:val="00947E88"/>
    <w:rsid w:val="00953E3C"/>
    <w:rsid w:val="0095451F"/>
    <w:rsid w:val="009558A3"/>
    <w:rsid w:val="00956458"/>
    <w:rsid w:val="00956BC1"/>
    <w:rsid w:val="009578E6"/>
    <w:rsid w:val="00957F8E"/>
    <w:rsid w:val="009603A9"/>
    <w:rsid w:val="00961D13"/>
    <w:rsid w:val="009625C9"/>
    <w:rsid w:val="00965B80"/>
    <w:rsid w:val="00970648"/>
    <w:rsid w:val="00971854"/>
    <w:rsid w:val="009722C3"/>
    <w:rsid w:val="00974265"/>
    <w:rsid w:val="00977AD0"/>
    <w:rsid w:val="0098492E"/>
    <w:rsid w:val="00986494"/>
    <w:rsid w:val="00993B78"/>
    <w:rsid w:val="00994482"/>
    <w:rsid w:val="009961AF"/>
    <w:rsid w:val="009A0059"/>
    <w:rsid w:val="009A302F"/>
    <w:rsid w:val="009B0EE3"/>
    <w:rsid w:val="009B1329"/>
    <w:rsid w:val="009B151C"/>
    <w:rsid w:val="009B4ECD"/>
    <w:rsid w:val="009B51AD"/>
    <w:rsid w:val="009B635C"/>
    <w:rsid w:val="009C7449"/>
    <w:rsid w:val="009D183F"/>
    <w:rsid w:val="009D446E"/>
    <w:rsid w:val="009D7908"/>
    <w:rsid w:val="009D7A1D"/>
    <w:rsid w:val="009E2932"/>
    <w:rsid w:val="009E46FE"/>
    <w:rsid w:val="009E5DB1"/>
    <w:rsid w:val="009F08FF"/>
    <w:rsid w:val="009F0CC4"/>
    <w:rsid w:val="009F39D8"/>
    <w:rsid w:val="009F5A1C"/>
    <w:rsid w:val="009F7A14"/>
    <w:rsid w:val="009F7ACB"/>
    <w:rsid w:val="009F7D94"/>
    <w:rsid w:val="00A009E2"/>
    <w:rsid w:val="00A0578D"/>
    <w:rsid w:val="00A0674F"/>
    <w:rsid w:val="00A0695B"/>
    <w:rsid w:val="00A10AE7"/>
    <w:rsid w:val="00A13AE6"/>
    <w:rsid w:val="00A13B73"/>
    <w:rsid w:val="00A22A40"/>
    <w:rsid w:val="00A275F1"/>
    <w:rsid w:val="00A276CF"/>
    <w:rsid w:val="00A315BE"/>
    <w:rsid w:val="00A32405"/>
    <w:rsid w:val="00A40233"/>
    <w:rsid w:val="00A42921"/>
    <w:rsid w:val="00A45D33"/>
    <w:rsid w:val="00A553D9"/>
    <w:rsid w:val="00A56229"/>
    <w:rsid w:val="00A56248"/>
    <w:rsid w:val="00A57696"/>
    <w:rsid w:val="00A606D9"/>
    <w:rsid w:val="00A61751"/>
    <w:rsid w:val="00A6309A"/>
    <w:rsid w:val="00A674B5"/>
    <w:rsid w:val="00A70ECB"/>
    <w:rsid w:val="00A70F49"/>
    <w:rsid w:val="00A733E3"/>
    <w:rsid w:val="00A75A43"/>
    <w:rsid w:val="00A76352"/>
    <w:rsid w:val="00A802AA"/>
    <w:rsid w:val="00A80803"/>
    <w:rsid w:val="00A8448B"/>
    <w:rsid w:val="00A85452"/>
    <w:rsid w:val="00A87FB9"/>
    <w:rsid w:val="00A90B75"/>
    <w:rsid w:val="00AA6AB4"/>
    <w:rsid w:val="00AA7D4F"/>
    <w:rsid w:val="00AA7D5B"/>
    <w:rsid w:val="00AB322E"/>
    <w:rsid w:val="00AB6C2F"/>
    <w:rsid w:val="00AC651C"/>
    <w:rsid w:val="00AD4D81"/>
    <w:rsid w:val="00AE3113"/>
    <w:rsid w:val="00AE5EA5"/>
    <w:rsid w:val="00B01F94"/>
    <w:rsid w:val="00B026CF"/>
    <w:rsid w:val="00B159FC"/>
    <w:rsid w:val="00B1762C"/>
    <w:rsid w:val="00B22261"/>
    <w:rsid w:val="00B267ED"/>
    <w:rsid w:val="00B32716"/>
    <w:rsid w:val="00B32ABD"/>
    <w:rsid w:val="00B32EA0"/>
    <w:rsid w:val="00B407A1"/>
    <w:rsid w:val="00B41457"/>
    <w:rsid w:val="00B42D80"/>
    <w:rsid w:val="00B43CB0"/>
    <w:rsid w:val="00B454A3"/>
    <w:rsid w:val="00B460C0"/>
    <w:rsid w:val="00B547E0"/>
    <w:rsid w:val="00B55A1A"/>
    <w:rsid w:val="00B617CF"/>
    <w:rsid w:val="00B62A4E"/>
    <w:rsid w:val="00B63FF5"/>
    <w:rsid w:val="00B66D26"/>
    <w:rsid w:val="00B672B5"/>
    <w:rsid w:val="00B71A27"/>
    <w:rsid w:val="00B731E6"/>
    <w:rsid w:val="00B80F0C"/>
    <w:rsid w:val="00B81F48"/>
    <w:rsid w:val="00B825D1"/>
    <w:rsid w:val="00B82AF7"/>
    <w:rsid w:val="00B82E2C"/>
    <w:rsid w:val="00B83BD6"/>
    <w:rsid w:val="00B85A5B"/>
    <w:rsid w:val="00B876A9"/>
    <w:rsid w:val="00B91232"/>
    <w:rsid w:val="00B9378B"/>
    <w:rsid w:val="00B95965"/>
    <w:rsid w:val="00B96762"/>
    <w:rsid w:val="00B97799"/>
    <w:rsid w:val="00BA199C"/>
    <w:rsid w:val="00BA2BE3"/>
    <w:rsid w:val="00BA3263"/>
    <w:rsid w:val="00BA3A6D"/>
    <w:rsid w:val="00BA50C4"/>
    <w:rsid w:val="00BA6C3D"/>
    <w:rsid w:val="00BA7C9F"/>
    <w:rsid w:val="00BB35AB"/>
    <w:rsid w:val="00BB374A"/>
    <w:rsid w:val="00BB5F2D"/>
    <w:rsid w:val="00BB65D6"/>
    <w:rsid w:val="00BB6B61"/>
    <w:rsid w:val="00BC1DC6"/>
    <w:rsid w:val="00BC242A"/>
    <w:rsid w:val="00BC24C4"/>
    <w:rsid w:val="00BC2D85"/>
    <w:rsid w:val="00BC46C1"/>
    <w:rsid w:val="00BC6C29"/>
    <w:rsid w:val="00BD0C08"/>
    <w:rsid w:val="00BD1BB9"/>
    <w:rsid w:val="00BD40B9"/>
    <w:rsid w:val="00BD7E56"/>
    <w:rsid w:val="00BE07EE"/>
    <w:rsid w:val="00BE1B2A"/>
    <w:rsid w:val="00BE54A7"/>
    <w:rsid w:val="00BF01E7"/>
    <w:rsid w:val="00BF318B"/>
    <w:rsid w:val="00BF4FF7"/>
    <w:rsid w:val="00BF58FE"/>
    <w:rsid w:val="00C00B83"/>
    <w:rsid w:val="00C05226"/>
    <w:rsid w:val="00C151E8"/>
    <w:rsid w:val="00C21CF0"/>
    <w:rsid w:val="00C21D37"/>
    <w:rsid w:val="00C32038"/>
    <w:rsid w:val="00C35292"/>
    <w:rsid w:val="00C41234"/>
    <w:rsid w:val="00C46814"/>
    <w:rsid w:val="00C47960"/>
    <w:rsid w:val="00C47C38"/>
    <w:rsid w:val="00C50F37"/>
    <w:rsid w:val="00C54425"/>
    <w:rsid w:val="00C61FBC"/>
    <w:rsid w:val="00C6550E"/>
    <w:rsid w:val="00C65B5E"/>
    <w:rsid w:val="00C6614A"/>
    <w:rsid w:val="00C70473"/>
    <w:rsid w:val="00C70CA8"/>
    <w:rsid w:val="00C7236D"/>
    <w:rsid w:val="00C7387C"/>
    <w:rsid w:val="00C75762"/>
    <w:rsid w:val="00C764E4"/>
    <w:rsid w:val="00C77A14"/>
    <w:rsid w:val="00C77E9A"/>
    <w:rsid w:val="00C82FC9"/>
    <w:rsid w:val="00C8320E"/>
    <w:rsid w:val="00C8460C"/>
    <w:rsid w:val="00C85835"/>
    <w:rsid w:val="00C863D7"/>
    <w:rsid w:val="00C91291"/>
    <w:rsid w:val="00C91CCC"/>
    <w:rsid w:val="00C93D2E"/>
    <w:rsid w:val="00C96872"/>
    <w:rsid w:val="00C96D24"/>
    <w:rsid w:val="00C97ACC"/>
    <w:rsid w:val="00C97BB2"/>
    <w:rsid w:val="00CA344A"/>
    <w:rsid w:val="00CA668C"/>
    <w:rsid w:val="00CA6C70"/>
    <w:rsid w:val="00CB04F0"/>
    <w:rsid w:val="00CB15CD"/>
    <w:rsid w:val="00CB289D"/>
    <w:rsid w:val="00CB4D22"/>
    <w:rsid w:val="00CC0466"/>
    <w:rsid w:val="00CC2860"/>
    <w:rsid w:val="00CC4D5E"/>
    <w:rsid w:val="00CD3FE0"/>
    <w:rsid w:val="00CD66B9"/>
    <w:rsid w:val="00CD6DAB"/>
    <w:rsid w:val="00CD73F2"/>
    <w:rsid w:val="00CE635A"/>
    <w:rsid w:val="00CE67A0"/>
    <w:rsid w:val="00CF356C"/>
    <w:rsid w:val="00CF5CDA"/>
    <w:rsid w:val="00CF6619"/>
    <w:rsid w:val="00D0163F"/>
    <w:rsid w:val="00D03CC3"/>
    <w:rsid w:val="00D077F6"/>
    <w:rsid w:val="00D07B12"/>
    <w:rsid w:val="00D1308F"/>
    <w:rsid w:val="00D22CD1"/>
    <w:rsid w:val="00D2634F"/>
    <w:rsid w:val="00D326C6"/>
    <w:rsid w:val="00D34752"/>
    <w:rsid w:val="00D3494F"/>
    <w:rsid w:val="00D4310E"/>
    <w:rsid w:val="00D438C4"/>
    <w:rsid w:val="00D45F38"/>
    <w:rsid w:val="00D4753F"/>
    <w:rsid w:val="00D52195"/>
    <w:rsid w:val="00D5281F"/>
    <w:rsid w:val="00D5493B"/>
    <w:rsid w:val="00D564AC"/>
    <w:rsid w:val="00D63491"/>
    <w:rsid w:val="00D72C75"/>
    <w:rsid w:val="00D73E8C"/>
    <w:rsid w:val="00D7415B"/>
    <w:rsid w:val="00D74432"/>
    <w:rsid w:val="00D7474C"/>
    <w:rsid w:val="00D759E9"/>
    <w:rsid w:val="00D75A2D"/>
    <w:rsid w:val="00D808FE"/>
    <w:rsid w:val="00D81A9E"/>
    <w:rsid w:val="00D848BD"/>
    <w:rsid w:val="00D861B2"/>
    <w:rsid w:val="00D87C1F"/>
    <w:rsid w:val="00D92509"/>
    <w:rsid w:val="00D952E6"/>
    <w:rsid w:val="00D9729D"/>
    <w:rsid w:val="00DA174F"/>
    <w:rsid w:val="00DA346A"/>
    <w:rsid w:val="00DA38B4"/>
    <w:rsid w:val="00DA55D5"/>
    <w:rsid w:val="00DB28D2"/>
    <w:rsid w:val="00DB425F"/>
    <w:rsid w:val="00DB7257"/>
    <w:rsid w:val="00DC1B22"/>
    <w:rsid w:val="00DC1DEE"/>
    <w:rsid w:val="00DC6148"/>
    <w:rsid w:val="00DD006F"/>
    <w:rsid w:val="00DD5136"/>
    <w:rsid w:val="00DD5C2E"/>
    <w:rsid w:val="00DD787E"/>
    <w:rsid w:val="00DD796C"/>
    <w:rsid w:val="00DE1044"/>
    <w:rsid w:val="00DE133D"/>
    <w:rsid w:val="00DE1B01"/>
    <w:rsid w:val="00DE2555"/>
    <w:rsid w:val="00DE4DFD"/>
    <w:rsid w:val="00DE6851"/>
    <w:rsid w:val="00DE70B7"/>
    <w:rsid w:val="00DF3ACA"/>
    <w:rsid w:val="00DF4211"/>
    <w:rsid w:val="00E0334D"/>
    <w:rsid w:val="00E05B41"/>
    <w:rsid w:val="00E05EA2"/>
    <w:rsid w:val="00E116DD"/>
    <w:rsid w:val="00E12068"/>
    <w:rsid w:val="00E159B3"/>
    <w:rsid w:val="00E17984"/>
    <w:rsid w:val="00E20EA6"/>
    <w:rsid w:val="00E25105"/>
    <w:rsid w:val="00E25F75"/>
    <w:rsid w:val="00E32EF2"/>
    <w:rsid w:val="00E36B14"/>
    <w:rsid w:val="00E41871"/>
    <w:rsid w:val="00E45542"/>
    <w:rsid w:val="00E46420"/>
    <w:rsid w:val="00E50BD6"/>
    <w:rsid w:val="00E54518"/>
    <w:rsid w:val="00E54551"/>
    <w:rsid w:val="00E57580"/>
    <w:rsid w:val="00E60D99"/>
    <w:rsid w:val="00E6206A"/>
    <w:rsid w:val="00E622F7"/>
    <w:rsid w:val="00E622FB"/>
    <w:rsid w:val="00E62396"/>
    <w:rsid w:val="00E637B0"/>
    <w:rsid w:val="00E63BA5"/>
    <w:rsid w:val="00E66268"/>
    <w:rsid w:val="00E70B37"/>
    <w:rsid w:val="00E719A8"/>
    <w:rsid w:val="00E75A51"/>
    <w:rsid w:val="00E761FD"/>
    <w:rsid w:val="00E80B22"/>
    <w:rsid w:val="00E80D08"/>
    <w:rsid w:val="00E81F99"/>
    <w:rsid w:val="00E925A4"/>
    <w:rsid w:val="00E95FAA"/>
    <w:rsid w:val="00E968D8"/>
    <w:rsid w:val="00E9699A"/>
    <w:rsid w:val="00EA13E5"/>
    <w:rsid w:val="00EB0ACC"/>
    <w:rsid w:val="00EB49CE"/>
    <w:rsid w:val="00EB4BEB"/>
    <w:rsid w:val="00EB73D0"/>
    <w:rsid w:val="00EC4757"/>
    <w:rsid w:val="00EC4891"/>
    <w:rsid w:val="00EC75AC"/>
    <w:rsid w:val="00ED0519"/>
    <w:rsid w:val="00ED2977"/>
    <w:rsid w:val="00EE0034"/>
    <w:rsid w:val="00EE2659"/>
    <w:rsid w:val="00EE4D4A"/>
    <w:rsid w:val="00EE50D1"/>
    <w:rsid w:val="00EF0075"/>
    <w:rsid w:val="00EF14AB"/>
    <w:rsid w:val="00EF1837"/>
    <w:rsid w:val="00EF2A2E"/>
    <w:rsid w:val="00F01646"/>
    <w:rsid w:val="00F06F36"/>
    <w:rsid w:val="00F12ECB"/>
    <w:rsid w:val="00F14A21"/>
    <w:rsid w:val="00F20E0B"/>
    <w:rsid w:val="00F2330C"/>
    <w:rsid w:val="00F27EBE"/>
    <w:rsid w:val="00F32D77"/>
    <w:rsid w:val="00F32E41"/>
    <w:rsid w:val="00F33431"/>
    <w:rsid w:val="00F33BF9"/>
    <w:rsid w:val="00F346F6"/>
    <w:rsid w:val="00F3618D"/>
    <w:rsid w:val="00F3671A"/>
    <w:rsid w:val="00F42242"/>
    <w:rsid w:val="00F43A6F"/>
    <w:rsid w:val="00F44FF0"/>
    <w:rsid w:val="00F61FA6"/>
    <w:rsid w:val="00F66AED"/>
    <w:rsid w:val="00F72CC0"/>
    <w:rsid w:val="00F7327B"/>
    <w:rsid w:val="00F769BC"/>
    <w:rsid w:val="00F86B30"/>
    <w:rsid w:val="00F940B7"/>
    <w:rsid w:val="00F94D29"/>
    <w:rsid w:val="00F9795C"/>
    <w:rsid w:val="00FA0C34"/>
    <w:rsid w:val="00FA21C0"/>
    <w:rsid w:val="00FA2E6F"/>
    <w:rsid w:val="00FA5E8F"/>
    <w:rsid w:val="00FA69A3"/>
    <w:rsid w:val="00FA74CC"/>
    <w:rsid w:val="00FB0DD8"/>
    <w:rsid w:val="00FB4EB8"/>
    <w:rsid w:val="00FC103A"/>
    <w:rsid w:val="00FC5772"/>
    <w:rsid w:val="00FD411E"/>
    <w:rsid w:val="00FD7124"/>
    <w:rsid w:val="00FD7D29"/>
    <w:rsid w:val="00FD7FB1"/>
    <w:rsid w:val="00FE1C7C"/>
    <w:rsid w:val="00FE2319"/>
    <w:rsid w:val="00FE2E27"/>
    <w:rsid w:val="00FE4F94"/>
    <w:rsid w:val="00FE4FBE"/>
    <w:rsid w:val="00FE68D6"/>
    <w:rsid w:val="00FF0412"/>
    <w:rsid w:val="00FF1271"/>
    <w:rsid w:val="00FF1697"/>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 w:type="character" w:styleId="FollowedHyperlink">
    <w:name w:val="FollowedHyperlink"/>
    <w:basedOn w:val="DefaultParagraphFont"/>
    <w:rsid w:val="00D861B2"/>
    <w:rPr>
      <w:color w:val="800080" w:themeColor="followedHyperlink"/>
      <w:u w:val="single"/>
    </w:rPr>
  </w:style>
  <w:style w:type="paragraph" w:styleId="ListParagraph">
    <w:name w:val="List Paragraph"/>
    <w:basedOn w:val="Normal"/>
    <w:uiPriority w:val="34"/>
    <w:qFormat/>
    <w:rsid w:val="00965B80"/>
    <w:pPr>
      <w:ind w:left="720"/>
      <w:contextualSpacing/>
    </w:pPr>
    <w:rPr>
      <w:sz w:val="20"/>
      <w:szCs w:val="20"/>
    </w:rPr>
  </w:style>
  <w:style w:type="paragraph" w:styleId="List2">
    <w:name w:val="List 2"/>
    <w:basedOn w:val="Normal"/>
    <w:rsid w:val="00C65B5E"/>
    <w:pPr>
      <w:ind w:left="720" w:hanging="360"/>
    </w:pPr>
  </w:style>
  <w:style w:type="paragraph" w:styleId="BodyText">
    <w:name w:val="Body Text"/>
    <w:basedOn w:val="Normal"/>
    <w:link w:val="BodyTextChar"/>
    <w:rsid w:val="00735BC0"/>
    <w:pPr>
      <w:spacing w:after="120"/>
    </w:pPr>
  </w:style>
  <w:style w:type="character" w:customStyle="1" w:styleId="BodyTextChar">
    <w:name w:val="Body Text Char"/>
    <w:basedOn w:val="DefaultParagraphFont"/>
    <w:link w:val="BodyText"/>
    <w:rsid w:val="00735BC0"/>
    <w:rPr>
      <w:sz w:val="24"/>
      <w:szCs w:val="24"/>
    </w:rPr>
  </w:style>
  <w:style w:type="paragraph" w:styleId="NoSpacing">
    <w:name w:val="No Spacing"/>
    <w:uiPriority w:val="1"/>
    <w:qFormat/>
    <w:rsid w:val="00AE3113"/>
    <w:rPr>
      <w:sz w:val="24"/>
      <w:szCs w:val="24"/>
    </w:rPr>
  </w:style>
  <w:style w:type="paragraph" w:customStyle="1" w:styleId="Default">
    <w:name w:val="Default"/>
    <w:rsid w:val="006D3CE9"/>
    <w:pPr>
      <w:autoSpaceDE w:val="0"/>
      <w:autoSpaceDN w:val="0"/>
      <w:adjustRightInd w:val="0"/>
    </w:pPr>
    <w:rPr>
      <w:color w:val="000000"/>
      <w:sz w:val="24"/>
      <w:szCs w:val="24"/>
    </w:rPr>
  </w:style>
  <w:style w:type="character" w:styleId="Emphasis">
    <w:name w:val="Emphasis"/>
    <w:basedOn w:val="DefaultParagraphFont"/>
    <w:uiPriority w:val="20"/>
    <w:qFormat/>
    <w:rsid w:val="00821CF8"/>
    <w:rPr>
      <w:b/>
      <w:bCs/>
      <w:i w:val="0"/>
      <w:iCs w:val="0"/>
    </w:rPr>
  </w:style>
  <w:style w:type="character" w:customStyle="1" w:styleId="st1">
    <w:name w:val="st1"/>
    <w:basedOn w:val="DefaultParagraphFont"/>
    <w:rsid w:val="00821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 w:type="character" w:styleId="FollowedHyperlink">
    <w:name w:val="FollowedHyperlink"/>
    <w:basedOn w:val="DefaultParagraphFont"/>
    <w:rsid w:val="00D861B2"/>
    <w:rPr>
      <w:color w:val="800080" w:themeColor="followedHyperlink"/>
      <w:u w:val="single"/>
    </w:rPr>
  </w:style>
  <w:style w:type="paragraph" w:styleId="ListParagraph">
    <w:name w:val="List Paragraph"/>
    <w:basedOn w:val="Normal"/>
    <w:uiPriority w:val="34"/>
    <w:qFormat/>
    <w:rsid w:val="00965B80"/>
    <w:pPr>
      <w:ind w:left="720"/>
      <w:contextualSpacing/>
    </w:pPr>
    <w:rPr>
      <w:sz w:val="20"/>
      <w:szCs w:val="20"/>
    </w:rPr>
  </w:style>
  <w:style w:type="paragraph" w:styleId="List2">
    <w:name w:val="List 2"/>
    <w:basedOn w:val="Normal"/>
    <w:rsid w:val="00C65B5E"/>
    <w:pPr>
      <w:ind w:left="720" w:hanging="360"/>
    </w:pPr>
  </w:style>
  <w:style w:type="paragraph" w:styleId="BodyText">
    <w:name w:val="Body Text"/>
    <w:basedOn w:val="Normal"/>
    <w:link w:val="BodyTextChar"/>
    <w:rsid w:val="00735BC0"/>
    <w:pPr>
      <w:spacing w:after="120"/>
    </w:pPr>
  </w:style>
  <w:style w:type="character" w:customStyle="1" w:styleId="BodyTextChar">
    <w:name w:val="Body Text Char"/>
    <w:basedOn w:val="DefaultParagraphFont"/>
    <w:link w:val="BodyText"/>
    <w:rsid w:val="00735BC0"/>
    <w:rPr>
      <w:sz w:val="24"/>
      <w:szCs w:val="24"/>
    </w:rPr>
  </w:style>
  <w:style w:type="paragraph" w:styleId="NoSpacing">
    <w:name w:val="No Spacing"/>
    <w:uiPriority w:val="1"/>
    <w:qFormat/>
    <w:rsid w:val="00AE3113"/>
    <w:rPr>
      <w:sz w:val="24"/>
      <w:szCs w:val="24"/>
    </w:rPr>
  </w:style>
  <w:style w:type="paragraph" w:customStyle="1" w:styleId="Default">
    <w:name w:val="Default"/>
    <w:rsid w:val="006D3CE9"/>
    <w:pPr>
      <w:autoSpaceDE w:val="0"/>
      <w:autoSpaceDN w:val="0"/>
      <w:adjustRightInd w:val="0"/>
    </w:pPr>
    <w:rPr>
      <w:color w:val="000000"/>
      <w:sz w:val="24"/>
      <w:szCs w:val="24"/>
    </w:rPr>
  </w:style>
  <w:style w:type="character" w:styleId="Emphasis">
    <w:name w:val="Emphasis"/>
    <w:basedOn w:val="DefaultParagraphFont"/>
    <w:uiPriority w:val="20"/>
    <w:qFormat/>
    <w:rsid w:val="00821CF8"/>
    <w:rPr>
      <w:b/>
      <w:bCs/>
      <w:i w:val="0"/>
      <w:iCs w:val="0"/>
    </w:rPr>
  </w:style>
  <w:style w:type="character" w:customStyle="1" w:styleId="st1">
    <w:name w:val="st1"/>
    <w:basedOn w:val="DefaultParagraphFont"/>
    <w:rsid w:val="0082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26702">
      <w:bodyDiv w:val="1"/>
      <w:marLeft w:val="0"/>
      <w:marRight w:val="0"/>
      <w:marTop w:val="0"/>
      <w:marBottom w:val="0"/>
      <w:divBdr>
        <w:top w:val="none" w:sz="0" w:space="0" w:color="auto"/>
        <w:left w:val="none" w:sz="0" w:space="0" w:color="auto"/>
        <w:bottom w:val="none" w:sz="0" w:space="0" w:color="auto"/>
        <w:right w:val="none" w:sz="0" w:space="0" w:color="auto"/>
      </w:divBdr>
      <w:divsChild>
        <w:div w:id="1593078840">
          <w:marLeft w:val="0"/>
          <w:marRight w:val="1"/>
          <w:marTop w:val="0"/>
          <w:marBottom w:val="0"/>
          <w:divBdr>
            <w:top w:val="none" w:sz="0" w:space="0" w:color="auto"/>
            <w:left w:val="none" w:sz="0" w:space="0" w:color="auto"/>
            <w:bottom w:val="none" w:sz="0" w:space="0" w:color="auto"/>
            <w:right w:val="none" w:sz="0" w:space="0" w:color="auto"/>
          </w:divBdr>
          <w:divsChild>
            <w:div w:id="1026911599">
              <w:marLeft w:val="0"/>
              <w:marRight w:val="0"/>
              <w:marTop w:val="0"/>
              <w:marBottom w:val="0"/>
              <w:divBdr>
                <w:top w:val="none" w:sz="0" w:space="0" w:color="auto"/>
                <w:left w:val="none" w:sz="0" w:space="0" w:color="auto"/>
                <w:bottom w:val="none" w:sz="0" w:space="0" w:color="auto"/>
                <w:right w:val="none" w:sz="0" w:space="0" w:color="auto"/>
              </w:divBdr>
              <w:divsChild>
                <w:div w:id="1041591542">
                  <w:marLeft w:val="0"/>
                  <w:marRight w:val="1"/>
                  <w:marTop w:val="0"/>
                  <w:marBottom w:val="0"/>
                  <w:divBdr>
                    <w:top w:val="none" w:sz="0" w:space="0" w:color="auto"/>
                    <w:left w:val="none" w:sz="0" w:space="0" w:color="auto"/>
                    <w:bottom w:val="none" w:sz="0" w:space="0" w:color="auto"/>
                    <w:right w:val="none" w:sz="0" w:space="0" w:color="auto"/>
                  </w:divBdr>
                  <w:divsChild>
                    <w:div w:id="735739034">
                      <w:marLeft w:val="0"/>
                      <w:marRight w:val="0"/>
                      <w:marTop w:val="0"/>
                      <w:marBottom w:val="0"/>
                      <w:divBdr>
                        <w:top w:val="none" w:sz="0" w:space="0" w:color="auto"/>
                        <w:left w:val="none" w:sz="0" w:space="0" w:color="auto"/>
                        <w:bottom w:val="none" w:sz="0" w:space="0" w:color="auto"/>
                        <w:right w:val="none" w:sz="0" w:space="0" w:color="auto"/>
                      </w:divBdr>
                      <w:divsChild>
                        <w:div w:id="1697148917">
                          <w:marLeft w:val="0"/>
                          <w:marRight w:val="0"/>
                          <w:marTop w:val="0"/>
                          <w:marBottom w:val="0"/>
                          <w:divBdr>
                            <w:top w:val="none" w:sz="0" w:space="0" w:color="auto"/>
                            <w:left w:val="none" w:sz="0" w:space="0" w:color="auto"/>
                            <w:bottom w:val="none" w:sz="0" w:space="0" w:color="auto"/>
                            <w:right w:val="none" w:sz="0" w:space="0" w:color="auto"/>
                          </w:divBdr>
                          <w:divsChild>
                            <w:div w:id="1937395340">
                              <w:marLeft w:val="0"/>
                              <w:marRight w:val="0"/>
                              <w:marTop w:val="120"/>
                              <w:marBottom w:val="360"/>
                              <w:divBdr>
                                <w:top w:val="none" w:sz="0" w:space="0" w:color="auto"/>
                                <w:left w:val="none" w:sz="0" w:space="0" w:color="auto"/>
                                <w:bottom w:val="none" w:sz="0" w:space="0" w:color="auto"/>
                                <w:right w:val="none" w:sz="0" w:space="0" w:color="auto"/>
                              </w:divBdr>
                              <w:divsChild>
                                <w:div w:id="1784643137">
                                  <w:marLeft w:val="0"/>
                                  <w:marRight w:val="0"/>
                                  <w:marTop w:val="0"/>
                                  <w:marBottom w:val="0"/>
                                  <w:divBdr>
                                    <w:top w:val="none" w:sz="0" w:space="0" w:color="auto"/>
                                    <w:left w:val="none" w:sz="0" w:space="0" w:color="auto"/>
                                    <w:bottom w:val="none" w:sz="0" w:space="0" w:color="auto"/>
                                    <w:right w:val="none" w:sz="0" w:space="0" w:color="auto"/>
                                  </w:divBdr>
                                </w:div>
                                <w:div w:id="5737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855180">
      <w:bodyDiv w:val="1"/>
      <w:marLeft w:val="0"/>
      <w:marRight w:val="0"/>
      <w:marTop w:val="0"/>
      <w:marBottom w:val="0"/>
      <w:divBdr>
        <w:top w:val="none" w:sz="0" w:space="0" w:color="auto"/>
        <w:left w:val="none" w:sz="0" w:space="0" w:color="auto"/>
        <w:bottom w:val="none" w:sz="0" w:space="0" w:color="auto"/>
        <w:right w:val="none" w:sz="0" w:space="0" w:color="auto"/>
      </w:divBdr>
    </w:div>
    <w:div w:id="13691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5130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ECD3F-8103-4878-94D8-EC33D509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4711</Words>
  <Characters>27376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32023</CharactersWithSpaces>
  <SharedDoc>false</SharedDoc>
  <HLinks>
    <vt:vector size="6" baseType="variant">
      <vt:variant>
        <vt:i4>3407959</vt:i4>
      </vt:variant>
      <vt:variant>
        <vt:i4>0</vt:i4>
      </vt:variant>
      <vt:variant>
        <vt:i4>0</vt:i4>
      </vt:variant>
      <vt:variant>
        <vt:i4>5</vt:i4>
      </vt:variant>
      <vt:variant>
        <vt:lpwstr>http://www.bls.gov/oes/current/naics4_611100.htm</vt:lpwstr>
      </vt:variant>
      <vt:variant>
        <vt:lpwstr>b00-0000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4</cp:revision>
  <cp:lastPrinted>2013-05-23T19:59:00Z</cp:lastPrinted>
  <dcterms:created xsi:type="dcterms:W3CDTF">2013-05-23T16:03:00Z</dcterms:created>
  <dcterms:modified xsi:type="dcterms:W3CDTF">2013-05-23T20:00:00Z</dcterms:modified>
</cp:coreProperties>
</file>