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9EA" w:rsidRPr="001D0685" w:rsidRDefault="004932A1" w:rsidP="00484011">
      <w:pPr>
        <w:spacing w:after="0"/>
        <w:jc w:val="center"/>
        <w:rPr>
          <w:rFonts w:ascii="Times New Roman" w:hAnsi="Times New Roman"/>
          <w:sz w:val="24"/>
          <w:szCs w:val="24"/>
        </w:rPr>
      </w:pPr>
      <w:r>
        <w:rPr>
          <w:rFonts w:ascii="Times New Roman" w:hAnsi="Times New Roman"/>
          <w:sz w:val="24"/>
          <w:szCs w:val="24"/>
        </w:rPr>
        <w:t>Safer Use of Medications During Pregnancy</w:t>
      </w:r>
    </w:p>
    <w:p w:rsidR="00871AB6" w:rsidRPr="001D0685" w:rsidRDefault="00871AB6" w:rsidP="00484011">
      <w:pPr>
        <w:spacing w:after="0"/>
        <w:jc w:val="center"/>
        <w:rPr>
          <w:rFonts w:ascii="Times New Roman" w:hAnsi="Times New Roman"/>
          <w:sz w:val="24"/>
          <w:szCs w:val="24"/>
        </w:rPr>
      </w:pPr>
    </w:p>
    <w:p w:rsidR="00F80FD7" w:rsidRPr="001D0685" w:rsidRDefault="00F80FD7" w:rsidP="00F80FD7">
      <w:pPr>
        <w:spacing w:after="0"/>
        <w:jc w:val="center"/>
        <w:rPr>
          <w:rFonts w:ascii="Times New Roman" w:hAnsi="Times New Roman"/>
          <w:sz w:val="24"/>
          <w:szCs w:val="24"/>
        </w:rPr>
      </w:pPr>
    </w:p>
    <w:p w:rsidR="009D6090" w:rsidRPr="001D0685" w:rsidRDefault="009D6090" w:rsidP="00484011">
      <w:pPr>
        <w:spacing w:after="0"/>
        <w:jc w:val="center"/>
        <w:rPr>
          <w:rFonts w:ascii="Times New Roman" w:hAnsi="Times New Roman"/>
          <w:sz w:val="24"/>
          <w:szCs w:val="24"/>
        </w:rPr>
      </w:pPr>
    </w:p>
    <w:p w:rsidR="009D6090" w:rsidRPr="001D0685" w:rsidRDefault="009D6090" w:rsidP="00484011">
      <w:pPr>
        <w:spacing w:after="0"/>
        <w:jc w:val="center"/>
        <w:rPr>
          <w:rFonts w:ascii="Times New Roman" w:hAnsi="Times New Roman"/>
          <w:sz w:val="24"/>
          <w:szCs w:val="24"/>
        </w:rPr>
      </w:pPr>
    </w:p>
    <w:p w:rsidR="00AA3192" w:rsidRPr="001D0685" w:rsidRDefault="00AA3192" w:rsidP="00484011">
      <w:pPr>
        <w:spacing w:after="0"/>
        <w:jc w:val="center"/>
        <w:rPr>
          <w:rFonts w:ascii="Times New Roman" w:hAnsi="Times New Roman" w:cs="Times New Roman"/>
          <w:b/>
          <w:sz w:val="24"/>
          <w:szCs w:val="24"/>
        </w:rPr>
      </w:pPr>
    </w:p>
    <w:p w:rsidR="00716F94" w:rsidRPr="001D0685" w:rsidRDefault="00C16DD7" w:rsidP="00484011">
      <w:pPr>
        <w:spacing w:after="0"/>
        <w:jc w:val="center"/>
        <w:rPr>
          <w:rFonts w:ascii="Times New Roman" w:hAnsi="Times New Roman" w:cs="Times New Roman"/>
          <w:sz w:val="24"/>
          <w:szCs w:val="24"/>
        </w:rPr>
      </w:pPr>
      <w:r w:rsidRPr="001D0685">
        <w:rPr>
          <w:rFonts w:ascii="Times New Roman" w:hAnsi="Times New Roman" w:cs="Times New Roman"/>
          <w:sz w:val="24"/>
          <w:szCs w:val="24"/>
        </w:rPr>
        <w:t>NCBDDD</w:t>
      </w:r>
      <w:r w:rsidR="00316F00" w:rsidRPr="001D0685">
        <w:rPr>
          <w:rFonts w:ascii="Times New Roman" w:hAnsi="Times New Roman" w:cs="Times New Roman"/>
          <w:sz w:val="24"/>
          <w:szCs w:val="24"/>
        </w:rPr>
        <w:t xml:space="preserve"> Generic Information Collection</w:t>
      </w:r>
      <w:r w:rsidR="00484011" w:rsidRPr="001D0685">
        <w:rPr>
          <w:rFonts w:ascii="Times New Roman" w:hAnsi="Times New Roman" w:cs="Times New Roman"/>
          <w:sz w:val="24"/>
          <w:szCs w:val="24"/>
        </w:rPr>
        <w:t xml:space="preserve"> Request</w:t>
      </w:r>
    </w:p>
    <w:p w:rsidR="00484011" w:rsidRPr="001D0685" w:rsidRDefault="00484011" w:rsidP="00484011">
      <w:pPr>
        <w:pStyle w:val="Header"/>
        <w:tabs>
          <w:tab w:val="clear" w:pos="4680"/>
        </w:tabs>
        <w:jc w:val="center"/>
        <w:rPr>
          <w:rFonts w:ascii="Times New Roman" w:hAnsi="Times New Roman" w:cs="Times New Roman"/>
          <w:sz w:val="24"/>
          <w:szCs w:val="24"/>
        </w:rPr>
      </w:pPr>
      <w:r w:rsidRPr="001D0685">
        <w:rPr>
          <w:rFonts w:ascii="Times New Roman" w:hAnsi="Times New Roman" w:cs="Times New Roman"/>
          <w:sz w:val="24"/>
          <w:szCs w:val="24"/>
        </w:rPr>
        <w:t>OMB No. 0920-</w:t>
      </w:r>
      <w:r w:rsidR="00C16DD7" w:rsidRPr="001D0685">
        <w:rPr>
          <w:rFonts w:ascii="Times New Roman" w:hAnsi="Times New Roman" w:cs="Times New Roman"/>
          <w:sz w:val="24"/>
          <w:szCs w:val="24"/>
        </w:rPr>
        <w:t>0990</w:t>
      </w:r>
    </w:p>
    <w:p w:rsidR="009B4A51" w:rsidRPr="001D0685" w:rsidRDefault="009B4A51" w:rsidP="00716F94">
      <w:pPr>
        <w:spacing w:after="0"/>
        <w:rPr>
          <w:rFonts w:ascii="Times New Roman" w:hAnsi="Times New Roman" w:cs="Times New Roman"/>
          <w:b/>
          <w:sz w:val="24"/>
          <w:szCs w:val="24"/>
        </w:rPr>
      </w:pPr>
    </w:p>
    <w:p w:rsidR="009B4A51" w:rsidRPr="001D0685" w:rsidRDefault="009B4A51" w:rsidP="00716F94">
      <w:pPr>
        <w:spacing w:after="0"/>
        <w:rPr>
          <w:rFonts w:ascii="Times New Roman" w:hAnsi="Times New Roman" w:cs="Times New Roman"/>
          <w:b/>
          <w:sz w:val="24"/>
          <w:szCs w:val="24"/>
        </w:rPr>
      </w:pPr>
    </w:p>
    <w:p w:rsidR="00AA3192" w:rsidRPr="001D0685" w:rsidRDefault="00AA3192" w:rsidP="00716F94">
      <w:pPr>
        <w:spacing w:after="0"/>
        <w:rPr>
          <w:rFonts w:ascii="Times New Roman" w:hAnsi="Times New Roman" w:cs="Times New Roman"/>
          <w:b/>
          <w:sz w:val="24"/>
          <w:szCs w:val="24"/>
        </w:rPr>
      </w:pPr>
    </w:p>
    <w:p w:rsidR="00AA3192" w:rsidRPr="001D0685" w:rsidRDefault="00AA3192" w:rsidP="00716F94">
      <w:pPr>
        <w:spacing w:after="0"/>
        <w:rPr>
          <w:rFonts w:ascii="Times New Roman" w:hAnsi="Times New Roman" w:cs="Times New Roman"/>
          <w:b/>
          <w:sz w:val="24"/>
          <w:szCs w:val="24"/>
        </w:rPr>
      </w:pPr>
    </w:p>
    <w:p w:rsidR="009B4A51" w:rsidRPr="001D0685" w:rsidRDefault="009B4A51" w:rsidP="009B4A51">
      <w:pPr>
        <w:spacing w:after="0"/>
        <w:jc w:val="center"/>
        <w:rPr>
          <w:rFonts w:ascii="Times New Roman" w:hAnsi="Times New Roman" w:cs="Times New Roman"/>
          <w:sz w:val="24"/>
          <w:szCs w:val="24"/>
        </w:rPr>
      </w:pPr>
      <w:r w:rsidRPr="001D0685">
        <w:rPr>
          <w:rFonts w:ascii="Times New Roman" w:hAnsi="Times New Roman" w:cs="Times New Roman"/>
          <w:b/>
          <w:sz w:val="24"/>
          <w:szCs w:val="24"/>
        </w:rPr>
        <w:t>Supporting Statement – Section A</w:t>
      </w:r>
    </w:p>
    <w:p w:rsidR="009B4A51" w:rsidRPr="001D0685" w:rsidRDefault="009B4A51" w:rsidP="00716F94">
      <w:pPr>
        <w:spacing w:after="0"/>
        <w:rPr>
          <w:rFonts w:ascii="Times New Roman" w:hAnsi="Times New Roman" w:cs="Times New Roman"/>
          <w:b/>
          <w:sz w:val="24"/>
          <w:szCs w:val="24"/>
        </w:rPr>
      </w:pPr>
    </w:p>
    <w:p w:rsidR="00484011" w:rsidRPr="001D0685" w:rsidRDefault="00484011" w:rsidP="00716F94">
      <w:pPr>
        <w:spacing w:after="0"/>
        <w:rPr>
          <w:rFonts w:ascii="Times New Roman" w:hAnsi="Times New Roman" w:cs="Times New Roman"/>
          <w:b/>
          <w:sz w:val="24"/>
          <w:szCs w:val="24"/>
        </w:rPr>
      </w:pPr>
    </w:p>
    <w:p w:rsidR="00AA3192" w:rsidRPr="001D0685" w:rsidRDefault="00AA3192" w:rsidP="00716F94">
      <w:pPr>
        <w:spacing w:after="0"/>
        <w:rPr>
          <w:rFonts w:ascii="Times New Roman" w:hAnsi="Times New Roman" w:cs="Times New Roman"/>
          <w:b/>
          <w:sz w:val="24"/>
          <w:szCs w:val="24"/>
        </w:rPr>
      </w:pPr>
    </w:p>
    <w:p w:rsidR="00187D5A" w:rsidRPr="001D0685" w:rsidRDefault="00187D5A" w:rsidP="00716F94">
      <w:pPr>
        <w:spacing w:after="0"/>
        <w:rPr>
          <w:rFonts w:ascii="Times New Roman" w:hAnsi="Times New Roman" w:cs="Times New Roman"/>
          <w:b/>
          <w:sz w:val="24"/>
          <w:szCs w:val="24"/>
        </w:rPr>
      </w:pPr>
    </w:p>
    <w:p w:rsidR="000F5407" w:rsidRDefault="009A7674" w:rsidP="000F5407">
      <w:pPr>
        <w:spacing w:after="0"/>
        <w:jc w:val="center"/>
        <w:rPr>
          <w:rFonts w:ascii="Times New Roman" w:hAnsi="Times New Roman" w:cs="Times New Roman"/>
          <w:sz w:val="24"/>
          <w:szCs w:val="24"/>
        </w:rPr>
      </w:pPr>
      <w:r>
        <w:rPr>
          <w:rFonts w:ascii="Times New Roman" w:hAnsi="Times New Roman" w:cs="Times New Roman"/>
          <w:sz w:val="24"/>
          <w:szCs w:val="24"/>
        </w:rPr>
        <w:t>November 13</w:t>
      </w:r>
      <w:r w:rsidR="00AE73C7">
        <w:rPr>
          <w:rFonts w:ascii="Times New Roman" w:hAnsi="Times New Roman" w:cs="Times New Roman"/>
          <w:sz w:val="24"/>
          <w:szCs w:val="24"/>
        </w:rPr>
        <w:t>, 2014</w:t>
      </w:r>
    </w:p>
    <w:p w:rsidR="000F5407" w:rsidRDefault="000F5407" w:rsidP="000F5407">
      <w:pPr>
        <w:spacing w:after="0"/>
        <w:jc w:val="center"/>
        <w:rPr>
          <w:rFonts w:ascii="Times New Roman" w:hAnsi="Times New Roman" w:cs="Times New Roman"/>
          <w:sz w:val="24"/>
          <w:szCs w:val="24"/>
        </w:rPr>
      </w:pPr>
    </w:p>
    <w:p w:rsidR="000F5407" w:rsidRDefault="000F5407" w:rsidP="000F5407">
      <w:pPr>
        <w:spacing w:after="0"/>
        <w:jc w:val="center"/>
        <w:rPr>
          <w:rFonts w:ascii="Times New Roman" w:hAnsi="Times New Roman" w:cs="Times New Roman"/>
          <w:sz w:val="24"/>
          <w:szCs w:val="24"/>
        </w:rPr>
      </w:pPr>
    </w:p>
    <w:p w:rsidR="000F5407" w:rsidRPr="001D0685" w:rsidRDefault="000F5407" w:rsidP="000F5407">
      <w:pPr>
        <w:spacing w:after="0"/>
        <w:jc w:val="center"/>
        <w:rPr>
          <w:rFonts w:ascii="Times New Roman" w:hAnsi="Times New Roman" w:cs="Times New Roman"/>
          <w:b/>
          <w:sz w:val="24"/>
          <w:szCs w:val="24"/>
        </w:rPr>
      </w:pPr>
    </w:p>
    <w:p w:rsidR="000D51EF" w:rsidRDefault="000D51EF" w:rsidP="000D51EF">
      <w:pPr>
        <w:spacing w:after="0" w:line="240" w:lineRule="auto"/>
        <w:jc w:val="center"/>
        <w:rPr>
          <w:rFonts w:ascii="Times New Roman" w:hAnsi="Times New Roman" w:cs="Times New Roman"/>
          <w:sz w:val="24"/>
          <w:szCs w:val="24"/>
        </w:rPr>
      </w:pPr>
      <w:r w:rsidRPr="001D0685">
        <w:rPr>
          <w:rFonts w:ascii="Times New Roman" w:hAnsi="Times New Roman" w:cs="Times New Roman"/>
          <w:sz w:val="24"/>
          <w:szCs w:val="24"/>
        </w:rPr>
        <w:t>Contact Information:</w:t>
      </w:r>
    </w:p>
    <w:p w:rsidR="00363DF7" w:rsidRPr="001D0685" w:rsidRDefault="00363DF7" w:rsidP="000D51EF">
      <w:pPr>
        <w:spacing w:after="0" w:line="240" w:lineRule="auto"/>
        <w:jc w:val="center"/>
        <w:rPr>
          <w:rFonts w:ascii="Times New Roman" w:hAnsi="Times New Roman" w:cs="Times New Roman"/>
          <w:sz w:val="24"/>
          <w:szCs w:val="24"/>
        </w:rPr>
      </w:pPr>
    </w:p>
    <w:p w:rsidR="00363DF7" w:rsidRPr="00363DF7" w:rsidRDefault="00363DF7" w:rsidP="00363DF7">
      <w:pPr>
        <w:spacing w:after="0" w:line="240" w:lineRule="auto"/>
        <w:jc w:val="center"/>
        <w:rPr>
          <w:rFonts w:ascii="Times New Roman" w:eastAsia="Calibri" w:hAnsi="Times New Roman" w:cs="Times New Roman"/>
          <w:sz w:val="24"/>
          <w:szCs w:val="24"/>
        </w:rPr>
      </w:pPr>
      <w:r w:rsidRPr="00363DF7">
        <w:rPr>
          <w:rFonts w:ascii="Times New Roman" w:eastAsia="Calibri" w:hAnsi="Times New Roman" w:cs="Times New Roman"/>
          <w:sz w:val="24"/>
          <w:szCs w:val="24"/>
        </w:rPr>
        <w:t>Technical Monitor/Project Officer</w:t>
      </w:r>
    </w:p>
    <w:p w:rsidR="00363DF7" w:rsidRPr="00363DF7" w:rsidRDefault="00363DF7" w:rsidP="00363DF7">
      <w:pPr>
        <w:spacing w:after="0" w:line="240" w:lineRule="auto"/>
        <w:ind w:left="2880" w:firstLine="720"/>
        <w:rPr>
          <w:rFonts w:ascii="Times New Roman" w:eastAsia="Calibri" w:hAnsi="Times New Roman" w:cs="Times New Roman"/>
          <w:sz w:val="24"/>
          <w:szCs w:val="24"/>
        </w:rPr>
      </w:pPr>
      <w:r w:rsidRPr="00363DF7">
        <w:rPr>
          <w:rFonts w:ascii="Times New Roman" w:eastAsia="Calibri" w:hAnsi="Times New Roman" w:cs="Times New Roman"/>
          <w:sz w:val="24"/>
          <w:szCs w:val="24"/>
        </w:rPr>
        <w:t>Elizabeth Mitchell</w:t>
      </w:r>
    </w:p>
    <w:p w:rsidR="00363DF7" w:rsidRPr="00363DF7" w:rsidRDefault="00363DF7" w:rsidP="00363DF7">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Associate Director for Communication Science</w:t>
      </w:r>
    </w:p>
    <w:p w:rsidR="00363DF7" w:rsidRPr="00363DF7" w:rsidRDefault="00363DF7" w:rsidP="00363DF7">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Centers for Disease Control and Prevention</w:t>
      </w:r>
    </w:p>
    <w:p w:rsidR="00363DF7" w:rsidRPr="00363DF7" w:rsidRDefault="00363DF7" w:rsidP="00363DF7">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National Center on Birth Defects and Developmental Disabilities (NCBDDD)</w:t>
      </w:r>
    </w:p>
    <w:p w:rsidR="00363DF7" w:rsidRPr="00363DF7" w:rsidRDefault="00363DF7" w:rsidP="00363DF7">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 xml:space="preserve">1600 Clifton Road NE, MS #  </w:t>
      </w:r>
      <w:r>
        <w:rPr>
          <w:rFonts w:ascii="Times New Roman" w:eastAsia="Times New Roman" w:hAnsi="Times New Roman" w:cs="Times New Roman"/>
          <w:sz w:val="24"/>
          <w:szCs w:val="24"/>
        </w:rPr>
        <w:t>E87</w:t>
      </w:r>
    </w:p>
    <w:p w:rsidR="00363DF7" w:rsidRPr="00363DF7" w:rsidRDefault="00363DF7" w:rsidP="00363DF7">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sz w:val="24"/>
          <w:szCs w:val="24"/>
        </w:rPr>
        <w:t xml:space="preserve">E: </w:t>
      </w:r>
      <w:hyperlink r:id="rId9" w:history="1">
        <w:r w:rsidRPr="00363DF7">
          <w:rPr>
            <w:rFonts w:ascii="Times New Roman" w:eastAsia="Times New Roman" w:hAnsi="Times New Roman" w:cs="Times New Roman"/>
            <w:color w:val="0000FF"/>
            <w:sz w:val="24"/>
            <w:szCs w:val="24"/>
            <w:u w:val="single"/>
          </w:rPr>
          <w:t>bhm0@cdc.gov</w:t>
        </w:r>
      </w:hyperlink>
    </w:p>
    <w:p w:rsidR="00363DF7" w:rsidRPr="00363DF7" w:rsidRDefault="00363DF7" w:rsidP="00363DF7">
      <w:pPr>
        <w:spacing w:after="0" w:line="240" w:lineRule="auto"/>
        <w:jc w:val="center"/>
        <w:rPr>
          <w:rFonts w:ascii="Times New Roman" w:eastAsia="Times New Roman" w:hAnsi="Times New Roman" w:cs="Times New Roman"/>
          <w:sz w:val="24"/>
          <w:szCs w:val="24"/>
        </w:rPr>
      </w:pPr>
      <w:r w:rsidRPr="00363DF7">
        <w:rPr>
          <w:rFonts w:ascii="Times New Roman" w:eastAsia="Times New Roman" w:hAnsi="Times New Roman" w:cs="Times New Roman"/>
          <w:color w:val="000000"/>
          <w:sz w:val="24"/>
          <w:szCs w:val="24"/>
        </w:rPr>
        <w:t>404.498.0251</w:t>
      </w:r>
    </w:p>
    <w:p w:rsidR="00363DF7" w:rsidRPr="00363DF7" w:rsidRDefault="00363DF7" w:rsidP="00363DF7">
      <w:pPr>
        <w:spacing w:after="0" w:line="240" w:lineRule="auto"/>
        <w:jc w:val="center"/>
        <w:rPr>
          <w:rFonts w:ascii="Times New Roman" w:eastAsia="Times New Roman" w:hAnsi="Times New Roman" w:cs="Times New Roman"/>
          <w:sz w:val="24"/>
          <w:szCs w:val="24"/>
        </w:rPr>
      </w:pPr>
    </w:p>
    <w:p w:rsidR="00C16DD7" w:rsidRPr="001D0685" w:rsidRDefault="00C16DD7" w:rsidP="00716F94">
      <w:pPr>
        <w:spacing w:after="0"/>
        <w:rPr>
          <w:rFonts w:asciiTheme="majorHAnsi" w:hAnsiTheme="majorHAnsi"/>
          <w:sz w:val="24"/>
          <w:szCs w:val="24"/>
        </w:rPr>
      </w:pPr>
    </w:p>
    <w:p w:rsidR="001C2168" w:rsidRPr="001D0685" w:rsidRDefault="001C2168">
      <w:pPr>
        <w:rPr>
          <w:rFonts w:asciiTheme="majorHAnsi" w:eastAsia="Times New Roman" w:hAnsiTheme="majorHAnsi" w:cs="Courier New"/>
          <w:b/>
          <w:sz w:val="24"/>
          <w:szCs w:val="24"/>
        </w:rPr>
      </w:pPr>
      <w:r w:rsidRPr="001D0685">
        <w:rPr>
          <w:rFonts w:asciiTheme="majorHAnsi" w:eastAsia="Times New Roman" w:hAnsiTheme="majorHAnsi" w:cs="Courier New"/>
          <w:b/>
          <w:sz w:val="24"/>
          <w:szCs w:val="24"/>
        </w:rPr>
        <w:br w:type="page"/>
      </w:r>
    </w:p>
    <w:p w:rsidR="00C16DD7" w:rsidRPr="001D0685" w:rsidRDefault="00C16DD7" w:rsidP="00C16DD7">
      <w:pPr>
        <w:spacing w:after="0" w:line="240" w:lineRule="auto"/>
        <w:jc w:val="center"/>
        <w:rPr>
          <w:rFonts w:ascii="Times New Roman" w:eastAsia="Times New Roman" w:hAnsi="Times New Roman" w:cs="Times New Roman"/>
          <w:b/>
          <w:sz w:val="24"/>
          <w:szCs w:val="24"/>
        </w:rPr>
      </w:pPr>
      <w:r w:rsidRPr="001D0685">
        <w:rPr>
          <w:rFonts w:ascii="Times New Roman" w:eastAsia="Times New Roman" w:hAnsi="Times New Roman" w:cs="Times New Roman"/>
          <w:b/>
          <w:sz w:val="24"/>
          <w:szCs w:val="24"/>
        </w:rPr>
        <w:lastRenderedPageBreak/>
        <w:t>Table of Contents</w:t>
      </w:r>
    </w:p>
    <w:p w:rsidR="00C16DD7" w:rsidRPr="001D0685" w:rsidRDefault="00C16DD7" w:rsidP="00C16DD7">
      <w:pPr>
        <w:spacing w:after="0" w:line="240" w:lineRule="auto"/>
        <w:jc w:val="center"/>
        <w:rPr>
          <w:rFonts w:ascii="Times New Roman" w:eastAsia="Times New Roman" w:hAnsi="Times New Roman" w:cs="Times New Roman"/>
          <w:b/>
          <w:sz w:val="24"/>
          <w:szCs w:val="24"/>
        </w:rPr>
      </w:pPr>
    </w:p>
    <w:p w:rsidR="00C16DD7" w:rsidRPr="001D0685" w:rsidRDefault="00C16DD7" w:rsidP="00C16DD7">
      <w:pPr>
        <w:spacing w:after="0" w:line="240" w:lineRule="auto"/>
        <w:rPr>
          <w:rFonts w:ascii="Times New Roman" w:eastAsia="Times New Roman" w:hAnsi="Times New Roman" w:cs="Times New Roman"/>
          <w:b/>
          <w:sz w:val="24"/>
          <w:szCs w:val="24"/>
        </w:rPr>
      </w:pPr>
      <w:r w:rsidRPr="001D0685">
        <w:rPr>
          <w:rFonts w:ascii="Times New Roman" w:eastAsia="Times New Roman" w:hAnsi="Times New Roman" w:cs="Times New Roman"/>
          <w:b/>
          <w:sz w:val="24"/>
          <w:szCs w:val="24"/>
        </w:rPr>
        <w:t>Section A.</w:t>
      </w:r>
      <w:r w:rsidRPr="001D0685">
        <w:rPr>
          <w:rFonts w:ascii="Times New Roman" w:eastAsia="Times New Roman" w:hAnsi="Times New Roman" w:cs="Times New Roman"/>
          <w:b/>
          <w:sz w:val="24"/>
          <w:szCs w:val="24"/>
        </w:rPr>
        <w:tab/>
        <w:t>Justification</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Circumstances Making the Collection of Information Necessary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Purpose and Use of the Information Collection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Use of Improved Information Technology and Burden Reduction</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Efforts to Identify Duplication and Use of Similar Information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Impact on Small Businesses or Other Small Entities</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Consequences of Collecting the Information Less frequently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Special Circumstances Relating to the Guidelines of 5 CFR 1320.5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Comments in Response to the Federal Register Notice and Efforts to Consult Outside the Agency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Explanation of Any Payment or Gift to Respondents </w:t>
      </w:r>
    </w:p>
    <w:p w:rsidR="00C16DD7" w:rsidRPr="001D0685" w:rsidRDefault="00C16DD7" w:rsidP="00C16DD7">
      <w:pPr>
        <w:numPr>
          <w:ilvl w:val="0"/>
          <w:numId w:val="24"/>
        </w:numPr>
        <w:tabs>
          <w:tab w:val="num" w:pos="360"/>
        </w:tabs>
        <w:spacing w:after="0" w:line="240" w:lineRule="auto"/>
        <w:ind w:left="36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      Assurance of Confidentiality Provided to Respondents</w:t>
      </w:r>
    </w:p>
    <w:p w:rsidR="00C16DD7" w:rsidRPr="001D0685" w:rsidRDefault="00C16DD7" w:rsidP="00C16DD7">
      <w:pPr>
        <w:numPr>
          <w:ilvl w:val="0"/>
          <w:numId w:val="24"/>
        </w:numPr>
        <w:spacing w:after="0" w:line="240" w:lineRule="auto"/>
        <w:ind w:left="36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      Justification for Sensitive Questions </w:t>
      </w:r>
    </w:p>
    <w:p w:rsidR="00C16DD7" w:rsidRPr="001D0685" w:rsidRDefault="00C16DD7" w:rsidP="00C16DD7">
      <w:pPr>
        <w:numPr>
          <w:ilvl w:val="0"/>
          <w:numId w:val="24"/>
        </w:numPr>
        <w:spacing w:after="0" w:line="240" w:lineRule="auto"/>
        <w:ind w:left="36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      Estimates of Annualized Burden Hours and Costs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Estimates of Other Total Annual Cost Burden to Respondents and Record Keepers </w:t>
      </w:r>
    </w:p>
    <w:p w:rsidR="00C16DD7" w:rsidRPr="001D0685" w:rsidRDefault="00C16DD7" w:rsidP="00C16DD7">
      <w:pPr>
        <w:numPr>
          <w:ilvl w:val="0"/>
          <w:numId w:val="24"/>
        </w:numPr>
        <w:spacing w:after="0" w:line="240" w:lineRule="auto"/>
        <w:ind w:left="36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      Annualized Cost to the Government </w:t>
      </w:r>
    </w:p>
    <w:p w:rsidR="00C16DD7" w:rsidRPr="001D0685" w:rsidRDefault="00C16DD7" w:rsidP="00C16DD7">
      <w:pPr>
        <w:numPr>
          <w:ilvl w:val="0"/>
          <w:numId w:val="24"/>
        </w:numPr>
        <w:spacing w:after="0" w:line="240" w:lineRule="auto"/>
        <w:ind w:left="36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      Explanation for Program Changes or Adjustments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Plans for Tabulation and Publication and Project Time Schedule </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Reason(s) Display of OMB Expiration Date is Inappropriate</w:t>
      </w:r>
    </w:p>
    <w:p w:rsidR="00C16DD7" w:rsidRPr="001D0685" w:rsidRDefault="00C16DD7" w:rsidP="00C16DD7">
      <w:pPr>
        <w:numPr>
          <w:ilvl w:val="0"/>
          <w:numId w:val="24"/>
        </w:numPr>
        <w:spacing w:after="0" w:line="240" w:lineRule="auto"/>
        <w:ind w:hanging="720"/>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Exceptions to Certification for Paperwork Reduction Act Submissions </w:t>
      </w:r>
      <w:r w:rsidR="00752230" w:rsidRPr="003C08B7">
        <w:rPr>
          <w:rFonts w:ascii="Times New Roman" w:eastAsia="Times New Roman" w:hAnsi="Times New Roman" w:cs="Times New Roman"/>
          <w:sz w:val="24"/>
          <w:szCs w:val="24"/>
        </w:rPr>
        <w:fldChar w:fldCharType="begin"/>
      </w:r>
      <w:r w:rsidRPr="001D0685">
        <w:rPr>
          <w:rFonts w:ascii="Times New Roman" w:eastAsia="Times New Roman" w:hAnsi="Times New Roman" w:cs="Times New Roman"/>
          <w:sz w:val="24"/>
          <w:szCs w:val="24"/>
        </w:rPr>
        <w:instrText xml:space="preserve"> TOC \o "1-2" \h \z \u </w:instrText>
      </w:r>
      <w:r w:rsidR="00752230" w:rsidRPr="003C08B7">
        <w:rPr>
          <w:rFonts w:ascii="Times New Roman" w:eastAsia="Times New Roman" w:hAnsi="Times New Roman" w:cs="Times New Roman"/>
          <w:sz w:val="24"/>
          <w:szCs w:val="24"/>
        </w:rPr>
        <w:fldChar w:fldCharType="separate"/>
      </w:r>
    </w:p>
    <w:p w:rsidR="00C16DD7" w:rsidRPr="001D0685" w:rsidRDefault="00752230" w:rsidP="00C16DD7">
      <w:pPr>
        <w:spacing w:after="0" w:line="240" w:lineRule="auto"/>
        <w:rPr>
          <w:rFonts w:ascii="Times New Roman" w:eastAsia="Times New Roman" w:hAnsi="Times New Roman" w:cs="Times New Roman"/>
          <w:b/>
          <w:sz w:val="24"/>
          <w:szCs w:val="24"/>
        </w:rPr>
      </w:pPr>
      <w:r w:rsidRPr="003C08B7">
        <w:rPr>
          <w:rFonts w:ascii="Times New Roman" w:eastAsia="Times New Roman" w:hAnsi="Times New Roman" w:cs="Times New Roman"/>
          <w:sz w:val="24"/>
          <w:szCs w:val="24"/>
        </w:rPr>
        <w:fldChar w:fldCharType="end"/>
      </w:r>
    </w:p>
    <w:p w:rsidR="00C16DD7" w:rsidRPr="001D0685" w:rsidRDefault="00C16DD7" w:rsidP="00C16DD7">
      <w:pPr>
        <w:widowControl w:val="0"/>
        <w:autoSpaceDE w:val="0"/>
        <w:autoSpaceDN w:val="0"/>
        <w:adjustRightInd w:val="0"/>
        <w:spacing w:after="0" w:line="240" w:lineRule="auto"/>
        <w:rPr>
          <w:rFonts w:ascii="Times New Roman" w:eastAsia="Times New Roman" w:hAnsi="Times New Roman" w:cs="Times New Roman"/>
          <w:b/>
          <w:sz w:val="24"/>
          <w:szCs w:val="24"/>
        </w:rPr>
      </w:pPr>
      <w:r w:rsidRPr="001D0685">
        <w:rPr>
          <w:rFonts w:ascii="Times New Roman" w:eastAsia="Times New Roman" w:hAnsi="Times New Roman" w:cs="Times New Roman"/>
          <w:b/>
          <w:sz w:val="24"/>
          <w:szCs w:val="24"/>
        </w:rPr>
        <w:t>Exhibits</w:t>
      </w:r>
    </w:p>
    <w:p w:rsidR="00C16DD7" w:rsidRPr="001D0685" w:rsidRDefault="00C16DD7" w:rsidP="00C16DD7">
      <w:pPr>
        <w:widowControl w:val="0"/>
        <w:autoSpaceDE w:val="0"/>
        <w:autoSpaceDN w:val="0"/>
        <w:adjustRightInd w:val="0"/>
        <w:spacing w:after="0" w:line="240" w:lineRule="auto"/>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Exhibit </w:t>
      </w:r>
      <w:r w:rsidR="003E7745" w:rsidRPr="001D0685">
        <w:rPr>
          <w:rFonts w:ascii="Times New Roman" w:eastAsia="Times New Roman" w:hAnsi="Times New Roman" w:cs="Times New Roman"/>
          <w:sz w:val="24"/>
          <w:szCs w:val="24"/>
        </w:rPr>
        <w:t>A.</w:t>
      </w:r>
      <w:r w:rsidRPr="001D0685">
        <w:rPr>
          <w:rFonts w:ascii="Times New Roman" w:eastAsia="Times New Roman" w:hAnsi="Times New Roman" w:cs="Times New Roman"/>
          <w:sz w:val="24"/>
          <w:szCs w:val="24"/>
        </w:rPr>
        <w:t>12.A</w:t>
      </w:r>
      <w:r w:rsidRPr="001D0685">
        <w:rPr>
          <w:rFonts w:ascii="Times New Roman" w:eastAsia="Times New Roman" w:hAnsi="Times New Roman" w:cs="Times New Roman"/>
          <w:sz w:val="24"/>
          <w:szCs w:val="24"/>
        </w:rPr>
        <w:tab/>
        <w:t>Estimated Annualized Burden Hours</w:t>
      </w:r>
    </w:p>
    <w:p w:rsidR="00C16DD7" w:rsidRPr="001D0685" w:rsidRDefault="00C16DD7" w:rsidP="00C16DD7">
      <w:pPr>
        <w:widowControl w:val="0"/>
        <w:autoSpaceDE w:val="0"/>
        <w:autoSpaceDN w:val="0"/>
        <w:adjustRightInd w:val="0"/>
        <w:spacing w:after="0" w:line="240" w:lineRule="auto"/>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Exhibit </w:t>
      </w:r>
      <w:r w:rsidR="003E7745" w:rsidRPr="001D0685">
        <w:rPr>
          <w:rFonts w:ascii="Times New Roman" w:eastAsia="Times New Roman" w:hAnsi="Times New Roman" w:cs="Times New Roman"/>
          <w:sz w:val="24"/>
          <w:szCs w:val="24"/>
        </w:rPr>
        <w:t>A.</w:t>
      </w:r>
      <w:r w:rsidRPr="001D0685">
        <w:rPr>
          <w:rFonts w:ascii="Times New Roman" w:eastAsia="Times New Roman" w:hAnsi="Times New Roman" w:cs="Times New Roman"/>
          <w:sz w:val="24"/>
          <w:szCs w:val="24"/>
        </w:rPr>
        <w:t>12.B</w:t>
      </w:r>
      <w:r w:rsidRPr="001D0685">
        <w:rPr>
          <w:rFonts w:ascii="Times New Roman" w:eastAsia="Times New Roman" w:hAnsi="Times New Roman" w:cs="Times New Roman"/>
          <w:sz w:val="24"/>
          <w:szCs w:val="24"/>
        </w:rPr>
        <w:tab/>
        <w:t>Estimated Annualized Burden Costs</w:t>
      </w:r>
    </w:p>
    <w:p w:rsidR="00C16DD7" w:rsidRPr="001D0685" w:rsidRDefault="00C16DD7" w:rsidP="00C16DD7">
      <w:pPr>
        <w:widowControl w:val="0"/>
        <w:autoSpaceDE w:val="0"/>
        <w:autoSpaceDN w:val="0"/>
        <w:adjustRightInd w:val="0"/>
        <w:spacing w:after="0" w:line="240" w:lineRule="auto"/>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 xml:space="preserve">Exhibit </w:t>
      </w:r>
      <w:r w:rsidR="003E7745" w:rsidRPr="001D0685">
        <w:rPr>
          <w:rFonts w:ascii="Times New Roman" w:eastAsia="Times New Roman" w:hAnsi="Times New Roman" w:cs="Times New Roman"/>
          <w:sz w:val="24"/>
          <w:szCs w:val="24"/>
        </w:rPr>
        <w:t>A.14</w:t>
      </w:r>
      <w:r w:rsidR="003E7745" w:rsidRPr="001D0685">
        <w:rPr>
          <w:rFonts w:ascii="Times New Roman" w:eastAsia="Times New Roman" w:hAnsi="Times New Roman" w:cs="Times New Roman"/>
          <w:sz w:val="24"/>
          <w:szCs w:val="24"/>
        </w:rPr>
        <w:tab/>
      </w:r>
      <w:r w:rsidRPr="001D0685">
        <w:rPr>
          <w:rFonts w:ascii="Times New Roman" w:eastAsia="Times New Roman" w:hAnsi="Times New Roman" w:cs="Times New Roman"/>
          <w:sz w:val="24"/>
          <w:szCs w:val="24"/>
        </w:rPr>
        <w:tab/>
        <w:t xml:space="preserve">Estimated Cost to the Government </w:t>
      </w:r>
    </w:p>
    <w:p w:rsidR="00B60ED4" w:rsidRPr="001D0685" w:rsidRDefault="002802EB" w:rsidP="00C16DD7">
      <w:pPr>
        <w:widowControl w:val="0"/>
        <w:autoSpaceDE w:val="0"/>
        <w:autoSpaceDN w:val="0"/>
        <w:adjustRightInd w:val="0"/>
        <w:spacing w:after="0" w:line="240" w:lineRule="auto"/>
        <w:rPr>
          <w:rFonts w:ascii="Times New Roman" w:eastAsia="Times New Roman" w:hAnsi="Times New Roman" w:cs="Times New Roman"/>
          <w:sz w:val="24"/>
          <w:szCs w:val="24"/>
        </w:rPr>
      </w:pPr>
      <w:r w:rsidRPr="001D0685">
        <w:rPr>
          <w:rFonts w:ascii="Times New Roman" w:eastAsia="Times New Roman" w:hAnsi="Times New Roman" w:cs="Times New Roman"/>
          <w:sz w:val="24"/>
          <w:szCs w:val="24"/>
        </w:rPr>
        <w:t>Exhibit A.16</w:t>
      </w:r>
      <w:r w:rsidRPr="001D0685">
        <w:rPr>
          <w:rFonts w:ascii="Times New Roman" w:eastAsia="Times New Roman" w:hAnsi="Times New Roman" w:cs="Times New Roman"/>
          <w:sz w:val="24"/>
          <w:szCs w:val="24"/>
        </w:rPr>
        <w:tab/>
      </w:r>
      <w:r w:rsidRPr="001D0685">
        <w:rPr>
          <w:rFonts w:ascii="Times New Roman" w:eastAsia="Times New Roman" w:hAnsi="Times New Roman" w:cs="Times New Roman"/>
          <w:sz w:val="24"/>
          <w:szCs w:val="24"/>
        </w:rPr>
        <w:tab/>
        <w:t>Project Time</w:t>
      </w:r>
      <w:r w:rsidR="00F82C8F" w:rsidRPr="001D0685">
        <w:rPr>
          <w:rFonts w:ascii="Times New Roman" w:eastAsia="Times New Roman" w:hAnsi="Times New Roman" w:cs="Times New Roman"/>
          <w:sz w:val="24"/>
          <w:szCs w:val="24"/>
        </w:rPr>
        <w:t xml:space="preserve"> Schedule</w:t>
      </w:r>
    </w:p>
    <w:p w:rsidR="00C16DD7" w:rsidRPr="001D0685" w:rsidRDefault="00C16DD7" w:rsidP="00C16DD7">
      <w:pPr>
        <w:widowControl w:val="0"/>
        <w:autoSpaceDE w:val="0"/>
        <w:autoSpaceDN w:val="0"/>
        <w:adjustRightInd w:val="0"/>
        <w:spacing w:after="0" w:line="240" w:lineRule="auto"/>
        <w:rPr>
          <w:rFonts w:ascii="Times New Roman" w:eastAsia="Times New Roman" w:hAnsi="Times New Roman" w:cs="Times New Roman"/>
          <w:sz w:val="24"/>
          <w:szCs w:val="24"/>
        </w:rPr>
      </w:pPr>
    </w:p>
    <w:p w:rsidR="00C16DD7" w:rsidRPr="001D0685" w:rsidRDefault="00C16DD7" w:rsidP="00C16DD7">
      <w:pPr>
        <w:widowControl w:val="0"/>
        <w:autoSpaceDE w:val="0"/>
        <w:autoSpaceDN w:val="0"/>
        <w:adjustRightInd w:val="0"/>
        <w:spacing w:after="0" w:line="240" w:lineRule="auto"/>
        <w:rPr>
          <w:rFonts w:ascii="Times New Roman" w:eastAsia="Times New Roman" w:hAnsi="Times New Roman" w:cs="Times New Roman"/>
          <w:sz w:val="24"/>
          <w:szCs w:val="24"/>
        </w:rPr>
      </w:pPr>
    </w:p>
    <w:p w:rsidR="00C16DD7" w:rsidRPr="001D0685" w:rsidRDefault="00A45249" w:rsidP="00C16DD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w:t>
      </w:r>
      <w:r w:rsidR="00C16DD7" w:rsidRPr="001D0685">
        <w:rPr>
          <w:rFonts w:ascii="Times New Roman" w:eastAsia="Times New Roman" w:hAnsi="Times New Roman" w:cs="Times New Roman"/>
          <w:b/>
          <w:color w:val="000000"/>
          <w:sz w:val="24"/>
          <w:szCs w:val="24"/>
        </w:rPr>
        <w:t xml:space="preserve">B.         Collection of Information Employing Statistical Methods </w:t>
      </w:r>
    </w:p>
    <w:p w:rsidR="00C16DD7" w:rsidRPr="001D0685" w:rsidRDefault="00C16DD7" w:rsidP="00C16DD7">
      <w:pPr>
        <w:tabs>
          <w:tab w:val="left" w:pos="720"/>
        </w:tabs>
        <w:spacing w:after="0" w:line="240" w:lineRule="auto"/>
        <w:rPr>
          <w:rFonts w:ascii="Times New Roman" w:eastAsia="Times New Roman" w:hAnsi="Times New Roman" w:cs="Times New Roman"/>
          <w:color w:val="000000"/>
          <w:sz w:val="24"/>
          <w:szCs w:val="24"/>
        </w:rPr>
      </w:pPr>
      <w:r w:rsidRPr="001D0685">
        <w:rPr>
          <w:rFonts w:ascii="Times New Roman" w:eastAsia="Times New Roman" w:hAnsi="Times New Roman" w:cs="Times New Roman"/>
          <w:color w:val="000000"/>
          <w:sz w:val="24"/>
          <w:szCs w:val="24"/>
        </w:rPr>
        <w:t xml:space="preserve">1. </w:t>
      </w:r>
      <w:r w:rsidRPr="001D0685">
        <w:rPr>
          <w:rFonts w:ascii="Times New Roman" w:eastAsia="Times New Roman" w:hAnsi="Times New Roman" w:cs="Times New Roman"/>
          <w:color w:val="000000"/>
          <w:sz w:val="24"/>
          <w:szCs w:val="24"/>
        </w:rPr>
        <w:tab/>
        <w:t xml:space="preserve">Respondent Universe and Sampling Methods </w:t>
      </w:r>
    </w:p>
    <w:p w:rsidR="00C16DD7" w:rsidRPr="001D0685" w:rsidRDefault="00C16DD7" w:rsidP="00C16DD7">
      <w:pPr>
        <w:tabs>
          <w:tab w:val="left" w:pos="720"/>
        </w:tabs>
        <w:spacing w:after="0" w:line="240" w:lineRule="auto"/>
        <w:rPr>
          <w:rFonts w:ascii="Times New Roman" w:eastAsia="Times New Roman" w:hAnsi="Times New Roman" w:cs="Times New Roman"/>
          <w:color w:val="000000"/>
          <w:sz w:val="24"/>
          <w:szCs w:val="24"/>
        </w:rPr>
      </w:pPr>
      <w:r w:rsidRPr="001D0685">
        <w:rPr>
          <w:rFonts w:ascii="Times New Roman" w:eastAsia="Times New Roman" w:hAnsi="Times New Roman" w:cs="Times New Roman"/>
          <w:color w:val="000000"/>
          <w:sz w:val="24"/>
          <w:szCs w:val="24"/>
        </w:rPr>
        <w:t xml:space="preserve">2. </w:t>
      </w:r>
      <w:r w:rsidRPr="001D0685">
        <w:rPr>
          <w:rFonts w:ascii="Times New Roman" w:eastAsia="Times New Roman" w:hAnsi="Times New Roman" w:cs="Times New Roman"/>
          <w:color w:val="000000"/>
          <w:sz w:val="24"/>
          <w:szCs w:val="24"/>
        </w:rPr>
        <w:tab/>
        <w:t>Procedures for the Collection of Information</w:t>
      </w:r>
    </w:p>
    <w:p w:rsidR="00C16DD7" w:rsidRPr="001D0685" w:rsidRDefault="00C16DD7" w:rsidP="00C16DD7">
      <w:pPr>
        <w:tabs>
          <w:tab w:val="left" w:pos="720"/>
        </w:tabs>
        <w:spacing w:after="0" w:line="240" w:lineRule="auto"/>
        <w:ind w:left="720" w:hanging="720"/>
        <w:rPr>
          <w:rFonts w:ascii="Times New Roman" w:eastAsia="Times New Roman" w:hAnsi="Times New Roman" w:cs="Times New Roman"/>
          <w:color w:val="000000"/>
          <w:sz w:val="24"/>
          <w:szCs w:val="24"/>
        </w:rPr>
      </w:pPr>
      <w:r w:rsidRPr="001D0685">
        <w:rPr>
          <w:rFonts w:ascii="Times New Roman" w:eastAsia="Times New Roman" w:hAnsi="Times New Roman" w:cs="Times New Roman"/>
          <w:color w:val="000000"/>
          <w:sz w:val="24"/>
          <w:szCs w:val="24"/>
        </w:rPr>
        <w:t xml:space="preserve">3. </w:t>
      </w:r>
      <w:r w:rsidRPr="001D0685">
        <w:rPr>
          <w:rFonts w:ascii="Times New Roman" w:eastAsia="Times New Roman" w:hAnsi="Times New Roman" w:cs="Times New Roman"/>
          <w:color w:val="000000"/>
          <w:sz w:val="24"/>
          <w:szCs w:val="24"/>
        </w:rPr>
        <w:tab/>
        <w:t>Methods to Maximize Response Rates and Deal with Nonresponse</w:t>
      </w:r>
    </w:p>
    <w:p w:rsidR="00C16DD7" w:rsidRPr="001D0685" w:rsidRDefault="00C16DD7" w:rsidP="00C16DD7">
      <w:pPr>
        <w:tabs>
          <w:tab w:val="left" w:pos="720"/>
        </w:tabs>
        <w:spacing w:after="0" w:line="240" w:lineRule="auto"/>
        <w:rPr>
          <w:rFonts w:ascii="Times New Roman" w:eastAsia="Times New Roman" w:hAnsi="Times New Roman" w:cs="Times New Roman"/>
          <w:color w:val="000000"/>
          <w:sz w:val="24"/>
          <w:szCs w:val="24"/>
        </w:rPr>
      </w:pPr>
      <w:r w:rsidRPr="001D0685">
        <w:rPr>
          <w:rFonts w:ascii="Times New Roman" w:eastAsia="Times New Roman" w:hAnsi="Times New Roman" w:cs="Times New Roman"/>
          <w:color w:val="000000"/>
          <w:sz w:val="24"/>
          <w:szCs w:val="24"/>
        </w:rPr>
        <w:t xml:space="preserve">4. </w:t>
      </w:r>
      <w:r w:rsidRPr="001D0685">
        <w:rPr>
          <w:rFonts w:ascii="Times New Roman" w:eastAsia="Times New Roman" w:hAnsi="Times New Roman" w:cs="Times New Roman"/>
          <w:color w:val="000000"/>
          <w:sz w:val="24"/>
          <w:szCs w:val="24"/>
        </w:rPr>
        <w:tab/>
        <w:t>Tests of Procedures or Methods to be Undertaken</w:t>
      </w:r>
    </w:p>
    <w:p w:rsidR="00C16DD7" w:rsidRPr="001D0685" w:rsidRDefault="00C16DD7" w:rsidP="00C16DD7">
      <w:pPr>
        <w:tabs>
          <w:tab w:val="left" w:pos="720"/>
        </w:tabs>
        <w:spacing w:after="0" w:line="240" w:lineRule="auto"/>
        <w:ind w:left="720" w:hanging="720"/>
        <w:rPr>
          <w:rFonts w:ascii="Times New Roman" w:eastAsia="Times New Roman" w:hAnsi="Times New Roman" w:cs="Times New Roman"/>
          <w:color w:val="000000"/>
          <w:sz w:val="24"/>
          <w:szCs w:val="24"/>
        </w:rPr>
      </w:pPr>
      <w:r w:rsidRPr="001D0685">
        <w:rPr>
          <w:rFonts w:ascii="Times New Roman" w:eastAsia="Times New Roman" w:hAnsi="Times New Roman" w:cs="Times New Roman"/>
          <w:color w:val="000000"/>
          <w:sz w:val="24"/>
          <w:szCs w:val="24"/>
        </w:rPr>
        <w:t xml:space="preserve">5. </w:t>
      </w:r>
      <w:r w:rsidRPr="001D0685">
        <w:rPr>
          <w:rFonts w:ascii="Times New Roman" w:eastAsia="Times New Roman" w:hAnsi="Times New Roman" w:cs="Times New Roman"/>
          <w:color w:val="000000"/>
          <w:sz w:val="24"/>
          <w:szCs w:val="24"/>
        </w:rPr>
        <w:tab/>
        <w:t>Individuals Consulted on Statistical Aspects and Individuals Collecting and/or Analyzing Data</w:t>
      </w:r>
    </w:p>
    <w:p w:rsidR="00C16DD7" w:rsidRPr="001D0685" w:rsidRDefault="00C16DD7">
      <w:pPr>
        <w:rPr>
          <w:rFonts w:ascii="Times New Roman" w:hAnsi="Times New Roman" w:cs="Times New Roman"/>
          <w:sz w:val="24"/>
          <w:szCs w:val="24"/>
        </w:rPr>
      </w:pPr>
    </w:p>
    <w:p w:rsidR="00C16DD7" w:rsidRPr="001D0685" w:rsidRDefault="00C16DD7">
      <w:pPr>
        <w:rPr>
          <w:rFonts w:ascii="Times New Roman" w:hAnsi="Times New Roman" w:cs="Times New Roman"/>
          <w:sz w:val="24"/>
          <w:szCs w:val="24"/>
        </w:rPr>
      </w:pPr>
      <w:r w:rsidRPr="001D0685">
        <w:rPr>
          <w:rFonts w:ascii="Times New Roman" w:hAnsi="Times New Roman" w:cs="Times New Roman"/>
          <w:sz w:val="24"/>
          <w:szCs w:val="24"/>
        </w:rPr>
        <w:br w:type="page"/>
      </w:r>
    </w:p>
    <w:p w:rsidR="00C16DD7" w:rsidRPr="001D0685" w:rsidRDefault="00C16DD7" w:rsidP="00C16DD7">
      <w:pPr>
        <w:jc w:val="center"/>
        <w:rPr>
          <w:rFonts w:ascii="Times New Roman" w:hAnsi="Times New Roman" w:cs="Times New Roman"/>
          <w:b/>
          <w:sz w:val="24"/>
          <w:szCs w:val="24"/>
        </w:rPr>
      </w:pPr>
      <w:r w:rsidRPr="001D0685">
        <w:rPr>
          <w:rFonts w:ascii="Times New Roman" w:hAnsi="Times New Roman" w:cs="Times New Roman"/>
          <w:b/>
          <w:sz w:val="24"/>
          <w:szCs w:val="24"/>
        </w:rPr>
        <w:lastRenderedPageBreak/>
        <w:t>List of Attachments</w:t>
      </w:r>
    </w:p>
    <w:p w:rsidR="00C16DD7" w:rsidRPr="006F2398" w:rsidRDefault="00C16DD7" w:rsidP="00C16DD7">
      <w:pPr>
        <w:jc w:val="both"/>
        <w:rPr>
          <w:rFonts w:ascii="Times New Roman" w:hAnsi="Times New Roman" w:cs="Times New Roman"/>
          <w:sz w:val="24"/>
          <w:szCs w:val="24"/>
        </w:rPr>
      </w:pPr>
      <w:r w:rsidRPr="006F2398">
        <w:rPr>
          <w:rFonts w:ascii="Times New Roman" w:hAnsi="Times New Roman" w:cs="Times New Roman"/>
          <w:sz w:val="24"/>
          <w:szCs w:val="24"/>
          <w:u w:val="single"/>
        </w:rPr>
        <w:t>Data Collection Instruments</w:t>
      </w:r>
      <w:r w:rsidRPr="006F2398">
        <w:rPr>
          <w:rFonts w:ascii="Times New Roman" w:hAnsi="Times New Roman" w:cs="Times New Roman"/>
          <w:sz w:val="24"/>
          <w:szCs w:val="24"/>
        </w:rPr>
        <w:t>:</w:t>
      </w:r>
    </w:p>
    <w:p w:rsidR="00A3189F" w:rsidRPr="006F2398" w:rsidRDefault="00A3189F" w:rsidP="006F2398">
      <w:pPr>
        <w:pStyle w:val="NoSpacing"/>
        <w:rPr>
          <w:rFonts w:ascii="Times New Roman" w:hAnsi="Times New Roman" w:cs="Times New Roman"/>
          <w:sz w:val="24"/>
          <w:szCs w:val="24"/>
        </w:rPr>
      </w:pPr>
      <w:r w:rsidRPr="006F2398">
        <w:rPr>
          <w:rFonts w:ascii="Times New Roman" w:hAnsi="Times New Roman" w:cs="Times New Roman"/>
          <w:sz w:val="24"/>
          <w:szCs w:val="24"/>
        </w:rPr>
        <w:t xml:space="preserve">Attachment 1:  </w:t>
      </w:r>
      <w:r w:rsidR="00653C98" w:rsidRPr="006F2398">
        <w:rPr>
          <w:rFonts w:ascii="Times New Roman" w:hAnsi="Times New Roman" w:cs="Times New Roman"/>
          <w:sz w:val="24"/>
          <w:szCs w:val="24"/>
        </w:rPr>
        <w:t>Screen</w:t>
      </w:r>
      <w:r w:rsidR="003C104E">
        <w:rPr>
          <w:rFonts w:ascii="Times New Roman" w:hAnsi="Times New Roman" w:cs="Times New Roman"/>
          <w:sz w:val="24"/>
          <w:szCs w:val="24"/>
        </w:rPr>
        <w:t>ing Questionnaire</w:t>
      </w:r>
      <w:r w:rsidR="00F51D2B">
        <w:rPr>
          <w:rFonts w:ascii="Times New Roman" w:hAnsi="Times New Roman" w:cs="Times New Roman"/>
          <w:sz w:val="24"/>
          <w:szCs w:val="24"/>
        </w:rPr>
        <w:t xml:space="preserve"> for Consumers</w:t>
      </w:r>
    </w:p>
    <w:p w:rsidR="00C16DD7" w:rsidRPr="006F2398" w:rsidRDefault="00850D40" w:rsidP="006F2398">
      <w:pPr>
        <w:pStyle w:val="NoSpacing"/>
        <w:rPr>
          <w:rFonts w:ascii="Times New Roman" w:hAnsi="Times New Roman" w:cs="Times New Roman"/>
          <w:sz w:val="24"/>
          <w:szCs w:val="24"/>
        </w:rPr>
      </w:pPr>
      <w:r w:rsidRPr="006F2398">
        <w:rPr>
          <w:rFonts w:ascii="Times New Roman" w:hAnsi="Times New Roman" w:cs="Times New Roman"/>
          <w:sz w:val="24"/>
          <w:szCs w:val="24"/>
        </w:rPr>
        <w:t>A</w:t>
      </w:r>
      <w:r w:rsidR="00135462" w:rsidRPr="006F2398">
        <w:rPr>
          <w:rFonts w:ascii="Times New Roman" w:hAnsi="Times New Roman" w:cs="Times New Roman"/>
          <w:sz w:val="24"/>
          <w:szCs w:val="24"/>
        </w:rPr>
        <w:t>ttachment</w:t>
      </w:r>
      <w:r w:rsidR="005D2975" w:rsidRPr="006F2398">
        <w:rPr>
          <w:rFonts w:ascii="Times New Roman" w:hAnsi="Times New Roman" w:cs="Times New Roman"/>
          <w:sz w:val="24"/>
          <w:szCs w:val="24"/>
        </w:rPr>
        <w:t xml:space="preserve"> 2: </w:t>
      </w:r>
      <w:r w:rsidR="00F51D2B">
        <w:rPr>
          <w:rFonts w:ascii="Times New Roman" w:hAnsi="Times New Roman" w:cs="Times New Roman"/>
          <w:sz w:val="24"/>
          <w:szCs w:val="24"/>
        </w:rPr>
        <w:t xml:space="preserve"> </w:t>
      </w:r>
      <w:r w:rsidR="000C5C2E">
        <w:rPr>
          <w:rFonts w:ascii="Times New Roman" w:hAnsi="Times New Roman" w:cs="Times New Roman"/>
          <w:sz w:val="24"/>
          <w:szCs w:val="24"/>
        </w:rPr>
        <w:t>Virtual Focus Group (</w:t>
      </w:r>
      <w:r w:rsidR="00F51D2B">
        <w:rPr>
          <w:rFonts w:ascii="Times New Roman" w:hAnsi="Times New Roman" w:cs="Times New Roman"/>
          <w:sz w:val="24"/>
          <w:szCs w:val="24"/>
        </w:rPr>
        <w:t>VFG</w:t>
      </w:r>
      <w:r w:rsidR="000C5C2E">
        <w:rPr>
          <w:rFonts w:ascii="Times New Roman" w:hAnsi="Times New Roman" w:cs="Times New Roman"/>
          <w:sz w:val="24"/>
          <w:szCs w:val="24"/>
        </w:rPr>
        <w:t>)</w:t>
      </w:r>
      <w:r w:rsidR="00F51D2B">
        <w:rPr>
          <w:rFonts w:ascii="Times New Roman" w:hAnsi="Times New Roman" w:cs="Times New Roman"/>
          <w:sz w:val="24"/>
          <w:szCs w:val="24"/>
        </w:rPr>
        <w:t xml:space="preserve"> Focus Group Consent Form (Word)</w:t>
      </w:r>
    </w:p>
    <w:p w:rsidR="00167621" w:rsidRDefault="00135462" w:rsidP="006F2398">
      <w:pPr>
        <w:pStyle w:val="NoSpacing"/>
        <w:rPr>
          <w:rFonts w:ascii="Times New Roman" w:hAnsi="Times New Roman" w:cs="Times New Roman"/>
          <w:sz w:val="24"/>
          <w:szCs w:val="24"/>
        </w:rPr>
      </w:pPr>
      <w:r w:rsidRPr="006F2398">
        <w:rPr>
          <w:rFonts w:ascii="Times New Roman" w:hAnsi="Times New Roman" w:cs="Times New Roman"/>
          <w:sz w:val="24"/>
          <w:szCs w:val="24"/>
        </w:rPr>
        <w:t>Attachment</w:t>
      </w:r>
      <w:r w:rsidR="00E32ECE" w:rsidRPr="006F2398">
        <w:rPr>
          <w:rFonts w:ascii="Times New Roman" w:hAnsi="Times New Roman" w:cs="Times New Roman"/>
          <w:sz w:val="24"/>
          <w:szCs w:val="24"/>
        </w:rPr>
        <w:t xml:space="preserve"> </w:t>
      </w:r>
      <w:r w:rsidR="00AD2C5B">
        <w:rPr>
          <w:rFonts w:ascii="Times New Roman" w:hAnsi="Times New Roman" w:cs="Times New Roman"/>
          <w:sz w:val="24"/>
          <w:szCs w:val="24"/>
        </w:rPr>
        <w:t>2a</w:t>
      </w:r>
      <w:r w:rsidR="005D2975" w:rsidRPr="006F2398">
        <w:rPr>
          <w:rFonts w:ascii="Times New Roman" w:hAnsi="Times New Roman" w:cs="Times New Roman"/>
          <w:sz w:val="24"/>
          <w:szCs w:val="24"/>
        </w:rPr>
        <w:t>:</w:t>
      </w:r>
      <w:r w:rsidR="00F51D2B">
        <w:rPr>
          <w:rFonts w:ascii="Times New Roman" w:hAnsi="Times New Roman" w:cs="Times New Roman"/>
          <w:sz w:val="24"/>
          <w:szCs w:val="24"/>
        </w:rPr>
        <w:t xml:space="preserve"> VFG Focus Group Consent Form</w:t>
      </w:r>
      <w:r w:rsidR="00710322">
        <w:rPr>
          <w:rFonts w:ascii="Times New Roman" w:hAnsi="Times New Roman" w:cs="Times New Roman"/>
          <w:sz w:val="24"/>
          <w:szCs w:val="24"/>
        </w:rPr>
        <w:t xml:space="preserve"> (screenshots)</w:t>
      </w:r>
    </w:p>
    <w:p w:rsidR="00AD2C5B" w:rsidRPr="006F2398" w:rsidRDefault="00AD2C5B" w:rsidP="006F2398">
      <w:pPr>
        <w:pStyle w:val="NoSpacing"/>
        <w:rPr>
          <w:rFonts w:ascii="Times New Roman" w:hAnsi="Times New Roman" w:cs="Times New Roman"/>
          <w:sz w:val="24"/>
          <w:szCs w:val="24"/>
        </w:rPr>
      </w:pPr>
      <w:r>
        <w:rPr>
          <w:rFonts w:ascii="Times New Roman" w:hAnsi="Times New Roman" w:cs="Times New Roman"/>
          <w:sz w:val="24"/>
          <w:szCs w:val="24"/>
        </w:rPr>
        <w:t>Attachment 3:</w:t>
      </w:r>
      <w:r w:rsidR="00710322">
        <w:rPr>
          <w:rFonts w:ascii="Times New Roman" w:hAnsi="Times New Roman" w:cs="Times New Roman"/>
          <w:sz w:val="24"/>
          <w:szCs w:val="24"/>
        </w:rPr>
        <w:t xml:space="preserve">  Group 1- VFG Moderators Guide- Pain (Word)</w:t>
      </w:r>
    </w:p>
    <w:p w:rsidR="00E433DE" w:rsidRPr="006F2398" w:rsidRDefault="00135462" w:rsidP="006F2398">
      <w:pPr>
        <w:pStyle w:val="NoSpacing"/>
        <w:rPr>
          <w:rFonts w:ascii="Times New Roman" w:hAnsi="Times New Roman" w:cs="Times New Roman"/>
          <w:sz w:val="24"/>
          <w:szCs w:val="24"/>
        </w:rPr>
      </w:pPr>
      <w:r w:rsidRPr="006F2398">
        <w:rPr>
          <w:rFonts w:ascii="Times New Roman" w:hAnsi="Times New Roman" w:cs="Times New Roman"/>
          <w:sz w:val="24"/>
          <w:szCs w:val="24"/>
        </w:rPr>
        <w:t>Attachment</w:t>
      </w:r>
      <w:r w:rsidR="00E32ECE" w:rsidRPr="006F2398">
        <w:rPr>
          <w:rFonts w:ascii="Times New Roman" w:hAnsi="Times New Roman" w:cs="Times New Roman"/>
          <w:sz w:val="24"/>
          <w:szCs w:val="24"/>
        </w:rPr>
        <w:t xml:space="preserve"> </w:t>
      </w:r>
      <w:r w:rsidR="005D2975" w:rsidRPr="006F2398">
        <w:rPr>
          <w:rFonts w:ascii="Times New Roman" w:hAnsi="Times New Roman" w:cs="Times New Roman"/>
          <w:sz w:val="24"/>
          <w:szCs w:val="24"/>
        </w:rPr>
        <w:t>3a:</w:t>
      </w:r>
      <w:r w:rsidR="00E433DE" w:rsidRPr="006F2398">
        <w:rPr>
          <w:rFonts w:ascii="Times New Roman" w:hAnsi="Times New Roman" w:cs="Times New Roman"/>
          <w:sz w:val="24"/>
          <w:szCs w:val="24"/>
        </w:rPr>
        <w:t xml:space="preserve"> </w:t>
      </w:r>
      <w:r w:rsidR="00710322">
        <w:rPr>
          <w:rFonts w:ascii="Times New Roman" w:hAnsi="Times New Roman" w:cs="Times New Roman"/>
          <w:sz w:val="24"/>
          <w:szCs w:val="24"/>
        </w:rPr>
        <w:t>Group 1- VFG Moderator</w:t>
      </w:r>
      <w:r w:rsidR="00087D25" w:rsidRPr="006F2398">
        <w:rPr>
          <w:rFonts w:ascii="Times New Roman" w:hAnsi="Times New Roman" w:cs="Times New Roman"/>
          <w:sz w:val="24"/>
          <w:szCs w:val="24"/>
        </w:rPr>
        <w:t>s Guide</w:t>
      </w:r>
      <w:r w:rsidR="00D64600">
        <w:rPr>
          <w:rFonts w:ascii="Times New Roman" w:hAnsi="Times New Roman" w:cs="Times New Roman"/>
          <w:sz w:val="24"/>
          <w:szCs w:val="24"/>
        </w:rPr>
        <w:t>- Pain</w:t>
      </w:r>
      <w:r w:rsidR="00087D25" w:rsidRPr="006F2398">
        <w:rPr>
          <w:rFonts w:ascii="Times New Roman" w:hAnsi="Times New Roman" w:cs="Times New Roman"/>
          <w:sz w:val="24"/>
          <w:szCs w:val="24"/>
        </w:rPr>
        <w:t xml:space="preserve"> </w:t>
      </w:r>
      <w:r w:rsidR="00B56707" w:rsidRPr="006F2398">
        <w:rPr>
          <w:rFonts w:ascii="Times New Roman" w:hAnsi="Times New Roman" w:cs="Times New Roman"/>
          <w:sz w:val="24"/>
          <w:szCs w:val="24"/>
        </w:rPr>
        <w:t>(screenshots)</w:t>
      </w:r>
      <w:r w:rsidR="004932A1" w:rsidRPr="006F2398">
        <w:rPr>
          <w:rFonts w:ascii="Times New Roman" w:hAnsi="Times New Roman" w:cs="Times New Roman"/>
          <w:sz w:val="24"/>
          <w:szCs w:val="24"/>
        </w:rPr>
        <w:t xml:space="preserve"> </w:t>
      </w:r>
    </w:p>
    <w:p w:rsidR="00B56707" w:rsidRPr="006F2398" w:rsidRDefault="00135462" w:rsidP="006F2398">
      <w:pPr>
        <w:pStyle w:val="NoSpacing"/>
        <w:rPr>
          <w:rFonts w:ascii="Times New Roman" w:hAnsi="Times New Roman" w:cs="Times New Roman"/>
          <w:sz w:val="24"/>
          <w:szCs w:val="24"/>
        </w:rPr>
      </w:pPr>
      <w:r w:rsidRPr="006F2398">
        <w:rPr>
          <w:rFonts w:ascii="Times New Roman" w:hAnsi="Times New Roman" w:cs="Times New Roman"/>
          <w:sz w:val="24"/>
          <w:szCs w:val="24"/>
        </w:rPr>
        <w:t>Attachment</w:t>
      </w:r>
      <w:r w:rsidR="00E32ECE" w:rsidRPr="006F2398">
        <w:rPr>
          <w:rFonts w:ascii="Times New Roman" w:hAnsi="Times New Roman" w:cs="Times New Roman"/>
          <w:sz w:val="24"/>
          <w:szCs w:val="24"/>
        </w:rPr>
        <w:t xml:space="preserve"> </w:t>
      </w:r>
      <w:r w:rsidR="005D2975" w:rsidRPr="006F2398">
        <w:rPr>
          <w:rFonts w:ascii="Times New Roman" w:hAnsi="Times New Roman" w:cs="Times New Roman"/>
          <w:sz w:val="24"/>
          <w:szCs w:val="24"/>
        </w:rPr>
        <w:t>4:</w:t>
      </w:r>
      <w:r w:rsidR="00E433DE" w:rsidRPr="006F2398">
        <w:rPr>
          <w:rFonts w:ascii="Times New Roman" w:hAnsi="Times New Roman" w:cs="Times New Roman"/>
          <w:sz w:val="24"/>
          <w:szCs w:val="24"/>
        </w:rPr>
        <w:t xml:space="preserve"> </w:t>
      </w:r>
      <w:r w:rsidR="008345CB">
        <w:rPr>
          <w:rFonts w:ascii="Times New Roman" w:hAnsi="Times New Roman" w:cs="Times New Roman"/>
          <w:sz w:val="24"/>
          <w:szCs w:val="24"/>
        </w:rPr>
        <w:t xml:space="preserve"> Group 1- Follow up Interview Guide - Pain</w:t>
      </w:r>
    </w:p>
    <w:p w:rsidR="00C16DD7" w:rsidRPr="006F2398" w:rsidRDefault="005D2975" w:rsidP="006F2398">
      <w:pPr>
        <w:pStyle w:val="NoSpacing"/>
        <w:rPr>
          <w:rFonts w:ascii="Times New Roman" w:hAnsi="Times New Roman" w:cs="Times New Roman"/>
          <w:sz w:val="24"/>
          <w:szCs w:val="24"/>
        </w:rPr>
      </w:pPr>
      <w:r w:rsidRPr="006F2398">
        <w:rPr>
          <w:rFonts w:ascii="Times New Roman" w:hAnsi="Times New Roman" w:cs="Times New Roman"/>
          <w:sz w:val="24"/>
          <w:szCs w:val="24"/>
        </w:rPr>
        <w:t>Attachment 5:</w:t>
      </w:r>
      <w:r w:rsidR="008345CB">
        <w:rPr>
          <w:rFonts w:ascii="Times New Roman" w:hAnsi="Times New Roman" w:cs="Times New Roman"/>
          <w:sz w:val="24"/>
          <w:szCs w:val="24"/>
        </w:rPr>
        <w:t xml:space="preserve">  Group 2 – VFG Moderators Guide</w:t>
      </w:r>
      <w:r w:rsidR="00653B23">
        <w:rPr>
          <w:rFonts w:ascii="Times New Roman" w:hAnsi="Times New Roman" w:cs="Times New Roman"/>
          <w:sz w:val="24"/>
          <w:szCs w:val="24"/>
        </w:rPr>
        <w:t>- Depression (Word)</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 xml:space="preserve">Attachment </w:t>
      </w:r>
      <w:r w:rsidR="00AD2C5B">
        <w:rPr>
          <w:rFonts w:ascii="Times New Roman" w:hAnsi="Times New Roman" w:cs="Times New Roman"/>
          <w:sz w:val="24"/>
          <w:szCs w:val="24"/>
        </w:rPr>
        <w:t>5a</w:t>
      </w:r>
      <w:r>
        <w:rPr>
          <w:rFonts w:ascii="Times New Roman" w:hAnsi="Times New Roman" w:cs="Times New Roman"/>
          <w:sz w:val="24"/>
          <w:szCs w:val="24"/>
        </w:rPr>
        <w:t>:</w:t>
      </w:r>
      <w:r w:rsidR="008345CB">
        <w:rPr>
          <w:rFonts w:ascii="Times New Roman" w:hAnsi="Times New Roman" w:cs="Times New Roman"/>
          <w:sz w:val="24"/>
          <w:szCs w:val="24"/>
        </w:rPr>
        <w:t xml:space="preserve">  Group 2 – VFG Moderators Guide</w:t>
      </w:r>
      <w:r w:rsidR="00653B23">
        <w:rPr>
          <w:rFonts w:ascii="Times New Roman" w:hAnsi="Times New Roman" w:cs="Times New Roman"/>
          <w:sz w:val="24"/>
          <w:szCs w:val="24"/>
        </w:rPr>
        <w:t xml:space="preserve"> – Depression (screenshots)</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6:</w:t>
      </w:r>
      <w:r w:rsidR="008345CB">
        <w:rPr>
          <w:rFonts w:ascii="Times New Roman" w:hAnsi="Times New Roman" w:cs="Times New Roman"/>
          <w:sz w:val="24"/>
          <w:szCs w:val="24"/>
        </w:rPr>
        <w:t xml:space="preserve">  Group 2- Follow up Interview Guide - </w:t>
      </w:r>
      <w:r w:rsidR="00653B23">
        <w:rPr>
          <w:rFonts w:ascii="Times New Roman" w:hAnsi="Times New Roman" w:cs="Times New Roman"/>
          <w:sz w:val="24"/>
          <w:szCs w:val="24"/>
        </w:rPr>
        <w:t>Depression</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7:</w:t>
      </w:r>
      <w:r w:rsidR="008345CB">
        <w:rPr>
          <w:rFonts w:ascii="Times New Roman" w:hAnsi="Times New Roman" w:cs="Times New Roman"/>
          <w:sz w:val="24"/>
          <w:szCs w:val="24"/>
        </w:rPr>
        <w:t xml:space="preserve">  Group 3 – VFG Moderators Guide</w:t>
      </w:r>
      <w:r w:rsidR="00653B23">
        <w:rPr>
          <w:rFonts w:ascii="Times New Roman" w:hAnsi="Times New Roman" w:cs="Times New Roman"/>
          <w:sz w:val="24"/>
          <w:szCs w:val="24"/>
        </w:rPr>
        <w:t xml:space="preserve"> – Asthma (Word)</w:t>
      </w:r>
    </w:p>
    <w:p w:rsidR="00AD2C5B" w:rsidRDefault="00AD2C5B" w:rsidP="006F2398">
      <w:pPr>
        <w:pStyle w:val="NoSpacing"/>
        <w:rPr>
          <w:rFonts w:ascii="Times New Roman" w:hAnsi="Times New Roman" w:cs="Times New Roman"/>
          <w:sz w:val="24"/>
          <w:szCs w:val="24"/>
        </w:rPr>
      </w:pPr>
      <w:r>
        <w:rPr>
          <w:rFonts w:ascii="Times New Roman" w:hAnsi="Times New Roman" w:cs="Times New Roman"/>
          <w:sz w:val="24"/>
          <w:szCs w:val="24"/>
        </w:rPr>
        <w:t xml:space="preserve">Attachment </w:t>
      </w:r>
      <w:r w:rsidR="008345CB">
        <w:rPr>
          <w:rFonts w:ascii="Times New Roman" w:hAnsi="Times New Roman" w:cs="Times New Roman"/>
          <w:sz w:val="24"/>
          <w:szCs w:val="24"/>
        </w:rPr>
        <w:t>7a</w:t>
      </w:r>
      <w:r>
        <w:rPr>
          <w:rFonts w:ascii="Times New Roman" w:hAnsi="Times New Roman" w:cs="Times New Roman"/>
          <w:sz w:val="24"/>
          <w:szCs w:val="24"/>
        </w:rPr>
        <w:t>:</w:t>
      </w:r>
      <w:r w:rsidR="008345CB">
        <w:rPr>
          <w:rFonts w:ascii="Times New Roman" w:hAnsi="Times New Roman" w:cs="Times New Roman"/>
          <w:sz w:val="24"/>
          <w:szCs w:val="24"/>
        </w:rPr>
        <w:t xml:space="preserve">  </w:t>
      </w:r>
      <w:r w:rsidR="00CE0C88">
        <w:rPr>
          <w:rFonts w:ascii="Times New Roman" w:hAnsi="Times New Roman" w:cs="Times New Roman"/>
          <w:sz w:val="24"/>
          <w:szCs w:val="24"/>
        </w:rPr>
        <w:t>Group 3 – VFG Moderators Guide</w:t>
      </w:r>
      <w:r w:rsidR="00653B23">
        <w:rPr>
          <w:rFonts w:ascii="Times New Roman" w:hAnsi="Times New Roman" w:cs="Times New Roman"/>
          <w:sz w:val="24"/>
          <w:szCs w:val="24"/>
        </w:rPr>
        <w:t xml:space="preserve"> – Asthma (screenshots)</w:t>
      </w:r>
    </w:p>
    <w:p w:rsidR="008345CB" w:rsidRDefault="008345CB" w:rsidP="006F2398">
      <w:pPr>
        <w:pStyle w:val="NoSpacing"/>
        <w:rPr>
          <w:rFonts w:ascii="Times New Roman" w:hAnsi="Times New Roman" w:cs="Times New Roman"/>
          <w:sz w:val="24"/>
          <w:szCs w:val="24"/>
        </w:rPr>
      </w:pPr>
      <w:r>
        <w:rPr>
          <w:rFonts w:ascii="Times New Roman" w:hAnsi="Times New Roman" w:cs="Times New Roman"/>
          <w:sz w:val="24"/>
          <w:szCs w:val="24"/>
        </w:rPr>
        <w:t>Attachment 8:</w:t>
      </w:r>
      <w:r w:rsidR="00CE0C88">
        <w:rPr>
          <w:rFonts w:ascii="Times New Roman" w:hAnsi="Times New Roman" w:cs="Times New Roman"/>
          <w:sz w:val="24"/>
          <w:szCs w:val="24"/>
        </w:rPr>
        <w:t xml:space="preserve">   Group 3 – Follow up Interview Guide</w:t>
      </w:r>
      <w:r w:rsidR="00653B23">
        <w:rPr>
          <w:rFonts w:ascii="Times New Roman" w:hAnsi="Times New Roman" w:cs="Times New Roman"/>
          <w:sz w:val="24"/>
          <w:szCs w:val="24"/>
        </w:rPr>
        <w:t xml:space="preserve"> - Asthma</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 xml:space="preserve">Attachment </w:t>
      </w:r>
      <w:r w:rsidR="00AD2C5B">
        <w:rPr>
          <w:rFonts w:ascii="Times New Roman" w:hAnsi="Times New Roman" w:cs="Times New Roman"/>
          <w:sz w:val="24"/>
          <w:szCs w:val="24"/>
        </w:rPr>
        <w:t>9</w:t>
      </w:r>
      <w:r>
        <w:rPr>
          <w:rFonts w:ascii="Times New Roman" w:hAnsi="Times New Roman" w:cs="Times New Roman"/>
          <w:sz w:val="24"/>
          <w:szCs w:val="24"/>
        </w:rPr>
        <w:t>:</w:t>
      </w:r>
      <w:r w:rsidR="00CE0C88">
        <w:rPr>
          <w:rFonts w:ascii="Times New Roman" w:hAnsi="Times New Roman" w:cs="Times New Roman"/>
          <w:sz w:val="24"/>
          <w:szCs w:val="24"/>
        </w:rPr>
        <w:t xml:space="preserve">  Group 4 – VFG Moderators Guide- </w:t>
      </w:r>
      <w:r w:rsidR="008E0447">
        <w:rPr>
          <w:rFonts w:ascii="Times New Roman" w:hAnsi="Times New Roman" w:cs="Times New Roman"/>
          <w:sz w:val="24"/>
          <w:szCs w:val="24"/>
        </w:rPr>
        <w:t>Postpartum</w:t>
      </w:r>
      <w:r w:rsidR="00653B23">
        <w:rPr>
          <w:rFonts w:ascii="Times New Roman" w:hAnsi="Times New Roman" w:cs="Times New Roman"/>
          <w:sz w:val="24"/>
          <w:szCs w:val="24"/>
        </w:rPr>
        <w:t>-</w:t>
      </w:r>
      <w:r w:rsidR="00CE0C88">
        <w:rPr>
          <w:rFonts w:ascii="Times New Roman" w:hAnsi="Times New Roman" w:cs="Times New Roman"/>
          <w:sz w:val="24"/>
          <w:szCs w:val="24"/>
        </w:rPr>
        <w:t xml:space="preserve"> Acute Med</w:t>
      </w:r>
      <w:r w:rsidR="00653B23">
        <w:rPr>
          <w:rFonts w:ascii="Times New Roman" w:hAnsi="Times New Roman" w:cs="Times New Roman"/>
          <w:sz w:val="24"/>
          <w:szCs w:val="24"/>
        </w:rPr>
        <w:t xml:space="preserve"> (Word)</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 xml:space="preserve">Attachment </w:t>
      </w:r>
      <w:r w:rsidR="00AD2C5B">
        <w:rPr>
          <w:rFonts w:ascii="Times New Roman" w:hAnsi="Times New Roman" w:cs="Times New Roman"/>
          <w:sz w:val="24"/>
          <w:szCs w:val="24"/>
        </w:rPr>
        <w:t>9</w:t>
      </w:r>
      <w:r>
        <w:rPr>
          <w:rFonts w:ascii="Times New Roman" w:hAnsi="Times New Roman" w:cs="Times New Roman"/>
          <w:sz w:val="24"/>
          <w:szCs w:val="24"/>
        </w:rPr>
        <w:t>a:</w:t>
      </w:r>
      <w:r w:rsidR="00CE0C88">
        <w:rPr>
          <w:rFonts w:ascii="Times New Roman" w:hAnsi="Times New Roman" w:cs="Times New Roman"/>
          <w:sz w:val="24"/>
          <w:szCs w:val="24"/>
        </w:rPr>
        <w:t xml:space="preserve">  Group 4 </w:t>
      </w:r>
      <w:r w:rsidR="00653B23">
        <w:rPr>
          <w:rFonts w:ascii="Times New Roman" w:hAnsi="Times New Roman" w:cs="Times New Roman"/>
          <w:sz w:val="24"/>
          <w:szCs w:val="24"/>
        </w:rPr>
        <w:t>–</w:t>
      </w:r>
      <w:r w:rsidR="00CE0C88">
        <w:rPr>
          <w:rFonts w:ascii="Times New Roman" w:hAnsi="Times New Roman" w:cs="Times New Roman"/>
          <w:sz w:val="24"/>
          <w:szCs w:val="24"/>
        </w:rPr>
        <w:t xml:space="preserve"> VFG</w:t>
      </w:r>
      <w:r w:rsidR="00653B23">
        <w:rPr>
          <w:rFonts w:ascii="Times New Roman" w:hAnsi="Times New Roman" w:cs="Times New Roman"/>
          <w:sz w:val="24"/>
          <w:szCs w:val="24"/>
        </w:rPr>
        <w:t xml:space="preserve"> Moderators Guide – P</w:t>
      </w:r>
      <w:r w:rsidR="008E0447">
        <w:rPr>
          <w:rFonts w:ascii="Times New Roman" w:hAnsi="Times New Roman" w:cs="Times New Roman"/>
          <w:sz w:val="24"/>
          <w:szCs w:val="24"/>
        </w:rPr>
        <w:t>ostpartum</w:t>
      </w:r>
      <w:r w:rsidR="00653B23">
        <w:rPr>
          <w:rFonts w:ascii="Times New Roman" w:hAnsi="Times New Roman" w:cs="Times New Roman"/>
          <w:sz w:val="24"/>
          <w:szCs w:val="24"/>
        </w:rPr>
        <w:t xml:space="preserve"> – Acute Med (screenshots)</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 xml:space="preserve">Attachment </w:t>
      </w:r>
      <w:r w:rsidR="00AD2C5B">
        <w:rPr>
          <w:rFonts w:ascii="Times New Roman" w:hAnsi="Times New Roman" w:cs="Times New Roman"/>
          <w:sz w:val="24"/>
          <w:szCs w:val="24"/>
        </w:rPr>
        <w:t>10</w:t>
      </w:r>
      <w:r>
        <w:rPr>
          <w:rFonts w:ascii="Times New Roman" w:hAnsi="Times New Roman" w:cs="Times New Roman"/>
          <w:sz w:val="24"/>
          <w:szCs w:val="24"/>
        </w:rPr>
        <w:t>:</w:t>
      </w:r>
      <w:r w:rsidR="00CE0C88">
        <w:rPr>
          <w:rFonts w:ascii="Times New Roman" w:hAnsi="Times New Roman" w:cs="Times New Roman"/>
          <w:sz w:val="24"/>
          <w:szCs w:val="24"/>
        </w:rPr>
        <w:t xml:space="preserve">  Group 4 – Follow up Interview Guide</w:t>
      </w:r>
      <w:r w:rsidR="00653B23">
        <w:rPr>
          <w:rFonts w:ascii="Times New Roman" w:hAnsi="Times New Roman" w:cs="Times New Roman"/>
          <w:sz w:val="24"/>
          <w:szCs w:val="24"/>
        </w:rPr>
        <w:t xml:space="preserve"> –P</w:t>
      </w:r>
      <w:r w:rsidR="008E0447">
        <w:rPr>
          <w:rFonts w:ascii="Times New Roman" w:hAnsi="Times New Roman" w:cs="Times New Roman"/>
          <w:sz w:val="24"/>
          <w:szCs w:val="24"/>
        </w:rPr>
        <w:t>ostpartum</w:t>
      </w:r>
      <w:r w:rsidR="00653B23">
        <w:rPr>
          <w:rFonts w:ascii="Times New Roman" w:hAnsi="Times New Roman" w:cs="Times New Roman"/>
          <w:sz w:val="24"/>
          <w:szCs w:val="24"/>
        </w:rPr>
        <w:t xml:space="preserve"> – Acute Med</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1</w:t>
      </w:r>
      <w:r w:rsidR="00AD2C5B">
        <w:rPr>
          <w:rFonts w:ascii="Times New Roman" w:hAnsi="Times New Roman" w:cs="Times New Roman"/>
          <w:sz w:val="24"/>
          <w:szCs w:val="24"/>
        </w:rPr>
        <w:t>1</w:t>
      </w:r>
      <w:r>
        <w:rPr>
          <w:rFonts w:ascii="Times New Roman" w:hAnsi="Times New Roman" w:cs="Times New Roman"/>
          <w:sz w:val="24"/>
          <w:szCs w:val="24"/>
        </w:rPr>
        <w:t>:</w:t>
      </w:r>
      <w:r w:rsidR="00CE0C88">
        <w:rPr>
          <w:rFonts w:ascii="Times New Roman" w:hAnsi="Times New Roman" w:cs="Times New Roman"/>
          <w:sz w:val="24"/>
          <w:szCs w:val="24"/>
        </w:rPr>
        <w:t xml:space="preserve">  Group 5- VFG Moderators Guide- P</w:t>
      </w:r>
      <w:r w:rsidR="008E0447">
        <w:rPr>
          <w:rFonts w:ascii="Times New Roman" w:hAnsi="Times New Roman" w:cs="Times New Roman"/>
          <w:sz w:val="24"/>
          <w:szCs w:val="24"/>
        </w:rPr>
        <w:t>ostpartum-</w:t>
      </w:r>
      <w:r w:rsidR="00CE0C88">
        <w:rPr>
          <w:rFonts w:ascii="Times New Roman" w:hAnsi="Times New Roman" w:cs="Times New Roman"/>
          <w:sz w:val="24"/>
          <w:szCs w:val="24"/>
        </w:rPr>
        <w:t xml:space="preserve"> Depression</w:t>
      </w:r>
      <w:r w:rsidR="00653B23">
        <w:rPr>
          <w:rFonts w:ascii="Times New Roman" w:hAnsi="Times New Roman" w:cs="Times New Roman"/>
          <w:sz w:val="24"/>
          <w:szCs w:val="24"/>
        </w:rPr>
        <w:t xml:space="preserve"> (Word)</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1</w:t>
      </w:r>
      <w:r w:rsidR="00AD2C5B">
        <w:rPr>
          <w:rFonts w:ascii="Times New Roman" w:hAnsi="Times New Roman" w:cs="Times New Roman"/>
          <w:sz w:val="24"/>
          <w:szCs w:val="24"/>
        </w:rPr>
        <w:t>1</w:t>
      </w:r>
      <w:r>
        <w:rPr>
          <w:rFonts w:ascii="Times New Roman" w:hAnsi="Times New Roman" w:cs="Times New Roman"/>
          <w:sz w:val="24"/>
          <w:szCs w:val="24"/>
        </w:rPr>
        <w:t>a:</w:t>
      </w:r>
      <w:r w:rsidR="00CE0C88">
        <w:rPr>
          <w:rFonts w:ascii="Times New Roman" w:hAnsi="Times New Roman" w:cs="Times New Roman"/>
          <w:sz w:val="24"/>
          <w:szCs w:val="24"/>
        </w:rPr>
        <w:t xml:space="preserve">  Group 5 – VFG Moderators Guide</w:t>
      </w:r>
      <w:r w:rsidR="008E0447">
        <w:rPr>
          <w:rFonts w:ascii="Times New Roman" w:hAnsi="Times New Roman" w:cs="Times New Roman"/>
          <w:sz w:val="24"/>
          <w:szCs w:val="24"/>
        </w:rPr>
        <w:t>-</w:t>
      </w:r>
      <w:r w:rsidR="00CE0C88">
        <w:rPr>
          <w:rFonts w:ascii="Times New Roman" w:hAnsi="Times New Roman" w:cs="Times New Roman"/>
          <w:sz w:val="24"/>
          <w:szCs w:val="24"/>
        </w:rPr>
        <w:t xml:space="preserve"> P</w:t>
      </w:r>
      <w:r w:rsidR="008E0447">
        <w:rPr>
          <w:rFonts w:ascii="Times New Roman" w:hAnsi="Times New Roman" w:cs="Times New Roman"/>
          <w:sz w:val="24"/>
          <w:szCs w:val="24"/>
        </w:rPr>
        <w:t>ostpartum-</w:t>
      </w:r>
      <w:r w:rsidR="00CE0C88">
        <w:rPr>
          <w:rFonts w:ascii="Times New Roman" w:hAnsi="Times New Roman" w:cs="Times New Roman"/>
          <w:sz w:val="24"/>
          <w:szCs w:val="24"/>
        </w:rPr>
        <w:t xml:space="preserve"> Depression (screenshots)</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1</w:t>
      </w:r>
      <w:r w:rsidR="00AD2C5B">
        <w:rPr>
          <w:rFonts w:ascii="Times New Roman" w:hAnsi="Times New Roman" w:cs="Times New Roman"/>
          <w:sz w:val="24"/>
          <w:szCs w:val="24"/>
        </w:rPr>
        <w:t>2</w:t>
      </w:r>
      <w:r>
        <w:rPr>
          <w:rFonts w:ascii="Times New Roman" w:hAnsi="Times New Roman" w:cs="Times New Roman"/>
          <w:sz w:val="24"/>
          <w:szCs w:val="24"/>
        </w:rPr>
        <w:t>:</w:t>
      </w:r>
      <w:r w:rsidR="00CE0C88">
        <w:rPr>
          <w:rFonts w:ascii="Times New Roman" w:hAnsi="Times New Roman" w:cs="Times New Roman"/>
          <w:sz w:val="24"/>
          <w:szCs w:val="24"/>
        </w:rPr>
        <w:t xml:space="preserve">  Group 5 – Follow up Interview Guide</w:t>
      </w:r>
      <w:r w:rsidR="008E0447">
        <w:rPr>
          <w:rFonts w:ascii="Times New Roman" w:hAnsi="Times New Roman" w:cs="Times New Roman"/>
          <w:sz w:val="24"/>
          <w:szCs w:val="24"/>
        </w:rPr>
        <w:t>-</w:t>
      </w:r>
      <w:r w:rsidR="00653B23">
        <w:rPr>
          <w:rFonts w:ascii="Times New Roman" w:hAnsi="Times New Roman" w:cs="Times New Roman"/>
          <w:sz w:val="24"/>
          <w:szCs w:val="24"/>
        </w:rPr>
        <w:t xml:space="preserve"> </w:t>
      </w:r>
      <w:r w:rsidR="008E0447">
        <w:rPr>
          <w:rFonts w:ascii="Times New Roman" w:hAnsi="Times New Roman" w:cs="Times New Roman"/>
          <w:sz w:val="24"/>
          <w:szCs w:val="24"/>
        </w:rPr>
        <w:t>Postpartum-</w:t>
      </w:r>
      <w:r w:rsidR="00653B23">
        <w:rPr>
          <w:rFonts w:ascii="Times New Roman" w:hAnsi="Times New Roman" w:cs="Times New Roman"/>
          <w:sz w:val="24"/>
          <w:szCs w:val="24"/>
        </w:rPr>
        <w:t xml:space="preserve"> Depression</w:t>
      </w:r>
    </w:p>
    <w:p w:rsidR="00CE0C8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1</w:t>
      </w:r>
      <w:r w:rsidR="00AD2C5B">
        <w:rPr>
          <w:rFonts w:ascii="Times New Roman" w:hAnsi="Times New Roman" w:cs="Times New Roman"/>
          <w:sz w:val="24"/>
          <w:szCs w:val="24"/>
        </w:rPr>
        <w:t>3</w:t>
      </w:r>
      <w:r>
        <w:rPr>
          <w:rFonts w:ascii="Times New Roman" w:hAnsi="Times New Roman" w:cs="Times New Roman"/>
          <w:sz w:val="24"/>
          <w:szCs w:val="24"/>
        </w:rPr>
        <w:t>:</w:t>
      </w:r>
      <w:r w:rsidR="00CE0C88">
        <w:rPr>
          <w:rFonts w:ascii="Times New Roman" w:hAnsi="Times New Roman" w:cs="Times New Roman"/>
          <w:sz w:val="24"/>
          <w:szCs w:val="24"/>
        </w:rPr>
        <w:t xml:space="preserve">  Group 6 – VFG Moderators Guide – P</w:t>
      </w:r>
      <w:r w:rsidR="008E0447">
        <w:rPr>
          <w:rFonts w:ascii="Times New Roman" w:hAnsi="Times New Roman" w:cs="Times New Roman"/>
          <w:sz w:val="24"/>
          <w:szCs w:val="24"/>
        </w:rPr>
        <w:t>ostpartum</w:t>
      </w:r>
      <w:r w:rsidR="00CE0C88">
        <w:rPr>
          <w:rFonts w:ascii="Times New Roman" w:hAnsi="Times New Roman" w:cs="Times New Roman"/>
          <w:sz w:val="24"/>
          <w:szCs w:val="24"/>
        </w:rPr>
        <w:t xml:space="preserve"> – Asthma (Word)</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1</w:t>
      </w:r>
      <w:r w:rsidR="00AD2C5B">
        <w:rPr>
          <w:rFonts w:ascii="Times New Roman" w:hAnsi="Times New Roman" w:cs="Times New Roman"/>
          <w:sz w:val="24"/>
          <w:szCs w:val="24"/>
        </w:rPr>
        <w:t>3</w:t>
      </w:r>
      <w:r>
        <w:rPr>
          <w:rFonts w:ascii="Times New Roman" w:hAnsi="Times New Roman" w:cs="Times New Roman"/>
          <w:sz w:val="24"/>
          <w:szCs w:val="24"/>
        </w:rPr>
        <w:t>a:</w:t>
      </w:r>
      <w:r w:rsidR="00CE0C88">
        <w:rPr>
          <w:rFonts w:ascii="Times New Roman" w:hAnsi="Times New Roman" w:cs="Times New Roman"/>
          <w:sz w:val="24"/>
          <w:szCs w:val="24"/>
        </w:rPr>
        <w:t xml:space="preserve">  Group 6 – VFG Moderators Guide – P</w:t>
      </w:r>
      <w:r w:rsidR="008E0447">
        <w:rPr>
          <w:rFonts w:ascii="Times New Roman" w:hAnsi="Times New Roman" w:cs="Times New Roman"/>
          <w:sz w:val="24"/>
          <w:szCs w:val="24"/>
        </w:rPr>
        <w:t>ostpartum</w:t>
      </w:r>
      <w:r w:rsidR="00CE0C88">
        <w:rPr>
          <w:rFonts w:ascii="Times New Roman" w:hAnsi="Times New Roman" w:cs="Times New Roman"/>
          <w:sz w:val="24"/>
          <w:szCs w:val="24"/>
        </w:rPr>
        <w:t xml:space="preserve"> – Asthma (screenshots)</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1</w:t>
      </w:r>
      <w:r w:rsidR="00AD2C5B">
        <w:rPr>
          <w:rFonts w:ascii="Times New Roman" w:hAnsi="Times New Roman" w:cs="Times New Roman"/>
          <w:sz w:val="24"/>
          <w:szCs w:val="24"/>
        </w:rPr>
        <w:t>4</w:t>
      </w:r>
      <w:r>
        <w:rPr>
          <w:rFonts w:ascii="Times New Roman" w:hAnsi="Times New Roman" w:cs="Times New Roman"/>
          <w:sz w:val="24"/>
          <w:szCs w:val="24"/>
        </w:rPr>
        <w:t>:</w:t>
      </w:r>
      <w:r w:rsidR="00CE0C88">
        <w:rPr>
          <w:rFonts w:ascii="Times New Roman" w:hAnsi="Times New Roman" w:cs="Times New Roman"/>
          <w:sz w:val="24"/>
          <w:szCs w:val="24"/>
        </w:rPr>
        <w:t xml:space="preserve">  Group 6 – Follow up Interview Guide</w:t>
      </w:r>
      <w:r w:rsidR="00653B23">
        <w:rPr>
          <w:rFonts w:ascii="Times New Roman" w:hAnsi="Times New Roman" w:cs="Times New Roman"/>
          <w:sz w:val="24"/>
          <w:szCs w:val="24"/>
        </w:rPr>
        <w:t>- P</w:t>
      </w:r>
      <w:r w:rsidR="008E0447">
        <w:rPr>
          <w:rFonts w:ascii="Times New Roman" w:hAnsi="Times New Roman" w:cs="Times New Roman"/>
          <w:sz w:val="24"/>
          <w:szCs w:val="24"/>
        </w:rPr>
        <w:t>ostpartum</w:t>
      </w:r>
      <w:r w:rsidR="00653B23">
        <w:rPr>
          <w:rFonts w:ascii="Times New Roman" w:hAnsi="Times New Roman" w:cs="Times New Roman"/>
          <w:sz w:val="24"/>
          <w:szCs w:val="24"/>
        </w:rPr>
        <w:t>- Asthma</w:t>
      </w:r>
    </w:p>
    <w:p w:rsidR="006F2398" w:rsidRDefault="006F2398" w:rsidP="006F2398">
      <w:pPr>
        <w:pStyle w:val="NoSpacing"/>
        <w:rPr>
          <w:rFonts w:ascii="Times New Roman" w:hAnsi="Times New Roman" w:cs="Times New Roman"/>
          <w:sz w:val="24"/>
          <w:szCs w:val="24"/>
        </w:rPr>
      </w:pPr>
      <w:r>
        <w:rPr>
          <w:rFonts w:ascii="Times New Roman" w:hAnsi="Times New Roman" w:cs="Times New Roman"/>
          <w:sz w:val="24"/>
          <w:szCs w:val="24"/>
        </w:rPr>
        <w:t>Attachment 15:</w:t>
      </w:r>
      <w:r w:rsidR="00CE0C88">
        <w:rPr>
          <w:rFonts w:ascii="Times New Roman" w:hAnsi="Times New Roman" w:cs="Times New Roman"/>
          <w:sz w:val="24"/>
          <w:szCs w:val="24"/>
        </w:rPr>
        <w:t xml:space="preserve">  IRB Approval Letter</w:t>
      </w:r>
    </w:p>
    <w:p w:rsidR="009A7674" w:rsidRDefault="009A7674" w:rsidP="006F2398">
      <w:pPr>
        <w:pStyle w:val="NoSpacing"/>
        <w:rPr>
          <w:rFonts w:ascii="Times New Roman" w:hAnsi="Times New Roman" w:cs="Times New Roman"/>
          <w:sz w:val="24"/>
          <w:szCs w:val="24"/>
        </w:rPr>
      </w:pPr>
      <w:r>
        <w:rPr>
          <w:rFonts w:ascii="Times New Roman" w:hAnsi="Times New Roman" w:cs="Times New Roman"/>
          <w:sz w:val="24"/>
          <w:szCs w:val="24"/>
        </w:rPr>
        <w:t>Attachment 16: VFG Recruitment Email</w:t>
      </w: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Default="006F2398" w:rsidP="006F2398">
      <w:pPr>
        <w:pStyle w:val="NoSpacing"/>
        <w:rPr>
          <w:rFonts w:ascii="Times New Roman" w:hAnsi="Times New Roman" w:cs="Times New Roman"/>
          <w:sz w:val="24"/>
          <w:szCs w:val="24"/>
        </w:rPr>
      </w:pPr>
    </w:p>
    <w:p w:rsidR="006F2398" w:rsidRPr="006F2398" w:rsidRDefault="006F2398" w:rsidP="006F2398">
      <w:pPr>
        <w:pStyle w:val="NoSpacing"/>
        <w:rPr>
          <w:rFonts w:ascii="Times New Roman" w:hAnsi="Times New Roman" w:cs="Times New Roman"/>
          <w:sz w:val="24"/>
          <w:szCs w:val="24"/>
        </w:rPr>
      </w:pPr>
    </w:p>
    <w:p w:rsidR="00CD1EA8" w:rsidRPr="001D0685" w:rsidRDefault="00CD1EA8" w:rsidP="00716F94">
      <w:pPr>
        <w:spacing w:after="0"/>
        <w:rPr>
          <w:rFonts w:ascii="Times New Roman" w:hAnsi="Times New Roman" w:cs="Times New Roman"/>
          <w:b/>
          <w:sz w:val="24"/>
          <w:szCs w:val="24"/>
        </w:rPr>
      </w:pPr>
      <w:r w:rsidRPr="001D0685">
        <w:rPr>
          <w:rFonts w:ascii="Times New Roman" w:hAnsi="Times New Roman" w:cs="Times New Roman"/>
          <w:b/>
          <w:sz w:val="24"/>
          <w:szCs w:val="24"/>
        </w:rPr>
        <w:t>Section A</w:t>
      </w:r>
      <w:r w:rsidR="00B12F51" w:rsidRPr="001D0685">
        <w:rPr>
          <w:rFonts w:ascii="Times New Roman" w:hAnsi="Times New Roman" w:cs="Times New Roman"/>
          <w:b/>
          <w:sz w:val="24"/>
          <w:szCs w:val="24"/>
        </w:rPr>
        <w:t xml:space="preserve"> – Justification</w:t>
      </w:r>
    </w:p>
    <w:p w:rsidR="00B12F51" w:rsidRPr="001D0685" w:rsidRDefault="00B12F51" w:rsidP="00716F94">
      <w:pPr>
        <w:spacing w:after="0"/>
        <w:rPr>
          <w:rFonts w:ascii="Times New Roman" w:hAnsi="Times New Roman" w:cs="Times New Roman"/>
          <w:b/>
          <w:sz w:val="24"/>
          <w:szCs w:val="24"/>
        </w:rPr>
      </w:pPr>
    </w:p>
    <w:p w:rsidR="00CD1EA8" w:rsidRPr="001D0685" w:rsidRDefault="00B12F51" w:rsidP="007E2E44">
      <w:pPr>
        <w:pStyle w:val="ListParagraph"/>
        <w:numPr>
          <w:ilvl w:val="0"/>
          <w:numId w:val="33"/>
        </w:numPr>
        <w:spacing w:after="0"/>
        <w:ind w:left="360"/>
        <w:rPr>
          <w:rFonts w:ascii="Times New Roman" w:hAnsi="Times New Roman" w:cs="Times New Roman"/>
          <w:b/>
          <w:sz w:val="24"/>
          <w:szCs w:val="24"/>
        </w:rPr>
      </w:pPr>
      <w:r w:rsidRPr="001D0685">
        <w:rPr>
          <w:rFonts w:ascii="Times New Roman" w:hAnsi="Times New Roman" w:cs="Times New Roman"/>
          <w:b/>
          <w:sz w:val="24"/>
          <w:szCs w:val="24"/>
        </w:rPr>
        <w:t>Circumstances Making the Collection of Information Necessary</w:t>
      </w:r>
    </w:p>
    <w:p w:rsidR="00E33E1B" w:rsidRPr="001D0685" w:rsidRDefault="00E33E1B" w:rsidP="009D373D">
      <w:pPr>
        <w:spacing w:after="0"/>
        <w:ind w:left="720"/>
        <w:rPr>
          <w:rFonts w:ascii="Times New Roman" w:hAnsi="Times New Roman" w:cs="Times New Roman"/>
          <w:b/>
          <w:sz w:val="24"/>
          <w:szCs w:val="24"/>
        </w:rPr>
      </w:pPr>
    </w:p>
    <w:p w:rsidR="00E33E1B" w:rsidRPr="001D0685" w:rsidRDefault="00E33E1B" w:rsidP="00893296">
      <w:pPr>
        <w:spacing w:after="0"/>
        <w:rPr>
          <w:rFonts w:ascii="Times New Roman" w:hAnsi="Times New Roman" w:cs="Times New Roman"/>
          <w:b/>
          <w:sz w:val="24"/>
          <w:szCs w:val="24"/>
        </w:rPr>
      </w:pPr>
      <w:r w:rsidRPr="001D0685">
        <w:rPr>
          <w:rFonts w:ascii="Times New Roman" w:hAnsi="Times New Roman" w:cs="Times New Roman"/>
          <w:b/>
          <w:sz w:val="24"/>
          <w:szCs w:val="24"/>
        </w:rPr>
        <w:t>Background</w:t>
      </w:r>
    </w:p>
    <w:p w:rsidR="00CE02A7" w:rsidRPr="001D0685" w:rsidRDefault="004F67A8" w:rsidP="004932A1">
      <w:pPr>
        <w:pStyle w:val="Header"/>
        <w:tabs>
          <w:tab w:val="clear" w:pos="4680"/>
        </w:tabs>
        <w:spacing w:line="276" w:lineRule="auto"/>
        <w:rPr>
          <w:rFonts w:ascii="Times New Roman" w:hAnsi="Times New Roman" w:cs="Times New Roman"/>
          <w:sz w:val="24"/>
          <w:szCs w:val="24"/>
        </w:rPr>
      </w:pPr>
      <w:r w:rsidRPr="001D0685">
        <w:rPr>
          <w:rFonts w:ascii="Times New Roman" w:hAnsi="Times New Roman" w:cs="Times New Roman"/>
          <w:sz w:val="24"/>
          <w:szCs w:val="24"/>
        </w:rPr>
        <w:t>This data collection</w:t>
      </w:r>
      <w:r w:rsidR="00484011" w:rsidRPr="001D0685">
        <w:rPr>
          <w:rFonts w:ascii="Times New Roman" w:hAnsi="Times New Roman" w:cs="Times New Roman"/>
          <w:sz w:val="24"/>
          <w:szCs w:val="24"/>
        </w:rPr>
        <w:t xml:space="preserve"> is being conducted </w:t>
      </w:r>
      <w:r w:rsidR="009252DC" w:rsidRPr="001D0685">
        <w:rPr>
          <w:rFonts w:ascii="Times New Roman" w:hAnsi="Times New Roman" w:cs="Times New Roman"/>
          <w:sz w:val="24"/>
          <w:szCs w:val="24"/>
        </w:rPr>
        <w:t>using</w:t>
      </w:r>
      <w:r w:rsidR="00484011" w:rsidRPr="001D0685">
        <w:rPr>
          <w:rFonts w:ascii="Times New Roman" w:hAnsi="Times New Roman" w:cs="Times New Roman"/>
          <w:sz w:val="24"/>
          <w:szCs w:val="24"/>
        </w:rPr>
        <w:t xml:space="preserve"> the Generic Information Collection mechanism </w:t>
      </w:r>
      <w:r w:rsidR="009252DC" w:rsidRPr="001D0685">
        <w:rPr>
          <w:rFonts w:ascii="Times New Roman" w:hAnsi="Times New Roman" w:cs="Times New Roman"/>
          <w:sz w:val="24"/>
          <w:szCs w:val="24"/>
        </w:rPr>
        <w:t xml:space="preserve">of the </w:t>
      </w:r>
      <w:r w:rsidR="00C16DD7" w:rsidRPr="001D0685">
        <w:rPr>
          <w:rFonts w:ascii="Times New Roman" w:hAnsi="Times New Roman" w:cs="Times New Roman"/>
          <w:sz w:val="24"/>
          <w:szCs w:val="24"/>
        </w:rPr>
        <w:t>National Center on Birth Defects and Developmental Disabilities (NCBDDD)</w:t>
      </w:r>
      <w:r w:rsidR="002802EB" w:rsidRPr="001D0685">
        <w:rPr>
          <w:rFonts w:ascii="Times New Roman" w:hAnsi="Times New Roman" w:cs="Times New Roman"/>
          <w:sz w:val="24"/>
          <w:szCs w:val="24"/>
        </w:rPr>
        <w:t xml:space="preserve"> </w:t>
      </w:r>
      <w:r w:rsidR="00484011" w:rsidRPr="001D0685">
        <w:rPr>
          <w:rFonts w:ascii="Times New Roman" w:hAnsi="Times New Roman" w:cs="Times New Roman"/>
          <w:sz w:val="24"/>
          <w:szCs w:val="24"/>
        </w:rPr>
        <w:t>– OMB No. 0920-0</w:t>
      </w:r>
      <w:r w:rsidR="00C16DD7" w:rsidRPr="001D0685">
        <w:rPr>
          <w:rFonts w:ascii="Times New Roman" w:hAnsi="Times New Roman" w:cs="Times New Roman"/>
          <w:sz w:val="24"/>
          <w:szCs w:val="24"/>
        </w:rPr>
        <w:t>990</w:t>
      </w:r>
      <w:r w:rsidRPr="001D0685">
        <w:rPr>
          <w:rFonts w:ascii="Times New Roman" w:hAnsi="Times New Roman" w:cs="Times New Roman"/>
          <w:sz w:val="24"/>
          <w:szCs w:val="24"/>
        </w:rPr>
        <w:t>.</w:t>
      </w:r>
      <w:r w:rsidR="009252DC" w:rsidRPr="001D0685">
        <w:rPr>
          <w:rFonts w:ascii="Times New Roman" w:hAnsi="Times New Roman" w:cs="Times New Roman"/>
          <w:sz w:val="24"/>
          <w:szCs w:val="24"/>
        </w:rPr>
        <w:t xml:space="preserve"> The respondent universe for this data collection aligns with that of the </w:t>
      </w:r>
      <w:r w:rsidR="00CE04A4" w:rsidRPr="001D0685">
        <w:rPr>
          <w:rFonts w:ascii="Times New Roman" w:hAnsi="Times New Roman" w:cs="Times New Roman"/>
          <w:sz w:val="24"/>
          <w:szCs w:val="24"/>
        </w:rPr>
        <w:t>NCBDDD</w:t>
      </w:r>
      <w:r w:rsidR="009252DC" w:rsidRPr="001D0685">
        <w:rPr>
          <w:rFonts w:ascii="Times New Roman" w:hAnsi="Times New Roman" w:cs="Times New Roman"/>
          <w:sz w:val="24"/>
          <w:szCs w:val="24"/>
        </w:rPr>
        <w:t>. Data will be collected from</w:t>
      </w:r>
      <w:r w:rsidR="0051226B" w:rsidRPr="001D0685">
        <w:rPr>
          <w:rFonts w:ascii="Times New Roman" w:hAnsi="Times New Roman" w:cs="Times New Roman"/>
          <w:sz w:val="24"/>
          <w:szCs w:val="24"/>
        </w:rPr>
        <w:t xml:space="preserve"> </w:t>
      </w:r>
      <w:r w:rsidR="00087D25">
        <w:rPr>
          <w:rFonts w:ascii="Times New Roman" w:hAnsi="Times New Roman" w:cs="Times New Roman"/>
          <w:sz w:val="24"/>
          <w:szCs w:val="24"/>
        </w:rPr>
        <w:t>women</w:t>
      </w:r>
      <w:r w:rsidR="004932A1">
        <w:rPr>
          <w:rFonts w:ascii="Times New Roman" w:hAnsi="Times New Roman" w:cs="Times New Roman"/>
          <w:sz w:val="24"/>
          <w:szCs w:val="24"/>
        </w:rPr>
        <w:t xml:space="preserve"> of childbearing age (18–44) to assess their knowledge, awareness, behaviors, and access to information about medication use during pregnancy.</w:t>
      </w:r>
    </w:p>
    <w:p w:rsidR="00E26AE6" w:rsidRPr="001D0685" w:rsidRDefault="00E26AE6" w:rsidP="00E26AE6">
      <w:pPr>
        <w:pStyle w:val="Header"/>
        <w:tabs>
          <w:tab w:val="clear" w:pos="4680"/>
        </w:tabs>
        <w:spacing w:line="276" w:lineRule="auto"/>
        <w:ind w:left="720"/>
        <w:rPr>
          <w:rFonts w:ascii="Times New Roman" w:hAnsi="Times New Roman" w:cs="Times New Roman"/>
          <w:sz w:val="24"/>
          <w:szCs w:val="24"/>
        </w:rPr>
      </w:pPr>
    </w:p>
    <w:p w:rsidR="00350C8C" w:rsidRDefault="00350C8C" w:rsidP="00CE02A7">
      <w:pPr>
        <w:pStyle w:val="Header"/>
        <w:tabs>
          <w:tab w:val="clear" w:pos="4680"/>
        </w:tabs>
        <w:spacing w:line="276" w:lineRule="auto"/>
        <w:rPr>
          <w:rFonts w:ascii="Times New Roman" w:hAnsi="Times New Roman" w:cs="Times New Roman"/>
          <w:sz w:val="24"/>
          <w:szCs w:val="24"/>
        </w:rPr>
      </w:pPr>
      <w:r w:rsidRPr="001D0685">
        <w:rPr>
          <w:rFonts w:ascii="Times New Roman" w:hAnsi="Times New Roman" w:cs="Times New Roman"/>
          <w:sz w:val="24"/>
          <w:szCs w:val="24"/>
        </w:rPr>
        <w:t>This data collection is authorized by Section 301 of the Public Health Service Act (42 U.S.C. 241).</w:t>
      </w:r>
    </w:p>
    <w:p w:rsidR="00B56707" w:rsidRPr="001D0685" w:rsidRDefault="00B56707" w:rsidP="00CE02A7">
      <w:pPr>
        <w:pStyle w:val="Header"/>
        <w:tabs>
          <w:tab w:val="clear" w:pos="4680"/>
        </w:tabs>
        <w:spacing w:line="276" w:lineRule="auto"/>
        <w:rPr>
          <w:rFonts w:ascii="Times New Roman" w:hAnsi="Times New Roman" w:cs="Times New Roman"/>
          <w:sz w:val="24"/>
          <w:szCs w:val="24"/>
        </w:rPr>
      </w:pPr>
    </w:p>
    <w:p w:rsidR="00B56707" w:rsidRDefault="00B56707" w:rsidP="00B56707">
      <w:pPr>
        <w:pStyle w:val="BodyText1psg"/>
        <w:ind w:firstLine="0"/>
      </w:pPr>
      <w:r>
        <w:t xml:space="preserve">Medication use among pregnant women and its impact on the health of the mother and fetus is a growing public health concern. Although little information is available about the safety of many medications during pregnancy, it is widely accepted that certain medications, such as isotretinoin, can cause serious birth defects if taken during pregnancy </w:t>
      </w:r>
      <w:r>
        <w:fldChar w:fldCharType="begin"/>
      </w:r>
      <w:r>
        <w:instrText xml:space="preserve"> ADDIN EN.CITE &lt;EndNote&gt;&lt;Cite&gt;&lt;Author&gt;Fisher&lt;/Author&gt;&lt;Year&gt;2008&lt;/Year&gt;&lt;RecNum&gt;1&lt;/RecNum&gt;&lt;DisplayText&gt;(Fisher, 2008)&lt;/DisplayText&gt;&lt;record&gt;&lt;rec-number&gt;1&lt;/rec-number&gt;&lt;foreign-keys&gt;&lt;key app="EN" db-id="fxvse5e9f2vspqefz0lxfas75f905w9p09v2"&gt;1&lt;/key&gt;&lt;/foreign-keys&gt;&lt;ref-type name="Journal Article"&gt;17&lt;/ref-type&gt;&lt;contributors&gt;&lt;authors&gt;&lt;author&gt;Fisher&lt;/author&gt;&lt;/authors&gt;&lt;/contributors&gt;&lt;titles&gt;&lt;/titles&gt;&lt;dates&gt;&lt;year&gt;2008&lt;/year&gt;&lt;/dates&gt;&lt;urls&gt;&lt;/urls&gt;&lt;/record&gt;&lt;/Cite&gt;&lt;/EndNote&gt;</w:instrText>
      </w:r>
      <w:r>
        <w:fldChar w:fldCharType="separate"/>
      </w:r>
      <w:r>
        <w:rPr>
          <w:noProof/>
        </w:rPr>
        <w:t>(Fisher, 2008)</w:t>
      </w:r>
      <w:r>
        <w:fldChar w:fldCharType="end"/>
      </w:r>
      <w:r>
        <w:t xml:space="preserve">. Other medications, when taken during pregnancy, have also been associated with birth defects and adverse pregnancy outcomes </w:t>
      </w:r>
      <w:r>
        <w:fldChar w:fldCharType="begin"/>
      </w:r>
      <w:r>
        <w:instrText xml:space="preserve"> ADDIN EN.CITE &lt;EndNote&gt;&lt;Cite&gt;&lt;Author&gt;Briggs&lt;/Author&gt;&lt;Year&gt;2008&lt;/Year&gt;&lt;RecNum&gt;2&lt;/RecNum&gt;&lt;DisplayText&gt;(Briggs, Freeman, &amp;amp; Yaffe, 2008)&lt;/DisplayText&gt;&lt;record&gt;&lt;rec-number&gt;2&lt;/rec-number&gt;&lt;foreign-keys&gt;&lt;key app="EN" db-id="fxvse5e9f2vspqefz0lxfas75f905w9p09v2"&gt;2&lt;/key&gt;&lt;/foreign-keys&gt;&lt;ref-type name="Book"&gt;6&lt;/ref-type&gt;&lt;contributors&gt;&lt;authors&gt;&lt;author&gt;Briggs, G.G.&lt;/author&gt;&lt;author&gt;Freeman, R.K.&lt;/author&gt;&lt;author&gt;Yaffe, S.J.&lt;/author&gt;&lt;/authors&gt;&lt;/contributors&gt;&lt;titles&gt;&lt;title&gt;Drugs in Pregnancy and Lactation&lt;/title&gt;&lt;/titles&gt;&lt;edition&gt;8th&lt;/edition&gt;&lt;section&gt;987-990&lt;/section&gt;&lt;dates&gt;&lt;year&gt;2008&lt;/year&gt;&lt;/dates&gt;&lt;pub-location&gt;Philadelphia, PA&lt;/pub-location&gt;&lt;publisher&gt;Lippincott Williams &amp;amp; Wilkins&lt;/publisher&gt;&lt;urls&gt;&lt;/urls&gt;&lt;/record&gt;&lt;/Cite&gt;&lt;/EndNote&gt;</w:instrText>
      </w:r>
      <w:r>
        <w:fldChar w:fldCharType="separate"/>
      </w:r>
      <w:r>
        <w:rPr>
          <w:noProof/>
        </w:rPr>
        <w:t>(Briggs, Freeman, &amp; Yaffe, 2008)</w:t>
      </w:r>
      <w:r>
        <w:fldChar w:fldCharType="end"/>
      </w:r>
      <w:r>
        <w:t xml:space="preserve">. </w:t>
      </w:r>
    </w:p>
    <w:p w:rsidR="00B56707" w:rsidRDefault="00B56707" w:rsidP="00B56707">
      <w:pPr>
        <w:pStyle w:val="BodyText1psg"/>
        <w:ind w:firstLine="0"/>
      </w:pPr>
      <w:r>
        <w:t xml:space="preserve">The first trimester is an especially critical time for the development of a fetus, so medication use during this period is of particular concern. In the past three decades, the use of prescription medication during the first trimester of pregnancy has increased by more than 60%, with estimates of prescription medication use during the first trimester of pregnancy ranging from 29% to 48% </w:t>
      </w:r>
      <w:r>
        <w:fldChar w:fldCharType="begin"/>
      </w:r>
      <w:r>
        <w:instrText xml:space="preserve"> ADDIN EN.CITE &lt;EndNote&gt;&lt;Cite&gt;&lt;Author&gt;Bercaw&lt;/Author&gt;&lt;Year&gt;2010&lt;/Year&gt;&lt;RecNum&gt;3&lt;/RecNum&gt;&lt;DisplayText&gt;(Bercaw, Maheshwari, &amp;amp; Sangi-Haghpeykar, 2010; Mitchell et al., 2011)&lt;/DisplayText&gt;&lt;record&gt;&lt;rec-number&gt;3&lt;/rec-number&gt;&lt;foreign-keys&gt;&lt;key app="EN" db-id="fxvse5e9f2vspqefz0lxfas75f905w9p09v2"&gt;3&lt;/key&gt;&lt;/foreign-keys&gt;&lt;ref-type name="Journal Article"&gt;17&lt;/ref-type&gt;&lt;contributors&gt;&lt;authors&gt;&lt;author&gt;Bercaw, J.&lt;/author&gt;&lt;author&gt;Maheshwari, B.&lt;/author&gt;&lt;author&gt;Sangi-Haghpeykar, H.&lt;/author&gt;&lt;/authors&gt;&lt;/contributors&gt;&lt;titles&gt;&lt;title&gt;The use during pregnancy of prescription, over-the-counter, and alternative medications among Hispanic women&lt;/title&gt;&lt;secondary-title&gt;Birth (Berkeley, Calif.)&lt;/secondary-title&gt;&lt;/titles&gt;&lt;pages&gt;211-218&lt;/pages&gt;&lt;volume&gt;37&lt;/volume&gt;&lt;number&gt;3&lt;/number&gt;&lt;dates&gt;&lt;year&gt;2010&lt;/year&gt;&lt;/dates&gt;&lt;urls&gt;&lt;/urls&gt;&lt;/record&gt;&lt;/Cite&gt;&lt;Cite&gt;&lt;Author&gt;Mitchell&lt;/Author&gt;&lt;Year&gt;2011&lt;/Year&gt;&lt;RecNum&gt;4&lt;/RecNum&gt;&lt;record&gt;&lt;rec-number&gt;4&lt;/rec-number&gt;&lt;foreign-keys&gt;&lt;key app="EN" db-id="fxvse5e9f2vspqefz0lxfas75f905w9p09v2"&gt;4&lt;/key&gt;&lt;/foreign-keys&gt;&lt;ref-type name="Journal Article"&gt;17&lt;/ref-type&gt;&lt;contributors&gt;&lt;authors&gt;&lt;author&gt;Mitchell, A.A.&lt;/author&gt;&lt;author&gt;Gilboa, S.M.&lt;/author&gt;&lt;author&gt;Werler, M.M.&lt;/author&gt;&lt;author&gt;Kelley, K.E.&lt;/author&gt;&lt;author&gt;Louik, C.&lt;/author&gt;&lt;author&gt;Hernández-Díaz, S.&lt;/author&gt;&lt;/authors&gt;&lt;/contributors&gt;&lt;titles&gt;&lt;title&gt;National Birth Defects Prevention Study. Medication use during pregnancy, with particular focus on prescription drugs&lt;/title&gt;&lt;secondary-title&gt;American Journal of Obstetrics and Gynecology&lt;/secondary-title&gt;&lt;/titles&gt;&lt;pages&gt;51.e1-8&lt;/pages&gt;&lt;volume&gt;205&lt;/volume&gt;&lt;number&gt;1&lt;/number&gt;&lt;dates&gt;&lt;year&gt;2011&lt;/year&gt;&lt;/dates&gt;&lt;urls&gt;&lt;/urls&gt;&lt;/record&gt;&lt;/Cite&gt;&lt;/EndNote&gt;</w:instrText>
      </w:r>
      <w:r>
        <w:fldChar w:fldCharType="separate"/>
      </w:r>
      <w:r>
        <w:rPr>
          <w:noProof/>
        </w:rPr>
        <w:t>(Bercaw, Maheshwari, &amp; Sangi-Haghpeykar, 2010; Mitchell et al., 2011)</w:t>
      </w:r>
      <w:r>
        <w:fldChar w:fldCharType="end"/>
      </w:r>
      <w:r>
        <w:t xml:space="preserve">. The use of any medication, prescription or over-the-counter (OTC), is estimated at roughly 94% </w:t>
      </w:r>
      <w:r>
        <w:fldChar w:fldCharType="begin"/>
      </w:r>
      <w:r>
        <w:instrText xml:space="preserve"> ADDIN EN.CITE &lt;EndNote&gt;&lt;Cite&gt;&lt;Author&gt;Mitchell&lt;/Author&gt;&lt;Year&gt;2011&lt;/Year&gt;&lt;RecNum&gt;4&lt;/RecNum&gt;&lt;DisplayText&gt;(Mitchell et al., 2011)&lt;/DisplayText&gt;&lt;record&gt;&lt;rec-number&gt;4&lt;/rec-number&gt;&lt;foreign-keys&gt;&lt;key app="EN" db-id="fxvse5e9f2vspqefz0lxfas75f905w9p09v2"&gt;4&lt;/key&gt;&lt;/foreign-keys&gt;&lt;ref-type name="Journal Article"&gt;17&lt;/ref-type&gt;&lt;contributors&gt;&lt;authors&gt;&lt;author&gt;Mitchell, A.A.&lt;/author&gt;&lt;author&gt;Gilboa, S.M.&lt;/author&gt;&lt;author&gt;Werler, M.M.&lt;/author&gt;&lt;author&gt;Kelley, K.E.&lt;/author&gt;&lt;author&gt;Louik, C.&lt;/author&gt;&lt;author&gt;Hernández-Díaz, S.&lt;/author&gt;&lt;/authors&gt;&lt;/contributors&gt;&lt;titles&gt;&lt;title&gt;National Birth Defects Prevention Study. Medication use during pregnancy, with particular focus on prescription drugs&lt;/title&gt;&lt;secondary-title&gt;American Journal of Obstetrics and Gynecology&lt;/secondary-title&gt;&lt;/titles&gt;&lt;pages&gt;51.e1-8&lt;/pages&gt;&lt;volume&gt;205&lt;/volume&gt;&lt;number&gt;1&lt;/number&gt;&lt;dates&gt;&lt;year&gt;2011&lt;/year&gt;&lt;/dates&gt;&lt;urls&gt;&lt;/urls&gt;&lt;/record&gt;&lt;/Cite&gt;&lt;/EndNote&gt;</w:instrText>
      </w:r>
      <w:r>
        <w:fldChar w:fldCharType="separate"/>
      </w:r>
      <w:r>
        <w:rPr>
          <w:noProof/>
        </w:rPr>
        <w:t>(Mitchell et al., 2011)</w:t>
      </w:r>
      <w:r>
        <w:fldChar w:fldCharType="end"/>
      </w:r>
      <w:r>
        <w:t xml:space="preserve">. The use of medication has increased, as has the overall </w:t>
      </w:r>
      <w:r w:rsidRPr="00DC45B6">
        <w:t xml:space="preserve">number </w:t>
      </w:r>
      <w:r>
        <w:t xml:space="preserve">of medications used by pregnant women </w:t>
      </w:r>
      <w:r>
        <w:fldChar w:fldCharType="begin"/>
      </w:r>
      <w:r>
        <w:instrText xml:space="preserve"> ADDIN EN.CITE &lt;EndNote&gt;&lt;Cite&gt;&lt;Author&gt;Mitchell&lt;/Author&gt;&lt;Year&gt;2011&lt;/Year&gt;&lt;RecNum&gt;4&lt;/RecNum&gt;&lt;DisplayText&gt;(Mitchell et al., 2011)&lt;/DisplayText&gt;&lt;record&gt;&lt;rec-number&gt;4&lt;/rec-number&gt;&lt;foreign-keys&gt;&lt;key app="EN" db-id="fxvse5e9f2vspqefz0lxfas75f905w9p09v2"&gt;4&lt;/key&gt;&lt;/foreign-keys&gt;&lt;ref-type name="Journal Article"&gt;17&lt;/ref-type&gt;&lt;contributors&gt;&lt;authors&gt;&lt;author&gt;Mitchell, A.A.&lt;/author&gt;&lt;author&gt;Gilboa, S.M.&lt;/author&gt;&lt;author&gt;Werler, M.M.&lt;/author&gt;&lt;author&gt;Kelley, K.E.&lt;/author&gt;&lt;author&gt;Louik, C.&lt;/author&gt;&lt;author&gt;Hernández-Díaz, S.&lt;/author&gt;&lt;/authors&gt;&lt;/contributors&gt;&lt;titles&gt;&lt;title&gt;National Birth Defects Prevention Study. Medication use during pregnancy, with particular focus on prescription drugs&lt;/title&gt;&lt;secondary-title&gt;American Journal of Obstetrics and Gynecology&lt;/secondary-title&gt;&lt;/titles&gt;&lt;pages&gt;51.e1-8&lt;/pages&gt;&lt;volume&gt;205&lt;/volume&gt;&lt;number&gt;1&lt;/number&gt;&lt;dates&gt;&lt;year&gt;2011&lt;/year&gt;&lt;/dates&gt;&lt;urls&gt;&lt;/urls&gt;&lt;/record&gt;&lt;/Cite&gt;&lt;/EndNote&gt;</w:instrText>
      </w:r>
      <w:r>
        <w:fldChar w:fldCharType="separate"/>
      </w:r>
      <w:r>
        <w:rPr>
          <w:noProof/>
        </w:rPr>
        <w:t>(Mitchell et al., 2011)</w:t>
      </w:r>
      <w:r>
        <w:fldChar w:fldCharType="end"/>
      </w:r>
      <w:r>
        <w:t xml:space="preserve">. The average number of medications, both prescription and OTC, has increased 68% in the past three decades, from 2.5 in 1976–1978 to 4.2 in 2006–2008. Furthermore, the percentage of pregnant women using four or more medications has tripled during this time </w:t>
      </w:r>
      <w:r>
        <w:fldChar w:fldCharType="begin"/>
      </w:r>
      <w:r>
        <w:instrText xml:space="preserve"> ADDIN EN.CITE &lt;EndNote&gt;&lt;Cite&gt;&lt;Author&gt;Mitchell&lt;/Author&gt;&lt;Year&gt;2011&lt;/Year&gt;&lt;RecNum&gt;4&lt;/RecNum&gt;&lt;DisplayText&gt;(Mitchell et al., 2011)&lt;/DisplayText&gt;&lt;record&gt;&lt;rec-number&gt;4&lt;/rec-number&gt;&lt;foreign-keys&gt;&lt;key app="EN" db-id="fxvse5e9f2vspqefz0lxfas75f905w9p09v2"&gt;4&lt;/key&gt;&lt;/foreign-keys&gt;&lt;ref-type name="Journal Article"&gt;17&lt;/ref-type&gt;&lt;contributors&gt;&lt;authors&gt;&lt;author&gt;Mitchell, A.A.&lt;/author&gt;&lt;author&gt;Gilboa, S.M.&lt;/author&gt;&lt;author&gt;Werler, M.M.&lt;/author&gt;&lt;author&gt;Kelley, K.E.&lt;/author&gt;&lt;author&gt;Louik, C.&lt;/author&gt;&lt;author&gt;Hernández-Díaz, S.&lt;/author&gt;&lt;/authors&gt;&lt;/contributors&gt;&lt;titles&gt;&lt;title&gt;National Birth Defects Prevention Study. Medication use during pregnancy, with particular focus on prescription drugs&lt;/title&gt;&lt;secondary-title&gt;American Journal of Obstetrics and Gynecology&lt;/secondary-title&gt;&lt;/titles&gt;&lt;pages&gt;51.e1-8&lt;/pages&gt;&lt;volume&gt;205&lt;/volume&gt;&lt;number&gt;1&lt;/number&gt;&lt;dates&gt;&lt;year&gt;2011&lt;/year&gt;&lt;/dates&gt;&lt;urls&gt;&lt;/urls&gt;&lt;/record&gt;&lt;/Cite&gt;&lt;/EndNote&gt;</w:instrText>
      </w:r>
      <w:r>
        <w:fldChar w:fldCharType="separate"/>
      </w:r>
      <w:r>
        <w:rPr>
          <w:noProof/>
        </w:rPr>
        <w:t>(Mitchell et al., 2011)</w:t>
      </w:r>
      <w:r>
        <w:fldChar w:fldCharType="end"/>
      </w:r>
      <w:r>
        <w:t xml:space="preserve">. </w:t>
      </w:r>
    </w:p>
    <w:p w:rsidR="00B56707" w:rsidRDefault="00B56707" w:rsidP="00B56707">
      <w:pPr>
        <w:pStyle w:val="BodyText1psg"/>
        <w:ind w:firstLine="0"/>
      </w:pPr>
      <w:r>
        <w:t xml:space="preserve">Decisions on whether or not to use prescription and/or OTC medication during pregnancy fall largely on women and their health care providers. Despite the widespread use of medications during pregnancy, few researchers have examined the knowledge and attitudes toward medication use and exposures during pregnancy among women in the United States. Studies </w:t>
      </w:r>
      <w:r>
        <w:lastRenderedPageBreak/>
        <w:t xml:space="preserve">from Europe and the Middle East indicate that although women are often unaware of the safety of specific medications </w:t>
      </w:r>
      <w:r>
        <w:fldChar w:fldCharType="begin"/>
      </w:r>
      <w:r>
        <w:instrText xml:space="preserve"> ADDIN EN.CITE &lt;EndNote&gt;&lt;Cite&gt;&lt;Author&gt;Damase-Michel&lt;/Author&gt;&lt;Year&gt;2009&lt;/Year&gt;&lt;RecNum&gt;5&lt;/RecNum&gt;&lt;DisplayText&gt;(Damase-Michel, Christaud, Berrebi, Lacroix, &amp;amp; Montastruc, 2009)&lt;/DisplayText&gt;&lt;record&gt;&lt;rec-number&gt;5&lt;/rec-number&gt;&lt;foreign-keys&gt;&lt;key app="EN" db-id="fxvse5e9f2vspqefz0lxfas75f905w9p09v2"&gt;5&lt;/key&gt;&lt;/foreign-keys&gt;&lt;ref-type name="Journal Article"&gt;17&lt;/ref-type&gt;&lt;contributors&gt;&lt;authors&gt;&lt;author&gt;Damase-Michel, C.&lt;/author&gt;&lt;author&gt;Christaud, J.&lt;/author&gt;&lt;author&gt;Berrebi, A.&lt;/author&gt;&lt;author&gt;Lacroix, I.&lt;/author&gt;&lt;author&gt;Montastruc, J. L.&lt;/author&gt;&lt;/authors&gt;&lt;/contributors&gt;&lt;titles&gt;&lt;title&gt;What do pregnant women know about non-steroidal anti-inflammatory drugs?&lt;/title&gt;&lt;secondary-title&gt;Pharmacoepidemiology and Drug Safety&lt;/secondary-title&gt;&lt;/titles&gt;&lt;pages&gt;1034-1038&lt;/pages&gt;&lt;volume&gt;18&lt;/volume&gt;&lt;number&gt;11&lt;/number&gt;&lt;dates&gt;&lt;year&gt;2009&lt;/year&gt;&lt;/dates&gt;&lt;urls&gt;&lt;/urls&gt;&lt;/record&gt;&lt;/Cite&gt;&lt;/EndNote&gt;</w:instrText>
      </w:r>
      <w:r>
        <w:fldChar w:fldCharType="separate"/>
      </w:r>
      <w:r>
        <w:rPr>
          <w:noProof/>
        </w:rPr>
        <w:t>(Damase-Michel, Christaud, Berrebi, Lacroix, &amp; Montastruc, 2009)</w:t>
      </w:r>
      <w:r>
        <w:fldChar w:fldCharType="end"/>
      </w:r>
      <w:r>
        <w:t xml:space="preserve">, they nonetheless have general safety concerns about taking medications during pregnancy </w:t>
      </w:r>
      <w:r>
        <w:fldChar w:fldCharType="begin"/>
      </w:r>
      <w:r>
        <w:instrText xml:space="preserve"> ADDIN EN.CITE &lt;EndNote&gt;&lt;Cite&gt;&lt;Author&gt;Mashayekhi&lt;/Author&gt;&lt;Year&gt;2009&lt;/Year&gt;&lt;RecNum&gt;6&lt;/RecNum&gt;&lt;DisplayText&gt;(Mashayekhi, Dilmaghanizadeh, Fardiazar, Bamdad-Moghadam, &amp;amp; Ghandforoush-Sattari, 2009; Nordeng, Koren, &amp;amp; Einarson, 2010a)&lt;/DisplayText&gt;&lt;record&gt;&lt;rec-number&gt;6&lt;/rec-number&gt;&lt;foreign-keys&gt;&lt;key app="EN" db-id="fxvse5e9f2vspqefz0lxfas75f905w9p09v2"&gt;6&lt;/key&gt;&lt;/foreign-keys&gt;&lt;ref-type name="Journal Article"&gt;17&lt;/ref-type&gt;&lt;contributors&gt;&lt;authors&gt;&lt;author&gt;Mashayekhi, S.O.&lt;/author&gt;&lt;author&gt;Dilmaghanizadeh, M.&lt;/author&gt;&lt;author&gt;Fardiazar, Z.&lt;/author&gt;&lt;author&gt;Bamdad-Moghadam, R.&lt;/author&gt;&lt;author&gt;Ghandforoush-Sattari, F.&lt;/author&gt;&lt;/authors&gt;&lt;/contributors&gt;&lt;titles&gt;&lt;title&gt;Study of awareness among pregnant women of the effects of drugs on the fetus and mother in Iran&lt;/title&gt;&lt;secondary-title&gt;Health Policy (Amsterdam, Netherlands)&lt;/secondary-title&gt;&lt;/titles&gt;&lt;pages&gt;89-93&lt;/pages&gt;&lt;volume&gt;91&lt;/volume&gt;&lt;number&gt;1&lt;/number&gt;&lt;dates&gt;&lt;year&gt;2009&lt;/year&gt;&lt;/dates&gt;&lt;urls&gt;&lt;/urls&gt;&lt;/record&gt;&lt;/Cite&gt;&lt;Cite&gt;&lt;Author&gt;Nordeng&lt;/Author&gt;&lt;Year&gt;2010a&lt;/Year&gt;&lt;RecNum&gt;7&lt;/RecNum&gt;&lt;record&gt;&lt;rec-number&gt;7&lt;/rec-number&gt;&lt;foreign-keys&gt;&lt;key app="EN" db-id="fxvse5e9f2vspqefz0lxfas75f905w9p09v2"&gt;7&lt;/key&gt;&lt;/foreign-keys&gt;&lt;ref-type name="Journal Article"&gt;17&lt;/ref-type&gt;&lt;contributors&gt;&lt;authors&gt;&lt;author&gt;Nordeng, H.&lt;/author&gt;&lt;author&gt;Koren, G.&lt;/author&gt;&lt;author&gt;Einarson, A.&lt;/author&gt;&lt;/authors&gt;&lt;/contributors&gt;&lt;titles&gt;&lt;title&gt;Pregnant women’s beliefs about medications—a study among 866 Norwegian women&lt;/title&gt;&lt;secondary-title&gt;The Annals of Pharmacotherapy&lt;/secondary-title&gt;&lt;/titles&gt;&lt;pages&gt;1478-1484&lt;/pages&gt;&lt;volume&gt;44&lt;/volume&gt;&lt;number&gt;9&lt;/number&gt;&lt;dates&gt;&lt;year&gt;2010a&lt;/year&gt;&lt;/dates&gt;&lt;urls&gt;&lt;/urls&gt;&lt;/record&gt;&lt;/Cite&gt;&lt;/EndNote&gt;</w:instrText>
      </w:r>
      <w:r>
        <w:fldChar w:fldCharType="separate"/>
      </w:r>
      <w:r>
        <w:rPr>
          <w:noProof/>
        </w:rPr>
        <w:t>(Mashayekhi, Dilmaghanizadeh, Fardiazar, Bamdad-Moghadam, &amp; Ghandforoush-Sattari, 2009; Nordeng, Koren, &amp; Einarson, 2010a)</w:t>
      </w:r>
      <w:r>
        <w:fldChar w:fldCharType="end"/>
      </w:r>
      <w:r>
        <w:t xml:space="preserve">. The source of information for women regarding medication use during pregnancy is unclear, although </w:t>
      </w:r>
      <w:r>
        <w:fldChar w:fldCharType="begin"/>
      </w:r>
      <w:r>
        <w:instrText xml:space="preserve"> ADDIN EN.CITE &lt;EndNote&gt;&lt;Cite&gt;&lt;Author&gt;Santucci&lt;/Author&gt;&lt;Year&gt;2010&lt;/Year&gt;&lt;RecNum&gt;8&lt;/RecNum&gt;&lt;DisplayText&gt;(Santucci, Gold, Akers, Borrero, &amp;amp; Schwarz, 2010)&lt;/DisplayText&gt;&lt;record&gt;&lt;rec-number&gt;8&lt;/rec-number&gt;&lt;foreign-keys&gt;&lt;key app="EN" db-id="fxvse5e9f2vspqefz0lxfas75f905w9p09v2"&gt;8&lt;/key&gt;&lt;/foreign-keys&gt;&lt;ref-type name="Journal Article"&gt;17&lt;/ref-type&gt;&lt;contributors&gt;&lt;authors&gt;&lt;author&gt;Santucci, A.K.&lt;/author&gt;&lt;author&gt;Gold, M.A.&lt;/author&gt;&lt;author&gt;Akers, A.Y.&lt;/author&gt;&lt;author&gt;Borrero, S.&lt;/author&gt;&lt;author&gt;Schwarz, E.B.&lt;/author&gt;&lt;/authors&gt;&lt;/contributors&gt;&lt;titles&gt;&lt;title&gt;Women’s perspectives on counseling about risks for medication-induced birth defects. Birth Defects Research. Part A&lt;/title&gt;&lt;secondary-title&gt;Clinical and Molecular Teratology&lt;/secondary-title&gt;&lt;/titles&gt;&lt;pages&gt;64-69&lt;/pages&gt;&lt;volume&gt;88&lt;/volume&gt;&lt;number&gt;1&lt;/number&gt;&lt;dates&gt;&lt;year&gt;2010&lt;/year&gt;&lt;/dates&gt;&lt;urls&gt;&lt;/urls&gt;&lt;/record&gt;&lt;/Cite&gt;&lt;/EndNote&gt;</w:instrText>
      </w:r>
      <w:r>
        <w:fldChar w:fldCharType="separate"/>
      </w:r>
      <w:r>
        <w:rPr>
          <w:noProof/>
        </w:rPr>
        <w:t>(Santucci, Gold, Akers, Borrero, &amp; Schwarz, 2010)</w:t>
      </w:r>
      <w:r>
        <w:fldChar w:fldCharType="end"/>
      </w:r>
      <w:r>
        <w:t xml:space="preserve"> reported that many women of childbearing age believe that health care providers should initiate the conversation and provide information on the risks associated with medication use. Nonetheless, it is not clear that providers are always communicating that information. As </w:t>
      </w:r>
      <w:r>
        <w:fldChar w:fldCharType="begin"/>
      </w:r>
      <w:r>
        <w:instrText xml:space="preserve"> ADDIN EN.CITE &lt;EndNote&gt;&lt;Cite AuthorYear="1"&gt;&lt;Author&gt;Pashley&lt;/Author&gt;&lt;Year&gt;2009&lt;/Year&gt;&lt;RecNum&gt;9&lt;/RecNum&gt;&lt;DisplayText&gt;Pashley and O’Donoghue (2009)&lt;/DisplayText&gt;&lt;record&gt;&lt;rec-number&gt;9&lt;/rec-number&gt;&lt;foreign-keys&gt;&lt;key app="EN" db-id="fxvse5e9f2vspqefz0lxfas75f905w9p09v2"&gt;9&lt;/key&gt;&lt;/foreign-keys&gt;&lt;ref-type name="Journal Article"&gt;17&lt;/ref-type&gt;&lt;contributors&gt;&lt;authors&gt;&lt;author&gt;Pashley, S.&lt;/author&gt;&lt;author&gt;O’Donoghue, M.F.&lt;/author&gt;&lt;/authors&gt;&lt;/contributors&gt;&lt;titles&gt;&lt;title&gt;The safety of anti-epileptic drug regimens: A qualitative study of factors determining the success of counselling women before conception&lt;/title&gt;&lt;secondary-title&gt;The Journal of Family Planning and Reproductive Health Care/Faculty of Family Planning &amp;amp; Reproductive Health Care, Royal College of Obstetricians &amp;amp; Gynaecologists&lt;/secondary-title&gt;&lt;/titles&gt;&lt;pages&gt;153-156&lt;/pages&gt;&lt;volume&gt;35&lt;/volume&gt;&lt;number&gt;3&lt;/number&gt;&lt;dates&gt;&lt;year&gt;2009&lt;/year&gt;&lt;/dates&gt;&lt;urls&gt;&lt;/urls&gt;&lt;/record&gt;&lt;/Cite&gt;&lt;/EndNote&gt;</w:instrText>
      </w:r>
      <w:r>
        <w:fldChar w:fldCharType="separate"/>
      </w:r>
      <w:r>
        <w:rPr>
          <w:noProof/>
        </w:rPr>
        <w:t>Pashley and O’Donoghue (2009)</w:t>
      </w:r>
      <w:r>
        <w:fldChar w:fldCharType="end"/>
      </w:r>
      <w:r>
        <w:t xml:space="preserve"> reported, the majority of women in their study did not feel that their general practitioner provided adequate advice on medication use during pregnancy.</w:t>
      </w:r>
    </w:p>
    <w:p w:rsidR="00B56707" w:rsidRDefault="00B56707" w:rsidP="00B56707">
      <w:pPr>
        <w:pStyle w:val="BodyText1psg"/>
        <w:ind w:firstLine="0"/>
      </w:pPr>
      <w:r>
        <w:t xml:space="preserve">Information is limited on whether and how much health care providers share information about medication use. However, one study found that 90% of obstetrician-gynecologists reported that all or many of their pregnant patients asked about the effects of prescription medication on the fetus </w:t>
      </w:r>
      <w:r>
        <w:fldChar w:fldCharType="begin"/>
      </w:r>
      <w:r>
        <w:instrText xml:space="preserve"> ADDIN EN.CITE &lt;EndNote&gt;&lt;Cite&gt;&lt;Author&gt;Morgan&lt;/Author&gt;&lt;Year&gt;2010a&lt;/Year&gt;&lt;RecNum&gt;12&lt;/RecNum&gt;&lt;DisplayText&gt;(Morgan, Cragan, Goldenberg, Rasmussen, &amp;amp; Schulkin, 2010a)&lt;/DisplayText&gt;&lt;record&gt;&lt;rec-number&gt;12&lt;/rec-number&gt;&lt;foreign-keys&gt;&lt;key app="EN" db-id="fxvse5e9f2vspqefz0lxfas75f905w9p09v2"&gt;12&lt;/key&gt;&lt;/foreign-keys&gt;&lt;ref-type name="Journal Article"&gt;17&lt;/ref-type&gt;&lt;contributors&gt;&lt;authors&gt;&lt;author&gt;Morgan, M.A.&lt;/author&gt;&lt;author&gt;Cragan, J.D.&lt;/author&gt;&lt;author&gt;Goldenberg, R.L.&lt;/author&gt;&lt;author&gt;Rasmussen, S.A.&lt;/author&gt;&lt;author&gt;Schulkin, J.&lt;/author&gt;&lt;/authors&gt;&lt;/contributors&gt;&lt;titles&gt;&lt;title&gt;Obstetrician-gynaecologist knowledge of and access to information about the risks of medication use during pregnancy&lt;/title&gt;&lt;secondary-title&gt;The Journal of Maternal-Fetal &amp;amp; Neonatal Medicine: The Official Journal of the European Association of Perinatal Medicine, the Federation of Asia and Oceania Perinatal Societies, the International Society of Perinatal Obstetricians&lt;/secondary-title&gt;&lt;/titles&gt;&lt;pages&gt;1143-1150&lt;/pages&gt;&lt;volume&gt;23&lt;/volume&gt;&lt;number&gt;10&lt;/number&gt;&lt;dates&gt;&lt;year&gt;2010a&lt;/year&gt;&lt;/dates&gt;&lt;urls&gt;&lt;/urls&gt;&lt;/record&gt;&lt;/Cite&gt;&lt;/EndNote&gt;</w:instrText>
      </w:r>
      <w:r>
        <w:fldChar w:fldCharType="separate"/>
      </w:r>
      <w:r>
        <w:rPr>
          <w:noProof/>
        </w:rPr>
        <w:t>(Morgan, Cragan, Goldenberg, Rasmussen, &amp; Schulkin, 2010a)</w:t>
      </w:r>
      <w:r>
        <w:fldChar w:fldCharType="end"/>
      </w:r>
      <w:r>
        <w:fldChar w:fldCharType="begin"/>
      </w:r>
      <w:r>
        <w:fldChar w:fldCharType="separate"/>
      </w:r>
      <w:r>
        <w:t>{Morgan, 2010a #12}</w:t>
      </w:r>
      <w:r>
        <w:fldChar w:fldCharType="end"/>
      </w:r>
      <w:r>
        <w:t xml:space="preserve">. Similarly, 98% of physicians always asked about prescription medication use, and 86% always asked about OTC medication use during a patient’s initial prenatal appointment </w:t>
      </w:r>
      <w:r>
        <w:fldChar w:fldCharType="begin"/>
      </w:r>
      <w:r>
        <w:instrText xml:space="preserve"> ADDIN EN.CITE &lt;EndNote&gt;&lt;Cite&gt;&lt;Author&gt;Morgan&lt;/Author&gt;&lt;Year&gt;2010b&lt;/Year&gt;&lt;RecNum&gt;10&lt;/RecNum&gt;&lt;DisplayText&gt;(Morgan, Cragan, Goldenberg, Rasmussen, &amp;amp; Schulkin, 2010b)&lt;/DisplayText&gt;&lt;record&gt;&lt;rec-number&gt;10&lt;/rec-number&gt;&lt;foreign-keys&gt;&lt;key app="EN" db-id="fxvse5e9f2vspqefz0lxfas75f905w9p09v2"&gt;10&lt;/key&gt;&lt;/foreign-keys&gt;&lt;ref-type name="Journal Article"&gt;17&lt;/ref-type&gt;&lt;contributors&gt;&lt;authors&gt;&lt;author&gt;Morgan, M.A.&lt;/author&gt;&lt;author&gt;Cragan, J.D.&lt;/author&gt;&lt;author&gt;Goldenberg, R.L.&lt;/author&gt;&lt;author&gt;Rasmussen, S.A.&lt;/author&gt;&lt;author&gt;Schulkin, J. &lt;/author&gt;&lt;/authors&gt;&lt;/contributors&gt;&lt;titles&gt;&lt;title&gt;Management of prescription and nonprescription drug use during pregnancy&lt;/title&gt;&lt;secondary-title&gt;The Journal of Maternal-Fetal &amp;amp; Neonatal Medicine: The Official Journal of the European Association of Perinatal Medicine, the Federation of Asia and Oceania Perinatal Societies, the International Society of Perinatal Obstetricians&lt;/secondary-title&gt;&lt;/titles&gt;&lt;pages&gt;813-819&lt;/pages&gt;&lt;volume&gt;23&lt;/volume&gt;&lt;number&gt;8&lt;/number&gt;&lt;dates&gt;&lt;year&gt;2010b&lt;/year&gt;&lt;/dates&gt;&lt;urls&gt;&lt;/urls&gt;&lt;/record&gt;&lt;/Cite&gt;&lt;/EndNote&gt;</w:instrText>
      </w:r>
      <w:r>
        <w:fldChar w:fldCharType="separate"/>
      </w:r>
      <w:r>
        <w:rPr>
          <w:noProof/>
        </w:rPr>
        <w:t>(Morgan, Cragan, Goldenberg, Rasmussen, &amp; Schulkin, 2010b)</w:t>
      </w:r>
      <w:r>
        <w:fldChar w:fldCharType="end"/>
      </w:r>
      <w:r>
        <w:t xml:space="preserve">. At the same time, </w:t>
      </w:r>
      <w:r>
        <w:fldChar w:fldCharType="begin"/>
      </w:r>
      <w:r>
        <w:instrText xml:space="preserve"> ADDIN EN.CITE &lt;EndNote&gt;&lt;Cite AuthorYear="1"&gt;&lt;Author&gt;Eisenberg&lt;/Author&gt;&lt;Year&gt;2010&lt;/Year&gt;&lt;RecNum&gt;11&lt;/RecNum&gt;&lt;DisplayText&gt;Eisenberg, Stika, Desai, Baker, and Yost (2010)&lt;/DisplayText&gt;&lt;record&gt;&lt;rec-number&gt;11&lt;/rec-number&gt;&lt;foreign-keys&gt;&lt;key app="EN" db-id="fxvse5e9f2vspqefz0lxfas75f905w9p09v2"&gt;11&lt;/key&gt;&lt;/foreign-keys&gt;&lt;ref-type name="Journal Article"&gt;17&lt;/ref-type&gt;&lt;contributors&gt;&lt;authors&gt;&lt;author&gt;Eisenberg, D.L.&lt;/author&gt;&lt;author&gt;Stika, C.&lt;/author&gt;&lt;author&gt;Desai, A.&lt;/author&gt;&lt;author&gt;Baker, D.&lt;/author&gt;&lt;author&gt;Yost, K.J.&lt;/author&gt;&lt;/authors&gt;&lt;/contributors&gt;&lt;titles&gt;&lt;title&gt;Providing contraception for women taking potentially teratogenic medications: A survey of internal medicine physicians’ knowledge, attitudes and barriers&lt;/title&gt;&lt;secondary-title&gt;Journal of General Internal Medicine&lt;/secondary-title&gt;&lt;/titles&gt;&lt;pages&gt;291-297&lt;/pages&gt;&lt;volume&gt;25&lt;/volume&gt;&lt;number&gt;4&lt;/number&gt;&lt;dates&gt;&lt;year&gt;2010&lt;/year&gt;&lt;/dates&gt;&lt;urls&gt;&lt;/urls&gt;&lt;/record&gt;&lt;/Cite&gt;&lt;/EndNote&gt;</w:instrText>
      </w:r>
      <w:r>
        <w:fldChar w:fldCharType="separate"/>
      </w:r>
      <w:r>
        <w:rPr>
          <w:noProof/>
        </w:rPr>
        <w:t>Eisenberg, Stika, Desai, Baker, and Yost (2010)</w:t>
      </w:r>
      <w:r>
        <w:fldChar w:fldCharType="end"/>
      </w:r>
      <w:r>
        <w:t xml:space="preserve"> reported that 61% of primary care providers felt that medical school inadequately prepared them to deal with teratogenic medications, and 41% of obstetrician-gynecologists reported that they prescribed a medication without having sufficient information about its effects on the fetus </w:t>
      </w:r>
      <w:r>
        <w:fldChar w:fldCharType="begin"/>
      </w:r>
      <w:r>
        <w:instrText xml:space="preserve"> ADDIN EN.CITE &lt;EndNote&gt;&lt;Cite&gt;&lt;Author&gt;Morgan&lt;/Author&gt;&lt;Year&gt;2010b&lt;/Year&gt;&lt;RecNum&gt;10&lt;/RecNum&gt;&lt;DisplayText&gt;(Morgan et al., 2010b)&lt;/DisplayText&gt;&lt;record&gt;&lt;rec-number&gt;10&lt;/rec-number&gt;&lt;foreign-keys&gt;&lt;key app="EN" db-id="fxvse5e9f2vspqefz0lxfas75f905w9p09v2"&gt;10&lt;/key&gt;&lt;/foreign-keys&gt;&lt;ref-type name="Journal Article"&gt;17&lt;/ref-type&gt;&lt;contributors&gt;&lt;authors&gt;&lt;author&gt;Morgan, M.A.&lt;/author&gt;&lt;author&gt;Cragan, J.D.&lt;/author&gt;&lt;author&gt;Goldenberg, R.L.&lt;/author&gt;&lt;author&gt;Rasmussen, S.A.&lt;/author&gt;&lt;author&gt;Schulkin, J. &lt;/author&gt;&lt;/authors&gt;&lt;/contributors&gt;&lt;titles&gt;&lt;title&gt;Management of prescription and nonprescription drug use during pregnancy&lt;/title&gt;&lt;secondary-title&gt;The Journal of Maternal-Fetal &amp;amp; Neonatal Medicine: The Official Journal of the European Association of Perinatal Medicine, the Federation of Asia and Oceania Perinatal Societies, the International Society of Perinatal Obstetricians&lt;/secondary-title&gt;&lt;/titles&gt;&lt;pages&gt;813-819&lt;/pages&gt;&lt;volume&gt;23&lt;/volume&gt;&lt;number&gt;8&lt;/number&gt;&lt;dates&gt;&lt;year&gt;2010b&lt;/year&gt;&lt;/dates&gt;&lt;urls&gt;&lt;/urls&gt;&lt;/record&gt;&lt;/Cite&gt;&lt;/EndNote&gt;</w:instrText>
      </w:r>
      <w:r>
        <w:fldChar w:fldCharType="separate"/>
      </w:r>
      <w:r>
        <w:rPr>
          <w:noProof/>
        </w:rPr>
        <w:t>(Morgan et al., 2010b)</w:t>
      </w:r>
      <w:r>
        <w:fldChar w:fldCharType="end"/>
      </w:r>
      <w:r>
        <w:t xml:space="preserve">. Barriers to counseling women about teratogenic risks include concerns about liability, difficulty finding information on drug safety during pregnancy, and the risk that patients may not use necessary medications due to anxiety about teratogenic risks </w:t>
      </w:r>
      <w:r>
        <w:fldChar w:fldCharType="begin"/>
      </w:r>
      <w:r>
        <w:instrText xml:space="preserve"> ADDIN EN.CITE &lt;EndNote&gt;&lt;Cite&gt;&lt;Author&gt;Eisenberg&lt;/Author&gt;&lt;Year&gt;2010&lt;/Year&gt;&lt;RecNum&gt;11&lt;/RecNum&gt;&lt;DisplayText&gt;(Eisenberg et al., 2010; Morgan et al., 2010b)&lt;/DisplayText&gt;&lt;record&gt;&lt;rec-number&gt;11&lt;/rec-number&gt;&lt;foreign-keys&gt;&lt;key app="EN" db-id="fxvse5e9f2vspqefz0lxfas75f905w9p09v2"&gt;11&lt;/key&gt;&lt;/foreign-keys&gt;&lt;ref-type name="Journal Article"&gt;17&lt;/ref-type&gt;&lt;contributors&gt;&lt;authors&gt;&lt;author&gt;Eisenberg, D.L.&lt;/author&gt;&lt;author&gt;Stika, C.&lt;/author&gt;&lt;author&gt;Desai, A.&lt;/author&gt;&lt;author&gt;Baker, D.&lt;/author&gt;&lt;author&gt;Yost, K.J.&lt;/author&gt;&lt;/authors&gt;&lt;/contributors&gt;&lt;titles&gt;&lt;title&gt;Providing contraception for women taking potentially teratogenic medications: A survey of internal medicine physicians’ knowledge, attitudes and barriers&lt;/title&gt;&lt;secondary-title&gt;Journal of General Internal Medicine&lt;/secondary-title&gt;&lt;/titles&gt;&lt;pages&gt;291-297&lt;/pages&gt;&lt;volume&gt;25&lt;/volume&gt;&lt;number&gt;4&lt;/number&gt;&lt;dates&gt;&lt;year&gt;2010&lt;/year&gt;&lt;/dates&gt;&lt;urls&gt;&lt;/urls&gt;&lt;/record&gt;&lt;/Cite&gt;&lt;Cite&gt;&lt;Author&gt;Morgan&lt;/Author&gt;&lt;Year&gt;2010b&lt;/Year&gt;&lt;RecNum&gt;10&lt;/RecNum&gt;&lt;record&gt;&lt;rec-number&gt;10&lt;/rec-number&gt;&lt;foreign-keys&gt;&lt;key app="EN" db-id="fxvse5e9f2vspqefz0lxfas75f905w9p09v2"&gt;10&lt;/key&gt;&lt;/foreign-keys&gt;&lt;ref-type name="Journal Article"&gt;17&lt;/ref-type&gt;&lt;contributors&gt;&lt;authors&gt;&lt;author&gt;Morgan, M.A.&lt;/author&gt;&lt;author&gt;Cragan, J.D.&lt;/author&gt;&lt;author&gt;Goldenberg, R.L.&lt;/author&gt;&lt;author&gt;Rasmussen, S.A.&lt;/author&gt;&lt;author&gt;Schulkin, J. &lt;/author&gt;&lt;/authors&gt;&lt;/contributors&gt;&lt;titles&gt;&lt;title&gt;Management of prescription and nonprescription drug use during pregnancy&lt;/title&gt;&lt;secondary-title&gt;The Journal of Maternal-Fetal &amp;amp; Neonatal Medicine: The Official Journal of the European Association of Perinatal Medicine, the Federation of Asia and Oceania Perinatal Societies, the International Society of Perinatal Obstetricians&lt;/secondary-title&gt;&lt;/titles&gt;&lt;pages&gt;813-819&lt;/pages&gt;&lt;volume&gt;23&lt;/volume&gt;&lt;number&gt;8&lt;/number&gt;&lt;dates&gt;&lt;year&gt;2010b&lt;/year&gt;&lt;/dates&gt;&lt;urls&gt;&lt;/urls&gt;&lt;/record&gt;&lt;/Cite&gt;&lt;/EndNote&gt;</w:instrText>
      </w:r>
      <w:r>
        <w:fldChar w:fldCharType="separate"/>
      </w:r>
      <w:r>
        <w:rPr>
          <w:noProof/>
        </w:rPr>
        <w:t>(Eisenberg et al., 2010; Morgan et al., 2010b)</w:t>
      </w:r>
      <w:r>
        <w:fldChar w:fldCharType="end"/>
      </w:r>
      <w:r>
        <w:t>.</w:t>
      </w:r>
    </w:p>
    <w:p w:rsidR="00B56707" w:rsidRPr="00E0720A" w:rsidRDefault="00B56707" w:rsidP="00B56707">
      <w:pPr>
        <w:pStyle w:val="BodyText1psg"/>
        <w:ind w:firstLine="0"/>
      </w:pPr>
      <w:r>
        <w:t xml:space="preserve">The purpose of this study is to conduct formative research with women of childbearing age (18–44) to assess their knowledge, awareness, beliefs, and access to information about medication use during pregnancy. </w:t>
      </w:r>
      <w:r w:rsidRPr="00D13404">
        <w:t xml:space="preserve">Specifically, </w:t>
      </w:r>
      <w:r>
        <w:t>our</w:t>
      </w:r>
      <w:r w:rsidRPr="00D13404">
        <w:t xml:space="preserve"> research will focus on learning </w:t>
      </w:r>
      <w:r>
        <w:t>how women with chronic or acute conditions make decisions about medication use during pregnancy, including what sources of information they identify as credible.</w:t>
      </w:r>
      <w:r w:rsidR="00547E94">
        <w:t xml:space="preserve"> </w:t>
      </w:r>
    </w:p>
    <w:p w:rsidR="007B3074" w:rsidRPr="001D0685" w:rsidRDefault="007B3074" w:rsidP="007B3074">
      <w:pPr>
        <w:spacing w:after="0"/>
        <w:rPr>
          <w:rFonts w:ascii="Times New Roman" w:hAnsi="Times New Roman" w:cs="Times New Roman"/>
          <w:sz w:val="24"/>
          <w:szCs w:val="24"/>
        </w:rPr>
      </w:pPr>
    </w:p>
    <w:p w:rsidR="00B56707" w:rsidRDefault="00B56707" w:rsidP="007E2E44">
      <w:pPr>
        <w:spacing w:after="0"/>
        <w:rPr>
          <w:rFonts w:ascii="Times New Roman" w:hAnsi="Times New Roman" w:cs="Times New Roman"/>
          <w:b/>
          <w:sz w:val="24"/>
          <w:szCs w:val="24"/>
        </w:rPr>
      </w:pPr>
    </w:p>
    <w:p w:rsidR="00B56707" w:rsidRDefault="00B56707" w:rsidP="007E2E44">
      <w:pPr>
        <w:spacing w:after="0"/>
        <w:rPr>
          <w:rFonts w:ascii="Times New Roman" w:hAnsi="Times New Roman" w:cs="Times New Roman"/>
          <w:b/>
          <w:sz w:val="24"/>
          <w:szCs w:val="24"/>
        </w:rPr>
      </w:pPr>
    </w:p>
    <w:p w:rsidR="00B56707" w:rsidRDefault="00B56707" w:rsidP="007E2E44">
      <w:pPr>
        <w:spacing w:after="0"/>
        <w:rPr>
          <w:rFonts w:ascii="Times New Roman" w:hAnsi="Times New Roman" w:cs="Times New Roman"/>
          <w:b/>
          <w:sz w:val="24"/>
          <w:szCs w:val="24"/>
        </w:rPr>
      </w:pPr>
    </w:p>
    <w:p w:rsidR="009B5C75" w:rsidRDefault="009B5C75" w:rsidP="007E2E44">
      <w:pPr>
        <w:spacing w:after="0"/>
        <w:rPr>
          <w:rFonts w:ascii="Times New Roman" w:hAnsi="Times New Roman" w:cs="Times New Roman"/>
          <w:b/>
          <w:sz w:val="24"/>
          <w:szCs w:val="24"/>
        </w:rPr>
      </w:pPr>
    </w:p>
    <w:p w:rsidR="006102DA" w:rsidRPr="001D0685" w:rsidRDefault="006102DA" w:rsidP="007E2E44">
      <w:pPr>
        <w:spacing w:after="0"/>
        <w:rPr>
          <w:rFonts w:ascii="Times New Roman" w:hAnsi="Times New Roman" w:cs="Times New Roman"/>
          <w:b/>
          <w:sz w:val="24"/>
          <w:szCs w:val="24"/>
        </w:rPr>
      </w:pPr>
      <w:r w:rsidRPr="001D0685">
        <w:rPr>
          <w:rFonts w:ascii="Times New Roman" w:hAnsi="Times New Roman" w:cs="Times New Roman"/>
          <w:b/>
          <w:sz w:val="24"/>
          <w:szCs w:val="24"/>
        </w:rPr>
        <w:t>Privacy Impact Assessment</w:t>
      </w:r>
    </w:p>
    <w:p w:rsidR="00D36AB8" w:rsidRPr="001D0685" w:rsidRDefault="00D36AB8" w:rsidP="007E2E44">
      <w:pPr>
        <w:spacing w:after="0"/>
        <w:rPr>
          <w:rFonts w:ascii="Times New Roman" w:hAnsi="Times New Roman" w:cs="Times New Roman"/>
          <w:b/>
          <w:sz w:val="24"/>
          <w:szCs w:val="24"/>
        </w:rPr>
      </w:pPr>
    </w:p>
    <w:p w:rsidR="006F117B" w:rsidRDefault="006102DA" w:rsidP="007E2E44">
      <w:pPr>
        <w:spacing w:after="0"/>
        <w:rPr>
          <w:rFonts w:ascii="Times New Roman" w:hAnsi="Times New Roman" w:cs="Times New Roman"/>
          <w:sz w:val="24"/>
          <w:szCs w:val="24"/>
          <w:u w:val="single"/>
        </w:rPr>
      </w:pPr>
      <w:r w:rsidRPr="001D0685">
        <w:rPr>
          <w:rFonts w:ascii="Times New Roman" w:hAnsi="Times New Roman" w:cs="Times New Roman"/>
          <w:sz w:val="24"/>
          <w:szCs w:val="24"/>
          <w:u w:val="single"/>
        </w:rPr>
        <w:t>Overview of the Data Collection System</w:t>
      </w:r>
    </w:p>
    <w:p w:rsidR="00547E94" w:rsidRDefault="00547E94" w:rsidP="00D37F3C">
      <w:pPr>
        <w:pStyle w:val="BodyText1psg"/>
        <w:ind w:firstLine="0"/>
      </w:pPr>
      <w:r>
        <w:t xml:space="preserve">We propose conducting a study with two components, consisting of virtual focus groups and follow-up interviews. Virtual focus groups have many benefits, including cost effectiveness, anonymity, and ability to reach a sample across national markets. However, there is </w:t>
      </w:r>
      <w:r w:rsidR="00D87F45">
        <w:t>the</w:t>
      </w:r>
      <w:r>
        <w:t xml:space="preserve"> potential for a loss of in-depth data obtained through virtual focus groups as opposed to in-person focus groups. To account for the potential loss of depth, we plan to conduct follow-up</w:t>
      </w:r>
      <w:r w:rsidR="00D87F45">
        <w:t xml:space="preserve"> telephone</w:t>
      </w:r>
      <w:r>
        <w:t xml:space="preserve"> interviews with 1-2 </w:t>
      </w:r>
      <w:r w:rsidR="00D87F45">
        <w:t>participants in each focus group to probe deeper on issues that emerge during the focus groups.</w:t>
      </w:r>
    </w:p>
    <w:p w:rsidR="00D37F3C" w:rsidRDefault="00547E94" w:rsidP="00D37F3C">
      <w:pPr>
        <w:pStyle w:val="BodyText1psg"/>
        <w:ind w:firstLine="0"/>
      </w:pPr>
      <w:r>
        <w:t>In the first component, s</w:t>
      </w:r>
      <w:r w:rsidR="00D37F3C">
        <w:t xml:space="preserve">ix virtual focus groups </w:t>
      </w:r>
      <w:r w:rsidR="000C5C2E">
        <w:t xml:space="preserve">(VFGs) </w:t>
      </w:r>
      <w:r w:rsidR="00093AC5">
        <w:t xml:space="preserve">and </w:t>
      </w:r>
      <w:r w:rsidR="0020622C">
        <w:t>follow-up telephone interview</w:t>
      </w:r>
      <w:r w:rsidR="00093AC5">
        <w:t>s</w:t>
      </w:r>
      <w:r w:rsidR="0020622C">
        <w:t xml:space="preserve"> </w:t>
      </w:r>
      <w:r w:rsidR="00093AC5">
        <w:t xml:space="preserve">with up to 12 participants </w:t>
      </w:r>
      <w:r w:rsidR="00D37F3C">
        <w:t xml:space="preserve">will be conducted with women of childbearing age (18-44) via the Internet rather than in person. The virtual focus groups are targeted to one of six audience segments. Table 1 presents the proposed audience segmentation scheme. </w:t>
      </w:r>
    </w:p>
    <w:p w:rsidR="00D37F3C" w:rsidRDefault="005961FF" w:rsidP="00D37F3C">
      <w:pPr>
        <w:pStyle w:val="BodyText1psg"/>
        <w:ind w:firstLine="0"/>
      </w:pPr>
      <w:r>
        <w:t>Table 1: Focus Group Segmentation</w:t>
      </w:r>
      <w:r w:rsidR="00C550D8">
        <w:t xml:space="preserve"> (n = 6 focus groups)</w:t>
      </w:r>
    </w:p>
    <w:tbl>
      <w:tblPr>
        <w:tblStyle w:val="TableGrid"/>
        <w:tblW w:w="0" w:type="auto"/>
        <w:tblLook w:val="04A0" w:firstRow="1" w:lastRow="0" w:firstColumn="1" w:lastColumn="0" w:noHBand="0" w:noVBand="1"/>
      </w:tblPr>
      <w:tblGrid>
        <w:gridCol w:w="4574"/>
        <w:gridCol w:w="2545"/>
        <w:gridCol w:w="1719"/>
      </w:tblGrid>
      <w:tr w:rsidR="00C550D8" w:rsidTr="0020622C">
        <w:trPr>
          <w:trHeight w:val="359"/>
        </w:trPr>
        <w:tc>
          <w:tcPr>
            <w:tcW w:w="4574" w:type="dxa"/>
          </w:tcPr>
          <w:p w:rsidR="00C550D8" w:rsidRPr="00B270C2" w:rsidRDefault="00C550D8" w:rsidP="00D37F3C">
            <w:pPr>
              <w:pStyle w:val="BodyText1psg"/>
              <w:ind w:firstLine="0"/>
              <w:rPr>
                <w:b/>
              </w:rPr>
            </w:pPr>
            <w:r w:rsidRPr="00B270C2">
              <w:rPr>
                <w:b/>
              </w:rPr>
              <w:t>Respondents</w:t>
            </w:r>
          </w:p>
        </w:tc>
        <w:tc>
          <w:tcPr>
            <w:tcW w:w="2545" w:type="dxa"/>
          </w:tcPr>
          <w:p w:rsidR="00C550D8" w:rsidRPr="00B270C2" w:rsidRDefault="00C550D8" w:rsidP="00C550D8">
            <w:pPr>
              <w:pStyle w:val="TableText"/>
              <w:rPr>
                <w:b/>
              </w:rPr>
            </w:pPr>
            <w:r w:rsidRPr="00B270C2">
              <w:rPr>
                <w:b/>
              </w:rPr>
              <w:t>Medication Status</w:t>
            </w:r>
          </w:p>
        </w:tc>
        <w:tc>
          <w:tcPr>
            <w:tcW w:w="1719" w:type="dxa"/>
          </w:tcPr>
          <w:p w:rsidR="00C550D8" w:rsidRPr="00B270C2" w:rsidRDefault="00B270C2" w:rsidP="00C550D8">
            <w:pPr>
              <w:pStyle w:val="TableText"/>
              <w:rPr>
                <w:b/>
              </w:rPr>
            </w:pPr>
            <w:r w:rsidRPr="00B270C2">
              <w:rPr>
                <w:b/>
              </w:rPr>
              <w:t>Number of Focus Groups</w:t>
            </w:r>
          </w:p>
        </w:tc>
      </w:tr>
      <w:tr w:rsidR="00B270C2" w:rsidTr="0020622C">
        <w:trPr>
          <w:trHeight w:val="291"/>
        </w:trPr>
        <w:tc>
          <w:tcPr>
            <w:tcW w:w="4574" w:type="dxa"/>
            <w:vMerge w:val="restart"/>
          </w:tcPr>
          <w:p w:rsidR="00B270C2" w:rsidRPr="000620FD" w:rsidRDefault="00B270C2" w:rsidP="00D37F3C">
            <w:pPr>
              <w:pStyle w:val="BodyText1psg"/>
              <w:ind w:firstLine="0"/>
            </w:pPr>
            <w:r w:rsidRPr="000620FD">
              <w:t xml:space="preserve">Women </w:t>
            </w:r>
            <w:r>
              <w:t xml:space="preserve">age 18-44 </w:t>
            </w:r>
            <w:r w:rsidRPr="000620FD">
              <w:t>planning to become pregnant in next 1</w:t>
            </w:r>
            <w:r>
              <w:t>–</w:t>
            </w:r>
            <w:r w:rsidRPr="000620FD">
              <w:t>2 years</w:t>
            </w:r>
            <w:r>
              <w:t xml:space="preserve"> who . . .</w:t>
            </w:r>
          </w:p>
        </w:tc>
        <w:tc>
          <w:tcPr>
            <w:tcW w:w="2545" w:type="dxa"/>
          </w:tcPr>
          <w:p w:rsidR="00B270C2" w:rsidRPr="000620FD" w:rsidRDefault="00B270C2" w:rsidP="00C550D8">
            <w:pPr>
              <w:pStyle w:val="TableText"/>
            </w:pPr>
            <w:r w:rsidRPr="000620FD">
              <w:t>Currently take prescription pain medication for chronic pain</w:t>
            </w:r>
          </w:p>
        </w:tc>
        <w:tc>
          <w:tcPr>
            <w:tcW w:w="1719" w:type="dxa"/>
          </w:tcPr>
          <w:p w:rsidR="00B270C2" w:rsidRPr="000620FD" w:rsidRDefault="00B270C2" w:rsidP="00B270C2">
            <w:pPr>
              <w:pStyle w:val="TableText"/>
              <w:jc w:val="center"/>
            </w:pPr>
            <w:r>
              <w:t>1</w:t>
            </w:r>
          </w:p>
        </w:tc>
      </w:tr>
      <w:tr w:rsidR="00B270C2" w:rsidTr="0020622C">
        <w:trPr>
          <w:trHeight w:val="291"/>
        </w:trPr>
        <w:tc>
          <w:tcPr>
            <w:tcW w:w="4574" w:type="dxa"/>
            <w:vMerge/>
          </w:tcPr>
          <w:p w:rsidR="00B270C2" w:rsidRPr="000620FD" w:rsidRDefault="00B270C2" w:rsidP="00D37F3C">
            <w:pPr>
              <w:pStyle w:val="BodyText1psg"/>
              <w:ind w:firstLine="0"/>
            </w:pPr>
          </w:p>
        </w:tc>
        <w:tc>
          <w:tcPr>
            <w:tcW w:w="2545" w:type="dxa"/>
          </w:tcPr>
          <w:p w:rsidR="00B270C2" w:rsidRPr="00B270C2" w:rsidRDefault="00B270C2" w:rsidP="00B270C2">
            <w:pPr>
              <w:pStyle w:val="NoSpacing"/>
              <w:rPr>
                <w:rFonts w:ascii="Times New Roman" w:hAnsi="Times New Roman" w:cs="Times New Roman"/>
                <w:sz w:val="22"/>
                <w:szCs w:val="22"/>
              </w:rPr>
            </w:pPr>
            <w:r w:rsidRPr="00B270C2">
              <w:rPr>
                <w:rFonts w:ascii="Times New Roman" w:hAnsi="Times New Roman" w:cs="Times New Roman"/>
                <w:sz w:val="22"/>
                <w:szCs w:val="22"/>
              </w:rPr>
              <w:t>Currently take a prescription antidepressant</w:t>
            </w:r>
          </w:p>
        </w:tc>
        <w:tc>
          <w:tcPr>
            <w:tcW w:w="1719" w:type="dxa"/>
          </w:tcPr>
          <w:p w:rsidR="00B270C2" w:rsidRPr="000620FD" w:rsidRDefault="00B270C2" w:rsidP="00B270C2">
            <w:pPr>
              <w:pStyle w:val="BodyText1psg"/>
              <w:ind w:firstLine="0"/>
              <w:jc w:val="center"/>
            </w:pPr>
            <w:r>
              <w:t>1</w:t>
            </w:r>
          </w:p>
        </w:tc>
      </w:tr>
      <w:tr w:rsidR="00B270C2" w:rsidTr="0020622C">
        <w:trPr>
          <w:trHeight w:val="291"/>
        </w:trPr>
        <w:tc>
          <w:tcPr>
            <w:tcW w:w="4574" w:type="dxa"/>
            <w:vMerge/>
          </w:tcPr>
          <w:p w:rsidR="00B270C2" w:rsidRPr="000620FD" w:rsidRDefault="00B270C2" w:rsidP="00D37F3C">
            <w:pPr>
              <w:pStyle w:val="BodyText1psg"/>
              <w:ind w:firstLine="0"/>
            </w:pPr>
          </w:p>
        </w:tc>
        <w:tc>
          <w:tcPr>
            <w:tcW w:w="2545" w:type="dxa"/>
          </w:tcPr>
          <w:p w:rsidR="00B270C2" w:rsidRPr="000620FD" w:rsidRDefault="00B270C2" w:rsidP="00C550D8">
            <w:pPr>
              <w:pStyle w:val="TableText"/>
            </w:pPr>
            <w:r w:rsidRPr="000620FD">
              <w:t>Currently use a</w:t>
            </w:r>
            <w:r>
              <w:t xml:space="preserve"> prescription asthma medication</w:t>
            </w:r>
          </w:p>
        </w:tc>
        <w:tc>
          <w:tcPr>
            <w:tcW w:w="1719" w:type="dxa"/>
          </w:tcPr>
          <w:p w:rsidR="00B270C2" w:rsidRPr="000620FD" w:rsidRDefault="00B270C2" w:rsidP="00B270C2">
            <w:pPr>
              <w:pStyle w:val="TableText"/>
              <w:jc w:val="center"/>
            </w:pPr>
            <w:r>
              <w:t>1</w:t>
            </w:r>
          </w:p>
        </w:tc>
      </w:tr>
      <w:tr w:rsidR="00B270C2" w:rsidTr="0020622C">
        <w:trPr>
          <w:trHeight w:val="291"/>
        </w:trPr>
        <w:tc>
          <w:tcPr>
            <w:tcW w:w="4574" w:type="dxa"/>
            <w:vMerge w:val="restart"/>
          </w:tcPr>
          <w:p w:rsidR="00B270C2" w:rsidRPr="000620FD" w:rsidRDefault="00B270C2" w:rsidP="00D37F3C">
            <w:pPr>
              <w:pStyle w:val="BodyText1psg"/>
              <w:ind w:firstLine="0"/>
            </w:pPr>
            <w:r w:rsidRPr="000620FD">
              <w:t xml:space="preserve">Women </w:t>
            </w:r>
            <w:r>
              <w:t xml:space="preserve">age 18-44 </w:t>
            </w:r>
            <w:r w:rsidRPr="000620FD">
              <w:t>who had a baby within the last year who</w:t>
            </w:r>
            <w:r>
              <w:t xml:space="preserve"> . .</w:t>
            </w:r>
          </w:p>
        </w:tc>
        <w:tc>
          <w:tcPr>
            <w:tcW w:w="2545" w:type="dxa"/>
          </w:tcPr>
          <w:p w:rsidR="00B270C2" w:rsidRPr="000620FD" w:rsidRDefault="00B270C2" w:rsidP="00C550D8">
            <w:pPr>
              <w:pStyle w:val="TableText"/>
            </w:pPr>
            <w:r w:rsidRPr="000620FD">
              <w:t>Took a short term medication</w:t>
            </w:r>
            <w:r w:rsidR="00BC62B6">
              <w:t xml:space="preserve"> for a condition that arose</w:t>
            </w:r>
            <w:r w:rsidRPr="000620FD">
              <w:t xml:space="preserve"> during</w:t>
            </w:r>
            <w:r w:rsidR="00BC62B6">
              <w:t xml:space="preserve"> previous</w:t>
            </w:r>
            <w:r w:rsidRPr="000620FD">
              <w:t xml:space="preserve"> pregnancy</w:t>
            </w:r>
          </w:p>
        </w:tc>
        <w:tc>
          <w:tcPr>
            <w:tcW w:w="1719" w:type="dxa"/>
          </w:tcPr>
          <w:p w:rsidR="00B270C2" w:rsidRDefault="00B270C2" w:rsidP="00B270C2">
            <w:pPr>
              <w:pStyle w:val="TableText"/>
              <w:jc w:val="center"/>
            </w:pPr>
            <w:r>
              <w:t>1</w:t>
            </w:r>
          </w:p>
        </w:tc>
      </w:tr>
      <w:tr w:rsidR="00B270C2" w:rsidTr="0020622C">
        <w:trPr>
          <w:trHeight w:val="291"/>
        </w:trPr>
        <w:tc>
          <w:tcPr>
            <w:tcW w:w="4574" w:type="dxa"/>
            <w:vMerge/>
          </w:tcPr>
          <w:p w:rsidR="00B270C2" w:rsidRPr="000620FD" w:rsidRDefault="00B270C2" w:rsidP="00D37F3C">
            <w:pPr>
              <w:pStyle w:val="BodyText1psg"/>
              <w:ind w:firstLine="0"/>
            </w:pPr>
          </w:p>
        </w:tc>
        <w:tc>
          <w:tcPr>
            <w:tcW w:w="2545" w:type="dxa"/>
          </w:tcPr>
          <w:p w:rsidR="00B270C2" w:rsidRPr="000620FD" w:rsidRDefault="00B270C2" w:rsidP="00C550D8">
            <w:pPr>
              <w:pStyle w:val="TableText"/>
            </w:pPr>
            <w:r w:rsidRPr="000620FD">
              <w:t>Took a prescription antidepressant during pregnancy</w:t>
            </w:r>
          </w:p>
        </w:tc>
        <w:tc>
          <w:tcPr>
            <w:tcW w:w="1719" w:type="dxa"/>
          </w:tcPr>
          <w:p w:rsidR="00B270C2" w:rsidRDefault="00B270C2" w:rsidP="00B270C2">
            <w:pPr>
              <w:pStyle w:val="TableText"/>
              <w:jc w:val="center"/>
            </w:pPr>
            <w:r>
              <w:t>1</w:t>
            </w:r>
          </w:p>
        </w:tc>
      </w:tr>
      <w:tr w:rsidR="00B270C2" w:rsidTr="0020622C">
        <w:trPr>
          <w:trHeight w:val="291"/>
        </w:trPr>
        <w:tc>
          <w:tcPr>
            <w:tcW w:w="4574" w:type="dxa"/>
            <w:vMerge/>
          </w:tcPr>
          <w:p w:rsidR="00B270C2" w:rsidRPr="000620FD" w:rsidRDefault="00B270C2" w:rsidP="00D37F3C">
            <w:pPr>
              <w:pStyle w:val="BodyText1psg"/>
              <w:ind w:firstLine="0"/>
            </w:pPr>
          </w:p>
        </w:tc>
        <w:tc>
          <w:tcPr>
            <w:tcW w:w="2545" w:type="dxa"/>
          </w:tcPr>
          <w:p w:rsidR="00B270C2" w:rsidRPr="000620FD" w:rsidRDefault="00B270C2" w:rsidP="00C550D8">
            <w:pPr>
              <w:pStyle w:val="TableText"/>
            </w:pPr>
            <w:r w:rsidRPr="000620FD">
              <w:t>Used a prescription asthma medication during pregnancy</w:t>
            </w:r>
          </w:p>
        </w:tc>
        <w:tc>
          <w:tcPr>
            <w:tcW w:w="1719" w:type="dxa"/>
          </w:tcPr>
          <w:p w:rsidR="00B270C2" w:rsidRDefault="00B270C2" w:rsidP="00B270C2">
            <w:pPr>
              <w:pStyle w:val="TableText"/>
              <w:jc w:val="center"/>
            </w:pPr>
            <w:r>
              <w:t>1</w:t>
            </w:r>
          </w:p>
        </w:tc>
      </w:tr>
      <w:tr w:rsidR="00B270C2" w:rsidTr="0020622C">
        <w:trPr>
          <w:trHeight w:val="291"/>
        </w:trPr>
        <w:tc>
          <w:tcPr>
            <w:tcW w:w="4574" w:type="dxa"/>
          </w:tcPr>
          <w:p w:rsidR="00B270C2" w:rsidRPr="00B270C2" w:rsidRDefault="00B270C2" w:rsidP="00D37F3C">
            <w:pPr>
              <w:pStyle w:val="BodyText1psg"/>
              <w:ind w:firstLine="0"/>
              <w:rPr>
                <w:b/>
              </w:rPr>
            </w:pPr>
            <w:r w:rsidRPr="00B270C2">
              <w:rPr>
                <w:b/>
              </w:rPr>
              <w:lastRenderedPageBreak/>
              <w:t>TOTAL</w:t>
            </w:r>
          </w:p>
        </w:tc>
        <w:tc>
          <w:tcPr>
            <w:tcW w:w="2545" w:type="dxa"/>
          </w:tcPr>
          <w:p w:rsidR="00B270C2" w:rsidRPr="000620FD" w:rsidRDefault="00B270C2" w:rsidP="00C550D8">
            <w:pPr>
              <w:pStyle w:val="TableText"/>
            </w:pPr>
          </w:p>
        </w:tc>
        <w:tc>
          <w:tcPr>
            <w:tcW w:w="1719" w:type="dxa"/>
          </w:tcPr>
          <w:p w:rsidR="00B270C2" w:rsidRPr="00B270C2" w:rsidRDefault="00B270C2" w:rsidP="00B270C2">
            <w:pPr>
              <w:pStyle w:val="TableText"/>
              <w:jc w:val="center"/>
              <w:rPr>
                <w:b/>
              </w:rPr>
            </w:pPr>
            <w:r w:rsidRPr="00B270C2">
              <w:rPr>
                <w:b/>
              </w:rPr>
              <w:t>6 groups</w:t>
            </w:r>
          </w:p>
        </w:tc>
      </w:tr>
    </w:tbl>
    <w:p w:rsidR="0020622C" w:rsidRDefault="0020622C" w:rsidP="00D37F3C">
      <w:pPr>
        <w:pStyle w:val="BodyText1psg"/>
        <w:ind w:firstLine="0"/>
      </w:pPr>
    </w:p>
    <w:p w:rsidR="00D37F3C" w:rsidRDefault="0020622C" w:rsidP="00D37F3C">
      <w:pPr>
        <w:pStyle w:val="BodyText1psg"/>
        <w:ind w:firstLine="0"/>
      </w:pPr>
      <w:r>
        <w:t xml:space="preserve">RTI </w:t>
      </w:r>
      <w:r w:rsidR="00EB094A">
        <w:t xml:space="preserve">International </w:t>
      </w:r>
      <w:r>
        <w:t>developed a screener questionnaire that will be used to identify eligible participants for this study based on the segmentation strategy</w:t>
      </w:r>
      <w:r w:rsidRPr="00D43F5C">
        <w:t xml:space="preserve"> (</w:t>
      </w:r>
      <w:r w:rsidR="00EB094A">
        <w:t xml:space="preserve">see </w:t>
      </w:r>
      <w:r w:rsidR="00093AC5" w:rsidRPr="00EB094A">
        <w:rPr>
          <w:b/>
        </w:rPr>
        <w:t xml:space="preserve">Attachment </w:t>
      </w:r>
      <w:r w:rsidR="00EB094A" w:rsidRPr="00EB094A">
        <w:rPr>
          <w:b/>
        </w:rPr>
        <w:t>1</w:t>
      </w:r>
      <w:r w:rsidR="00093AC5" w:rsidRPr="00D43F5C">
        <w:t>)</w:t>
      </w:r>
      <w:r w:rsidRPr="00D43F5C">
        <w:t xml:space="preserve">. </w:t>
      </w:r>
      <w:r>
        <w:t>We will partner with a professional recruitment firm</w:t>
      </w:r>
      <w:r w:rsidR="00BA1567">
        <w:t xml:space="preserve">, Manthan </w:t>
      </w:r>
      <w:r w:rsidR="00D96420">
        <w:t>Panels</w:t>
      </w:r>
      <w:r w:rsidR="00BA1567">
        <w:t xml:space="preserve">, </w:t>
      </w:r>
      <w:r>
        <w:t xml:space="preserve">to recruit the specific sample of women. The recruiter will use the questionnaire to screen and assign participants to groups. </w:t>
      </w:r>
      <w:r w:rsidR="002F78D7">
        <w:t xml:space="preserve">To ensure that we have a sample that meets our criteria and also includes a mix of age, race, and income, Manthan will send targeted recruitment emails  (see </w:t>
      </w:r>
      <w:r w:rsidR="002F78D7" w:rsidRPr="002F78D7">
        <w:rPr>
          <w:b/>
        </w:rPr>
        <w:t>Attachment 16</w:t>
      </w:r>
      <w:r w:rsidR="002F78D7">
        <w:t xml:space="preserve">) to individuals in their recruitment database who represent a mix of these variables. The screening process will then serve to verify demographic variables such as these and identify participants who meet the remaining screening criteria. As a result of the targeted, pre-screening, the screener calling can assign participants to groups during the screening process.  </w:t>
      </w:r>
      <w:r>
        <w:t>The recruiter will recruit a maximum of 24 participants per group, resulting in a</w:t>
      </w:r>
      <w:r w:rsidR="008D3C97">
        <w:t>n</w:t>
      </w:r>
      <w:r w:rsidR="00BC62B6">
        <w:t xml:space="preserve"> </w:t>
      </w:r>
      <w:r w:rsidR="00A86EDF">
        <w:t>actual</w:t>
      </w:r>
      <w:r>
        <w:t xml:space="preserve"> group size of </w:t>
      </w:r>
      <w:r w:rsidR="00A86EDF">
        <w:t xml:space="preserve">no more than </w:t>
      </w:r>
      <w:r>
        <w:t>12 participants</w:t>
      </w:r>
      <w:r w:rsidR="00BC62B6" w:rsidDel="00BC62B6">
        <w:t xml:space="preserve"> </w:t>
      </w:r>
      <w:r w:rsidR="00D37F3C">
        <w:t>To conduct the virtual focus groups, we will partner with an online focus group vendor</w:t>
      </w:r>
      <w:r w:rsidR="00093AC5">
        <w:t>, Itracks,</w:t>
      </w:r>
      <w:r w:rsidR="00D37F3C">
        <w:t xml:space="preserve"> using a live chat platform. We will host the group as a real-time, live chat session, which allows the moderator to post questions and probes and allows participants to type responses visible to the moderator and all other participants. </w:t>
      </w:r>
      <w:r w:rsidR="00F50F85">
        <w:t xml:space="preserve">At the beginning of each focus group, participants will be asked to complete a consent form (see </w:t>
      </w:r>
      <w:r w:rsidR="00F50F85" w:rsidRPr="00F50F85">
        <w:rPr>
          <w:b/>
        </w:rPr>
        <w:t>Attachments 2, 2a</w:t>
      </w:r>
      <w:r w:rsidR="00F50F85">
        <w:t xml:space="preserve">). </w:t>
      </w:r>
      <w:r w:rsidR="00D37F3C">
        <w:t xml:space="preserve">These groups will last approximately 60–90 minutes and involve up to 12 participants in each group. A trained RTI moderator will lead the group and use a semi-structured moderator guide </w:t>
      </w:r>
      <w:r w:rsidR="00262E2C">
        <w:t xml:space="preserve">(see </w:t>
      </w:r>
      <w:r w:rsidR="00262E2C" w:rsidRPr="00262E2C">
        <w:rPr>
          <w:b/>
        </w:rPr>
        <w:t>Attachments 3, 3a, 5</w:t>
      </w:r>
      <w:r w:rsidR="00C82624">
        <w:rPr>
          <w:b/>
        </w:rPr>
        <w:t>,</w:t>
      </w:r>
      <w:r w:rsidR="00262E2C" w:rsidRPr="00262E2C">
        <w:rPr>
          <w:b/>
        </w:rPr>
        <w:t xml:space="preserve"> 5a</w:t>
      </w:r>
      <w:r w:rsidR="00C82624">
        <w:rPr>
          <w:b/>
        </w:rPr>
        <w:t>,</w:t>
      </w:r>
      <w:r w:rsidR="00262E2C" w:rsidRPr="00262E2C">
        <w:rPr>
          <w:b/>
        </w:rPr>
        <w:t xml:space="preserve"> 7, 7a, 9, 9a, 11, 11a, and 13, 13a</w:t>
      </w:r>
      <w:r w:rsidR="00262E2C">
        <w:t xml:space="preserve">) </w:t>
      </w:r>
      <w:r w:rsidR="00D37F3C">
        <w:t xml:space="preserve">to ask questions, probe for details, and lead participants in an open discussion. </w:t>
      </w:r>
      <w:r w:rsidR="00190D68">
        <w:t>The virtual focus groups will be semi-structured, and t</w:t>
      </w:r>
      <w:r w:rsidR="00190D68" w:rsidRPr="00B223FC">
        <w:t>he types of</w:t>
      </w:r>
      <w:r w:rsidR="00190D68">
        <w:t xml:space="preserve"> discussion</w:t>
      </w:r>
      <w:r w:rsidR="00190D68" w:rsidRPr="00B223FC">
        <w:t xml:space="preserve"> </w:t>
      </w:r>
      <w:r w:rsidR="00190D68">
        <w:t xml:space="preserve">questions will </w:t>
      </w:r>
      <w:r w:rsidR="00190D68" w:rsidRPr="00B223FC">
        <w:t xml:space="preserve">focus on </w:t>
      </w:r>
      <w:r w:rsidR="00190D68">
        <w:t xml:space="preserve">current medication use, how medication use changes during pregnancy, risk perceptions related to medication use during pregnancy, experiences with health care providers, and trusted sources and organizations for information about medication use during pregnancy. </w:t>
      </w:r>
    </w:p>
    <w:p w:rsidR="00A86EDF" w:rsidRDefault="00D37F3C" w:rsidP="00B270C2">
      <w:pPr>
        <w:pStyle w:val="BodyText1psg"/>
        <w:ind w:firstLine="0"/>
      </w:pPr>
      <w:r>
        <w:t>During the virtual groups with consumers, the RTI team will observe participants and select</w:t>
      </w:r>
      <w:r w:rsidR="00C1703C">
        <w:t xml:space="preserve"> </w:t>
      </w:r>
      <w:r>
        <w:t>those who offer compelling or noteworthy experiences and responses for follow-up interviews</w:t>
      </w:r>
      <w:r w:rsidR="00C82624">
        <w:t xml:space="preserve"> (see </w:t>
      </w:r>
      <w:r w:rsidR="00C82624" w:rsidRPr="00C82624">
        <w:rPr>
          <w:b/>
        </w:rPr>
        <w:t>Attachments 4, 6, 8, 10, 12, and 14</w:t>
      </w:r>
      <w:r w:rsidR="00C82624">
        <w:t>)</w:t>
      </w:r>
      <w:r>
        <w:t xml:space="preserve">. </w:t>
      </w:r>
      <w:r w:rsidR="00A86EDF">
        <w:t xml:space="preserve">Participants will be selected based on these criteria: </w:t>
      </w:r>
    </w:p>
    <w:p w:rsidR="00A86EDF" w:rsidRPr="008D3C97" w:rsidRDefault="00A86EDF" w:rsidP="00A86EDF">
      <w:pPr>
        <w:pStyle w:val="ListParagraph"/>
        <w:numPr>
          <w:ilvl w:val="0"/>
          <w:numId w:val="59"/>
        </w:numPr>
        <w:spacing w:after="0" w:line="240" w:lineRule="auto"/>
        <w:contextualSpacing w:val="0"/>
        <w:rPr>
          <w:rFonts w:ascii="Times New Roman" w:hAnsi="Times New Roman" w:cs="Times New Roman"/>
          <w:sz w:val="24"/>
          <w:szCs w:val="24"/>
        </w:rPr>
      </w:pPr>
      <w:r w:rsidRPr="008D3C97">
        <w:rPr>
          <w:rFonts w:ascii="Times New Roman" w:hAnsi="Times New Roman" w:cs="Times New Roman"/>
          <w:sz w:val="24"/>
          <w:szCs w:val="24"/>
        </w:rPr>
        <w:t>Actively engaged in virtual focus group;</w:t>
      </w:r>
    </w:p>
    <w:p w:rsidR="00A86EDF" w:rsidRPr="008D3C97" w:rsidRDefault="00A86EDF" w:rsidP="00A86EDF">
      <w:pPr>
        <w:pStyle w:val="ListParagraph"/>
        <w:numPr>
          <w:ilvl w:val="0"/>
          <w:numId w:val="59"/>
        </w:numPr>
        <w:spacing w:after="0" w:line="240" w:lineRule="auto"/>
        <w:contextualSpacing w:val="0"/>
        <w:rPr>
          <w:rFonts w:ascii="Times New Roman" w:hAnsi="Times New Roman" w:cs="Times New Roman"/>
          <w:sz w:val="24"/>
          <w:szCs w:val="24"/>
        </w:rPr>
      </w:pPr>
      <w:r w:rsidRPr="008D3C97">
        <w:rPr>
          <w:rFonts w:ascii="Times New Roman" w:hAnsi="Times New Roman" w:cs="Times New Roman"/>
          <w:sz w:val="24"/>
          <w:szCs w:val="24"/>
        </w:rPr>
        <w:t>Shared experiences related to struggling with a decision to continue/start medication during pregnancy;</w:t>
      </w:r>
    </w:p>
    <w:p w:rsidR="00A86EDF" w:rsidRPr="008D3C97" w:rsidRDefault="00A86EDF" w:rsidP="00A86EDF">
      <w:pPr>
        <w:pStyle w:val="ListParagraph"/>
        <w:numPr>
          <w:ilvl w:val="0"/>
          <w:numId w:val="59"/>
        </w:numPr>
        <w:spacing w:after="0" w:line="240" w:lineRule="auto"/>
        <w:contextualSpacing w:val="0"/>
        <w:rPr>
          <w:rFonts w:ascii="Times New Roman" w:hAnsi="Times New Roman" w:cs="Times New Roman"/>
          <w:sz w:val="24"/>
          <w:szCs w:val="24"/>
        </w:rPr>
      </w:pPr>
      <w:r w:rsidRPr="008D3C97">
        <w:rPr>
          <w:rFonts w:ascii="Times New Roman" w:hAnsi="Times New Roman" w:cs="Times New Roman"/>
          <w:sz w:val="24"/>
          <w:szCs w:val="24"/>
        </w:rPr>
        <w:t>Responded that they rely on more than one source of information for medication use during preconception/pregnancy;</w:t>
      </w:r>
    </w:p>
    <w:p w:rsidR="00A86EDF" w:rsidRDefault="00A86EDF" w:rsidP="00A86EDF">
      <w:pPr>
        <w:pStyle w:val="ListParagraph"/>
        <w:numPr>
          <w:ilvl w:val="0"/>
          <w:numId w:val="59"/>
        </w:numPr>
        <w:spacing w:after="0" w:line="240" w:lineRule="auto"/>
        <w:contextualSpacing w:val="0"/>
        <w:rPr>
          <w:rFonts w:ascii="Times New Roman" w:hAnsi="Times New Roman" w:cs="Times New Roman"/>
          <w:sz w:val="24"/>
          <w:szCs w:val="24"/>
        </w:rPr>
      </w:pPr>
      <w:r w:rsidRPr="008D3C97">
        <w:rPr>
          <w:rFonts w:ascii="Times New Roman" w:hAnsi="Times New Roman" w:cs="Times New Roman"/>
          <w:sz w:val="24"/>
          <w:szCs w:val="24"/>
        </w:rPr>
        <w:lastRenderedPageBreak/>
        <w:t>Provided a detailed response to the message testing questions.</w:t>
      </w:r>
    </w:p>
    <w:p w:rsidR="008D3C97" w:rsidRPr="008D3C97" w:rsidRDefault="008D3C97" w:rsidP="008D3C97">
      <w:pPr>
        <w:pStyle w:val="ListParagraph"/>
        <w:spacing w:after="0" w:line="240" w:lineRule="auto"/>
        <w:contextualSpacing w:val="0"/>
        <w:rPr>
          <w:rFonts w:ascii="Times New Roman" w:hAnsi="Times New Roman" w:cs="Times New Roman"/>
          <w:sz w:val="24"/>
          <w:szCs w:val="24"/>
        </w:rPr>
      </w:pPr>
    </w:p>
    <w:p w:rsidR="00D37F3C" w:rsidRDefault="00D37F3C" w:rsidP="00B270C2">
      <w:pPr>
        <w:pStyle w:val="BodyText1psg"/>
        <w:ind w:firstLine="0"/>
      </w:pPr>
      <w:r>
        <w:t xml:space="preserve">The RTI team will ask participants from each consumer group if they wish to participate in a follow-up telephone interview to describe their responses in more detail and provide additional information about their experiences. </w:t>
      </w:r>
      <w:r w:rsidR="001A7F42">
        <w:t xml:space="preserve">RTI will select two participants from each group, for a total of 12 participants. </w:t>
      </w:r>
      <w:r>
        <w:t xml:space="preserve">The follow-up interviews will take </w:t>
      </w:r>
      <w:r w:rsidR="0022336A">
        <w:t xml:space="preserve">about </w:t>
      </w:r>
      <w:r>
        <w:t xml:space="preserve">30 minutes and will be moderated by a trained RTI team member. Interviews will be audio-recorded and professionally transcribed. </w:t>
      </w:r>
      <w:r w:rsidR="00190D68">
        <w:t>The follow-up interviews will be semi-structured, and designed to go more in-depth to specific experiences and narratives related to factors that affect decision-making about medication use during pregnancy.</w:t>
      </w:r>
    </w:p>
    <w:p w:rsidR="002F1F48" w:rsidRPr="001D0685" w:rsidRDefault="006102DA" w:rsidP="007E2E44">
      <w:pPr>
        <w:spacing w:after="0"/>
        <w:rPr>
          <w:rFonts w:ascii="Times New Roman" w:hAnsi="Times New Roman" w:cs="Times New Roman"/>
          <w:sz w:val="24"/>
          <w:szCs w:val="24"/>
          <w:u w:val="single"/>
        </w:rPr>
      </w:pPr>
      <w:r w:rsidRPr="001D0685">
        <w:rPr>
          <w:rFonts w:ascii="Times New Roman" w:hAnsi="Times New Roman" w:cs="Times New Roman"/>
          <w:sz w:val="24"/>
          <w:szCs w:val="24"/>
          <w:u w:val="single"/>
        </w:rPr>
        <w:t>Identification of Website(s) and Website Content Directed at Children Under 13</w:t>
      </w:r>
    </w:p>
    <w:p w:rsidR="006102DA" w:rsidRPr="001D0685" w:rsidRDefault="005869D6" w:rsidP="007E2E44">
      <w:pPr>
        <w:spacing w:after="0"/>
        <w:rPr>
          <w:rFonts w:ascii="Times New Roman" w:hAnsi="Times New Roman" w:cs="Times New Roman"/>
          <w:sz w:val="24"/>
          <w:szCs w:val="24"/>
        </w:rPr>
      </w:pPr>
      <w:r w:rsidRPr="001D0685">
        <w:rPr>
          <w:rFonts w:ascii="Times New Roman" w:hAnsi="Times New Roman" w:cs="Times New Roman"/>
          <w:sz w:val="24"/>
          <w:szCs w:val="24"/>
        </w:rPr>
        <w:t>No website content will be directed at children</w:t>
      </w:r>
      <w:r w:rsidR="00CE04A4" w:rsidRPr="001D0685">
        <w:rPr>
          <w:rFonts w:ascii="Times New Roman" w:hAnsi="Times New Roman" w:cs="Times New Roman"/>
          <w:sz w:val="24"/>
          <w:szCs w:val="24"/>
        </w:rPr>
        <w:t xml:space="preserve"> under 13 years of age</w:t>
      </w:r>
      <w:r w:rsidRPr="001D0685">
        <w:rPr>
          <w:rFonts w:ascii="Times New Roman" w:hAnsi="Times New Roman" w:cs="Times New Roman"/>
          <w:sz w:val="24"/>
          <w:szCs w:val="24"/>
        </w:rPr>
        <w:t>.</w:t>
      </w:r>
    </w:p>
    <w:p w:rsidR="001A0C8D" w:rsidRDefault="001A0C8D" w:rsidP="005F57E9">
      <w:pPr>
        <w:pStyle w:val="ListParagraph"/>
        <w:spacing w:after="0"/>
        <w:ind w:left="0"/>
        <w:rPr>
          <w:rFonts w:ascii="Times New Roman" w:hAnsi="Times New Roman" w:cs="Times New Roman"/>
          <w:b/>
          <w:sz w:val="24"/>
          <w:szCs w:val="24"/>
        </w:rPr>
      </w:pPr>
    </w:p>
    <w:p w:rsidR="00B12F51" w:rsidRPr="001D0685" w:rsidRDefault="005F57E9" w:rsidP="005F57E9">
      <w:pPr>
        <w:pStyle w:val="ListParagraph"/>
        <w:spacing w:after="0"/>
        <w:ind w:left="0"/>
        <w:rPr>
          <w:rFonts w:ascii="Times New Roman" w:hAnsi="Times New Roman" w:cs="Times New Roman"/>
          <w:b/>
          <w:sz w:val="24"/>
          <w:szCs w:val="24"/>
        </w:rPr>
      </w:pPr>
      <w:r w:rsidRPr="001D0685">
        <w:rPr>
          <w:rFonts w:ascii="Times New Roman" w:hAnsi="Times New Roman" w:cs="Times New Roman"/>
          <w:b/>
          <w:sz w:val="24"/>
          <w:szCs w:val="24"/>
        </w:rPr>
        <w:t xml:space="preserve">2. </w:t>
      </w:r>
      <w:r w:rsidR="00B12F51" w:rsidRPr="001D0685">
        <w:rPr>
          <w:rFonts w:ascii="Times New Roman" w:hAnsi="Times New Roman" w:cs="Times New Roman"/>
          <w:b/>
          <w:sz w:val="24"/>
          <w:szCs w:val="24"/>
        </w:rPr>
        <w:t>Purpose and Use of the Information Collection</w:t>
      </w:r>
    </w:p>
    <w:p w:rsidR="00BE738E" w:rsidRPr="001D0685" w:rsidRDefault="00BE738E" w:rsidP="007E2E44">
      <w:pPr>
        <w:pStyle w:val="ListParagraph"/>
        <w:spacing w:after="0"/>
        <w:ind w:left="270"/>
        <w:rPr>
          <w:rFonts w:ascii="Times New Roman" w:hAnsi="Times New Roman" w:cs="Times New Roman"/>
          <w:sz w:val="24"/>
          <w:szCs w:val="24"/>
        </w:rPr>
      </w:pPr>
    </w:p>
    <w:p w:rsidR="006102DA" w:rsidRDefault="006102DA" w:rsidP="007E2E44">
      <w:pPr>
        <w:spacing w:after="0"/>
        <w:rPr>
          <w:rFonts w:ascii="Times New Roman" w:hAnsi="Times New Roman" w:cs="Times New Roman"/>
          <w:sz w:val="24"/>
          <w:szCs w:val="24"/>
          <w:u w:val="single"/>
        </w:rPr>
      </w:pPr>
      <w:r w:rsidRPr="001D0685">
        <w:rPr>
          <w:rFonts w:ascii="Times New Roman" w:hAnsi="Times New Roman" w:cs="Times New Roman"/>
          <w:sz w:val="24"/>
          <w:szCs w:val="24"/>
          <w:u w:val="single"/>
        </w:rPr>
        <w:t>Privacy Impact Assessment</w:t>
      </w:r>
    </w:p>
    <w:p w:rsidR="00262E2C" w:rsidRPr="001D0685" w:rsidRDefault="00262E2C" w:rsidP="007E2E44">
      <w:pPr>
        <w:spacing w:after="0"/>
        <w:rPr>
          <w:rFonts w:ascii="Times New Roman" w:hAnsi="Times New Roman" w:cs="Times New Roman"/>
          <w:sz w:val="24"/>
          <w:szCs w:val="24"/>
          <w:u w:val="single"/>
        </w:rPr>
      </w:pPr>
    </w:p>
    <w:p w:rsidR="00733FE5" w:rsidRPr="001D0685" w:rsidRDefault="00733FE5" w:rsidP="007E2E44">
      <w:pPr>
        <w:pStyle w:val="ListParagraph"/>
        <w:numPr>
          <w:ilvl w:val="0"/>
          <w:numId w:val="27"/>
        </w:numPr>
        <w:spacing w:after="0"/>
        <w:ind w:left="990"/>
        <w:rPr>
          <w:rFonts w:ascii="Times New Roman" w:hAnsi="Times New Roman" w:cs="Times New Roman"/>
          <w:sz w:val="24"/>
          <w:szCs w:val="24"/>
          <w:u w:val="single"/>
        </w:rPr>
      </w:pPr>
      <w:r w:rsidRPr="001D0685">
        <w:rPr>
          <w:rFonts w:ascii="Times New Roman" w:hAnsi="Times New Roman" w:cs="Times New Roman"/>
          <w:sz w:val="24"/>
          <w:szCs w:val="24"/>
          <w:u w:val="single"/>
        </w:rPr>
        <w:t>Why the information is being collected</w:t>
      </w:r>
    </w:p>
    <w:p w:rsidR="00D43F5C" w:rsidRPr="0022336A" w:rsidRDefault="00D43F5C" w:rsidP="00D43F5C">
      <w:pPr>
        <w:rPr>
          <w:rFonts w:ascii="Times New Roman" w:hAnsi="Times New Roman" w:cs="Times New Roman"/>
          <w:sz w:val="24"/>
          <w:szCs w:val="24"/>
        </w:rPr>
      </w:pPr>
      <w:r w:rsidRPr="0022336A">
        <w:rPr>
          <w:rFonts w:ascii="Times New Roman" w:hAnsi="Times New Roman" w:cs="Times New Roman"/>
          <w:sz w:val="24"/>
          <w:szCs w:val="24"/>
        </w:rPr>
        <w:t xml:space="preserve">The National Center for Birth Defects and Developmental Disabilities (NCBDDD) at the CDC is requesting approval to conduct formative research with female consumers who are planning a pregnancy or who have recently given birth to learn more about their knowledge, attitudes, beliefs and behaviors regarding medication use during pregnancy. Findings from the formative research will be used to </w:t>
      </w:r>
      <w:r w:rsidR="00547E94">
        <w:rPr>
          <w:rFonts w:ascii="Times New Roman" w:hAnsi="Times New Roman" w:cs="Times New Roman"/>
          <w:sz w:val="24"/>
          <w:szCs w:val="24"/>
        </w:rPr>
        <w:t>create a communication plan</w:t>
      </w:r>
      <w:r w:rsidRPr="0022336A">
        <w:rPr>
          <w:rFonts w:ascii="Times New Roman" w:hAnsi="Times New Roman" w:cs="Times New Roman"/>
          <w:sz w:val="24"/>
          <w:szCs w:val="24"/>
        </w:rPr>
        <w:t xml:space="preserve"> related to </w:t>
      </w:r>
      <w:r w:rsidRPr="0022336A">
        <w:rPr>
          <w:rFonts w:ascii="Times New Roman" w:hAnsi="Times New Roman" w:cs="Times New Roman"/>
          <w:i/>
          <w:sz w:val="24"/>
          <w:szCs w:val="24"/>
        </w:rPr>
        <w:t>Treating for Two campaign</w:t>
      </w:r>
      <w:r w:rsidRPr="0022336A">
        <w:rPr>
          <w:rFonts w:ascii="Times New Roman" w:hAnsi="Times New Roman" w:cs="Times New Roman"/>
          <w:sz w:val="24"/>
          <w:szCs w:val="24"/>
        </w:rPr>
        <w:t>. If we do not conduct this formative project, CDC will not have the information it needs to create up-to-date and effective educational and communication materials</w:t>
      </w:r>
      <w:r w:rsidR="00547E94">
        <w:rPr>
          <w:rFonts w:ascii="Times New Roman" w:hAnsi="Times New Roman" w:cs="Times New Roman"/>
          <w:sz w:val="24"/>
          <w:szCs w:val="24"/>
        </w:rPr>
        <w:t>, as part of the communication plan</w:t>
      </w:r>
      <w:r w:rsidRPr="0022336A">
        <w:rPr>
          <w:rFonts w:ascii="Times New Roman" w:hAnsi="Times New Roman" w:cs="Times New Roman"/>
          <w:sz w:val="24"/>
          <w:szCs w:val="24"/>
        </w:rPr>
        <w:t>.</w:t>
      </w:r>
    </w:p>
    <w:p w:rsidR="00733FE5" w:rsidRPr="00655542" w:rsidRDefault="00733FE5" w:rsidP="00655542">
      <w:pPr>
        <w:pStyle w:val="ListParagraph"/>
        <w:numPr>
          <w:ilvl w:val="0"/>
          <w:numId w:val="27"/>
        </w:numPr>
        <w:spacing w:after="0"/>
        <w:ind w:left="990"/>
        <w:rPr>
          <w:rFonts w:ascii="Times New Roman" w:hAnsi="Times New Roman" w:cs="Times New Roman"/>
          <w:sz w:val="24"/>
          <w:szCs w:val="24"/>
          <w:u w:val="single"/>
        </w:rPr>
      </w:pPr>
      <w:r w:rsidRPr="00655542">
        <w:rPr>
          <w:rFonts w:ascii="Times New Roman" w:hAnsi="Times New Roman" w:cs="Times New Roman"/>
          <w:sz w:val="24"/>
          <w:szCs w:val="24"/>
          <w:u w:val="single"/>
        </w:rPr>
        <w:t>Intended use of the information</w:t>
      </w:r>
    </w:p>
    <w:p w:rsidR="00D43F5C" w:rsidRPr="00262E2C" w:rsidRDefault="00D8656B" w:rsidP="00D43F5C">
      <w:pPr>
        <w:rPr>
          <w:rFonts w:ascii="Times New Roman" w:hAnsi="Times New Roman" w:cs="Times New Roman"/>
          <w:sz w:val="24"/>
          <w:szCs w:val="24"/>
        </w:rPr>
      </w:pPr>
      <w:r w:rsidRPr="001D0685">
        <w:rPr>
          <w:rFonts w:ascii="Times New Roman" w:hAnsi="Times New Roman" w:cs="Times New Roman"/>
          <w:sz w:val="24"/>
          <w:szCs w:val="24"/>
        </w:rPr>
        <w:tab/>
      </w:r>
      <w:r w:rsidR="00D43F5C" w:rsidRPr="00262E2C">
        <w:rPr>
          <w:rFonts w:ascii="Times New Roman" w:hAnsi="Times New Roman" w:cs="Times New Roman"/>
          <w:sz w:val="24"/>
          <w:szCs w:val="24"/>
        </w:rPr>
        <w:t>We will use the consumer focus groups to</w:t>
      </w:r>
      <w:r w:rsidR="007D7AB4">
        <w:rPr>
          <w:rFonts w:ascii="Times New Roman" w:hAnsi="Times New Roman" w:cs="Times New Roman"/>
          <w:sz w:val="24"/>
          <w:szCs w:val="24"/>
        </w:rPr>
        <w:t xml:space="preserve"> provide insight regarding</w:t>
      </w:r>
      <w:r w:rsidR="00D43F5C" w:rsidRPr="00262E2C">
        <w:rPr>
          <w:rFonts w:ascii="Times New Roman" w:hAnsi="Times New Roman" w:cs="Times New Roman"/>
          <w:sz w:val="24"/>
          <w:szCs w:val="24"/>
        </w:rPr>
        <w:t xml:space="preserve"> the general questions</w:t>
      </w:r>
      <w:r w:rsidR="007D7AB4">
        <w:rPr>
          <w:rFonts w:ascii="Times New Roman" w:hAnsi="Times New Roman" w:cs="Times New Roman"/>
          <w:sz w:val="24"/>
          <w:szCs w:val="24"/>
        </w:rPr>
        <w:t xml:space="preserve"> listed below.  Given, however, that we are recruiting small convenience samples, we will not actually be able to answer these questions on behalf of all women in this demographic or even subpopulations.  Rather, this information is designed to help develop messages that would speak to the needs of at least some women in this demographic.  </w:t>
      </w:r>
    </w:p>
    <w:p w:rsidR="00D43F5C" w:rsidRPr="00262E2C" w:rsidRDefault="00D43F5C" w:rsidP="00D43F5C">
      <w:pPr>
        <w:pStyle w:val="TableBulletLM"/>
        <w:rPr>
          <w:sz w:val="24"/>
          <w:szCs w:val="24"/>
        </w:rPr>
      </w:pPr>
      <w:r w:rsidRPr="00262E2C">
        <w:rPr>
          <w:sz w:val="24"/>
          <w:szCs w:val="24"/>
        </w:rPr>
        <w:t>How does having a chronic condition</w:t>
      </w:r>
      <w:r w:rsidR="00BC62B6">
        <w:rPr>
          <w:sz w:val="24"/>
          <w:szCs w:val="24"/>
        </w:rPr>
        <w:t xml:space="preserve"> that requires ongoing medication maintenance (e.g., pain, depression, and asthma)</w:t>
      </w:r>
      <w:r w:rsidRPr="00262E2C">
        <w:rPr>
          <w:sz w:val="24"/>
          <w:szCs w:val="24"/>
        </w:rPr>
        <w:t xml:space="preserve"> influence women’s knowledge, attitudes, and behaviors regarding medication use during preconception and pregnancy? </w:t>
      </w:r>
    </w:p>
    <w:p w:rsidR="00D43F5C" w:rsidRPr="00262E2C" w:rsidRDefault="00D43F5C" w:rsidP="00D43F5C">
      <w:pPr>
        <w:pStyle w:val="TableBulletLM"/>
        <w:rPr>
          <w:sz w:val="24"/>
          <w:szCs w:val="24"/>
        </w:rPr>
      </w:pPr>
      <w:r w:rsidRPr="00262E2C">
        <w:rPr>
          <w:sz w:val="24"/>
          <w:szCs w:val="24"/>
        </w:rPr>
        <w:t>Do consumers create a treatment plan prior to pregnancy? To what extent do women perceive monitoring medication use as important during pregnancy compared with other behaviors?</w:t>
      </w:r>
    </w:p>
    <w:p w:rsidR="00D43F5C" w:rsidRPr="00262E2C" w:rsidRDefault="00D43F5C" w:rsidP="00D43F5C">
      <w:pPr>
        <w:pStyle w:val="TableBulletLM"/>
        <w:rPr>
          <w:sz w:val="24"/>
          <w:szCs w:val="24"/>
        </w:rPr>
      </w:pPr>
      <w:r w:rsidRPr="00262E2C">
        <w:rPr>
          <w:sz w:val="24"/>
          <w:szCs w:val="24"/>
        </w:rPr>
        <w:lastRenderedPageBreak/>
        <w:t>How does having an acute condition during pregnancy influence women’s knowledge, attitudes, and behaviors regarding medication use during preconception and pregnancy?</w:t>
      </w:r>
    </w:p>
    <w:p w:rsidR="00D43F5C" w:rsidRPr="00262E2C" w:rsidRDefault="00D43F5C" w:rsidP="00D43F5C">
      <w:pPr>
        <w:pStyle w:val="TableBulletLM"/>
        <w:rPr>
          <w:sz w:val="24"/>
          <w:szCs w:val="24"/>
        </w:rPr>
      </w:pPr>
      <w:r w:rsidRPr="00262E2C">
        <w:rPr>
          <w:sz w:val="24"/>
          <w:szCs w:val="24"/>
        </w:rPr>
        <w:t>For which symptoms do pregnant women most need to seek advice from a doctor?</w:t>
      </w:r>
    </w:p>
    <w:p w:rsidR="00D43F5C" w:rsidRPr="00262E2C" w:rsidRDefault="00D43F5C" w:rsidP="00D43F5C">
      <w:pPr>
        <w:pStyle w:val="TableBulletLM"/>
        <w:rPr>
          <w:sz w:val="24"/>
          <w:szCs w:val="24"/>
        </w:rPr>
      </w:pPr>
      <w:r w:rsidRPr="00262E2C">
        <w:rPr>
          <w:sz w:val="24"/>
          <w:szCs w:val="24"/>
        </w:rPr>
        <w:t>What messages do pregnant women and women of childbearing age receive from providers and other sources?</w:t>
      </w:r>
    </w:p>
    <w:p w:rsidR="00D43F5C" w:rsidRPr="00262E2C" w:rsidRDefault="00D43F5C" w:rsidP="00D43F5C">
      <w:pPr>
        <w:pStyle w:val="TableBulletLM"/>
        <w:rPr>
          <w:sz w:val="24"/>
          <w:szCs w:val="24"/>
        </w:rPr>
      </w:pPr>
      <w:r w:rsidRPr="00262E2C">
        <w:rPr>
          <w:sz w:val="24"/>
          <w:szCs w:val="24"/>
        </w:rPr>
        <w:t>What messages or information do pregnant women and women of childbearing age wish they have/had that they are not receiving?</w:t>
      </w:r>
    </w:p>
    <w:p w:rsidR="00D43F5C" w:rsidRPr="00262E2C" w:rsidRDefault="00D43F5C" w:rsidP="00D43F5C">
      <w:pPr>
        <w:pStyle w:val="TableBulletLM"/>
        <w:rPr>
          <w:sz w:val="24"/>
          <w:szCs w:val="24"/>
        </w:rPr>
      </w:pPr>
      <w:r w:rsidRPr="00262E2C">
        <w:rPr>
          <w:sz w:val="24"/>
          <w:szCs w:val="24"/>
        </w:rPr>
        <w:t>How do pregnant women and women of childbearing age weigh risks and benefits of medication use during pregnancy, considering both the baby’s health and their own health? [Present a scenario or ask for experiences.]</w:t>
      </w:r>
    </w:p>
    <w:p w:rsidR="00D43F5C" w:rsidRPr="00262E2C" w:rsidRDefault="00D43F5C" w:rsidP="00D43F5C">
      <w:pPr>
        <w:pStyle w:val="TableBulletLM"/>
        <w:rPr>
          <w:sz w:val="24"/>
          <w:szCs w:val="24"/>
        </w:rPr>
      </w:pPr>
      <w:r w:rsidRPr="00262E2C">
        <w:rPr>
          <w:sz w:val="24"/>
          <w:szCs w:val="24"/>
        </w:rPr>
        <w:t>If risk of adverse fetal outcomes from medication use is unknown, how do women make decisions?</w:t>
      </w:r>
    </w:p>
    <w:p w:rsidR="00D43F5C" w:rsidRPr="00262E2C" w:rsidRDefault="00D43F5C" w:rsidP="00D43F5C">
      <w:pPr>
        <w:pStyle w:val="TableBulletLM"/>
        <w:rPr>
          <w:sz w:val="24"/>
          <w:szCs w:val="24"/>
        </w:rPr>
      </w:pPr>
      <w:r w:rsidRPr="00262E2C">
        <w:rPr>
          <w:sz w:val="24"/>
          <w:szCs w:val="24"/>
        </w:rPr>
        <w:t>In the absence of information, do women continue to take medications or discontinue use?</w:t>
      </w:r>
    </w:p>
    <w:p w:rsidR="00D43F5C" w:rsidRPr="00262E2C" w:rsidRDefault="00D43F5C" w:rsidP="00D43F5C">
      <w:pPr>
        <w:pStyle w:val="TableBulletLM"/>
        <w:rPr>
          <w:sz w:val="24"/>
          <w:szCs w:val="24"/>
        </w:rPr>
      </w:pPr>
      <w:r w:rsidRPr="00262E2C">
        <w:rPr>
          <w:sz w:val="24"/>
          <w:szCs w:val="24"/>
        </w:rPr>
        <w:t>Do women believe risk information applies to them (vs. others)?</w:t>
      </w:r>
    </w:p>
    <w:p w:rsidR="00D43F5C" w:rsidRPr="00262E2C" w:rsidRDefault="00D43F5C" w:rsidP="00D43F5C">
      <w:pPr>
        <w:pStyle w:val="TableBulletLM"/>
        <w:rPr>
          <w:sz w:val="24"/>
          <w:szCs w:val="24"/>
        </w:rPr>
      </w:pPr>
      <w:r w:rsidRPr="00262E2C">
        <w:rPr>
          <w:sz w:val="24"/>
          <w:szCs w:val="24"/>
        </w:rPr>
        <w:t>What types of risks are women most worried about (birth defects, miscarriage, preterm birth, global harm to self or baby?)</w:t>
      </w:r>
    </w:p>
    <w:p w:rsidR="00D43F5C" w:rsidRPr="00262E2C" w:rsidRDefault="00D43F5C" w:rsidP="00D43F5C">
      <w:pPr>
        <w:pStyle w:val="TableBulletLM"/>
        <w:rPr>
          <w:sz w:val="24"/>
          <w:szCs w:val="24"/>
        </w:rPr>
      </w:pPr>
      <w:r w:rsidRPr="00262E2C">
        <w:rPr>
          <w:sz w:val="24"/>
          <w:szCs w:val="24"/>
        </w:rPr>
        <w:t>How do women’s medication use behaviors change when planning for a pregnancy or when pregnant?</w:t>
      </w:r>
    </w:p>
    <w:p w:rsidR="00D43F5C" w:rsidRPr="00262E2C" w:rsidRDefault="00D43F5C" w:rsidP="00D43F5C">
      <w:pPr>
        <w:pStyle w:val="TableBulletLM"/>
        <w:rPr>
          <w:sz w:val="24"/>
          <w:szCs w:val="24"/>
        </w:rPr>
      </w:pPr>
      <w:r w:rsidRPr="00262E2C">
        <w:rPr>
          <w:sz w:val="24"/>
          <w:szCs w:val="24"/>
        </w:rPr>
        <w:t>How do women become aware that a medication change is necessary? How is that information communicated to them?</w:t>
      </w:r>
    </w:p>
    <w:p w:rsidR="00D43F5C" w:rsidRPr="00262E2C" w:rsidRDefault="00D43F5C" w:rsidP="00D43F5C">
      <w:pPr>
        <w:pStyle w:val="TableBulletLM"/>
        <w:rPr>
          <w:sz w:val="24"/>
          <w:szCs w:val="24"/>
        </w:rPr>
      </w:pPr>
      <w:r w:rsidRPr="00262E2C">
        <w:rPr>
          <w:sz w:val="24"/>
          <w:szCs w:val="24"/>
        </w:rPr>
        <w:t>When do women perceive is the optimal time to change medication use in relation to becoming pregnant?</w:t>
      </w:r>
    </w:p>
    <w:p w:rsidR="00D43F5C" w:rsidRPr="00262E2C" w:rsidRDefault="00D43F5C" w:rsidP="00D43F5C">
      <w:pPr>
        <w:pStyle w:val="TableBulletLM"/>
        <w:rPr>
          <w:sz w:val="24"/>
          <w:szCs w:val="24"/>
        </w:rPr>
      </w:pPr>
      <w:r w:rsidRPr="00262E2C">
        <w:rPr>
          <w:sz w:val="24"/>
          <w:szCs w:val="24"/>
        </w:rPr>
        <w:t>When do women actually change medication use in relation to pregnancy?</w:t>
      </w:r>
    </w:p>
    <w:p w:rsidR="00D43F5C" w:rsidRPr="00262E2C" w:rsidRDefault="00D43F5C" w:rsidP="00D43F5C">
      <w:pPr>
        <w:pStyle w:val="TableBulletLM"/>
        <w:rPr>
          <w:sz w:val="24"/>
          <w:szCs w:val="24"/>
        </w:rPr>
      </w:pPr>
      <w:r w:rsidRPr="00262E2C">
        <w:rPr>
          <w:sz w:val="24"/>
          <w:szCs w:val="24"/>
        </w:rPr>
        <w:t xml:space="preserve">How do past experiences affect women’s medication use in future pregnancies? </w:t>
      </w:r>
    </w:p>
    <w:p w:rsidR="00EA4A64" w:rsidRPr="00262E2C" w:rsidRDefault="00D43F5C" w:rsidP="00D43F5C">
      <w:pPr>
        <w:pStyle w:val="TableBulletLM"/>
        <w:rPr>
          <w:sz w:val="24"/>
          <w:szCs w:val="24"/>
        </w:rPr>
      </w:pPr>
      <w:r w:rsidRPr="00262E2C">
        <w:rPr>
          <w:sz w:val="24"/>
          <w:szCs w:val="24"/>
        </w:rPr>
        <w:t>What are the barriers and facilitators for pregnant women and women of childbearing age to adhere to medication use recommendations during preconception and pregnancy?</w:t>
      </w:r>
    </w:p>
    <w:p w:rsidR="00D43F5C" w:rsidRPr="00262E2C" w:rsidRDefault="00D43F5C" w:rsidP="00D43F5C">
      <w:pPr>
        <w:pStyle w:val="TableBulletLM"/>
        <w:rPr>
          <w:b/>
          <w:sz w:val="24"/>
          <w:szCs w:val="24"/>
        </w:rPr>
      </w:pPr>
      <w:r w:rsidRPr="00262E2C">
        <w:rPr>
          <w:sz w:val="24"/>
          <w:szCs w:val="24"/>
        </w:rPr>
        <w:t>How does health insurance play a role?</w:t>
      </w:r>
    </w:p>
    <w:p w:rsidR="00D43F5C" w:rsidRPr="00262E2C" w:rsidRDefault="00D43F5C" w:rsidP="00D43F5C">
      <w:pPr>
        <w:pStyle w:val="TableBulletLM"/>
        <w:rPr>
          <w:b/>
          <w:sz w:val="24"/>
          <w:szCs w:val="24"/>
        </w:rPr>
      </w:pPr>
      <w:r w:rsidRPr="00262E2C">
        <w:rPr>
          <w:sz w:val="24"/>
          <w:szCs w:val="24"/>
        </w:rPr>
        <w:t xml:space="preserve">Which source(s) or who influences women’s knowledge, attitudes, and beliefs about medication exposure during preconception and pregnancy? </w:t>
      </w:r>
    </w:p>
    <w:p w:rsidR="00D43F5C" w:rsidRPr="00262E2C" w:rsidRDefault="00D43F5C" w:rsidP="00D43F5C">
      <w:pPr>
        <w:pStyle w:val="TableBulletLM"/>
        <w:rPr>
          <w:b/>
          <w:sz w:val="24"/>
          <w:szCs w:val="24"/>
        </w:rPr>
      </w:pPr>
      <w:r w:rsidRPr="00262E2C">
        <w:rPr>
          <w:sz w:val="24"/>
          <w:szCs w:val="24"/>
        </w:rPr>
        <w:t>Whose opinion matters most to women?</w:t>
      </w:r>
    </w:p>
    <w:p w:rsidR="00D43F5C" w:rsidRPr="00262E2C" w:rsidRDefault="00D43F5C" w:rsidP="00D43F5C">
      <w:pPr>
        <w:pStyle w:val="TableBulletLM"/>
        <w:rPr>
          <w:b/>
          <w:sz w:val="24"/>
          <w:szCs w:val="24"/>
        </w:rPr>
      </w:pPr>
      <w:r w:rsidRPr="00262E2C">
        <w:rPr>
          <w:sz w:val="24"/>
          <w:szCs w:val="24"/>
        </w:rPr>
        <w:t>How do women handle conflicting information?</w:t>
      </w:r>
    </w:p>
    <w:p w:rsidR="00D43F5C" w:rsidRPr="00262E2C" w:rsidRDefault="00D43F5C" w:rsidP="00D43F5C">
      <w:pPr>
        <w:pStyle w:val="TableBulletLM"/>
        <w:rPr>
          <w:b/>
          <w:sz w:val="24"/>
          <w:szCs w:val="24"/>
        </w:rPr>
      </w:pPr>
      <w:r w:rsidRPr="00262E2C">
        <w:rPr>
          <w:sz w:val="24"/>
          <w:szCs w:val="24"/>
        </w:rPr>
        <w:t>How do women interact around and share information?</w:t>
      </w:r>
    </w:p>
    <w:p w:rsidR="00D43F5C" w:rsidRPr="00262E2C" w:rsidRDefault="00D43F5C" w:rsidP="00D43F5C">
      <w:pPr>
        <w:pStyle w:val="TableBulletLM"/>
        <w:rPr>
          <w:b/>
          <w:sz w:val="24"/>
          <w:szCs w:val="24"/>
        </w:rPr>
      </w:pPr>
      <w:r w:rsidRPr="00262E2C">
        <w:rPr>
          <w:sz w:val="24"/>
          <w:szCs w:val="24"/>
        </w:rPr>
        <w:t xml:space="preserve">How many and what types of providers do pregnant women and women of childbearing age access and receive medication from? </w:t>
      </w:r>
    </w:p>
    <w:p w:rsidR="00D43F5C" w:rsidRPr="00262E2C" w:rsidRDefault="00D43F5C" w:rsidP="00D43F5C">
      <w:pPr>
        <w:pStyle w:val="TableBulletLM"/>
        <w:rPr>
          <w:b/>
          <w:sz w:val="24"/>
          <w:szCs w:val="24"/>
        </w:rPr>
      </w:pPr>
      <w:r w:rsidRPr="00262E2C">
        <w:rPr>
          <w:sz w:val="24"/>
          <w:szCs w:val="24"/>
        </w:rPr>
        <w:t>How do these providers interact around and share information?</w:t>
      </w:r>
    </w:p>
    <w:p w:rsidR="00D43F5C" w:rsidRPr="00262E2C" w:rsidRDefault="00D43F5C" w:rsidP="00D43F5C">
      <w:pPr>
        <w:pStyle w:val="TableBulletLM"/>
        <w:rPr>
          <w:sz w:val="24"/>
          <w:szCs w:val="24"/>
        </w:rPr>
      </w:pPr>
      <w:r w:rsidRPr="00262E2C">
        <w:rPr>
          <w:sz w:val="24"/>
          <w:szCs w:val="24"/>
        </w:rPr>
        <w:t>Who do women perceive is their primary point of contact for questions about medication use during pregnancy?</w:t>
      </w:r>
    </w:p>
    <w:p w:rsidR="00D43F5C" w:rsidRPr="00262E2C" w:rsidRDefault="00D43F5C" w:rsidP="00D43F5C">
      <w:pPr>
        <w:pStyle w:val="TableBulletLM"/>
        <w:rPr>
          <w:sz w:val="24"/>
          <w:szCs w:val="24"/>
        </w:rPr>
      </w:pPr>
      <w:r w:rsidRPr="00262E2C">
        <w:rPr>
          <w:sz w:val="24"/>
          <w:szCs w:val="24"/>
        </w:rPr>
        <w:t>How do women assess the credibility of information?</w:t>
      </w:r>
    </w:p>
    <w:p w:rsidR="00D43F5C" w:rsidRPr="00262E2C" w:rsidRDefault="00D43F5C" w:rsidP="00D43F5C">
      <w:pPr>
        <w:pStyle w:val="TableBulletLM"/>
        <w:rPr>
          <w:sz w:val="24"/>
          <w:szCs w:val="24"/>
        </w:rPr>
      </w:pPr>
      <w:r w:rsidRPr="00262E2C">
        <w:rPr>
          <w:sz w:val="24"/>
          <w:szCs w:val="24"/>
        </w:rPr>
        <w:t>How do women assess the credibility of sources?</w:t>
      </w:r>
    </w:p>
    <w:p w:rsidR="00D43F5C" w:rsidRPr="00262E2C" w:rsidRDefault="00D43F5C" w:rsidP="00D43F5C">
      <w:pPr>
        <w:pStyle w:val="TableBulletLM"/>
        <w:rPr>
          <w:sz w:val="24"/>
          <w:szCs w:val="24"/>
        </w:rPr>
      </w:pPr>
      <w:r w:rsidRPr="00262E2C">
        <w:rPr>
          <w:sz w:val="24"/>
          <w:szCs w:val="24"/>
        </w:rPr>
        <w:t>What are women’s impressions of currently available resources?</w:t>
      </w:r>
    </w:p>
    <w:p w:rsidR="00D43F5C" w:rsidRPr="00262E2C" w:rsidRDefault="00D43F5C" w:rsidP="00D43F5C">
      <w:pPr>
        <w:pStyle w:val="TableBulletLM"/>
        <w:rPr>
          <w:b/>
          <w:sz w:val="24"/>
          <w:szCs w:val="24"/>
        </w:rPr>
      </w:pPr>
      <w:r w:rsidRPr="00262E2C">
        <w:rPr>
          <w:sz w:val="24"/>
          <w:szCs w:val="24"/>
        </w:rPr>
        <w:t>What is the preferred type of resource for women about medication safety during pregnancy? [Conduct possible poll on preferred products and channels with follow-up discussion.]</w:t>
      </w:r>
    </w:p>
    <w:p w:rsidR="00D43F5C" w:rsidRPr="00262E2C" w:rsidRDefault="00D43F5C" w:rsidP="00D43F5C">
      <w:pPr>
        <w:pStyle w:val="TableBulletLM"/>
        <w:rPr>
          <w:b/>
          <w:sz w:val="24"/>
          <w:szCs w:val="24"/>
        </w:rPr>
      </w:pPr>
      <w:r w:rsidRPr="00262E2C">
        <w:rPr>
          <w:sz w:val="24"/>
          <w:szCs w:val="24"/>
        </w:rPr>
        <w:lastRenderedPageBreak/>
        <w:t>What are the preferred channels? [How frequently do consumers need messages/reminders about safe use of medication before pregnancy? Probe on mobile technology, apps, TV, and text messaging.]</w:t>
      </w:r>
    </w:p>
    <w:p w:rsidR="00D43F5C" w:rsidRPr="00262E2C" w:rsidRDefault="00D43F5C" w:rsidP="00D43F5C">
      <w:pPr>
        <w:pStyle w:val="TableBulletLM"/>
        <w:rPr>
          <w:b/>
          <w:sz w:val="24"/>
          <w:szCs w:val="24"/>
        </w:rPr>
      </w:pPr>
      <w:r w:rsidRPr="00262E2C">
        <w:rPr>
          <w:sz w:val="24"/>
          <w:szCs w:val="24"/>
        </w:rPr>
        <w:t>What are the most credible sources of this information?</w:t>
      </w:r>
    </w:p>
    <w:p w:rsidR="00D43F5C" w:rsidRPr="00262E2C" w:rsidRDefault="00D43F5C" w:rsidP="00D43F5C">
      <w:pPr>
        <w:pStyle w:val="TableBulletLM"/>
        <w:rPr>
          <w:b/>
          <w:sz w:val="24"/>
          <w:szCs w:val="24"/>
        </w:rPr>
      </w:pPr>
      <w:r w:rsidRPr="00262E2C">
        <w:rPr>
          <w:sz w:val="24"/>
          <w:szCs w:val="24"/>
        </w:rPr>
        <w:t>What features make it credible?</w:t>
      </w:r>
    </w:p>
    <w:p w:rsidR="00D43F5C" w:rsidRDefault="00D43F5C" w:rsidP="00D43F5C">
      <w:pPr>
        <w:pStyle w:val="TableBulletLM"/>
        <w:rPr>
          <w:sz w:val="24"/>
          <w:szCs w:val="24"/>
        </w:rPr>
      </w:pPr>
      <w:r w:rsidRPr="00262E2C">
        <w:rPr>
          <w:sz w:val="24"/>
          <w:szCs w:val="24"/>
        </w:rPr>
        <w:t>How could these resources be improved?</w:t>
      </w:r>
    </w:p>
    <w:p w:rsidR="009A7674" w:rsidRDefault="009A7674" w:rsidP="009A7674">
      <w:pPr>
        <w:pStyle w:val="TableBulletLM"/>
        <w:numPr>
          <w:ilvl w:val="0"/>
          <w:numId w:val="0"/>
        </w:numPr>
        <w:ind w:left="360" w:hanging="360"/>
        <w:rPr>
          <w:sz w:val="24"/>
          <w:szCs w:val="24"/>
        </w:rPr>
      </w:pPr>
    </w:p>
    <w:p w:rsidR="00D43F5C" w:rsidRPr="00D43F5C" w:rsidRDefault="00D43F5C" w:rsidP="00D43F5C">
      <w:pPr>
        <w:pStyle w:val="TableBulletLM"/>
        <w:numPr>
          <w:ilvl w:val="0"/>
          <w:numId w:val="0"/>
        </w:numPr>
        <w:ind w:left="360"/>
      </w:pPr>
    </w:p>
    <w:p w:rsidR="00733FE5" w:rsidRPr="001D0685" w:rsidRDefault="00733FE5" w:rsidP="007E2E44">
      <w:pPr>
        <w:pStyle w:val="ListParagraph"/>
        <w:numPr>
          <w:ilvl w:val="0"/>
          <w:numId w:val="27"/>
        </w:numPr>
        <w:spacing w:after="0"/>
        <w:ind w:left="990"/>
        <w:rPr>
          <w:rFonts w:ascii="Times New Roman" w:hAnsi="Times New Roman" w:cs="Times New Roman"/>
          <w:sz w:val="24"/>
          <w:szCs w:val="24"/>
          <w:u w:val="single"/>
        </w:rPr>
      </w:pPr>
      <w:r w:rsidRPr="001D0685">
        <w:rPr>
          <w:rFonts w:ascii="Times New Roman" w:hAnsi="Times New Roman" w:cs="Times New Roman"/>
          <w:sz w:val="24"/>
          <w:szCs w:val="24"/>
          <w:u w:val="single"/>
        </w:rPr>
        <w:t xml:space="preserve">Impact on </w:t>
      </w:r>
      <w:r w:rsidR="00C40B9B" w:rsidRPr="001D0685">
        <w:rPr>
          <w:rFonts w:ascii="Times New Roman" w:hAnsi="Times New Roman" w:cs="Times New Roman"/>
          <w:sz w:val="24"/>
          <w:szCs w:val="24"/>
          <w:u w:val="single"/>
        </w:rPr>
        <w:t>p</w:t>
      </w:r>
      <w:r w:rsidRPr="001D0685">
        <w:rPr>
          <w:rFonts w:ascii="Times New Roman" w:hAnsi="Times New Roman" w:cs="Times New Roman"/>
          <w:sz w:val="24"/>
          <w:szCs w:val="24"/>
          <w:u w:val="single"/>
        </w:rPr>
        <w:t xml:space="preserve">rivacy to </w:t>
      </w:r>
      <w:r w:rsidR="00C40B9B" w:rsidRPr="001D0685">
        <w:rPr>
          <w:rFonts w:ascii="Times New Roman" w:hAnsi="Times New Roman" w:cs="Times New Roman"/>
          <w:sz w:val="24"/>
          <w:szCs w:val="24"/>
          <w:u w:val="single"/>
        </w:rPr>
        <w:t>r</w:t>
      </w:r>
      <w:r w:rsidRPr="001D0685">
        <w:rPr>
          <w:rFonts w:ascii="Times New Roman" w:hAnsi="Times New Roman" w:cs="Times New Roman"/>
          <w:sz w:val="24"/>
          <w:szCs w:val="24"/>
          <w:u w:val="single"/>
        </w:rPr>
        <w:t>espondents</w:t>
      </w:r>
    </w:p>
    <w:p w:rsidR="00D43F5C" w:rsidRDefault="00D43F5C" w:rsidP="007E2E44">
      <w:pPr>
        <w:pStyle w:val="ListParagraph"/>
        <w:spacing w:after="0"/>
        <w:ind w:left="990"/>
        <w:rPr>
          <w:rFonts w:ascii="Times New Roman" w:hAnsi="Times New Roman" w:cs="Times New Roman"/>
          <w:sz w:val="24"/>
          <w:szCs w:val="24"/>
        </w:rPr>
      </w:pPr>
    </w:p>
    <w:p w:rsidR="00D43F5C" w:rsidRPr="00190D68" w:rsidRDefault="00D43F5C" w:rsidP="00190D68">
      <w:pPr>
        <w:rPr>
          <w:rFonts w:ascii="Times New Roman" w:hAnsi="Times New Roman" w:cs="Times New Roman"/>
          <w:sz w:val="24"/>
          <w:szCs w:val="24"/>
        </w:rPr>
      </w:pPr>
      <w:r w:rsidRPr="00190D68">
        <w:rPr>
          <w:rFonts w:ascii="Times New Roman" w:hAnsi="Times New Roman" w:cs="Times New Roman"/>
          <w:sz w:val="24"/>
          <w:szCs w:val="24"/>
        </w:rPr>
        <w:t xml:space="preserve">The screening questionnaire </w:t>
      </w:r>
      <w:r w:rsidR="00C82624">
        <w:rPr>
          <w:rFonts w:ascii="Times New Roman" w:hAnsi="Times New Roman" w:cs="Times New Roman"/>
          <w:sz w:val="24"/>
          <w:szCs w:val="24"/>
        </w:rPr>
        <w:t xml:space="preserve">(see </w:t>
      </w:r>
      <w:r w:rsidR="00C82624" w:rsidRPr="00C82624">
        <w:rPr>
          <w:rFonts w:ascii="Times New Roman" w:hAnsi="Times New Roman" w:cs="Times New Roman"/>
          <w:b/>
          <w:sz w:val="24"/>
          <w:szCs w:val="24"/>
        </w:rPr>
        <w:t>Attachment 1</w:t>
      </w:r>
      <w:r w:rsidR="00C82624">
        <w:rPr>
          <w:rFonts w:ascii="Times New Roman" w:hAnsi="Times New Roman" w:cs="Times New Roman"/>
          <w:sz w:val="24"/>
          <w:szCs w:val="24"/>
        </w:rPr>
        <w:t>)</w:t>
      </w:r>
      <w:r w:rsidRPr="00190D68">
        <w:rPr>
          <w:rFonts w:ascii="Times New Roman" w:hAnsi="Times New Roman" w:cs="Times New Roman"/>
          <w:sz w:val="24"/>
          <w:szCs w:val="24"/>
        </w:rPr>
        <w:t>to determine eligibility, the consumer focus groups</w:t>
      </w:r>
      <w:r w:rsidR="00C82624">
        <w:rPr>
          <w:rFonts w:ascii="Times New Roman" w:hAnsi="Times New Roman" w:cs="Times New Roman"/>
          <w:sz w:val="24"/>
          <w:szCs w:val="24"/>
        </w:rPr>
        <w:t xml:space="preserve"> (see </w:t>
      </w:r>
      <w:r w:rsidR="00C82624" w:rsidRPr="00C82624">
        <w:rPr>
          <w:rFonts w:ascii="Times New Roman" w:hAnsi="Times New Roman" w:cs="Times New Roman"/>
          <w:b/>
          <w:sz w:val="24"/>
          <w:szCs w:val="24"/>
        </w:rPr>
        <w:t>Attachments 3, 3a, 5, 5a, 7, 7a, 9, 9a, 11, 11a, and 13, 13a</w:t>
      </w:r>
      <w:r w:rsidR="00C82624">
        <w:rPr>
          <w:rFonts w:ascii="Times New Roman" w:hAnsi="Times New Roman" w:cs="Times New Roman"/>
          <w:sz w:val="24"/>
          <w:szCs w:val="24"/>
        </w:rPr>
        <w:t>)</w:t>
      </w:r>
      <w:r w:rsidRPr="00190D68">
        <w:rPr>
          <w:rFonts w:ascii="Times New Roman" w:hAnsi="Times New Roman" w:cs="Times New Roman"/>
          <w:sz w:val="24"/>
          <w:szCs w:val="24"/>
        </w:rPr>
        <w:t xml:space="preserve">, and the follow-up interviews </w:t>
      </w:r>
      <w:r w:rsidR="009F3CA6">
        <w:rPr>
          <w:rFonts w:ascii="Times New Roman" w:hAnsi="Times New Roman" w:cs="Times New Roman"/>
          <w:sz w:val="24"/>
          <w:szCs w:val="24"/>
        </w:rPr>
        <w:t xml:space="preserve">(see </w:t>
      </w:r>
      <w:r w:rsidR="009F3CA6" w:rsidRPr="009F3CA6">
        <w:rPr>
          <w:rFonts w:ascii="Times New Roman" w:hAnsi="Times New Roman" w:cs="Times New Roman"/>
          <w:b/>
          <w:sz w:val="24"/>
          <w:szCs w:val="24"/>
        </w:rPr>
        <w:t>Attachments 4, 6, 8, 10, 12, and 14</w:t>
      </w:r>
      <w:r w:rsidR="009F3CA6">
        <w:rPr>
          <w:rFonts w:ascii="Times New Roman" w:hAnsi="Times New Roman" w:cs="Times New Roman"/>
          <w:sz w:val="24"/>
          <w:szCs w:val="24"/>
        </w:rPr>
        <w:t xml:space="preserve">) </w:t>
      </w:r>
      <w:r w:rsidRPr="00190D68">
        <w:rPr>
          <w:rFonts w:ascii="Times New Roman" w:hAnsi="Times New Roman" w:cs="Times New Roman"/>
          <w:sz w:val="24"/>
          <w:szCs w:val="24"/>
        </w:rPr>
        <w:t>will include some questions on sensitive information such as planning for pregnancy and reproductive health.  However, data will be treated in a secure manner and will not be disclosed, un</w:t>
      </w:r>
      <w:r w:rsidR="00190D68" w:rsidRPr="00190D68">
        <w:rPr>
          <w:rFonts w:ascii="Times New Roman" w:hAnsi="Times New Roman" w:cs="Times New Roman"/>
          <w:sz w:val="24"/>
          <w:szCs w:val="24"/>
        </w:rPr>
        <w:t>less otherwise compelled by law</w:t>
      </w:r>
      <w:r w:rsidRPr="00190D68">
        <w:rPr>
          <w:rFonts w:ascii="Times New Roman" w:hAnsi="Times New Roman" w:cs="Times New Roman"/>
          <w:sz w:val="24"/>
          <w:szCs w:val="24"/>
        </w:rPr>
        <w:t>.</w:t>
      </w:r>
      <w:r w:rsidR="00190D68" w:rsidRPr="00190D68">
        <w:rPr>
          <w:rFonts w:ascii="Times New Roman" w:hAnsi="Times New Roman" w:cs="Times New Roman"/>
          <w:sz w:val="24"/>
          <w:szCs w:val="24"/>
        </w:rPr>
        <w:t xml:space="preserve"> </w:t>
      </w:r>
      <w:r w:rsidRPr="00190D68">
        <w:rPr>
          <w:rFonts w:ascii="Times New Roman" w:hAnsi="Times New Roman" w:cs="Times New Roman"/>
          <w:sz w:val="24"/>
          <w:szCs w:val="24"/>
        </w:rPr>
        <w:t>Identifying information through the screener will be collected by the professional recruiting firm, but only for recruiting purposes and will not be attached to findings.</w:t>
      </w:r>
    </w:p>
    <w:p w:rsidR="00903C4A" w:rsidRPr="00190D68" w:rsidRDefault="00C23ACC" w:rsidP="00190D68">
      <w:pPr>
        <w:spacing w:after="0"/>
        <w:rPr>
          <w:rFonts w:ascii="Times New Roman" w:hAnsi="Times New Roman" w:cs="Times New Roman"/>
          <w:sz w:val="24"/>
          <w:szCs w:val="24"/>
        </w:rPr>
      </w:pPr>
      <w:r w:rsidRPr="00190D68">
        <w:rPr>
          <w:rFonts w:ascii="Times New Roman" w:hAnsi="Times New Roman" w:cs="Times New Roman"/>
          <w:sz w:val="24"/>
          <w:szCs w:val="24"/>
        </w:rPr>
        <w:t xml:space="preserve">Participation in the web focus groups </w:t>
      </w:r>
      <w:r w:rsidR="00190D68" w:rsidRPr="00190D68">
        <w:rPr>
          <w:rFonts w:ascii="Times New Roman" w:hAnsi="Times New Roman" w:cs="Times New Roman"/>
          <w:sz w:val="24"/>
          <w:szCs w:val="24"/>
        </w:rPr>
        <w:t xml:space="preserve">and telephone interviews </w:t>
      </w:r>
      <w:r w:rsidRPr="00190D68">
        <w:rPr>
          <w:rFonts w:ascii="Times New Roman" w:hAnsi="Times New Roman" w:cs="Times New Roman"/>
          <w:sz w:val="24"/>
          <w:szCs w:val="24"/>
        </w:rPr>
        <w:t>is voluntary. Resp</w:t>
      </w:r>
      <w:r w:rsidR="00190D68" w:rsidRPr="00190D68">
        <w:rPr>
          <w:rFonts w:ascii="Times New Roman" w:hAnsi="Times New Roman" w:cs="Times New Roman"/>
          <w:sz w:val="24"/>
          <w:szCs w:val="24"/>
        </w:rPr>
        <w:t xml:space="preserve">ondents will be advised that </w:t>
      </w:r>
      <w:r w:rsidR="00190D68" w:rsidRPr="00190D68">
        <w:rPr>
          <w:rFonts w:ascii="Times New Roman" w:hAnsi="Times New Roman" w:cs="Times New Roman"/>
          <w:color w:val="000000"/>
          <w:sz w:val="24"/>
          <w:szCs w:val="24"/>
        </w:rPr>
        <w:t>all focus group data will be treated securely and will not be disclosed. Neither names nor contact information will be included in any data files, and analyses will be conducted using a de-identified data file. De</w:t>
      </w:r>
      <w:r w:rsidR="009F3CA6">
        <w:rPr>
          <w:rFonts w:ascii="Times New Roman" w:hAnsi="Times New Roman" w:cs="Times New Roman"/>
          <w:color w:val="000000"/>
          <w:sz w:val="24"/>
          <w:szCs w:val="24"/>
        </w:rPr>
        <w:t>-</w:t>
      </w:r>
      <w:r w:rsidR="00190D68" w:rsidRPr="00190D68">
        <w:rPr>
          <w:rFonts w:ascii="Times New Roman" w:hAnsi="Times New Roman" w:cs="Times New Roman"/>
          <w:color w:val="000000"/>
          <w:sz w:val="24"/>
          <w:szCs w:val="24"/>
        </w:rPr>
        <w:t>identified raw data will reside on a password protected share drive at RTI International. R</w:t>
      </w:r>
      <w:r w:rsidR="00190D68" w:rsidRPr="00190D68">
        <w:rPr>
          <w:rFonts w:ascii="Times New Roman" w:eastAsia="Times New Roman" w:hAnsi="Times New Roman" w:cs="Times New Roman"/>
          <w:sz w:val="24"/>
          <w:szCs w:val="24"/>
        </w:rPr>
        <w:t xml:space="preserve">esponses will be aggregated and a summary report provided to the CDC and March of Dimes. </w:t>
      </w:r>
    </w:p>
    <w:p w:rsidR="00C23ACC" w:rsidRDefault="00C23ACC" w:rsidP="007E2E44">
      <w:pPr>
        <w:pStyle w:val="ListParagraph"/>
        <w:spacing w:after="0"/>
        <w:ind w:left="990"/>
        <w:rPr>
          <w:rFonts w:ascii="Times New Roman" w:hAnsi="Times New Roman" w:cs="Times New Roman"/>
          <w:sz w:val="24"/>
          <w:szCs w:val="24"/>
        </w:rPr>
      </w:pPr>
    </w:p>
    <w:p w:rsidR="00B47055" w:rsidRPr="001D0685" w:rsidRDefault="00B47055"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Use of Improved Information Technology and Burden Reduction</w:t>
      </w:r>
    </w:p>
    <w:p w:rsidR="00BA24C0" w:rsidRPr="001D0685" w:rsidRDefault="00BA24C0" w:rsidP="007E2E44">
      <w:pPr>
        <w:spacing w:after="0"/>
        <w:ind w:left="270"/>
        <w:rPr>
          <w:rFonts w:ascii="Times New Roman" w:hAnsi="Times New Roman" w:cs="Times New Roman"/>
          <w:sz w:val="24"/>
          <w:szCs w:val="24"/>
        </w:rPr>
      </w:pPr>
    </w:p>
    <w:p w:rsidR="00655542" w:rsidRDefault="00655542" w:rsidP="00655542">
      <w:pPr>
        <w:pStyle w:val="BodyText1psg"/>
        <w:ind w:firstLine="0"/>
      </w:pPr>
      <w:r>
        <w:t xml:space="preserve">Research staff will conduct six virtual focus groups with consumers via the Internet rather than in person. To conduct the virtual focus groups, we will partner with </w:t>
      </w:r>
      <w:r w:rsidR="00093AC5">
        <w:t xml:space="preserve">Itracks, </w:t>
      </w:r>
      <w:r>
        <w:t xml:space="preserve">an online focus group vendor using a live chat platform. We will host the group as a real-time, live chat session, which allows the moderator to post questions and probes and allows participants to type responses visible to the moderator and all other participants. </w:t>
      </w:r>
      <w:r w:rsidR="00F50F85">
        <w:t xml:space="preserve">At the beginning of each focus group, participants will be asked to complete a consent form (see </w:t>
      </w:r>
      <w:r w:rsidR="00F50F85" w:rsidRPr="00F50F85">
        <w:rPr>
          <w:b/>
        </w:rPr>
        <w:t>Attachments 2, 2a</w:t>
      </w:r>
      <w:r w:rsidR="0035469B">
        <w:t>).</w:t>
      </w:r>
      <w:r>
        <w:t xml:space="preserve">These groups will last approximately 60–90 minutes and involve up to 12 participants in each group. A trained RTI moderator will lead the group and use a semi-structured moderator guide to ask questions, probe for details, and lead participants in an open discussion. </w:t>
      </w:r>
    </w:p>
    <w:p w:rsidR="00190D68" w:rsidRDefault="00C23ACC" w:rsidP="009A7674">
      <w:pPr>
        <w:pStyle w:val="Default"/>
        <w:rPr>
          <w:rFonts w:ascii="Times New Roman" w:hAnsi="Times New Roman" w:cs="Times New Roman"/>
        </w:rPr>
      </w:pPr>
      <w:r w:rsidRPr="009F3CA6">
        <w:rPr>
          <w:rFonts w:ascii="Times New Roman" w:hAnsi="Times New Roman" w:cs="Times New Roman"/>
        </w:rPr>
        <w:t xml:space="preserve">Conducting the virtual focus groups on the internet ensures convenient on demand access by the respondents. </w:t>
      </w:r>
      <w:r w:rsidR="00190D68" w:rsidRPr="009F3CA6">
        <w:rPr>
          <w:rFonts w:ascii="Times New Roman" w:hAnsi="Times New Roman" w:cs="Times New Roman"/>
        </w:rPr>
        <w:t xml:space="preserve"> Virtual data collection will offer important benefits to this study, including </w:t>
      </w:r>
    </w:p>
    <w:p w:rsidR="009F3CA6" w:rsidRPr="009F3CA6" w:rsidRDefault="009F3CA6" w:rsidP="00190D68">
      <w:pPr>
        <w:pStyle w:val="Default"/>
        <w:ind w:firstLine="720"/>
        <w:rPr>
          <w:rFonts w:ascii="Times New Roman" w:hAnsi="Times New Roman" w:cs="Times New Roman"/>
        </w:rPr>
      </w:pPr>
    </w:p>
    <w:p w:rsidR="00190D68" w:rsidRPr="00933220" w:rsidRDefault="00190D68" w:rsidP="00190D68">
      <w:pPr>
        <w:pStyle w:val="ListParagraph"/>
        <w:numPr>
          <w:ilvl w:val="0"/>
          <w:numId w:val="56"/>
        </w:numPr>
        <w:autoSpaceDE w:val="0"/>
        <w:autoSpaceDN w:val="0"/>
        <w:adjustRightInd w:val="0"/>
        <w:spacing w:after="34"/>
        <w:rPr>
          <w:rFonts w:ascii="Times New Roman" w:hAnsi="Times New Roman" w:cs="Times New Roman"/>
          <w:color w:val="000000"/>
          <w:sz w:val="24"/>
          <w:szCs w:val="24"/>
        </w:rPr>
      </w:pPr>
      <w:r w:rsidRPr="00933220">
        <w:rPr>
          <w:rFonts w:ascii="Times New Roman" w:hAnsi="Times New Roman" w:cs="Times New Roman"/>
          <w:color w:val="000000"/>
          <w:sz w:val="24"/>
          <w:szCs w:val="24"/>
        </w:rPr>
        <w:lastRenderedPageBreak/>
        <w:t>offering participants more privacy and anonymity (which may be important for women who may have chronic conditions or who may perceive taking medication during pregnancy as a sensitive topic)</w:t>
      </w:r>
      <w:r>
        <w:rPr>
          <w:rFonts w:ascii="Times New Roman" w:hAnsi="Times New Roman" w:cs="Times New Roman"/>
          <w:color w:val="000000"/>
          <w:sz w:val="24"/>
          <w:szCs w:val="24"/>
        </w:rPr>
        <w:t>;</w:t>
      </w:r>
      <w:r w:rsidRPr="00933220">
        <w:rPr>
          <w:rFonts w:ascii="Times New Roman" w:hAnsi="Times New Roman" w:cs="Times New Roman"/>
          <w:color w:val="000000"/>
          <w:sz w:val="24"/>
          <w:szCs w:val="24"/>
        </w:rPr>
        <w:t xml:space="preserve"> </w:t>
      </w:r>
    </w:p>
    <w:p w:rsidR="00190D68" w:rsidRPr="00933220" w:rsidRDefault="00190D68" w:rsidP="00190D68">
      <w:pPr>
        <w:pStyle w:val="ListParagraph"/>
        <w:numPr>
          <w:ilvl w:val="0"/>
          <w:numId w:val="56"/>
        </w:numPr>
        <w:autoSpaceDE w:val="0"/>
        <w:autoSpaceDN w:val="0"/>
        <w:adjustRightInd w:val="0"/>
        <w:spacing w:after="34"/>
        <w:rPr>
          <w:rFonts w:ascii="Times New Roman" w:hAnsi="Times New Roman" w:cs="Times New Roman"/>
          <w:color w:val="000000"/>
          <w:sz w:val="24"/>
          <w:szCs w:val="24"/>
        </w:rPr>
      </w:pPr>
      <w:r w:rsidRPr="00933220">
        <w:rPr>
          <w:rFonts w:ascii="Times New Roman" w:hAnsi="Times New Roman" w:cs="Times New Roman"/>
          <w:color w:val="000000"/>
          <w:sz w:val="24"/>
          <w:szCs w:val="24"/>
        </w:rPr>
        <w:t xml:space="preserve">allowing us to recruit very specific populations from a national sample and </w:t>
      </w:r>
      <w:r>
        <w:rPr>
          <w:rFonts w:ascii="Times New Roman" w:hAnsi="Times New Roman" w:cs="Times New Roman"/>
          <w:color w:val="000000"/>
          <w:sz w:val="24"/>
          <w:szCs w:val="24"/>
        </w:rPr>
        <w:t xml:space="preserve">allowing </w:t>
      </w:r>
      <w:r w:rsidRPr="00933220">
        <w:rPr>
          <w:rFonts w:ascii="Times New Roman" w:hAnsi="Times New Roman" w:cs="Times New Roman"/>
          <w:color w:val="000000"/>
          <w:sz w:val="24"/>
          <w:szCs w:val="24"/>
        </w:rPr>
        <w:t xml:space="preserve">people </w:t>
      </w:r>
      <w:r>
        <w:rPr>
          <w:rFonts w:ascii="Times New Roman" w:hAnsi="Times New Roman" w:cs="Times New Roman"/>
          <w:color w:val="000000"/>
          <w:sz w:val="24"/>
          <w:szCs w:val="24"/>
        </w:rPr>
        <w:t>to</w:t>
      </w:r>
      <w:r w:rsidRPr="00933220">
        <w:rPr>
          <w:rFonts w:ascii="Times New Roman" w:hAnsi="Times New Roman" w:cs="Times New Roman"/>
          <w:color w:val="000000"/>
          <w:sz w:val="24"/>
          <w:szCs w:val="24"/>
        </w:rPr>
        <w:t xml:space="preserve"> participate at a location of their choosing</w:t>
      </w:r>
      <w:r>
        <w:rPr>
          <w:rFonts w:ascii="Times New Roman" w:hAnsi="Times New Roman" w:cs="Times New Roman"/>
          <w:color w:val="000000"/>
          <w:sz w:val="24"/>
          <w:szCs w:val="24"/>
        </w:rPr>
        <w:t>; and</w:t>
      </w:r>
      <w:r w:rsidRPr="00933220">
        <w:rPr>
          <w:rFonts w:ascii="Times New Roman" w:hAnsi="Times New Roman" w:cs="Times New Roman"/>
          <w:color w:val="000000"/>
          <w:sz w:val="24"/>
          <w:szCs w:val="24"/>
        </w:rPr>
        <w:t xml:space="preserve"> </w:t>
      </w:r>
    </w:p>
    <w:p w:rsidR="00190D68" w:rsidRPr="00933220" w:rsidRDefault="00190D68" w:rsidP="00190D68">
      <w:pPr>
        <w:pStyle w:val="ListParagraph"/>
        <w:numPr>
          <w:ilvl w:val="0"/>
          <w:numId w:val="56"/>
        </w:numPr>
        <w:autoSpaceDE w:val="0"/>
        <w:autoSpaceDN w:val="0"/>
        <w:adjustRightInd w:val="0"/>
        <w:rPr>
          <w:rFonts w:ascii="Times New Roman" w:hAnsi="Times New Roman" w:cs="Times New Roman"/>
          <w:color w:val="000000"/>
          <w:sz w:val="24"/>
          <w:szCs w:val="24"/>
        </w:rPr>
      </w:pPr>
      <w:r w:rsidRPr="00933220">
        <w:rPr>
          <w:rFonts w:ascii="Times New Roman" w:hAnsi="Times New Roman" w:cs="Times New Roman"/>
          <w:color w:val="000000"/>
          <w:sz w:val="24"/>
          <w:szCs w:val="24"/>
        </w:rPr>
        <w:t>producing transcripts instantaneously</w:t>
      </w:r>
      <w:r>
        <w:rPr>
          <w:rFonts w:ascii="Times New Roman" w:hAnsi="Times New Roman" w:cs="Times New Roman"/>
          <w:color w:val="000000"/>
          <w:sz w:val="24"/>
          <w:szCs w:val="24"/>
        </w:rPr>
        <w:t>,</w:t>
      </w:r>
      <w:r w:rsidRPr="00933220">
        <w:rPr>
          <w:rFonts w:ascii="Times New Roman" w:hAnsi="Times New Roman" w:cs="Times New Roman"/>
          <w:color w:val="000000"/>
          <w:sz w:val="24"/>
          <w:szCs w:val="24"/>
        </w:rPr>
        <w:t xml:space="preserve"> and because travel time for staff is eliminated data analysis can commence immediately, which will result in </w:t>
      </w:r>
      <w:r>
        <w:rPr>
          <w:rFonts w:ascii="Times New Roman" w:hAnsi="Times New Roman" w:cs="Times New Roman"/>
          <w:color w:val="000000"/>
          <w:sz w:val="24"/>
          <w:szCs w:val="24"/>
        </w:rPr>
        <w:t>more rapid</w:t>
      </w:r>
      <w:r w:rsidRPr="00933220">
        <w:rPr>
          <w:rFonts w:ascii="Times New Roman" w:hAnsi="Times New Roman" w:cs="Times New Roman"/>
          <w:color w:val="000000"/>
          <w:sz w:val="24"/>
          <w:szCs w:val="24"/>
        </w:rPr>
        <w:t xml:space="preserve"> turnaround of topline reports. </w:t>
      </w:r>
    </w:p>
    <w:p w:rsidR="00C5062D" w:rsidRPr="001D0685" w:rsidRDefault="00C5062D" w:rsidP="007E2E44">
      <w:pPr>
        <w:pStyle w:val="ListParagraph"/>
        <w:spacing w:after="0"/>
        <w:ind w:left="270"/>
        <w:rPr>
          <w:rFonts w:ascii="Times New Roman" w:hAnsi="Times New Roman" w:cs="Times New Roman"/>
          <w:sz w:val="24"/>
          <w:szCs w:val="24"/>
        </w:rPr>
      </w:pPr>
    </w:p>
    <w:p w:rsidR="00B47055" w:rsidRPr="001D0685" w:rsidRDefault="00B47055"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Efforts to Identify Duplication and Use of Similar Information</w:t>
      </w:r>
    </w:p>
    <w:p w:rsidR="0018790B" w:rsidRDefault="0018790B" w:rsidP="007E2E44">
      <w:pPr>
        <w:pStyle w:val="ListParagraph"/>
        <w:spacing w:after="0"/>
        <w:ind w:left="270"/>
        <w:rPr>
          <w:rFonts w:ascii="Times New Roman" w:hAnsi="Times New Roman" w:cs="Times New Roman"/>
          <w:sz w:val="24"/>
          <w:szCs w:val="24"/>
        </w:rPr>
      </w:pPr>
    </w:p>
    <w:p w:rsidR="009B7039" w:rsidRDefault="00414B2E" w:rsidP="0018790B">
      <w:pPr>
        <w:pStyle w:val="ListParagraph"/>
        <w:spacing w:after="0"/>
        <w:ind w:left="270"/>
        <w:rPr>
          <w:rFonts w:ascii="Times New Roman" w:hAnsi="Times New Roman" w:cs="Times New Roman"/>
          <w:sz w:val="24"/>
          <w:szCs w:val="24"/>
        </w:rPr>
      </w:pPr>
      <w:r w:rsidRPr="001D0685">
        <w:rPr>
          <w:rFonts w:ascii="Times New Roman" w:hAnsi="Times New Roman" w:cs="Times New Roman"/>
          <w:sz w:val="24"/>
          <w:szCs w:val="24"/>
        </w:rPr>
        <w:t xml:space="preserve">There are no other studies that have been documented in the literature reporting on </w:t>
      </w:r>
      <w:r w:rsidR="00F72507" w:rsidRPr="001D0685">
        <w:rPr>
          <w:rFonts w:ascii="Times New Roman" w:hAnsi="Times New Roman" w:cs="Times New Roman"/>
          <w:sz w:val="24"/>
          <w:szCs w:val="24"/>
        </w:rPr>
        <w:t>efforts</w:t>
      </w:r>
      <w:r w:rsidRPr="001D0685">
        <w:rPr>
          <w:rFonts w:ascii="Times New Roman" w:hAnsi="Times New Roman" w:cs="Times New Roman"/>
          <w:sz w:val="24"/>
          <w:szCs w:val="24"/>
        </w:rPr>
        <w:t xml:space="preserve"> to </w:t>
      </w:r>
      <w:r w:rsidR="0018790B">
        <w:rPr>
          <w:rFonts w:ascii="Times New Roman" w:hAnsi="Times New Roman" w:cs="Times New Roman"/>
          <w:sz w:val="24"/>
          <w:szCs w:val="24"/>
        </w:rPr>
        <w:t>identify different perspectives on and experiences with medication use during pregnancy.</w:t>
      </w:r>
    </w:p>
    <w:p w:rsidR="0018790B" w:rsidRPr="001D0685" w:rsidRDefault="0018790B" w:rsidP="0018790B">
      <w:pPr>
        <w:pStyle w:val="ListParagraph"/>
        <w:spacing w:after="0"/>
        <w:ind w:left="270"/>
        <w:rPr>
          <w:rFonts w:ascii="Times New Roman" w:hAnsi="Times New Roman" w:cs="Times New Roman"/>
          <w:sz w:val="24"/>
          <w:szCs w:val="24"/>
        </w:rPr>
      </w:pPr>
    </w:p>
    <w:p w:rsidR="00B12F51" w:rsidRPr="0018790B" w:rsidRDefault="00B47055"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Impact on Small Businesses or Other Small Entities</w:t>
      </w:r>
    </w:p>
    <w:p w:rsidR="0018790B" w:rsidRDefault="0018790B" w:rsidP="0018790B">
      <w:pPr>
        <w:pStyle w:val="ListParagraph"/>
        <w:ind w:left="360"/>
        <w:rPr>
          <w:rFonts w:ascii="Calibri" w:hAnsi="Calibri"/>
        </w:rPr>
      </w:pPr>
    </w:p>
    <w:p w:rsidR="0018790B" w:rsidRPr="0018790B" w:rsidRDefault="0018790B" w:rsidP="0018790B">
      <w:pPr>
        <w:pStyle w:val="ListParagraph"/>
        <w:ind w:left="360"/>
        <w:rPr>
          <w:rFonts w:ascii="Times New Roman" w:hAnsi="Times New Roman" w:cs="Times New Roman"/>
          <w:sz w:val="24"/>
          <w:szCs w:val="24"/>
        </w:rPr>
      </w:pPr>
      <w:r w:rsidRPr="0018790B">
        <w:rPr>
          <w:rFonts w:ascii="Times New Roman" w:hAnsi="Times New Roman" w:cs="Times New Roman"/>
          <w:sz w:val="24"/>
          <w:szCs w:val="24"/>
        </w:rPr>
        <w:t xml:space="preserve">There is no burden on small businesses or small entities. No small businesses will be involved in this activity.  The </w:t>
      </w:r>
      <w:r>
        <w:rPr>
          <w:rFonts w:ascii="Times New Roman" w:hAnsi="Times New Roman" w:cs="Times New Roman"/>
          <w:sz w:val="24"/>
          <w:szCs w:val="24"/>
        </w:rPr>
        <w:t xml:space="preserve">virtual </w:t>
      </w:r>
      <w:r w:rsidRPr="0018790B">
        <w:rPr>
          <w:rFonts w:ascii="Times New Roman" w:hAnsi="Times New Roman" w:cs="Times New Roman"/>
          <w:sz w:val="24"/>
          <w:szCs w:val="24"/>
        </w:rPr>
        <w:t xml:space="preserve">focus groups </w:t>
      </w:r>
      <w:r>
        <w:rPr>
          <w:rFonts w:ascii="Times New Roman" w:hAnsi="Times New Roman" w:cs="Times New Roman"/>
          <w:sz w:val="24"/>
          <w:szCs w:val="24"/>
        </w:rPr>
        <w:t xml:space="preserve">and follow-up interviews </w:t>
      </w:r>
      <w:r w:rsidRPr="0018790B">
        <w:rPr>
          <w:rFonts w:ascii="Times New Roman" w:hAnsi="Times New Roman" w:cs="Times New Roman"/>
          <w:sz w:val="24"/>
          <w:szCs w:val="24"/>
        </w:rPr>
        <w:t>will be completed at the convenience of the participants and will not impact the participants’ employers.</w:t>
      </w:r>
    </w:p>
    <w:p w:rsidR="0018790B" w:rsidRDefault="0018790B" w:rsidP="0018790B">
      <w:pPr>
        <w:pStyle w:val="ListParagraph"/>
        <w:spacing w:after="0"/>
        <w:ind w:left="360"/>
        <w:rPr>
          <w:rFonts w:ascii="Times New Roman" w:hAnsi="Times New Roman" w:cs="Times New Roman"/>
          <w:b/>
          <w:sz w:val="24"/>
          <w:szCs w:val="24"/>
        </w:rPr>
      </w:pPr>
    </w:p>
    <w:p w:rsidR="00AD2D6F" w:rsidRPr="001D0685" w:rsidRDefault="00B47055"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Consequences of Collecting the Information Less Frequently</w:t>
      </w:r>
    </w:p>
    <w:p w:rsidR="0018790B" w:rsidRDefault="0018790B" w:rsidP="0018790B">
      <w:pPr>
        <w:pStyle w:val="ListParagraph"/>
        <w:spacing w:after="0"/>
        <w:ind w:left="360"/>
        <w:rPr>
          <w:rFonts w:asciiTheme="majorHAnsi" w:hAnsiTheme="majorHAnsi"/>
          <w:sz w:val="24"/>
          <w:szCs w:val="24"/>
        </w:rPr>
      </w:pPr>
    </w:p>
    <w:p w:rsidR="0018790B" w:rsidRPr="0018790B" w:rsidRDefault="0018790B" w:rsidP="0018790B">
      <w:pPr>
        <w:pStyle w:val="ListParagraph"/>
        <w:spacing w:after="0"/>
        <w:ind w:left="360"/>
        <w:rPr>
          <w:rFonts w:ascii="Times New Roman" w:hAnsi="Times New Roman" w:cs="Times New Roman"/>
          <w:sz w:val="24"/>
          <w:szCs w:val="24"/>
        </w:rPr>
      </w:pPr>
      <w:r w:rsidRPr="0018790B">
        <w:rPr>
          <w:rFonts w:ascii="Times New Roman" w:hAnsi="Times New Roman" w:cs="Times New Roman"/>
          <w:sz w:val="24"/>
          <w:szCs w:val="24"/>
        </w:rPr>
        <w:t>This request is for a one time data collection.  There are no legal obstacles to reduce the burden.</w:t>
      </w:r>
    </w:p>
    <w:p w:rsidR="009B7039" w:rsidRPr="001D0685" w:rsidRDefault="009B7039">
      <w:pPr>
        <w:spacing w:after="0"/>
        <w:rPr>
          <w:rFonts w:ascii="Times New Roman" w:hAnsi="Times New Roman" w:cs="Times New Roman"/>
          <w:sz w:val="24"/>
          <w:szCs w:val="24"/>
        </w:rPr>
      </w:pPr>
    </w:p>
    <w:p w:rsidR="00B12F51" w:rsidRPr="001D0685" w:rsidRDefault="00B47055"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Special Circumstances</w:t>
      </w:r>
      <w:r w:rsidR="0051226B" w:rsidRPr="001D0685">
        <w:rPr>
          <w:rFonts w:ascii="Times New Roman" w:hAnsi="Times New Roman" w:cs="Times New Roman"/>
          <w:b/>
          <w:bCs/>
          <w:sz w:val="24"/>
          <w:szCs w:val="24"/>
        </w:rPr>
        <w:t xml:space="preserve"> </w:t>
      </w:r>
      <w:r w:rsidRPr="001D0685">
        <w:rPr>
          <w:rFonts w:ascii="Times New Roman" w:hAnsi="Times New Roman" w:cs="Times New Roman"/>
          <w:b/>
          <w:bCs/>
          <w:sz w:val="24"/>
          <w:szCs w:val="24"/>
        </w:rPr>
        <w:t>Relating to the Guidelines of 5 CFR 1320.5</w:t>
      </w:r>
    </w:p>
    <w:p w:rsidR="00AB2065" w:rsidRPr="001D0685" w:rsidRDefault="00AB2065" w:rsidP="003C07B0">
      <w:pPr>
        <w:spacing w:after="0"/>
        <w:ind w:left="360"/>
        <w:rPr>
          <w:rFonts w:ascii="Times New Roman" w:hAnsi="Times New Roman" w:cs="Times New Roman"/>
          <w:sz w:val="24"/>
          <w:szCs w:val="24"/>
        </w:rPr>
      </w:pPr>
    </w:p>
    <w:p w:rsidR="00F52BCC" w:rsidRDefault="00A809AA" w:rsidP="003C07B0">
      <w:pPr>
        <w:spacing w:after="0"/>
        <w:ind w:left="360"/>
        <w:rPr>
          <w:rFonts w:ascii="Times New Roman" w:hAnsi="Times New Roman" w:cs="Times New Roman"/>
          <w:sz w:val="24"/>
          <w:szCs w:val="24"/>
        </w:rPr>
      </w:pPr>
      <w:r w:rsidRPr="001D0685">
        <w:rPr>
          <w:rFonts w:ascii="Times New Roman" w:hAnsi="Times New Roman" w:cs="Times New Roman"/>
          <w:sz w:val="24"/>
          <w:szCs w:val="24"/>
        </w:rPr>
        <w:t xml:space="preserve">There are no special circumstances with this information collection package. </w:t>
      </w:r>
      <w:r w:rsidR="00835CA7" w:rsidRPr="001D0685">
        <w:rPr>
          <w:rFonts w:ascii="Times New Roman" w:hAnsi="Times New Roman" w:cs="Times New Roman"/>
          <w:sz w:val="24"/>
          <w:szCs w:val="24"/>
        </w:rPr>
        <w:t>This request fully complies with the regulation 5 CFR 1320.5</w:t>
      </w:r>
      <w:r w:rsidR="00D95FBF" w:rsidRPr="001D0685">
        <w:rPr>
          <w:rFonts w:ascii="Times New Roman" w:hAnsi="Times New Roman" w:cs="Times New Roman"/>
          <w:sz w:val="24"/>
          <w:szCs w:val="24"/>
        </w:rPr>
        <w:t xml:space="preserve"> and will be voluntary</w:t>
      </w:r>
      <w:r w:rsidR="00835CA7" w:rsidRPr="001D0685">
        <w:rPr>
          <w:rFonts w:ascii="Times New Roman" w:hAnsi="Times New Roman" w:cs="Times New Roman"/>
          <w:sz w:val="24"/>
          <w:szCs w:val="24"/>
        </w:rPr>
        <w:t>.</w:t>
      </w:r>
    </w:p>
    <w:p w:rsidR="00D02F4C" w:rsidRPr="001D0685" w:rsidRDefault="00D02F4C" w:rsidP="003C07B0">
      <w:pPr>
        <w:pStyle w:val="ListParagraph"/>
        <w:spacing w:after="0"/>
        <w:ind w:left="630"/>
        <w:rPr>
          <w:rFonts w:ascii="Times New Roman" w:hAnsi="Times New Roman" w:cs="Times New Roman"/>
          <w:sz w:val="24"/>
          <w:szCs w:val="24"/>
        </w:rPr>
      </w:pPr>
    </w:p>
    <w:p w:rsidR="00B12F51" w:rsidRPr="001D0685" w:rsidRDefault="0088467A" w:rsidP="003C07B0">
      <w:pPr>
        <w:pStyle w:val="ListParagraph"/>
        <w:numPr>
          <w:ilvl w:val="0"/>
          <w:numId w:val="40"/>
        </w:numPr>
        <w:spacing w:after="0"/>
        <w:rPr>
          <w:rFonts w:ascii="Times New Roman" w:hAnsi="Times New Roman" w:cs="Times New Roman"/>
          <w:b/>
          <w:bCs/>
          <w:sz w:val="24"/>
          <w:szCs w:val="24"/>
        </w:rPr>
      </w:pPr>
      <w:r w:rsidRPr="001D0685">
        <w:rPr>
          <w:rFonts w:ascii="Times New Roman" w:hAnsi="Times New Roman" w:cs="Times New Roman"/>
          <w:b/>
          <w:bCs/>
          <w:sz w:val="24"/>
          <w:szCs w:val="24"/>
        </w:rPr>
        <w:t>Comments in Response to the Federal Register Notice and Efforts to Consult Outside the Agency</w:t>
      </w:r>
    </w:p>
    <w:p w:rsidR="00D4347D" w:rsidRPr="001D0685" w:rsidRDefault="00D4347D" w:rsidP="00D4347D">
      <w:pPr>
        <w:pStyle w:val="ListParagraph"/>
        <w:spacing w:after="0"/>
        <w:ind w:left="360"/>
        <w:rPr>
          <w:rFonts w:ascii="Times New Roman" w:hAnsi="Times New Roman" w:cs="Times New Roman"/>
          <w:b/>
          <w:bCs/>
          <w:sz w:val="24"/>
          <w:szCs w:val="24"/>
        </w:rPr>
      </w:pPr>
    </w:p>
    <w:p w:rsidR="00A809AA" w:rsidRPr="001D0685" w:rsidRDefault="00C768E5" w:rsidP="007E2E44">
      <w:pPr>
        <w:pStyle w:val="ListParagraph"/>
        <w:numPr>
          <w:ilvl w:val="0"/>
          <w:numId w:val="28"/>
        </w:numPr>
        <w:autoSpaceDE w:val="0"/>
        <w:autoSpaceDN w:val="0"/>
        <w:adjustRightInd w:val="0"/>
        <w:spacing w:after="0"/>
        <w:ind w:left="630"/>
        <w:rPr>
          <w:rFonts w:ascii="Times New Roman" w:hAnsi="Times New Roman" w:cs="Times New Roman"/>
          <w:sz w:val="24"/>
          <w:szCs w:val="24"/>
        </w:rPr>
      </w:pPr>
      <w:r w:rsidRPr="001D0685">
        <w:rPr>
          <w:rFonts w:ascii="Times New Roman" w:hAnsi="Times New Roman" w:cs="Times New Roman"/>
          <w:sz w:val="24"/>
          <w:szCs w:val="24"/>
        </w:rPr>
        <w:t xml:space="preserve">This data collection is being conducted using the Generic Information Collection mechanism of the </w:t>
      </w:r>
      <w:r w:rsidR="00733FE5" w:rsidRPr="001D0685">
        <w:rPr>
          <w:rFonts w:ascii="Times New Roman" w:hAnsi="Times New Roman" w:cs="Times New Roman"/>
          <w:sz w:val="24"/>
          <w:szCs w:val="24"/>
        </w:rPr>
        <w:t>NCBDDD</w:t>
      </w:r>
      <w:r w:rsidRPr="001D0685">
        <w:rPr>
          <w:rFonts w:ascii="Times New Roman" w:hAnsi="Times New Roman" w:cs="Times New Roman"/>
          <w:sz w:val="24"/>
          <w:szCs w:val="24"/>
        </w:rPr>
        <w:t xml:space="preserve"> – OMB No. 0920-0</w:t>
      </w:r>
      <w:r w:rsidR="00733FE5" w:rsidRPr="001D0685">
        <w:rPr>
          <w:rFonts w:ascii="Times New Roman" w:hAnsi="Times New Roman" w:cs="Times New Roman"/>
          <w:sz w:val="24"/>
          <w:szCs w:val="24"/>
        </w:rPr>
        <w:t>990</w:t>
      </w:r>
      <w:r w:rsidRPr="001D0685">
        <w:rPr>
          <w:rFonts w:ascii="Times New Roman" w:hAnsi="Times New Roman" w:cs="Times New Roman"/>
          <w:sz w:val="24"/>
          <w:szCs w:val="24"/>
        </w:rPr>
        <w:t xml:space="preserve">. </w:t>
      </w:r>
      <w:r w:rsidR="00A809AA" w:rsidRPr="001D0685">
        <w:rPr>
          <w:rFonts w:ascii="Times New Roman" w:hAnsi="Times New Roman" w:cs="Times New Roman"/>
          <w:sz w:val="24"/>
          <w:szCs w:val="24"/>
        </w:rPr>
        <w:t xml:space="preserve">A 60-day Federal Register Notice was published in the Federal Register on </w:t>
      </w:r>
      <w:r w:rsidR="008A6DB8" w:rsidRPr="001D0685">
        <w:rPr>
          <w:rFonts w:ascii="Times New Roman" w:hAnsi="Times New Roman" w:cs="Times New Roman"/>
          <w:sz w:val="24"/>
          <w:szCs w:val="24"/>
        </w:rPr>
        <w:t xml:space="preserve">March 6, 2013, </w:t>
      </w:r>
      <w:r w:rsidR="00A809AA" w:rsidRPr="001D0685">
        <w:rPr>
          <w:rFonts w:ascii="Times New Roman" w:hAnsi="Times New Roman" w:cs="Times New Roman"/>
          <w:sz w:val="24"/>
          <w:szCs w:val="24"/>
        </w:rPr>
        <w:t xml:space="preserve">Vol. </w:t>
      </w:r>
      <w:r w:rsidR="008A6DB8" w:rsidRPr="001D0685">
        <w:rPr>
          <w:rFonts w:ascii="Times New Roman" w:hAnsi="Times New Roman" w:cs="Times New Roman"/>
          <w:sz w:val="24"/>
          <w:szCs w:val="24"/>
        </w:rPr>
        <w:t>78</w:t>
      </w:r>
      <w:r w:rsidR="00A809AA" w:rsidRPr="001D0685">
        <w:rPr>
          <w:rFonts w:ascii="Times New Roman" w:hAnsi="Times New Roman" w:cs="Times New Roman"/>
          <w:sz w:val="24"/>
          <w:szCs w:val="24"/>
        </w:rPr>
        <w:t xml:space="preserve">, No. </w:t>
      </w:r>
      <w:r w:rsidR="008A6DB8" w:rsidRPr="001D0685">
        <w:rPr>
          <w:rFonts w:ascii="Times New Roman" w:hAnsi="Times New Roman" w:cs="Times New Roman"/>
          <w:sz w:val="24"/>
          <w:szCs w:val="24"/>
        </w:rPr>
        <w:t>44</w:t>
      </w:r>
      <w:r w:rsidR="00D861ED" w:rsidRPr="001D0685">
        <w:rPr>
          <w:rFonts w:ascii="Times New Roman" w:hAnsi="Times New Roman" w:cs="Times New Roman"/>
          <w:sz w:val="24"/>
          <w:szCs w:val="24"/>
        </w:rPr>
        <w:t>;</w:t>
      </w:r>
      <w:r w:rsidR="00A809AA" w:rsidRPr="001D0685">
        <w:rPr>
          <w:rFonts w:ascii="Times New Roman" w:hAnsi="Times New Roman" w:cs="Times New Roman"/>
          <w:sz w:val="24"/>
          <w:szCs w:val="24"/>
        </w:rPr>
        <w:t xml:space="preserve"> pp. </w:t>
      </w:r>
      <w:r w:rsidR="008A6DB8" w:rsidRPr="001D0685">
        <w:rPr>
          <w:rFonts w:ascii="Times New Roman" w:hAnsi="Times New Roman" w:cs="Times New Roman"/>
          <w:sz w:val="24"/>
          <w:szCs w:val="24"/>
        </w:rPr>
        <w:t>14553-14554</w:t>
      </w:r>
      <w:r w:rsidR="00A809AA" w:rsidRPr="001D0685">
        <w:rPr>
          <w:rFonts w:ascii="Times New Roman" w:hAnsi="Times New Roman" w:cs="Times New Roman"/>
          <w:sz w:val="24"/>
          <w:szCs w:val="24"/>
        </w:rPr>
        <w:t xml:space="preserve">.  </w:t>
      </w:r>
      <w:r w:rsidR="008A6DB8" w:rsidRPr="001D0685">
        <w:rPr>
          <w:rFonts w:ascii="Times New Roman" w:hAnsi="Times New Roman" w:cs="Times New Roman"/>
          <w:sz w:val="24"/>
          <w:szCs w:val="24"/>
        </w:rPr>
        <w:t xml:space="preserve">One non-substantive </w:t>
      </w:r>
      <w:r w:rsidR="00A809AA" w:rsidRPr="001D0685">
        <w:rPr>
          <w:rFonts w:ascii="Times New Roman" w:hAnsi="Times New Roman" w:cs="Times New Roman"/>
          <w:sz w:val="24"/>
          <w:szCs w:val="24"/>
        </w:rPr>
        <w:t>comment w</w:t>
      </w:r>
      <w:r w:rsidR="008A6DB8" w:rsidRPr="001D0685">
        <w:rPr>
          <w:rFonts w:ascii="Times New Roman" w:hAnsi="Times New Roman" w:cs="Times New Roman"/>
          <w:sz w:val="24"/>
          <w:szCs w:val="24"/>
        </w:rPr>
        <w:t>as</w:t>
      </w:r>
      <w:r w:rsidR="00A809AA" w:rsidRPr="001D0685">
        <w:rPr>
          <w:rFonts w:ascii="Times New Roman" w:hAnsi="Times New Roman" w:cs="Times New Roman"/>
          <w:sz w:val="24"/>
          <w:szCs w:val="24"/>
        </w:rPr>
        <w:t xml:space="preserve"> received </w:t>
      </w:r>
      <w:r w:rsidR="00733FE5" w:rsidRPr="001D0685">
        <w:rPr>
          <w:rFonts w:ascii="Times New Roman" w:hAnsi="Times New Roman" w:cs="Times New Roman"/>
          <w:sz w:val="24"/>
          <w:szCs w:val="24"/>
        </w:rPr>
        <w:t>in response to this notice.</w:t>
      </w:r>
    </w:p>
    <w:p w:rsidR="002E6AF7" w:rsidRDefault="002E6AF7" w:rsidP="00CC4060">
      <w:pPr>
        <w:spacing w:after="0"/>
        <w:rPr>
          <w:rFonts w:ascii="Times New Roman" w:hAnsi="Times New Roman" w:cs="Times New Roman"/>
          <w:sz w:val="24"/>
          <w:szCs w:val="24"/>
        </w:rPr>
      </w:pPr>
    </w:p>
    <w:p w:rsidR="002F78D7" w:rsidRPr="001D0685" w:rsidRDefault="002F78D7" w:rsidP="00CC4060">
      <w:pPr>
        <w:spacing w:after="0"/>
        <w:rPr>
          <w:rFonts w:ascii="Times New Roman" w:hAnsi="Times New Roman" w:cs="Times New Roman"/>
          <w:sz w:val="24"/>
          <w:szCs w:val="24"/>
        </w:rPr>
      </w:pPr>
    </w:p>
    <w:p w:rsidR="002A09EE" w:rsidRPr="001D0685" w:rsidRDefault="002A09EE" w:rsidP="007E2E44">
      <w:pPr>
        <w:pStyle w:val="ListParagraph"/>
        <w:numPr>
          <w:ilvl w:val="0"/>
          <w:numId w:val="28"/>
        </w:numPr>
        <w:autoSpaceDE w:val="0"/>
        <w:autoSpaceDN w:val="0"/>
        <w:adjustRightInd w:val="0"/>
        <w:spacing w:after="0"/>
        <w:ind w:left="630"/>
        <w:rPr>
          <w:rFonts w:ascii="Times New Roman" w:hAnsi="Times New Roman" w:cs="Times New Roman"/>
          <w:sz w:val="24"/>
          <w:szCs w:val="24"/>
        </w:rPr>
      </w:pPr>
      <w:r w:rsidRPr="001D0685">
        <w:rPr>
          <w:rFonts w:ascii="Times New Roman" w:hAnsi="Times New Roman" w:cs="Times New Roman"/>
          <w:sz w:val="24"/>
          <w:szCs w:val="24"/>
        </w:rPr>
        <w:lastRenderedPageBreak/>
        <w:t>Project Partners and Collaborators</w:t>
      </w:r>
      <w:r w:rsidR="003C08B7">
        <w:rPr>
          <w:rFonts w:ascii="Times New Roman" w:hAnsi="Times New Roman" w:cs="Times New Roman"/>
          <w:sz w:val="24"/>
          <w:szCs w:val="24"/>
        </w:rPr>
        <w:t>.</w:t>
      </w:r>
    </w:p>
    <w:p w:rsidR="001A0C8D" w:rsidRDefault="001A0C8D" w:rsidP="009F3CA6">
      <w:pPr>
        <w:pStyle w:val="NoSpacing"/>
        <w:rPr>
          <w:rFonts w:ascii="Times New Roman" w:hAnsi="Times New Roman" w:cs="Times New Roman"/>
          <w:sz w:val="24"/>
          <w:szCs w:val="24"/>
        </w:rPr>
      </w:pP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Linda Squiers, PhD</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Senior Health Communication Scientist</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RTI International</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6110 Executive Boulevard, Suite 902</w:t>
      </w:r>
      <w:r w:rsidRPr="009F3CA6">
        <w:rPr>
          <w:rFonts w:ascii="Times New Roman" w:hAnsi="Times New Roman" w:cs="Times New Roman"/>
          <w:sz w:val="24"/>
          <w:szCs w:val="24"/>
        </w:rPr>
        <w:br/>
        <w:t>Rockville, Maryland 20852</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Phone: 919-541-6834</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Email: lsquiers@rti.org</w:t>
      </w:r>
    </w:p>
    <w:p w:rsidR="00D43F5C" w:rsidRPr="00D43F5C" w:rsidRDefault="00D43F5C" w:rsidP="00D43F5C">
      <w:pPr>
        <w:spacing w:line="240" w:lineRule="auto"/>
        <w:rPr>
          <w:rFonts w:ascii="Times New Roman" w:hAnsi="Times New Roman" w:cs="Times New Roman"/>
          <w:sz w:val="24"/>
          <w:szCs w:val="24"/>
        </w:rPr>
      </w:pP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Molly Lynch, MPH</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Research Analyst</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RTI International</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3040 Cornwallis Blvd</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RTP, NC 27609</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Phone: 919-485-2709</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Email: mlynch@rti.org</w:t>
      </w:r>
    </w:p>
    <w:p w:rsidR="00D43F5C" w:rsidRPr="00D43F5C" w:rsidRDefault="00D43F5C" w:rsidP="00D43F5C">
      <w:pPr>
        <w:spacing w:line="240" w:lineRule="auto"/>
        <w:rPr>
          <w:rFonts w:ascii="Times New Roman" w:hAnsi="Times New Roman" w:cs="Times New Roman"/>
          <w:sz w:val="24"/>
          <w:szCs w:val="24"/>
        </w:rPr>
      </w:pP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Janis Biermann, MS</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Sr. Vice President, Education &amp; Health Promotion</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March of Dimes Foundation</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1275 Mamaroneck Ave.</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White Plains, NY  10605</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914-997-4464 - Phone</w:t>
      </w:r>
    </w:p>
    <w:p w:rsidR="00D43F5C" w:rsidRPr="009F3CA6" w:rsidRDefault="00D43F5C" w:rsidP="009F3CA6">
      <w:pPr>
        <w:pStyle w:val="NoSpacing"/>
        <w:rPr>
          <w:rFonts w:ascii="Times New Roman" w:hAnsi="Times New Roman" w:cs="Times New Roman"/>
          <w:sz w:val="24"/>
          <w:szCs w:val="24"/>
        </w:rPr>
      </w:pPr>
      <w:r w:rsidRPr="009F3CA6">
        <w:rPr>
          <w:rFonts w:ascii="Times New Roman" w:hAnsi="Times New Roman" w:cs="Times New Roman"/>
          <w:sz w:val="24"/>
          <w:szCs w:val="24"/>
        </w:rPr>
        <w:t>914-997-4501- Fax</w:t>
      </w:r>
    </w:p>
    <w:p w:rsidR="00D43F5C" w:rsidRPr="009F3CA6" w:rsidRDefault="007522DA" w:rsidP="009F3CA6">
      <w:pPr>
        <w:pStyle w:val="NoSpacing"/>
        <w:rPr>
          <w:rFonts w:ascii="Times New Roman" w:hAnsi="Times New Roman" w:cs="Times New Roman"/>
          <w:sz w:val="24"/>
          <w:szCs w:val="24"/>
        </w:rPr>
      </w:pPr>
      <w:hyperlink r:id="rId10" w:history="1">
        <w:r w:rsidR="00D43F5C" w:rsidRPr="009F3CA6">
          <w:rPr>
            <w:rStyle w:val="Hyperlink"/>
            <w:rFonts w:ascii="Times New Roman" w:hAnsi="Times New Roman" w:cs="Times New Roman"/>
            <w:color w:val="auto"/>
            <w:sz w:val="24"/>
            <w:szCs w:val="24"/>
          </w:rPr>
          <w:t>jbiermann@marchofdimes.com</w:t>
        </w:r>
      </w:hyperlink>
    </w:p>
    <w:p w:rsidR="0018790B" w:rsidRPr="001D0685" w:rsidRDefault="0018790B" w:rsidP="007E2E44">
      <w:pPr>
        <w:pStyle w:val="ListParagraph"/>
        <w:ind w:left="990"/>
        <w:rPr>
          <w:rFonts w:ascii="Times New Roman" w:hAnsi="Times New Roman" w:cs="Times New Roman"/>
          <w:sz w:val="24"/>
          <w:szCs w:val="24"/>
        </w:rPr>
      </w:pPr>
    </w:p>
    <w:p w:rsidR="00B12F51" w:rsidRPr="0018790B" w:rsidRDefault="0088467A"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Explanation of Any Payment or Gift to Respondents</w:t>
      </w:r>
    </w:p>
    <w:p w:rsidR="0018790B" w:rsidRPr="001D0685" w:rsidRDefault="0018790B" w:rsidP="0018790B">
      <w:pPr>
        <w:pStyle w:val="ListParagraph"/>
        <w:spacing w:after="0"/>
        <w:ind w:left="360"/>
        <w:rPr>
          <w:rFonts w:ascii="Times New Roman" w:hAnsi="Times New Roman" w:cs="Times New Roman"/>
          <w:b/>
          <w:sz w:val="24"/>
          <w:szCs w:val="24"/>
        </w:rPr>
      </w:pPr>
    </w:p>
    <w:p w:rsidR="0018790B" w:rsidRPr="0018790B" w:rsidRDefault="00547E94" w:rsidP="0018790B">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Upon </w:t>
      </w:r>
      <w:r w:rsidR="003B6359">
        <w:rPr>
          <w:rFonts w:ascii="Times New Roman" w:hAnsi="Times New Roman" w:cs="Times New Roman"/>
          <w:sz w:val="24"/>
          <w:szCs w:val="24"/>
        </w:rPr>
        <w:t xml:space="preserve">full </w:t>
      </w:r>
      <w:r>
        <w:rPr>
          <w:rFonts w:ascii="Times New Roman" w:hAnsi="Times New Roman" w:cs="Times New Roman"/>
          <w:sz w:val="24"/>
          <w:szCs w:val="24"/>
        </w:rPr>
        <w:t xml:space="preserve">completion of the </w:t>
      </w:r>
      <w:r w:rsidR="00225772">
        <w:rPr>
          <w:rFonts w:ascii="Times New Roman" w:hAnsi="Times New Roman" w:cs="Times New Roman"/>
          <w:sz w:val="24"/>
          <w:szCs w:val="24"/>
        </w:rPr>
        <w:t>study</w:t>
      </w:r>
      <w:r>
        <w:rPr>
          <w:rFonts w:ascii="Times New Roman" w:hAnsi="Times New Roman" w:cs="Times New Roman"/>
          <w:sz w:val="24"/>
          <w:szCs w:val="24"/>
        </w:rPr>
        <w:t>, i</w:t>
      </w:r>
      <w:r w:rsidR="0018790B" w:rsidRPr="0018790B">
        <w:rPr>
          <w:rFonts w:ascii="Times New Roman" w:hAnsi="Times New Roman" w:cs="Times New Roman"/>
          <w:sz w:val="24"/>
          <w:szCs w:val="24"/>
        </w:rPr>
        <w:t>t is proposed that respondents will be given $</w:t>
      </w:r>
      <w:r w:rsidR="00093AC5">
        <w:rPr>
          <w:rFonts w:ascii="Times New Roman" w:hAnsi="Times New Roman" w:cs="Times New Roman"/>
          <w:sz w:val="24"/>
          <w:szCs w:val="24"/>
        </w:rPr>
        <w:t xml:space="preserve">50 </w:t>
      </w:r>
      <w:r w:rsidR="0018790B" w:rsidRPr="0018790B">
        <w:rPr>
          <w:rFonts w:ascii="Times New Roman" w:hAnsi="Times New Roman" w:cs="Times New Roman"/>
          <w:sz w:val="24"/>
          <w:szCs w:val="24"/>
        </w:rPr>
        <w:t xml:space="preserve">for the </w:t>
      </w:r>
      <w:r w:rsidR="0018790B">
        <w:rPr>
          <w:rFonts w:ascii="Times New Roman" w:hAnsi="Times New Roman" w:cs="Times New Roman"/>
          <w:sz w:val="24"/>
          <w:szCs w:val="24"/>
        </w:rPr>
        <w:t>90</w:t>
      </w:r>
      <w:r w:rsidR="0018790B" w:rsidRPr="0018790B">
        <w:rPr>
          <w:rFonts w:ascii="Times New Roman" w:hAnsi="Times New Roman" w:cs="Times New Roman"/>
          <w:sz w:val="24"/>
          <w:szCs w:val="24"/>
        </w:rPr>
        <w:t xml:space="preserve"> minute (</w:t>
      </w:r>
      <w:r w:rsidR="0018790B">
        <w:rPr>
          <w:rFonts w:ascii="Times New Roman" w:hAnsi="Times New Roman" w:cs="Times New Roman"/>
          <w:sz w:val="24"/>
          <w:szCs w:val="24"/>
        </w:rPr>
        <w:t>1 1/2</w:t>
      </w:r>
      <w:r w:rsidR="0018790B" w:rsidRPr="0018790B">
        <w:rPr>
          <w:rFonts w:ascii="Times New Roman" w:hAnsi="Times New Roman" w:cs="Times New Roman"/>
          <w:sz w:val="24"/>
          <w:szCs w:val="24"/>
        </w:rPr>
        <w:t xml:space="preserve"> hour)</w:t>
      </w:r>
      <w:r w:rsidR="00093AC5">
        <w:rPr>
          <w:rFonts w:ascii="Times New Roman" w:hAnsi="Times New Roman" w:cs="Times New Roman"/>
          <w:sz w:val="24"/>
          <w:szCs w:val="24"/>
        </w:rPr>
        <w:t xml:space="preserve"> </w:t>
      </w:r>
      <w:r w:rsidR="00225772">
        <w:rPr>
          <w:rFonts w:ascii="Times New Roman" w:hAnsi="Times New Roman" w:cs="Times New Roman"/>
          <w:sz w:val="24"/>
          <w:szCs w:val="24"/>
        </w:rPr>
        <w:t xml:space="preserve">focus group, </w:t>
      </w:r>
      <w:r w:rsidR="00093AC5">
        <w:rPr>
          <w:rFonts w:ascii="Times New Roman" w:hAnsi="Times New Roman" w:cs="Times New Roman"/>
          <w:sz w:val="24"/>
          <w:szCs w:val="24"/>
        </w:rPr>
        <w:t xml:space="preserve">and $25 for the </w:t>
      </w:r>
      <w:r w:rsidR="00830057">
        <w:rPr>
          <w:rFonts w:ascii="Times New Roman" w:hAnsi="Times New Roman" w:cs="Times New Roman"/>
          <w:sz w:val="24"/>
          <w:szCs w:val="24"/>
        </w:rPr>
        <w:t>30</w:t>
      </w:r>
      <w:r w:rsidR="00225772">
        <w:rPr>
          <w:rFonts w:ascii="Times New Roman" w:hAnsi="Times New Roman" w:cs="Times New Roman"/>
          <w:sz w:val="24"/>
          <w:szCs w:val="24"/>
        </w:rPr>
        <w:t xml:space="preserve"> minute follow </w:t>
      </w:r>
      <w:r w:rsidR="00093AC5">
        <w:rPr>
          <w:rFonts w:ascii="Times New Roman" w:hAnsi="Times New Roman" w:cs="Times New Roman"/>
          <w:sz w:val="24"/>
          <w:szCs w:val="24"/>
        </w:rPr>
        <w:t>up interviews</w:t>
      </w:r>
      <w:r w:rsidR="0018790B" w:rsidRPr="0018790B">
        <w:rPr>
          <w:rFonts w:ascii="Times New Roman" w:hAnsi="Times New Roman" w:cs="Times New Roman"/>
          <w:sz w:val="24"/>
          <w:szCs w:val="24"/>
        </w:rPr>
        <w:t xml:space="preserve"> for their </w:t>
      </w:r>
      <w:r w:rsidR="00FC729F">
        <w:rPr>
          <w:rFonts w:ascii="Times New Roman" w:hAnsi="Times New Roman" w:cs="Times New Roman"/>
          <w:sz w:val="24"/>
          <w:szCs w:val="24"/>
        </w:rPr>
        <w:t>interest</w:t>
      </w:r>
      <w:r w:rsidR="0018790B" w:rsidRPr="0018790B">
        <w:rPr>
          <w:rFonts w:ascii="Times New Roman" w:hAnsi="Times New Roman" w:cs="Times New Roman"/>
          <w:sz w:val="24"/>
          <w:szCs w:val="24"/>
        </w:rPr>
        <w:t xml:space="preserve">, effort, and possible childcare costs. This amount is comparable to what has been the level of reimbursement for the target audiences in similar CDC funded activities. Women of childbearing age are often more difficult to recruit than more general audiences because they often have children and need to cover childcare costs to be able to </w:t>
      </w:r>
      <w:r w:rsidR="0018790B">
        <w:rPr>
          <w:rFonts w:ascii="Times New Roman" w:hAnsi="Times New Roman" w:cs="Times New Roman"/>
          <w:sz w:val="24"/>
          <w:szCs w:val="24"/>
        </w:rPr>
        <w:t>participate in</w:t>
      </w:r>
      <w:r w:rsidR="0018790B" w:rsidRPr="0018790B">
        <w:rPr>
          <w:rFonts w:ascii="Times New Roman" w:hAnsi="Times New Roman" w:cs="Times New Roman"/>
          <w:sz w:val="24"/>
          <w:szCs w:val="24"/>
        </w:rPr>
        <w:t xml:space="preserve"> the focus group session. </w:t>
      </w:r>
      <w:r w:rsidR="005F2346">
        <w:rPr>
          <w:rFonts w:ascii="Times New Roman" w:hAnsi="Times New Roman" w:cs="Times New Roman"/>
          <w:sz w:val="24"/>
          <w:szCs w:val="24"/>
        </w:rPr>
        <w:t>T</w:t>
      </w:r>
      <w:r w:rsidR="0018790B" w:rsidRPr="0018790B">
        <w:rPr>
          <w:rFonts w:ascii="Times New Roman" w:hAnsi="Times New Roman" w:cs="Times New Roman"/>
          <w:sz w:val="24"/>
          <w:szCs w:val="24"/>
        </w:rPr>
        <w:t xml:space="preserve">he incentive needs to be enough to help the participants cover outside childcare costs if needed. It is assumed that the incentive the women receive for participating in the groups would go toward the cost for off-site childcare to make it possible for them to </w:t>
      </w:r>
      <w:r w:rsidR="005F2346">
        <w:rPr>
          <w:rFonts w:ascii="Times New Roman" w:hAnsi="Times New Roman" w:cs="Times New Roman"/>
          <w:sz w:val="24"/>
          <w:szCs w:val="24"/>
        </w:rPr>
        <w:t>participate</w:t>
      </w:r>
      <w:r w:rsidR="0018790B" w:rsidRPr="0018790B">
        <w:rPr>
          <w:rFonts w:ascii="Times New Roman" w:hAnsi="Times New Roman" w:cs="Times New Roman"/>
          <w:sz w:val="24"/>
          <w:szCs w:val="24"/>
        </w:rPr>
        <w:t xml:space="preserve">. As shown by the literature referenced below, the payment of incentives can provide significant advantages to the government in terms of direct cost savings and improved data quality. </w:t>
      </w:r>
    </w:p>
    <w:p w:rsidR="0018790B" w:rsidRPr="0018790B" w:rsidRDefault="0018790B" w:rsidP="0018790B">
      <w:pPr>
        <w:pStyle w:val="ListParagraph"/>
        <w:ind w:left="360"/>
        <w:jc w:val="both"/>
        <w:rPr>
          <w:rFonts w:ascii="Times New Roman" w:hAnsi="Times New Roman" w:cs="Times New Roman"/>
          <w:sz w:val="24"/>
          <w:szCs w:val="24"/>
        </w:rPr>
      </w:pPr>
    </w:p>
    <w:p w:rsidR="0018790B" w:rsidRDefault="0018790B" w:rsidP="0018790B">
      <w:pPr>
        <w:pStyle w:val="ListParagraph"/>
        <w:ind w:left="360"/>
        <w:jc w:val="both"/>
        <w:rPr>
          <w:rFonts w:ascii="Times New Roman" w:hAnsi="Times New Roman" w:cs="Times New Roman"/>
          <w:sz w:val="24"/>
          <w:szCs w:val="24"/>
        </w:rPr>
      </w:pPr>
      <w:r w:rsidRPr="0018790B">
        <w:rPr>
          <w:rFonts w:ascii="Times New Roman" w:hAnsi="Times New Roman" w:cs="Times New Roman"/>
          <w:sz w:val="24"/>
          <w:szCs w:val="24"/>
        </w:rPr>
        <w:lastRenderedPageBreak/>
        <w:t>There have been citations in the literature referencing the importance of monetary compensation for focus group participation. Krueger (1994) indicates that offering minimal levels of monetary compensation will help ensure that sufficient numbers of participants will attend thereby yielding useful results.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  Finally, findings related to the impo</w:t>
      </w:r>
      <w:r w:rsidR="00C94F2A">
        <w:rPr>
          <w:rFonts w:ascii="Times New Roman" w:hAnsi="Times New Roman" w:cs="Times New Roman"/>
          <w:sz w:val="24"/>
          <w:szCs w:val="24"/>
        </w:rPr>
        <w:t>rtance of monetary incentives are</w:t>
      </w:r>
      <w:r w:rsidRPr="0018790B">
        <w:rPr>
          <w:rFonts w:ascii="Times New Roman" w:hAnsi="Times New Roman" w:cs="Times New Roman"/>
          <w:sz w:val="24"/>
          <w:szCs w:val="24"/>
        </w:rPr>
        <w:t xml:space="preserve"> corroborated in the National Adult Literacy Survey by Berlin (1992) and colleagues (OMB No. 1850-0654, exp. 8/31/1993), and the National Survey of Family Growth.</w:t>
      </w:r>
    </w:p>
    <w:p w:rsidR="00BC62B6" w:rsidRPr="00C94F2A" w:rsidRDefault="00BC62B6" w:rsidP="00FC2590">
      <w:pPr>
        <w:spacing w:before="120"/>
        <w:rPr>
          <w:rFonts w:ascii="Times New Roman" w:hAnsi="Times New Roman" w:cs="Times New Roman"/>
          <w:sz w:val="24"/>
          <w:szCs w:val="24"/>
        </w:rPr>
      </w:pPr>
      <w:r w:rsidRPr="00C94F2A">
        <w:rPr>
          <w:rFonts w:ascii="Times New Roman" w:hAnsi="Times New Roman" w:cs="Times New Roman"/>
          <w:sz w:val="24"/>
          <w:szCs w:val="24"/>
        </w:rPr>
        <w:t xml:space="preserve">We offer the following justification for our use of these incentives based on our 20-year history of </w:t>
      </w:r>
      <w:r w:rsidR="002D1724" w:rsidRPr="00C94F2A">
        <w:rPr>
          <w:rFonts w:ascii="Times New Roman" w:hAnsi="Times New Roman" w:cs="Times New Roman"/>
          <w:sz w:val="24"/>
          <w:szCs w:val="24"/>
        </w:rPr>
        <w:t xml:space="preserve">similar </w:t>
      </w:r>
      <w:r w:rsidRPr="00C94F2A">
        <w:rPr>
          <w:rFonts w:ascii="Times New Roman" w:hAnsi="Times New Roman" w:cs="Times New Roman"/>
          <w:sz w:val="24"/>
          <w:szCs w:val="24"/>
        </w:rPr>
        <w:t>research studies:</w:t>
      </w:r>
    </w:p>
    <w:p w:rsidR="00A55628" w:rsidRPr="00C94F2A" w:rsidRDefault="00A55628" w:rsidP="00A55628">
      <w:pPr>
        <w:numPr>
          <w:ilvl w:val="0"/>
          <w:numId w:val="57"/>
        </w:numPr>
        <w:autoSpaceDE w:val="0"/>
        <w:autoSpaceDN w:val="0"/>
        <w:adjustRightInd w:val="0"/>
        <w:spacing w:after="120" w:line="240" w:lineRule="auto"/>
        <w:rPr>
          <w:rFonts w:ascii="Times New Roman" w:hAnsi="Times New Roman" w:cs="Times New Roman"/>
          <w:color w:val="000000"/>
          <w:sz w:val="24"/>
          <w:szCs w:val="24"/>
        </w:rPr>
      </w:pPr>
      <w:r w:rsidRPr="00C94F2A">
        <w:rPr>
          <w:rFonts w:ascii="Times New Roman" w:hAnsi="Times New Roman" w:cs="Times New Roman"/>
          <w:b/>
          <w:iCs/>
          <w:color w:val="000000"/>
          <w:sz w:val="24"/>
          <w:szCs w:val="24"/>
        </w:rPr>
        <w:t>Improved coverage of specialized respondents or rare groups</w:t>
      </w:r>
      <w:r w:rsidRPr="00C94F2A">
        <w:rPr>
          <w:rFonts w:ascii="Times New Roman" w:hAnsi="Times New Roman" w:cs="Times New Roman"/>
          <w:color w:val="000000"/>
          <w:sz w:val="24"/>
          <w:szCs w:val="24"/>
        </w:rPr>
        <w:t xml:space="preserve">: The proposed data collection includes hard-to-reach women who have used medications during pregnancy, some of which may be considered stigmatized.  To </w:t>
      </w:r>
      <w:r w:rsidRPr="00C94F2A">
        <w:rPr>
          <w:rFonts w:ascii="Times New Roman" w:hAnsi="Times New Roman" w:cs="Times New Roman"/>
          <w:iCs/>
          <w:color w:val="000000"/>
          <w:sz w:val="24"/>
          <w:szCs w:val="24"/>
        </w:rPr>
        <w:t xml:space="preserve">develop appropriate social marketing campaigns to address these groups’ unique informational needs, it is imperative that sufficient numbers are included in the data collection. Yet, based on our prior experience, we anticipate that it </w:t>
      </w:r>
      <w:r w:rsidRPr="00C94F2A">
        <w:rPr>
          <w:rFonts w:ascii="Times New Roman" w:hAnsi="Times New Roman" w:cs="Times New Roman"/>
          <w:color w:val="000000"/>
          <w:sz w:val="24"/>
          <w:szCs w:val="24"/>
        </w:rPr>
        <w:t xml:space="preserve">will be challenging to identify and engage such participants in the formative research.  </w:t>
      </w:r>
      <w:r w:rsidRPr="00C94F2A">
        <w:rPr>
          <w:rFonts w:ascii="Times New Roman" w:hAnsi="Times New Roman" w:cs="Times New Roman"/>
          <w:iCs/>
          <w:color w:val="000000"/>
          <w:sz w:val="24"/>
          <w:szCs w:val="24"/>
        </w:rPr>
        <w:t xml:space="preserve"> Provision of an incentive is necessary to ensure that a sufficient number of respondents from hard-to-reach subgroups participate in the data collection.   </w:t>
      </w:r>
    </w:p>
    <w:p w:rsidR="00BC62B6" w:rsidRPr="00C94F2A" w:rsidRDefault="00BC62B6" w:rsidP="00BC62B6">
      <w:pPr>
        <w:pStyle w:val="ListParagraph"/>
        <w:numPr>
          <w:ilvl w:val="0"/>
          <w:numId w:val="57"/>
        </w:numPr>
        <w:spacing w:after="120" w:line="300" w:lineRule="exact"/>
        <w:contextualSpacing w:val="0"/>
        <w:rPr>
          <w:rFonts w:ascii="Times New Roman" w:hAnsi="Times New Roman" w:cs="Times New Roman"/>
          <w:sz w:val="24"/>
          <w:szCs w:val="24"/>
        </w:rPr>
      </w:pPr>
      <w:r w:rsidRPr="00C94F2A">
        <w:rPr>
          <w:rFonts w:ascii="Times New Roman" w:hAnsi="Times New Roman" w:cs="Times New Roman"/>
          <w:b/>
          <w:sz w:val="24"/>
          <w:szCs w:val="24"/>
        </w:rPr>
        <w:t xml:space="preserve">Reduced recruiting costs: </w:t>
      </w:r>
      <w:r w:rsidRPr="00C94F2A">
        <w:rPr>
          <w:rFonts w:ascii="Times New Roman" w:hAnsi="Times New Roman" w:cs="Times New Roman"/>
          <w:sz w:val="24"/>
          <w:szCs w:val="24"/>
        </w:rPr>
        <w:t>This incentive amount is cost-effective because the cost of a no-show is roughly 10 times the cost of paying the incentive. Further, lower participation rates will likely impact the project timeline because participant recruitment will take longer and, therefore, data collection will be slower.</w:t>
      </w:r>
    </w:p>
    <w:p w:rsidR="00BC62B6" w:rsidRPr="00C94F2A" w:rsidRDefault="00BC62B6" w:rsidP="00BC62B6">
      <w:pPr>
        <w:pStyle w:val="ListParagraph"/>
        <w:numPr>
          <w:ilvl w:val="0"/>
          <w:numId w:val="57"/>
        </w:numPr>
        <w:spacing w:after="120" w:line="300" w:lineRule="exact"/>
        <w:contextualSpacing w:val="0"/>
        <w:rPr>
          <w:rFonts w:ascii="Times New Roman" w:hAnsi="Times New Roman" w:cs="Times New Roman"/>
          <w:sz w:val="24"/>
          <w:szCs w:val="24"/>
        </w:rPr>
      </w:pPr>
      <w:r w:rsidRPr="00C94F2A">
        <w:rPr>
          <w:rFonts w:ascii="Times New Roman" w:hAnsi="Times New Roman" w:cs="Times New Roman"/>
          <w:b/>
          <w:sz w:val="24"/>
          <w:szCs w:val="24"/>
        </w:rPr>
        <w:t xml:space="preserve">Data quality: </w:t>
      </w:r>
      <w:r w:rsidRPr="00C94F2A">
        <w:rPr>
          <w:rFonts w:ascii="Times New Roman" w:hAnsi="Times New Roman" w:cs="Times New Roman"/>
          <w:sz w:val="24"/>
          <w:szCs w:val="24"/>
        </w:rPr>
        <w:t>Because providing a</w:t>
      </w:r>
      <w:r w:rsidR="000B5106">
        <w:rPr>
          <w:rFonts w:ascii="Times New Roman" w:hAnsi="Times New Roman" w:cs="Times New Roman"/>
          <w:sz w:val="24"/>
          <w:szCs w:val="24"/>
        </w:rPr>
        <w:t>n</w:t>
      </w:r>
      <w:r w:rsidR="009C2F85" w:rsidRPr="00C94F2A">
        <w:rPr>
          <w:rFonts w:ascii="Times New Roman" w:hAnsi="Times New Roman" w:cs="Times New Roman"/>
          <w:sz w:val="24"/>
          <w:szCs w:val="24"/>
        </w:rPr>
        <w:t xml:space="preserve"> </w:t>
      </w:r>
      <w:r w:rsidRPr="00C94F2A">
        <w:rPr>
          <w:rFonts w:ascii="Times New Roman" w:hAnsi="Times New Roman" w:cs="Times New Roman"/>
          <w:sz w:val="24"/>
          <w:szCs w:val="24"/>
        </w:rPr>
        <w:t>incentive should increa</w:t>
      </w:r>
      <w:r w:rsidR="00DF50ED">
        <w:rPr>
          <w:rFonts w:ascii="Times New Roman" w:hAnsi="Times New Roman" w:cs="Times New Roman"/>
          <w:sz w:val="24"/>
          <w:szCs w:val="24"/>
        </w:rPr>
        <w:t xml:space="preserve">se response rates, it should </w:t>
      </w:r>
      <w:r w:rsidRPr="00C94F2A">
        <w:rPr>
          <w:rFonts w:ascii="Times New Roman" w:hAnsi="Times New Roman" w:cs="Times New Roman"/>
          <w:sz w:val="24"/>
          <w:szCs w:val="24"/>
        </w:rPr>
        <w:t xml:space="preserve">also significantly improve validity and reliability to an extent beyond that possible through other means. Recruiting with incentives arguably results in less bias. Previous research suggests that providing incentives may help </w:t>
      </w:r>
      <w:r w:rsidRPr="00C94F2A">
        <w:rPr>
          <w:rFonts w:ascii="Times New Roman" w:hAnsi="Times New Roman" w:cs="Times New Roman"/>
          <w:sz w:val="24"/>
          <w:szCs w:val="24"/>
          <w:u w:val="single"/>
        </w:rPr>
        <w:t>reduce sampling bias</w:t>
      </w:r>
      <w:r w:rsidRPr="00C94F2A">
        <w:rPr>
          <w:rFonts w:ascii="Times New Roman" w:hAnsi="Times New Roman" w:cs="Times New Roman"/>
          <w:sz w:val="24"/>
          <w:szCs w:val="24"/>
        </w:rPr>
        <w:t xml:space="preserve"> by increasing rates among individuals who are typically less likely to participate in research (such as those with lower education, e.g., Guyll et al., 2003). Furthermore, there is some evidence that using incentives can actually </w:t>
      </w:r>
      <w:r w:rsidRPr="00C94F2A">
        <w:rPr>
          <w:rFonts w:ascii="Times New Roman" w:hAnsi="Times New Roman" w:cs="Times New Roman"/>
          <w:sz w:val="24"/>
          <w:szCs w:val="24"/>
          <w:u w:val="single"/>
        </w:rPr>
        <w:t>reduce nonresponse bias</w:t>
      </w:r>
      <w:r w:rsidRPr="00C94F2A">
        <w:rPr>
          <w:rFonts w:ascii="Times New Roman" w:hAnsi="Times New Roman" w:cs="Times New Roman"/>
          <w:sz w:val="24"/>
          <w:szCs w:val="24"/>
        </w:rPr>
        <w:t xml:space="preserve"> in some situations by bringing in a more representative set of respondents (Castiglioni &amp; Pforr, 2007; Singer, 2002; Singer, 2006;). This may be particularly effective in reducing nonresponse bias due to topic saliency (Groves et al., 2006).</w:t>
      </w:r>
    </w:p>
    <w:p w:rsidR="0018790B" w:rsidRDefault="00BC62B6" w:rsidP="00DF50ED">
      <w:pPr>
        <w:pStyle w:val="ListParagraph"/>
        <w:numPr>
          <w:ilvl w:val="0"/>
          <w:numId w:val="57"/>
        </w:numPr>
        <w:spacing w:before="120" w:after="120" w:line="300" w:lineRule="exact"/>
        <w:contextualSpacing w:val="0"/>
        <w:rPr>
          <w:rFonts w:ascii="Times New Roman" w:hAnsi="Times New Roman" w:cs="Times New Roman"/>
          <w:sz w:val="24"/>
          <w:szCs w:val="24"/>
        </w:rPr>
      </w:pPr>
      <w:r w:rsidRPr="00C94F2A">
        <w:rPr>
          <w:rFonts w:ascii="Times New Roman" w:hAnsi="Times New Roman" w:cs="Times New Roman"/>
          <w:b/>
          <w:sz w:val="24"/>
          <w:szCs w:val="24"/>
        </w:rPr>
        <w:t xml:space="preserve">Burden on respondent: </w:t>
      </w:r>
      <w:r w:rsidRPr="00C94F2A">
        <w:rPr>
          <w:rFonts w:ascii="Times New Roman" w:hAnsi="Times New Roman" w:cs="Times New Roman"/>
          <w:sz w:val="24"/>
          <w:szCs w:val="24"/>
        </w:rPr>
        <w:t xml:space="preserve">There is </w:t>
      </w:r>
      <w:r w:rsidR="009C2F85" w:rsidRPr="00C94F2A">
        <w:rPr>
          <w:rFonts w:ascii="Times New Roman" w:hAnsi="Times New Roman" w:cs="Times New Roman"/>
          <w:sz w:val="24"/>
          <w:szCs w:val="24"/>
        </w:rPr>
        <w:t>a particular</w:t>
      </w:r>
      <w:r w:rsidRPr="00C94F2A">
        <w:rPr>
          <w:rFonts w:ascii="Times New Roman" w:hAnsi="Times New Roman" w:cs="Times New Roman"/>
          <w:sz w:val="24"/>
          <w:szCs w:val="24"/>
        </w:rPr>
        <w:t xml:space="preserve"> burden on participants </w:t>
      </w:r>
      <w:r w:rsidR="009C2F85" w:rsidRPr="00C94F2A">
        <w:rPr>
          <w:rFonts w:ascii="Times New Roman" w:hAnsi="Times New Roman" w:cs="Times New Roman"/>
          <w:sz w:val="24"/>
          <w:szCs w:val="24"/>
        </w:rPr>
        <w:t xml:space="preserve">who have recently had </w:t>
      </w:r>
      <w:r w:rsidR="00DF50ED">
        <w:rPr>
          <w:rFonts w:ascii="Times New Roman" w:hAnsi="Times New Roman" w:cs="Times New Roman"/>
          <w:sz w:val="24"/>
          <w:szCs w:val="24"/>
        </w:rPr>
        <w:t xml:space="preserve">a </w:t>
      </w:r>
      <w:r w:rsidR="009C2F85" w:rsidRPr="00C94F2A">
        <w:rPr>
          <w:rFonts w:ascii="Times New Roman" w:hAnsi="Times New Roman" w:cs="Times New Roman"/>
          <w:sz w:val="24"/>
          <w:szCs w:val="24"/>
        </w:rPr>
        <w:t>baby</w:t>
      </w:r>
      <w:r w:rsidRPr="00C94F2A">
        <w:rPr>
          <w:rFonts w:ascii="Times New Roman" w:hAnsi="Times New Roman" w:cs="Times New Roman"/>
          <w:sz w:val="24"/>
          <w:szCs w:val="24"/>
        </w:rPr>
        <w:t xml:space="preserve"> because they </w:t>
      </w:r>
      <w:r w:rsidR="009C2F85" w:rsidRPr="00C94F2A">
        <w:rPr>
          <w:rFonts w:ascii="Times New Roman" w:hAnsi="Times New Roman" w:cs="Times New Roman"/>
          <w:sz w:val="24"/>
          <w:szCs w:val="24"/>
        </w:rPr>
        <w:t>may need to find specialized childcare.</w:t>
      </w:r>
      <w:r w:rsidRPr="00C94F2A">
        <w:rPr>
          <w:rFonts w:ascii="Times New Roman" w:hAnsi="Times New Roman" w:cs="Times New Roman"/>
          <w:sz w:val="24"/>
          <w:szCs w:val="24"/>
        </w:rPr>
        <w:t xml:space="preserve">  </w:t>
      </w:r>
      <w:r w:rsidR="0038533E">
        <w:rPr>
          <w:rFonts w:ascii="Times New Roman" w:hAnsi="Times New Roman" w:cs="Times New Roman"/>
          <w:sz w:val="24"/>
          <w:szCs w:val="24"/>
        </w:rPr>
        <w:t xml:space="preserve">This </w:t>
      </w:r>
      <w:r w:rsidRPr="00C94F2A">
        <w:rPr>
          <w:rFonts w:ascii="Times New Roman" w:hAnsi="Times New Roman" w:cs="Times New Roman"/>
          <w:sz w:val="24"/>
          <w:szCs w:val="24"/>
        </w:rPr>
        <w:t xml:space="preserve">incentive </w:t>
      </w:r>
      <w:r w:rsidR="0038533E">
        <w:rPr>
          <w:rFonts w:ascii="Times New Roman" w:hAnsi="Times New Roman" w:cs="Times New Roman"/>
          <w:sz w:val="24"/>
          <w:szCs w:val="24"/>
        </w:rPr>
        <w:t xml:space="preserve">is designed to </w:t>
      </w:r>
      <w:r w:rsidRPr="00C94F2A">
        <w:rPr>
          <w:rFonts w:ascii="Times New Roman" w:hAnsi="Times New Roman" w:cs="Times New Roman"/>
          <w:sz w:val="24"/>
          <w:szCs w:val="24"/>
        </w:rPr>
        <w:t>help</w:t>
      </w:r>
      <w:r w:rsidR="0038533E">
        <w:rPr>
          <w:rFonts w:ascii="Times New Roman" w:hAnsi="Times New Roman" w:cs="Times New Roman"/>
          <w:sz w:val="24"/>
          <w:szCs w:val="24"/>
        </w:rPr>
        <w:t xml:space="preserve"> </w:t>
      </w:r>
      <w:r w:rsidRPr="00C94F2A">
        <w:rPr>
          <w:rFonts w:ascii="Times New Roman" w:hAnsi="Times New Roman" w:cs="Times New Roman"/>
          <w:sz w:val="24"/>
          <w:szCs w:val="24"/>
          <w:u w:val="single"/>
        </w:rPr>
        <w:t>offset participant burden</w:t>
      </w:r>
      <w:r w:rsidRPr="00C94F2A">
        <w:rPr>
          <w:rFonts w:ascii="Times New Roman" w:hAnsi="Times New Roman" w:cs="Times New Roman"/>
          <w:sz w:val="24"/>
          <w:szCs w:val="24"/>
        </w:rPr>
        <w:t xml:space="preserve">. </w:t>
      </w:r>
    </w:p>
    <w:p w:rsidR="0018790B" w:rsidRPr="0018790B" w:rsidRDefault="0018790B" w:rsidP="0018790B">
      <w:pPr>
        <w:pStyle w:val="ListParagraph"/>
        <w:ind w:left="360"/>
        <w:rPr>
          <w:rFonts w:ascii="Times New Roman" w:hAnsi="Times New Roman" w:cs="Times New Roman"/>
          <w:sz w:val="24"/>
          <w:szCs w:val="24"/>
        </w:rPr>
      </w:pPr>
      <w:r w:rsidRPr="0018790B">
        <w:rPr>
          <w:rFonts w:ascii="Times New Roman" w:hAnsi="Times New Roman" w:cs="Times New Roman"/>
          <w:sz w:val="24"/>
          <w:szCs w:val="24"/>
        </w:rPr>
        <w:t>Offering a monetary incentive at the proposed level will help ensure that respondents honor their commitment of</w:t>
      </w:r>
      <w:r w:rsidR="003B6359">
        <w:rPr>
          <w:rFonts w:ascii="Times New Roman" w:hAnsi="Times New Roman" w:cs="Times New Roman"/>
          <w:sz w:val="24"/>
          <w:szCs w:val="24"/>
        </w:rPr>
        <w:t xml:space="preserve"> fully</w:t>
      </w:r>
      <w:r w:rsidRPr="0018790B">
        <w:rPr>
          <w:rFonts w:ascii="Times New Roman" w:hAnsi="Times New Roman" w:cs="Times New Roman"/>
          <w:sz w:val="24"/>
          <w:szCs w:val="24"/>
        </w:rPr>
        <w:t xml:space="preserve"> participating in the focus group. Lower incentives could actually result in higher recruiting costs due to the need to over recruit by higher percentages </w:t>
      </w:r>
      <w:r w:rsidRPr="0018790B">
        <w:rPr>
          <w:rFonts w:ascii="Times New Roman" w:hAnsi="Times New Roman" w:cs="Times New Roman"/>
          <w:sz w:val="24"/>
          <w:szCs w:val="24"/>
        </w:rPr>
        <w:lastRenderedPageBreak/>
        <w:t>(Krueger &amp; Casey, 2009). To avoid these risks, CDC requests OMB approval to remunerate participants at the rate of $</w:t>
      </w:r>
      <w:r w:rsidR="00093AC5">
        <w:rPr>
          <w:rFonts w:ascii="Times New Roman" w:hAnsi="Times New Roman" w:cs="Times New Roman"/>
          <w:sz w:val="24"/>
          <w:szCs w:val="24"/>
        </w:rPr>
        <w:t>50</w:t>
      </w:r>
      <w:r w:rsidRPr="0018790B">
        <w:rPr>
          <w:rFonts w:ascii="Times New Roman" w:hAnsi="Times New Roman" w:cs="Times New Roman"/>
          <w:sz w:val="24"/>
          <w:szCs w:val="24"/>
        </w:rPr>
        <w:t xml:space="preserve"> per focus group session</w:t>
      </w:r>
      <w:r w:rsidR="00093AC5">
        <w:rPr>
          <w:rFonts w:ascii="Times New Roman" w:hAnsi="Times New Roman" w:cs="Times New Roman"/>
          <w:sz w:val="24"/>
          <w:szCs w:val="24"/>
        </w:rPr>
        <w:t xml:space="preserve"> and $25 per follow up interview</w:t>
      </w:r>
      <w:r w:rsidRPr="0018790B">
        <w:rPr>
          <w:rFonts w:ascii="Times New Roman" w:hAnsi="Times New Roman" w:cs="Times New Roman"/>
          <w:sz w:val="24"/>
          <w:szCs w:val="24"/>
        </w:rPr>
        <w:t>.</w:t>
      </w:r>
    </w:p>
    <w:p w:rsidR="0018790B" w:rsidRPr="0018790B" w:rsidRDefault="0018790B" w:rsidP="0018790B">
      <w:pPr>
        <w:pStyle w:val="ListParagraph"/>
        <w:ind w:left="360"/>
        <w:jc w:val="both"/>
        <w:rPr>
          <w:rFonts w:ascii="Times New Roman" w:hAnsi="Times New Roman" w:cs="Times New Roman"/>
          <w:sz w:val="24"/>
          <w:szCs w:val="24"/>
        </w:rPr>
      </w:pPr>
    </w:p>
    <w:p w:rsidR="00B12F51" w:rsidRPr="005F2346" w:rsidRDefault="0088467A"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Assurance of Confidentiality Provided to Respondents</w:t>
      </w:r>
    </w:p>
    <w:p w:rsidR="005F2346" w:rsidRPr="001D0685" w:rsidRDefault="005F2346" w:rsidP="005F2346">
      <w:pPr>
        <w:pStyle w:val="ListParagraph"/>
        <w:spacing w:after="0"/>
        <w:ind w:left="360"/>
        <w:rPr>
          <w:rFonts w:ascii="Times New Roman" w:hAnsi="Times New Roman" w:cs="Times New Roman"/>
          <w:b/>
          <w:sz w:val="24"/>
          <w:szCs w:val="24"/>
        </w:rPr>
      </w:pPr>
    </w:p>
    <w:p w:rsidR="002E2A76" w:rsidRPr="002E2A76" w:rsidRDefault="00FC729F" w:rsidP="002E2A76">
      <w:pPr>
        <w:rPr>
          <w:rFonts w:ascii="Times New Roman" w:hAnsi="Times New Roman" w:cs="Times New Roman"/>
          <w:sz w:val="24"/>
          <w:szCs w:val="24"/>
        </w:rPr>
      </w:pPr>
      <w:r w:rsidRPr="002E2A76">
        <w:rPr>
          <w:rFonts w:ascii="Times New Roman" w:hAnsi="Times New Roman" w:cs="Times New Roman"/>
          <w:sz w:val="24"/>
          <w:szCs w:val="24"/>
        </w:rPr>
        <w:t>The Privacy Office within NCBDDD</w:t>
      </w:r>
      <w:r w:rsidR="003B1121" w:rsidRPr="002E2A76">
        <w:rPr>
          <w:rFonts w:ascii="Times New Roman" w:hAnsi="Times New Roman" w:cs="Times New Roman"/>
          <w:sz w:val="24"/>
          <w:szCs w:val="24"/>
        </w:rPr>
        <w:t xml:space="preserve"> has reviewed this submission and has determined that the Privacy Act does not apply. </w:t>
      </w:r>
      <w:r w:rsidR="002E2A76" w:rsidRPr="002E2A76">
        <w:rPr>
          <w:rFonts w:ascii="Times New Roman" w:hAnsi="Times New Roman" w:cs="Times New Roman"/>
          <w:sz w:val="24"/>
          <w:szCs w:val="24"/>
        </w:rPr>
        <w:t xml:space="preserve">The screening questionnaire (see </w:t>
      </w:r>
      <w:r w:rsidR="002E2A76" w:rsidRPr="002E2A76">
        <w:rPr>
          <w:rFonts w:ascii="Times New Roman" w:hAnsi="Times New Roman" w:cs="Times New Roman"/>
          <w:b/>
          <w:sz w:val="24"/>
          <w:szCs w:val="24"/>
        </w:rPr>
        <w:t>Attachment 1</w:t>
      </w:r>
      <w:r w:rsidR="002E2A76" w:rsidRPr="002E2A76">
        <w:rPr>
          <w:rFonts w:ascii="Times New Roman" w:hAnsi="Times New Roman" w:cs="Times New Roman"/>
          <w:sz w:val="24"/>
          <w:szCs w:val="24"/>
        </w:rPr>
        <w:t>)</w:t>
      </w:r>
      <w:r w:rsidR="00D45198">
        <w:rPr>
          <w:rFonts w:ascii="Times New Roman" w:hAnsi="Times New Roman" w:cs="Times New Roman"/>
          <w:sz w:val="24"/>
          <w:szCs w:val="24"/>
        </w:rPr>
        <w:t xml:space="preserve"> </w:t>
      </w:r>
      <w:r w:rsidR="002E2A76" w:rsidRPr="002E2A76">
        <w:rPr>
          <w:rFonts w:ascii="Times New Roman" w:hAnsi="Times New Roman" w:cs="Times New Roman"/>
          <w:sz w:val="24"/>
          <w:szCs w:val="24"/>
        </w:rPr>
        <w:t xml:space="preserve">to determine eligibility, the consumer focus groups (see </w:t>
      </w:r>
      <w:r w:rsidR="002E2A76" w:rsidRPr="002E2A76">
        <w:rPr>
          <w:rFonts w:ascii="Times New Roman" w:hAnsi="Times New Roman" w:cs="Times New Roman"/>
          <w:b/>
          <w:sz w:val="24"/>
          <w:szCs w:val="24"/>
        </w:rPr>
        <w:t>Attachments 3, 3a, 5, 5a, 7, 7a, 9, 9a, 11, 11a, and 13, 13a</w:t>
      </w:r>
      <w:r w:rsidR="002E2A76" w:rsidRPr="002E2A76">
        <w:rPr>
          <w:rFonts w:ascii="Times New Roman" w:hAnsi="Times New Roman" w:cs="Times New Roman"/>
          <w:sz w:val="24"/>
          <w:szCs w:val="24"/>
        </w:rPr>
        <w:t xml:space="preserve">), and the follow-up interviews (see </w:t>
      </w:r>
      <w:r w:rsidR="002E2A76" w:rsidRPr="002E2A76">
        <w:rPr>
          <w:rFonts w:ascii="Times New Roman" w:hAnsi="Times New Roman" w:cs="Times New Roman"/>
          <w:b/>
          <w:sz w:val="24"/>
          <w:szCs w:val="24"/>
        </w:rPr>
        <w:t>Attachments 4, 6, 8, 10, 12, and 14</w:t>
      </w:r>
      <w:r w:rsidR="002E2A76" w:rsidRPr="002E2A76">
        <w:rPr>
          <w:rFonts w:ascii="Times New Roman" w:hAnsi="Times New Roman" w:cs="Times New Roman"/>
          <w:sz w:val="24"/>
          <w:szCs w:val="24"/>
        </w:rPr>
        <w:t>) will include some questions on sensitive information such as planning for pregnancy and reproductive health.  However, data will be treated in a secure manner and will not be disclosed, unless otherwise compelled by law. Identifying information through the screener will be collected by the professional recruiting firm, but only for recruiting purposes and will not be attached to findings.</w:t>
      </w:r>
    </w:p>
    <w:p w:rsidR="005F2346" w:rsidRPr="003B6359" w:rsidRDefault="003B1121" w:rsidP="003B6359">
      <w:pPr>
        <w:rPr>
          <w:rFonts w:ascii="Times New Roman" w:hAnsi="Times New Roman" w:cs="Times New Roman"/>
          <w:sz w:val="24"/>
          <w:szCs w:val="24"/>
        </w:rPr>
      </w:pPr>
      <w:r w:rsidRPr="003B6359">
        <w:rPr>
          <w:rFonts w:ascii="Times New Roman" w:hAnsi="Times New Roman" w:cs="Times New Roman"/>
          <w:sz w:val="24"/>
          <w:szCs w:val="24"/>
        </w:rPr>
        <w:t>The only Information in Identifiable Form (IIF)</w:t>
      </w:r>
      <w:r w:rsidR="005F2346" w:rsidRPr="003B6359">
        <w:rPr>
          <w:rFonts w:ascii="Times New Roman" w:hAnsi="Times New Roman" w:cs="Times New Roman"/>
          <w:sz w:val="24"/>
          <w:szCs w:val="24"/>
        </w:rPr>
        <w:t xml:space="preserve"> that will be obtained is the participants’ name, phone numbers, and mailing addresses for setting up interview appointments and mailing confirmation letters.  This IIF will be maintained at </w:t>
      </w:r>
      <w:r w:rsidR="00093AC5" w:rsidRPr="003B6359">
        <w:rPr>
          <w:rFonts w:ascii="Times New Roman" w:hAnsi="Times New Roman" w:cs="Times New Roman"/>
          <w:sz w:val="24"/>
          <w:szCs w:val="24"/>
        </w:rPr>
        <w:t>Itracks</w:t>
      </w:r>
      <w:r w:rsidR="00093AC5" w:rsidRPr="003B6359">
        <w:rPr>
          <w:rFonts w:ascii="Times New Roman" w:hAnsi="Times New Roman" w:cs="Times New Roman"/>
          <w:color w:val="FF0000"/>
          <w:sz w:val="24"/>
          <w:szCs w:val="24"/>
        </w:rPr>
        <w:t xml:space="preserve"> </w:t>
      </w:r>
      <w:r w:rsidR="005F2346" w:rsidRPr="003B6359">
        <w:rPr>
          <w:rFonts w:ascii="Times New Roman" w:hAnsi="Times New Roman" w:cs="Times New Roman"/>
          <w:sz w:val="24"/>
          <w:szCs w:val="24"/>
        </w:rPr>
        <w:t>in its proprietary files. These personal identifiers will not be linked to data. During the focus groups, only first names will be used. Focus groups will be transcribed for use by the RTI research team in developing a report. The</w:t>
      </w:r>
      <w:r w:rsidR="00093AC5" w:rsidRPr="003B6359">
        <w:rPr>
          <w:rFonts w:ascii="Times New Roman" w:hAnsi="Times New Roman" w:cs="Times New Roman"/>
          <w:sz w:val="24"/>
          <w:szCs w:val="24"/>
        </w:rPr>
        <w:t xml:space="preserve"> digital audio tapes will be stored on a password protected share drive</w:t>
      </w:r>
      <w:r w:rsidR="005F2346" w:rsidRPr="003B6359">
        <w:rPr>
          <w:rFonts w:ascii="Times New Roman" w:hAnsi="Times New Roman" w:cs="Times New Roman"/>
          <w:sz w:val="24"/>
          <w:szCs w:val="24"/>
        </w:rPr>
        <w:t>, accessible only to project staff. The recording will be destroyed at the end of the study, which is currently</w:t>
      </w:r>
      <w:r w:rsidR="00093AC5" w:rsidRPr="003B6359">
        <w:rPr>
          <w:rFonts w:ascii="Times New Roman" w:hAnsi="Times New Roman" w:cs="Times New Roman"/>
          <w:sz w:val="24"/>
          <w:szCs w:val="24"/>
        </w:rPr>
        <w:t xml:space="preserve"> December 31, 2014.</w:t>
      </w:r>
    </w:p>
    <w:p w:rsidR="005F2346" w:rsidRPr="005F2346" w:rsidRDefault="005F2346" w:rsidP="005F2346">
      <w:pPr>
        <w:rPr>
          <w:rFonts w:ascii="Times New Roman" w:hAnsi="Times New Roman" w:cs="Times New Roman"/>
          <w:sz w:val="24"/>
          <w:szCs w:val="24"/>
        </w:rPr>
      </w:pPr>
      <w:r w:rsidRPr="005F2346">
        <w:rPr>
          <w:rFonts w:ascii="Times New Roman" w:hAnsi="Times New Roman" w:cs="Times New Roman"/>
          <w:sz w:val="24"/>
          <w:szCs w:val="24"/>
        </w:rPr>
        <w:t>Participation in the web focus groups is voluntary and participants will be advised that their responses will be treated in a secure manner and will not be linked to their names.</w:t>
      </w:r>
    </w:p>
    <w:p w:rsidR="000D51A6" w:rsidRPr="001D0685" w:rsidRDefault="000D51A6" w:rsidP="005F2346">
      <w:pPr>
        <w:pStyle w:val="NoSpacing"/>
        <w:rPr>
          <w:rFonts w:ascii="Times New Roman" w:hAnsi="Times New Roman" w:cs="Times New Roman"/>
          <w:sz w:val="24"/>
          <w:szCs w:val="24"/>
          <w:u w:val="single"/>
        </w:rPr>
      </w:pPr>
      <w:r w:rsidRPr="00BD5A96">
        <w:rPr>
          <w:rFonts w:ascii="Times New Roman" w:hAnsi="Times New Roman" w:cs="Times New Roman"/>
          <w:sz w:val="24"/>
          <w:szCs w:val="24"/>
          <w:u w:val="single"/>
        </w:rPr>
        <w:t>IRB Approval</w:t>
      </w:r>
    </w:p>
    <w:p w:rsidR="007B414D" w:rsidRDefault="007B414D" w:rsidP="007522DA">
      <w:pPr>
        <w:pStyle w:val="P1-StandPara"/>
        <w:ind w:firstLine="0"/>
        <w:jc w:val="left"/>
        <w:rPr>
          <w:sz w:val="24"/>
          <w:szCs w:val="24"/>
        </w:rPr>
      </w:pPr>
      <w:r w:rsidRPr="009A7674">
        <w:rPr>
          <w:sz w:val="24"/>
          <w:szCs w:val="24"/>
        </w:rPr>
        <w:t>CDC’s Institutional Review Board (IRB) reviewed the study instruments and granted approval</w:t>
      </w:r>
      <w:r w:rsidRPr="009A7674">
        <w:rPr>
          <w:color w:val="FF0000"/>
          <w:sz w:val="24"/>
          <w:szCs w:val="24"/>
        </w:rPr>
        <w:t xml:space="preserve"> </w:t>
      </w:r>
      <w:r w:rsidRPr="009A7674">
        <w:rPr>
          <w:sz w:val="24"/>
          <w:szCs w:val="24"/>
        </w:rPr>
        <w:t xml:space="preserve">for the study due to minimal risk (see </w:t>
      </w:r>
      <w:r w:rsidRPr="009A7674">
        <w:rPr>
          <w:b/>
          <w:sz w:val="24"/>
          <w:szCs w:val="24"/>
        </w:rPr>
        <w:t>Attachment 15</w:t>
      </w:r>
      <w:r w:rsidRPr="009A7674">
        <w:rPr>
          <w:sz w:val="24"/>
          <w:szCs w:val="24"/>
        </w:rPr>
        <w:t>)</w:t>
      </w:r>
      <w:bookmarkStart w:id="0" w:name="_GoBack"/>
      <w:bookmarkEnd w:id="0"/>
      <w:r w:rsidRPr="009A7674">
        <w:rPr>
          <w:sz w:val="24"/>
          <w:szCs w:val="24"/>
        </w:rPr>
        <w:t>. The study was approved by the IRB on August 7, 2014.</w:t>
      </w:r>
      <w:bookmarkStart w:id="1" w:name="OLE_LINK7"/>
      <w:bookmarkStart w:id="2" w:name="OLE_LINK8"/>
      <w:bookmarkStart w:id="3" w:name="OLE_LINK9"/>
      <w:bookmarkStart w:id="4" w:name="OLE_LINK10"/>
      <w:r w:rsidRPr="009A7674">
        <w:rPr>
          <w:sz w:val="24"/>
          <w:szCs w:val="24"/>
        </w:rPr>
        <w:t xml:space="preserve">  </w:t>
      </w:r>
      <w:r w:rsidR="009A7674" w:rsidRPr="009A7674">
        <w:rPr>
          <w:sz w:val="24"/>
          <w:szCs w:val="24"/>
        </w:rPr>
        <w:t>Activity is research involving human subjects, but CDC involvement does not constitute “engagement” in the research. CDC will not interact with individuals for research purpose</w:t>
      </w:r>
      <w:r w:rsidR="003B6359">
        <w:rPr>
          <w:sz w:val="24"/>
          <w:szCs w:val="24"/>
        </w:rPr>
        <w:t>s</w:t>
      </w:r>
      <w:r w:rsidR="009A7674" w:rsidRPr="009A7674">
        <w:rPr>
          <w:sz w:val="24"/>
          <w:szCs w:val="24"/>
        </w:rPr>
        <w:t xml:space="preserve"> and CDC will not obtain IIF, only de-identified data.</w:t>
      </w:r>
    </w:p>
    <w:p w:rsidR="007522DA" w:rsidRPr="009A7674" w:rsidRDefault="007522DA" w:rsidP="007522DA">
      <w:pPr>
        <w:pStyle w:val="P1-StandPara"/>
        <w:ind w:firstLine="0"/>
        <w:jc w:val="left"/>
        <w:rPr>
          <w:sz w:val="24"/>
          <w:szCs w:val="24"/>
        </w:rPr>
      </w:pPr>
    </w:p>
    <w:bookmarkEnd w:id="1"/>
    <w:bookmarkEnd w:id="2"/>
    <w:bookmarkEnd w:id="3"/>
    <w:bookmarkEnd w:id="4"/>
    <w:p w:rsidR="00B12F51" w:rsidRPr="001D0685" w:rsidRDefault="0088467A"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Justification for Sensitive Questions</w:t>
      </w:r>
    </w:p>
    <w:p w:rsidR="00E32AA1" w:rsidRDefault="00E32AA1" w:rsidP="00E32AA1">
      <w:pPr>
        <w:pStyle w:val="BodyText1psg"/>
        <w:ind w:firstLine="0"/>
      </w:pPr>
      <w:r>
        <w:t xml:space="preserve">The purpose of this study is to conduct formative research with women of childbearing age (18–44) to assess their knowledge, awareness, beliefs, and access to information about medication use during pregnancy. </w:t>
      </w:r>
      <w:r w:rsidRPr="00D13404">
        <w:t xml:space="preserve">Specifically, </w:t>
      </w:r>
      <w:r>
        <w:t>our</w:t>
      </w:r>
      <w:r w:rsidRPr="00D13404">
        <w:t xml:space="preserve"> research will focus on learning </w:t>
      </w:r>
      <w:r>
        <w:t xml:space="preserve">how women with chronic or acute conditions make decisions about medication use during pregnancy, including what sources of information they identify as credible. </w:t>
      </w:r>
      <w:r w:rsidRPr="00E32AA1">
        <w:rPr>
          <w:szCs w:val="24"/>
        </w:rPr>
        <w:t xml:space="preserve">The screening questionnaire (see </w:t>
      </w:r>
      <w:r w:rsidRPr="00E32AA1">
        <w:rPr>
          <w:b/>
          <w:szCs w:val="24"/>
        </w:rPr>
        <w:t>Attachment 1</w:t>
      </w:r>
      <w:r w:rsidRPr="00E32AA1">
        <w:rPr>
          <w:szCs w:val="24"/>
        </w:rPr>
        <w:t>)</w:t>
      </w:r>
      <w:r w:rsidR="00115E18">
        <w:rPr>
          <w:szCs w:val="24"/>
        </w:rPr>
        <w:t xml:space="preserve"> </w:t>
      </w:r>
      <w:r w:rsidRPr="00E32AA1">
        <w:rPr>
          <w:szCs w:val="24"/>
        </w:rPr>
        <w:lastRenderedPageBreak/>
        <w:t xml:space="preserve">to determine eligibility, the consumer focus groups (see </w:t>
      </w:r>
      <w:r w:rsidRPr="00E32AA1">
        <w:rPr>
          <w:b/>
          <w:szCs w:val="24"/>
        </w:rPr>
        <w:t>Attachments 3, 3a, 5, 5a, 7, 7a, 9, 9a, 11, 11a, and 13, 13a</w:t>
      </w:r>
      <w:r w:rsidRPr="00E32AA1">
        <w:rPr>
          <w:szCs w:val="24"/>
        </w:rPr>
        <w:t xml:space="preserve">), and the follow-up interviews (see </w:t>
      </w:r>
      <w:r w:rsidRPr="00E32AA1">
        <w:rPr>
          <w:b/>
          <w:szCs w:val="24"/>
        </w:rPr>
        <w:t>Attachments 4, 6, 8, 10, 12, and 14</w:t>
      </w:r>
      <w:r w:rsidRPr="00E32AA1">
        <w:rPr>
          <w:szCs w:val="24"/>
        </w:rPr>
        <w:t>) will include some questions on sensitive information such as planning for pregnancy and reproductive health.  However, data will be treated in a secure manner and will not be disclosed, unless otherwise compelled by law. Identifying information through the screener will be collected by the professional recruiting firm, but only for recruiting purposes and will not be attached to findings.</w:t>
      </w:r>
      <w:r w:rsidRPr="00E32AA1">
        <w:t xml:space="preserve"> </w:t>
      </w:r>
    </w:p>
    <w:p w:rsidR="00B64BFA" w:rsidRPr="001D0685" w:rsidRDefault="0088467A"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Estimates of Annualized Burden Hours and Costs</w:t>
      </w:r>
    </w:p>
    <w:p w:rsidR="0013658A" w:rsidRDefault="0013658A" w:rsidP="0013658A">
      <w:pPr>
        <w:pStyle w:val="ListParagraph"/>
        <w:ind w:left="360"/>
        <w:rPr>
          <w:rFonts w:ascii="Calibri" w:hAnsi="Calibri"/>
        </w:rPr>
      </w:pPr>
    </w:p>
    <w:p w:rsidR="0013658A" w:rsidRPr="00FF3AE9" w:rsidRDefault="0013658A" w:rsidP="00FF3AE9">
      <w:pPr>
        <w:rPr>
          <w:rFonts w:ascii="Times New Roman" w:hAnsi="Times New Roman" w:cs="Times New Roman"/>
          <w:sz w:val="24"/>
          <w:szCs w:val="24"/>
        </w:rPr>
      </w:pPr>
      <w:r w:rsidRPr="00FF3AE9">
        <w:rPr>
          <w:rFonts w:ascii="Times New Roman" w:hAnsi="Times New Roman" w:cs="Times New Roman"/>
          <w:sz w:val="24"/>
          <w:szCs w:val="24"/>
        </w:rPr>
        <w:t xml:space="preserve">For the focus groups, it is estimated that 144 respondents will have to be screened in order to recruit 72 participants. Each screening will take approximately </w:t>
      </w:r>
      <w:r w:rsidR="0010418F" w:rsidRPr="00FF3AE9">
        <w:rPr>
          <w:rFonts w:ascii="Times New Roman" w:hAnsi="Times New Roman" w:cs="Times New Roman"/>
          <w:sz w:val="24"/>
          <w:szCs w:val="24"/>
        </w:rPr>
        <w:t xml:space="preserve">10 </w:t>
      </w:r>
      <w:r w:rsidRPr="00FF3AE9">
        <w:rPr>
          <w:rFonts w:ascii="Times New Roman" w:hAnsi="Times New Roman" w:cs="Times New Roman"/>
          <w:sz w:val="24"/>
          <w:szCs w:val="24"/>
        </w:rPr>
        <w:t>minutes. The estimated response burden for the screening process is 2</w:t>
      </w:r>
      <w:r w:rsidR="0010418F" w:rsidRPr="00FF3AE9">
        <w:rPr>
          <w:rFonts w:ascii="Times New Roman" w:hAnsi="Times New Roman" w:cs="Times New Roman"/>
          <w:sz w:val="24"/>
          <w:szCs w:val="24"/>
        </w:rPr>
        <w:t>4</w:t>
      </w:r>
      <w:r w:rsidRPr="00FF3AE9">
        <w:rPr>
          <w:rFonts w:ascii="Times New Roman" w:hAnsi="Times New Roman" w:cs="Times New Roman"/>
          <w:sz w:val="24"/>
          <w:szCs w:val="24"/>
        </w:rPr>
        <w:t xml:space="preserve"> hours. </w:t>
      </w:r>
    </w:p>
    <w:p w:rsidR="0013658A" w:rsidRPr="00FF3AE9" w:rsidRDefault="0013658A" w:rsidP="00FF3AE9">
      <w:pPr>
        <w:rPr>
          <w:rFonts w:ascii="Times New Roman" w:hAnsi="Times New Roman" w:cs="Times New Roman"/>
          <w:sz w:val="24"/>
          <w:szCs w:val="24"/>
        </w:rPr>
      </w:pPr>
      <w:r w:rsidRPr="00FF3AE9">
        <w:rPr>
          <w:rFonts w:ascii="Times New Roman" w:hAnsi="Times New Roman" w:cs="Times New Roman"/>
          <w:sz w:val="24"/>
          <w:szCs w:val="24"/>
        </w:rPr>
        <w:t xml:space="preserve">The focus groups will have an average of </w:t>
      </w:r>
      <w:r w:rsidR="0010418F" w:rsidRPr="00FF3AE9">
        <w:rPr>
          <w:rFonts w:ascii="Times New Roman" w:hAnsi="Times New Roman" w:cs="Times New Roman"/>
          <w:sz w:val="24"/>
          <w:szCs w:val="24"/>
        </w:rPr>
        <w:t>12 participants each. Six</w:t>
      </w:r>
      <w:r w:rsidRPr="00FF3AE9">
        <w:rPr>
          <w:rFonts w:ascii="Times New Roman" w:hAnsi="Times New Roman" w:cs="Times New Roman"/>
          <w:sz w:val="24"/>
          <w:szCs w:val="24"/>
        </w:rPr>
        <w:t xml:space="preserve"> foc</w:t>
      </w:r>
      <w:r w:rsidR="0010418F" w:rsidRPr="00FF3AE9">
        <w:rPr>
          <w:rFonts w:ascii="Times New Roman" w:hAnsi="Times New Roman" w:cs="Times New Roman"/>
          <w:sz w:val="24"/>
          <w:szCs w:val="24"/>
        </w:rPr>
        <w:t xml:space="preserve">us groups will be conducted in virtual chat sessions </w:t>
      </w:r>
      <w:r w:rsidRPr="00FF3AE9">
        <w:rPr>
          <w:rFonts w:ascii="Times New Roman" w:hAnsi="Times New Roman" w:cs="Times New Roman"/>
          <w:sz w:val="24"/>
          <w:szCs w:val="24"/>
        </w:rPr>
        <w:t xml:space="preserve">with a total of 72 participants. </w:t>
      </w:r>
      <w:r w:rsidR="00B26083" w:rsidRPr="00B26083">
        <w:rPr>
          <w:rFonts w:ascii="Times New Roman" w:hAnsi="Times New Roman" w:cs="Times New Roman"/>
          <w:sz w:val="24"/>
          <w:szCs w:val="24"/>
        </w:rPr>
        <w:t xml:space="preserve">At the beginning of each focus group, participants will be asked to complete a consent form (see </w:t>
      </w:r>
      <w:r w:rsidR="00B26083" w:rsidRPr="00B26083">
        <w:rPr>
          <w:rFonts w:ascii="Times New Roman" w:hAnsi="Times New Roman" w:cs="Times New Roman"/>
          <w:b/>
          <w:sz w:val="24"/>
          <w:szCs w:val="24"/>
        </w:rPr>
        <w:t>Attachments 2, 2a</w:t>
      </w:r>
      <w:r w:rsidR="00B26083" w:rsidRPr="00B26083">
        <w:rPr>
          <w:rFonts w:ascii="Times New Roman" w:hAnsi="Times New Roman" w:cs="Times New Roman"/>
          <w:sz w:val="24"/>
          <w:szCs w:val="24"/>
        </w:rPr>
        <w:t>).</w:t>
      </w:r>
      <w:r w:rsidRPr="00FF3AE9">
        <w:rPr>
          <w:rFonts w:ascii="Times New Roman" w:hAnsi="Times New Roman" w:cs="Times New Roman"/>
          <w:sz w:val="24"/>
          <w:szCs w:val="24"/>
        </w:rPr>
        <w:t xml:space="preserve">The </w:t>
      </w:r>
      <w:r w:rsidR="0010418F" w:rsidRPr="00FF3AE9">
        <w:rPr>
          <w:rFonts w:ascii="Times New Roman" w:hAnsi="Times New Roman" w:cs="Times New Roman"/>
          <w:sz w:val="24"/>
          <w:szCs w:val="24"/>
        </w:rPr>
        <w:t xml:space="preserve">informed consent </w:t>
      </w:r>
      <w:r w:rsidRPr="00FF3AE9">
        <w:rPr>
          <w:rFonts w:ascii="Times New Roman" w:hAnsi="Times New Roman" w:cs="Times New Roman"/>
          <w:sz w:val="24"/>
          <w:szCs w:val="24"/>
        </w:rPr>
        <w:t xml:space="preserve">will </w:t>
      </w:r>
      <w:r w:rsidR="0010418F" w:rsidRPr="00FF3AE9">
        <w:rPr>
          <w:rFonts w:ascii="Times New Roman" w:hAnsi="Times New Roman" w:cs="Times New Roman"/>
          <w:sz w:val="24"/>
          <w:szCs w:val="24"/>
        </w:rPr>
        <w:t xml:space="preserve">take </w:t>
      </w:r>
      <w:r w:rsidRPr="00FF3AE9">
        <w:rPr>
          <w:rFonts w:ascii="Times New Roman" w:hAnsi="Times New Roman" w:cs="Times New Roman"/>
          <w:sz w:val="24"/>
          <w:szCs w:val="24"/>
        </w:rPr>
        <w:t>5 minutes to complete; the focus group discussion using the moderator’s guide (</w:t>
      </w:r>
      <w:r w:rsidR="00FF3AE9">
        <w:rPr>
          <w:rFonts w:ascii="Times New Roman" w:hAnsi="Times New Roman" w:cs="Times New Roman"/>
          <w:sz w:val="24"/>
          <w:szCs w:val="24"/>
        </w:rPr>
        <w:t xml:space="preserve">see </w:t>
      </w:r>
      <w:r w:rsidR="00FF3AE9" w:rsidRPr="00FF3AE9">
        <w:rPr>
          <w:rFonts w:ascii="Times New Roman" w:hAnsi="Times New Roman" w:cs="Times New Roman"/>
          <w:b/>
          <w:sz w:val="24"/>
          <w:szCs w:val="24"/>
        </w:rPr>
        <w:t>Attachments 3, 3a, 5, 5a, 7, 7a, 9, 9a, 11, 11a, and 13, 13a</w:t>
      </w:r>
      <w:r w:rsidRPr="00FF3AE9">
        <w:rPr>
          <w:rFonts w:ascii="Times New Roman" w:hAnsi="Times New Roman" w:cs="Times New Roman"/>
          <w:sz w:val="24"/>
          <w:szCs w:val="24"/>
        </w:rPr>
        <w:t>) will take 90 minutes to complete. All focus group activitie</w:t>
      </w:r>
      <w:r w:rsidR="00902DFF" w:rsidRPr="00FF3AE9">
        <w:rPr>
          <w:rFonts w:ascii="Times New Roman" w:hAnsi="Times New Roman" w:cs="Times New Roman"/>
          <w:sz w:val="24"/>
          <w:szCs w:val="24"/>
        </w:rPr>
        <w:t>s will have a total burden of 1</w:t>
      </w:r>
      <w:r w:rsidR="00997A7D">
        <w:rPr>
          <w:rFonts w:ascii="Times New Roman" w:hAnsi="Times New Roman" w:cs="Times New Roman"/>
          <w:sz w:val="24"/>
          <w:szCs w:val="24"/>
        </w:rPr>
        <w:t>38</w:t>
      </w:r>
      <w:r w:rsidRPr="00FF3AE9">
        <w:rPr>
          <w:rFonts w:ascii="Times New Roman" w:hAnsi="Times New Roman" w:cs="Times New Roman"/>
          <w:sz w:val="24"/>
          <w:szCs w:val="24"/>
        </w:rPr>
        <w:t xml:space="preserve"> hours.</w:t>
      </w:r>
    </w:p>
    <w:p w:rsidR="0013658A" w:rsidRPr="00FF3AE9" w:rsidRDefault="0010418F" w:rsidP="00FF3AE9">
      <w:pPr>
        <w:rPr>
          <w:rFonts w:ascii="Times New Roman" w:hAnsi="Times New Roman" w:cs="Times New Roman"/>
          <w:sz w:val="24"/>
          <w:szCs w:val="24"/>
          <w:highlight w:val="yellow"/>
        </w:rPr>
      </w:pPr>
      <w:r w:rsidRPr="00FF3AE9">
        <w:rPr>
          <w:rFonts w:ascii="Times New Roman" w:hAnsi="Times New Roman" w:cs="Times New Roman"/>
          <w:sz w:val="24"/>
          <w:szCs w:val="24"/>
        </w:rPr>
        <w:t>We will conduct follow-up phone interviews</w:t>
      </w:r>
      <w:r w:rsidR="00FF3AE9">
        <w:rPr>
          <w:rFonts w:ascii="Times New Roman" w:hAnsi="Times New Roman" w:cs="Times New Roman"/>
          <w:sz w:val="24"/>
          <w:szCs w:val="24"/>
        </w:rPr>
        <w:t xml:space="preserve"> (see </w:t>
      </w:r>
      <w:r w:rsidR="00FF3AE9" w:rsidRPr="00FF3AE9">
        <w:rPr>
          <w:rFonts w:ascii="Times New Roman" w:hAnsi="Times New Roman" w:cs="Times New Roman"/>
          <w:b/>
          <w:sz w:val="24"/>
          <w:szCs w:val="24"/>
        </w:rPr>
        <w:t>Attachments 4, 6, 8, 10, 12, and 14</w:t>
      </w:r>
      <w:r w:rsidR="00FF3AE9">
        <w:rPr>
          <w:rFonts w:ascii="Times New Roman" w:hAnsi="Times New Roman" w:cs="Times New Roman"/>
          <w:sz w:val="24"/>
          <w:szCs w:val="24"/>
        </w:rPr>
        <w:t>)</w:t>
      </w:r>
      <w:r w:rsidRPr="00FF3AE9">
        <w:rPr>
          <w:rFonts w:ascii="Times New Roman" w:hAnsi="Times New Roman" w:cs="Times New Roman"/>
          <w:sz w:val="24"/>
          <w:szCs w:val="24"/>
        </w:rPr>
        <w:t xml:space="preserve"> with 12 participants</w:t>
      </w:r>
      <w:r w:rsidR="00C1703C">
        <w:rPr>
          <w:rFonts w:ascii="Times New Roman" w:hAnsi="Times New Roman" w:cs="Times New Roman"/>
          <w:sz w:val="24"/>
          <w:szCs w:val="24"/>
        </w:rPr>
        <w:t xml:space="preserve"> (two from each of the six groups)</w:t>
      </w:r>
      <w:r w:rsidRPr="00FF3AE9">
        <w:rPr>
          <w:rFonts w:ascii="Times New Roman" w:hAnsi="Times New Roman" w:cs="Times New Roman"/>
          <w:sz w:val="24"/>
          <w:szCs w:val="24"/>
        </w:rPr>
        <w:t xml:space="preserve">. The interviews are expected to take </w:t>
      </w:r>
      <w:r w:rsidR="00E972BA">
        <w:rPr>
          <w:rFonts w:ascii="Times New Roman" w:hAnsi="Times New Roman" w:cs="Times New Roman"/>
          <w:sz w:val="24"/>
          <w:szCs w:val="24"/>
        </w:rPr>
        <w:t>30</w:t>
      </w:r>
      <w:r w:rsidRPr="00FF3AE9">
        <w:rPr>
          <w:rFonts w:ascii="Times New Roman" w:hAnsi="Times New Roman" w:cs="Times New Roman"/>
          <w:sz w:val="24"/>
          <w:szCs w:val="24"/>
        </w:rPr>
        <w:t xml:space="preserve"> minutes for a total of </w:t>
      </w:r>
      <w:r w:rsidR="00997A7D">
        <w:rPr>
          <w:rFonts w:ascii="Times New Roman" w:hAnsi="Times New Roman" w:cs="Times New Roman"/>
          <w:sz w:val="24"/>
          <w:szCs w:val="24"/>
        </w:rPr>
        <w:t>6</w:t>
      </w:r>
      <w:r w:rsidRPr="00FF3AE9">
        <w:rPr>
          <w:rFonts w:ascii="Times New Roman" w:hAnsi="Times New Roman" w:cs="Times New Roman"/>
          <w:sz w:val="24"/>
          <w:szCs w:val="24"/>
        </w:rPr>
        <w:t xml:space="preserve"> </w:t>
      </w:r>
      <w:r w:rsidR="00997A7D">
        <w:rPr>
          <w:rFonts w:ascii="Times New Roman" w:hAnsi="Times New Roman" w:cs="Times New Roman"/>
          <w:sz w:val="24"/>
          <w:szCs w:val="24"/>
        </w:rPr>
        <w:t xml:space="preserve">burden </w:t>
      </w:r>
      <w:r w:rsidRPr="00FF3AE9">
        <w:rPr>
          <w:rFonts w:ascii="Times New Roman" w:hAnsi="Times New Roman" w:cs="Times New Roman"/>
          <w:sz w:val="24"/>
          <w:szCs w:val="24"/>
        </w:rPr>
        <w:t>hours.</w:t>
      </w:r>
    </w:p>
    <w:p w:rsidR="00D37C4F" w:rsidRPr="001D0685" w:rsidRDefault="00BB7CF0" w:rsidP="00397E91">
      <w:pPr>
        <w:spacing w:after="0"/>
        <w:rPr>
          <w:rFonts w:ascii="Times New Roman" w:hAnsi="Times New Roman" w:cs="Times New Roman"/>
          <w:b/>
          <w:sz w:val="24"/>
          <w:szCs w:val="24"/>
        </w:rPr>
      </w:pPr>
      <w:r w:rsidRPr="001D0685">
        <w:rPr>
          <w:rFonts w:ascii="Times New Roman" w:hAnsi="Times New Roman" w:cs="Times New Roman"/>
          <w:b/>
          <w:sz w:val="24"/>
          <w:szCs w:val="24"/>
        </w:rPr>
        <w:t>Exhibit</w:t>
      </w:r>
      <w:r w:rsidR="006449BF">
        <w:rPr>
          <w:rFonts w:ascii="Times New Roman" w:hAnsi="Times New Roman" w:cs="Times New Roman"/>
          <w:b/>
          <w:sz w:val="24"/>
          <w:szCs w:val="24"/>
        </w:rPr>
        <w:t xml:space="preserve"> </w:t>
      </w:r>
      <w:r w:rsidR="00E817B0" w:rsidRPr="001D0685">
        <w:rPr>
          <w:rFonts w:ascii="Times New Roman" w:hAnsi="Times New Roman" w:cs="Times New Roman"/>
          <w:b/>
          <w:sz w:val="24"/>
          <w:szCs w:val="24"/>
        </w:rPr>
        <w:t xml:space="preserve">A.12.A Estimated </w:t>
      </w:r>
      <w:r w:rsidR="00371112" w:rsidRPr="001D0685">
        <w:rPr>
          <w:rFonts w:ascii="Times New Roman" w:hAnsi="Times New Roman" w:cs="Times New Roman"/>
          <w:b/>
          <w:sz w:val="24"/>
          <w:szCs w:val="24"/>
        </w:rPr>
        <w:t xml:space="preserve">Annualized </w:t>
      </w:r>
      <w:r w:rsidR="00E817B0" w:rsidRPr="001D0685">
        <w:rPr>
          <w:rFonts w:ascii="Times New Roman" w:hAnsi="Times New Roman" w:cs="Times New Roman"/>
          <w:b/>
          <w:sz w:val="24"/>
          <w:szCs w:val="24"/>
        </w:rPr>
        <w:t xml:space="preserve">Burden Hours </w:t>
      </w:r>
    </w:p>
    <w:tbl>
      <w:tblPr>
        <w:tblW w:w="945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710"/>
        <w:gridCol w:w="1440"/>
        <w:gridCol w:w="1620"/>
        <w:gridCol w:w="1350"/>
        <w:gridCol w:w="1260"/>
      </w:tblGrid>
      <w:tr w:rsidR="00506CA8" w:rsidRPr="001D0685" w:rsidTr="008519F9">
        <w:trPr>
          <w:trHeight w:val="1493"/>
        </w:trPr>
        <w:tc>
          <w:tcPr>
            <w:tcW w:w="2070" w:type="dxa"/>
            <w:tcBorders>
              <w:bottom w:val="single" w:sz="12" w:space="0" w:color="000000"/>
            </w:tcBorders>
            <w:shd w:val="clear" w:color="auto" w:fill="D9D9D9" w:themeFill="background1" w:themeFillShade="D9"/>
            <w:vAlign w:val="center"/>
          </w:tcPr>
          <w:p w:rsidR="00506CA8" w:rsidRPr="001D0685" w:rsidRDefault="00506CA8" w:rsidP="00104A1B">
            <w:pPr>
              <w:jc w:val="center"/>
              <w:rPr>
                <w:rFonts w:ascii="Times New Roman" w:hAnsi="Times New Roman" w:cs="Times New Roman"/>
                <w:b/>
              </w:rPr>
            </w:pPr>
            <w:r w:rsidRPr="001D0685">
              <w:rPr>
                <w:rFonts w:ascii="Times New Roman" w:hAnsi="Times New Roman" w:cs="Times New Roman"/>
                <w:b/>
              </w:rPr>
              <w:t>Type of Respondent</w:t>
            </w:r>
          </w:p>
        </w:tc>
        <w:tc>
          <w:tcPr>
            <w:tcW w:w="1710" w:type="dxa"/>
            <w:tcBorders>
              <w:bottom w:val="single" w:sz="12" w:space="0" w:color="000000"/>
            </w:tcBorders>
            <w:shd w:val="clear" w:color="auto" w:fill="D9D9D9" w:themeFill="background1" w:themeFillShade="D9"/>
          </w:tcPr>
          <w:p w:rsidR="00506CA8" w:rsidRPr="001D0685" w:rsidRDefault="00506CA8" w:rsidP="00104A1B">
            <w:pPr>
              <w:jc w:val="center"/>
              <w:rPr>
                <w:rFonts w:ascii="Times New Roman" w:hAnsi="Times New Roman" w:cs="Times New Roman"/>
                <w:b/>
              </w:rPr>
            </w:pPr>
          </w:p>
          <w:p w:rsidR="00506CA8" w:rsidRPr="001D0685" w:rsidRDefault="00506CA8" w:rsidP="00104A1B">
            <w:pPr>
              <w:jc w:val="center"/>
              <w:rPr>
                <w:rFonts w:ascii="Times New Roman" w:hAnsi="Times New Roman" w:cs="Times New Roman"/>
                <w:b/>
              </w:rPr>
            </w:pPr>
            <w:r w:rsidRPr="001D0685">
              <w:rPr>
                <w:rFonts w:ascii="Times New Roman" w:hAnsi="Times New Roman" w:cs="Times New Roman"/>
                <w:b/>
              </w:rPr>
              <w:t>Form Name</w:t>
            </w:r>
          </w:p>
        </w:tc>
        <w:tc>
          <w:tcPr>
            <w:tcW w:w="1440" w:type="dxa"/>
            <w:tcBorders>
              <w:bottom w:val="single" w:sz="12" w:space="0" w:color="000000"/>
            </w:tcBorders>
            <w:shd w:val="clear" w:color="auto" w:fill="D9D9D9" w:themeFill="background1" w:themeFillShade="D9"/>
            <w:vAlign w:val="center"/>
          </w:tcPr>
          <w:p w:rsidR="00506CA8" w:rsidRPr="001D0685" w:rsidRDefault="00506CA8" w:rsidP="00104A1B">
            <w:pPr>
              <w:jc w:val="center"/>
              <w:rPr>
                <w:rFonts w:ascii="Times New Roman" w:hAnsi="Times New Roman" w:cs="Times New Roman"/>
                <w:b/>
              </w:rPr>
            </w:pPr>
            <w:r w:rsidRPr="001D0685">
              <w:rPr>
                <w:rFonts w:ascii="Times New Roman" w:hAnsi="Times New Roman" w:cs="Times New Roman"/>
                <w:b/>
              </w:rPr>
              <w:t>No. of Respondents</w:t>
            </w:r>
          </w:p>
        </w:tc>
        <w:tc>
          <w:tcPr>
            <w:tcW w:w="1620" w:type="dxa"/>
            <w:tcBorders>
              <w:bottom w:val="single" w:sz="12" w:space="0" w:color="000000"/>
            </w:tcBorders>
            <w:shd w:val="clear" w:color="auto" w:fill="D9D9D9" w:themeFill="background1" w:themeFillShade="D9"/>
            <w:vAlign w:val="center"/>
          </w:tcPr>
          <w:p w:rsidR="00506CA8" w:rsidRPr="001D0685" w:rsidRDefault="00506CA8" w:rsidP="00104A1B">
            <w:pPr>
              <w:jc w:val="center"/>
              <w:rPr>
                <w:rFonts w:ascii="Times New Roman" w:hAnsi="Times New Roman" w:cs="Times New Roman"/>
                <w:b/>
              </w:rPr>
            </w:pPr>
            <w:r w:rsidRPr="001D0685">
              <w:rPr>
                <w:rFonts w:ascii="Times New Roman" w:hAnsi="Times New Roman" w:cs="Times New Roman"/>
                <w:b/>
              </w:rPr>
              <w:t>No. of Responses per Respondent</w:t>
            </w:r>
          </w:p>
        </w:tc>
        <w:tc>
          <w:tcPr>
            <w:tcW w:w="1350" w:type="dxa"/>
            <w:tcBorders>
              <w:bottom w:val="single" w:sz="12" w:space="0" w:color="000000"/>
            </w:tcBorders>
            <w:shd w:val="clear" w:color="auto" w:fill="D9D9D9" w:themeFill="background1" w:themeFillShade="D9"/>
            <w:vAlign w:val="center"/>
          </w:tcPr>
          <w:p w:rsidR="00506CA8" w:rsidRPr="001D0685" w:rsidRDefault="00506CA8" w:rsidP="00F9324A">
            <w:pPr>
              <w:jc w:val="center"/>
              <w:rPr>
                <w:rFonts w:ascii="Times New Roman" w:hAnsi="Times New Roman" w:cs="Times New Roman"/>
                <w:b/>
              </w:rPr>
            </w:pPr>
            <w:r w:rsidRPr="001D0685">
              <w:rPr>
                <w:rFonts w:ascii="Times New Roman" w:hAnsi="Times New Roman" w:cs="Times New Roman"/>
                <w:b/>
              </w:rPr>
              <w:t>Average Burden per Response (in hours)</w:t>
            </w:r>
          </w:p>
        </w:tc>
        <w:tc>
          <w:tcPr>
            <w:tcW w:w="1260" w:type="dxa"/>
            <w:tcBorders>
              <w:bottom w:val="single" w:sz="12" w:space="0" w:color="000000"/>
            </w:tcBorders>
            <w:shd w:val="clear" w:color="auto" w:fill="D9D9D9" w:themeFill="background1" w:themeFillShade="D9"/>
            <w:vAlign w:val="center"/>
          </w:tcPr>
          <w:p w:rsidR="00506CA8" w:rsidRPr="001D0685" w:rsidRDefault="00506CA8" w:rsidP="00104A1B">
            <w:pPr>
              <w:jc w:val="center"/>
              <w:rPr>
                <w:rFonts w:ascii="Times New Roman" w:hAnsi="Times New Roman" w:cs="Times New Roman"/>
                <w:b/>
              </w:rPr>
            </w:pPr>
            <w:r w:rsidRPr="001D0685">
              <w:rPr>
                <w:rFonts w:ascii="Times New Roman" w:hAnsi="Times New Roman" w:cs="Times New Roman"/>
                <w:b/>
              </w:rPr>
              <w:t>Total Burden Hours</w:t>
            </w:r>
          </w:p>
        </w:tc>
      </w:tr>
      <w:tr w:rsidR="00D01E7B" w:rsidRPr="001D0685" w:rsidTr="000415A0">
        <w:trPr>
          <w:trHeight w:val="1269"/>
        </w:trPr>
        <w:tc>
          <w:tcPr>
            <w:tcW w:w="2070" w:type="dxa"/>
            <w:tcBorders>
              <w:top w:val="single" w:sz="12" w:space="0" w:color="000000"/>
            </w:tcBorders>
            <w:vAlign w:val="center"/>
          </w:tcPr>
          <w:p w:rsidR="00D01E7B" w:rsidRPr="001D0685" w:rsidRDefault="00D01E7B" w:rsidP="00D01E7B">
            <w:pPr>
              <w:spacing w:after="0"/>
              <w:rPr>
                <w:rFonts w:ascii="Times New Roman" w:hAnsi="Times New Roman" w:cs="Times New Roman"/>
                <w:sz w:val="24"/>
                <w:szCs w:val="24"/>
              </w:rPr>
            </w:pPr>
            <w:r>
              <w:rPr>
                <w:rFonts w:ascii="Times New Roman" w:hAnsi="Times New Roman" w:cs="Times New Roman"/>
                <w:sz w:val="24"/>
                <w:szCs w:val="24"/>
              </w:rPr>
              <w:t xml:space="preserve">Women age 18-44 who plan to become pregnant/ had a baby within the last year </w:t>
            </w:r>
          </w:p>
          <w:p w:rsidR="00D01E7B" w:rsidRPr="001D0685" w:rsidRDefault="00D01E7B" w:rsidP="000D18A4">
            <w:pPr>
              <w:spacing w:after="0"/>
              <w:jc w:val="center"/>
              <w:rPr>
                <w:rFonts w:ascii="Times New Roman" w:hAnsi="Times New Roman" w:cs="Times New Roman"/>
                <w:sz w:val="24"/>
                <w:szCs w:val="24"/>
              </w:rPr>
            </w:pPr>
          </w:p>
        </w:tc>
        <w:tc>
          <w:tcPr>
            <w:tcW w:w="1710" w:type="dxa"/>
            <w:tcBorders>
              <w:top w:val="single" w:sz="12" w:space="0" w:color="000000"/>
            </w:tcBorders>
          </w:tcPr>
          <w:p w:rsidR="00D01E7B" w:rsidRDefault="00D01E7B" w:rsidP="008519F9">
            <w:pPr>
              <w:spacing w:after="0"/>
              <w:rPr>
                <w:rFonts w:ascii="Times New Roman" w:hAnsi="Times New Roman" w:cs="Times New Roman"/>
                <w:sz w:val="24"/>
                <w:szCs w:val="24"/>
              </w:rPr>
            </w:pPr>
          </w:p>
          <w:p w:rsidR="00D01E7B" w:rsidRDefault="00D01E7B" w:rsidP="008519F9">
            <w:pPr>
              <w:spacing w:after="0"/>
              <w:rPr>
                <w:rFonts w:ascii="Times New Roman" w:hAnsi="Times New Roman" w:cs="Times New Roman"/>
                <w:sz w:val="24"/>
                <w:szCs w:val="24"/>
              </w:rPr>
            </w:pPr>
          </w:p>
          <w:p w:rsidR="00D01E7B" w:rsidRDefault="00D01E7B" w:rsidP="008519F9">
            <w:pPr>
              <w:spacing w:after="0"/>
              <w:rPr>
                <w:rFonts w:ascii="Times New Roman" w:hAnsi="Times New Roman" w:cs="Times New Roman"/>
                <w:sz w:val="24"/>
                <w:szCs w:val="24"/>
              </w:rPr>
            </w:pPr>
          </w:p>
          <w:p w:rsidR="00D01E7B" w:rsidRPr="001D0685" w:rsidRDefault="00D01E7B" w:rsidP="008519F9">
            <w:pPr>
              <w:spacing w:after="0"/>
              <w:rPr>
                <w:rFonts w:ascii="Times New Roman" w:hAnsi="Times New Roman" w:cs="Times New Roman"/>
                <w:sz w:val="24"/>
                <w:szCs w:val="24"/>
              </w:rPr>
            </w:pPr>
            <w:r>
              <w:rPr>
                <w:rFonts w:ascii="Times New Roman" w:hAnsi="Times New Roman" w:cs="Times New Roman"/>
                <w:sz w:val="24"/>
                <w:szCs w:val="24"/>
              </w:rPr>
              <w:t>Screen</w:t>
            </w:r>
            <w:r w:rsidR="002925C7">
              <w:rPr>
                <w:rFonts w:ascii="Times New Roman" w:hAnsi="Times New Roman" w:cs="Times New Roman"/>
                <w:sz w:val="24"/>
                <w:szCs w:val="24"/>
              </w:rPr>
              <w:t>ing Questionnaire for Consumers</w:t>
            </w:r>
          </w:p>
          <w:p w:rsidR="00D01E7B" w:rsidRPr="001D0685" w:rsidRDefault="00D01E7B" w:rsidP="008519F9">
            <w:pPr>
              <w:spacing w:after="0"/>
              <w:rPr>
                <w:rFonts w:ascii="Times New Roman" w:hAnsi="Times New Roman" w:cs="Times New Roman"/>
                <w:sz w:val="24"/>
                <w:szCs w:val="24"/>
              </w:rPr>
            </w:pPr>
          </w:p>
        </w:tc>
        <w:tc>
          <w:tcPr>
            <w:tcW w:w="1440" w:type="dxa"/>
            <w:tcBorders>
              <w:top w:val="single" w:sz="12" w:space="0" w:color="000000"/>
            </w:tcBorders>
            <w:vAlign w:val="center"/>
          </w:tcPr>
          <w:p w:rsidR="00D01E7B" w:rsidRPr="001D0685" w:rsidRDefault="00D01E7B" w:rsidP="00D4347D">
            <w:pPr>
              <w:spacing w:after="0"/>
              <w:jc w:val="center"/>
              <w:rPr>
                <w:rFonts w:ascii="Times New Roman" w:hAnsi="Times New Roman" w:cs="Times New Roman"/>
                <w:sz w:val="24"/>
                <w:szCs w:val="24"/>
              </w:rPr>
            </w:pPr>
            <w:r>
              <w:rPr>
                <w:rFonts w:ascii="Times New Roman" w:hAnsi="Times New Roman" w:cs="Times New Roman"/>
                <w:sz w:val="24"/>
                <w:szCs w:val="24"/>
              </w:rPr>
              <w:t>144</w:t>
            </w:r>
          </w:p>
        </w:tc>
        <w:tc>
          <w:tcPr>
            <w:tcW w:w="1620" w:type="dxa"/>
            <w:tcBorders>
              <w:top w:val="single" w:sz="12" w:space="0" w:color="000000"/>
            </w:tcBorders>
            <w:vAlign w:val="center"/>
          </w:tcPr>
          <w:p w:rsidR="00D01E7B" w:rsidRDefault="00D01E7B" w:rsidP="00D4347D">
            <w:pPr>
              <w:spacing w:after="0"/>
              <w:jc w:val="center"/>
              <w:rPr>
                <w:rFonts w:ascii="Times New Roman" w:hAnsi="Times New Roman" w:cs="Times New Roman"/>
                <w:sz w:val="24"/>
                <w:szCs w:val="24"/>
              </w:rPr>
            </w:pPr>
          </w:p>
          <w:p w:rsidR="00D01E7B" w:rsidRPr="001D0685" w:rsidRDefault="00D01E7B" w:rsidP="00D4347D">
            <w:pPr>
              <w:spacing w:after="0"/>
              <w:jc w:val="center"/>
              <w:rPr>
                <w:rFonts w:ascii="Times New Roman" w:hAnsi="Times New Roman" w:cs="Times New Roman"/>
                <w:sz w:val="24"/>
                <w:szCs w:val="24"/>
              </w:rPr>
            </w:pPr>
            <w:r w:rsidRPr="001D0685">
              <w:rPr>
                <w:rFonts w:ascii="Times New Roman" w:hAnsi="Times New Roman" w:cs="Times New Roman"/>
                <w:sz w:val="24"/>
                <w:szCs w:val="24"/>
              </w:rPr>
              <w:t>1</w:t>
            </w:r>
          </w:p>
          <w:p w:rsidR="00D01E7B" w:rsidRPr="001D0685" w:rsidRDefault="00D01E7B" w:rsidP="00D4347D">
            <w:pPr>
              <w:spacing w:after="0"/>
              <w:jc w:val="center"/>
              <w:rPr>
                <w:rFonts w:ascii="Times New Roman" w:hAnsi="Times New Roman" w:cs="Times New Roman"/>
                <w:sz w:val="24"/>
                <w:szCs w:val="24"/>
              </w:rPr>
            </w:pPr>
          </w:p>
        </w:tc>
        <w:tc>
          <w:tcPr>
            <w:tcW w:w="1350" w:type="dxa"/>
            <w:tcBorders>
              <w:top w:val="single" w:sz="12" w:space="0" w:color="000000"/>
            </w:tcBorders>
            <w:vAlign w:val="center"/>
          </w:tcPr>
          <w:p w:rsidR="00D01E7B" w:rsidRDefault="00D01E7B" w:rsidP="00D4347D">
            <w:pPr>
              <w:spacing w:after="0"/>
              <w:jc w:val="center"/>
              <w:rPr>
                <w:rFonts w:ascii="Times New Roman" w:hAnsi="Times New Roman" w:cs="Times New Roman"/>
                <w:sz w:val="24"/>
                <w:szCs w:val="24"/>
              </w:rPr>
            </w:pPr>
          </w:p>
          <w:p w:rsidR="00D01E7B" w:rsidRPr="001D0685" w:rsidRDefault="00D01E7B" w:rsidP="00D4347D">
            <w:pPr>
              <w:spacing w:after="0"/>
              <w:jc w:val="center"/>
              <w:rPr>
                <w:rFonts w:ascii="Times New Roman" w:hAnsi="Times New Roman" w:cs="Times New Roman"/>
                <w:sz w:val="24"/>
                <w:szCs w:val="24"/>
              </w:rPr>
            </w:pPr>
            <w:r w:rsidRPr="001D0685">
              <w:rPr>
                <w:rFonts w:ascii="Times New Roman" w:hAnsi="Times New Roman" w:cs="Times New Roman"/>
                <w:sz w:val="24"/>
                <w:szCs w:val="24"/>
              </w:rPr>
              <w:t>10/60</w:t>
            </w:r>
          </w:p>
          <w:p w:rsidR="00D01E7B" w:rsidRPr="001D0685" w:rsidRDefault="00D01E7B" w:rsidP="00D4347D">
            <w:pPr>
              <w:spacing w:after="0"/>
              <w:jc w:val="center"/>
              <w:rPr>
                <w:rFonts w:ascii="Times New Roman" w:hAnsi="Times New Roman" w:cs="Times New Roman"/>
                <w:sz w:val="24"/>
                <w:szCs w:val="24"/>
              </w:rPr>
            </w:pPr>
          </w:p>
        </w:tc>
        <w:tc>
          <w:tcPr>
            <w:tcW w:w="1260" w:type="dxa"/>
            <w:tcBorders>
              <w:top w:val="single" w:sz="12" w:space="0" w:color="000000"/>
            </w:tcBorders>
            <w:vAlign w:val="center"/>
          </w:tcPr>
          <w:p w:rsidR="00D01E7B" w:rsidRPr="001D0685" w:rsidRDefault="008A1281" w:rsidP="00D4347D">
            <w:pPr>
              <w:spacing w:after="0"/>
              <w:jc w:val="center"/>
              <w:rPr>
                <w:rFonts w:ascii="Times New Roman" w:hAnsi="Times New Roman" w:cs="Times New Roman"/>
                <w:sz w:val="24"/>
                <w:szCs w:val="24"/>
              </w:rPr>
            </w:pPr>
            <w:r>
              <w:rPr>
                <w:rFonts w:ascii="Times New Roman" w:hAnsi="Times New Roman" w:cs="Times New Roman"/>
                <w:sz w:val="24"/>
                <w:szCs w:val="24"/>
              </w:rPr>
              <w:t>24</w:t>
            </w:r>
          </w:p>
        </w:tc>
      </w:tr>
      <w:tr w:rsidR="0010418F" w:rsidRPr="001D0685" w:rsidTr="008519F9">
        <w:tc>
          <w:tcPr>
            <w:tcW w:w="2070" w:type="dxa"/>
            <w:tcBorders>
              <w:top w:val="single" w:sz="12" w:space="0" w:color="000000"/>
            </w:tcBorders>
            <w:vAlign w:val="center"/>
          </w:tcPr>
          <w:p w:rsidR="0010418F" w:rsidRPr="001D0685" w:rsidRDefault="0010418F" w:rsidP="0010418F">
            <w:pPr>
              <w:spacing w:after="0"/>
              <w:rPr>
                <w:rFonts w:ascii="Times New Roman" w:hAnsi="Times New Roman" w:cs="Times New Roman"/>
                <w:sz w:val="24"/>
                <w:szCs w:val="24"/>
              </w:rPr>
            </w:pPr>
            <w:r>
              <w:rPr>
                <w:rFonts w:ascii="Times New Roman" w:hAnsi="Times New Roman" w:cs="Times New Roman"/>
                <w:sz w:val="24"/>
                <w:szCs w:val="24"/>
              </w:rPr>
              <w:t xml:space="preserve">Women age 18-44 who plan to </w:t>
            </w:r>
            <w:r>
              <w:rPr>
                <w:rFonts w:ascii="Times New Roman" w:hAnsi="Times New Roman" w:cs="Times New Roman"/>
                <w:sz w:val="24"/>
                <w:szCs w:val="24"/>
              </w:rPr>
              <w:lastRenderedPageBreak/>
              <w:t xml:space="preserve">become pregnant/ had a baby within the last year </w:t>
            </w:r>
          </w:p>
          <w:p w:rsidR="0010418F" w:rsidRDefault="0010418F" w:rsidP="00D01E7B">
            <w:pPr>
              <w:spacing w:after="0"/>
              <w:rPr>
                <w:rFonts w:ascii="Times New Roman" w:hAnsi="Times New Roman" w:cs="Times New Roman"/>
                <w:sz w:val="24"/>
                <w:szCs w:val="24"/>
              </w:rPr>
            </w:pPr>
          </w:p>
        </w:tc>
        <w:tc>
          <w:tcPr>
            <w:tcW w:w="1710" w:type="dxa"/>
            <w:tcBorders>
              <w:top w:val="single" w:sz="12" w:space="0" w:color="000000"/>
            </w:tcBorders>
          </w:tcPr>
          <w:p w:rsidR="0010418F" w:rsidRDefault="006268B9" w:rsidP="006A2534">
            <w:pPr>
              <w:spacing w:after="0"/>
              <w:rPr>
                <w:rFonts w:ascii="Times New Roman" w:hAnsi="Times New Roman" w:cs="Times New Roman"/>
                <w:sz w:val="24"/>
                <w:szCs w:val="24"/>
              </w:rPr>
            </w:pPr>
            <w:r>
              <w:rPr>
                <w:rFonts w:ascii="Times New Roman" w:hAnsi="Times New Roman" w:cs="Times New Roman"/>
                <w:sz w:val="24"/>
                <w:szCs w:val="24"/>
              </w:rPr>
              <w:lastRenderedPageBreak/>
              <w:t>Virtual Focus Group (</w:t>
            </w:r>
            <w:r w:rsidR="006A2534">
              <w:rPr>
                <w:rFonts w:ascii="Times New Roman" w:hAnsi="Times New Roman" w:cs="Times New Roman"/>
                <w:sz w:val="24"/>
                <w:szCs w:val="24"/>
              </w:rPr>
              <w:t>VFG</w:t>
            </w:r>
            <w:r>
              <w:rPr>
                <w:rFonts w:ascii="Times New Roman" w:hAnsi="Times New Roman" w:cs="Times New Roman"/>
                <w:sz w:val="24"/>
                <w:szCs w:val="24"/>
              </w:rPr>
              <w:t>)</w:t>
            </w:r>
            <w:r w:rsidR="006A2534">
              <w:rPr>
                <w:rFonts w:ascii="Times New Roman" w:hAnsi="Times New Roman" w:cs="Times New Roman"/>
                <w:sz w:val="24"/>
                <w:szCs w:val="24"/>
              </w:rPr>
              <w:t xml:space="preserve"> </w:t>
            </w:r>
            <w:r w:rsidR="006A2534">
              <w:rPr>
                <w:rFonts w:ascii="Times New Roman" w:hAnsi="Times New Roman" w:cs="Times New Roman"/>
                <w:sz w:val="24"/>
                <w:szCs w:val="24"/>
              </w:rPr>
              <w:lastRenderedPageBreak/>
              <w:t xml:space="preserve">Focus Group </w:t>
            </w:r>
            <w:r w:rsidR="0010418F">
              <w:rPr>
                <w:rFonts w:ascii="Times New Roman" w:hAnsi="Times New Roman" w:cs="Times New Roman"/>
                <w:sz w:val="24"/>
                <w:szCs w:val="24"/>
              </w:rPr>
              <w:t>Consent</w:t>
            </w:r>
          </w:p>
        </w:tc>
        <w:tc>
          <w:tcPr>
            <w:tcW w:w="1440" w:type="dxa"/>
            <w:tcBorders>
              <w:top w:val="single" w:sz="12" w:space="0" w:color="000000"/>
            </w:tcBorders>
            <w:vAlign w:val="center"/>
          </w:tcPr>
          <w:p w:rsidR="0010418F" w:rsidRDefault="0010418F" w:rsidP="00D4347D">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72</w:t>
            </w:r>
          </w:p>
        </w:tc>
        <w:tc>
          <w:tcPr>
            <w:tcW w:w="1620" w:type="dxa"/>
            <w:tcBorders>
              <w:top w:val="single" w:sz="12" w:space="0" w:color="000000"/>
            </w:tcBorders>
            <w:vAlign w:val="center"/>
          </w:tcPr>
          <w:p w:rsidR="0010418F" w:rsidRDefault="0010418F" w:rsidP="00D4347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12" w:space="0" w:color="000000"/>
            </w:tcBorders>
            <w:vAlign w:val="center"/>
          </w:tcPr>
          <w:p w:rsidR="0010418F" w:rsidRDefault="0010418F" w:rsidP="00D4347D">
            <w:pPr>
              <w:spacing w:after="0"/>
              <w:jc w:val="center"/>
              <w:rPr>
                <w:rFonts w:ascii="Times New Roman" w:hAnsi="Times New Roman" w:cs="Times New Roman"/>
                <w:sz w:val="24"/>
                <w:szCs w:val="24"/>
              </w:rPr>
            </w:pPr>
            <w:r>
              <w:rPr>
                <w:rFonts w:ascii="Times New Roman" w:hAnsi="Times New Roman" w:cs="Times New Roman"/>
                <w:sz w:val="24"/>
                <w:szCs w:val="24"/>
              </w:rPr>
              <w:t>5/60</w:t>
            </w:r>
          </w:p>
        </w:tc>
        <w:tc>
          <w:tcPr>
            <w:tcW w:w="1260" w:type="dxa"/>
            <w:tcBorders>
              <w:top w:val="single" w:sz="12" w:space="0" w:color="000000"/>
            </w:tcBorders>
            <w:vAlign w:val="center"/>
          </w:tcPr>
          <w:p w:rsidR="0010418F" w:rsidRDefault="0010418F" w:rsidP="00193549">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506CA8" w:rsidRPr="001D0685" w:rsidTr="008519F9">
        <w:tc>
          <w:tcPr>
            <w:tcW w:w="2070" w:type="dxa"/>
            <w:tcBorders>
              <w:top w:val="single" w:sz="12" w:space="0" w:color="000000"/>
            </w:tcBorders>
            <w:vAlign w:val="center"/>
          </w:tcPr>
          <w:p w:rsidR="00506CA8" w:rsidRPr="001D0685" w:rsidRDefault="00D01E7B" w:rsidP="003B635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Women age 18-44 who plan to become pregnant/ had a baby within the last year </w:t>
            </w:r>
          </w:p>
        </w:tc>
        <w:tc>
          <w:tcPr>
            <w:tcW w:w="1710" w:type="dxa"/>
            <w:tcBorders>
              <w:top w:val="single" w:sz="12" w:space="0" w:color="000000"/>
            </w:tcBorders>
          </w:tcPr>
          <w:p w:rsidR="008519F9" w:rsidRPr="001D0685" w:rsidRDefault="00D01E7B" w:rsidP="002925C7">
            <w:pPr>
              <w:spacing w:after="0"/>
              <w:rPr>
                <w:rFonts w:ascii="Times New Roman" w:hAnsi="Times New Roman" w:cs="Times New Roman"/>
                <w:sz w:val="24"/>
                <w:szCs w:val="24"/>
              </w:rPr>
            </w:pPr>
            <w:r>
              <w:rPr>
                <w:rFonts w:ascii="Times New Roman" w:hAnsi="Times New Roman" w:cs="Times New Roman"/>
                <w:sz w:val="24"/>
                <w:szCs w:val="24"/>
              </w:rPr>
              <w:t>G</w:t>
            </w:r>
            <w:r w:rsidR="002925C7">
              <w:rPr>
                <w:rFonts w:ascii="Times New Roman" w:hAnsi="Times New Roman" w:cs="Times New Roman"/>
                <w:sz w:val="24"/>
                <w:szCs w:val="24"/>
              </w:rPr>
              <w:t>roup 1- VFG</w:t>
            </w:r>
            <w:r>
              <w:rPr>
                <w:rFonts w:ascii="Times New Roman" w:hAnsi="Times New Roman" w:cs="Times New Roman"/>
                <w:sz w:val="24"/>
                <w:szCs w:val="24"/>
              </w:rPr>
              <w:t xml:space="preserve"> Moderators Guide</w:t>
            </w:r>
            <w:r w:rsidR="002925C7">
              <w:rPr>
                <w:rFonts w:ascii="Times New Roman" w:hAnsi="Times New Roman" w:cs="Times New Roman"/>
                <w:sz w:val="24"/>
                <w:szCs w:val="24"/>
              </w:rPr>
              <w:t xml:space="preserve"> - pain</w:t>
            </w:r>
          </w:p>
        </w:tc>
        <w:tc>
          <w:tcPr>
            <w:tcW w:w="1440" w:type="dxa"/>
            <w:tcBorders>
              <w:top w:val="single" w:sz="12" w:space="0" w:color="000000"/>
            </w:tcBorders>
            <w:vAlign w:val="center"/>
          </w:tcPr>
          <w:p w:rsidR="00506CA8" w:rsidRPr="001D0685" w:rsidRDefault="004F0133" w:rsidP="00D4347D">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12" w:space="0" w:color="000000"/>
            </w:tcBorders>
            <w:vAlign w:val="center"/>
          </w:tcPr>
          <w:p w:rsidR="00506CA8" w:rsidRPr="001D0685" w:rsidRDefault="00D01E7B" w:rsidP="00D4347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12" w:space="0" w:color="000000"/>
            </w:tcBorders>
            <w:vAlign w:val="center"/>
          </w:tcPr>
          <w:p w:rsidR="00506CA8" w:rsidRPr="001D0685" w:rsidRDefault="0010418F" w:rsidP="00D4347D">
            <w:pPr>
              <w:spacing w:after="0"/>
              <w:jc w:val="center"/>
              <w:rPr>
                <w:rFonts w:ascii="Times New Roman" w:hAnsi="Times New Roman" w:cs="Times New Roman"/>
                <w:sz w:val="24"/>
                <w:szCs w:val="24"/>
              </w:rPr>
            </w:pPr>
            <w:r>
              <w:rPr>
                <w:rFonts w:ascii="Times New Roman" w:hAnsi="Times New Roman" w:cs="Times New Roman"/>
                <w:sz w:val="24"/>
                <w:szCs w:val="24"/>
              </w:rPr>
              <w:t>90/60</w:t>
            </w:r>
          </w:p>
        </w:tc>
        <w:tc>
          <w:tcPr>
            <w:tcW w:w="1260" w:type="dxa"/>
            <w:tcBorders>
              <w:top w:val="single" w:sz="12" w:space="0" w:color="000000"/>
            </w:tcBorders>
            <w:vAlign w:val="center"/>
          </w:tcPr>
          <w:p w:rsidR="00506CA8" w:rsidRPr="001D0685" w:rsidRDefault="0004247C" w:rsidP="00193549">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2925C7" w:rsidRPr="001D0685" w:rsidTr="002925C7">
        <w:trPr>
          <w:trHeight w:val="1977"/>
        </w:trPr>
        <w:tc>
          <w:tcPr>
            <w:tcW w:w="2070" w:type="dxa"/>
            <w:tcBorders>
              <w:top w:val="single" w:sz="12" w:space="0" w:color="000000"/>
            </w:tcBorders>
            <w:vAlign w:val="center"/>
          </w:tcPr>
          <w:p w:rsidR="002925C7" w:rsidRDefault="002925C7" w:rsidP="002925C7">
            <w:pPr>
              <w:spacing w:after="0"/>
              <w:rPr>
                <w:rFonts w:ascii="Times New Roman" w:hAnsi="Times New Roman" w:cs="Times New Roman"/>
                <w:sz w:val="24"/>
                <w:szCs w:val="24"/>
              </w:rPr>
            </w:pPr>
            <w:r>
              <w:rPr>
                <w:rFonts w:ascii="Times New Roman" w:hAnsi="Times New Roman" w:cs="Times New Roman"/>
                <w:sz w:val="24"/>
                <w:szCs w:val="24"/>
              </w:rPr>
              <w:t xml:space="preserve">Women age 18-44 who plan to become pregnant/ had a baby within the last year </w:t>
            </w:r>
          </w:p>
        </w:tc>
        <w:tc>
          <w:tcPr>
            <w:tcW w:w="1710" w:type="dxa"/>
            <w:tcBorders>
              <w:top w:val="single" w:sz="12" w:space="0" w:color="000000"/>
            </w:tcBorders>
          </w:tcPr>
          <w:p w:rsidR="002925C7" w:rsidRDefault="002925C7" w:rsidP="008519F9">
            <w:pPr>
              <w:spacing w:after="0"/>
              <w:rPr>
                <w:rFonts w:ascii="Times New Roman" w:hAnsi="Times New Roman" w:cs="Times New Roman"/>
                <w:sz w:val="24"/>
                <w:szCs w:val="24"/>
              </w:rPr>
            </w:pPr>
            <w:r>
              <w:rPr>
                <w:rFonts w:ascii="Times New Roman" w:hAnsi="Times New Roman" w:cs="Times New Roman"/>
                <w:sz w:val="24"/>
                <w:szCs w:val="24"/>
              </w:rPr>
              <w:t>Group 2 – VFG Moderators Guide</w:t>
            </w:r>
            <w:r w:rsidR="004F0133">
              <w:rPr>
                <w:rFonts w:ascii="Times New Roman" w:hAnsi="Times New Roman" w:cs="Times New Roman"/>
                <w:sz w:val="24"/>
                <w:szCs w:val="24"/>
              </w:rPr>
              <w:t xml:space="preserve"> - Depression</w:t>
            </w:r>
          </w:p>
        </w:tc>
        <w:tc>
          <w:tcPr>
            <w:tcW w:w="1440" w:type="dxa"/>
            <w:tcBorders>
              <w:top w:val="single" w:sz="12" w:space="0" w:color="000000"/>
            </w:tcBorders>
            <w:vAlign w:val="center"/>
          </w:tcPr>
          <w:p w:rsidR="002925C7" w:rsidRDefault="004F0133" w:rsidP="00D4347D">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90/60</w:t>
            </w:r>
          </w:p>
        </w:tc>
        <w:tc>
          <w:tcPr>
            <w:tcW w:w="1260" w:type="dxa"/>
            <w:tcBorders>
              <w:top w:val="single" w:sz="12" w:space="0" w:color="000000"/>
            </w:tcBorders>
            <w:vAlign w:val="center"/>
          </w:tcPr>
          <w:p w:rsidR="002925C7" w:rsidRDefault="0004247C" w:rsidP="00193549">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2925C7" w:rsidRPr="001D0685" w:rsidTr="008519F9">
        <w:tc>
          <w:tcPr>
            <w:tcW w:w="2070" w:type="dxa"/>
            <w:tcBorders>
              <w:top w:val="single" w:sz="12" w:space="0" w:color="000000"/>
            </w:tcBorders>
            <w:vAlign w:val="center"/>
          </w:tcPr>
          <w:p w:rsidR="002925C7" w:rsidRPr="001D0685" w:rsidRDefault="002925C7" w:rsidP="002925C7">
            <w:pPr>
              <w:spacing w:after="0"/>
              <w:rPr>
                <w:rFonts w:ascii="Times New Roman" w:hAnsi="Times New Roman" w:cs="Times New Roman"/>
                <w:sz w:val="24"/>
                <w:szCs w:val="24"/>
              </w:rPr>
            </w:pPr>
            <w:r>
              <w:rPr>
                <w:rFonts w:ascii="Times New Roman" w:hAnsi="Times New Roman" w:cs="Times New Roman"/>
                <w:sz w:val="24"/>
                <w:szCs w:val="24"/>
              </w:rPr>
              <w:t xml:space="preserve">Women age 18-44 who plan to become pregnant/ had a baby within the last year </w:t>
            </w:r>
          </w:p>
          <w:p w:rsidR="002925C7" w:rsidRDefault="002925C7" w:rsidP="00D01E7B">
            <w:pPr>
              <w:spacing w:after="0"/>
              <w:rPr>
                <w:rFonts w:ascii="Times New Roman" w:hAnsi="Times New Roman" w:cs="Times New Roman"/>
                <w:sz w:val="24"/>
                <w:szCs w:val="24"/>
              </w:rPr>
            </w:pPr>
          </w:p>
        </w:tc>
        <w:tc>
          <w:tcPr>
            <w:tcW w:w="1710" w:type="dxa"/>
            <w:tcBorders>
              <w:top w:val="single" w:sz="12" w:space="0" w:color="000000"/>
            </w:tcBorders>
          </w:tcPr>
          <w:p w:rsidR="002925C7" w:rsidRDefault="004F0133" w:rsidP="008519F9">
            <w:pPr>
              <w:spacing w:after="0"/>
              <w:rPr>
                <w:rFonts w:ascii="Times New Roman" w:hAnsi="Times New Roman" w:cs="Times New Roman"/>
                <w:sz w:val="24"/>
                <w:szCs w:val="24"/>
              </w:rPr>
            </w:pPr>
            <w:r>
              <w:rPr>
                <w:rFonts w:ascii="Times New Roman" w:hAnsi="Times New Roman" w:cs="Times New Roman"/>
                <w:sz w:val="24"/>
                <w:szCs w:val="24"/>
              </w:rPr>
              <w:t>Group 3 – VFG Moderators Guide - Asthma</w:t>
            </w:r>
          </w:p>
        </w:tc>
        <w:tc>
          <w:tcPr>
            <w:tcW w:w="1440" w:type="dxa"/>
            <w:tcBorders>
              <w:top w:val="single" w:sz="12" w:space="0" w:color="000000"/>
            </w:tcBorders>
            <w:vAlign w:val="center"/>
          </w:tcPr>
          <w:p w:rsidR="002925C7" w:rsidRDefault="004F0133" w:rsidP="00D4347D">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90/60</w:t>
            </w:r>
          </w:p>
        </w:tc>
        <w:tc>
          <w:tcPr>
            <w:tcW w:w="1260" w:type="dxa"/>
            <w:tcBorders>
              <w:top w:val="single" w:sz="12" w:space="0" w:color="000000"/>
            </w:tcBorders>
            <w:vAlign w:val="center"/>
          </w:tcPr>
          <w:p w:rsidR="002925C7" w:rsidRDefault="0004247C" w:rsidP="00193549">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2925C7" w:rsidRPr="001D0685" w:rsidTr="008519F9">
        <w:tc>
          <w:tcPr>
            <w:tcW w:w="2070" w:type="dxa"/>
            <w:tcBorders>
              <w:top w:val="single" w:sz="12" w:space="0" w:color="000000"/>
            </w:tcBorders>
            <w:vAlign w:val="center"/>
          </w:tcPr>
          <w:p w:rsidR="004F0133" w:rsidRPr="001D0685" w:rsidRDefault="004F0133" w:rsidP="004F0133">
            <w:pPr>
              <w:spacing w:after="0"/>
              <w:rPr>
                <w:rFonts w:ascii="Times New Roman" w:hAnsi="Times New Roman" w:cs="Times New Roman"/>
                <w:sz w:val="24"/>
                <w:szCs w:val="24"/>
              </w:rPr>
            </w:pPr>
            <w:r>
              <w:rPr>
                <w:rFonts w:ascii="Times New Roman" w:hAnsi="Times New Roman" w:cs="Times New Roman"/>
                <w:sz w:val="24"/>
                <w:szCs w:val="24"/>
              </w:rPr>
              <w:t xml:space="preserve">Women age 18-44 who plan to become pregnant/ had a baby within the last year </w:t>
            </w:r>
          </w:p>
          <w:p w:rsidR="002925C7" w:rsidRDefault="002925C7" w:rsidP="00D01E7B">
            <w:pPr>
              <w:spacing w:after="0"/>
              <w:rPr>
                <w:rFonts w:ascii="Times New Roman" w:hAnsi="Times New Roman" w:cs="Times New Roman"/>
                <w:sz w:val="24"/>
                <w:szCs w:val="24"/>
              </w:rPr>
            </w:pPr>
          </w:p>
        </w:tc>
        <w:tc>
          <w:tcPr>
            <w:tcW w:w="1710" w:type="dxa"/>
            <w:tcBorders>
              <w:top w:val="single" w:sz="12" w:space="0" w:color="000000"/>
            </w:tcBorders>
          </w:tcPr>
          <w:p w:rsidR="002925C7" w:rsidRDefault="004F0133" w:rsidP="008519F9">
            <w:pPr>
              <w:spacing w:after="0"/>
              <w:rPr>
                <w:rFonts w:ascii="Times New Roman" w:hAnsi="Times New Roman" w:cs="Times New Roman"/>
                <w:sz w:val="24"/>
                <w:szCs w:val="24"/>
              </w:rPr>
            </w:pPr>
            <w:r>
              <w:rPr>
                <w:rFonts w:ascii="Times New Roman" w:hAnsi="Times New Roman" w:cs="Times New Roman"/>
                <w:sz w:val="24"/>
                <w:szCs w:val="24"/>
              </w:rPr>
              <w:t>Group 4- VFG Moderators Guide – Postpartum Acute Med</w:t>
            </w:r>
          </w:p>
        </w:tc>
        <w:tc>
          <w:tcPr>
            <w:tcW w:w="1440" w:type="dxa"/>
            <w:tcBorders>
              <w:top w:val="single" w:sz="12" w:space="0" w:color="000000"/>
            </w:tcBorders>
            <w:vAlign w:val="center"/>
          </w:tcPr>
          <w:p w:rsidR="002925C7" w:rsidRDefault="004F0133" w:rsidP="00D4347D">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90/60</w:t>
            </w:r>
          </w:p>
        </w:tc>
        <w:tc>
          <w:tcPr>
            <w:tcW w:w="1260" w:type="dxa"/>
            <w:tcBorders>
              <w:top w:val="single" w:sz="12" w:space="0" w:color="000000"/>
            </w:tcBorders>
            <w:vAlign w:val="center"/>
          </w:tcPr>
          <w:p w:rsidR="002925C7" w:rsidRDefault="0004247C" w:rsidP="00193549">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4F0133" w:rsidRPr="001D0685" w:rsidTr="008519F9">
        <w:tc>
          <w:tcPr>
            <w:tcW w:w="2070" w:type="dxa"/>
            <w:tcBorders>
              <w:top w:val="single" w:sz="12" w:space="0" w:color="000000"/>
            </w:tcBorders>
            <w:vAlign w:val="center"/>
          </w:tcPr>
          <w:p w:rsidR="004F0133" w:rsidRPr="001D0685" w:rsidRDefault="004F0133" w:rsidP="004F0133">
            <w:pPr>
              <w:spacing w:after="0"/>
              <w:rPr>
                <w:rFonts w:ascii="Times New Roman" w:hAnsi="Times New Roman" w:cs="Times New Roman"/>
                <w:sz w:val="24"/>
                <w:szCs w:val="24"/>
              </w:rPr>
            </w:pPr>
            <w:r>
              <w:rPr>
                <w:rFonts w:ascii="Times New Roman" w:hAnsi="Times New Roman" w:cs="Times New Roman"/>
                <w:sz w:val="24"/>
                <w:szCs w:val="24"/>
              </w:rPr>
              <w:t xml:space="preserve">Women age 18-44 who plan to become pregnant/ had a baby within the last year </w:t>
            </w:r>
          </w:p>
          <w:p w:rsidR="004F0133" w:rsidRDefault="004F0133" w:rsidP="00D01E7B">
            <w:pPr>
              <w:spacing w:after="0"/>
              <w:rPr>
                <w:rFonts w:ascii="Times New Roman" w:hAnsi="Times New Roman" w:cs="Times New Roman"/>
                <w:sz w:val="24"/>
                <w:szCs w:val="24"/>
              </w:rPr>
            </w:pPr>
          </w:p>
        </w:tc>
        <w:tc>
          <w:tcPr>
            <w:tcW w:w="1710" w:type="dxa"/>
            <w:tcBorders>
              <w:top w:val="single" w:sz="12" w:space="0" w:color="000000"/>
            </w:tcBorders>
          </w:tcPr>
          <w:p w:rsidR="004F0133" w:rsidRDefault="004F0133" w:rsidP="008519F9">
            <w:pPr>
              <w:spacing w:after="0"/>
              <w:rPr>
                <w:rFonts w:ascii="Times New Roman" w:hAnsi="Times New Roman" w:cs="Times New Roman"/>
                <w:sz w:val="24"/>
                <w:szCs w:val="24"/>
              </w:rPr>
            </w:pPr>
            <w:r>
              <w:rPr>
                <w:rFonts w:ascii="Times New Roman" w:hAnsi="Times New Roman" w:cs="Times New Roman"/>
                <w:sz w:val="24"/>
                <w:szCs w:val="24"/>
              </w:rPr>
              <w:t>Group 5 – VFG Moderators Guide – Postpartum Depression</w:t>
            </w:r>
          </w:p>
        </w:tc>
        <w:tc>
          <w:tcPr>
            <w:tcW w:w="1440" w:type="dxa"/>
            <w:tcBorders>
              <w:top w:val="single" w:sz="12" w:space="0" w:color="000000"/>
            </w:tcBorders>
            <w:vAlign w:val="center"/>
          </w:tcPr>
          <w:p w:rsidR="004F0133" w:rsidRDefault="004F0133" w:rsidP="00D4347D">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12" w:space="0" w:color="000000"/>
            </w:tcBorders>
            <w:vAlign w:val="center"/>
          </w:tcPr>
          <w:p w:rsidR="004F0133"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12" w:space="0" w:color="000000"/>
            </w:tcBorders>
            <w:vAlign w:val="center"/>
          </w:tcPr>
          <w:p w:rsidR="004F0133"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90/60</w:t>
            </w:r>
          </w:p>
        </w:tc>
        <w:tc>
          <w:tcPr>
            <w:tcW w:w="1260" w:type="dxa"/>
            <w:tcBorders>
              <w:top w:val="single" w:sz="12" w:space="0" w:color="000000"/>
            </w:tcBorders>
            <w:vAlign w:val="center"/>
          </w:tcPr>
          <w:p w:rsidR="004F0133" w:rsidRDefault="0004247C" w:rsidP="00193549">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2925C7" w:rsidRPr="001D0685" w:rsidTr="008519F9">
        <w:tc>
          <w:tcPr>
            <w:tcW w:w="2070" w:type="dxa"/>
            <w:tcBorders>
              <w:top w:val="single" w:sz="12" w:space="0" w:color="000000"/>
            </w:tcBorders>
            <w:vAlign w:val="center"/>
          </w:tcPr>
          <w:p w:rsidR="004F0133" w:rsidRPr="001D0685" w:rsidRDefault="004F0133" w:rsidP="004F0133">
            <w:pPr>
              <w:spacing w:after="0"/>
              <w:rPr>
                <w:rFonts w:ascii="Times New Roman" w:hAnsi="Times New Roman" w:cs="Times New Roman"/>
                <w:sz w:val="24"/>
                <w:szCs w:val="24"/>
              </w:rPr>
            </w:pPr>
            <w:r>
              <w:rPr>
                <w:rFonts w:ascii="Times New Roman" w:hAnsi="Times New Roman" w:cs="Times New Roman"/>
                <w:sz w:val="24"/>
                <w:szCs w:val="24"/>
              </w:rPr>
              <w:t xml:space="preserve">Women age 18-44 who plan to become pregnant/ had a baby within the last year </w:t>
            </w:r>
          </w:p>
          <w:p w:rsidR="002925C7" w:rsidRDefault="002925C7" w:rsidP="00D01E7B">
            <w:pPr>
              <w:spacing w:after="0"/>
              <w:rPr>
                <w:rFonts w:ascii="Times New Roman" w:hAnsi="Times New Roman" w:cs="Times New Roman"/>
                <w:sz w:val="24"/>
                <w:szCs w:val="24"/>
              </w:rPr>
            </w:pPr>
          </w:p>
        </w:tc>
        <w:tc>
          <w:tcPr>
            <w:tcW w:w="1710" w:type="dxa"/>
            <w:tcBorders>
              <w:top w:val="single" w:sz="12" w:space="0" w:color="000000"/>
            </w:tcBorders>
          </w:tcPr>
          <w:p w:rsidR="002925C7" w:rsidRDefault="004F0133" w:rsidP="008519F9">
            <w:pPr>
              <w:spacing w:after="0"/>
              <w:rPr>
                <w:rFonts w:ascii="Times New Roman" w:hAnsi="Times New Roman" w:cs="Times New Roman"/>
                <w:sz w:val="24"/>
                <w:szCs w:val="24"/>
              </w:rPr>
            </w:pPr>
            <w:r>
              <w:rPr>
                <w:rFonts w:ascii="Times New Roman" w:hAnsi="Times New Roman" w:cs="Times New Roman"/>
                <w:sz w:val="24"/>
                <w:szCs w:val="24"/>
              </w:rPr>
              <w:t>Group 6 – VFG Moderators Guide- Postpartum - Asthma</w:t>
            </w:r>
          </w:p>
        </w:tc>
        <w:tc>
          <w:tcPr>
            <w:tcW w:w="1440" w:type="dxa"/>
            <w:tcBorders>
              <w:top w:val="single" w:sz="12" w:space="0" w:color="000000"/>
            </w:tcBorders>
            <w:vAlign w:val="center"/>
          </w:tcPr>
          <w:p w:rsidR="002925C7" w:rsidRDefault="004F0133" w:rsidP="00D4347D">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12" w:space="0" w:color="000000"/>
            </w:tcBorders>
            <w:vAlign w:val="center"/>
          </w:tcPr>
          <w:p w:rsidR="002925C7" w:rsidRDefault="0004247C" w:rsidP="00D4347D">
            <w:pPr>
              <w:spacing w:after="0"/>
              <w:jc w:val="center"/>
              <w:rPr>
                <w:rFonts w:ascii="Times New Roman" w:hAnsi="Times New Roman" w:cs="Times New Roman"/>
                <w:sz w:val="24"/>
                <w:szCs w:val="24"/>
              </w:rPr>
            </w:pPr>
            <w:r>
              <w:rPr>
                <w:rFonts w:ascii="Times New Roman" w:hAnsi="Times New Roman" w:cs="Times New Roman"/>
                <w:sz w:val="24"/>
                <w:szCs w:val="24"/>
              </w:rPr>
              <w:t>90/60</w:t>
            </w:r>
          </w:p>
        </w:tc>
        <w:tc>
          <w:tcPr>
            <w:tcW w:w="1260" w:type="dxa"/>
            <w:tcBorders>
              <w:top w:val="single" w:sz="12" w:space="0" w:color="000000"/>
            </w:tcBorders>
            <w:vAlign w:val="center"/>
          </w:tcPr>
          <w:p w:rsidR="002925C7" w:rsidRDefault="0004247C" w:rsidP="00193549">
            <w:pPr>
              <w:spacing w:after="0"/>
              <w:jc w:val="center"/>
              <w:rPr>
                <w:rFonts w:ascii="Times New Roman" w:hAnsi="Times New Roman" w:cs="Times New Roman"/>
                <w:sz w:val="24"/>
                <w:szCs w:val="24"/>
              </w:rPr>
            </w:pPr>
            <w:r>
              <w:rPr>
                <w:rFonts w:ascii="Times New Roman" w:hAnsi="Times New Roman" w:cs="Times New Roman"/>
                <w:sz w:val="24"/>
                <w:szCs w:val="24"/>
              </w:rPr>
              <w:t>18</w:t>
            </w:r>
          </w:p>
        </w:tc>
      </w:tr>
      <w:tr w:rsidR="00506CA8" w:rsidRPr="001D0685" w:rsidTr="008519F9">
        <w:tc>
          <w:tcPr>
            <w:tcW w:w="2070" w:type="dxa"/>
            <w:tcBorders>
              <w:top w:val="single" w:sz="12" w:space="0" w:color="000000"/>
            </w:tcBorders>
            <w:vAlign w:val="center"/>
          </w:tcPr>
          <w:p w:rsidR="00D01E7B" w:rsidRPr="001D0685" w:rsidRDefault="00D01E7B" w:rsidP="00D01E7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Women age 18-44 who plan to become pregnant/ had a baby within the last year </w:t>
            </w:r>
          </w:p>
          <w:p w:rsidR="00506CA8" w:rsidRPr="001D0685" w:rsidRDefault="00506CA8" w:rsidP="008519F9">
            <w:pPr>
              <w:spacing w:after="0"/>
              <w:rPr>
                <w:rFonts w:ascii="Times New Roman" w:hAnsi="Times New Roman" w:cs="Times New Roman"/>
                <w:sz w:val="24"/>
                <w:szCs w:val="24"/>
              </w:rPr>
            </w:pPr>
          </w:p>
        </w:tc>
        <w:tc>
          <w:tcPr>
            <w:tcW w:w="1710" w:type="dxa"/>
            <w:tcBorders>
              <w:top w:val="single" w:sz="12" w:space="0" w:color="000000"/>
            </w:tcBorders>
          </w:tcPr>
          <w:p w:rsidR="00506CA8" w:rsidRPr="001D0685" w:rsidRDefault="00D01E7B" w:rsidP="008519F9">
            <w:pPr>
              <w:spacing w:after="0"/>
              <w:rPr>
                <w:rFonts w:ascii="Times New Roman" w:hAnsi="Times New Roman" w:cs="Times New Roman"/>
                <w:sz w:val="24"/>
                <w:szCs w:val="24"/>
              </w:rPr>
            </w:pPr>
            <w:r>
              <w:rPr>
                <w:rFonts w:ascii="Times New Roman" w:hAnsi="Times New Roman" w:cs="Times New Roman"/>
                <w:sz w:val="24"/>
                <w:szCs w:val="24"/>
              </w:rPr>
              <w:t>Follow-up Telephone Interview</w:t>
            </w:r>
          </w:p>
        </w:tc>
        <w:tc>
          <w:tcPr>
            <w:tcW w:w="1440" w:type="dxa"/>
            <w:tcBorders>
              <w:top w:val="single" w:sz="12" w:space="0" w:color="000000"/>
            </w:tcBorders>
            <w:vAlign w:val="center"/>
          </w:tcPr>
          <w:p w:rsidR="00506CA8" w:rsidRPr="001D0685" w:rsidRDefault="0010418F" w:rsidP="00D4347D">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12" w:space="0" w:color="000000"/>
            </w:tcBorders>
            <w:vAlign w:val="center"/>
          </w:tcPr>
          <w:p w:rsidR="00506CA8" w:rsidRPr="001D0685" w:rsidRDefault="00506CA8" w:rsidP="00D4347D">
            <w:pPr>
              <w:pStyle w:val="ListParagraph"/>
              <w:spacing w:after="0"/>
              <w:ind w:left="360"/>
              <w:rPr>
                <w:rFonts w:ascii="Times New Roman" w:hAnsi="Times New Roman" w:cs="Times New Roman"/>
                <w:sz w:val="24"/>
                <w:szCs w:val="24"/>
              </w:rPr>
            </w:pPr>
            <w:r w:rsidRPr="001D0685">
              <w:rPr>
                <w:rFonts w:ascii="Times New Roman" w:hAnsi="Times New Roman" w:cs="Times New Roman"/>
                <w:sz w:val="24"/>
                <w:szCs w:val="24"/>
              </w:rPr>
              <w:t xml:space="preserve">      1</w:t>
            </w:r>
          </w:p>
        </w:tc>
        <w:tc>
          <w:tcPr>
            <w:tcW w:w="1350" w:type="dxa"/>
            <w:tcBorders>
              <w:top w:val="single" w:sz="12" w:space="0" w:color="000000"/>
            </w:tcBorders>
            <w:vAlign w:val="center"/>
          </w:tcPr>
          <w:p w:rsidR="00506CA8" w:rsidRPr="001D0685" w:rsidRDefault="00C1703C" w:rsidP="00D4347D">
            <w:pPr>
              <w:spacing w:after="0"/>
              <w:jc w:val="center"/>
              <w:rPr>
                <w:rFonts w:ascii="Times New Roman" w:hAnsi="Times New Roman" w:cs="Times New Roman"/>
                <w:sz w:val="24"/>
                <w:szCs w:val="24"/>
              </w:rPr>
            </w:pPr>
            <w:r>
              <w:rPr>
                <w:rFonts w:ascii="Times New Roman" w:hAnsi="Times New Roman" w:cs="Times New Roman"/>
                <w:sz w:val="24"/>
                <w:szCs w:val="24"/>
              </w:rPr>
              <w:t>30</w:t>
            </w:r>
            <w:r w:rsidR="00506CA8" w:rsidRPr="001D0685">
              <w:rPr>
                <w:rFonts w:ascii="Times New Roman" w:hAnsi="Times New Roman" w:cs="Times New Roman"/>
                <w:sz w:val="24"/>
                <w:szCs w:val="24"/>
              </w:rPr>
              <w:t>/60</w:t>
            </w:r>
          </w:p>
        </w:tc>
        <w:tc>
          <w:tcPr>
            <w:tcW w:w="1260" w:type="dxa"/>
            <w:tcBorders>
              <w:top w:val="single" w:sz="12" w:space="0" w:color="000000"/>
            </w:tcBorders>
            <w:vAlign w:val="center"/>
          </w:tcPr>
          <w:p w:rsidR="00506CA8" w:rsidRPr="001D0685" w:rsidRDefault="00C1703C" w:rsidP="00D4347D">
            <w:pPr>
              <w:spacing w:after="0"/>
              <w:jc w:val="center"/>
              <w:rPr>
                <w:rFonts w:ascii="Times New Roman" w:hAnsi="Times New Roman" w:cs="Times New Roman"/>
                <w:sz w:val="24"/>
                <w:szCs w:val="24"/>
              </w:rPr>
            </w:pPr>
            <w:r>
              <w:rPr>
                <w:rFonts w:ascii="Times New Roman" w:hAnsi="Times New Roman" w:cs="Times New Roman"/>
                <w:sz w:val="24"/>
                <w:szCs w:val="24"/>
              </w:rPr>
              <w:t>6</w:t>
            </w:r>
          </w:p>
        </w:tc>
      </w:tr>
      <w:tr w:rsidR="00506CA8" w:rsidRPr="001D0685" w:rsidTr="000D18A4">
        <w:trPr>
          <w:trHeight w:hRule="exact" w:val="432"/>
        </w:trPr>
        <w:tc>
          <w:tcPr>
            <w:tcW w:w="2070" w:type="dxa"/>
            <w:vAlign w:val="center"/>
          </w:tcPr>
          <w:p w:rsidR="00506CA8" w:rsidRPr="001D0685" w:rsidRDefault="00506CA8" w:rsidP="006C051D">
            <w:pPr>
              <w:spacing w:after="0"/>
              <w:jc w:val="right"/>
              <w:rPr>
                <w:rFonts w:ascii="Times New Roman" w:hAnsi="Times New Roman" w:cs="Times New Roman"/>
                <w:b/>
                <w:sz w:val="24"/>
                <w:szCs w:val="24"/>
              </w:rPr>
            </w:pPr>
            <w:r w:rsidRPr="001D0685">
              <w:rPr>
                <w:rFonts w:ascii="Times New Roman" w:hAnsi="Times New Roman" w:cs="Times New Roman"/>
                <w:b/>
                <w:sz w:val="24"/>
                <w:szCs w:val="24"/>
              </w:rPr>
              <w:t>TOTAL</w:t>
            </w:r>
          </w:p>
        </w:tc>
        <w:tc>
          <w:tcPr>
            <w:tcW w:w="1710" w:type="dxa"/>
          </w:tcPr>
          <w:p w:rsidR="00506CA8" w:rsidRPr="001D0685" w:rsidRDefault="00506CA8" w:rsidP="00D4347D">
            <w:pPr>
              <w:spacing w:after="0"/>
              <w:jc w:val="center"/>
              <w:rPr>
                <w:rFonts w:ascii="Times New Roman" w:hAnsi="Times New Roman" w:cs="Times New Roman"/>
                <w:b/>
                <w:sz w:val="24"/>
                <w:szCs w:val="24"/>
              </w:rPr>
            </w:pPr>
          </w:p>
        </w:tc>
        <w:tc>
          <w:tcPr>
            <w:tcW w:w="1440" w:type="dxa"/>
            <w:vAlign w:val="center"/>
          </w:tcPr>
          <w:p w:rsidR="00506CA8" w:rsidRPr="001D0685" w:rsidRDefault="00506CA8" w:rsidP="00D4347D">
            <w:pPr>
              <w:spacing w:after="0"/>
              <w:jc w:val="center"/>
              <w:rPr>
                <w:rFonts w:ascii="Times New Roman" w:hAnsi="Times New Roman" w:cs="Times New Roman"/>
                <w:b/>
                <w:sz w:val="24"/>
                <w:szCs w:val="24"/>
              </w:rPr>
            </w:pPr>
          </w:p>
        </w:tc>
        <w:tc>
          <w:tcPr>
            <w:tcW w:w="1620" w:type="dxa"/>
            <w:shd w:val="clear" w:color="auto" w:fill="auto"/>
            <w:vAlign w:val="center"/>
          </w:tcPr>
          <w:p w:rsidR="00506CA8" w:rsidRPr="001D0685" w:rsidRDefault="00506CA8" w:rsidP="00D4347D">
            <w:pPr>
              <w:spacing w:after="0"/>
              <w:jc w:val="center"/>
              <w:rPr>
                <w:rFonts w:ascii="Times New Roman" w:hAnsi="Times New Roman" w:cs="Times New Roman"/>
                <w:b/>
                <w:sz w:val="24"/>
                <w:szCs w:val="24"/>
              </w:rPr>
            </w:pPr>
          </w:p>
        </w:tc>
        <w:tc>
          <w:tcPr>
            <w:tcW w:w="1350" w:type="dxa"/>
            <w:shd w:val="clear" w:color="auto" w:fill="auto"/>
            <w:vAlign w:val="center"/>
          </w:tcPr>
          <w:p w:rsidR="00506CA8" w:rsidRPr="001D0685" w:rsidRDefault="00506CA8" w:rsidP="00D4347D">
            <w:pPr>
              <w:spacing w:after="0"/>
              <w:jc w:val="center"/>
              <w:rPr>
                <w:rFonts w:ascii="Times New Roman" w:hAnsi="Times New Roman" w:cs="Times New Roman"/>
                <w:b/>
                <w:sz w:val="24"/>
                <w:szCs w:val="24"/>
              </w:rPr>
            </w:pPr>
          </w:p>
        </w:tc>
        <w:tc>
          <w:tcPr>
            <w:tcW w:w="1260" w:type="dxa"/>
            <w:vAlign w:val="center"/>
          </w:tcPr>
          <w:p w:rsidR="00506CA8" w:rsidRPr="001D0685" w:rsidRDefault="0010418F" w:rsidP="00C1703C">
            <w:pPr>
              <w:spacing w:after="0"/>
              <w:jc w:val="center"/>
              <w:rPr>
                <w:rFonts w:ascii="Times New Roman" w:hAnsi="Times New Roman" w:cs="Times New Roman"/>
                <w:b/>
                <w:sz w:val="24"/>
                <w:szCs w:val="24"/>
              </w:rPr>
            </w:pPr>
            <w:r>
              <w:rPr>
                <w:rFonts w:ascii="Times New Roman" w:hAnsi="Times New Roman" w:cs="Times New Roman"/>
                <w:b/>
                <w:sz w:val="24"/>
                <w:szCs w:val="24"/>
              </w:rPr>
              <w:t>14</w:t>
            </w:r>
            <w:r w:rsidR="00C1703C">
              <w:rPr>
                <w:rFonts w:ascii="Times New Roman" w:hAnsi="Times New Roman" w:cs="Times New Roman"/>
                <w:b/>
                <w:sz w:val="24"/>
                <w:szCs w:val="24"/>
              </w:rPr>
              <w:t>4</w:t>
            </w:r>
          </w:p>
        </w:tc>
      </w:tr>
    </w:tbl>
    <w:p w:rsidR="008A1281" w:rsidRPr="008A1281" w:rsidRDefault="008A1281" w:rsidP="008A1281">
      <w:pPr>
        <w:spacing w:after="0" w:line="240" w:lineRule="auto"/>
        <w:rPr>
          <w:rFonts w:ascii="Times New Roman" w:eastAsia="Times New Roman" w:hAnsi="Times New Roman" w:cs="Times New Roman"/>
          <w:sz w:val="24"/>
          <w:szCs w:val="24"/>
        </w:rPr>
      </w:pPr>
    </w:p>
    <w:p w:rsidR="008A1281" w:rsidRPr="008A1281" w:rsidRDefault="008A1281" w:rsidP="008A1281">
      <w:pPr>
        <w:spacing w:after="0" w:line="240" w:lineRule="auto"/>
        <w:rPr>
          <w:rFonts w:ascii="Times New Roman" w:eastAsia="Times New Roman" w:hAnsi="Times New Roman" w:cs="Times New Roman"/>
          <w:sz w:val="24"/>
          <w:szCs w:val="24"/>
        </w:rPr>
      </w:pPr>
      <w:r w:rsidRPr="008A1281">
        <w:rPr>
          <w:rFonts w:ascii="Times New Roman" w:eastAsia="Times New Roman" w:hAnsi="Times New Roman" w:cs="Times New Roman"/>
          <w:sz w:val="24"/>
          <w:szCs w:val="24"/>
        </w:rPr>
        <w:t xml:space="preserve">The annualized cost burden is show in Table A.12.B. The mean hourly wage rate is based on the most recent (May 2010) National Occupational Employment and Wage Estimates for all occupations, published on the Bureau of Labor Statistics website which is $21.35. </w:t>
      </w:r>
    </w:p>
    <w:p w:rsidR="008A1281" w:rsidRPr="008A1281" w:rsidRDefault="008A1281" w:rsidP="008A1281">
      <w:pPr>
        <w:spacing w:after="0" w:line="240" w:lineRule="auto"/>
        <w:rPr>
          <w:rFonts w:ascii="Times New Roman" w:eastAsia="Times New Roman" w:hAnsi="Times New Roman" w:cs="Times New Roman"/>
          <w:sz w:val="24"/>
          <w:szCs w:val="24"/>
        </w:rPr>
      </w:pPr>
      <w:r w:rsidRPr="008A1281">
        <w:rPr>
          <w:rFonts w:ascii="Times New Roman" w:eastAsia="Times New Roman" w:hAnsi="Times New Roman" w:cs="Times New Roman"/>
          <w:sz w:val="24"/>
          <w:szCs w:val="24"/>
        </w:rPr>
        <w:t xml:space="preserve">See </w:t>
      </w:r>
      <w:hyperlink r:id="rId11" w:anchor="00-0000" w:history="1">
        <w:r w:rsidRPr="008A1281">
          <w:rPr>
            <w:rFonts w:ascii="Times New Roman" w:eastAsia="Times New Roman" w:hAnsi="Times New Roman" w:cs="Times New Roman"/>
            <w:color w:val="0000FF"/>
            <w:sz w:val="24"/>
            <w:szCs w:val="24"/>
            <w:u w:val="single"/>
          </w:rPr>
          <w:t>http://www.bls.gov/oes/current/oes_nat.htm#00-0000</w:t>
        </w:r>
      </w:hyperlink>
      <w:r w:rsidRPr="008A1281">
        <w:rPr>
          <w:rFonts w:ascii="Times New Roman" w:eastAsia="Times New Roman" w:hAnsi="Times New Roman" w:cs="Times New Roman"/>
          <w:sz w:val="24"/>
          <w:szCs w:val="24"/>
        </w:rPr>
        <w:t xml:space="preserve">. </w:t>
      </w:r>
    </w:p>
    <w:p w:rsidR="008A1281" w:rsidRPr="008A1281" w:rsidRDefault="008A1281" w:rsidP="008A1281">
      <w:pPr>
        <w:spacing w:after="0" w:line="240" w:lineRule="auto"/>
        <w:rPr>
          <w:rFonts w:ascii="Times New Roman" w:eastAsia="Times New Roman" w:hAnsi="Times New Roman" w:cs="Times New Roman"/>
          <w:sz w:val="24"/>
          <w:szCs w:val="24"/>
        </w:rPr>
      </w:pPr>
    </w:p>
    <w:p w:rsidR="005F20DD" w:rsidRPr="001D0685" w:rsidRDefault="005F20DD" w:rsidP="005F20DD">
      <w:pPr>
        <w:pStyle w:val="ListParagraph"/>
        <w:autoSpaceDE w:val="0"/>
        <w:autoSpaceDN w:val="0"/>
        <w:adjustRightInd w:val="0"/>
        <w:spacing w:after="0"/>
        <w:ind w:left="0"/>
        <w:rPr>
          <w:rFonts w:ascii="Times New Roman" w:hAnsi="Times New Roman" w:cs="Times New Roman"/>
          <w:color w:val="000000"/>
          <w:sz w:val="24"/>
          <w:szCs w:val="24"/>
        </w:rPr>
      </w:pPr>
    </w:p>
    <w:p w:rsidR="00D37C4F" w:rsidRPr="001D0685" w:rsidRDefault="00A00B3A" w:rsidP="00216E27">
      <w:pPr>
        <w:pStyle w:val="Exhibittitle"/>
        <w:spacing w:before="0" w:after="0"/>
        <w:ind w:left="0" w:firstLine="0"/>
        <w:rPr>
          <w:szCs w:val="24"/>
        </w:rPr>
      </w:pPr>
      <w:bookmarkStart w:id="5" w:name="_Toc173739005"/>
      <w:r w:rsidRPr="00BD5A96">
        <w:rPr>
          <w:szCs w:val="24"/>
        </w:rPr>
        <w:t>Exhibit</w:t>
      </w:r>
      <w:r w:rsidR="00D4347D" w:rsidRPr="00BD5A96">
        <w:rPr>
          <w:szCs w:val="24"/>
        </w:rPr>
        <w:t xml:space="preserve">A.12.B. </w:t>
      </w:r>
      <w:r w:rsidR="006B3548" w:rsidRPr="00BD5A96">
        <w:rPr>
          <w:szCs w:val="24"/>
        </w:rPr>
        <w:t xml:space="preserve">Estimated </w:t>
      </w:r>
      <w:r w:rsidR="002E628D" w:rsidRPr="00BD5A96">
        <w:rPr>
          <w:szCs w:val="24"/>
        </w:rPr>
        <w:t>Annualized Cost to Respondents</w:t>
      </w:r>
      <w:bookmarkEnd w:id="5"/>
    </w:p>
    <w:tbl>
      <w:tblPr>
        <w:tblW w:w="9630" w:type="dxa"/>
        <w:tblInd w:w="-150" w:type="dxa"/>
        <w:tblLayout w:type="fixed"/>
        <w:tblCellMar>
          <w:left w:w="120" w:type="dxa"/>
          <w:right w:w="120" w:type="dxa"/>
        </w:tblCellMar>
        <w:tblLook w:val="0000" w:firstRow="0" w:lastRow="0" w:firstColumn="0" w:lastColumn="0" w:noHBand="0" w:noVBand="0"/>
      </w:tblPr>
      <w:tblGrid>
        <w:gridCol w:w="2070"/>
        <w:gridCol w:w="1710"/>
        <w:gridCol w:w="1530"/>
        <w:gridCol w:w="1440"/>
        <w:gridCol w:w="1440"/>
        <w:gridCol w:w="1440"/>
      </w:tblGrid>
      <w:tr w:rsidR="00324279" w:rsidRPr="001D0685" w:rsidTr="008A1281">
        <w:trPr>
          <w:trHeight w:val="1288"/>
          <w:tblHeader/>
        </w:trPr>
        <w:tc>
          <w:tcPr>
            <w:tcW w:w="207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2E628D"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1D0685">
              <w:rPr>
                <w:rFonts w:ascii="Times New Roman" w:hAnsi="Times New Roman" w:cs="Times New Roman"/>
                <w:bCs/>
                <w:color w:val="000000"/>
                <w:sz w:val="24"/>
                <w:szCs w:val="24"/>
              </w:rPr>
              <w:t>Type of Respondent</w:t>
            </w:r>
          </w:p>
        </w:tc>
        <w:tc>
          <w:tcPr>
            <w:tcW w:w="171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2E628D"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1D0685">
              <w:rPr>
                <w:rFonts w:ascii="Times New Roman" w:hAnsi="Times New Roman" w:cs="Times New Roman"/>
                <w:bCs/>
                <w:color w:val="000000"/>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2E628D" w:rsidRPr="001D0685" w:rsidRDefault="002E628D" w:rsidP="00106E1E">
            <w:pPr>
              <w:spacing w:after="0" w:line="240" w:lineRule="auto"/>
              <w:jc w:val="center"/>
              <w:rPr>
                <w:rFonts w:ascii="Times New Roman" w:hAnsi="Times New Roman" w:cs="Times New Roman"/>
                <w:bCs/>
                <w:color w:val="000000"/>
                <w:sz w:val="24"/>
                <w:szCs w:val="24"/>
              </w:rPr>
            </w:pPr>
          </w:p>
          <w:p w:rsidR="002E628D"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1D0685">
              <w:rPr>
                <w:rFonts w:ascii="Times New Roman" w:hAnsi="Times New Roman" w:cs="Times New Roman"/>
                <w:bCs/>
                <w:color w:val="000000"/>
                <w:sz w:val="24"/>
                <w:szCs w:val="24"/>
              </w:rPr>
              <w:t>Number of</w:t>
            </w:r>
          </w:p>
          <w:p w:rsidR="002E628D"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1D0685">
              <w:rPr>
                <w:rFonts w:ascii="Times New Roman" w:hAnsi="Times New Roman" w:cs="Times New Roman"/>
                <w:bCs/>
                <w:color w:val="000000"/>
                <w:sz w:val="24"/>
                <w:szCs w:val="24"/>
              </w:rPr>
              <w:t>Respondents</w:t>
            </w:r>
          </w:p>
        </w:tc>
        <w:tc>
          <w:tcPr>
            <w:tcW w:w="144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2E628D" w:rsidRPr="001D0685" w:rsidRDefault="002E628D" w:rsidP="00106E1E">
            <w:pPr>
              <w:spacing w:after="0" w:line="240" w:lineRule="auto"/>
              <w:jc w:val="center"/>
              <w:rPr>
                <w:rFonts w:ascii="Times New Roman" w:hAnsi="Times New Roman" w:cs="Times New Roman"/>
                <w:bCs/>
                <w:color w:val="000000"/>
                <w:sz w:val="24"/>
                <w:szCs w:val="24"/>
              </w:rPr>
            </w:pPr>
          </w:p>
          <w:p w:rsidR="00324279"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1D0685">
              <w:rPr>
                <w:rFonts w:ascii="Times New Roman" w:hAnsi="Times New Roman" w:cs="Times New Roman"/>
                <w:bCs/>
                <w:color w:val="000000"/>
                <w:sz w:val="24"/>
                <w:szCs w:val="24"/>
              </w:rPr>
              <w:t xml:space="preserve">Total Annual Burden </w:t>
            </w:r>
          </w:p>
          <w:p w:rsidR="002E628D"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1D0685">
              <w:rPr>
                <w:rFonts w:ascii="Times New Roman" w:hAnsi="Times New Roman" w:cs="Times New Roman"/>
                <w:bCs/>
                <w:color w:val="000000"/>
                <w:sz w:val="24"/>
                <w:szCs w:val="24"/>
              </w:rPr>
              <w:t>(in hours)</w:t>
            </w:r>
          </w:p>
        </w:tc>
        <w:tc>
          <w:tcPr>
            <w:tcW w:w="144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2E628D" w:rsidRPr="001D0685" w:rsidRDefault="002E628D" w:rsidP="00106E1E">
            <w:pPr>
              <w:spacing w:after="0" w:line="240" w:lineRule="auto"/>
              <w:jc w:val="center"/>
              <w:rPr>
                <w:rFonts w:ascii="Times New Roman" w:hAnsi="Times New Roman" w:cs="Times New Roman"/>
                <w:sz w:val="24"/>
                <w:szCs w:val="24"/>
              </w:rPr>
            </w:pPr>
            <w:r w:rsidRPr="001D0685">
              <w:rPr>
                <w:rFonts w:ascii="Times New Roman" w:hAnsi="Times New Roman" w:cs="Times New Roman"/>
                <w:sz w:val="24"/>
                <w:szCs w:val="24"/>
              </w:rPr>
              <w:t>Avg. Hourly Wage</w:t>
            </w:r>
          </w:p>
        </w:tc>
        <w:tc>
          <w:tcPr>
            <w:tcW w:w="144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2E628D" w:rsidRPr="001D0685" w:rsidRDefault="002E628D" w:rsidP="00106E1E">
            <w:pPr>
              <w:spacing w:after="0" w:line="240" w:lineRule="auto"/>
              <w:jc w:val="center"/>
              <w:rPr>
                <w:rFonts w:ascii="Times New Roman" w:hAnsi="Times New Roman" w:cs="Times New Roman"/>
                <w:bCs/>
                <w:color w:val="000000"/>
                <w:sz w:val="24"/>
                <w:szCs w:val="24"/>
              </w:rPr>
            </w:pPr>
          </w:p>
          <w:p w:rsidR="002E628D"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FC2590">
              <w:rPr>
                <w:rFonts w:ascii="Times New Roman" w:hAnsi="Times New Roman" w:cs="Times New Roman"/>
                <w:bCs/>
                <w:color w:val="000000"/>
                <w:sz w:val="24"/>
                <w:szCs w:val="24"/>
              </w:rPr>
              <w:t>Total</w:t>
            </w:r>
            <w:r w:rsidRPr="001D0685">
              <w:rPr>
                <w:rFonts w:ascii="Times New Roman" w:hAnsi="Times New Roman" w:cs="Times New Roman"/>
                <w:bCs/>
                <w:color w:val="000000"/>
                <w:sz w:val="24"/>
                <w:szCs w:val="24"/>
              </w:rPr>
              <w:t xml:space="preserve"> Respondent</w:t>
            </w:r>
          </w:p>
          <w:p w:rsidR="002E628D" w:rsidRPr="001D0685" w:rsidRDefault="002E628D"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r w:rsidRPr="001D0685">
              <w:rPr>
                <w:rFonts w:ascii="Times New Roman" w:hAnsi="Times New Roman" w:cs="Times New Roman"/>
                <w:bCs/>
                <w:color w:val="000000"/>
                <w:sz w:val="24"/>
                <w:szCs w:val="24"/>
              </w:rPr>
              <w:t>Cost</w:t>
            </w:r>
          </w:p>
          <w:p w:rsidR="006B3548" w:rsidRPr="001D0685" w:rsidRDefault="006B3548" w:rsidP="00106E1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rFonts w:ascii="Times New Roman" w:hAnsi="Times New Roman" w:cs="Times New Roman"/>
                <w:bCs/>
                <w:color w:val="000000"/>
                <w:sz w:val="24"/>
                <w:szCs w:val="24"/>
              </w:rPr>
            </w:pPr>
          </w:p>
        </w:tc>
      </w:tr>
      <w:tr w:rsidR="00324279"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A1281" w:rsidP="008A1281">
            <w:pPr>
              <w:spacing w:after="0"/>
              <w:rPr>
                <w:rFonts w:ascii="Times New Roman" w:hAnsi="Times New Roman" w:cs="Times New Roman"/>
                <w:color w:val="000000"/>
              </w:rPr>
            </w:pPr>
            <w:r w:rsidRPr="008A1281">
              <w:rPr>
                <w:rFonts w:ascii="Times New Roman" w:hAnsi="Times New Roman" w:cs="Times New Roman"/>
                <w:sz w:val="20"/>
                <w:szCs w:val="20"/>
              </w:rPr>
              <w:t xml:space="preserve">Women age 18-44 who plan to become pregnant/ had a baby within the last year </w:t>
            </w:r>
          </w:p>
        </w:tc>
        <w:tc>
          <w:tcPr>
            <w:tcW w:w="171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1B59F5" w:rsidP="001B59F5">
            <w:pPr>
              <w:spacing w:after="0"/>
              <w:jc w:val="center"/>
              <w:rPr>
                <w:rFonts w:ascii="Times New Roman" w:hAnsi="Times New Roman" w:cs="Times New Roman"/>
                <w:color w:val="000000"/>
              </w:rPr>
            </w:pPr>
            <w:r>
              <w:rPr>
                <w:rFonts w:ascii="Times New Roman" w:hAnsi="Times New Roman" w:cs="Times New Roman"/>
                <w:color w:val="000000"/>
              </w:rPr>
              <w:t>Screening for Consumers</w:t>
            </w:r>
          </w:p>
        </w:tc>
        <w:tc>
          <w:tcPr>
            <w:tcW w:w="153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A1281"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144</w:t>
            </w:r>
          </w:p>
        </w:tc>
        <w:tc>
          <w:tcPr>
            <w:tcW w:w="144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A1281"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24</w:t>
            </w:r>
          </w:p>
        </w:tc>
        <w:tc>
          <w:tcPr>
            <w:tcW w:w="144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E4537"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sidR="008A1281">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401B8A"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sidR="008A1281">
              <w:rPr>
                <w:rFonts w:ascii="Times New Roman" w:hAnsi="Times New Roman" w:cs="Times New Roman"/>
                <w:color w:val="000000"/>
              </w:rPr>
              <w:t>512</w:t>
            </w:r>
          </w:p>
        </w:tc>
      </w:tr>
      <w:tr w:rsidR="00902DFF"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902DFF" w:rsidRPr="008A1281" w:rsidRDefault="00902DFF" w:rsidP="00E879D6">
            <w:pPr>
              <w:spacing w:after="0"/>
              <w:rPr>
                <w:rFonts w:ascii="Times New Roman" w:hAnsi="Times New Roman" w:cs="Times New Roman"/>
                <w:sz w:val="20"/>
                <w:szCs w:val="20"/>
              </w:rPr>
            </w:pPr>
            <w:r w:rsidRPr="008A1281">
              <w:rPr>
                <w:rFonts w:ascii="Times New Roman" w:hAnsi="Times New Roman" w:cs="Times New Roman"/>
                <w:sz w:val="20"/>
                <w:szCs w:val="20"/>
              </w:rPr>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902DFF" w:rsidRDefault="006A2534" w:rsidP="00D4347D">
            <w:pPr>
              <w:spacing w:after="0"/>
              <w:jc w:val="center"/>
              <w:rPr>
                <w:rFonts w:ascii="Times New Roman" w:hAnsi="Times New Roman" w:cs="Times New Roman"/>
                <w:color w:val="000000"/>
              </w:rPr>
            </w:pPr>
            <w:r>
              <w:rPr>
                <w:rFonts w:ascii="Times New Roman" w:hAnsi="Times New Roman" w:cs="Times New Roman"/>
                <w:color w:val="000000"/>
              </w:rPr>
              <w:t xml:space="preserve">VFG Focus Group </w:t>
            </w:r>
            <w:r w:rsidR="00902DFF">
              <w:rPr>
                <w:rFonts w:ascii="Times New Roman" w:hAnsi="Times New Roman" w:cs="Times New Roman"/>
                <w:color w:val="000000"/>
              </w:rPr>
              <w:t>Consent</w:t>
            </w:r>
          </w:p>
        </w:tc>
        <w:tc>
          <w:tcPr>
            <w:tcW w:w="1530" w:type="dxa"/>
            <w:tcBorders>
              <w:top w:val="single" w:sz="7" w:space="0" w:color="000000"/>
              <w:left w:val="single" w:sz="7" w:space="0" w:color="000000"/>
              <w:bottom w:val="single" w:sz="7" w:space="0" w:color="000000"/>
              <w:right w:val="single" w:sz="7" w:space="0" w:color="000000"/>
            </w:tcBorders>
            <w:vAlign w:val="center"/>
          </w:tcPr>
          <w:p w:rsidR="00902DFF" w:rsidRDefault="00902DFF"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72</w:t>
            </w:r>
          </w:p>
        </w:tc>
        <w:tc>
          <w:tcPr>
            <w:tcW w:w="1440" w:type="dxa"/>
            <w:tcBorders>
              <w:top w:val="single" w:sz="7" w:space="0" w:color="000000"/>
              <w:left w:val="single" w:sz="7" w:space="0" w:color="000000"/>
              <w:bottom w:val="single" w:sz="7" w:space="0" w:color="000000"/>
              <w:right w:val="single" w:sz="7" w:space="0" w:color="000000"/>
            </w:tcBorders>
            <w:vAlign w:val="center"/>
          </w:tcPr>
          <w:p w:rsidR="00902DFF" w:rsidRDefault="00902DFF"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6</w:t>
            </w:r>
          </w:p>
        </w:tc>
        <w:tc>
          <w:tcPr>
            <w:tcW w:w="1440" w:type="dxa"/>
            <w:tcBorders>
              <w:top w:val="single" w:sz="7" w:space="0" w:color="000000"/>
              <w:left w:val="single" w:sz="7" w:space="0" w:color="000000"/>
              <w:bottom w:val="single" w:sz="7" w:space="0" w:color="000000"/>
              <w:right w:val="single" w:sz="7" w:space="0" w:color="000000"/>
            </w:tcBorders>
            <w:vAlign w:val="center"/>
          </w:tcPr>
          <w:p w:rsidR="00902DFF" w:rsidRPr="001D0685" w:rsidRDefault="00902DF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902DFF" w:rsidRPr="001D0685" w:rsidRDefault="00902DF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$128</w:t>
            </w:r>
          </w:p>
        </w:tc>
      </w:tr>
      <w:tr w:rsidR="00324279"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C240B8" w:rsidRPr="001D0685" w:rsidRDefault="008A1281" w:rsidP="00E879D6">
            <w:pPr>
              <w:spacing w:after="0"/>
              <w:rPr>
                <w:rFonts w:ascii="Times New Roman" w:hAnsi="Times New Roman" w:cs="Times New Roman"/>
              </w:rPr>
            </w:pPr>
            <w:r w:rsidRPr="008A1281">
              <w:rPr>
                <w:rFonts w:ascii="Times New Roman" w:hAnsi="Times New Roman" w:cs="Times New Roman"/>
                <w:sz w:val="20"/>
                <w:szCs w:val="20"/>
              </w:rPr>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C240B8" w:rsidRPr="001D0685" w:rsidRDefault="002F357D" w:rsidP="00D4347D">
            <w:pPr>
              <w:spacing w:after="0"/>
              <w:jc w:val="center"/>
              <w:rPr>
                <w:rFonts w:ascii="Times New Roman" w:hAnsi="Times New Roman" w:cs="Times New Roman"/>
                <w:color w:val="000000"/>
              </w:rPr>
            </w:pPr>
            <w:r>
              <w:rPr>
                <w:rFonts w:ascii="Times New Roman" w:hAnsi="Times New Roman" w:cs="Times New Roman"/>
                <w:sz w:val="24"/>
                <w:szCs w:val="24"/>
              </w:rPr>
              <w:t xml:space="preserve"> Group 1- VFG Moderators Guide - pain</w:t>
            </w:r>
          </w:p>
        </w:tc>
        <w:tc>
          <w:tcPr>
            <w:tcW w:w="1530" w:type="dxa"/>
            <w:tcBorders>
              <w:top w:val="single" w:sz="7" w:space="0" w:color="000000"/>
              <w:left w:val="single" w:sz="7" w:space="0" w:color="000000"/>
              <w:bottom w:val="single" w:sz="7" w:space="0" w:color="000000"/>
              <w:right w:val="single" w:sz="7" w:space="0" w:color="000000"/>
            </w:tcBorders>
            <w:vAlign w:val="center"/>
          </w:tcPr>
          <w:p w:rsidR="00C240B8" w:rsidRPr="001D068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12</w:t>
            </w:r>
          </w:p>
        </w:tc>
        <w:tc>
          <w:tcPr>
            <w:tcW w:w="1440" w:type="dxa"/>
            <w:tcBorders>
              <w:top w:val="single" w:sz="7" w:space="0" w:color="000000"/>
              <w:left w:val="single" w:sz="7" w:space="0" w:color="000000"/>
              <w:bottom w:val="single" w:sz="7" w:space="0" w:color="000000"/>
              <w:right w:val="single" w:sz="7" w:space="0" w:color="000000"/>
            </w:tcBorders>
            <w:vAlign w:val="center"/>
          </w:tcPr>
          <w:p w:rsidR="00C240B8" w:rsidRPr="001D068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18</w:t>
            </w:r>
          </w:p>
        </w:tc>
        <w:tc>
          <w:tcPr>
            <w:tcW w:w="1440" w:type="dxa"/>
            <w:tcBorders>
              <w:top w:val="single" w:sz="7" w:space="0" w:color="000000"/>
              <w:left w:val="single" w:sz="7" w:space="0" w:color="000000"/>
              <w:bottom w:val="single" w:sz="7" w:space="0" w:color="000000"/>
              <w:right w:val="single" w:sz="7" w:space="0" w:color="000000"/>
            </w:tcBorders>
            <w:vAlign w:val="center"/>
          </w:tcPr>
          <w:p w:rsidR="00C240B8" w:rsidRPr="001D0685" w:rsidRDefault="008E4537"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sidR="008A1281">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C240B8" w:rsidRPr="001D0685" w:rsidRDefault="00401B8A" w:rsidP="00B873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sidR="00B8738F">
              <w:rPr>
                <w:rFonts w:ascii="Times New Roman" w:hAnsi="Times New Roman" w:cs="Times New Roman"/>
                <w:color w:val="000000"/>
              </w:rPr>
              <w:t>384</w:t>
            </w:r>
          </w:p>
        </w:tc>
      </w:tr>
      <w:tr w:rsidR="001B59F5"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1B59F5" w:rsidRPr="008A1281" w:rsidRDefault="002F357D" w:rsidP="00E879D6">
            <w:pPr>
              <w:spacing w:after="0"/>
              <w:rPr>
                <w:rFonts w:ascii="Times New Roman" w:hAnsi="Times New Roman" w:cs="Times New Roman"/>
                <w:sz w:val="20"/>
                <w:szCs w:val="20"/>
              </w:rPr>
            </w:pPr>
            <w:r w:rsidRPr="008A1281">
              <w:rPr>
                <w:rFonts w:ascii="Times New Roman" w:hAnsi="Times New Roman" w:cs="Times New Roman"/>
                <w:sz w:val="20"/>
                <w:szCs w:val="20"/>
              </w:rPr>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spacing w:after="0"/>
              <w:jc w:val="center"/>
              <w:rPr>
                <w:rFonts w:ascii="Times New Roman" w:hAnsi="Times New Roman" w:cs="Times New Roman"/>
                <w:color w:val="000000"/>
              </w:rPr>
            </w:pPr>
            <w:r>
              <w:rPr>
                <w:rFonts w:ascii="Times New Roman" w:hAnsi="Times New Roman" w:cs="Times New Roman"/>
                <w:sz w:val="24"/>
                <w:szCs w:val="24"/>
              </w:rPr>
              <w:t>Group 2 – VFG Moderators Guide - Depression</w:t>
            </w:r>
          </w:p>
        </w:tc>
        <w:tc>
          <w:tcPr>
            <w:tcW w:w="153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12</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18</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$384</w:t>
            </w:r>
          </w:p>
        </w:tc>
      </w:tr>
      <w:tr w:rsidR="001B59F5"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1B59F5" w:rsidRPr="008A1281" w:rsidRDefault="002F357D" w:rsidP="00E879D6">
            <w:pPr>
              <w:spacing w:after="0"/>
              <w:rPr>
                <w:rFonts w:ascii="Times New Roman" w:hAnsi="Times New Roman" w:cs="Times New Roman"/>
                <w:sz w:val="20"/>
                <w:szCs w:val="20"/>
              </w:rPr>
            </w:pPr>
            <w:r w:rsidRPr="008A1281">
              <w:rPr>
                <w:rFonts w:ascii="Times New Roman" w:hAnsi="Times New Roman" w:cs="Times New Roman"/>
                <w:sz w:val="20"/>
                <w:szCs w:val="20"/>
              </w:rPr>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spacing w:after="0"/>
              <w:jc w:val="center"/>
              <w:rPr>
                <w:rFonts w:ascii="Times New Roman" w:hAnsi="Times New Roman" w:cs="Times New Roman"/>
                <w:color w:val="000000"/>
              </w:rPr>
            </w:pPr>
            <w:r>
              <w:rPr>
                <w:rFonts w:ascii="Times New Roman" w:hAnsi="Times New Roman" w:cs="Times New Roman"/>
                <w:sz w:val="24"/>
                <w:szCs w:val="24"/>
              </w:rPr>
              <w:t>Group 3 – VFG Moderators Guide - Asthma</w:t>
            </w:r>
          </w:p>
        </w:tc>
        <w:tc>
          <w:tcPr>
            <w:tcW w:w="153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12</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18</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$384</w:t>
            </w:r>
          </w:p>
        </w:tc>
      </w:tr>
      <w:tr w:rsidR="001B59F5"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1B59F5" w:rsidRPr="008A1281" w:rsidRDefault="002F357D" w:rsidP="00E879D6">
            <w:pPr>
              <w:spacing w:after="0"/>
              <w:rPr>
                <w:rFonts w:ascii="Times New Roman" w:hAnsi="Times New Roman" w:cs="Times New Roman"/>
                <w:sz w:val="20"/>
                <w:szCs w:val="20"/>
              </w:rPr>
            </w:pPr>
            <w:r w:rsidRPr="008A1281">
              <w:rPr>
                <w:rFonts w:ascii="Times New Roman" w:hAnsi="Times New Roman" w:cs="Times New Roman"/>
                <w:sz w:val="20"/>
                <w:szCs w:val="20"/>
              </w:rPr>
              <w:lastRenderedPageBreak/>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spacing w:after="0"/>
              <w:jc w:val="center"/>
              <w:rPr>
                <w:rFonts w:ascii="Times New Roman" w:hAnsi="Times New Roman" w:cs="Times New Roman"/>
                <w:color w:val="000000"/>
              </w:rPr>
            </w:pPr>
            <w:r>
              <w:rPr>
                <w:rFonts w:ascii="Times New Roman" w:hAnsi="Times New Roman" w:cs="Times New Roman"/>
                <w:sz w:val="24"/>
                <w:szCs w:val="24"/>
              </w:rPr>
              <w:t>Group 4- VFG Moderators Guide – Postpartum Acute Med</w:t>
            </w:r>
          </w:p>
        </w:tc>
        <w:tc>
          <w:tcPr>
            <w:tcW w:w="153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12</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18</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$384</w:t>
            </w:r>
          </w:p>
        </w:tc>
      </w:tr>
      <w:tr w:rsidR="001B59F5"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1B59F5" w:rsidRPr="008A1281" w:rsidRDefault="002F357D" w:rsidP="00E879D6">
            <w:pPr>
              <w:spacing w:after="0"/>
              <w:rPr>
                <w:rFonts w:ascii="Times New Roman" w:hAnsi="Times New Roman" w:cs="Times New Roman"/>
                <w:sz w:val="20"/>
                <w:szCs w:val="20"/>
              </w:rPr>
            </w:pPr>
            <w:r w:rsidRPr="008A1281">
              <w:rPr>
                <w:rFonts w:ascii="Times New Roman" w:hAnsi="Times New Roman" w:cs="Times New Roman"/>
                <w:sz w:val="20"/>
                <w:szCs w:val="20"/>
              </w:rPr>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spacing w:after="0"/>
              <w:jc w:val="center"/>
              <w:rPr>
                <w:rFonts w:ascii="Times New Roman" w:hAnsi="Times New Roman" w:cs="Times New Roman"/>
                <w:color w:val="000000"/>
              </w:rPr>
            </w:pPr>
            <w:r>
              <w:rPr>
                <w:rFonts w:ascii="Times New Roman" w:hAnsi="Times New Roman" w:cs="Times New Roman"/>
                <w:sz w:val="24"/>
                <w:szCs w:val="24"/>
              </w:rPr>
              <w:t>Group 5 – VFG Moderators Guide – Postpartum Depression</w:t>
            </w:r>
          </w:p>
        </w:tc>
        <w:tc>
          <w:tcPr>
            <w:tcW w:w="153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12</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18</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$384</w:t>
            </w:r>
          </w:p>
        </w:tc>
      </w:tr>
      <w:tr w:rsidR="001B59F5"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1B59F5" w:rsidRPr="008A1281" w:rsidRDefault="002F357D" w:rsidP="00E879D6">
            <w:pPr>
              <w:spacing w:after="0"/>
              <w:rPr>
                <w:rFonts w:ascii="Times New Roman" w:hAnsi="Times New Roman" w:cs="Times New Roman"/>
                <w:sz w:val="20"/>
                <w:szCs w:val="20"/>
              </w:rPr>
            </w:pPr>
            <w:r w:rsidRPr="008A1281">
              <w:rPr>
                <w:rFonts w:ascii="Times New Roman" w:hAnsi="Times New Roman" w:cs="Times New Roman"/>
                <w:sz w:val="20"/>
                <w:szCs w:val="20"/>
              </w:rPr>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spacing w:after="0"/>
              <w:jc w:val="center"/>
              <w:rPr>
                <w:rFonts w:ascii="Times New Roman" w:hAnsi="Times New Roman" w:cs="Times New Roman"/>
                <w:color w:val="000000"/>
              </w:rPr>
            </w:pPr>
            <w:r>
              <w:rPr>
                <w:rFonts w:ascii="Times New Roman" w:hAnsi="Times New Roman" w:cs="Times New Roman"/>
                <w:sz w:val="24"/>
                <w:szCs w:val="24"/>
              </w:rPr>
              <w:t xml:space="preserve">Group 6 – VFG Moderators Guide- Postpartum </w:t>
            </w:r>
            <w:r w:rsidR="00C474BC">
              <w:rPr>
                <w:rFonts w:ascii="Times New Roman" w:hAnsi="Times New Roman" w:cs="Times New Roman"/>
                <w:sz w:val="24"/>
                <w:szCs w:val="24"/>
              </w:rPr>
              <w:t>–</w:t>
            </w:r>
            <w:r>
              <w:rPr>
                <w:rFonts w:ascii="Times New Roman" w:hAnsi="Times New Roman" w:cs="Times New Roman"/>
                <w:sz w:val="24"/>
                <w:szCs w:val="24"/>
              </w:rPr>
              <w:t xml:space="preserve"> Asthma</w:t>
            </w:r>
          </w:p>
        </w:tc>
        <w:tc>
          <w:tcPr>
            <w:tcW w:w="153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12</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Default="002F357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18</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1B59F5" w:rsidRPr="001D0685" w:rsidRDefault="00B8738F"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$384</w:t>
            </w:r>
          </w:p>
        </w:tc>
      </w:tr>
      <w:tr w:rsidR="00324279" w:rsidRPr="001D0685" w:rsidTr="00324279">
        <w:tc>
          <w:tcPr>
            <w:tcW w:w="207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A1281" w:rsidP="00D4347D">
            <w:pPr>
              <w:spacing w:after="0"/>
              <w:rPr>
                <w:rFonts w:ascii="Times New Roman" w:hAnsi="Times New Roman" w:cs="Times New Roman"/>
                <w:color w:val="000000"/>
              </w:rPr>
            </w:pPr>
            <w:r w:rsidRPr="008A1281">
              <w:rPr>
                <w:rFonts w:ascii="Times New Roman" w:hAnsi="Times New Roman" w:cs="Times New Roman"/>
                <w:sz w:val="20"/>
                <w:szCs w:val="20"/>
              </w:rPr>
              <w:t>Women age 18-44 who plan to become pregnant/ had a baby within the last year</w:t>
            </w:r>
          </w:p>
        </w:tc>
        <w:tc>
          <w:tcPr>
            <w:tcW w:w="171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A1281" w:rsidP="00D4347D">
            <w:pPr>
              <w:spacing w:after="0"/>
              <w:jc w:val="center"/>
              <w:rPr>
                <w:rFonts w:ascii="Times New Roman" w:hAnsi="Times New Roman" w:cs="Times New Roman"/>
                <w:color w:val="000000"/>
              </w:rPr>
            </w:pPr>
            <w:r>
              <w:rPr>
                <w:rFonts w:ascii="Times New Roman" w:hAnsi="Times New Roman" w:cs="Times New Roman"/>
                <w:color w:val="000000"/>
              </w:rPr>
              <w:t>Follow-up Telephone Interview</w:t>
            </w:r>
          </w:p>
        </w:tc>
        <w:tc>
          <w:tcPr>
            <w:tcW w:w="153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BF65E9"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1</w:t>
            </w:r>
            <w:r w:rsidR="008A1281">
              <w:rPr>
                <w:rFonts w:ascii="Times New Roman" w:hAnsi="Times New Roman" w:cs="Times New Roman"/>
                <w:color w:val="000000"/>
              </w:rPr>
              <w:t>2</w:t>
            </w:r>
          </w:p>
        </w:tc>
        <w:tc>
          <w:tcPr>
            <w:tcW w:w="144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C1703C" w:rsidP="006C051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6</w:t>
            </w:r>
          </w:p>
        </w:tc>
        <w:tc>
          <w:tcPr>
            <w:tcW w:w="144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E4537" w:rsidP="008A128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sidRPr="001D0685">
              <w:rPr>
                <w:rFonts w:ascii="Times New Roman" w:hAnsi="Times New Roman" w:cs="Times New Roman"/>
                <w:color w:val="000000"/>
              </w:rPr>
              <w:t>$</w:t>
            </w:r>
            <w:r w:rsidR="008A1281">
              <w:rPr>
                <w:rFonts w:ascii="Times New Roman" w:hAnsi="Times New Roman" w:cs="Times New Roman"/>
                <w:color w:val="000000"/>
              </w:rPr>
              <w:t>21.35</w:t>
            </w:r>
          </w:p>
        </w:tc>
        <w:tc>
          <w:tcPr>
            <w:tcW w:w="1440" w:type="dxa"/>
            <w:tcBorders>
              <w:top w:val="single" w:sz="7" w:space="0" w:color="000000"/>
              <w:left w:val="single" w:sz="7" w:space="0" w:color="000000"/>
              <w:bottom w:val="single" w:sz="7" w:space="0" w:color="000000"/>
              <w:right w:val="single" w:sz="7" w:space="0" w:color="000000"/>
            </w:tcBorders>
            <w:vAlign w:val="center"/>
          </w:tcPr>
          <w:p w:rsidR="002E628D" w:rsidRPr="001D0685" w:rsidRDefault="008A1281" w:rsidP="00BF65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color w:val="000000"/>
              </w:rPr>
            </w:pPr>
            <w:r>
              <w:rPr>
                <w:rFonts w:ascii="Times New Roman" w:hAnsi="Times New Roman" w:cs="Times New Roman"/>
                <w:color w:val="000000"/>
              </w:rPr>
              <w:t>$</w:t>
            </w:r>
            <w:r w:rsidR="00BF65E9">
              <w:rPr>
                <w:rFonts w:ascii="Times New Roman" w:hAnsi="Times New Roman" w:cs="Times New Roman"/>
                <w:color w:val="000000"/>
              </w:rPr>
              <w:t>128</w:t>
            </w:r>
          </w:p>
        </w:tc>
      </w:tr>
      <w:tr w:rsidR="00324279" w:rsidRPr="001D0685" w:rsidTr="000D18A4">
        <w:tc>
          <w:tcPr>
            <w:tcW w:w="2070" w:type="dxa"/>
            <w:tcBorders>
              <w:top w:val="single" w:sz="8" w:space="0" w:color="000000"/>
              <w:left w:val="single" w:sz="7" w:space="0" w:color="000000"/>
              <w:bottom w:val="single" w:sz="7" w:space="0" w:color="000000"/>
              <w:right w:val="single" w:sz="7" w:space="0" w:color="000000"/>
            </w:tcBorders>
          </w:tcPr>
          <w:p w:rsidR="002E628D" w:rsidRPr="001D0685" w:rsidRDefault="002E628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Times New Roman" w:hAnsi="Times New Roman" w:cs="Times New Roman"/>
                <w:b/>
                <w:color w:val="000000"/>
              </w:rPr>
            </w:pPr>
            <w:r w:rsidRPr="001D0685">
              <w:rPr>
                <w:rFonts w:ascii="Times New Roman" w:hAnsi="Times New Roman" w:cs="Times New Roman"/>
                <w:b/>
                <w:color w:val="000000"/>
              </w:rPr>
              <w:t>Total</w:t>
            </w:r>
          </w:p>
        </w:tc>
        <w:tc>
          <w:tcPr>
            <w:tcW w:w="1710" w:type="dxa"/>
            <w:tcBorders>
              <w:top w:val="single" w:sz="8" w:space="0" w:color="000000"/>
              <w:left w:val="single" w:sz="7" w:space="0" w:color="000000"/>
              <w:bottom w:val="single" w:sz="7" w:space="0" w:color="000000"/>
              <w:right w:val="single" w:sz="7" w:space="0" w:color="000000"/>
            </w:tcBorders>
          </w:tcPr>
          <w:p w:rsidR="002E628D" w:rsidRPr="001D0685" w:rsidRDefault="002E628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Times New Roman" w:hAnsi="Times New Roman" w:cs="Times New Roman"/>
                <w:b/>
                <w:color w:val="000000"/>
              </w:rPr>
            </w:pPr>
          </w:p>
        </w:tc>
        <w:tc>
          <w:tcPr>
            <w:tcW w:w="1530" w:type="dxa"/>
            <w:tcBorders>
              <w:top w:val="single" w:sz="8" w:space="0" w:color="000000"/>
              <w:left w:val="single" w:sz="7" w:space="0" w:color="000000"/>
              <w:bottom w:val="single" w:sz="7" w:space="0" w:color="000000"/>
              <w:right w:val="single" w:sz="7" w:space="0" w:color="000000"/>
            </w:tcBorders>
            <w:vAlign w:val="center"/>
          </w:tcPr>
          <w:p w:rsidR="002E628D" w:rsidRPr="001D0685" w:rsidRDefault="002E628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b/>
                <w:color w:val="000000"/>
              </w:rPr>
            </w:pPr>
          </w:p>
        </w:tc>
        <w:tc>
          <w:tcPr>
            <w:tcW w:w="1440" w:type="dxa"/>
            <w:tcBorders>
              <w:top w:val="single" w:sz="8" w:space="0" w:color="000000"/>
              <w:left w:val="single" w:sz="7" w:space="0" w:color="000000"/>
              <w:bottom w:val="single" w:sz="7" w:space="0" w:color="000000"/>
              <w:right w:val="single" w:sz="7" w:space="0" w:color="000000"/>
            </w:tcBorders>
            <w:vAlign w:val="center"/>
          </w:tcPr>
          <w:p w:rsidR="002E628D" w:rsidRPr="001D0685" w:rsidRDefault="002E628D"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b/>
                <w:color w:val="000000"/>
              </w:rPr>
            </w:pPr>
          </w:p>
        </w:tc>
        <w:tc>
          <w:tcPr>
            <w:tcW w:w="1440" w:type="dxa"/>
            <w:tcBorders>
              <w:top w:val="single" w:sz="8" w:space="0" w:color="000000"/>
              <w:left w:val="single" w:sz="7" w:space="0" w:color="000000"/>
              <w:bottom w:val="single" w:sz="7" w:space="0" w:color="000000"/>
              <w:right w:val="single" w:sz="7" w:space="0" w:color="000000"/>
            </w:tcBorders>
            <w:shd w:val="clear" w:color="auto" w:fill="auto"/>
            <w:vAlign w:val="center"/>
          </w:tcPr>
          <w:p w:rsidR="0028510A" w:rsidRPr="00BD5A96" w:rsidRDefault="0028510A" w:rsidP="00D434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b/>
                <w:color w:val="000000"/>
              </w:rPr>
            </w:pPr>
          </w:p>
        </w:tc>
        <w:tc>
          <w:tcPr>
            <w:tcW w:w="1440" w:type="dxa"/>
            <w:tcBorders>
              <w:top w:val="single" w:sz="8" w:space="0" w:color="000000"/>
              <w:left w:val="single" w:sz="7" w:space="0" w:color="000000"/>
              <w:bottom w:val="single" w:sz="7" w:space="0" w:color="000000"/>
              <w:right w:val="single" w:sz="7" w:space="0" w:color="000000"/>
            </w:tcBorders>
            <w:vAlign w:val="center"/>
          </w:tcPr>
          <w:p w:rsidR="0028510A" w:rsidRPr="001D0685" w:rsidRDefault="0028510A" w:rsidP="00BF65E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Times New Roman" w:hAnsi="Times New Roman" w:cs="Times New Roman"/>
                <w:b/>
                <w:color w:val="000000"/>
              </w:rPr>
            </w:pPr>
            <w:r w:rsidRPr="001D0685">
              <w:rPr>
                <w:rFonts w:ascii="Times New Roman" w:hAnsi="Times New Roman" w:cs="Times New Roman"/>
                <w:b/>
                <w:color w:val="000000"/>
              </w:rPr>
              <w:t>$</w:t>
            </w:r>
            <w:r w:rsidR="008A1281">
              <w:rPr>
                <w:rFonts w:ascii="Times New Roman" w:hAnsi="Times New Roman" w:cs="Times New Roman"/>
                <w:b/>
                <w:color w:val="000000"/>
              </w:rPr>
              <w:t>3,</w:t>
            </w:r>
            <w:r w:rsidR="00BF65E9">
              <w:rPr>
                <w:rFonts w:ascii="Times New Roman" w:hAnsi="Times New Roman" w:cs="Times New Roman"/>
                <w:b/>
                <w:color w:val="000000"/>
              </w:rPr>
              <w:t>07</w:t>
            </w:r>
            <w:r w:rsidR="004A6735">
              <w:rPr>
                <w:rFonts w:ascii="Times New Roman" w:hAnsi="Times New Roman" w:cs="Times New Roman"/>
                <w:b/>
                <w:color w:val="000000"/>
              </w:rPr>
              <w:t>2</w:t>
            </w:r>
          </w:p>
        </w:tc>
      </w:tr>
    </w:tbl>
    <w:p w:rsidR="00205727" w:rsidRDefault="00205727" w:rsidP="004F392B">
      <w:pPr>
        <w:spacing w:after="0" w:line="240" w:lineRule="auto"/>
        <w:rPr>
          <w:color w:val="000000"/>
          <w:sz w:val="20"/>
          <w:szCs w:val="20"/>
        </w:rPr>
      </w:pPr>
    </w:p>
    <w:p w:rsidR="009D63F1" w:rsidRPr="001D0685" w:rsidRDefault="009D63F1" w:rsidP="004F392B">
      <w:pPr>
        <w:spacing w:after="0" w:line="240" w:lineRule="auto"/>
        <w:rPr>
          <w:color w:val="000000"/>
          <w:sz w:val="20"/>
          <w:szCs w:val="20"/>
        </w:rPr>
      </w:pPr>
    </w:p>
    <w:p w:rsidR="00B12F51" w:rsidRPr="001D0685" w:rsidRDefault="0088467A" w:rsidP="003C07B0">
      <w:pPr>
        <w:pStyle w:val="ListParagraph"/>
        <w:numPr>
          <w:ilvl w:val="0"/>
          <w:numId w:val="40"/>
        </w:numPr>
        <w:spacing w:after="0"/>
        <w:rPr>
          <w:rFonts w:ascii="Times New Roman" w:hAnsi="Times New Roman" w:cs="Times New Roman"/>
          <w:b/>
          <w:bCs/>
          <w:sz w:val="24"/>
          <w:szCs w:val="24"/>
        </w:rPr>
      </w:pPr>
      <w:r w:rsidRPr="001D0685">
        <w:rPr>
          <w:rFonts w:ascii="Times New Roman" w:hAnsi="Times New Roman" w:cs="Times New Roman"/>
          <w:b/>
          <w:bCs/>
          <w:sz w:val="24"/>
          <w:szCs w:val="24"/>
        </w:rPr>
        <w:t>Estimates of Other Total Annual Cost Burden to Respondents or Record Keepers</w:t>
      </w:r>
    </w:p>
    <w:p w:rsidR="00D37C4F" w:rsidRPr="001D0685" w:rsidRDefault="003C31C9">
      <w:pPr>
        <w:pStyle w:val="CM89"/>
        <w:spacing w:line="228" w:lineRule="atLeast"/>
        <w:ind w:left="360"/>
        <w:rPr>
          <w:rFonts w:ascii="Times New Roman" w:hAnsi="Times New Roman" w:cs="Times New Roman"/>
          <w:color w:val="000000"/>
        </w:rPr>
      </w:pPr>
      <w:r w:rsidRPr="00BD5A96">
        <w:rPr>
          <w:rFonts w:ascii="Times New Roman" w:hAnsi="Times New Roman" w:cs="Times New Roman"/>
          <w:color w:val="000000"/>
        </w:rPr>
        <w:t>There will be no direct costs to the respondents other than their time to participate in each survey.</w:t>
      </w:r>
    </w:p>
    <w:p w:rsidR="006D2A51" w:rsidRDefault="006D2A51" w:rsidP="000D51A6">
      <w:pPr>
        <w:pStyle w:val="Default"/>
      </w:pPr>
    </w:p>
    <w:p w:rsidR="00A37434" w:rsidRPr="001D0685" w:rsidRDefault="0088467A"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Annualized Cost to the Government</w:t>
      </w:r>
    </w:p>
    <w:p w:rsidR="00F6699A" w:rsidRPr="001D0685" w:rsidRDefault="00353554" w:rsidP="00F6699A">
      <w:pPr>
        <w:autoSpaceDE w:val="0"/>
        <w:autoSpaceDN w:val="0"/>
        <w:adjustRightInd w:val="0"/>
        <w:ind w:left="360" w:right="720"/>
        <w:rPr>
          <w:rFonts w:ascii="Times New Roman" w:hAnsi="Times New Roman" w:cs="Times New Roman"/>
          <w:color w:val="000000" w:themeColor="text1"/>
          <w:sz w:val="24"/>
          <w:szCs w:val="24"/>
        </w:rPr>
      </w:pPr>
      <w:r w:rsidRPr="001D0685">
        <w:rPr>
          <w:rFonts w:ascii="Times New Roman" w:hAnsi="Times New Roman" w:cs="Times New Roman"/>
          <w:color w:val="000000" w:themeColor="text1"/>
          <w:sz w:val="24"/>
          <w:szCs w:val="24"/>
        </w:rPr>
        <w:t>The annualized cost of this project is estimated to be $</w:t>
      </w:r>
      <w:r w:rsidR="00F92145">
        <w:rPr>
          <w:rFonts w:ascii="Times New Roman" w:hAnsi="Times New Roman" w:cs="Times New Roman"/>
          <w:color w:val="000000" w:themeColor="text1"/>
          <w:sz w:val="24"/>
          <w:szCs w:val="24"/>
        </w:rPr>
        <w:t>90,950</w:t>
      </w:r>
      <w:r w:rsidR="00844D24" w:rsidRPr="001D0685">
        <w:rPr>
          <w:rFonts w:ascii="Times New Roman" w:hAnsi="Times New Roman" w:cs="Times New Roman"/>
          <w:color w:val="000000" w:themeColor="text1"/>
          <w:sz w:val="24"/>
          <w:szCs w:val="24"/>
        </w:rPr>
        <w:t>. C</w:t>
      </w:r>
      <w:r w:rsidR="00302305" w:rsidRPr="001D0685">
        <w:rPr>
          <w:rFonts w:ascii="Times New Roman" w:hAnsi="Times New Roman" w:cs="Times New Roman"/>
          <w:sz w:val="24"/>
          <w:szCs w:val="24"/>
        </w:rPr>
        <w:t xml:space="preserve">osts to </w:t>
      </w:r>
      <w:r w:rsidR="00445E0B" w:rsidRPr="001D0685">
        <w:rPr>
          <w:rFonts w:ascii="Times New Roman" w:hAnsi="Times New Roman" w:cs="Times New Roman"/>
          <w:sz w:val="24"/>
          <w:szCs w:val="24"/>
        </w:rPr>
        <w:t xml:space="preserve">the </w:t>
      </w:r>
      <w:r w:rsidR="00302305" w:rsidRPr="001D0685">
        <w:rPr>
          <w:rFonts w:ascii="Times New Roman" w:hAnsi="Times New Roman" w:cs="Times New Roman"/>
          <w:sz w:val="24"/>
          <w:szCs w:val="24"/>
        </w:rPr>
        <w:t xml:space="preserve">federal government </w:t>
      </w:r>
      <w:r w:rsidR="00844D24" w:rsidRPr="001D0685">
        <w:rPr>
          <w:rFonts w:ascii="Times New Roman" w:hAnsi="Times New Roman" w:cs="Times New Roman"/>
          <w:sz w:val="24"/>
          <w:szCs w:val="24"/>
        </w:rPr>
        <w:t>($</w:t>
      </w:r>
      <w:r w:rsidR="00D9618A">
        <w:rPr>
          <w:rFonts w:ascii="Times New Roman" w:hAnsi="Times New Roman" w:cs="Times New Roman"/>
          <w:sz w:val="24"/>
          <w:szCs w:val="24"/>
        </w:rPr>
        <w:t>16,950</w:t>
      </w:r>
      <w:r w:rsidR="00B75468" w:rsidRPr="001D0685">
        <w:rPr>
          <w:rFonts w:ascii="Times New Roman" w:hAnsi="Times New Roman" w:cs="Times New Roman"/>
          <w:sz w:val="24"/>
          <w:szCs w:val="24"/>
        </w:rPr>
        <w:t>/yr</w:t>
      </w:r>
      <w:r w:rsidR="00844D24" w:rsidRPr="001D0685">
        <w:rPr>
          <w:rFonts w:ascii="Times New Roman" w:hAnsi="Times New Roman" w:cs="Times New Roman"/>
          <w:sz w:val="24"/>
          <w:szCs w:val="24"/>
        </w:rPr>
        <w:t xml:space="preserve">) </w:t>
      </w:r>
      <w:r w:rsidR="00302305" w:rsidRPr="001D0685">
        <w:rPr>
          <w:rFonts w:ascii="Times New Roman" w:hAnsi="Times New Roman" w:cs="Times New Roman"/>
          <w:sz w:val="24"/>
          <w:szCs w:val="24"/>
        </w:rPr>
        <w:t>include labor costs for grant oversight and technical assistance</w:t>
      </w:r>
      <w:r w:rsidR="00844D24" w:rsidRPr="001D0685">
        <w:rPr>
          <w:rFonts w:ascii="Times New Roman" w:hAnsi="Times New Roman" w:cs="Times New Roman"/>
          <w:sz w:val="24"/>
          <w:szCs w:val="24"/>
        </w:rPr>
        <w:t xml:space="preserve">. </w:t>
      </w:r>
      <w:r w:rsidR="00F6699A" w:rsidRPr="001D0685">
        <w:rPr>
          <w:rFonts w:ascii="Times New Roman" w:hAnsi="Times New Roman" w:cs="Times New Roman"/>
          <w:sz w:val="24"/>
          <w:szCs w:val="24"/>
        </w:rPr>
        <w:t>Grantee costs ($</w:t>
      </w:r>
      <w:r w:rsidR="00F6699A">
        <w:rPr>
          <w:rFonts w:ascii="Times New Roman" w:hAnsi="Times New Roman" w:cs="Times New Roman"/>
          <w:sz w:val="24"/>
          <w:szCs w:val="24"/>
        </w:rPr>
        <w:t>74</w:t>
      </w:r>
      <w:r w:rsidR="00F6699A" w:rsidRPr="001D0685">
        <w:rPr>
          <w:rFonts w:ascii="Times New Roman" w:hAnsi="Times New Roman" w:cs="Times New Roman"/>
          <w:sz w:val="24"/>
          <w:szCs w:val="24"/>
        </w:rPr>
        <w:t xml:space="preserve">,000/yr) include </w:t>
      </w:r>
      <w:r w:rsidR="00F6699A">
        <w:rPr>
          <w:rFonts w:ascii="Times New Roman" w:hAnsi="Times New Roman" w:cs="Times New Roman"/>
          <w:sz w:val="24"/>
          <w:szCs w:val="24"/>
        </w:rPr>
        <w:t>development of the instruments</w:t>
      </w:r>
      <w:r w:rsidR="00F6699A" w:rsidRPr="001D0685">
        <w:rPr>
          <w:rFonts w:ascii="Times New Roman" w:hAnsi="Times New Roman" w:cs="Times New Roman"/>
          <w:sz w:val="24"/>
          <w:szCs w:val="24"/>
        </w:rPr>
        <w:t xml:space="preserve">, </w:t>
      </w:r>
      <w:r w:rsidR="00F6699A">
        <w:rPr>
          <w:rFonts w:ascii="Times New Roman" w:hAnsi="Times New Roman" w:cs="Times New Roman"/>
          <w:sz w:val="24"/>
          <w:szCs w:val="24"/>
        </w:rPr>
        <w:t xml:space="preserve">recruitment and incentives, </w:t>
      </w:r>
      <w:r w:rsidR="00F6699A" w:rsidRPr="001D0685">
        <w:rPr>
          <w:rFonts w:ascii="Times New Roman" w:hAnsi="Times New Roman" w:cs="Times New Roman"/>
          <w:sz w:val="24"/>
          <w:szCs w:val="24"/>
        </w:rPr>
        <w:t xml:space="preserve">data collection, data analysis, and reporting of results. </w:t>
      </w:r>
      <w:r w:rsidR="00F6699A" w:rsidRPr="001D0685">
        <w:rPr>
          <w:rFonts w:ascii="Times New Roman" w:hAnsi="Times New Roman" w:cs="Times New Roman"/>
          <w:color w:val="000000" w:themeColor="text1"/>
          <w:sz w:val="24"/>
          <w:szCs w:val="24"/>
        </w:rPr>
        <w:t>See Exhibit A.14.</w:t>
      </w:r>
    </w:p>
    <w:p w:rsidR="003C31C9" w:rsidRPr="001D0685" w:rsidRDefault="009849B6" w:rsidP="00F6699A">
      <w:pPr>
        <w:autoSpaceDE w:val="0"/>
        <w:autoSpaceDN w:val="0"/>
        <w:adjustRightInd w:val="0"/>
        <w:ind w:left="360" w:right="720"/>
        <w:rPr>
          <w:rFonts w:ascii="Times New Roman" w:hAnsi="Times New Roman" w:cs="Times New Roman"/>
          <w:sz w:val="24"/>
          <w:szCs w:val="24"/>
        </w:rPr>
      </w:pPr>
      <w:r w:rsidRPr="001D0685">
        <w:rPr>
          <w:rFonts w:ascii="Times New Roman" w:hAnsi="Times New Roman" w:cs="Times New Roman"/>
          <w:b/>
          <w:sz w:val="24"/>
          <w:szCs w:val="24"/>
        </w:rPr>
        <w:t>Exhibit</w:t>
      </w:r>
      <w:r w:rsidR="008E0683" w:rsidRPr="001D0685">
        <w:rPr>
          <w:rFonts w:ascii="Times New Roman" w:hAnsi="Times New Roman" w:cs="Times New Roman"/>
          <w:b/>
          <w:sz w:val="24"/>
          <w:szCs w:val="24"/>
        </w:rPr>
        <w:t xml:space="preserve"> A</w:t>
      </w:r>
      <w:r w:rsidR="00A37434" w:rsidRPr="001D0685">
        <w:rPr>
          <w:rFonts w:ascii="Times New Roman" w:hAnsi="Times New Roman" w:cs="Times New Roman"/>
          <w:b/>
          <w:sz w:val="24"/>
          <w:szCs w:val="24"/>
        </w:rPr>
        <w:t>.</w:t>
      </w:r>
      <w:r w:rsidR="001D5EFE" w:rsidRPr="001D0685">
        <w:rPr>
          <w:rFonts w:ascii="Times New Roman" w:hAnsi="Times New Roman" w:cs="Times New Roman"/>
          <w:b/>
          <w:sz w:val="24"/>
          <w:szCs w:val="24"/>
        </w:rPr>
        <w:t>14</w:t>
      </w:r>
      <w:r w:rsidR="008E0683" w:rsidRPr="001D0685">
        <w:rPr>
          <w:rFonts w:ascii="Times New Roman" w:hAnsi="Times New Roman" w:cs="Times New Roman"/>
          <w:b/>
          <w:sz w:val="24"/>
          <w:szCs w:val="24"/>
        </w:rPr>
        <w:t>:</w:t>
      </w:r>
      <w:r w:rsidR="008E0683" w:rsidRPr="001D0685">
        <w:rPr>
          <w:rFonts w:ascii="Times New Roman" w:hAnsi="Times New Roman" w:cs="Times New Roman"/>
          <w:sz w:val="24"/>
          <w:szCs w:val="24"/>
        </w:rPr>
        <w:t xml:space="preserve"> Estimated Annualized Cost to the Federal Government</w:t>
      </w:r>
    </w:p>
    <w:tbl>
      <w:tblPr>
        <w:tblpPr w:leftFromText="180" w:rightFromText="180" w:vertAnchor="text" w:horzAnchor="margin" w:tblpY="12"/>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2"/>
        <w:gridCol w:w="6068"/>
        <w:gridCol w:w="1638"/>
      </w:tblGrid>
      <w:tr w:rsidR="00F84A64" w:rsidRPr="001D0685" w:rsidTr="00844D24">
        <w:tc>
          <w:tcPr>
            <w:tcW w:w="1762" w:type="dxa"/>
          </w:tcPr>
          <w:p w:rsidR="00F84A64" w:rsidRPr="001D0685" w:rsidRDefault="00F84A64" w:rsidP="00F8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color w:val="000000"/>
                <w:sz w:val="24"/>
                <w:szCs w:val="24"/>
              </w:rPr>
            </w:pPr>
            <w:r w:rsidRPr="001D0685">
              <w:rPr>
                <w:rFonts w:ascii="Times New Roman" w:hAnsi="Times New Roman" w:cs="Times New Roman"/>
                <w:b/>
                <w:bCs/>
                <w:color w:val="000000"/>
                <w:sz w:val="24"/>
                <w:szCs w:val="24"/>
              </w:rPr>
              <w:lastRenderedPageBreak/>
              <w:t>Expense Type</w:t>
            </w:r>
          </w:p>
        </w:tc>
        <w:tc>
          <w:tcPr>
            <w:tcW w:w="6068" w:type="dxa"/>
          </w:tcPr>
          <w:p w:rsidR="00F84A64" w:rsidRPr="00BD5A96" w:rsidRDefault="00F84A64" w:rsidP="00F8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color w:val="000000"/>
                <w:sz w:val="24"/>
                <w:szCs w:val="24"/>
              </w:rPr>
            </w:pPr>
            <w:r w:rsidRPr="001D0685">
              <w:rPr>
                <w:rFonts w:ascii="Times New Roman" w:hAnsi="Times New Roman" w:cs="Times New Roman"/>
                <w:b/>
                <w:bCs/>
                <w:color w:val="000000"/>
                <w:sz w:val="24"/>
                <w:szCs w:val="24"/>
              </w:rPr>
              <w:t>Expense Explanation</w:t>
            </w:r>
          </w:p>
        </w:tc>
        <w:tc>
          <w:tcPr>
            <w:tcW w:w="1638" w:type="dxa"/>
          </w:tcPr>
          <w:p w:rsidR="00F84A64" w:rsidRPr="001D0685" w:rsidRDefault="00F84A64" w:rsidP="00844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b/>
                <w:color w:val="000000"/>
                <w:sz w:val="24"/>
                <w:szCs w:val="24"/>
              </w:rPr>
            </w:pPr>
            <w:r w:rsidRPr="001D0685">
              <w:rPr>
                <w:rFonts w:ascii="Times New Roman" w:hAnsi="Times New Roman" w:cs="Times New Roman"/>
                <w:b/>
                <w:bCs/>
                <w:color w:val="000000"/>
                <w:sz w:val="24"/>
                <w:szCs w:val="24"/>
              </w:rPr>
              <w:t>Annual Costs (dollars)</w:t>
            </w:r>
          </w:p>
        </w:tc>
      </w:tr>
      <w:tr w:rsidR="00F84A64" w:rsidRPr="001D0685" w:rsidTr="00F84A64">
        <w:tc>
          <w:tcPr>
            <w:tcW w:w="1762" w:type="dxa"/>
          </w:tcPr>
          <w:p w:rsidR="00F84A64" w:rsidRPr="001D0685" w:rsidRDefault="00F84A64" w:rsidP="00F8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color w:val="000000" w:themeColor="text1"/>
              </w:rPr>
            </w:pPr>
            <w:r w:rsidRPr="001D0685">
              <w:rPr>
                <w:rFonts w:ascii="Times New Roman" w:hAnsi="Times New Roman" w:cs="Times New Roman"/>
                <w:color w:val="000000" w:themeColor="text1"/>
              </w:rPr>
              <w:t>Direct Costs to the Federal Government</w:t>
            </w:r>
          </w:p>
        </w:tc>
        <w:tc>
          <w:tcPr>
            <w:tcW w:w="6068" w:type="dxa"/>
          </w:tcPr>
          <w:p w:rsidR="00F84A64" w:rsidRPr="001D0685" w:rsidRDefault="00F84A64" w:rsidP="00F84A64">
            <w:pPr>
              <w:spacing w:after="0" w:line="240" w:lineRule="auto"/>
              <w:rPr>
                <w:rFonts w:ascii="Times New Roman" w:hAnsi="Times New Roman" w:cs="Times New Roman"/>
              </w:rPr>
            </w:pPr>
            <w:r w:rsidRPr="001D0685">
              <w:rPr>
                <w:rFonts w:ascii="Times New Roman" w:hAnsi="Times New Roman" w:cs="Times New Roman"/>
              </w:rPr>
              <w:t xml:space="preserve">Personnel    </w:t>
            </w:r>
          </w:p>
          <w:p w:rsidR="00F84A64" w:rsidRPr="001D0685" w:rsidRDefault="00F84A64" w:rsidP="00F84A64">
            <w:pPr>
              <w:spacing w:after="0" w:line="240" w:lineRule="auto"/>
              <w:rPr>
                <w:rFonts w:ascii="Times New Roman" w:hAnsi="Times New Roman" w:cs="Times New Roman"/>
              </w:rPr>
            </w:pPr>
          </w:p>
          <w:p w:rsidR="00F84A64" w:rsidRPr="001D0685" w:rsidRDefault="00E145F1" w:rsidP="00F84A64">
            <w:pPr>
              <w:spacing w:after="0" w:line="240" w:lineRule="auto"/>
              <w:rPr>
                <w:rFonts w:ascii="Times New Roman" w:hAnsi="Times New Roman" w:cs="Times New Roman"/>
              </w:rPr>
            </w:pPr>
            <w:r>
              <w:rPr>
                <w:rFonts w:ascii="Times New Roman" w:hAnsi="Times New Roman" w:cs="Times New Roman"/>
              </w:rPr>
              <w:t>Health Scientist</w:t>
            </w:r>
            <w:r w:rsidR="00D4347D" w:rsidRPr="001D0685">
              <w:rPr>
                <w:rFonts w:ascii="Times New Roman" w:hAnsi="Times New Roman" w:cs="Times New Roman"/>
              </w:rPr>
              <w:t xml:space="preserve">-15           </w:t>
            </w:r>
            <w:r w:rsidR="00D9618A">
              <w:rPr>
                <w:rFonts w:ascii="Times New Roman" w:hAnsi="Times New Roman" w:cs="Times New Roman"/>
              </w:rPr>
              <w:t>2.5</w:t>
            </w:r>
            <w:r w:rsidR="00F84A64" w:rsidRPr="001D0685">
              <w:rPr>
                <w:rFonts w:ascii="Times New Roman" w:hAnsi="Times New Roman" w:cs="Times New Roman"/>
              </w:rPr>
              <w:t xml:space="preserve">%  </w:t>
            </w:r>
          </w:p>
          <w:p w:rsidR="00F84A64" w:rsidRPr="001D0685" w:rsidRDefault="00D9618A" w:rsidP="00F84A64">
            <w:pPr>
              <w:spacing w:after="0" w:line="240" w:lineRule="auto"/>
              <w:rPr>
                <w:rFonts w:ascii="Times New Roman" w:hAnsi="Times New Roman" w:cs="Times New Roman"/>
              </w:rPr>
            </w:pPr>
            <w:r>
              <w:rPr>
                <w:rFonts w:ascii="Times New Roman" w:hAnsi="Times New Roman" w:cs="Times New Roman"/>
              </w:rPr>
              <w:t>Health Scientist</w:t>
            </w:r>
            <w:r w:rsidR="00D4347D" w:rsidRPr="001D0685">
              <w:rPr>
                <w:rFonts w:ascii="Times New Roman" w:hAnsi="Times New Roman" w:cs="Times New Roman"/>
              </w:rPr>
              <w:t>-1</w:t>
            </w:r>
            <w:r>
              <w:rPr>
                <w:rFonts w:ascii="Times New Roman" w:hAnsi="Times New Roman" w:cs="Times New Roman"/>
              </w:rPr>
              <w:t>4</w:t>
            </w:r>
            <w:r w:rsidR="00D4347D" w:rsidRPr="001D0685">
              <w:rPr>
                <w:rFonts w:ascii="Times New Roman" w:hAnsi="Times New Roman" w:cs="Times New Roman"/>
              </w:rPr>
              <w:t xml:space="preserve">  </w:t>
            </w:r>
            <w:r>
              <w:rPr>
                <w:rFonts w:ascii="Times New Roman" w:hAnsi="Times New Roman" w:cs="Times New Roman"/>
              </w:rPr>
              <w:t xml:space="preserve">         2.</w:t>
            </w:r>
            <w:r w:rsidR="00F84A64" w:rsidRPr="001D0685">
              <w:rPr>
                <w:rFonts w:ascii="Times New Roman" w:hAnsi="Times New Roman" w:cs="Times New Roman"/>
              </w:rPr>
              <w:t xml:space="preserve">5%  </w:t>
            </w:r>
          </w:p>
          <w:p w:rsidR="00F84A64" w:rsidRPr="001D0685" w:rsidRDefault="00F84A64" w:rsidP="00F84A64">
            <w:pPr>
              <w:spacing w:after="0" w:line="240" w:lineRule="auto"/>
              <w:rPr>
                <w:rFonts w:ascii="Times New Roman" w:hAnsi="Times New Roman" w:cs="Times New Roman"/>
              </w:rPr>
            </w:pPr>
            <w:r w:rsidRPr="001D0685">
              <w:rPr>
                <w:rFonts w:ascii="Times New Roman" w:hAnsi="Times New Roman" w:cs="Times New Roman"/>
              </w:rPr>
              <w:t>Health C</w:t>
            </w:r>
            <w:r w:rsidR="00D4347D" w:rsidRPr="001D0685">
              <w:rPr>
                <w:rFonts w:ascii="Times New Roman" w:hAnsi="Times New Roman" w:cs="Times New Roman"/>
              </w:rPr>
              <w:t>ommunication Specialist</w:t>
            </w:r>
            <w:r w:rsidR="00D9618A">
              <w:rPr>
                <w:rFonts w:ascii="Times New Roman" w:hAnsi="Times New Roman" w:cs="Times New Roman"/>
              </w:rPr>
              <w:t>/Health Scientist</w:t>
            </w:r>
            <w:r w:rsidR="00D4347D" w:rsidRPr="001D0685">
              <w:rPr>
                <w:rFonts w:ascii="Times New Roman" w:hAnsi="Times New Roman" w:cs="Times New Roman"/>
              </w:rPr>
              <w:t>-1</w:t>
            </w:r>
            <w:r w:rsidR="00D9618A">
              <w:rPr>
                <w:rFonts w:ascii="Times New Roman" w:hAnsi="Times New Roman" w:cs="Times New Roman"/>
              </w:rPr>
              <w:t>2</w:t>
            </w:r>
            <w:r w:rsidR="00D4347D" w:rsidRPr="001D0685">
              <w:rPr>
                <w:rFonts w:ascii="Times New Roman" w:hAnsi="Times New Roman" w:cs="Times New Roman"/>
              </w:rPr>
              <w:t xml:space="preserve">    </w:t>
            </w:r>
            <w:r w:rsidR="00D9618A">
              <w:rPr>
                <w:rFonts w:ascii="Times New Roman" w:hAnsi="Times New Roman" w:cs="Times New Roman"/>
              </w:rPr>
              <w:t>3.8</w:t>
            </w:r>
            <w:r w:rsidRPr="001D0685">
              <w:rPr>
                <w:rFonts w:ascii="Times New Roman" w:hAnsi="Times New Roman" w:cs="Times New Roman"/>
              </w:rPr>
              <w:t xml:space="preserve">%  </w:t>
            </w:r>
          </w:p>
          <w:p w:rsidR="00F84A64" w:rsidRPr="001D0685" w:rsidRDefault="00D9618A" w:rsidP="00F84A64">
            <w:pPr>
              <w:spacing w:after="0" w:line="240" w:lineRule="auto"/>
              <w:rPr>
                <w:rFonts w:ascii="Times New Roman" w:hAnsi="Times New Roman" w:cs="Times New Roman"/>
              </w:rPr>
            </w:pPr>
            <w:r>
              <w:rPr>
                <w:rFonts w:ascii="Times New Roman" w:hAnsi="Times New Roman" w:cs="Times New Roman"/>
              </w:rPr>
              <w:t>Health Scientist</w:t>
            </w:r>
            <w:r w:rsidR="00F84A64" w:rsidRPr="001D0685">
              <w:rPr>
                <w:rFonts w:ascii="Times New Roman" w:hAnsi="Times New Roman" w:cs="Times New Roman"/>
              </w:rPr>
              <w:t>-1</w:t>
            </w:r>
            <w:r>
              <w:rPr>
                <w:rFonts w:ascii="Times New Roman" w:hAnsi="Times New Roman" w:cs="Times New Roman"/>
              </w:rPr>
              <w:t>2</w:t>
            </w:r>
            <w:r w:rsidR="00F84A64" w:rsidRPr="001D0685">
              <w:rPr>
                <w:rFonts w:ascii="Times New Roman" w:hAnsi="Times New Roman" w:cs="Times New Roman"/>
              </w:rPr>
              <w:t xml:space="preserve">    </w:t>
            </w:r>
            <w:r>
              <w:rPr>
                <w:rFonts w:ascii="Times New Roman" w:hAnsi="Times New Roman" w:cs="Times New Roman"/>
              </w:rPr>
              <w:t>2.5</w:t>
            </w:r>
            <w:r w:rsidR="00F84A64" w:rsidRPr="001D0685">
              <w:rPr>
                <w:rFonts w:ascii="Times New Roman" w:hAnsi="Times New Roman" w:cs="Times New Roman"/>
              </w:rPr>
              <w:t xml:space="preserve">%  </w:t>
            </w:r>
          </w:p>
          <w:p w:rsidR="00F84A64" w:rsidRPr="001D0685" w:rsidRDefault="00D9618A" w:rsidP="00F84A64">
            <w:pPr>
              <w:spacing w:after="0" w:line="240" w:lineRule="auto"/>
              <w:rPr>
                <w:rFonts w:ascii="Times New Roman" w:hAnsi="Times New Roman" w:cs="Times New Roman"/>
              </w:rPr>
            </w:pPr>
            <w:r>
              <w:rPr>
                <w:rFonts w:ascii="Times New Roman" w:hAnsi="Times New Roman" w:cs="Times New Roman"/>
              </w:rPr>
              <w:t>Pharmacist-Commissioned Corps</w:t>
            </w:r>
            <w:r w:rsidR="00F84A64" w:rsidRPr="001D0685">
              <w:rPr>
                <w:rFonts w:ascii="Times New Roman" w:hAnsi="Times New Roman" w:cs="Times New Roman"/>
              </w:rPr>
              <w:t xml:space="preserve">-    </w:t>
            </w:r>
            <w:r>
              <w:rPr>
                <w:rFonts w:ascii="Times New Roman" w:hAnsi="Times New Roman" w:cs="Times New Roman"/>
              </w:rPr>
              <w:t>2.5</w:t>
            </w:r>
            <w:r w:rsidR="00F84A64" w:rsidRPr="001D0685">
              <w:rPr>
                <w:rFonts w:ascii="Times New Roman" w:hAnsi="Times New Roman" w:cs="Times New Roman"/>
              </w:rPr>
              <w:t xml:space="preserve">% </w:t>
            </w:r>
          </w:p>
          <w:p w:rsidR="00844D24" w:rsidRPr="001D0685" w:rsidRDefault="00844D24" w:rsidP="00F84A64">
            <w:pPr>
              <w:spacing w:after="0" w:line="240" w:lineRule="auto"/>
              <w:rPr>
                <w:rFonts w:ascii="Times New Roman" w:hAnsi="Times New Roman" w:cs="Times New Roman"/>
              </w:rPr>
            </w:pPr>
          </w:p>
        </w:tc>
        <w:tc>
          <w:tcPr>
            <w:tcW w:w="1638" w:type="dxa"/>
          </w:tcPr>
          <w:p w:rsidR="00F84A64" w:rsidRPr="001D0685" w:rsidRDefault="00F84A64" w:rsidP="00F8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p>
          <w:p w:rsidR="00F84A64" w:rsidRPr="001D0685" w:rsidRDefault="00F84A64" w:rsidP="00F84A64">
            <w:pPr>
              <w:spacing w:after="0" w:line="240" w:lineRule="auto"/>
              <w:rPr>
                <w:rFonts w:ascii="Times New Roman" w:hAnsi="Times New Roman" w:cs="Times New Roman"/>
              </w:rPr>
            </w:pPr>
          </w:p>
          <w:p w:rsidR="00F84A64" w:rsidRPr="001D0685" w:rsidRDefault="00F84A64" w:rsidP="00F84A64">
            <w:pPr>
              <w:spacing w:after="0" w:line="240" w:lineRule="auto"/>
              <w:rPr>
                <w:rFonts w:ascii="Times New Roman" w:hAnsi="Times New Roman" w:cs="Times New Roman"/>
              </w:rPr>
            </w:pPr>
            <w:r w:rsidRPr="001D0685">
              <w:rPr>
                <w:rFonts w:ascii="Times New Roman" w:hAnsi="Times New Roman" w:cs="Times New Roman"/>
              </w:rPr>
              <w:t xml:space="preserve">$ </w:t>
            </w:r>
            <w:r w:rsidR="00D9618A">
              <w:rPr>
                <w:rFonts w:ascii="Times New Roman" w:hAnsi="Times New Roman" w:cs="Times New Roman"/>
              </w:rPr>
              <w:t>4,415</w:t>
            </w:r>
          </w:p>
          <w:p w:rsidR="00F84A64" w:rsidRPr="001D0685" w:rsidRDefault="00F84A64" w:rsidP="00F84A64">
            <w:pPr>
              <w:spacing w:after="0" w:line="240" w:lineRule="auto"/>
              <w:rPr>
                <w:rFonts w:ascii="Times New Roman" w:hAnsi="Times New Roman" w:cs="Times New Roman"/>
              </w:rPr>
            </w:pPr>
            <w:r w:rsidRPr="001D0685">
              <w:rPr>
                <w:rFonts w:ascii="Times New Roman" w:hAnsi="Times New Roman" w:cs="Times New Roman"/>
              </w:rPr>
              <w:t xml:space="preserve">$ </w:t>
            </w:r>
            <w:r w:rsidR="00D9618A">
              <w:rPr>
                <w:rFonts w:ascii="Times New Roman" w:hAnsi="Times New Roman" w:cs="Times New Roman"/>
              </w:rPr>
              <w:t>3,899</w:t>
            </w:r>
            <w:r w:rsidRPr="001D0685">
              <w:rPr>
                <w:rFonts w:ascii="Times New Roman" w:hAnsi="Times New Roman" w:cs="Times New Roman"/>
              </w:rPr>
              <w:t xml:space="preserve"> </w:t>
            </w:r>
          </w:p>
          <w:p w:rsidR="00F84A64" w:rsidRPr="001D0685" w:rsidRDefault="00F84A64" w:rsidP="00F84A64">
            <w:pPr>
              <w:spacing w:after="0" w:line="240" w:lineRule="auto"/>
              <w:rPr>
                <w:rFonts w:ascii="Times New Roman" w:hAnsi="Times New Roman" w:cs="Times New Roman"/>
              </w:rPr>
            </w:pPr>
            <w:r w:rsidRPr="001D0685">
              <w:rPr>
                <w:rFonts w:ascii="Times New Roman" w:hAnsi="Times New Roman" w:cs="Times New Roman"/>
              </w:rPr>
              <w:t xml:space="preserve">$ </w:t>
            </w:r>
            <w:r w:rsidR="00D9618A">
              <w:rPr>
                <w:rFonts w:ascii="Times New Roman" w:hAnsi="Times New Roman" w:cs="Times New Roman"/>
              </w:rPr>
              <w:t>3,996</w:t>
            </w:r>
          </w:p>
          <w:p w:rsidR="00F84A64" w:rsidRPr="001D0685" w:rsidRDefault="00F84A64" w:rsidP="00F84A64">
            <w:pPr>
              <w:spacing w:after="0" w:line="240" w:lineRule="auto"/>
              <w:rPr>
                <w:rFonts w:ascii="Times New Roman" w:hAnsi="Times New Roman" w:cs="Times New Roman"/>
              </w:rPr>
            </w:pPr>
            <w:r w:rsidRPr="001D0685">
              <w:rPr>
                <w:rFonts w:ascii="Times New Roman" w:hAnsi="Times New Roman" w:cs="Times New Roman"/>
              </w:rPr>
              <w:t xml:space="preserve">$ </w:t>
            </w:r>
            <w:r w:rsidR="00D9618A">
              <w:rPr>
                <w:rFonts w:ascii="Times New Roman" w:hAnsi="Times New Roman" w:cs="Times New Roman"/>
              </w:rPr>
              <w:t>2,344</w:t>
            </w:r>
          </w:p>
          <w:p w:rsidR="00F84A64" w:rsidRPr="001D0685" w:rsidRDefault="00F84A64" w:rsidP="00D9618A">
            <w:pPr>
              <w:spacing w:after="0" w:line="240" w:lineRule="auto"/>
              <w:rPr>
                <w:rFonts w:ascii="Times New Roman" w:hAnsi="Times New Roman" w:cs="Times New Roman"/>
              </w:rPr>
            </w:pPr>
            <w:r w:rsidRPr="001D0685">
              <w:rPr>
                <w:rFonts w:ascii="Times New Roman" w:hAnsi="Times New Roman" w:cs="Times New Roman"/>
              </w:rPr>
              <w:t xml:space="preserve">$ </w:t>
            </w:r>
            <w:r w:rsidR="00D9618A">
              <w:rPr>
                <w:rFonts w:ascii="Times New Roman" w:hAnsi="Times New Roman" w:cs="Times New Roman"/>
              </w:rPr>
              <w:t>2,296</w:t>
            </w:r>
          </w:p>
        </w:tc>
      </w:tr>
      <w:tr w:rsidR="00F84A64" w:rsidRPr="001D0685" w:rsidTr="00F84A64">
        <w:tc>
          <w:tcPr>
            <w:tcW w:w="1762" w:type="dxa"/>
          </w:tcPr>
          <w:p w:rsidR="00F84A64" w:rsidRPr="001D0685" w:rsidRDefault="00F84A64" w:rsidP="00F8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themeColor="text1"/>
              </w:rPr>
            </w:pPr>
          </w:p>
        </w:tc>
        <w:tc>
          <w:tcPr>
            <w:tcW w:w="6068" w:type="dxa"/>
          </w:tcPr>
          <w:p w:rsidR="00F84A64" w:rsidRPr="00BD5A96" w:rsidRDefault="00227C5C" w:rsidP="00227C5C">
            <w:pPr>
              <w:rPr>
                <w:rFonts w:ascii="Times New Roman" w:hAnsi="Times New Roman" w:cs="Times New Roman"/>
              </w:rPr>
            </w:pPr>
            <w:r w:rsidRPr="00BD5A96">
              <w:rPr>
                <w:rFonts w:ascii="Times New Roman" w:hAnsi="Times New Roman" w:cs="Times New Roman"/>
              </w:rPr>
              <w:t>Subt</w:t>
            </w:r>
            <w:r w:rsidR="00F84A64" w:rsidRPr="00BD5A96">
              <w:rPr>
                <w:rFonts w:ascii="Times New Roman" w:hAnsi="Times New Roman" w:cs="Times New Roman"/>
              </w:rPr>
              <w:t xml:space="preserve">otal </w:t>
            </w:r>
          </w:p>
        </w:tc>
        <w:tc>
          <w:tcPr>
            <w:tcW w:w="1638" w:type="dxa"/>
          </w:tcPr>
          <w:p w:rsidR="00F84A64" w:rsidRPr="00BD5A96" w:rsidDel="00031AE0" w:rsidRDefault="00F84A64" w:rsidP="00D96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color w:val="000000" w:themeColor="text1"/>
              </w:rPr>
            </w:pPr>
            <w:r w:rsidRPr="00BD5A96">
              <w:rPr>
                <w:rFonts w:ascii="Times New Roman" w:hAnsi="Times New Roman" w:cs="Times New Roman"/>
                <w:color w:val="000000" w:themeColor="text1"/>
              </w:rPr>
              <w:t>$</w:t>
            </w:r>
            <w:r w:rsidR="00D9618A">
              <w:rPr>
                <w:rFonts w:ascii="Times New Roman" w:hAnsi="Times New Roman" w:cs="Times New Roman"/>
                <w:color w:val="000000" w:themeColor="text1"/>
              </w:rPr>
              <w:t>16,950</w:t>
            </w:r>
          </w:p>
        </w:tc>
      </w:tr>
      <w:tr w:rsidR="005806CA" w:rsidRPr="001D0685" w:rsidTr="00F84A64">
        <w:tc>
          <w:tcPr>
            <w:tcW w:w="1762" w:type="dxa"/>
          </w:tcPr>
          <w:p w:rsidR="005806CA" w:rsidRPr="001D0685" w:rsidRDefault="006551A9" w:rsidP="00F8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themeColor="text1"/>
              </w:rPr>
            </w:pPr>
            <w:r w:rsidRPr="001D0685">
              <w:rPr>
                <w:rFonts w:ascii="Times New Roman" w:hAnsi="Times New Roman" w:cs="Times New Roman"/>
                <w:color w:val="000000" w:themeColor="text1"/>
              </w:rPr>
              <w:t>Grant Expenses</w:t>
            </w:r>
          </w:p>
        </w:tc>
        <w:tc>
          <w:tcPr>
            <w:tcW w:w="6068" w:type="dxa"/>
          </w:tcPr>
          <w:p w:rsidR="005806CA" w:rsidRPr="00BD5A96" w:rsidRDefault="005806CA" w:rsidP="00F84A64">
            <w:pPr>
              <w:rPr>
                <w:rFonts w:ascii="Times New Roman" w:hAnsi="Times New Roman" w:cs="Times New Roman"/>
              </w:rPr>
            </w:pPr>
          </w:p>
        </w:tc>
        <w:tc>
          <w:tcPr>
            <w:tcW w:w="1638" w:type="dxa"/>
          </w:tcPr>
          <w:p w:rsidR="005806CA" w:rsidRPr="00BD5A96" w:rsidRDefault="006551A9" w:rsidP="00D96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color w:val="000000" w:themeColor="text1"/>
              </w:rPr>
            </w:pPr>
            <w:r w:rsidRPr="00BD5A96">
              <w:rPr>
                <w:rFonts w:ascii="Times New Roman" w:hAnsi="Times New Roman" w:cs="Times New Roman"/>
                <w:color w:val="000000" w:themeColor="text1"/>
              </w:rPr>
              <w:t>$</w:t>
            </w:r>
            <w:r w:rsidR="00D9618A">
              <w:rPr>
                <w:rFonts w:ascii="Times New Roman" w:hAnsi="Times New Roman" w:cs="Times New Roman"/>
                <w:color w:val="000000" w:themeColor="text1"/>
              </w:rPr>
              <w:t>74,000</w:t>
            </w:r>
          </w:p>
        </w:tc>
      </w:tr>
      <w:tr w:rsidR="00227C5C" w:rsidRPr="001D0685" w:rsidTr="00F84A64">
        <w:tc>
          <w:tcPr>
            <w:tcW w:w="1762" w:type="dxa"/>
          </w:tcPr>
          <w:p w:rsidR="00227C5C" w:rsidRPr="001D0685" w:rsidRDefault="00227C5C" w:rsidP="00F84A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themeColor="text1"/>
              </w:rPr>
            </w:pPr>
          </w:p>
        </w:tc>
        <w:tc>
          <w:tcPr>
            <w:tcW w:w="6068" w:type="dxa"/>
          </w:tcPr>
          <w:p w:rsidR="00227C5C" w:rsidRPr="00BD5A96" w:rsidRDefault="00227C5C" w:rsidP="00F84A64">
            <w:pPr>
              <w:rPr>
                <w:rFonts w:ascii="Times New Roman" w:hAnsi="Times New Roman" w:cs="Times New Roman"/>
              </w:rPr>
            </w:pPr>
            <w:r w:rsidRPr="00BD5A96">
              <w:rPr>
                <w:rFonts w:ascii="Times New Roman" w:hAnsi="Times New Roman" w:cs="Times New Roman"/>
              </w:rPr>
              <w:t>Tota</w:t>
            </w:r>
            <w:r w:rsidR="00C94667" w:rsidRPr="001D0685">
              <w:rPr>
                <w:rFonts w:ascii="Times New Roman" w:hAnsi="Times New Roman" w:cs="Times New Roman"/>
              </w:rPr>
              <w:t>l Annual Cost</w:t>
            </w:r>
          </w:p>
        </w:tc>
        <w:tc>
          <w:tcPr>
            <w:tcW w:w="1638" w:type="dxa"/>
          </w:tcPr>
          <w:p w:rsidR="00227C5C" w:rsidRPr="00BD5A96" w:rsidRDefault="00227C5C" w:rsidP="00D96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Times New Roman" w:hAnsi="Times New Roman" w:cs="Times New Roman"/>
                <w:color w:val="000000" w:themeColor="text1"/>
              </w:rPr>
            </w:pPr>
            <w:r w:rsidRPr="00BD5A96">
              <w:rPr>
                <w:rFonts w:ascii="Times New Roman" w:hAnsi="Times New Roman" w:cs="Times New Roman"/>
                <w:color w:val="000000" w:themeColor="text1"/>
              </w:rPr>
              <w:t>$</w:t>
            </w:r>
            <w:r w:rsidR="00D9618A">
              <w:rPr>
                <w:rFonts w:ascii="Times New Roman" w:hAnsi="Times New Roman" w:cs="Times New Roman"/>
                <w:color w:val="000000" w:themeColor="text1"/>
              </w:rPr>
              <w:t>90,950</w:t>
            </w:r>
          </w:p>
        </w:tc>
      </w:tr>
    </w:tbl>
    <w:p w:rsidR="00205727" w:rsidRDefault="00892777" w:rsidP="00241B17">
      <w:pPr>
        <w:spacing w:after="0"/>
        <w:rPr>
          <w:rFonts w:ascii="Times New Roman" w:hAnsi="Times New Roman" w:cs="Times New Roman"/>
          <w:sz w:val="24"/>
          <w:szCs w:val="24"/>
        </w:rPr>
      </w:pPr>
      <w:r w:rsidRPr="001D0685">
        <w:rPr>
          <w:rFonts w:ascii="Times New Roman" w:hAnsi="Times New Roman" w:cs="Times New Roman"/>
          <w:sz w:val="24"/>
          <w:szCs w:val="24"/>
        </w:rPr>
        <w:t>The personnel costs were calculated using the 2014 General Schedule</w:t>
      </w:r>
      <w:r w:rsidR="00D9618A" w:rsidRPr="00D9618A">
        <w:t xml:space="preserve"> </w:t>
      </w:r>
      <w:hyperlink r:id="rId12" w:history="1">
        <w:r w:rsidR="00D9618A" w:rsidRPr="000906EF">
          <w:rPr>
            <w:rStyle w:val="Hyperlink"/>
            <w:rFonts w:ascii="Times New Roman" w:hAnsi="Times New Roman" w:cs="Times New Roman"/>
            <w:sz w:val="24"/>
            <w:szCs w:val="24"/>
          </w:rPr>
          <w:t>http://www.opm.gov/policy-data-oversight/pay-leave/salaries-wages/2014/general-schedule/</w:t>
        </w:r>
      </w:hyperlink>
      <w:r w:rsidRPr="001D0685">
        <w:rPr>
          <w:rFonts w:ascii="Times New Roman" w:hAnsi="Times New Roman" w:cs="Times New Roman"/>
          <w:sz w:val="24"/>
          <w:szCs w:val="24"/>
        </w:rPr>
        <w:t>.</w:t>
      </w:r>
    </w:p>
    <w:p w:rsidR="00E33E8F" w:rsidRPr="001D0685" w:rsidRDefault="00E33E8F" w:rsidP="00844D24">
      <w:pPr>
        <w:spacing w:after="0"/>
        <w:rPr>
          <w:rFonts w:asciiTheme="majorHAnsi" w:hAnsiTheme="majorHAnsi"/>
          <w:sz w:val="24"/>
          <w:szCs w:val="24"/>
        </w:rPr>
      </w:pPr>
    </w:p>
    <w:p w:rsidR="00B12F51" w:rsidRPr="001D0685" w:rsidRDefault="00D75750" w:rsidP="00844D24">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bCs/>
          <w:sz w:val="24"/>
          <w:szCs w:val="24"/>
        </w:rPr>
        <w:t>Explanation for Program Changes or Adjustments</w:t>
      </w:r>
    </w:p>
    <w:p w:rsidR="00205727" w:rsidRDefault="00A37434" w:rsidP="00844D24">
      <w:pPr>
        <w:tabs>
          <w:tab w:val="left" w:pos="0"/>
        </w:tabs>
        <w:spacing w:after="0"/>
        <w:ind w:left="360"/>
        <w:rPr>
          <w:rFonts w:ascii="Times New Roman" w:hAnsi="Times New Roman" w:cs="Times New Roman"/>
          <w:color w:val="000000"/>
          <w:sz w:val="24"/>
          <w:szCs w:val="24"/>
        </w:rPr>
      </w:pPr>
      <w:r w:rsidRPr="001D0685">
        <w:rPr>
          <w:rFonts w:ascii="Times New Roman" w:hAnsi="Times New Roman" w:cs="Times New Roman"/>
          <w:color w:val="000000"/>
          <w:sz w:val="24"/>
          <w:szCs w:val="24"/>
        </w:rPr>
        <w:t>This is a new information collection request, therefore program changes and adjustments do not apply.</w:t>
      </w:r>
    </w:p>
    <w:p w:rsidR="00964B41" w:rsidRDefault="00964B41" w:rsidP="00844D24">
      <w:pPr>
        <w:tabs>
          <w:tab w:val="left" w:pos="0"/>
        </w:tabs>
        <w:spacing w:after="0"/>
        <w:ind w:left="360"/>
        <w:rPr>
          <w:rFonts w:ascii="Times New Roman" w:hAnsi="Times New Roman" w:cs="Times New Roman"/>
          <w:color w:val="000000"/>
          <w:sz w:val="24"/>
          <w:szCs w:val="24"/>
        </w:rPr>
      </w:pPr>
    </w:p>
    <w:p w:rsidR="00B12F51" w:rsidRPr="001D0685" w:rsidRDefault="00616090"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sz w:val="24"/>
          <w:szCs w:val="24"/>
        </w:rPr>
        <w:t>Plan</w:t>
      </w:r>
      <w:r w:rsidR="00D75750" w:rsidRPr="001D0685">
        <w:rPr>
          <w:rFonts w:ascii="Times New Roman" w:hAnsi="Times New Roman" w:cs="Times New Roman"/>
          <w:b/>
          <w:sz w:val="24"/>
          <w:szCs w:val="24"/>
        </w:rPr>
        <w:t>s</w:t>
      </w:r>
      <w:r w:rsidR="00D75750" w:rsidRPr="001D0685">
        <w:rPr>
          <w:rFonts w:ascii="Times New Roman" w:hAnsi="Times New Roman" w:cs="Times New Roman"/>
          <w:b/>
          <w:bCs/>
          <w:sz w:val="24"/>
          <w:szCs w:val="24"/>
        </w:rPr>
        <w:t xml:space="preserve"> for Tabulation and Publication and Project Time Schedule</w:t>
      </w:r>
    </w:p>
    <w:p w:rsidR="00902DFF" w:rsidRDefault="00902DFF" w:rsidP="00964B41">
      <w:pPr>
        <w:pStyle w:val="BodyText1psg"/>
        <w:ind w:firstLine="0"/>
      </w:pPr>
      <w:r>
        <w:t>RTI team members will independently review and code transcripts from the six virtual groups and the 12 interviews in NVivo 10.0 qualitative analysis software. Transcripts from the groups and the interviews will be uploaded into one NVivo database so that patterns can be assessed across the entire data set. Two to three team members will examine participants’ responses and code responses based on a predetermined coding structure. Once coding is completed, we will produce coding reports and identify trends across the groups and, when applicable, within the group segments.</w:t>
      </w:r>
    </w:p>
    <w:p w:rsidR="00902DFF" w:rsidRPr="00223A73" w:rsidRDefault="00902DFF" w:rsidP="00964B41">
      <w:pPr>
        <w:pStyle w:val="BodyText1psg"/>
        <w:ind w:firstLine="0"/>
      </w:pPr>
      <w:r w:rsidRPr="00256062">
        <w:t xml:space="preserve">The RTI analysis team will review </w:t>
      </w:r>
      <w:r>
        <w:t>transcripts</w:t>
      </w:r>
      <w:r w:rsidRPr="00256062">
        <w:t xml:space="preserve"> and then analyze them using the following steps (adapted from Krueger </w:t>
      </w:r>
      <w:r>
        <w:t xml:space="preserve">&amp; </w:t>
      </w:r>
      <w:r w:rsidRPr="00256062">
        <w:t>Casey, 2</w:t>
      </w:r>
      <w:r>
        <w:t>000):</w:t>
      </w:r>
    </w:p>
    <w:p w:rsidR="00902DFF" w:rsidRPr="002C6E4C" w:rsidRDefault="00902DFF" w:rsidP="00902DFF">
      <w:pPr>
        <w:pStyle w:val="bullets-blank"/>
      </w:pPr>
      <w:r>
        <w:t>1.</w:t>
      </w:r>
      <w:r>
        <w:tab/>
      </w:r>
      <w:r w:rsidRPr="002C6E4C">
        <w:t xml:space="preserve">Assign each </w:t>
      </w:r>
      <w:r>
        <w:t>focus</w:t>
      </w:r>
      <w:r w:rsidRPr="002C6E4C">
        <w:t xml:space="preserve"> group</w:t>
      </w:r>
      <w:r>
        <w:t xml:space="preserve"> and interview</w:t>
      </w:r>
      <w:r w:rsidRPr="002C6E4C">
        <w:t xml:space="preserve"> an identification number.</w:t>
      </w:r>
    </w:p>
    <w:p w:rsidR="00902DFF" w:rsidRPr="002C6E4C" w:rsidRDefault="00902DFF" w:rsidP="00902DFF">
      <w:pPr>
        <w:pStyle w:val="bullets-blank"/>
      </w:pPr>
      <w:r>
        <w:t>2.</w:t>
      </w:r>
      <w:r>
        <w:tab/>
      </w:r>
      <w:r w:rsidRPr="002C6E4C">
        <w:t>Code the responses according to a set of pre</w:t>
      </w:r>
      <w:r w:rsidR="001A0C8D">
        <w:t>-</w:t>
      </w:r>
      <w:r w:rsidRPr="002C6E4C">
        <w:t>developed codes that repres</w:t>
      </w:r>
      <w:r>
        <w:t xml:space="preserve">ent key constructs. </w:t>
      </w:r>
    </w:p>
    <w:p w:rsidR="00902DFF" w:rsidRPr="002C6E4C" w:rsidRDefault="00902DFF" w:rsidP="00902DFF">
      <w:pPr>
        <w:pStyle w:val="bullets-blank"/>
      </w:pPr>
      <w:r>
        <w:t>3.</w:t>
      </w:r>
      <w:r>
        <w:tab/>
      </w:r>
      <w:r w:rsidRPr="002C6E4C">
        <w:t xml:space="preserve">Develop and assign emergent codes for responses that do not fit </w:t>
      </w:r>
      <w:r>
        <w:t>the pre</w:t>
      </w:r>
      <w:r w:rsidRPr="002C6E4C">
        <w:t xml:space="preserve">existing coding scheme. </w:t>
      </w:r>
    </w:p>
    <w:p w:rsidR="00902DFF" w:rsidRPr="002C6E4C" w:rsidRDefault="00902DFF" w:rsidP="00902DFF">
      <w:pPr>
        <w:pStyle w:val="bullets-blank"/>
      </w:pPr>
      <w:r>
        <w:lastRenderedPageBreak/>
        <w:t>4.</w:t>
      </w:r>
      <w:r>
        <w:tab/>
      </w:r>
      <w:r w:rsidRPr="002C6E4C">
        <w:t>Using these pre</w:t>
      </w:r>
      <w:r w:rsidR="00964B41">
        <w:t>-</w:t>
      </w:r>
      <w:r w:rsidRPr="002C6E4C">
        <w:t xml:space="preserve">established and emergent codes, identify the key themes and determine the degree of consensus or discordance with a particular view; the goal of a focus group is to focus on what the group thinks, not on what the individual thinks. </w:t>
      </w:r>
    </w:p>
    <w:p w:rsidR="00902DFF" w:rsidRPr="002C6E4C" w:rsidRDefault="00902DFF" w:rsidP="00902DFF">
      <w:pPr>
        <w:pStyle w:val="bullets-blank"/>
      </w:pPr>
      <w:r>
        <w:t>5.</w:t>
      </w:r>
      <w:r>
        <w:tab/>
      </w:r>
      <w:r w:rsidRPr="002C6E4C">
        <w:t xml:space="preserve">In a cross-group matrix, organize the key themes in accordance </w:t>
      </w:r>
      <w:r>
        <w:t>with</w:t>
      </w:r>
      <w:r w:rsidRPr="002C6E4C">
        <w:t xml:space="preserve"> the research question most closely addressed by </w:t>
      </w:r>
      <w:r>
        <w:t xml:space="preserve">the </w:t>
      </w:r>
      <w:r w:rsidRPr="002C6E4C">
        <w:t xml:space="preserve">group, noting particularly relevant quotes. </w:t>
      </w:r>
    </w:p>
    <w:p w:rsidR="00902DFF" w:rsidRPr="002C6E4C" w:rsidRDefault="00902DFF" w:rsidP="00902DFF">
      <w:pPr>
        <w:pStyle w:val="bullets-blank"/>
      </w:pPr>
      <w:r>
        <w:t>6.</w:t>
      </w:r>
      <w:r>
        <w:tab/>
      </w:r>
      <w:r w:rsidRPr="002C6E4C">
        <w:t xml:space="preserve">Using the cross-group matrix, identify cross-cutting themes and areas lacking consensus. </w:t>
      </w:r>
    </w:p>
    <w:p w:rsidR="00902DFF" w:rsidRDefault="00902DFF" w:rsidP="00902DFF">
      <w:pPr>
        <w:pStyle w:val="BodyText1psg"/>
        <w:ind w:firstLine="0"/>
      </w:pPr>
      <w:r w:rsidRPr="002C6E4C">
        <w:t>The</w:t>
      </w:r>
      <w:r>
        <w:t>se</w:t>
      </w:r>
      <w:r w:rsidRPr="002C6E4C">
        <w:t xml:space="preserve"> steps are designed to systematically summarize responses from the individual</w:t>
      </w:r>
      <w:r>
        <w:t xml:space="preserve"> level</w:t>
      </w:r>
      <w:r w:rsidRPr="002C6E4C">
        <w:t xml:space="preserve"> to the group level and then to the cross-group level in an objective and transparent manner.</w:t>
      </w:r>
    </w:p>
    <w:p w:rsidR="00902DFF" w:rsidRPr="002C6E4C" w:rsidRDefault="00902DFF" w:rsidP="00964B41">
      <w:pPr>
        <w:pStyle w:val="BodyText1psg"/>
        <w:ind w:firstLine="0"/>
      </w:pPr>
      <w:r>
        <w:t>We</w:t>
      </w:r>
      <w:r w:rsidRPr="002C6E4C">
        <w:t xml:space="preserve"> will ensure that the data are coded consistently and objectively by doub</w:t>
      </w:r>
      <w:r>
        <w:t xml:space="preserve">le-coding one to two transcripts, or until interrater agreement of 90% is achieved. We </w:t>
      </w:r>
      <w:r w:rsidRPr="002C6E4C">
        <w:t xml:space="preserve">will </w:t>
      </w:r>
      <w:r>
        <w:t xml:space="preserve">also </w:t>
      </w:r>
      <w:r w:rsidRPr="002C6E4C">
        <w:t xml:space="preserve">seek the input of </w:t>
      </w:r>
      <w:r>
        <w:t>Centers for Disease Control and Prevention (</w:t>
      </w:r>
      <w:r w:rsidRPr="00FC6954">
        <w:t>CDC</w:t>
      </w:r>
      <w:r>
        <w:t>)</w:t>
      </w:r>
      <w:r w:rsidRPr="002C6E4C">
        <w:t xml:space="preserve"> technical officers in interpreting the data (</w:t>
      </w:r>
      <w:r>
        <w:t>S</w:t>
      </w:r>
      <w:r w:rsidRPr="002C6E4C">
        <w:t xml:space="preserve">teps 4 and 6) to further enhance the objectivity of the analytic process. </w:t>
      </w:r>
    </w:p>
    <w:p w:rsidR="00902DFF" w:rsidRPr="002C6E4C" w:rsidRDefault="00902DFF" w:rsidP="00964B41">
      <w:pPr>
        <w:pStyle w:val="BodyText1psg"/>
        <w:ind w:firstLine="0"/>
      </w:pPr>
      <w:r w:rsidRPr="002C6E4C">
        <w:t xml:space="preserve">Krueger </w:t>
      </w:r>
      <w:r>
        <w:t xml:space="preserve">and Casey </w:t>
      </w:r>
      <w:r w:rsidRPr="002C6E4C">
        <w:t>further recommend</w:t>
      </w:r>
      <w:r>
        <w:t>ed</w:t>
      </w:r>
      <w:r w:rsidRPr="002C6E4C">
        <w:t xml:space="preserve"> that the following questions be asked as part of the analysis:</w:t>
      </w:r>
    </w:p>
    <w:p w:rsidR="00902DFF" w:rsidRPr="002C6E4C" w:rsidRDefault="00902DFF" w:rsidP="00902DFF">
      <w:pPr>
        <w:pStyle w:val="bullets"/>
      </w:pPr>
      <w:r w:rsidRPr="002C6E4C">
        <w:t>What was known that was confirmed or challenged by the focus group data?</w:t>
      </w:r>
    </w:p>
    <w:p w:rsidR="00902DFF" w:rsidRPr="002C6E4C" w:rsidRDefault="00902DFF" w:rsidP="00902DFF">
      <w:pPr>
        <w:pStyle w:val="bullets"/>
      </w:pPr>
      <w:r w:rsidRPr="002C6E4C">
        <w:t>What was suspected that was confirmed or challenged by the focus group data?</w:t>
      </w:r>
    </w:p>
    <w:p w:rsidR="00902DFF" w:rsidRDefault="00902DFF" w:rsidP="00902DFF">
      <w:pPr>
        <w:pStyle w:val="bullets"/>
      </w:pPr>
      <w:r w:rsidRPr="002C6E4C">
        <w:t xml:space="preserve">What was new that was not previously suspected? </w:t>
      </w:r>
    </w:p>
    <w:p w:rsidR="00902DFF" w:rsidRDefault="00902DFF" w:rsidP="00902DFF">
      <w:pPr>
        <w:tabs>
          <w:tab w:val="right" w:leader="dot" w:pos="9360"/>
        </w:tabs>
        <w:spacing w:after="0"/>
        <w:rPr>
          <w:rFonts w:ascii="Times New Roman" w:hAnsi="Times New Roman" w:cs="Times New Roman"/>
          <w:b/>
          <w:sz w:val="24"/>
          <w:szCs w:val="24"/>
        </w:rPr>
      </w:pPr>
    </w:p>
    <w:p w:rsidR="00CB48F9" w:rsidRPr="001D0685" w:rsidRDefault="00A00B3A" w:rsidP="00BD5A96">
      <w:pPr>
        <w:tabs>
          <w:tab w:val="right" w:leader="dot" w:pos="9360"/>
        </w:tabs>
        <w:spacing w:after="0"/>
        <w:ind w:left="360"/>
        <w:rPr>
          <w:rFonts w:ascii="Times New Roman" w:hAnsi="Times New Roman" w:cs="Times New Roman"/>
          <w:sz w:val="24"/>
          <w:szCs w:val="24"/>
        </w:rPr>
      </w:pPr>
      <w:r w:rsidRPr="001D0685">
        <w:rPr>
          <w:rFonts w:ascii="Times New Roman" w:hAnsi="Times New Roman" w:cs="Times New Roman"/>
          <w:b/>
          <w:sz w:val="24"/>
          <w:szCs w:val="24"/>
        </w:rPr>
        <w:t>Exhibit A.16</w:t>
      </w:r>
      <w:r w:rsidR="00302305" w:rsidRPr="001D0685">
        <w:rPr>
          <w:rFonts w:ascii="Times New Roman" w:hAnsi="Times New Roman" w:cs="Times New Roman"/>
          <w:sz w:val="24"/>
          <w:szCs w:val="24"/>
        </w:rPr>
        <w:t>:</w:t>
      </w:r>
      <w:r w:rsidR="00210E9A" w:rsidRPr="001D0685">
        <w:rPr>
          <w:rFonts w:ascii="Times New Roman" w:hAnsi="Times New Roman" w:cs="Times New Roman"/>
          <w:sz w:val="24"/>
          <w:szCs w:val="24"/>
        </w:rPr>
        <w:t xml:space="preserve"> </w:t>
      </w:r>
      <w:r w:rsidR="00205727" w:rsidRPr="001D0685">
        <w:rPr>
          <w:rFonts w:ascii="Times New Roman" w:hAnsi="Times New Roman" w:cs="Times New Roman"/>
          <w:sz w:val="24"/>
          <w:szCs w:val="24"/>
        </w:rPr>
        <w:t>P</w:t>
      </w:r>
      <w:r w:rsidR="003473F0" w:rsidRPr="001D0685">
        <w:rPr>
          <w:rFonts w:ascii="Times New Roman" w:hAnsi="Times New Roman" w:cs="Times New Roman"/>
          <w:sz w:val="24"/>
          <w:szCs w:val="24"/>
        </w:rPr>
        <w:t xml:space="preserve">roject </w:t>
      </w:r>
      <w:r w:rsidR="00302305" w:rsidRPr="001D0685">
        <w:rPr>
          <w:rFonts w:ascii="Times New Roman" w:hAnsi="Times New Roman" w:cs="Times New Roman"/>
          <w:sz w:val="24"/>
          <w:szCs w:val="24"/>
        </w:rPr>
        <w:t>T</w:t>
      </w:r>
      <w:r w:rsidR="003473F0" w:rsidRPr="001D0685">
        <w:rPr>
          <w:rFonts w:ascii="Times New Roman" w:hAnsi="Times New Roman" w:cs="Times New Roman"/>
          <w:sz w:val="24"/>
          <w:szCs w:val="24"/>
        </w:rPr>
        <w:t>ime</w:t>
      </w:r>
      <w:r w:rsidR="004F399F" w:rsidRPr="001D0685">
        <w:rPr>
          <w:rFonts w:ascii="Times New Roman" w:hAnsi="Times New Roman" w:cs="Times New Roman"/>
          <w:sz w:val="24"/>
          <w:szCs w:val="24"/>
        </w:rPr>
        <w:t xml:space="preserve"> Schedule.</w:t>
      </w:r>
    </w:p>
    <w:p w:rsidR="00D37C4F" w:rsidRPr="001D0685" w:rsidRDefault="00D37C4F" w:rsidP="00BD5A96">
      <w:pPr>
        <w:tabs>
          <w:tab w:val="right" w:leader="dot" w:pos="9360"/>
        </w:tabs>
        <w:spacing w:after="0"/>
        <w:ind w:left="360"/>
        <w:rPr>
          <w:rFonts w:ascii="Times New Roman" w:hAnsi="Times New Roman" w:cs="Times New Roman"/>
          <w:sz w:val="24"/>
          <w:szCs w:val="24"/>
        </w:rPr>
      </w:pPr>
    </w:p>
    <w:tbl>
      <w:tblPr>
        <w:tblStyle w:val="TableGrid"/>
        <w:tblW w:w="0" w:type="auto"/>
        <w:tblInd w:w="738" w:type="dxa"/>
        <w:tblLook w:val="04A0" w:firstRow="1" w:lastRow="0" w:firstColumn="1" w:lastColumn="0" w:noHBand="0" w:noVBand="1"/>
      </w:tblPr>
      <w:tblGrid>
        <w:gridCol w:w="4050"/>
        <w:gridCol w:w="4050"/>
      </w:tblGrid>
      <w:tr w:rsidR="00D47065" w:rsidRPr="001D0685" w:rsidTr="00046833">
        <w:tc>
          <w:tcPr>
            <w:tcW w:w="4050" w:type="dxa"/>
            <w:shd w:val="clear" w:color="auto" w:fill="BFBFBF" w:themeFill="background1" w:themeFillShade="BF"/>
          </w:tcPr>
          <w:p w:rsidR="004F399F" w:rsidRPr="00902DFF" w:rsidRDefault="004F399F" w:rsidP="00216E27">
            <w:pPr>
              <w:pStyle w:val="NoSpacing"/>
              <w:jc w:val="center"/>
              <w:rPr>
                <w:rFonts w:ascii="Times New Roman" w:hAnsi="Times New Roman" w:cs="Times New Roman"/>
                <w:b/>
                <w:sz w:val="22"/>
                <w:szCs w:val="22"/>
              </w:rPr>
            </w:pPr>
            <w:r w:rsidRPr="00902DFF">
              <w:rPr>
                <w:rFonts w:ascii="Times New Roman" w:hAnsi="Times New Roman" w:cs="Times New Roman"/>
                <w:b/>
                <w:sz w:val="22"/>
                <w:szCs w:val="22"/>
              </w:rPr>
              <w:t>Activity</w:t>
            </w:r>
          </w:p>
          <w:p w:rsidR="00046833" w:rsidRPr="00902DFF" w:rsidRDefault="00046833" w:rsidP="00216E27">
            <w:pPr>
              <w:pStyle w:val="NoSpacing"/>
              <w:jc w:val="center"/>
              <w:rPr>
                <w:rFonts w:ascii="Times New Roman" w:hAnsi="Times New Roman" w:cs="Times New Roman"/>
                <w:b/>
                <w:sz w:val="22"/>
                <w:szCs w:val="22"/>
              </w:rPr>
            </w:pPr>
          </w:p>
        </w:tc>
        <w:tc>
          <w:tcPr>
            <w:tcW w:w="4050" w:type="dxa"/>
            <w:shd w:val="clear" w:color="auto" w:fill="BFBFBF" w:themeFill="background1" w:themeFillShade="BF"/>
          </w:tcPr>
          <w:p w:rsidR="004F399F" w:rsidRPr="00902DFF" w:rsidRDefault="004F399F" w:rsidP="00216E27">
            <w:pPr>
              <w:pStyle w:val="NoSpacing"/>
              <w:jc w:val="center"/>
              <w:rPr>
                <w:rFonts w:ascii="Times New Roman" w:hAnsi="Times New Roman" w:cs="Times New Roman"/>
                <w:b/>
                <w:sz w:val="22"/>
                <w:szCs w:val="22"/>
              </w:rPr>
            </w:pPr>
            <w:r w:rsidRPr="00902DFF">
              <w:rPr>
                <w:rFonts w:ascii="Times New Roman" w:hAnsi="Times New Roman" w:cs="Times New Roman"/>
                <w:b/>
                <w:sz w:val="22"/>
                <w:szCs w:val="22"/>
              </w:rPr>
              <w:t>Time Schedule</w:t>
            </w:r>
          </w:p>
        </w:tc>
      </w:tr>
      <w:tr w:rsidR="00D47065" w:rsidRPr="001D0685" w:rsidTr="00046833">
        <w:tc>
          <w:tcPr>
            <w:tcW w:w="4050" w:type="dxa"/>
          </w:tcPr>
          <w:p w:rsidR="004F399F" w:rsidRPr="00902DFF" w:rsidRDefault="00902DFF" w:rsidP="0083050A">
            <w:pPr>
              <w:pStyle w:val="NoSpacing"/>
              <w:rPr>
                <w:rFonts w:ascii="Times New Roman" w:hAnsi="Times New Roman" w:cs="Times New Roman"/>
                <w:sz w:val="22"/>
                <w:szCs w:val="22"/>
              </w:rPr>
            </w:pPr>
            <w:r w:rsidRPr="00902DFF">
              <w:rPr>
                <w:rFonts w:ascii="Times New Roman" w:hAnsi="Times New Roman" w:cs="Times New Roman"/>
                <w:sz w:val="22"/>
                <w:szCs w:val="22"/>
              </w:rPr>
              <w:t>Begin recruitment for virtual focus groups</w:t>
            </w:r>
            <w:r w:rsidR="004F399F" w:rsidRPr="00902DFF">
              <w:rPr>
                <w:rFonts w:ascii="Times New Roman" w:hAnsi="Times New Roman" w:cs="Times New Roman"/>
                <w:sz w:val="22"/>
                <w:szCs w:val="22"/>
              </w:rPr>
              <w:t xml:space="preserve"> </w:t>
            </w:r>
          </w:p>
        </w:tc>
        <w:tc>
          <w:tcPr>
            <w:tcW w:w="4050" w:type="dxa"/>
          </w:tcPr>
          <w:p w:rsidR="004F399F" w:rsidRPr="00902DFF" w:rsidRDefault="00902DFF" w:rsidP="00902DFF">
            <w:pPr>
              <w:pStyle w:val="NoSpacing"/>
              <w:rPr>
                <w:rFonts w:ascii="Times New Roman" w:hAnsi="Times New Roman" w:cs="Times New Roman"/>
                <w:sz w:val="22"/>
                <w:szCs w:val="22"/>
              </w:rPr>
            </w:pPr>
            <w:r w:rsidRPr="00902DFF">
              <w:rPr>
                <w:rFonts w:ascii="Times New Roman" w:hAnsi="Times New Roman" w:cs="Times New Roman"/>
                <w:sz w:val="22"/>
                <w:szCs w:val="22"/>
              </w:rPr>
              <w:t>Upon</w:t>
            </w:r>
            <w:r w:rsidR="004F399F" w:rsidRPr="00902DFF">
              <w:rPr>
                <w:rFonts w:ascii="Times New Roman" w:hAnsi="Times New Roman" w:cs="Times New Roman"/>
                <w:sz w:val="22"/>
                <w:szCs w:val="22"/>
              </w:rPr>
              <w:t xml:space="preserve"> OMB approval</w:t>
            </w:r>
          </w:p>
        </w:tc>
      </w:tr>
      <w:tr w:rsidR="00D47065" w:rsidRPr="001D0685" w:rsidTr="00046833">
        <w:tc>
          <w:tcPr>
            <w:tcW w:w="4050" w:type="dxa"/>
          </w:tcPr>
          <w:p w:rsidR="004F399F" w:rsidRPr="00902DFF" w:rsidRDefault="00902DFF" w:rsidP="00E06455">
            <w:pPr>
              <w:pStyle w:val="NoSpacing"/>
              <w:rPr>
                <w:rFonts w:ascii="Times New Roman" w:hAnsi="Times New Roman" w:cs="Times New Roman"/>
                <w:sz w:val="22"/>
                <w:szCs w:val="22"/>
              </w:rPr>
            </w:pPr>
            <w:r w:rsidRPr="00902DFF">
              <w:rPr>
                <w:rFonts w:ascii="Times New Roman" w:hAnsi="Times New Roman" w:cs="Times New Roman"/>
                <w:sz w:val="22"/>
                <w:szCs w:val="22"/>
              </w:rPr>
              <w:t>Conduct six virtual focus groups</w:t>
            </w:r>
          </w:p>
        </w:tc>
        <w:tc>
          <w:tcPr>
            <w:tcW w:w="4050" w:type="dxa"/>
          </w:tcPr>
          <w:p w:rsidR="004F399F" w:rsidRPr="00902DFF" w:rsidRDefault="00902DFF" w:rsidP="00E06455">
            <w:pPr>
              <w:pStyle w:val="NoSpacing"/>
              <w:rPr>
                <w:rFonts w:ascii="Times New Roman" w:hAnsi="Times New Roman" w:cs="Times New Roman"/>
                <w:sz w:val="22"/>
                <w:szCs w:val="22"/>
              </w:rPr>
            </w:pPr>
            <w:r w:rsidRPr="00902DFF">
              <w:rPr>
                <w:rFonts w:ascii="Times New Roman" w:hAnsi="Times New Roman" w:cs="Times New Roman"/>
                <w:sz w:val="22"/>
                <w:szCs w:val="22"/>
              </w:rPr>
              <w:t>3</w:t>
            </w:r>
            <w:r w:rsidR="004F399F" w:rsidRPr="00902DFF">
              <w:rPr>
                <w:rFonts w:ascii="Times New Roman" w:hAnsi="Times New Roman" w:cs="Times New Roman"/>
                <w:sz w:val="22"/>
                <w:szCs w:val="22"/>
              </w:rPr>
              <w:t xml:space="preserve"> weeks after OMB approval</w:t>
            </w:r>
          </w:p>
        </w:tc>
      </w:tr>
      <w:tr w:rsidR="00D47065" w:rsidRPr="001D0685" w:rsidTr="00046833">
        <w:tc>
          <w:tcPr>
            <w:tcW w:w="4050" w:type="dxa"/>
          </w:tcPr>
          <w:p w:rsidR="004F399F" w:rsidRPr="00902DFF" w:rsidRDefault="00902DFF" w:rsidP="0005428B">
            <w:pPr>
              <w:pStyle w:val="NoSpacing"/>
              <w:rPr>
                <w:rFonts w:ascii="Times New Roman" w:hAnsi="Times New Roman" w:cs="Times New Roman"/>
                <w:sz w:val="22"/>
                <w:szCs w:val="22"/>
              </w:rPr>
            </w:pPr>
            <w:r w:rsidRPr="00902DFF">
              <w:rPr>
                <w:rFonts w:ascii="Times New Roman" w:hAnsi="Times New Roman" w:cs="Times New Roman"/>
                <w:sz w:val="22"/>
                <w:szCs w:val="22"/>
              </w:rPr>
              <w:t>Conduct follow-up interviews</w:t>
            </w:r>
          </w:p>
        </w:tc>
        <w:tc>
          <w:tcPr>
            <w:tcW w:w="4050" w:type="dxa"/>
          </w:tcPr>
          <w:p w:rsidR="004F399F" w:rsidRPr="00902DFF" w:rsidRDefault="00902DFF" w:rsidP="00E06455">
            <w:pPr>
              <w:pStyle w:val="NoSpacing"/>
              <w:rPr>
                <w:rFonts w:ascii="Times New Roman" w:hAnsi="Times New Roman" w:cs="Times New Roman"/>
                <w:sz w:val="22"/>
                <w:szCs w:val="22"/>
              </w:rPr>
            </w:pPr>
            <w:r w:rsidRPr="00902DFF">
              <w:rPr>
                <w:rFonts w:ascii="Times New Roman" w:hAnsi="Times New Roman" w:cs="Times New Roman"/>
                <w:sz w:val="22"/>
                <w:szCs w:val="22"/>
              </w:rPr>
              <w:t>5</w:t>
            </w:r>
            <w:r w:rsidR="004F399F" w:rsidRPr="00902DFF">
              <w:rPr>
                <w:rFonts w:ascii="Times New Roman" w:hAnsi="Times New Roman" w:cs="Times New Roman"/>
                <w:sz w:val="22"/>
                <w:szCs w:val="22"/>
              </w:rPr>
              <w:t xml:space="preserve"> weeks after OMB approval</w:t>
            </w:r>
          </w:p>
        </w:tc>
      </w:tr>
      <w:tr w:rsidR="00D47065" w:rsidRPr="001D0685" w:rsidTr="00046833">
        <w:tc>
          <w:tcPr>
            <w:tcW w:w="4050" w:type="dxa"/>
          </w:tcPr>
          <w:p w:rsidR="004F399F" w:rsidRPr="00902DFF" w:rsidRDefault="004F399F" w:rsidP="00E06455">
            <w:pPr>
              <w:pStyle w:val="NoSpacing"/>
              <w:rPr>
                <w:rFonts w:ascii="Times New Roman" w:hAnsi="Times New Roman" w:cs="Times New Roman"/>
                <w:sz w:val="22"/>
                <w:szCs w:val="22"/>
              </w:rPr>
            </w:pPr>
            <w:r w:rsidRPr="00902DFF">
              <w:rPr>
                <w:rFonts w:ascii="Times New Roman" w:hAnsi="Times New Roman" w:cs="Times New Roman"/>
                <w:sz w:val="22"/>
                <w:szCs w:val="22"/>
              </w:rPr>
              <w:t>Begin two-week Phase 1 Pre-</w:t>
            </w:r>
            <w:r w:rsidR="0005428B" w:rsidRPr="00902DFF">
              <w:rPr>
                <w:rFonts w:ascii="Times New Roman" w:hAnsi="Times New Roman" w:cs="Times New Roman"/>
                <w:sz w:val="22"/>
                <w:szCs w:val="22"/>
              </w:rPr>
              <w:t>implementa</w:t>
            </w:r>
            <w:r w:rsidRPr="00902DFF">
              <w:rPr>
                <w:rFonts w:ascii="Times New Roman" w:hAnsi="Times New Roman" w:cs="Times New Roman"/>
                <w:sz w:val="22"/>
                <w:szCs w:val="22"/>
              </w:rPr>
              <w:t>tion Survey period</w:t>
            </w:r>
          </w:p>
        </w:tc>
        <w:tc>
          <w:tcPr>
            <w:tcW w:w="4050" w:type="dxa"/>
          </w:tcPr>
          <w:p w:rsidR="004F399F" w:rsidRPr="00902DFF" w:rsidRDefault="004F399F" w:rsidP="00E06455">
            <w:pPr>
              <w:pStyle w:val="NoSpacing"/>
              <w:rPr>
                <w:rFonts w:ascii="Times New Roman" w:hAnsi="Times New Roman" w:cs="Times New Roman"/>
                <w:sz w:val="22"/>
                <w:szCs w:val="22"/>
              </w:rPr>
            </w:pPr>
            <w:r w:rsidRPr="00902DFF">
              <w:rPr>
                <w:rFonts w:ascii="Times New Roman" w:hAnsi="Times New Roman" w:cs="Times New Roman"/>
                <w:sz w:val="22"/>
                <w:szCs w:val="22"/>
              </w:rPr>
              <w:t>5 weeks after OMB approval</w:t>
            </w:r>
          </w:p>
        </w:tc>
      </w:tr>
      <w:tr w:rsidR="00902DFF" w:rsidRPr="001D0685" w:rsidTr="00046833">
        <w:tc>
          <w:tcPr>
            <w:tcW w:w="4050" w:type="dxa"/>
          </w:tcPr>
          <w:p w:rsidR="00902DFF" w:rsidRPr="001D0685" w:rsidRDefault="00902DFF" w:rsidP="000415A0">
            <w:pPr>
              <w:spacing w:after="200" w:line="276" w:lineRule="auto"/>
              <w:rPr>
                <w:rFonts w:ascii="Times New Roman" w:hAnsi="Times New Roman" w:cs="Times New Roman"/>
              </w:rPr>
            </w:pPr>
            <w:r w:rsidRPr="001D0685">
              <w:rPr>
                <w:rFonts w:ascii="Times New Roman" w:hAnsi="Times New Roman" w:cs="Times New Roman"/>
              </w:rPr>
              <w:t>Begin analyzing data and compiling reports</w:t>
            </w:r>
          </w:p>
        </w:tc>
        <w:tc>
          <w:tcPr>
            <w:tcW w:w="4050" w:type="dxa"/>
          </w:tcPr>
          <w:p w:rsidR="00902DFF" w:rsidRPr="001D0685" w:rsidRDefault="00902DFF" w:rsidP="00902DFF">
            <w:pPr>
              <w:spacing w:after="200" w:line="276" w:lineRule="auto"/>
              <w:rPr>
                <w:rFonts w:ascii="Times New Roman" w:hAnsi="Times New Roman" w:cs="Times New Roman"/>
              </w:rPr>
            </w:pPr>
            <w:r>
              <w:rPr>
                <w:rFonts w:ascii="Times New Roman" w:hAnsi="Times New Roman" w:cs="Times New Roman"/>
              </w:rPr>
              <w:t>7 weeks</w:t>
            </w:r>
            <w:r w:rsidRPr="001D0685">
              <w:rPr>
                <w:rFonts w:ascii="Times New Roman" w:hAnsi="Times New Roman" w:cs="Times New Roman"/>
              </w:rPr>
              <w:t xml:space="preserve"> after OMB approval</w:t>
            </w:r>
          </w:p>
        </w:tc>
      </w:tr>
    </w:tbl>
    <w:p w:rsidR="00E33E8F" w:rsidRPr="00BD5A96" w:rsidRDefault="00E33E8F">
      <w:pPr>
        <w:tabs>
          <w:tab w:val="right" w:leader="dot" w:pos="9360"/>
        </w:tabs>
        <w:spacing w:after="0"/>
        <w:rPr>
          <w:rFonts w:ascii="Times New Roman" w:hAnsi="Times New Roman" w:cs="Times New Roman"/>
          <w:sz w:val="24"/>
          <w:szCs w:val="24"/>
        </w:rPr>
      </w:pPr>
    </w:p>
    <w:p w:rsidR="00B12F51" w:rsidRPr="00BD5A96" w:rsidRDefault="00D75750" w:rsidP="00BD5A96">
      <w:pPr>
        <w:pStyle w:val="ListParagraph"/>
        <w:numPr>
          <w:ilvl w:val="0"/>
          <w:numId w:val="40"/>
        </w:numPr>
        <w:rPr>
          <w:rFonts w:ascii="Times New Roman" w:hAnsi="Times New Roman" w:cs="Times New Roman"/>
          <w:b/>
          <w:sz w:val="24"/>
          <w:szCs w:val="24"/>
        </w:rPr>
      </w:pPr>
      <w:r w:rsidRPr="00BD5A96">
        <w:rPr>
          <w:rFonts w:ascii="Times New Roman" w:hAnsi="Times New Roman" w:cs="Times New Roman"/>
          <w:b/>
          <w:bCs/>
          <w:sz w:val="24"/>
          <w:szCs w:val="24"/>
        </w:rPr>
        <w:t xml:space="preserve">Reason(s) Display of OMB Expiration </w:t>
      </w:r>
      <w:r w:rsidRPr="00BD5A96">
        <w:rPr>
          <w:rFonts w:ascii="Times New Roman" w:hAnsi="Times New Roman" w:cs="Times New Roman"/>
          <w:b/>
          <w:sz w:val="24"/>
          <w:szCs w:val="24"/>
        </w:rPr>
        <w:t xml:space="preserve">Date </w:t>
      </w:r>
      <w:r w:rsidRPr="00BD5A96">
        <w:rPr>
          <w:rFonts w:ascii="Times New Roman" w:hAnsi="Times New Roman" w:cs="Times New Roman"/>
          <w:b/>
          <w:bCs/>
          <w:sz w:val="24"/>
          <w:szCs w:val="24"/>
        </w:rPr>
        <w:t>is Inappropriate</w:t>
      </w:r>
    </w:p>
    <w:p w:rsidR="00F52BCC" w:rsidRDefault="00210E9A" w:rsidP="00210E9A">
      <w:pPr>
        <w:tabs>
          <w:tab w:val="left" w:pos="0"/>
        </w:tabs>
        <w:rPr>
          <w:rFonts w:ascii="Times New Roman" w:hAnsi="Times New Roman" w:cs="Times New Roman"/>
          <w:color w:val="000000"/>
          <w:sz w:val="24"/>
          <w:szCs w:val="24"/>
        </w:rPr>
      </w:pPr>
      <w:r w:rsidRPr="00E33E8F">
        <w:rPr>
          <w:rFonts w:ascii="Times New Roman" w:hAnsi="Times New Roman" w:cs="Times New Roman"/>
          <w:color w:val="000000"/>
          <w:sz w:val="24"/>
          <w:szCs w:val="24"/>
        </w:rPr>
        <w:t xml:space="preserve">      </w:t>
      </w:r>
      <w:r w:rsidR="00A37434" w:rsidRPr="00E33E8F">
        <w:rPr>
          <w:rFonts w:ascii="Times New Roman" w:hAnsi="Times New Roman" w:cs="Times New Roman"/>
          <w:color w:val="000000"/>
          <w:sz w:val="24"/>
          <w:szCs w:val="24"/>
        </w:rPr>
        <w:t>The OMB Expiration Date will be displayed.</w:t>
      </w:r>
    </w:p>
    <w:p w:rsidR="00B12F51" w:rsidRPr="001D0685" w:rsidRDefault="00B12F51" w:rsidP="003C07B0">
      <w:pPr>
        <w:pStyle w:val="ListParagraph"/>
        <w:numPr>
          <w:ilvl w:val="0"/>
          <w:numId w:val="40"/>
        </w:numPr>
        <w:spacing w:after="0"/>
        <w:rPr>
          <w:rFonts w:ascii="Times New Roman" w:hAnsi="Times New Roman" w:cs="Times New Roman"/>
          <w:b/>
          <w:sz w:val="24"/>
          <w:szCs w:val="24"/>
        </w:rPr>
      </w:pPr>
      <w:r w:rsidRPr="001D0685">
        <w:rPr>
          <w:rFonts w:ascii="Times New Roman" w:hAnsi="Times New Roman" w:cs="Times New Roman"/>
          <w:b/>
          <w:sz w:val="24"/>
          <w:szCs w:val="24"/>
        </w:rPr>
        <w:lastRenderedPageBreak/>
        <w:t>Exceptions to Certification for Paperwork Reduction Act Submissions</w:t>
      </w:r>
    </w:p>
    <w:p w:rsidR="00E33E8F" w:rsidRDefault="0031279F" w:rsidP="009A7674">
      <w:pPr>
        <w:spacing w:after="0"/>
        <w:ind w:left="345"/>
        <w:rPr>
          <w:rFonts w:ascii="Times New Roman" w:hAnsi="Times New Roman" w:cs="Times New Roman"/>
          <w:b/>
          <w:sz w:val="24"/>
          <w:szCs w:val="24"/>
        </w:rPr>
      </w:pPr>
      <w:r w:rsidRPr="001D0685">
        <w:rPr>
          <w:rFonts w:ascii="Times New Roman" w:hAnsi="Times New Roman" w:cs="Times New Roman"/>
          <w:sz w:val="24"/>
          <w:szCs w:val="24"/>
        </w:rPr>
        <w:t>There are no exceptions to the certification.</w:t>
      </w:r>
      <w:r w:rsidR="00180D45" w:rsidRPr="001D0685">
        <w:rPr>
          <w:rFonts w:ascii="Times New Roman" w:hAnsi="Times New Roman" w:cs="Times New Roman"/>
          <w:sz w:val="24"/>
          <w:szCs w:val="24"/>
        </w:rPr>
        <w:t xml:space="preserve">  These activities comply with the requirements in 5 CFR 1320.9.</w:t>
      </w:r>
      <w:r w:rsidR="00E33E8F">
        <w:rPr>
          <w:rFonts w:ascii="Times New Roman" w:hAnsi="Times New Roman" w:cs="Times New Roman"/>
          <w:b/>
          <w:sz w:val="24"/>
          <w:szCs w:val="24"/>
        </w:rPr>
        <w:br w:type="page"/>
      </w:r>
    </w:p>
    <w:p w:rsidR="00F52BCC" w:rsidRDefault="00C37A8F" w:rsidP="000D51A6">
      <w:pPr>
        <w:spacing w:after="0"/>
        <w:ind w:left="345"/>
        <w:rPr>
          <w:rFonts w:ascii="Times New Roman" w:hAnsi="Times New Roman" w:cs="Times New Roman"/>
          <w:b/>
          <w:sz w:val="24"/>
          <w:szCs w:val="24"/>
        </w:rPr>
      </w:pPr>
      <w:r w:rsidRPr="00902DFF">
        <w:rPr>
          <w:rFonts w:ascii="Times New Roman" w:hAnsi="Times New Roman" w:cs="Times New Roman"/>
          <w:b/>
          <w:sz w:val="24"/>
          <w:szCs w:val="24"/>
        </w:rPr>
        <w:lastRenderedPageBreak/>
        <w:t>References</w:t>
      </w:r>
      <w:r w:rsidR="00902DFF">
        <w:rPr>
          <w:rFonts w:ascii="Times New Roman" w:hAnsi="Times New Roman" w:cs="Times New Roman"/>
          <w:b/>
          <w:sz w:val="24"/>
          <w:szCs w:val="24"/>
        </w:rPr>
        <w:t xml:space="preserve"> </w:t>
      </w:r>
    </w:p>
    <w:p w:rsidR="00902DFF" w:rsidRPr="005A712A" w:rsidRDefault="00902DFF" w:rsidP="00902DFF">
      <w:pPr>
        <w:pStyle w:val="biblio"/>
      </w:pPr>
      <w:r w:rsidRPr="003A4149">
        <w:fldChar w:fldCharType="begin"/>
      </w:r>
      <w:r w:rsidRPr="003A4149">
        <w:instrText xml:space="preserve"> ADDIN EN.REFLIST </w:instrText>
      </w:r>
      <w:r w:rsidRPr="003A4149">
        <w:fldChar w:fldCharType="separate"/>
      </w:r>
      <w:r>
        <w:rPr>
          <w:noProof/>
        </w:rPr>
        <w:t xml:space="preserve">Bercaw, J., Maheshwari, B., &amp; Sangi-Haghpeykar, H. (2010). The use during pregnancy of </w:t>
      </w:r>
      <w:r w:rsidRPr="005A712A">
        <w:t xml:space="preserve">prescription, over-the-counter, and alternative medications among Hispanic women. Birth (Berkeley, Calif.), 37(3), 211-218. </w:t>
      </w:r>
    </w:p>
    <w:p w:rsidR="00902DFF" w:rsidRPr="005A712A" w:rsidRDefault="00902DFF" w:rsidP="00902DFF">
      <w:pPr>
        <w:pStyle w:val="biblio"/>
      </w:pPr>
      <w:r w:rsidRPr="005A712A">
        <w:t>Briggs, G. G., Freeman, R. K., &amp; Yaffe, S. J. (2008). Drugs in Pregnancy and Lactation (8th ed.). Philadelphia, PA: Lippincott Williams &amp; Wilkins.</w:t>
      </w:r>
    </w:p>
    <w:p w:rsidR="00902DFF" w:rsidRPr="005A712A" w:rsidRDefault="00902DFF" w:rsidP="00902DFF">
      <w:pPr>
        <w:pStyle w:val="biblio"/>
      </w:pPr>
      <w:r w:rsidRPr="005A712A">
        <w:t xml:space="preserve">Damase-Michel, C., Christaud, J., Berrebi, A., Lacroix, I., &amp; Montastruc, J. L. (2009). What do pregnant women know about non-steroidal anti-inflammatory drugs? Pharmacoepidemiology and Drug Safety, 18(11), 1034-1038. </w:t>
      </w:r>
    </w:p>
    <w:p w:rsidR="00902DFF" w:rsidRPr="005A712A" w:rsidRDefault="00902DFF" w:rsidP="00902DFF">
      <w:pPr>
        <w:pStyle w:val="biblio"/>
      </w:pPr>
      <w:r w:rsidRPr="005A712A">
        <w:t xml:space="preserve">Eisenberg, D. L., Stika, C., Desai, A., Baker, D., &amp; Yost, K. J. (2010). Providing contraception for women taking potentially teratogenic medications: A survey of internal medicine physicians’ knowledge, attitudes and barriers. Journal of General Internal Medicine, 25(4), 291-297. </w:t>
      </w:r>
    </w:p>
    <w:p w:rsidR="00902DFF" w:rsidRPr="0088416E" w:rsidRDefault="00902DFF" w:rsidP="00902DFF">
      <w:pPr>
        <w:pStyle w:val="ListParagraph"/>
        <w:spacing w:after="0" w:line="240" w:lineRule="auto"/>
        <w:ind w:left="0"/>
        <w:rPr>
          <w:rFonts w:ascii="Times New Roman" w:hAnsi="Times New Roman" w:cs="Times New Roman"/>
          <w:sz w:val="24"/>
          <w:szCs w:val="24"/>
        </w:rPr>
      </w:pPr>
      <w:r w:rsidRPr="0088416E">
        <w:rPr>
          <w:rFonts w:ascii="Times New Roman" w:hAnsi="Times New Roman" w:cs="Times New Roman"/>
          <w:sz w:val="24"/>
          <w:szCs w:val="24"/>
        </w:rPr>
        <w:t>Fisher, B., Rose, N. C., &amp; Carey, J. C. (2008). Principles and practice of teratology for the obstetrician.</w:t>
      </w:r>
      <w:r w:rsidRPr="0088416E">
        <w:rPr>
          <w:rFonts w:ascii="Times New Roman" w:hAnsi="Times New Roman" w:cs="Times New Roman"/>
          <w:iCs/>
          <w:sz w:val="24"/>
          <w:szCs w:val="24"/>
        </w:rPr>
        <w:t xml:space="preserve"> Clinical Obstetrics and Gynecology, 51</w:t>
      </w:r>
      <w:r w:rsidRPr="0088416E">
        <w:rPr>
          <w:rFonts w:ascii="Times New Roman" w:hAnsi="Times New Roman" w:cs="Times New Roman"/>
          <w:sz w:val="24"/>
          <w:szCs w:val="24"/>
        </w:rPr>
        <w:t>(1), 106-118</w:t>
      </w:r>
    </w:p>
    <w:p w:rsidR="00902DFF" w:rsidRPr="0088416E" w:rsidRDefault="00902DFF" w:rsidP="00902DFF">
      <w:pPr>
        <w:pStyle w:val="biblio"/>
      </w:pPr>
      <w:r w:rsidRPr="0088416E">
        <w:t xml:space="preserve">Krueger, &amp; Casey. (2000). </w:t>
      </w:r>
      <w:r w:rsidRPr="0088416E">
        <w:rPr>
          <w:rStyle w:val="fqsothertitle1"/>
        </w:rPr>
        <w:t>Focus Groups. A Practical Guide for Applied Research</w:t>
      </w:r>
      <w:r w:rsidRPr="0088416E">
        <w:t xml:space="preserve"> (3rd Edition). Thousand Oaks, CA: Sage Publications</w:t>
      </w:r>
    </w:p>
    <w:p w:rsidR="00902DFF" w:rsidRPr="005A712A" w:rsidRDefault="00902DFF" w:rsidP="00902DFF">
      <w:pPr>
        <w:pStyle w:val="biblio"/>
      </w:pPr>
      <w:r w:rsidRPr="005A712A">
        <w:t xml:space="preserve">Mashayekhi, S. O., Dilmaghanizadeh, M., Fardiazar, Z., Bamdad-Moghadam, R., &amp; Ghandforoush-Sattari, F. (2009). Study of awareness among pregnant women of the effects of drugs on the fetus and mother in Iran. Health Policy (Amsterdam, Netherlands), 91(1), 89-93. </w:t>
      </w:r>
    </w:p>
    <w:p w:rsidR="00902DFF" w:rsidRPr="005A712A" w:rsidRDefault="00902DFF" w:rsidP="00902DFF">
      <w:pPr>
        <w:pStyle w:val="biblio"/>
      </w:pPr>
      <w:r w:rsidRPr="005A712A">
        <w:t xml:space="preserve">Mitchell, A. A., Gilboa, S. M., Werler, M. M., Kelley, K. E., Louik, C., &amp; Hernández-Díaz, S. (2011). National Birth Defects Prevention Study. Medication use during pregnancy, with particular focus on prescription drugs. American Journal of Obstetrics and Gynecology, 205(1), 51.e51-58. </w:t>
      </w:r>
    </w:p>
    <w:p w:rsidR="00902DFF" w:rsidRPr="005A712A" w:rsidRDefault="00902DFF" w:rsidP="00902DFF">
      <w:pPr>
        <w:pStyle w:val="biblio"/>
      </w:pPr>
      <w:r w:rsidRPr="005A712A">
        <w:t xml:space="preserve">Morgan, M. A., Cragan, J. D., Goldenberg, R. L., Rasmussen, S. A., &amp; Schulkin, J. (2010a). Obstetrician-gynaecologist knowledge of and access to information about the risks of medication use during pregnancy. The Journal of Maternal-Fetal &amp; Neonatal Medicine: The Official Journal of the European Association of Perinatal Medicine, the Federation of Asia and Oceania Perinatal Societies, the International Society of Perinatal Obstetricians, 23(10), 1143-1150. </w:t>
      </w:r>
    </w:p>
    <w:p w:rsidR="00902DFF" w:rsidRPr="005A712A" w:rsidRDefault="00902DFF" w:rsidP="00902DFF">
      <w:pPr>
        <w:pStyle w:val="biblio"/>
      </w:pPr>
      <w:r w:rsidRPr="005A712A">
        <w:t xml:space="preserve">Morgan, M. A., Cragan, J. D., Goldenberg, R. L., Rasmussen, S. A., &amp; Schulkin, J. (2010b). Management of prescription and nonprescription drug use during pregnancy. The Journal of Maternal-Fetal &amp; Neonatal Medicine: The Official Journal of the European Association of Perinatal Medicine, the Federation of Asia and Oceania Perinatal Societies, the International Society of Perinatal Obstetricians, 23(8), 813-819. </w:t>
      </w:r>
    </w:p>
    <w:p w:rsidR="00902DFF" w:rsidRPr="005A712A" w:rsidRDefault="00902DFF" w:rsidP="00902DFF">
      <w:pPr>
        <w:pStyle w:val="biblio"/>
      </w:pPr>
      <w:r w:rsidRPr="005A712A">
        <w:lastRenderedPageBreak/>
        <w:t xml:space="preserve">Nordeng, H., Koren, G., &amp; Einarson, A. (2010a). Pregnant women’s beliefs about medications—a study among 866 Norwegian women. The Annals of Pharmacotherapy, 44(9), 1478-1484. </w:t>
      </w:r>
    </w:p>
    <w:p w:rsidR="00902DFF" w:rsidRPr="005A712A" w:rsidRDefault="00902DFF" w:rsidP="00902DFF">
      <w:pPr>
        <w:pStyle w:val="biblio"/>
      </w:pPr>
      <w:r w:rsidRPr="005A712A">
        <w:t xml:space="preserve">Pashley, S., &amp; O’Donoghue, M. F. (2009). The safety of anti-epileptic drug regimens: A qualitative study of factors determining the success of counselling women before conception. The Journal of Family Planning and Reproductive Health Care/Faculty of Family Planning &amp; Reproductive Health Care, Royal College of Obstetricians &amp; Gynaecologists, 35(3), 153-156. </w:t>
      </w:r>
    </w:p>
    <w:p w:rsidR="00902DFF" w:rsidRDefault="00902DFF" w:rsidP="00902DFF">
      <w:pPr>
        <w:pStyle w:val="biblio"/>
      </w:pPr>
      <w:r w:rsidRPr="005A712A">
        <w:t xml:space="preserve">Santucci, A. K., Gold, M. A., Akers, A. Y., Borrero, S., &amp; Schwarz, E. B. (2010). Women’s perspectives on counseling about risks for medication-induced birth defects. Birth Defects Research. Part A. Clinical and Molecular Teratology, 88(1), 64-69. </w:t>
      </w:r>
    </w:p>
    <w:p w:rsidR="00902DFF" w:rsidRPr="00C8381F" w:rsidRDefault="00902DFF" w:rsidP="00902DFF">
      <w:pPr>
        <w:pStyle w:val="ListParagraph"/>
        <w:spacing w:after="0" w:line="240" w:lineRule="auto"/>
        <w:ind w:hanging="720"/>
        <w:rPr>
          <w:rFonts w:ascii="Times New Roman" w:hAnsi="Times New Roman" w:cs="Times New Roman"/>
          <w:sz w:val="24"/>
          <w:szCs w:val="24"/>
        </w:rPr>
      </w:pPr>
      <w:r w:rsidRPr="00C8381F">
        <w:rPr>
          <w:rFonts w:ascii="Times New Roman" w:hAnsi="Times New Roman" w:cs="Times New Roman"/>
          <w:sz w:val="24"/>
          <w:szCs w:val="24"/>
        </w:rPr>
        <w:t xml:space="preserve">Schwarz, E. B., Santucci, A., Borrero, S., Akers, A. Y., Nikolajski, C., et al. (2009). Perspectives of primary care clinicians on teratogenic risk counseling. </w:t>
      </w:r>
      <w:r w:rsidRPr="00C8381F">
        <w:rPr>
          <w:rFonts w:ascii="Times New Roman" w:hAnsi="Times New Roman" w:cs="Times New Roman"/>
          <w:i/>
          <w:sz w:val="24"/>
          <w:szCs w:val="24"/>
        </w:rPr>
        <w:t>Birth Defects Research. Part A, Clinical and Molecular Teratology</w:t>
      </w:r>
      <w:r w:rsidRPr="00C8381F">
        <w:rPr>
          <w:rFonts w:ascii="Times New Roman" w:hAnsi="Times New Roman" w:cs="Times New Roman"/>
          <w:sz w:val="24"/>
          <w:szCs w:val="24"/>
        </w:rPr>
        <w:t xml:space="preserve">, 85(10), 858-863. </w:t>
      </w:r>
    </w:p>
    <w:p w:rsidR="00902DFF" w:rsidRDefault="00902DFF" w:rsidP="00902DFF">
      <w:pPr>
        <w:pStyle w:val="biblio"/>
        <w:rPr>
          <w:noProof/>
        </w:rPr>
      </w:pPr>
    </w:p>
    <w:p w:rsidR="00902DFF" w:rsidRPr="001D0685" w:rsidRDefault="00902DFF" w:rsidP="00902DFF">
      <w:pPr>
        <w:spacing w:after="0"/>
        <w:ind w:left="345"/>
        <w:rPr>
          <w:rFonts w:ascii="Times New Roman" w:hAnsi="Times New Roman" w:cs="Times New Roman"/>
          <w:b/>
          <w:sz w:val="24"/>
          <w:szCs w:val="24"/>
        </w:rPr>
      </w:pPr>
      <w:r w:rsidRPr="003A4149">
        <w:fldChar w:fldCharType="end"/>
      </w:r>
    </w:p>
    <w:p w:rsidR="00C37A8F" w:rsidRPr="001D0685" w:rsidRDefault="00C37A8F" w:rsidP="009849B6">
      <w:pPr>
        <w:pStyle w:val="ListParagraph"/>
        <w:spacing w:after="0"/>
        <w:jc w:val="center"/>
        <w:rPr>
          <w:rFonts w:asciiTheme="majorHAnsi" w:hAnsiTheme="majorHAnsi"/>
          <w:sz w:val="24"/>
          <w:szCs w:val="24"/>
        </w:rPr>
      </w:pPr>
    </w:p>
    <w:p w:rsidR="00C37A8F" w:rsidRPr="009849B6" w:rsidRDefault="00C37A8F" w:rsidP="009849B6">
      <w:pPr>
        <w:spacing w:after="0"/>
        <w:rPr>
          <w:rFonts w:asciiTheme="majorHAnsi" w:hAnsiTheme="majorHAnsi"/>
          <w:sz w:val="24"/>
          <w:szCs w:val="24"/>
        </w:rPr>
      </w:pPr>
    </w:p>
    <w:sectPr w:rsidR="00C37A8F" w:rsidRPr="009849B6" w:rsidSect="00590A9A">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DA" w:rsidRDefault="007522DA" w:rsidP="00716F94">
      <w:pPr>
        <w:spacing w:after="0" w:line="240" w:lineRule="auto"/>
      </w:pPr>
      <w:r>
        <w:separator/>
      </w:r>
    </w:p>
  </w:endnote>
  <w:endnote w:type="continuationSeparator" w:id="0">
    <w:p w:rsidR="007522DA" w:rsidRDefault="007522DA"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17463"/>
      <w:docPartObj>
        <w:docPartGallery w:val="Page Numbers (Bottom of Page)"/>
        <w:docPartUnique/>
      </w:docPartObj>
    </w:sdtPr>
    <w:sdtContent>
      <w:sdt>
        <w:sdtPr>
          <w:id w:val="1126497487"/>
          <w:docPartObj>
            <w:docPartGallery w:val="Page Numbers (Top of Page)"/>
            <w:docPartUnique/>
          </w:docPartObj>
        </w:sdtPr>
        <w:sdtContent>
          <w:p w:rsidR="007522DA" w:rsidRDefault="007522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1CE1">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1CE1">
              <w:rPr>
                <w:b/>
                <w:bCs/>
                <w:noProof/>
              </w:rPr>
              <w:t>23</w:t>
            </w:r>
            <w:r>
              <w:rPr>
                <w:b/>
                <w:bCs/>
                <w:sz w:val="24"/>
                <w:szCs w:val="24"/>
              </w:rPr>
              <w:fldChar w:fldCharType="end"/>
            </w:r>
          </w:p>
        </w:sdtContent>
      </w:sdt>
    </w:sdtContent>
  </w:sdt>
  <w:p w:rsidR="007522DA" w:rsidRDefault="00752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97757"/>
      <w:docPartObj>
        <w:docPartGallery w:val="Page Numbers (Bottom of Page)"/>
        <w:docPartUnique/>
      </w:docPartObj>
    </w:sdtPr>
    <w:sdtContent>
      <w:sdt>
        <w:sdtPr>
          <w:id w:val="-1287202761"/>
          <w:docPartObj>
            <w:docPartGallery w:val="Page Numbers (Top of Page)"/>
            <w:docPartUnique/>
          </w:docPartObj>
        </w:sdtPr>
        <w:sdtContent>
          <w:p w:rsidR="007522DA" w:rsidRDefault="007522D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1CE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1CE1">
              <w:rPr>
                <w:b/>
                <w:bCs/>
                <w:noProof/>
              </w:rPr>
              <w:t>23</w:t>
            </w:r>
            <w:r>
              <w:rPr>
                <w:b/>
                <w:bCs/>
                <w:sz w:val="24"/>
                <w:szCs w:val="24"/>
              </w:rPr>
              <w:fldChar w:fldCharType="end"/>
            </w:r>
          </w:p>
        </w:sdtContent>
      </w:sdt>
    </w:sdtContent>
  </w:sdt>
  <w:p w:rsidR="007522DA" w:rsidRDefault="00752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DA" w:rsidRDefault="007522DA" w:rsidP="00716F94">
      <w:pPr>
        <w:spacing w:after="0" w:line="240" w:lineRule="auto"/>
      </w:pPr>
      <w:r>
        <w:separator/>
      </w:r>
    </w:p>
  </w:footnote>
  <w:footnote w:type="continuationSeparator" w:id="0">
    <w:p w:rsidR="007522DA" w:rsidRDefault="007522DA"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DA" w:rsidRPr="00716F94" w:rsidRDefault="007522DA"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F0152"/>
    <w:multiLevelType w:val="hybridMultilevel"/>
    <w:tmpl w:val="A726FF6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B12F7"/>
    <w:multiLevelType w:val="hybridMultilevel"/>
    <w:tmpl w:val="5EB2604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12A90607"/>
    <w:multiLevelType w:val="hybridMultilevel"/>
    <w:tmpl w:val="DD5C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ED0C9B"/>
    <w:multiLevelType w:val="hybridMultilevel"/>
    <w:tmpl w:val="741E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46E08"/>
    <w:multiLevelType w:val="hybridMultilevel"/>
    <w:tmpl w:val="063A43C6"/>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BF00D61"/>
    <w:multiLevelType w:val="hybridMultilevel"/>
    <w:tmpl w:val="C524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620B8A"/>
    <w:multiLevelType w:val="hybridMultilevel"/>
    <w:tmpl w:val="D4F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A57E48"/>
    <w:multiLevelType w:val="hybridMultilevel"/>
    <w:tmpl w:val="2A4AA36E"/>
    <w:lvl w:ilvl="0" w:tplc="3772705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B71C1B"/>
    <w:multiLevelType w:val="hybridMultilevel"/>
    <w:tmpl w:val="E25A5270"/>
    <w:lvl w:ilvl="0" w:tplc="0409000F">
      <w:start w:val="1"/>
      <w:numFmt w:val="decimal"/>
      <w:lvlText w:val="%1."/>
      <w:lvlJc w:val="left"/>
      <w:pPr>
        <w:ind w:left="2100" w:hanging="360"/>
      </w:pPr>
      <w:rPr>
        <w:rFont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521205"/>
    <w:multiLevelType w:val="hybridMultilevel"/>
    <w:tmpl w:val="F16EA2E0"/>
    <w:lvl w:ilvl="0" w:tplc="0FFA37C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E941BF"/>
    <w:multiLevelType w:val="hybridMultilevel"/>
    <w:tmpl w:val="030ADF5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2E0403E8"/>
    <w:multiLevelType w:val="hybridMultilevel"/>
    <w:tmpl w:val="F4EEF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C97084"/>
    <w:multiLevelType w:val="hybridMultilevel"/>
    <w:tmpl w:val="BE648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D062F"/>
    <w:multiLevelType w:val="hybridMultilevel"/>
    <w:tmpl w:val="EEB07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640054"/>
    <w:multiLevelType w:val="hybridMultilevel"/>
    <w:tmpl w:val="F654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897322"/>
    <w:multiLevelType w:val="hybridMultilevel"/>
    <w:tmpl w:val="B45CB738"/>
    <w:lvl w:ilvl="0" w:tplc="79F2D7DC">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F751CF2"/>
    <w:multiLevelType w:val="hybridMultilevel"/>
    <w:tmpl w:val="31CEF1F2"/>
    <w:lvl w:ilvl="0" w:tplc="C39E1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49777D"/>
    <w:multiLevelType w:val="hybridMultilevel"/>
    <w:tmpl w:val="6FE4F7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44651321"/>
    <w:multiLevelType w:val="hybridMultilevel"/>
    <w:tmpl w:val="D390C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50A44EA"/>
    <w:multiLevelType w:val="hybridMultilevel"/>
    <w:tmpl w:val="8B4EC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5EA75EA"/>
    <w:multiLevelType w:val="hybridMultilevel"/>
    <w:tmpl w:val="DA94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69463A4"/>
    <w:multiLevelType w:val="hybridMultilevel"/>
    <w:tmpl w:val="FFACEDCA"/>
    <w:lvl w:ilvl="0" w:tplc="668C9A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7F1222D"/>
    <w:multiLevelType w:val="hybridMultilevel"/>
    <w:tmpl w:val="9D8E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465644"/>
    <w:multiLevelType w:val="hybridMultilevel"/>
    <w:tmpl w:val="93D83204"/>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9">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49241C"/>
    <w:multiLevelType w:val="hybridMultilevel"/>
    <w:tmpl w:val="F23C868C"/>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60FB362F"/>
    <w:multiLevelType w:val="hybridMultilevel"/>
    <w:tmpl w:val="D1EAB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1A37AEB"/>
    <w:multiLevelType w:val="hybridMultilevel"/>
    <w:tmpl w:val="C3644ECA"/>
    <w:lvl w:ilvl="0" w:tplc="7C101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0E24A5"/>
    <w:multiLevelType w:val="hybridMultilevel"/>
    <w:tmpl w:val="190062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7329CE"/>
    <w:multiLevelType w:val="hybridMultilevel"/>
    <w:tmpl w:val="55B8FACC"/>
    <w:lvl w:ilvl="0" w:tplc="E764A9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13D0D65"/>
    <w:multiLevelType w:val="hybridMultilevel"/>
    <w:tmpl w:val="3064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37025E"/>
    <w:multiLevelType w:val="hybridMultilevel"/>
    <w:tmpl w:val="EA56A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564687"/>
    <w:multiLevelType w:val="hybridMultilevel"/>
    <w:tmpl w:val="D788181C"/>
    <w:lvl w:ilvl="0" w:tplc="60621A3C">
      <w:start w:val="1"/>
      <w:numFmt w:val="bullet"/>
      <w:pStyle w:val="TableBulletLM"/>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C714D4"/>
    <w:multiLevelType w:val="hybridMultilevel"/>
    <w:tmpl w:val="62FE4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E154E0B"/>
    <w:multiLevelType w:val="hybridMultilevel"/>
    <w:tmpl w:val="9EC6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55"/>
  </w:num>
  <w:num w:numId="4">
    <w:abstractNumId w:val="20"/>
  </w:num>
  <w:num w:numId="5">
    <w:abstractNumId w:val="38"/>
  </w:num>
  <w:num w:numId="6">
    <w:abstractNumId w:val="13"/>
  </w:num>
  <w:num w:numId="7">
    <w:abstractNumId w:val="0"/>
  </w:num>
  <w:num w:numId="8">
    <w:abstractNumId w:val="5"/>
  </w:num>
  <w:num w:numId="9">
    <w:abstractNumId w:val="19"/>
  </w:num>
  <w:num w:numId="10">
    <w:abstractNumId w:val="41"/>
  </w:num>
  <w:num w:numId="11">
    <w:abstractNumId w:val="2"/>
  </w:num>
  <w:num w:numId="12">
    <w:abstractNumId w:val="53"/>
  </w:num>
  <w:num w:numId="13">
    <w:abstractNumId w:val="9"/>
  </w:num>
  <w:num w:numId="14">
    <w:abstractNumId w:val="3"/>
  </w:num>
  <w:num w:numId="15">
    <w:abstractNumId w:val="46"/>
  </w:num>
  <w:num w:numId="16">
    <w:abstractNumId w:val="48"/>
  </w:num>
  <w:num w:numId="17">
    <w:abstractNumId w:val="51"/>
  </w:num>
  <w:num w:numId="18">
    <w:abstractNumId w:val="24"/>
  </w:num>
  <w:num w:numId="19">
    <w:abstractNumId w:val="58"/>
  </w:num>
  <w:num w:numId="20">
    <w:abstractNumId w:val="40"/>
  </w:num>
  <w:num w:numId="21">
    <w:abstractNumId w:val="43"/>
  </w:num>
  <w:num w:numId="22">
    <w:abstractNumId w:val="39"/>
  </w:num>
  <w:num w:numId="23">
    <w:abstractNumId w:val="6"/>
  </w:num>
  <w:num w:numId="24">
    <w:abstractNumId w:val="21"/>
  </w:num>
  <w:num w:numId="25">
    <w:abstractNumId w:val="45"/>
  </w:num>
  <w:num w:numId="26">
    <w:abstractNumId w:val="29"/>
  </w:num>
  <w:num w:numId="27">
    <w:abstractNumId w:val="35"/>
  </w:num>
  <w:num w:numId="28">
    <w:abstractNumId w:val="49"/>
  </w:num>
  <w:num w:numId="29">
    <w:abstractNumId w:val="42"/>
  </w:num>
  <w:num w:numId="30">
    <w:abstractNumId w:val="44"/>
  </w:num>
  <w:num w:numId="31">
    <w:abstractNumId w:val="52"/>
  </w:num>
  <w:num w:numId="32">
    <w:abstractNumId w:val="33"/>
  </w:num>
  <w:num w:numId="33">
    <w:abstractNumId w:val="26"/>
  </w:num>
  <w:num w:numId="34">
    <w:abstractNumId w:val="34"/>
  </w:num>
  <w:num w:numId="35">
    <w:abstractNumId w:val="28"/>
  </w:num>
  <w:num w:numId="36">
    <w:abstractNumId w:val="4"/>
  </w:num>
  <w:num w:numId="37">
    <w:abstractNumId w:val="31"/>
  </w:num>
  <w:num w:numId="38">
    <w:abstractNumId w:val="23"/>
  </w:num>
  <w:num w:numId="39">
    <w:abstractNumId w:val="32"/>
  </w:num>
  <w:num w:numId="40">
    <w:abstractNumId w:val="47"/>
  </w:num>
  <w:num w:numId="41">
    <w:abstractNumId w:val="56"/>
  </w:num>
  <w:num w:numId="42">
    <w:abstractNumId w:val="15"/>
  </w:num>
  <w:num w:numId="43">
    <w:abstractNumId w:val="10"/>
  </w:num>
  <w:num w:numId="44">
    <w:abstractNumId w:val="36"/>
  </w:num>
  <w:num w:numId="45">
    <w:abstractNumId w:val="11"/>
  </w:num>
  <w:num w:numId="46">
    <w:abstractNumId w:val="22"/>
  </w:num>
  <w:num w:numId="47">
    <w:abstractNumId w:val="7"/>
  </w:num>
  <w:num w:numId="48">
    <w:abstractNumId w:val="37"/>
  </w:num>
  <w:num w:numId="49">
    <w:abstractNumId w:val="18"/>
  </w:num>
  <w:num w:numId="50">
    <w:abstractNumId w:val="14"/>
  </w:num>
  <w:num w:numId="51">
    <w:abstractNumId w:val="8"/>
  </w:num>
  <w:num w:numId="52">
    <w:abstractNumId w:val="50"/>
  </w:num>
  <w:num w:numId="53">
    <w:abstractNumId w:val="30"/>
  </w:num>
  <w:num w:numId="54">
    <w:abstractNumId w:val="12"/>
  </w:num>
  <w:num w:numId="55">
    <w:abstractNumId w:val="54"/>
  </w:num>
  <w:num w:numId="56">
    <w:abstractNumId w:val="57"/>
  </w:num>
  <w:num w:numId="57">
    <w:abstractNumId w:val="27"/>
  </w:num>
  <w:num w:numId="58">
    <w:abstractNumId w:val="17"/>
  </w:num>
  <w:num w:numId="59">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6D0"/>
    <w:rsid w:val="000065E9"/>
    <w:rsid w:val="0000714A"/>
    <w:rsid w:val="00011A98"/>
    <w:rsid w:val="00011F8D"/>
    <w:rsid w:val="000130B4"/>
    <w:rsid w:val="00014361"/>
    <w:rsid w:val="000173FA"/>
    <w:rsid w:val="00020D30"/>
    <w:rsid w:val="00022DAA"/>
    <w:rsid w:val="00024BB5"/>
    <w:rsid w:val="00030E29"/>
    <w:rsid w:val="000415A0"/>
    <w:rsid w:val="00041D39"/>
    <w:rsid w:val="0004247C"/>
    <w:rsid w:val="00044629"/>
    <w:rsid w:val="00046833"/>
    <w:rsid w:val="000474FB"/>
    <w:rsid w:val="00050F45"/>
    <w:rsid w:val="00053A92"/>
    <w:rsid w:val="0005428B"/>
    <w:rsid w:val="00054839"/>
    <w:rsid w:val="000551B7"/>
    <w:rsid w:val="00055A33"/>
    <w:rsid w:val="00055DB4"/>
    <w:rsid w:val="00056023"/>
    <w:rsid w:val="00056380"/>
    <w:rsid w:val="00057F36"/>
    <w:rsid w:val="0006153B"/>
    <w:rsid w:val="0006515E"/>
    <w:rsid w:val="00065814"/>
    <w:rsid w:val="00065900"/>
    <w:rsid w:val="00071CD9"/>
    <w:rsid w:val="00072AE7"/>
    <w:rsid w:val="000734FA"/>
    <w:rsid w:val="00073644"/>
    <w:rsid w:val="00076772"/>
    <w:rsid w:val="00087D25"/>
    <w:rsid w:val="00090804"/>
    <w:rsid w:val="00090CA4"/>
    <w:rsid w:val="00091850"/>
    <w:rsid w:val="00093AC5"/>
    <w:rsid w:val="000A1F30"/>
    <w:rsid w:val="000A2893"/>
    <w:rsid w:val="000A71DF"/>
    <w:rsid w:val="000B0962"/>
    <w:rsid w:val="000B2CBC"/>
    <w:rsid w:val="000B5106"/>
    <w:rsid w:val="000B556B"/>
    <w:rsid w:val="000C2088"/>
    <w:rsid w:val="000C3305"/>
    <w:rsid w:val="000C3CB8"/>
    <w:rsid w:val="000C5C2E"/>
    <w:rsid w:val="000D18A4"/>
    <w:rsid w:val="000D3157"/>
    <w:rsid w:val="000D4ACA"/>
    <w:rsid w:val="000D51A6"/>
    <w:rsid w:val="000D51EF"/>
    <w:rsid w:val="000E6577"/>
    <w:rsid w:val="000E7A19"/>
    <w:rsid w:val="000F5407"/>
    <w:rsid w:val="0010418F"/>
    <w:rsid w:val="00104A1B"/>
    <w:rsid w:val="00106E1E"/>
    <w:rsid w:val="00111EB2"/>
    <w:rsid w:val="00114018"/>
    <w:rsid w:val="001150F3"/>
    <w:rsid w:val="00115433"/>
    <w:rsid w:val="001155D4"/>
    <w:rsid w:val="00115A1D"/>
    <w:rsid w:val="00115E18"/>
    <w:rsid w:val="00116EA5"/>
    <w:rsid w:val="001177DD"/>
    <w:rsid w:val="001246E2"/>
    <w:rsid w:val="00126FF1"/>
    <w:rsid w:val="00135334"/>
    <w:rsid w:val="00135462"/>
    <w:rsid w:val="0013658A"/>
    <w:rsid w:val="001412D4"/>
    <w:rsid w:val="00144F64"/>
    <w:rsid w:val="00145D62"/>
    <w:rsid w:val="00146A17"/>
    <w:rsid w:val="00151567"/>
    <w:rsid w:val="00153098"/>
    <w:rsid w:val="00154DA4"/>
    <w:rsid w:val="00155280"/>
    <w:rsid w:val="00155E41"/>
    <w:rsid w:val="00163879"/>
    <w:rsid w:val="00163E17"/>
    <w:rsid w:val="00166208"/>
    <w:rsid w:val="00166F9E"/>
    <w:rsid w:val="00167621"/>
    <w:rsid w:val="0016770F"/>
    <w:rsid w:val="00167880"/>
    <w:rsid w:val="00180D45"/>
    <w:rsid w:val="00180EB0"/>
    <w:rsid w:val="00187870"/>
    <w:rsid w:val="0018790B"/>
    <w:rsid w:val="00187A27"/>
    <w:rsid w:val="00187D5A"/>
    <w:rsid w:val="001909E5"/>
    <w:rsid w:val="00190D68"/>
    <w:rsid w:val="00191686"/>
    <w:rsid w:val="00191DC4"/>
    <w:rsid w:val="0019294A"/>
    <w:rsid w:val="00193549"/>
    <w:rsid w:val="001972D7"/>
    <w:rsid w:val="001A033D"/>
    <w:rsid w:val="001A0C8D"/>
    <w:rsid w:val="001A28F6"/>
    <w:rsid w:val="001A7F42"/>
    <w:rsid w:val="001B12E6"/>
    <w:rsid w:val="001B2831"/>
    <w:rsid w:val="001B4065"/>
    <w:rsid w:val="001B43C9"/>
    <w:rsid w:val="001B589D"/>
    <w:rsid w:val="001B59F5"/>
    <w:rsid w:val="001B713C"/>
    <w:rsid w:val="001C0493"/>
    <w:rsid w:val="001C1CE1"/>
    <w:rsid w:val="001C2168"/>
    <w:rsid w:val="001C28AD"/>
    <w:rsid w:val="001C52ED"/>
    <w:rsid w:val="001D0685"/>
    <w:rsid w:val="001D3BD2"/>
    <w:rsid w:val="001D5EFE"/>
    <w:rsid w:val="001D6B01"/>
    <w:rsid w:val="001D6E95"/>
    <w:rsid w:val="001D7FCB"/>
    <w:rsid w:val="001E082A"/>
    <w:rsid w:val="001E10C0"/>
    <w:rsid w:val="001E2B99"/>
    <w:rsid w:val="001E69B6"/>
    <w:rsid w:val="001E6EB5"/>
    <w:rsid w:val="001E776C"/>
    <w:rsid w:val="001F136C"/>
    <w:rsid w:val="001F1959"/>
    <w:rsid w:val="001F4DBB"/>
    <w:rsid w:val="001F5DE7"/>
    <w:rsid w:val="001F644F"/>
    <w:rsid w:val="001F6D67"/>
    <w:rsid w:val="00202D07"/>
    <w:rsid w:val="0020312D"/>
    <w:rsid w:val="00205727"/>
    <w:rsid w:val="0020622C"/>
    <w:rsid w:val="00206E33"/>
    <w:rsid w:val="00210519"/>
    <w:rsid w:val="00210E9A"/>
    <w:rsid w:val="002118D6"/>
    <w:rsid w:val="00212F39"/>
    <w:rsid w:val="0021514B"/>
    <w:rsid w:val="00216E27"/>
    <w:rsid w:val="002202BD"/>
    <w:rsid w:val="00221192"/>
    <w:rsid w:val="0022336A"/>
    <w:rsid w:val="00225772"/>
    <w:rsid w:val="00225EC3"/>
    <w:rsid w:val="00226C64"/>
    <w:rsid w:val="00226E7D"/>
    <w:rsid w:val="00227259"/>
    <w:rsid w:val="00227C5C"/>
    <w:rsid w:val="00241B17"/>
    <w:rsid w:val="00241C81"/>
    <w:rsid w:val="00242F2F"/>
    <w:rsid w:val="002440FE"/>
    <w:rsid w:val="0024700E"/>
    <w:rsid w:val="00253052"/>
    <w:rsid w:val="00253C2F"/>
    <w:rsid w:val="00254886"/>
    <w:rsid w:val="00255671"/>
    <w:rsid w:val="002569FA"/>
    <w:rsid w:val="00256C7D"/>
    <w:rsid w:val="00257A1C"/>
    <w:rsid w:val="00262E2C"/>
    <w:rsid w:val="00266AC3"/>
    <w:rsid w:val="002672AB"/>
    <w:rsid w:val="0027234C"/>
    <w:rsid w:val="002734E3"/>
    <w:rsid w:val="0027453B"/>
    <w:rsid w:val="002802EB"/>
    <w:rsid w:val="00280847"/>
    <w:rsid w:val="00281017"/>
    <w:rsid w:val="00281795"/>
    <w:rsid w:val="00282AD9"/>
    <w:rsid w:val="00283413"/>
    <w:rsid w:val="00283D60"/>
    <w:rsid w:val="00284E35"/>
    <w:rsid w:val="002850E3"/>
    <w:rsid w:val="0028510A"/>
    <w:rsid w:val="002864F5"/>
    <w:rsid w:val="00287E2F"/>
    <w:rsid w:val="002925C7"/>
    <w:rsid w:val="002A09EE"/>
    <w:rsid w:val="002A1948"/>
    <w:rsid w:val="002A4120"/>
    <w:rsid w:val="002A74B8"/>
    <w:rsid w:val="002B5F52"/>
    <w:rsid w:val="002B61DE"/>
    <w:rsid w:val="002B6877"/>
    <w:rsid w:val="002C0877"/>
    <w:rsid w:val="002C0C77"/>
    <w:rsid w:val="002C2745"/>
    <w:rsid w:val="002C2AE2"/>
    <w:rsid w:val="002C5C3F"/>
    <w:rsid w:val="002C751A"/>
    <w:rsid w:val="002D0DCE"/>
    <w:rsid w:val="002D1724"/>
    <w:rsid w:val="002D34A7"/>
    <w:rsid w:val="002E0B73"/>
    <w:rsid w:val="002E2A76"/>
    <w:rsid w:val="002E2B10"/>
    <w:rsid w:val="002E466E"/>
    <w:rsid w:val="002E4B59"/>
    <w:rsid w:val="002E628D"/>
    <w:rsid w:val="002E6AF7"/>
    <w:rsid w:val="002E73B0"/>
    <w:rsid w:val="002E7503"/>
    <w:rsid w:val="002F1502"/>
    <w:rsid w:val="002F1535"/>
    <w:rsid w:val="002F1F48"/>
    <w:rsid w:val="002F2069"/>
    <w:rsid w:val="002F357D"/>
    <w:rsid w:val="002F5580"/>
    <w:rsid w:val="002F5853"/>
    <w:rsid w:val="002F71A2"/>
    <w:rsid w:val="002F78D7"/>
    <w:rsid w:val="002F7B91"/>
    <w:rsid w:val="00301459"/>
    <w:rsid w:val="00302305"/>
    <w:rsid w:val="003030A9"/>
    <w:rsid w:val="00304105"/>
    <w:rsid w:val="003041AD"/>
    <w:rsid w:val="0030611E"/>
    <w:rsid w:val="003101EB"/>
    <w:rsid w:val="003115B7"/>
    <w:rsid w:val="0031279F"/>
    <w:rsid w:val="00313504"/>
    <w:rsid w:val="00316F00"/>
    <w:rsid w:val="003208B3"/>
    <w:rsid w:val="00321B51"/>
    <w:rsid w:val="00323E36"/>
    <w:rsid w:val="00324279"/>
    <w:rsid w:val="00336D96"/>
    <w:rsid w:val="00342FCB"/>
    <w:rsid w:val="00343D82"/>
    <w:rsid w:val="00344F07"/>
    <w:rsid w:val="00346617"/>
    <w:rsid w:val="003469C8"/>
    <w:rsid w:val="003473F0"/>
    <w:rsid w:val="003475DA"/>
    <w:rsid w:val="00350907"/>
    <w:rsid w:val="00350C8C"/>
    <w:rsid w:val="00351B47"/>
    <w:rsid w:val="00353554"/>
    <w:rsid w:val="0035469B"/>
    <w:rsid w:val="0035540B"/>
    <w:rsid w:val="00355EA4"/>
    <w:rsid w:val="003613FF"/>
    <w:rsid w:val="003635BE"/>
    <w:rsid w:val="00363DF7"/>
    <w:rsid w:val="00364B97"/>
    <w:rsid w:val="00366B5E"/>
    <w:rsid w:val="00370241"/>
    <w:rsid w:val="00371112"/>
    <w:rsid w:val="00373179"/>
    <w:rsid w:val="00374FD4"/>
    <w:rsid w:val="003754E3"/>
    <w:rsid w:val="003770F8"/>
    <w:rsid w:val="0038139C"/>
    <w:rsid w:val="0038533E"/>
    <w:rsid w:val="00385BB5"/>
    <w:rsid w:val="00386BC2"/>
    <w:rsid w:val="00386D2E"/>
    <w:rsid w:val="0039069E"/>
    <w:rsid w:val="00397E91"/>
    <w:rsid w:val="003B0E20"/>
    <w:rsid w:val="003B1121"/>
    <w:rsid w:val="003B125E"/>
    <w:rsid w:val="003B1AB1"/>
    <w:rsid w:val="003B23D6"/>
    <w:rsid w:val="003B4354"/>
    <w:rsid w:val="003B6359"/>
    <w:rsid w:val="003B6EA7"/>
    <w:rsid w:val="003B7A8F"/>
    <w:rsid w:val="003C07B0"/>
    <w:rsid w:val="003C08B7"/>
    <w:rsid w:val="003C104E"/>
    <w:rsid w:val="003C31C9"/>
    <w:rsid w:val="003C4806"/>
    <w:rsid w:val="003C4961"/>
    <w:rsid w:val="003C4CCC"/>
    <w:rsid w:val="003C6ABD"/>
    <w:rsid w:val="003C7428"/>
    <w:rsid w:val="003C7C5D"/>
    <w:rsid w:val="003D0AD2"/>
    <w:rsid w:val="003D2FA0"/>
    <w:rsid w:val="003D3A90"/>
    <w:rsid w:val="003D524C"/>
    <w:rsid w:val="003D7C75"/>
    <w:rsid w:val="003E3D6D"/>
    <w:rsid w:val="003E3E63"/>
    <w:rsid w:val="003E3F87"/>
    <w:rsid w:val="003E4F40"/>
    <w:rsid w:val="003E514C"/>
    <w:rsid w:val="003E7745"/>
    <w:rsid w:val="003F0627"/>
    <w:rsid w:val="003F2E35"/>
    <w:rsid w:val="003F4C64"/>
    <w:rsid w:val="003F4E90"/>
    <w:rsid w:val="003F5913"/>
    <w:rsid w:val="003F6790"/>
    <w:rsid w:val="003F6C47"/>
    <w:rsid w:val="00400453"/>
    <w:rsid w:val="00401B8A"/>
    <w:rsid w:val="004024F8"/>
    <w:rsid w:val="00405696"/>
    <w:rsid w:val="004059C6"/>
    <w:rsid w:val="0041035E"/>
    <w:rsid w:val="0041159A"/>
    <w:rsid w:val="00412667"/>
    <w:rsid w:val="00412E3A"/>
    <w:rsid w:val="00414B2E"/>
    <w:rsid w:val="00421F8C"/>
    <w:rsid w:val="00422813"/>
    <w:rsid w:val="00422F55"/>
    <w:rsid w:val="004252E1"/>
    <w:rsid w:val="004257D5"/>
    <w:rsid w:val="00425FE3"/>
    <w:rsid w:val="004305A8"/>
    <w:rsid w:val="004325F4"/>
    <w:rsid w:val="004351E8"/>
    <w:rsid w:val="004353D5"/>
    <w:rsid w:val="00435FB7"/>
    <w:rsid w:val="004417D5"/>
    <w:rsid w:val="00442769"/>
    <w:rsid w:val="00443444"/>
    <w:rsid w:val="00443CA0"/>
    <w:rsid w:val="00445804"/>
    <w:rsid w:val="00445E0B"/>
    <w:rsid w:val="00450E14"/>
    <w:rsid w:val="00452FD6"/>
    <w:rsid w:val="00460A86"/>
    <w:rsid w:val="00462C65"/>
    <w:rsid w:val="004673CF"/>
    <w:rsid w:val="004674E7"/>
    <w:rsid w:val="00467B14"/>
    <w:rsid w:val="00473363"/>
    <w:rsid w:val="00474EDA"/>
    <w:rsid w:val="004754A5"/>
    <w:rsid w:val="00480620"/>
    <w:rsid w:val="00481EBB"/>
    <w:rsid w:val="004821B1"/>
    <w:rsid w:val="004824FA"/>
    <w:rsid w:val="00484011"/>
    <w:rsid w:val="004841F1"/>
    <w:rsid w:val="00487D57"/>
    <w:rsid w:val="004932A1"/>
    <w:rsid w:val="004949EA"/>
    <w:rsid w:val="00497847"/>
    <w:rsid w:val="004A1E3A"/>
    <w:rsid w:val="004A6735"/>
    <w:rsid w:val="004B46D6"/>
    <w:rsid w:val="004C0BF6"/>
    <w:rsid w:val="004C1D98"/>
    <w:rsid w:val="004C4464"/>
    <w:rsid w:val="004C4714"/>
    <w:rsid w:val="004C4AEA"/>
    <w:rsid w:val="004D0430"/>
    <w:rsid w:val="004D0F2A"/>
    <w:rsid w:val="004D1DAA"/>
    <w:rsid w:val="004D308A"/>
    <w:rsid w:val="004D4076"/>
    <w:rsid w:val="004D4EB1"/>
    <w:rsid w:val="004E003C"/>
    <w:rsid w:val="004E16EB"/>
    <w:rsid w:val="004E6665"/>
    <w:rsid w:val="004F0133"/>
    <w:rsid w:val="004F101D"/>
    <w:rsid w:val="004F392B"/>
    <w:rsid w:val="004F399F"/>
    <w:rsid w:val="004F43B1"/>
    <w:rsid w:val="004F634E"/>
    <w:rsid w:val="004F67A8"/>
    <w:rsid w:val="004F778E"/>
    <w:rsid w:val="00500733"/>
    <w:rsid w:val="00501A7F"/>
    <w:rsid w:val="005023A7"/>
    <w:rsid w:val="00502E1F"/>
    <w:rsid w:val="00506C8C"/>
    <w:rsid w:val="00506CA8"/>
    <w:rsid w:val="0051226B"/>
    <w:rsid w:val="0051582C"/>
    <w:rsid w:val="005225EB"/>
    <w:rsid w:val="00522A50"/>
    <w:rsid w:val="00527225"/>
    <w:rsid w:val="0053557D"/>
    <w:rsid w:val="0053638C"/>
    <w:rsid w:val="00537854"/>
    <w:rsid w:val="005410E3"/>
    <w:rsid w:val="005463C4"/>
    <w:rsid w:val="005463DE"/>
    <w:rsid w:val="00546DC2"/>
    <w:rsid w:val="00547E94"/>
    <w:rsid w:val="005542E8"/>
    <w:rsid w:val="00556630"/>
    <w:rsid w:val="00556648"/>
    <w:rsid w:val="0055686D"/>
    <w:rsid w:val="00562733"/>
    <w:rsid w:val="00564E3D"/>
    <w:rsid w:val="00565B4F"/>
    <w:rsid w:val="005670D6"/>
    <w:rsid w:val="0057039B"/>
    <w:rsid w:val="00577D85"/>
    <w:rsid w:val="005800EE"/>
    <w:rsid w:val="0058060A"/>
    <w:rsid w:val="005806CA"/>
    <w:rsid w:val="00582ACC"/>
    <w:rsid w:val="00582C90"/>
    <w:rsid w:val="005869D6"/>
    <w:rsid w:val="00587817"/>
    <w:rsid w:val="00590A9A"/>
    <w:rsid w:val="0059331E"/>
    <w:rsid w:val="005961FF"/>
    <w:rsid w:val="005963AB"/>
    <w:rsid w:val="005A159D"/>
    <w:rsid w:val="005A176F"/>
    <w:rsid w:val="005A33F6"/>
    <w:rsid w:val="005A59E5"/>
    <w:rsid w:val="005B2963"/>
    <w:rsid w:val="005B7440"/>
    <w:rsid w:val="005C0B96"/>
    <w:rsid w:val="005C2D3E"/>
    <w:rsid w:val="005D2975"/>
    <w:rsid w:val="005D7D24"/>
    <w:rsid w:val="005E0B85"/>
    <w:rsid w:val="005E2150"/>
    <w:rsid w:val="005E2995"/>
    <w:rsid w:val="005E2D86"/>
    <w:rsid w:val="005E405E"/>
    <w:rsid w:val="005F20DD"/>
    <w:rsid w:val="005F2346"/>
    <w:rsid w:val="005F37A3"/>
    <w:rsid w:val="005F3FEF"/>
    <w:rsid w:val="005F57E9"/>
    <w:rsid w:val="006005BA"/>
    <w:rsid w:val="006005C4"/>
    <w:rsid w:val="00600C4F"/>
    <w:rsid w:val="006032DD"/>
    <w:rsid w:val="00603DF8"/>
    <w:rsid w:val="00607F7C"/>
    <w:rsid w:val="006102DA"/>
    <w:rsid w:val="00612648"/>
    <w:rsid w:val="00616090"/>
    <w:rsid w:val="00617F29"/>
    <w:rsid w:val="00625617"/>
    <w:rsid w:val="00626776"/>
    <w:rsid w:val="006268B9"/>
    <w:rsid w:val="00626EA2"/>
    <w:rsid w:val="006315A3"/>
    <w:rsid w:val="006377DC"/>
    <w:rsid w:val="006449BF"/>
    <w:rsid w:val="00653B23"/>
    <w:rsid w:val="00653C98"/>
    <w:rsid w:val="006551A9"/>
    <w:rsid w:val="00655542"/>
    <w:rsid w:val="00655710"/>
    <w:rsid w:val="006579A2"/>
    <w:rsid w:val="00660749"/>
    <w:rsid w:val="006607EB"/>
    <w:rsid w:val="00662013"/>
    <w:rsid w:val="0066490E"/>
    <w:rsid w:val="00667C89"/>
    <w:rsid w:val="00670A6F"/>
    <w:rsid w:val="006711EE"/>
    <w:rsid w:val="00671603"/>
    <w:rsid w:val="00673419"/>
    <w:rsid w:val="0067539D"/>
    <w:rsid w:val="00676C6A"/>
    <w:rsid w:val="006809BB"/>
    <w:rsid w:val="006809FD"/>
    <w:rsid w:val="00691D1F"/>
    <w:rsid w:val="00697B71"/>
    <w:rsid w:val="00697BAE"/>
    <w:rsid w:val="006A1C02"/>
    <w:rsid w:val="006A2534"/>
    <w:rsid w:val="006B3548"/>
    <w:rsid w:val="006B4DDC"/>
    <w:rsid w:val="006B5E55"/>
    <w:rsid w:val="006B6492"/>
    <w:rsid w:val="006C00D5"/>
    <w:rsid w:val="006C051D"/>
    <w:rsid w:val="006C0642"/>
    <w:rsid w:val="006C4DA7"/>
    <w:rsid w:val="006D25A1"/>
    <w:rsid w:val="006D2A51"/>
    <w:rsid w:val="006D5479"/>
    <w:rsid w:val="006E14E9"/>
    <w:rsid w:val="006F09A2"/>
    <w:rsid w:val="006F117B"/>
    <w:rsid w:val="006F1E98"/>
    <w:rsid w:val="006F1F38"/>
    <w:rsid w:val="006F1F93"/>
    <w:rsid w:val="006F2398"/>
    <w:rsid w:val="006F5D32"/>
    <w:rsid w:val="006F6856"/>
    <w:rsid w:val="006F72A2"/>
    <w:rsid w:val="0070426F"/>
    <w:rsid w:val="00710322"/>
    <w:rsid w:val="00711801"/>
    <w:rsid w:val="007145D0"/>
    <w:rsid w:val="00716F94"/>
    <w:rsid w:val="00717F60"/>
    <w:rsid w:val="00720CEA"/>
    <w:rsid w:val="00724010"/>
    <w:rsid w:val="0072507E"/>
    <w:rsid w:val="00727B8F"/>
    <w:rsid w:val="007318AD"/>
    <w:rsid w:val="00731A4C"/>
    <w:rsid w:val="00733FE5"/>
    <w:rsid w:val="00744E3F"/>
    <w:rsid w:val="007469D2"/>
    <w:rsid w:val="00746B26"/>
    <w:rsid w:val="007478AD"/>
    <w:rsid w:val="00751A34"/>
    <w:rsid w:val="00752230"/>
    <w:rsid w:val="007522DA"/>
    <w:rsid w:val="007559BB"/>
    <w:rsid w:val="00760554"/>
    <w:rsid w:val="00760E12"/>
    <w:rsid w:val="007616F9"/>
    <w:rsid w:val="00763CF3"/>
    <w:rsid w:val="0076493A"/>
    <w:rsid w:val="00766D8A"/>
    <w:rsid w:val="00772293"/>
    <w:rsid w:val="00773D1E"/>
    <w:rsid w:val="00776981"/>
    <w:rsid w:val="00776F3A"/>
    <w:rsid w:val="007815AD"/>
    <w:rsid w:val="00781AE3"/>
    <w:rsid w:val="00783C75"/>
    <w:rsid w:val="00783DC8"/>
    <w:rsid w:val="00784619"/>
    <w:rsid w:val="00785825"/>
    <w:rsid w:val="00785A91"/>
    <w:rsid w:val="00785ED0"/>
    <w:rsid w:val="0078627B"/>
    <w:rsid w:val="0078765B"/>
    <w:rsid w:val="00794E32"/>
    <w:rsid w:val="00797B7C"/>
    <w:rsid w:val="007A00B2"/>
    <w:rsid w:val="007A04C0"/>
    <w:rsid w:val="007A0D73"/>
    <w:rsid w:val="007A4C8B"/>
    <w:rsid w:val="007B305A"/>
    <w:rsid w:val="007B3074"/>
    <w:rsid w:val="007B414D"/>
    <w:rsid w:val="007B6809"/>
    <w:rsid w:val="007D5538"/>
    <w:rsid w:val="007D7AB4"/>
    <w:rsid w:val="007E0767"/>
    <w:rsid w:val="007E0878"/>
    <w:rsid w:val="007E2E44"/>
    <w:rsid w:val="007E4DCC"/>
    <w:rsid w:val="007E575D"/>
    <w:rsid w:val="007E57AB"/>
    <w:rsid w:val="007E6AEF"/>
    <w:rsid w:val="007F4C06"/>
    <w:rsid w:val="007F6D14"/>
    <w:rsid w:val="008052B9"/>
    <w:rsid w:val="008124AB"/>
    <w:rsid w:val="00815C7D"/>
    <w:rsid w:val="00817941"/>
    <w:rsid w:val="00817A0C"/>
    <w:rsid w:val="00817ABA"/>
    <w:rsid w:val="00820535"/>
    <w:rsid w:val="00821392"/>
    <w:rsid w:val="008229E4"/>
    <w:rsid w:val="00823547"/>
    <w:rsid w:val="00823D3F"/>
    <w:rsid w:val="00825BEA"/>
    <w:rsid w:val="008261AB"/>
    <w:rsid w:val="008267B4"/>
    <w:rsid w:val="008269AB"/>
    <w:rsid w:val="00830057"/>
    <w:rsid w:val="0083032A"/>
    <w:rsid w:val="0083050A"/>
    <w:rsid w:val="00832F01"/>
    <w:rsid w:val="008345CB"/>
    <w:rsid w:val="00834C91"/>
    <w:rsid w:val="00835305"/>
    <w:rsid w:val="0083571B"/>
    <w:rsid w:val="00835CA7"/>
    <w:rsid w:val="008370D4"/>
    <w:rsid w:val="008414AD"/>
    <w:rsid w:val="008428D9"/>
    <w:rsid w:val="00843701"/>
    <w:rsid w:val="008437FC"/>
    <w:rsid w:val="00844D24"/>
    <w:rsid w:val="00850D40"/>
    <w:rsid w:val="008519F9"/>
    <w:rsid w:val="00855D23"/>
    <w:rsid w:val="008573F2"/>
    <w:rsid w:val="00857C72"/>
    <w:rsid w:val="0086142A"/>
    <w:rsid w:val="008638FE"/>
    <w:rsid w:val="00871AB6"/>
    <w:rsid w:val="008729E3"/>
    <w:rsid w:val="00874520"/>
    <w:rsid w:val="00875DC4"/>
    <w:rsid w:val="0088369F"/>
    <w:rsid w:val="0088467A"/>
    <w:rsid w:val="00884DB9"/>
    <w:rsid w:val="00890B2C"/>
    <w:rsid w:val="00892135"/>
    <w:rsid w:val="008924BE"/>
    <w:rsid w:val="00892777"/>
    <w:rsid w:val="00893296"/>
    <w:rsid w:val="00893447"/>
    <w:rsid w:val="00894612"/>
    <w:rsid w:val="008A1281"/>
    <w:rsid w:val="008A3415"/>
    <w:rsid w:val="008A520F"/>
    <w:rsid w:val="008A6DB8"/>
    <w:rsid w:val="008A7E43"/>
    <w:rsid w:val="008B0388"/>
    <w:rsid w:val="008B216A"/>
    <w:rsid w:val="008B4106"/>
    <w:rsid w:val="008C07C3"/>
    <w:rsid w:val="008C67D2"/>
    <w:rsid w:val="008D3C97"/>
    <w:rsid w:val="008D4D55"/>
    <w:rsid w:val="008D6EEE"/>
    <w:rsid w:val="008D725C"/>
    <w:rsid w:val="008D77FE"/>
    <w:rsid w:val="008E002A"/>
    <w:rsid w:val="008E0447"/>
    <w:rsid w:val="008E0683"/>
    <w:rsid w:val="008E0F34"/>
    <w:rsid w:val="008E4537"/>
    <w:rsid w:val="008F308A"/>
    <w:rsid w:val="00902DD9"/>
    <w:rsid w:val="00902DFF"/>
    <w:rsid w:val="00903C4A"/>
    <w:rsid w:val="00905394"/>
    <w:rsid w:val="00911486"/>
    <w:rsid w:val="009129CA"/>
    <w:rsid w:val="00913906"/>
    <w:rsid w:val="009206B6"/>
    <w:rsid w:val="009250AF"/>
    <w:rsid w:val="009252DC"/>
    <w:rsid w:val="009263C1"/>
    <w:rsid w:val="0093299A"/>
    <w:rsid w:val="00934B6F"/>
    <w:rsid w:val="00935655"/>
    <w:rsid w:val="009402F9"/>
    <w:rsid w:val="00941B4F"/>
    <w:rsid w:val="00942E69"/>
    <w:rsid w:val="00944446"/>
    <w:rsid w:val="009518C0"/>
    <w:rsid w:val="00955A04"/>
    <w:rsid w:val="00961029"/>
    <w:rsid w:val="00963C6D"/>
    <w:rsid w:val="00963CE3"/>
    <w:rsid w:val="00964B41"/>
    <w:rsid w:val="00964F18"/>
    <w:rsid w:val="00971612"/>
    <w:rsid w:val="00974424"/>
    <w:rsid w:val="009849B6"/>
    <w:rsid w:val="009876EC"/>
    <w:rsid w:val="00987F76"/>
    <w:rsid w:val="0099025C"/>
    <w:rsid w:val="00991A19"/>
    <w:rsid w:val="00993088"/>
    <w:rsid w:val="00995560"/>
    <w:rsid w:val="0099664F"/>
    <w:rsid w:val="00997A7D"/>
    <w:rsid w:val="00997D5D"/>
    <w:rsid w:val="009A0447"/>
    <w:rsid w:val="009A2CE5"/>
    <w:rsid w:val="009A7674"/>
    <w:rsid w:val="009B4A51"/>
    <w:rsid w:val="009B5C75"/>
    <w:rsid w:val="009B667A"/>
    <w:rsid w:val="009B7039"/>
    <w:rsid w:val="009B7B6B"/>
    <w:rsid w:val="009C2177"/>
    <w:rsid w:val="009C28B1"/>
    <w:rsid w:val="009C2F85"/>
    <w:rsid w:val="009C61AD"/>
    <w:rsid w:val="009D3291"/>
    <w:rsid w:val="009D373D"/>
    <w:rsid w:val="009D6090"/>
    <w:rsid w:val="009D63F1"/>
    <w:rsid w:val="009D68F5"/>
    <w:rsid w:val="009D7B2C"/>
    <w:rsid w:val="009D7B66"/>
    <w:rsid w:val="009E0801"/>
    <w:rsid w:val="009E1D05"/>
    <w:rsid w:val="009E1FBE"/>
    <w:rsid w:val="009E6868"/>
    <w:rsid w:val="009F19D4"/>
    <w:rsid w:val="009F3CA6"/>
    <w:rsid w:val="009F4F5B"/>
    <w:rsid w:val="009F5E3F"/>
    <w:rsid w:val="009F7DE0"/>
    <w:rsid w:val="00A00B3A"/>
    <w:rsid w:val="00A11B0C"/>
    <w:rsid w:val="00A11D67"/>
    <w:rsid w:val="00A13A56"/>
    <w:rsid w:val="00A13A71"/>
    <w:rsid w:val="00A14D8B"/>
    <w:rsid w:val="00A1524D"/>
    <w:rsid w:val="00A21E90"/>
    <w:rsid w:val="00A3189F"/>
    <w:rsid w:val="00A33227"/>
    <w:rsid w:val="00A33B35"/>
    <w:rsid w:val="00A33E90"/>
    <w:rsid w:val="00A36419"/>
    <w:rsid w:val="00A37434"/>
    <w:rsid w:val="00A44921"/>
    <w:rsid w:val="00A45249"/>
    <w:rsid w:val="00A45300"/>
    <w:rsid w:val="00A474B5"/>
    <w:rsid w:val="00A55431"/>
    <w:rsid w:val="00A55628"/>
    <w:rsid w:val="00A569FF"/>
    <w:rsid w:val="00A576E7"/>
    <w:rsid w:val="00A578C2"/>
    <w:rsid w:val="00A670EC"/>
    <w:rsid w:val="00A7211A"/>
    <w:rsid w:val="00A72652"/>
    <w:rsid w:val="00A75D1C"/>
    <w:rsid w:val="00A806F1"/>
    <w:rsid w:val="00A809AA"/>
    <w:rsid w:val="00A849B3"/>
    <w:rsid w:val="00A8510D"/>
    <w:rsid w:val="00A86AF3"/>
    <w:rsid w:val="00A86E54"/>
    <w:rsid w:val="00A86EDF"/>
    <w:rsid w:val="00A90AFF"/>
    <w:rsid w:val="00A90BDC"/>
    <w:rsid w:val="00A93DD2"/>
    <w:rsid w:val="00A94B51"/>
    <w:rsid w:val="00A94D9E"/>
    <w:rsid w:val="00A950C0"/>
    <w:rsid w:val="00A95477"/>
    <w:rsid w:val="00A95E36"/>
    <w:rsid w:val="00A975A9"/>
    <w:rsid w:val="00AA2CA7"/>
    <w:rsid w:val="00AA3192"/>
    <w:rsid w:val="00AA32F2"/>
    <w:rsid w:val="00AA35B6"/>
    <w:rsid w:val="00AA3BDE"/>
    <w:rsid w:val="00AA47E0"/>
    <w:rsid w:val="00AA4954"/>
    <w:rsid w:val="00AB0486"/>
    <w:rsid w:val="00AB2065"/>
    <w:rsid w:val="00AB251E"/>
    <w:rsid w:val="00AB3608"/>
    <w:rsid w:val="00AB5A47"/>
    <w:rsid w:val="00AB5EF0"/>
    <w:rsid w:val="00AC0898"/>
    <w:rsid w:val="00AC4CB2"/>
    <w:rsid w:val="00AC5C48"/>
    <w:rsid w:val="00AC63E3"/>
    <w:rsid w:val="00AD2C5B"/>
    <w:rsid w:val="00AD2D6F"/>
    <w:rsid w:val="00AD38E9"/>
    <w:rsid w:val="00AE73C7"/>
    <w:rsid w:val="00AE7A26"/>
    <w:rsid w:val="00AF0CF4"/>
    <w:rsid w:val="00AF168F"/>
    <w:rsid w:val="00AF1ABC"/>
    <w:rsid w:val="00AF2252"/>
    <w:rsid w:val="00AF26E1"/>
    <w:rsid w:val="00AF4C6B"/>
    <w:rsid w:val="00AF6001"/>
    <w:rsid w:val="00B00B12"/>
    <w:rsid w:val="00B046F3"/>
    <w:rsid w:val="00B06017"/>
    <w:rsid w:val="00B065BA"/>
    <w:rsid w:val="00B1129F"/>
    <w:rsid w:val="00B11D61"/>
    <w:rsid w:val="00B12519"/>
    <w:rsid w:val="00B12F51"/>
    <w:rsid w:val="00B146CE"/>
    <w:rsid w:val="00B25641"/>
    <w:rsid w:val="00B26083"/>
    <w:rsid w:val="00B270C2"/>
    <w:rsid w:val="00B2751E"/>
    <w:rsid w:val="00B2789C"/>
    <w:rsid w:val="00B27E21"/>
    <w:rsid w:val="00B3070E"/>
    <w:rsid w:val="00B3650C"/>
    <w:rsid w:val="00B419DD"/>
    <w:rsid w:val="00B45B09"/>
    <w:rsid w:val="00B47055"/>
    <w:rsid w:val="00B4740D"/>
    <w:rsid w:val="00B53A3A"/>
    <w:rsid w:val="00B54E38"/>
    <w:rsid w:val="00B56707"/>
    <w:rsid w:val="00B56C01"/>
    <w:rsid w:val="00B57D49"/>
    <w:rsid w:val="00B60ED4"/>
    <w:rsid w:val="00B6452F"/>
    <w:rsid w:val="00B64BFA"/>
    <w:rsid w:val="00B6643F"/>
    <w:rsid w:val="00B71195"/>
    <w:rsid w:val="00B71A33"/>
    <w:rsid w:val="00B71E63"/>
    <w:rsid w:val="00B72F24"/>
    <w:rsid w:val="00B741FB"/>
    <w:rsid w:val="00B74AD4"/>
    <w:rsid w:val="00B750F5"/>
    <w:rsid w:val="00B75468"/>
    <w:rsid w:val="00B75AED"/>
    <w:rsid w:val="00B769A5"/>
    <w:rsid w:val="00B837AC"/>
    <w:rsid w:val="00B840FC"/>
    <w:rsid w:val="00B85DE4"/>
    <w:rsid w:val="00B8738F"/>
    <w:rsid w:val="00B879DB"/>
    <w:rsid w:val="00B87AAD"/>
    <w:rsid w:val="00B91A31"/>
    <w:rsid w:val="00B94137"/>
    <w:rsid w:val="00B9776B"/>
    <w:rsid w:val="00BA1567"/>
    <w:rsid w:val="00BA160C"/>
    <w:rsid w:val="00BA24C0"/>
    <w:rsid w:val="00BA355E"/>
    <w:rsid w:val="00BA6C28"/>
    <w:rsid w:val="00BA6DB4"/>
    <w:rsid w:val="00BA79CA"/>
    <w:rsid w:val="00BB28D8"/>
    <w:rsid w:val="00BB7CF0"/>
    <w:rsid w:val="00BC3F3C"/>
    <w:rsid w:val="00BC5323"/>
    <w:rsid w:val="00BC5BB2"/>
    <w:rsid w:val="00BC5CA5"/>
    <w:rsid w:val="00BC62B6"/>
    <w:rsid w:val="00BD5A96"/>
    <w:rsid w:val="00BD6E2D"/>
    <w:rsid w:val="00BD7C59"/>
    <w:rsid w:val="00BE125E"/>
    <w:rsid w:val="00BE13B6"/>
    <w:rsid w:val="00BE6C1A"/>
    <w:rsid w:val="00BE738E"/>
    <w:rsid w:val="00BF11A1"/>
    <w:rsid w:val="00BF13C5"/>
    <w:rsid w:val="00BF23C7"/>
    <w:rsid w:val="00BF37B0"/>
    <w:rsid w:val="00BF3F54"/>
    <w:rsid w:val="00BF533D"/>
    <w:rsid w:val="00BF65E9"/>
    <w:rsid w:val="00BF78EA"/>
    <w:rsid w:val="00C00697"/>
    <w:rsid w:val="00C01426"/>
    <w:rsid w:val="00C02DC8"/>
    <w:rsid w:val="00C0376C"/>
    <w:rsid w:val="00C05C1E"/>
    <w:rsid w:val="00C06D77"/>
    <w:rsid w:val="00C14043"/>
    <w:rsid w:val="00C14BA6"/>
    <w:rsid w:val="00C16BDE"/>
    <w:rsid w:val="00C16DD7"/>
    <w:rsid w:val="00C1703C"/>
    <w:rsid w:val="00C207D4"/>
    <w:rsid w:val="00C231B0"/>
    <w:rsid w:val="00C23ACC"/>
    <w:rsid w:val="00C23B69"/>
    <w:rsid w:val="00C240B8"/>
    <w:rsid w:val="00C3485C"/>
    <w:rsid w:val="00C36FBB"/>
    <w:rsid w:val="00C37A8F"/>
    <w:rsid w:val="00C40B9B"/>
    <w:rsid w:val="00C43481"/>
    <w:rsid w:val="00C474BC"/>
    <w:rsid w:val="00C47A38"/>
    <w:rsid w:val="00C5062D"/>
    <w:rsid w:val="00C5228E"/>
    <w:rsid w:val="00C5319F"/>
    <w:rsid w:val="00C544A4"/>
    <w:rsid w:val="00C550D8"/>
    <w:rsid w:val="00C5769F"/>
    <w:rsid w:val="00C62122"/>
    <w:rsid w:val="00C65796"/>
    <w:rsid w:val="00C65994"/>
    <w:rsid w:val="00C66B1B"/>
    <w:rsid w:val="00C751EB"/>
    <w:rsid w:val="00C768E5"/>
    <w:rsid w:val="00C808D9"/>
    <w:rsid w:val="00C817A3"/>
    <w:rsid w:val="00C82624"/>
    <w:rsid w:val="00C91372"/>
    <w:rsid w:val="00C93D82"/>
    <w:rsid w:val="00C94667"/>
    <w:rsid w:val="00C94B69"/>
    <w:rsid w:val="00C94F2A"/>
    <w:rsid w:val="00C95690"/>
    <w:rsid w:val="00CA11C0"/>
    <w:rsid w:val="00CA1C50"/>
    <w:rsid w:val="00CA2004"/>
    <w:rsid w:val="00CA5B99"/>
    <w:rsid w:val="00CA688E"/>
    <w:rsid w:val="00CB0941"/>
    <w:rsid w:val="00CB2309"/>
    <w:rsid w:val="00CB334D"/>
    <w:rsid w:val="00CB48F9"/>
    <w:rsid w:val="00CB56D5"/>
    <w:rsid w:val="00CC04AA"/>
    <w:rsid w:val="00CC3955"/>
    <w:rsid w:val="00CC4060"/>
    <w:rsid w:val="00CD04ED"/>
    <w:rsid w:val="00CD1EA8"/>
    <w:rsid w:val="00CD38A7"/>
    <w:rsid w:val="00CE027C"/>
    <w:rsid w:val="00CE02A7"/>
    <w:rsid w:val="00CE04A4"/>
    <w:rsid w:val="00CE0C88"/>
    <w:rsid w:val="00CF09B8"/>
    <w:rsid w:val="00CF1C08"/>
    <w:rsid w:val="00CF1E97"/>
    <w:rsid w:val="00CF5ABD"/>
    <w:rsid w:val="00CF63CE"/>
    <w:rsid w:val="00D01D58"/>
    <w:rsid w:val="00D01E7B"/>
    <w:rsid w:val="00D02F4C"/>
    <w:rsid w:val="00D061B5"/>
    <w:rsid w:val="00D067C1"/>
    <w:rsid w:val="00D1063D"/>
    <w:rsid w:val="00D13B13"/>
    <w:rsid w:val="00D16E78"/>
    <w:rsid w:val="00D17490"/>
    <w:rsid w:val="00D201D3"/>
    <w:rsid w:val="00D257AF"/>
    <w:rsid w:val="00D26A64"/>
    <w:rsid w:val="00D27533"/>
    <w:rsid w:val="00D27E1D"/>
    <w:rsid w:val="00D3169D"/>
    <w:rsid w:val="00D326E9"/>
    <w:rsid w:val="00D36AB8"/>
    <w:rsid w:val="00D37C4F"/>
    <w:rsid w:val="00D37F3C"/>
    <w:rsid w:val="00D4347D"/>
    <w:rsid w:val="00D43F5C"/>
    <w:rsid w:val="00D45198"/>
    <w:rsid w:val="00D4644B"/>
    <w:rsid w:val="00D47065"/>
    <w:rsid w:val="00D518B6"/>
    <w:rsid w:val="00D52B9A"/>
    <w:rsid w:val="00D5367E"/>
    <w:rsid w:val="00D538A2"/>
    <w:rsid w:val="00D53B1E"/>
    <w:rsid w:val="00D54941"/>
    <w:rsid w:val="00D64600"/>
    <w:rsid w:val="00D65D22"/>
    <w:rsid w:val="00D660FF"/>
    <w:rsid w:val="00D66ABF"/>
    <w:rsid w:val="00D67EF3"/>
    <w:rsid w:val="00D75750"/>
    <w:rsid w:val="00D75AE4"/>
    <w:rsid w:val="00D76F64"/>
    <w:rsid w:val="00D84EF0"/>
    <w:rsid w:val="00D861ED"/>
    <w:rsid w:val="00D8656B"/>
    <w:rsid w:val="00D86990"/>
    <w:rsid w:val="00D873E0"/>
    <w:rsid w:val="00D87F45"/>
    <w:rsid w:val="00D90FD9"/>
    <w:rsid w:val="00D91E05"/>
    <w:rsid w:val="00D94F8B"/>
    <w:rsid w:val="00D95FBF"/>
    <w:rsid w:val="00D9618A"/>
    <w:rsid w:val="00D96420"/>
    <w:rsid w:val="00D9677C"/>
    <w:rsid w:val="00DA2F64"/>
    <w:rsid w:val="00DA4808"/>
    <w:rsid w:val="00DA5988"/>
    <w:rsid w:val="00DA7729"/>
    <w:rsid w:val="00DB26ED"/>
    <w:rsid w:val="00DB3F5E"/>
    <w:rsid w:val="00DB7F78"/>
    <w:rsid w:val="00DC317C"/>
    <w:rsid w:val="00DC3F60"/>
    <w:rsid w:val="00DC3FC4"/>
    <w:rsid w:val="00DC4FC4"/>
    <w:rsid w:val="00DC4FF2"/>
    <w:rsid w:val="00DC5176"/>
    <w:rsid w:val="00DC79CC"/>
    <w:rsid w:val="00DD0869"/>
    <w:rsid w:val="00DD2B9C"/>
    <w:rsid w:val="00DD51F8"/>
    <w:rsid w:val="00DD7405"/>
    <w:rsid w:val="00DE042F"/>
    <w:rsid w:val="00DE3DE1"/>
    <w:rsid w:val="00DE3F01"/>
    <w:rsid w:val="00DF1C4C"/>
    <w:rsid w:val="00DF256E"/>
    <w:rsid w:val="00DF3C97"/>
    <w:rsid w:val="00DF50ED"/>
    <w:rsid w:val="00DF7178"/>
    <w:rsid w:val="00E015F5"/>
    <w:rsid w:val="00E01F6F"/>
    <w:rsid w:val="00E06455"/>
    <w:rsid w:val="00E07D17"/>
    <w:rsid w:val="00E10D39"/>
    <w:rsid w:val="00E11CE6"/>
    <w:rsid w:val="00E134F4"/>
    <w:rsid w:val="00E145F1"/>
    <w:rsid w:val="00E162E0"/>
    <w:rsid w:val="00E16A12"/>
    <w:rsid w:val="00E22526"/>
    <w:rsid w:val="00E23568"/>
    <w:rsid w:val="00E245B5"/>
    <w:rsid w:val="00E26AE6"/>
    <w:rsid w:val="00E27714"/>
    <w:rsid w:val="00E32047"/>
    <w:rsid w:val="00E32AA1"/>
    <w:rsid w:val="00E32ECE"/>
    <w:rsid w:val="00E33E1B"/>
    <w:rsid w:val="00E33E8F"/>
    <w:rsid w:val="00E34D3E"/>
    <w:rsid w:val="00E416B4"/>
    <w:rsid w:val="00E433DE"/>
    <w:rsid w:val="00E4350C"/>
    <w:rsid w:val="00E51B23"/>
    <w:rsid w:val="00E51DA4"/>
    <w:rsid w:val="00E5363D"/>
    <w:rsid w:val="00E55EFD"/>
    <w:rsid w:val="00E572FC"/>
    <w:rsid w:val="00E65D60"/>
    <w:rsid w:val="00E6708E"/>
    <w:rsid w:val="00E70378"/>
    <w:rsid w:val="00E720E9"/>
    <w:rsid w:val="00E77CA5"/>
    <w:rsid w:val="00E817B0"/>
    <w:rsid w:val="00E81C5E"/>
    <w:rsid w:val="00E8304C"/>
    <w:rsid w:val="00E83B3C"/>
    <w:rsid w:val="00E83D26"/>
    <w:rsid w:val="00E86E02"/>
    <w:rsid w:val="00E8736B"/>
    <w:rsid w:val="00E879D6"/>
    <w:rsid w:val="00E90275"/>
    <w:rsid w:val="00E91D24"/>
    <w:rsid w:val="00E925D4"/>
    <w:rsid w:val="00E932E1"/>
    <w:rsid w:val="00E97226"/>
    <w:rsid w:val="00E972BA"/>
    <w:rsid w:val="00EA13AA"/>
    <w:rsid w:val="00EA2B44"/>
    <w:rsid w:val="00EA33EF"/>
    <w:rsid w:val="00EA4A64"/>
    <w:rsid w:val="00EB094A"/>
    <w:rsid w:val="00EB1452"/>
    <w:rsid w:val="00EB45FB"/>
    <w:rsid w:val="00EC08FA"/>
    <w:rsid w:val="00EC278A"/>
    <w:rsid w:val="00EC34A6"/>
    <w:rsid w:val="00EC4FFD"/>
    <w:rsid w:val="00EC5EFC"/>
    <w:rsid w:val="00EC647B"/>
    <w:rsid w:val="00ED02BA"/>
    <w:rsid w:val="00ED3E49"/>
    <w:rsid w:val="00EE1224"/>
    <w:rsid w:val="00EE4443"/>
    <w:rsid w:val="00EE5E3D"/>
    <w:rsid w:val="00EE6857"/>
    <w:rsid w:val="00EF15CE"/>
    <w:rsid w:val="00EF33CD"/>
    <w:rsid w:val="00F04800"/>
    <w:rsid w:val="00F05436"/>
    <w:rsid w:val="00F076D8"/>
    <w:rsid w:val="00F07C10"/>
    <w:rsid w:val="00F12924"/>
    <w:rsid w:val="00F12C6D"/>
    <w:rsid w:val="00F20C9B"/>
    <w:rsid w:val="00F2358C"/>
    <w:rsid w:val="00F26516"/>
    <w:rsid w:val="00F27208"/>
    <w:rsid w:val="00F300CB"/>
    <w:rsid w:val="00F312AC"/>
    <w:rsid w:val="00F33F51"/>
    <w:rsid w:val="00F355B9"/>
    <w:rsid w:val="00F35AD4"/>
    <w:rsid w:val="00F42C3A"/>
    <w:rsid w:val="00F50F85"/>
    <w:rsid w:val="00F51D2B"/>
    <w:rsid w:val="00F52BCC"/>
    <w:rsid w:val="00F5313F"/>
    <w:rsid w:val="00F57A34"/>
    <w:rsid w:val="00F636FF"/>
    <w:rsid w:val="00F65663"/>
    <w:rsid w:val="00F6699A"/>
    <w:rsid w:val="00F71EB5"/>
    <w:rsid w:val="00F72507"/>
    <w:rsid w:val="00F76D41"/>
    <w:rsid w:val="00F76D55"/>
    <w:rsid w:val="00F76FC1"/>
    <w:rsid w:val="00F80FD7"/>
    <w:rsid w:val="00F81A48"/>
    <w:rsid w:val="00F827AC"/>
    <w:rsid w:val="00F82C8F"/>
    <w:rsid w:val="00F84863"/>
    <w:rsid w:val="00F84A64"/>
    <w:rsid w:val="00F92145"/>
    <w:rsid w:val="00F9324A"/>
    <w:rsid w:val="00FA07AF"/>
    <w:rsid w:val="00FA1709"/>
    <w:rsid w:val="00FA59D1"/>
    <w:rsid w:val="00FB0047"/>
    <w:rsid w:val="00FB62BC"/>
    <w:rsid w:val="00FC2590"/>
    <w:rsid w:val="00FC5D0F"/>
    <w:rsid w:val="00FC729F"/>
    <w:rsid w:val="00FC7FBC"/>
    <w:rsid w:val="00FD098D"/>
    <w:rsid w:val="00FD0BDA"/>
    <w:rsid w:val="00FD0D7E"/>
    <w:rsid w:val="00FD17C9"/>
    <w:rsid w:val="00FD2652"/>
    <w:rsid w:val="00FD2A5B"/>
    <w:rsid w:val="00FD6061"/>
    <w:rsid w:val="00FE6A5C"/>
    <w:rsid w:val="00FF188C"/>
    <w:rsid w:val="00FF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customStyle="1" w:styleId="Exhibittitle">
    <w:name w:val="Exhibit title"/>
    <w:basedOn w:val="Normal"/>
    <w:rsid w:val="002E628D"/>
    <w:pPr>
      <w:keepNext/>
      <w:keepLines/>
      <w:spacing w:before="120" w:after="120" w:line="240" w:lineRule="auto"/>
      <w:ind w:left="1166" w:hanging="1166"/>
    </w:pPr>
    <w:rPr>
      <w:rFonts w:ascii="Times New Roman" w:eastAsia="Times New Roman" w:hAnsi="Times New Roman" w:cs="Times New Roman"/>
      <w:b/>
      <w:snapToGrid w:val="0"/>
      <w:sz w:val="24"/>
      <w:szCs w:val="20"/>
    </w:rPr>
  </w:style>
  <w:style w:type="paragraph" w:styleId="Revision">
    <w:name w:val="Revision"/>
    <w:hidden/>
    <w:uiPriority w:val="99"/>
    <w:semiHidden/>
    <w:rsid w:val="00D54941"/>
    <w:pPr>
      <w:spacing w:after="0" w:line="240" w:lineRule="auto"/>
    </w:pPr>
  </w:style>
  <w:style w:type="character" w:styleId="FollowedHyperlink">
    <w:name w:val="FollowedHyperlink"/>
    <w:basedOn w:val="DefaultParagraphFont"/>
    <w:uiPriority w:val="99"/>
    <w:semiHidden/>
    <w:unhideWhenUsed/>
    <w:rsid w:val="00E27714"/>
    <w:rPr>
      <w:color w:val="800080" w:themeColor="followedHyperlink"/>
      <w:u w:val="single"/>
    </w:rPr>
  </w:style>
  <w:style w:type="paragraph" w:styleId="NoSpacing">
    <w:name w:val="No Spacing"/>
    <w:uiPriority w:val="1"/>
    <w:qFormat/>
    <w:rsid w:val="004F399F"/>
    <w:pPr>
      <w:spacing w:after="0" w:line="240" w:lineRule="auto"/>
    </w:pPr>
    <w:rPr>
      <w:rFonts w:ascii="Arial" w:eastAsia="Times New Roman" w:hAnsi="Arial" w:cs="Arial"/>
      <w:sz w:val="20"/>
      <w:szCs w:val="20"/>
    </w:rPr>
  </w:style>
  <w:style w:type="paragraph" w:styleId="ListBullet">
    <w:name w:val="List Bullet"/>
    <w:basedOn w:val="Normal"/>
    <w:link w:val="ListBulletChar"/>
    <w:rsid w:val="003C08B7"/>
    <w:pPr>
      <w:numPr>
        <w:numId w:val="50"/>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3C08B7"/>
    <w:rPr>
      <w:rFonts w:ascii="Times New Roman" w:eastAsia="Times New Roman" w:hAnsi="Times New Roman" w:cs="Times New Roman"/>
      <w:kern w:val="24"/>
    </w:rPr>
  </w:style>
  <w:style w:type="paragraph" w:customStyle="1" w:styleId="P1-StandPara">
    <w:name w:val="P1-Stand Para"/>
    <w:rsid w:val="003B1121"/>
    <w:pPr>
      <w:spacing w:after="240" w:line="360" w:lineRule="atLeast"/>
      <w:ind w:firstLine="1152"/>
      <w:jc w:val="both"/>
    </w:pPr>
    <w:rPr>
      <w:rFonts w:ascii="Times New Roman" w:eastAsia="Times New Roman" w:hAnsi="Times New Roman" w:cs="Times New Roman"/>
      <w:szCs w:val="20"/>
    </w:rPr>
  </w:style>
  <w:style w:type="paragraph" w:customStyle="1" w:styleId="BodyText1psg">
    <w:name w:val="Body Text1_psg"/>
    <w:basedOn w:val="Normal"/>
    <w:link w:val="BodyText1psgChar"/>
    <w:rsid w:val="00B56707"/>
    <w:pPr>
      <w:spacing w:after="240" w:line="360" w:lineRule="atLeast"/>
      <w:ind w:firstLine="720"/>
    </w:pPr>
    <w:rPr>
      <w:rFonts w:ascii="Times New Roman" w:eastAsia="Times New Roman" w:hAnsi="Times New Roman" w:cs="Times New Roman"/>
      <w:sz w:val="24"/>
      <w:szCs w:val="20"/>
    </w:rPr>
  </w:style>
  <w:style w:type="character" w:customStyle="1" w:styleId="BodyText1psgChar">
    <w:name w:val="Body Text1_psg Char"/>
    <w:basedOn w:val="DefaultParagraphFont"/>
    <w:link w:val="BodyText1psg"/>
    <w:rsid w:val="00B56707"/>
    <w:rPr>
      <w:rFonts w:ascii="Times New Roman" w:eastAsia="Times New Roman" w:hAnsi="Times New Roman" w:cs="Times New Roman"/>
      <w:sz w:val="24"/>
      <w:szCs w:val="20"/>
    </w:rPr>
  </w:style>
  <w:style w:type="paragraph" w:customStyle="1" w:styleId="bullets-blank">
    <w:name w:val="bullets-blank"/>
    <w:basedOn w:val="Normal"/>
    <w:rsid w:val="00B56707"/>
    <w:pPr>
      <w:spacing w:after="240" w:line="240" w:lineRule="auto"/>
      <w:ind w:left="1080" w:hanging="360"/>
    </w:pPr>
    <w:rPr>
      <w:rFonts w:ascii="Times New Roman" w:eastAsia="Times New Roman" w:hAnsi="Times New Roman" w:cs="Times New Roman"/>
      <w:sz w:val="24"/>
      <w:szCs w:val="20"/>
    </w:rPr>
  </w:style>
  <w:style w:type="paragraph" w:customStyle="1" w:styleId="TableTitle">
    <w:name w:val="Table Title"/>
    <w:basedOn w:val="Normal"/>
    <w:rsid w:val="00D37F3C"/>
    <w:pPr>
      <w:keepNext/>
      <w:keepLines/>
      <w:spacing w:before="240" w:after="240" w:line="240" w:lineRule="auto"/>
      <w:ind w:left="1260" w:hanging="1260"/>
    </w:pPr>
    <w:rPr>
      <w:rFonts w:ascii="Times New Roman" w:eastAsia="Times New Roman" w:hAnsi="Times New Roman" w:cs="Times New Roman"/>
      <w:b/>
      <w:sz w:val="24"/>
      <w:szCs w:val="20"/>
    </w:rPr>
  </w:style>
  <w:style w:type="paragraph" w:customStyle="1" w:styleId="TableHeader">
    <w:name w:val="Table Header"/>
    <w:basedOn w:val="Normal"/>
    <w:qFormat/>
    <w:rsid w:val="00D37F3C"/>
    <w:pPr>
      <w:keepNext/>
      <w:spacing w:before="80" w:after="80" w:line="240" w:lineRule="auto"/>
      <w:jc w:val="center"/>
    </w:pPr>
    <w:rPr>
      <w:rFonts w:ascii="Times New Roman" w:eastAsia="Times New Roman" w:hAnsi="Times New Roman" w:cs="Times New Roman"/>
      <w:b/>
      <w:snapToGrid w:val="0"/>
    </w:rPr>
  </w:style>
  <w:style w:type="paragraph" w:customStyle="1" w:styleId="TableText">
    <w:name w:val="Table Text"/>
    <w:basedOn w:val="Normal"/>
    <w:qFormat/>
    <w:rsid w:val="00D37F3C"/>
    <w:pPr>
      <w:keepNext/>
      <w:spacing w:before="60" w:after="60" w:line="240" w:lineRule="auto"/>
    </w:pPr>
    <w:rPr>
      <w:rFonts w:ascii="Times New Roman" w:eastAsia="Times New Roman" w:hAnsi="Times New Roman" w:cs="Times New Roman"/>
      <w:snapToGrid w:val="0"/>
    </w:rPr>
  </w:style>
  <w:style w:type="table" w:customStyle="1" w:styleId="TableFormat2">
    <w:name w:val="Table_Format2"/>
    <w:basedOn w:val="TableNormal"/>
    <w:rsid w:val="00D37F3C"/>
    <w:pPr>
      <w:spacing w:after="0" w:line="240" w:lineRule="auto"/>
    </w:pPr>
    <w:rPr>
      <w:rFonts w:ascii="Times New Roman" w:eastAsia="Times New Roman" w:hAnsi="Times New Roman" w:cs="Times New Roman"/>
      <w:szCs w:val="20"/>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paragraph" w:styleId="TOC2">
    <w:name w:val="toc 2"/>
    <w:basedOn w:val="Normal"/>
    <w:next w:val="Normal"/>
    <w:uiPriority w:val="39"/>
    <w:rsid w:val="00C23ACC"/>
    <w:pPr>
      <w:tabs>
        <w:tab w:val="right" w:leader="dot" w:pos="9360"/>
      </w:tabs>
      <w:spacing w:before="240" w:after="80" w:line="240" w:lineRule="auto"/>
      <w:ind w:left="1440" w:right="720" w:hanging="540"/>
    </w:pPr>
    <w:rPr>
      <w:rFonts w:ascii="Times New Roman" w:eastAsia="Times New Roman" w:hAnsi="Times New Roman" w:cs="Times New Roman"/>
      <w:sz w:val="24"/>
      <w:szCs w:val="20"/>
    </w:rPr>
  </w:style>
  <w:style w:type="paragraph" w:customStyle="1" w:styleId="biblio">
    <w:name w:val="biblio"/>
    <w:basedOn w:val="Normal"/>
    <w:rsid w:val="00902DFF"/>
    <w:pPr>
      <w:keepLines/>
      <w:spacing w:after="240" w:line="240" w:lineRule="auto"/>
      <w:ind w:left="720" w:hanging="720"/>
    </w:pPr>
    <w:rPr>
      <w:rFonts w:ascii="Times New Roman" w:eastAsia="Times New Roman" w:hAnsi="Times New Roman" w:cs="Times New Roman"/>
      <w:sz w:val="24"/>
      <w:szCs w:val="20"/>
    </w:rPr>
  </w:style>
  <w:style w:type="character" w:customStyle="1" w:styleId="fqsothertitle1">
    <w:name w:val="fqsothertitle1"/>
    <w:basedOn w:val="DefaultParagraphFont"/>
    <w:rsid w:val="00902DFF"/>
    <w:rPr>
      <w:b/>
      <w:bCs/>
    </w:rPr>
  </w:style>
  <w:style w:type="paragraph" w:customStyle="1" w:styleId="bullets">
    <w:name w:val="bullets"/>
    <w:aliases w:val="bu"/>
    <w:basedOn w:val="Normal"/>
    <w:link w:val="bulletsChar"/>
    <w:rsid w:val="00902DFF"/>
    <w:pPr>
      <w:numPr>
        <w:numId w:val="54"/>
      </w:numPr>
      <w:spacing w:after="240" w:line="240" w:lineRule="auto"/>
    </w:pPr>
    <w:rPr>
      <w:rFonts w:ascii="Times New Roman" w:eastAsia="Times New Roman" w:hAnsi="Times New Roman" w:cs="Times New Roman"/>
      <w:sz w:val="24"/>
      <w:szCs w:val="20"/>
    </w:rPr>
  </w:style>
  <w:style w:type="character" w:customStyle="1" w:styleId="bulletsChar">
    <w:name w:val="bullets Char"/>
    <w:aliases w:val="bu Char"/>
    <w:basedOn w:val="DefaultParagraphFont"/>
    <w:link w:val="bullets"/>
    <w:rsid w:val="00902DFF"/>
    <w:rPr>
      <w:rFonts w:ascii="Times New Roman" w:eastAsia="Times New Roman" w:hAnsi="Times New Roman" w:cs="Times New Roman"/>
      <w:sz w:val="24"/>
      <w:szCs w:val="20"/>
    </w:rPr>
  </w:style>
  <w:style w:type="paragraph" w:customStyle="1" w:styleId="TableBulletLM">
    <w:name w:val="Table Bullet LM"/>
    <w:basedOn w:val="TableText"/>
    <w:qFormat/>
    <w:rsid w:val="00D43F5C"/>
    <w:pPr>
      <w:keepNext w:val="0"/>
      <w:numPr>
        <w:numId w:val="55"/>
      </w:numPr>
      <w:spacing w:before="0" w:after="0"/>
      <w:ind w:left="360"/>
    </w:pPr>
  </w:style>
  <w:style w:type="paragraph" w:styleId="FootnoteText">
    <w:name w:val="footnote text"/>
    <w:basedOn w:val="Normal"/>
    <w:link w:val="FootnoteTextChar"/>
    <w:rsid w:val="00D43F5C"/>
    <w:pPr>
      <w:spacing w:after="0" w:line="240" w:lineRule="auto"/>
      <w:ind w:left="274" w:hanging="274"/>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3F5C"/>
    <w:rPr>
      <w:rFonts w:ascii="Times New Roman" w:eastAsia="Times New Roman" w:hAnsi="Times New Roman" w:cs="Times New Roman"/>
      <w:sz w:val="20"/>
      <w:szCs w:val="20"/>
    </w:rPr>
  </w:style>
  <w:style w:type="paragraph" w:customStyle="1" w:styleId="BodyText1">
    <w:name w:val="Body Text1"/>
    <w:basedOn w:val="Normal"/>
    <w:link w:val="bodytextChar"/>
    <w:rsid w:val="00BC62B6"/>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BC62B6"/>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customStyle="1" w:styleId="Exhibittitle">
    <w:name w:val="Exhibit title"/>
    <w:basedOn w:val="Normal"/>
    <w:rsid w:val="002E628D"/>
    <w:pPr>
      <w:keepNext/>
      <w:keepLines/>
      <w:spacing w:before="120" w:after="120" w:line="240" w:lineRule="auto"/>
      <w:ind w:left="1166" w:hanging="1166"/>
    </w:pPr>
    <w:rPr>
      <w:rFonts w:ascii="Times New Roman" w:eastAsia="Times New Roman" w:hAnsi="Times New Roman" w:cs="Times New Roman"/>
      <w:b/>
      <w:snapToGrid w:val="0"/>
      <w:sz w:val="24"/>
      <w:szCs w:val="20"/>
    </w:rPr>
  </w:style>
  <w:style w:type="paragraph" w:styleId="Revision">
    <w:name w:val="Revision"/>
    <w:hidden/>
    <w:uiPriority w:val="99"/>
    <w:semiHidden/>
    <w:rsid w:val="00D54941"/>
    <w:pPr>
      <w:spacing w:after="0" w:line="240" w:lineRule="auto"/>
    </w:pPr>
  </w:style>
  <w:style w:type="character" w:styleId="FollowedHyperlink">
    <w:name w:val="FollowedHyperlink"/>
    <w:basedOn w:val="DefaultParagraphFont"/>
    <w:uiPriority w:val="99"/>
    <w:semiHidden/>
    <w:unhideWhenUsed/>
    <w:rsid w:val="00E27714"/>
    <w:rPr>
      <w:color w:val="800080" w:themeColor="followedHyperlink"/>
      <w:u w:val="single"/>
    </w:rPr>
  </w:style>
  <w:style w:type="paragraph" w:styleId="NoSpacing">
    <w:name w:val="No Spacing"/>
    <w:uiPriority w:val="1"/>
    <w:qFormat/>
    <w:rsid w:val="004F399F"/>
    <w:pPr>
      <w:spacing w:after="0" w:line="240" w:lineRule="auto"/>
    </w:pPr>
    <w:rPr>
      <w:rFonts w:ascii="Arial" w:eastAsia="Times New Roman" w:hAnsi="Arial" w:cs="Arial"/>
      <w:sz w:val="20"/>
      <w:szCs w:val="20"/>
    </w:rPr>
  </w:style>
  <w:style w:type="paragraph" w:styleId="ListBullet">
    <w:name w:val="List Bullet"/>
    <w:basedOn w:val="Normal"/>
    <w:link w:val="ListBulletChar"/>
    <w:rsid w:val="003C08B7"/>
    <w:pPr>
      <w:numPr>
        <w:numId w:val="50"/>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3C08B7"/>
    <w:rPr>
      <w:rFonts w:ascii="Times New Roman" w:eastAsia="Times New Roman" w:hAnsi="Times New Roman" w:cs="Times New Roman"/>
      <w:kern w:val="24"/>
    </w:rPr>
  </w:style>
  <w:style w:type="paragraph" w:customStyle="1" w:styleId="P1-StandPara">
    <w:name w:val="P1-Stand Para"/>
    <w:rsid w:val="003B1121"/>
    <w:pPr>
      <w:spacing w:after="240" w:line="360" w:lineRule="atLeast"/>
      <w:ind w:firstLine="1152"/>
      <w:jc w:val="both"/>
    </w:pPr>
    <w:rPr>
      <w:rFonts w:ascii="Times New Roman" w:eastAsia="Times New Roman" w:hAnsi="Times New Roman" w:cs="Times New Roman"/>
      <w:szCs w:val="20"/>
    </w:rPr>
  </w:style>
  <w:style w:type="paragraph" w:customStyle="1" w:styleId="BodyText1psg">
    <w:name w:val="Body Text1_psg"/>
    <w:basedOn w:val="Normal"/>
    <w:link w:val="BodyText1psgChar"/>
    <w:rsid w:val="00B56707"/>
    <w:pPr>
      <w:spacing w:after="240" w:line="360" w:lineRule="atLeast"/>
      <w:ind w:firstLine="720"/>
    </w:pPr>
    <w:rPr>
      <w:rFonts w:ascii="Times New Roman" w:eastAsia="Times New Roman" w:hAnsi="Times New Roman" w:cs="Times New Roman"/>
      <w:sz w:val="24"/>
      <w:szCs w:val="20"/>
    </w:rPr>
  </w:style>
  <w:style w:type="character" w:customStyle="1" w:styleId="BodyText1psgChar">
    <w:name w:val="Body Text1_psg Char"/>
    <w:basedOn w:val="DefaultParagraphFont"/>
    <w:link w:val="BodyText1psg"/>
    <w:rsid w:val="00B56707"/>
    <w:rPr>
      <w:rFonts w:ascii="Times New Roman" w:eastAsia="Times New Roman" w:hAnsi="Times New Roman" w:cs="Times New Roman"/>
      <w:sz w:val="24"/>
      <w:szCs w:val="20"/>
    </w:rPr>
  </w:style>
  <w:style w:type="paragraph" w:customStyle="1" w:styleId="bullets-blank">
    <w:name w:val="bullets-blank"/>
    <w:basedOn w:val="Normal"/>
    <w:rsid w:val="00B56707"/>
    <w:pPr>
      <w:spacing w:after="240" w:line="240" w:lineRule="auto"/>
      <w:ind w:left="1080" w:hanging="360"/>
    </w:pPr>
    <w:rPr>
      <w:rFonts w:ascii="Times New Roman" w:eastAsia="Times New Roman" w:hAnsi="Times New Roman" w:cs="Times New Roman"/>
      <w:sz w:val="24"/>
      <w:szCs w:val="20"/>
    </w:rPr>
  </w:style>
  <w:style w:type="paragraph" w:customStyle="1" w:styleId="TableTitle">
    <w:name w:val="Table Title"/>
    <w:basedOn w:val="Normal"/>
    <w:rsid w:val="00D37F3C"/>
    <w:pPr>
      <w:keepNext/>
      <w:keepLines/>
      <w:spacing w:before="240" w:after="240" w:line="240" w:lineRule="auto"/>
      <w:ind w:left="1260" w:hanging="1260"/>
    </w:pPr>
    <w:rPr>
      <w:rFonts w:ascii="Times New Roman" w:eastAsia="Times New Roman" w:hAnsi="Times New Roman" w:cs="Times New Roman"/>
      <w:b/>
      <w:sz w:val="24"/>
      <w:szCs w:val="20"/>
    </w:rPr>
  </w:style>
  <w:style w:type="paragraph" w:customStyle="1" w:styleId="TableHeader">
    <w:name w:val="Table Header"/>
    <w:basedOn w:val="Normal"/>
    <w:qFormat/>
    <w:rsid w:val="00D37F3C"/>
    <w:pPr>
      <w:keepNext/>
      <w:spacing w:before="80" w:after="80" w:line="240" w:lineRule="auto"/>
      <w:jc w:val="center"/>
    </w:pPr>
    <w:rPr>
      <w:rFonts w:ascii="Times New Roman" w:eastAsia="Times New Roman" w:hAnsi="Times New Roman" w:cs="Times New Roman"/>
      <w:b/>
      <w:snapToGrid w:val="0"/>
    </w:rPr>
  </w:style>
  <w:style w:type="paragraph" w:customStyle="1" w:styleId="TableText">
    <w:name w:val="Table Text"/>
    <w:basedOn w:val="Normal"/>
    <w:qFormat/>
    <w:rsid w:val="00D37F3C"/>
    <w:pPr>
      <w:keepNext/>
      <w:spacing w:before="60" w:after="60" w:line="240" w:lineRule="auto"/>
    </w:pPr>
    <w:rPr>
      <w:rFonts w:ascii="Times New Roman" w:eastAsia="Times New Roman" w:hAnsi="Times New Roman" w:cs="Times New Roman"/>
      <w:snapToGrid w:val="0"/>
    </w:rPr>
  </w:style>
  <w:style w:type="table" w:customStyle="1" w:styleId="TableFormat2">
    <w:name w:val="Table_Format2"/>
    <w:basedOn w:val="TableNormal"/>
    <w:rsid w:val="00D37F3C"/>
    <w:pPr>
      <w:spacing w:after="0" w:line="240" w:lineRule="auto"/>
    </w:pPr>
    <w:rPr>
      <w:rFonts w:ascii="Times New Roman" w:eastAsia="Times New Roman" w:hAnsi="Times New Roman" w:cs="Times New Roman"/>
      <w:szCs w:val="20"/>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paragraph" w:styleId="TOC2">
    <w:name w:val="toc 2"/>
    <w:basedOn w:val="Normal"/>
    <w:next w:val="Normal"/>
    <w:uiPriority w:val="39"/>
    <w:rsid w:val="00C23ACC"/>
    <w:pPr>
      <w:tabs>
        <w:tab w:val="right" w:leader="dot" w:pos="9360"/>
      </w:tabs>
      <w:spacing w:before="240" w:after="80" w:line="240" w:lineRule="auto"/>
      <w:ind w:left="1440" w:right="720" w:hanging="540"/>
    </w:pPr>
    <w:rPr>
      <w:rFonts w:ascii="Times New Roman" w:eastAsia="Times New Roman" w:hAnsi="Times New Roman" w:cs="Times New Roman"/>
      <w:sz w:val="24"/>
      <w:szCs w:val="20"/>
    </w:rPr>
  </w:style>
  <w:style w:type="paragraph" w:customStyle="1" w:styleId="biblio">
    <w:name w:val="biblio"/>
    <w:basedOn w:val="Normal"/>
    <w:rsid w:val="00902DFF"/>
    <w:pPr>
      <w:keepLines/>
      <w:spacing w:after="240" w:line="240" w:lineRule="auto"/>
      <w:ind w:left="720" w:hanging="720"/>
    </w:pPr>
    <w:rPr>
      <w:rFonts w:ascii="Times New Roman" w:eastAsia="Times New Roman" w:hAnsi="Times New Roman" w:cs="Times New Roman"/>
      <w:sz w:val="24"/>
      <w:szCs w:val="20"/>
    </w:rPr>
  </w:style>
  <w:style w:type="character" w:customStyle="1" w:styleId="fqsothertitle1">
    <w:name w:val="fqsothertitle1"/>
    <w:basedOn w:val="DefaultParagraphFont"/>
    <w:rsid w:val="00902DFF"/>
    <w:rPr>
      <w:b/>
      <w:bCs/>
    </w:rPr>
  </w:style>
  <w:style w:type="paragraph" w:customStyle="1" w:styleId="bullets">
    <w:name w:val="bullets"/>
    <w:aliases w:val="bu"/>
    <w:basedOn w:val="Normal"/>
    <w:link w:val="bulletsChar"/>
    <w:rsid w:val="00902DFF"/>
    <w:pPr>
      <w:numPr>
        <w:numId w:val="54"/>
      </w:numPr>
      <w:spacing w:after="240" w:line="240" w:lineRule="auto"/>
    </w:pPr>
    <w:rPr>
      <w:rFonts w:ascii="Times New Roman" w:eastAsia="Times New Roman" w:hAnsi="Times New Roman" w:cs="Times New Roman"/>
      <w:sz w:val="24"/>
      <w:szCs w:val="20"/>
    </w:rPr>
  </w:style>
  <w:style w:type="character" w:customStyle="1" w:styleId="bulletsChar">
    <w:name w:val="bullets Char"/>
    <w:aliases w:val="bu Char"/>
    <w:basedOn w:val="DefaultParagraphFont"/>
    <w:link w:val="bullets"/>
    <w:rsid w:val="00902DFF"/>
    <w:rPr>
      <w:rFonts w:ascii="Times New Roman" w:eastAsia="Times New Roman" w:hAnsi="Times New Roman" w:cs="Times New Roman"/>
      <w:sz w:val="24"/>
      <w:szCs w:val="20"/>
    </w:rPr>
  </w:style>
  <w:style w:type="paragraph" w:customStyle="1" w:styleId="TableBulletLM">
    <w:name w:val="Table Bullet LM"/>
    <w:basedOn w:val="TableText"/>
    <w:qFormat/>
    <w:rsid w:val="00D43F5C"/>
    <w:pPr>
      <w:keepNext w:val="0"/>
      <w:numPr>
        <w:numId w:val="55"/>
      </w:numPr>
      <w:spacing w:before="0" w:after="0"/>
      <w:ind w:left="360"/>
    </w:pPr>
  </w:style>
  <w:style w:type="paragraph" w:styleId="FootnoteText">
    <w:name w:val="footnote text"/>
    <w:basedOn w:val="Normal"/>
    <w:link w:val="FootnoteTextChar"/>
    <w:rsid w:val="00D43F5C"/>
    <w:pPr>
      <w:spacing w:after="0" w:line="240" w:lineRule="auto"/>
      <w:ind w:left="274" w:hanging="274"/>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3F5C"/>
    <w:rPr>
      <w:rFonts w:ascii="Times New Roman" w:eastAsia="Times New Roman" w:hAnsi="Times New Roman" w:cs="Times New Roman"/>
      <w:sz w:val="20"/>
      <w:szCs w:val="20"/>
    </w:rPr>
  </w:style>
  <w:style w:type="paragraph" w:customStyle="1" w:styleId="BodyText1">
    <w:name w:val="Body Text1"/>
    <w:basedOn w:val="Normal"/>
    <w:link w:val="bodytextChar"/>
    <w:rsid w:val="00BC62B6"/>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aliases w:val="bt Char,body tx Char,indent Char,flush Char,memo body text Char,bt Char Char Char Char,body text1 Char Char Char Char,bt Char1,memo Char,memo body text Char Char,flush Char Char Char"/>
    <w:link w:val="BodyText1"/>
    <w:rsid w:val="00BC62B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9774">
      <w:bodyDiv w:val="1"/>
      <w:marLeft w:val="0"/>
      <w:marRight w:val="0"/>
      <w:marTop w:val="0"/>
      <w:marBottom w:val="0"/>
      <w:divBdr>
        <w:top w:val="none" w:sz="0" w:space="0" w:color="auto"/>
        <w:left w:val="none" w:sz="0" w:space="0" w:color="auto"/>
        <w:bottom w:val="none" w:sz="0" w:space="0" w:color="auto"/>
        <w:right w:val="none" w:sz="0" w:space="0" w:color="auto"/>
      </w:divBdr>
    </w:div>
    <w:div w:id="114954431">
      <w:bodyDiv w:val="1"/>
      <w:marLeft w:val="0"/>
      <w:marRight w:val="0"/>
      <w:marTop w:val="0"/>
      <w:marBottom w:val="0"/>
      <w:divBdr>
        <w:top w:val="none" w:sz="0" w:space="0" w:color="auto"/>
        <w:left w:val="none" w:sz="0" w:space="0" w:color="auto"/>
        <w:bottom w:val="none" w:sz="0" w:space="0" w:color="auto"/>
        <w:right w:val="none" w:sz="0" w:space="0" w:color="auto"/>
      </w:divBdr>
      <w:divsChild>
        <w:div w:id="1155535453">
          <w:marLeft w:val="0"/>
          <w:marRight w:val="0"/>
          <w:marTop w:val="0"/>
          <w:marBottom w:val="0"/>
          <w:divBdr>
            <w:top w:val="single" w:sz="6" w:space="4" w:color="000000"/>
            <w:left w:val="none" w:sz="0" w:space="0" w:color="auto"/>
            <w:bottom w:val="none" w:sz="0" w:space="0" w:color="auto"/>
            <w:right w:val="none" w:sz="0" w:space="0" w:color="auto"/>
          </w:divBdr>
          <w:divsChild>
            <w:div w:id="697851939">
              <w:marLeft w:val="0"/>
              <w:marRight w:val="0"/>
              <w:marTop w:val="240"/>
              <w:marBottom w:val="240"/>
              <w:divBdr>
                <w:top w:val="none" w:sz="0" w:space="0" w:color="auto"/>
                <w:left w:val="none" w:sz="0" w:space="0" w:color="auto"/>
                <w:bottom w:val="none" w:sz="0" w:space="0" w:color="auto"/>
                <w:right w:val="none" w:sz="0" w:space="0" w:color="auto"/>
              </w:divBdr>
              <w:divsChild>
                <w:div w:id="960963968">
                  <w:marLeft w:val="75"/>
                  <w:marRight w:val="75"/>
                  <w:marTop w:val="0"/>
                  <w:marBottom w:val="0"/>
                  <w:divBdr>
                    <w:top w:val="none" w:sz="0" w:space="0" w:color="auto"/>
                    <w:left w:val="none" w:sz="0" w:space="0" w:color="auto"/>
                    <w:bottom w:val="none" w:sz="0" w:space="0" w:color="auto"/>
                    <w:right w:val="none" w:sz="0" w:space="0" w:color="auto"/>
                  </w:divBdr>
                  <w:divsChild>
                    <w:div w:id="7609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960704">
      <w:bodyDiv w:val="1"/>
      <w:marLeft w:val="0"/>
      <w:marRight w:val="0"/>
      <w:marTop w:val="0"/>
      <w:marBottom w:val="0"/>
      <w:divBdr>
        <w:top w:val="none" w:sz="0" w:space="0" w:color="auto"/>
        <w:left w:val="none" w:sz="0" w:space="0" w:color="auto"/>
        <w:bottom w:val="none" w:sz="0" w:space="0" w:color="auto"/>
        <w:right w:val="none" w:sz="0" w:space="0" w:color="auto"/>
      </w:divBdr>
      <w:divsChild>
        <w:div w:id="1578511927">
          <w:marLeft w:val="0"/>
          <w:marRight w:val="0"/>
          <w:marTop w:val="0"/>
          <w:marBottom w:val="0"/>
          <w:divBdr>
            <w:top w:val="none" w:sz="0" w:space="0" w:color="auto"/>
            <w:left w:val="none" w:sz="0" w:space="0" w:color="auto"/>
            <w:bottom w:val="none" w:sz="0" w:space="0" w:color="auto"/>
            <w:right w:val="none" w:sz="0" w:space="0" w:color="auto"/>
          </w:divBdr>
          <w:divsChild>
            <w:div w:id="988285054">
              <w:marLeft w:val="0"/>
              <w:marRight w:val="0"/>
              <w:marTop w:val="0"/>
              <w:marBottom w:val="0"/>
              <w:divBdr>
                <w:top w:val="none" w:sz="0" w:space="0" w:color="auto"/>
                <w:left w:val="none" w:sz="0" w:space="0" w:color="auto"/>
                <w:bottom w:val="none" w:sz="0" w:space="0" w:color="auto"/>
                <w:right w:val="none" w:sz="0" w:space="0" w:color="auto"/>
              </w:divBdr>
              <w:divsChild>
                <w:div w:id="1459446692">
                  <w:marLeft w:val="0"/>
                  <w:marRight w:val="0"/>
                  <w:marTop w:val="0"/>
                  <w:marBottom w:val="0"/>
                  <w:divBdr>
                    <w:top w:val="none" w:sz="0" w:space="0" w:color="auto"/>
                    <w:left w:val="none" w:sz="0" w:space="0" w:color="auto"/>
                    <w:bottom w:val="none" w:sz="0" w:space="0" w:color="auto"/>
                    <w:right w:val="none" w:sz="0" w:space="0" w:color="auto"/>
                  </w:divBdr>
                  <w:divsChild>
                    <w:div w:id="379475849">
                      <w:marLeft w:val="0"/>
                      <w:marRight w:val="120"/>
                      <w:marTop w:val="0"/>
                      <w:marBottom w:val="0"/>
                      <w:divBdr>
                        <w:top w:val="none" w:sz="0" w:space="0" w:color="auto"/>
                        <w:left w:val="none" w:sz="0" w:space="0" w:color="auto"/>
                        <w:bottom w:val="none" w:sz="0" w:space="0" w:color="auto"/>
                        <w:right w:val="none" w:sz="0" w:space="0" w:color="auto"/>
                      </w:divBdr>
                      <w:divsChild>
                        <w:div w:id="2021740617">
                          <w:marLeft w:val="0"/>
                          <w:marRight w:val="0"/>
                          <w:marTop w:val="0"/>
                          <w:marBottom w:val="0"/>
                          <w:divBdr>
                            <w:top w:val="none" w:sz="0" w:space="0" w:color="auto"/>
                            <w:left w:val="none" w:sz="0" w:space="0" w:color="auto"/>
                            <w:bottom w:val="none" w:sz="0" w:space="0" w:color="auto"/>
                            <w:right w:val="none" w:sz="0" w:space="0" w:color="auto"/>
                          </w:divBdr>
                          <w:divsChild>
                            <w:div w:id="923225413">
                              <w:marLeft w:val="0"/>
                              <w:marRight w:val="0"/>
                              <w:marTop w:val="0"/>
                              <w:marBottom w:val="0"/>
                              <w:divBdr>
                                <w:top w:val="none" w:sz="0" w:space="0" w:color="auto"/>
                                <w:left w:val="none" w:sz="0" w:space="0" w:color="auto"/>
                                <w:bottom w:val="none" w:sz="0" w:space="0" w:color="auto"/>
                                <w:right w:val="none" w:sz="0" w:space="0" w:color="auto"/>
                              </w:divBdr>
                              <w:divsChild>
                                <w:div w:id="1133789096">
                                  <w:marLeft w:val="0"/>
                                  <w:marRight w:val="0"/>
                                  <w:marTop w:val="0"/>
                                  <w:marBottom w:val="0"/>
                                  <w:divBdr>
                                    <w:top w:val="none" w:sz="0" w:space="0" w:color="auto"/>
                                    <w:left w:val="none" w:sz="0" w:space="0" w:color="auto"/>
                                    <w:bottom w:val="none" w:sz="0" w:space="0" w:color="auto"/>
                                    <w:right w:val="none" w:sz="0" w:space="0" w:color="auto"/>
                                  </w:divBdr>
                                  <w:divsChild>
                                    <w:div w:id="11010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096951">
      <w:bodyDiv w:val="1"/>
      <w:marLeft w:val="0"/>
      <w:marRight w:val="0"/>
      <w:marTop w:val="0"/>
      <w:marBottom w:val="0"/>
      <w:divBdr>
        <w:top w:val="none" w:sz="0" w:space="0" w:color="auto"/>
        <w:left w:val="none" w:sz="0" w:space="0" w:color="auto"/>
        <w:bottom w:val="none" w:sz="0" w:space="0" w:color="auto"/>
        <w:right w:val="none" w:sz="0" w:space="0" w:color="auto"/>
      </w:divBdr>
    </w:div>
    <w:div w:id="421877828">
      <w:bodyDiv w:val="1"/>
      <w:marLeft w:val="0"/>
      <w:marRight w:val="0"/>
      <w:marTop w:val="0"/>
      <w:marBottom w:val="0"/>
      <w:divBdr>
        <w:top w:val="none" w:sz="0" w:space="0" w:color="auto"/>
        <w:left w:val="none" w:sz="0" w:space="0" w:color="auto"/>
        <w:bottom w:val="none" w:sz="0" w:space="0" w:color="auto"/>
        <w:right w:val="none" w:sz="0" w:space="0" w:color="auto"/>
      </w:divBdr>
      <w:divsChild>
        <w:div w:id="1222130486">
          <w:marLeft w:val="0"/>
          <w:marRight w:val="0"/>
          <w:marTop w:val="0"/>
          <w:marBottom w:val="0"/>
          <w:divBdr>
            <w:top w:val="none" w:sz="0" w:space="0" w:color="auto"/>
            <w:left w:val="none" w:sz="0" w:space="0" w:color="auto"/>
            <w:bottom w:val="none" w:sz="0" w:space="0" w:color="auto"/>
            <w:right w:val="none" w:sz="0" w:space="0" w:color="auto"/>
          </w:divBdr>
          <w:divsChild>
            <w:div w:id="2047172767">
              <w:marLeft w:val="0"/>
              <w:marRight w:val="0"/>
              <w:marTop w:val="0"/>
              <w:marBottom w:val="0"/>
              <w:divBdr>
                <w:top w:val="none" w:sz="0" w:space="0" w:color="auto"/>
                <w:left w:val="none" w:sz="0" w:space="0" w:color="auto"/>
                <w:bottom w:val="none" w:sz="0" w:space="0" w:color="auto"/>
                <w:right w:val="none" w:sz="0" w:space="0" w:color="auto"/>
              </w:divBdr>
              <w:divsChild>
                <w:div w:id="712583551">
                  <w:marLeft w:val="0"/>
                  <w:marRight w:val="0"/>
                  <w:marTop w:val="0"/>
                  <w:marBottom w:val="0"/>
                  <w:divBdr>
                    <w:top w:val="none" w:sz="0" w:space="0" w:color="auto"/>
                    <w:left w:val="none" w:sz="0" w:space="0" w:color="auto"/>
                    <w:bottom w:val="none" w:sz="0" w:space="0" w:color="auto"/>
                    <w:right w:val="none" w:sz="0" w:space="0" w:color="auto"/>
                  </w:divBdr>
                  <w:divsChild>
                    <w:div w:id="1265772201">
                      <w:marLeft w:val="0"/>
                      <w:marRight w:val="120"/>
                      <w:marTop w:val="0"/>
                      <w:marBottom w:val="0"/>
                      <w:divBdr>
                        <w:top w:val="none" w:sz="0" w:space="0" w:color="auto"/>
                        <w:left w:val="none" w:sz="0" w:space="0" w:color="auto"/>
                        <w:bottom w:val="none" w:sz="0" w:space="0" w:color="auto"/>
                        <w:right w:val="none" w:sz="0" w:space="0" w:color="auto"/>
                      </w:divBdr>
                      <w:divsChild>
                        <w:div w:id="94636265">
                          <w:marLeft w:val="0"/>
                          <w:marRight w:val="0"/>
                          <w:marTop w:val="0"/>
                          <w:marBottom w:val="0"/>
                          <w:divBdr>
                            <w:top w:val="none" w:sz="0" w:space="0" w:color="auto"/>
                            <w:left w:val="none" w:sz="0" w:space="0" w:color="auto"/>
                            <w:bottom w:val="none" w:sz="0" w:space="0" w:color="auto"/>
                            <w:right w:val="none" w:sz="0" w:space="0" w:color="auto"/>
                          </w:divBdr>
                          <w:divsChild>
                            <w:div w:id="1297370508">
                              <w:marLeft w:val="0"/>
                              <w:marRight w:val="0"/>
                              <w:marTop w:val="0"/>
                              <w:marBottom w:val="0"/>
                              <w:divBdr>
                                <w:top w:val="none" w:sz="0" w:space="0" w:color="auto"/>
                                <w:left w:val="none" w:sz="0" w:space="0" w:color="auto"/>
                                <w:bottom w:val="none" w:sz="0" w:space="0" w:color="auto"/>
                                <w:right w:val="none" w:sz="0" w:space="0" w:color="auto"/>
                              </w:divBdr>
                              <w:divsChild>
                                <w:div w:id="1062173433">
                                  <w:marLeft w:val="0"/>
                                  <w:marRight w:val="0"/>
                                  <w:marTop w:val="0"/>
                                  <w:marBottom w:val="0"/>
                                  <w:divBdr>
                                    <w:top w:val="none" w:sz="0" w:space="0" w:color="auto"/>
                                    <w:left w:val="none" w:sz="0" w:space="0" w:color="auto"/>
                                    <w:bottom w:val="none" w:sz="0" w:space="0" w:color="auto"/>
                                    <w:right w:val="none" w:sz="0" w:space="0" w:color="auto"/>
                                  </w:divBdr>
                                  <w:divsChild>
                                    <w:div w:id="10541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729573">
      <w:bodyDiv w:val="1"/>
      <w:marLeft w:val="0"/>
      <w:marRight w:val="0"/>
      <w:marTop w:val="0"/>
      <w:marBottom w:val="0"/>
      <w:divBdr>
        <w:top w:val="none" w:sz="0" w:space="0" w:color="auto"/>
        <w:left w:val="none" w:sz="0" w:space="0" w:color="auto"/>
        <w:bottom w:val="none" w:sz="0" w:space="0" w:color="auto"/>
        <w:right w:val="none" w:sz="0" w:space="0" w:color="auto"/>
      </w:divBdr>
    </w:div>
    <w:div w:id="651763434">
      <w:bodyDiv w:val="1"/>
      <w:marLeft w:val="0"/>
      <w:marRight w:val="0"/>
      <w:marTop w:val="0"/>
      <w:marBottom w:val="0"/>
      <w:divBdr>
        <w:top w:val="none" w:sz="0" w:space="0" w:color="auto"/>
        <w:left w:val="none" w:sz="0" w:space="0" w:color="auto"/>
        <w:bottom w:val="none" w:sz="0" w:space="0" w:color="auto"/>
        <w:right w:val="none" w:sz="0" w:space="0" w:color="auto"/>
      </w:divBdr>
      <w:divsChild>
        <w:div w:id="1822039813">
          <w:marLeft w:val="0"/>
          <w:marRight w:val="0"/>
          <w:marTop w:val="0"/>
          <w:marBottom w:val="0"/>
          <w:divBdr>
            <w:top w:val="single" w:sz="6" w:space="4" w:color="000000"/>
            <w:left w:val="none" w:sz="0" w:space="0" w:color="auto"/>
            <w:bottom w:val="none" w:sz="0" w:space="0" w:color="auto"/>
            <w:right w:val="none" w:sz="0" w:space="0" w:color="auto"/>
          </w:divBdr>
          <w:divsChild>
            <w:div w:id="1220676361">
              <w:marLeft w:val="0"/>
              <w:marRight w:val="0"/>
              <w:marTop w:val="240"/>
              <w:marBottom w:val="240"/>
              <w:divBdr>
                <w:top w:val="none" w:sz="0" w:space="0" w:color="auto"/>
                <w:left w:val="none" w:sz="0" w:space="0" w:color="auto"/>
                <w:bottom w:val="none" w:sz="0" w:space="0" w:color="auto"/>
                <w:right w:val="none" w:sz="0" w:space="0" w:color="auto"/>
              </w:divBdr>
              <w:divsChild>
                <w:div w:id="2002266997">
                  <w:marLeft w:val="75"/>
                  <w:marRight w:val="75"/>
                  <w:marTop w:val="0"/>
                  <w:marBottom w:val="0"/>
                  <w:divBdr>
                    <w:top w:val="none" w:sz="0" w:space="0" w:color="auto"/>
                    <w:left w:val="none" w:sz="0" w:space="0" w:color="auto"/>
                    <w:bottom w:val="none" w:sz="0" w:space="0" w:color="auto"/>
                    <w:right w:val="none" w:sz="0" w:space="0" w:color="auto"/>
                  </w:divBdr>
                  <w:divsChild>
                    <w:div w:id="1561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02255">
      <w:bodyDiv w:val="1"/>
      <w:marLeft w:val="0"/>
      <w:marRight w:val="0"/>
      <w:marTop w:val="0"/>
      <w:marBottom w:val="0"/>
      <w:divBdr>
        <w:top w:val="none" w:sz="0" w:space="0" w:color="auto"/>
        <w:left w:val="none" w:sz="0" w:space="0" w:color="auto"/>
        <w:bottom w:val="none" w:sz="0" w:space="0" w:color="auto"/>
        <w:right w:val="none" w:sz="0" w:space="0" w:color="auto"/>
      </w:divBdr>
    </w:div>
    <w:div w:id="1166439377">
      <w:bodyDiv w:val="1"/>
      <w:marLeft w:val="0"/>
      <w:marRight w:val="0"/>
      <w:marTop w:val="0"/>
      <w:marBottom w:val="0"/>
      <w:divBdr>
        <w:top w:val="none" w:sz="0" w:space="0" w:color="auto"/>
        <w:left w:val="none" w:sz="0" w:space="0" w:color="auto"/>
        <w:bottom w:val="none" w:sz="0" w:space="0" w:color="auto"/>
        <w:right w:val="none" w:sz="0" w:space="0" w:color="auto"/>
      </w:divBdr>
      <w:divsChild>
        <w:div w:id="649485350">
          <w:marLeft w:val="0"/>
          <w:marRight w:val="0"/>
          <w:marTop w:val="0"/>
          <w:marBottom w:val="0"/>
          <w:divBdr>
            <w:top w:val="none" w:sz="0" w:space="0" w:color="auto"/>
            <w:left w:val="none" w:sz="0" w:space="0" w:color="auto"/>
            <w:bottom w:val="none" w:sz="0" w:space="0" w:color="auto"/>
            <w:right w:val="none" w:sz="0" w:space="0" w:color="auto"/>
          </w:divBdr>
          <w:divsChild>
            <w:div w:id="1841122670">
              <w:marLeft w:val="0"/>
              <w:marRight w:val="0"/>
              <w:marTop w:val="0"/>
              <w:marBottom w:val="0"/>
              <w:divBdr>
                <w:top w:val="none" w:sz="0" w:space="0" w:color="auto"/>
                <w:left w:val="none" w:sz="0" w:space="0" w:color="auto"/>
                <w:bottom w:val="none" w:sz="0" w:space="0" w:color="auto"/>
                <w:right w:val="none" w:sz="0" w:space="0" w:color="auto"/>
              </w:divBdr>
              <w:divsChild>
                <w:div w:id="674186171">
                  <w:marLeft w:val="0"/>
                  <w:marRight w:val="0"/>
                  <w:marTop w:val="0"/>
                  <w:marBottom w:val="0"/>
                  <w:divBdr>
                    <w:top w:val="none" w:sz="0" w:space="0" w:color="auto"/>
                    <w:left w:val="none" w:sz="0" w:space="0" w:color="auto"/>
                    <w:bottom w:val="none" w:sz="0" w:space="0" w:color="auto"/>
                    <w:right w:val="none" w:sz="0" w:space="0" w:color="auto"/>
                  </w:divBdr>
                  <w:divsChild>
                    <w:div w:id="1989897111">
                      <w:marLeft w:val="0"/>
                      <w:marRight w:val="0"/>
                      <w:marTop w:val="0"/>
                      <w:marBottom w:val="0"/>
                      <w:divBdr>
                        <w:top w:val="none" w:sz="0" w:space="0" w:color="auto"/>
                        <w:left w:val="none" w:sz="0" w:space="0" w:color="auto"/>
                        <w:bottom w:val="none" w:sz="0" w:space="0" w:color="auto"/>
                        <w:right w:val="none" w:sz="0" w:space="0" w:color="auto"/>
                      </w:divBdr>
                      <w:divsChild>
                        <w:div w:id="1532916727">
                          <w:marLeft w:val="0"/>
                          <w:marRight w:val="0"/>
                          <w:marTop w:val="0"/>
                          <w:marBottom w:val="0"/>
                          <w:divBdr>
                            <w:top w:val="none" w:sz="0" w:space="0" w:color="auto"/>
                            <w:left w:val="none" w:sz="0" w:space="0" w:color="auto"/>
                            <w:bottom w:val="none" w:sz="0" w:space="0" w:color="auto"/>
                            <w:right w:val="none" w:sz="0" w:space="0" w:color="auto"/>
                          </w:divBdr>
                          <w:divsChild>
                            <w:div w:id="55288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97270">
      <w:bodyDiv w:val="1"/>
      <w:marLeft w:val="0"/>
      <w:marRight w:val="0"/>
      <w:marTop w:val="0"/>
      <w:marBottom w:val="0"/>
      <w:divBdr>
        <w:top w:val="none" w:sz="0" w:space="0" w:color="auto"/>
        <w:left w:val="none" w:sz="0" w:space="0" w:color="auto"/>
        <w:bottom w:val="none" w:sz="0" w:space="0" w:color="auto"/>
        <w:right w:val="none" w:sz="0" w:space="0" w:color="auto"/>
      </w:divBdr>
      <w:divsChild>
        <w:div w:id="1671366688">
          <w:marLeft w:val="0"/>
          <w:marRight w:val="0"/>
          <w:marTop w:val="150"/>
          <w:marBottom w:val="150"/>
          <w:divBdr>
            <w:top w:val="single" w:sz="6" w:space="0" w:color="9B9A7A"/>
            <w:left w:val="single" w:sz="6" w:space="0" w:color="9B9A7A"/>
            <w:bottom w:val="single" w:sz="6" w:space="0" w:color="9B9A7A"/>
            <w:right w:val="single" w:sz="6" w:space="0" w:color="9B9A7A"/>
          </w:divBdr>
          <w:divsChild>
            <w:div w:id="1129274644">
              <w:marLeft w:val="0"/>
              <w:marRight w:val="0"/>
              <w:marTop w:val="0"/>
              <w:marBottom w:val="0"/>
              <w:divBdr>
                <w:top w:val="none" w:sz="0" w:space="0" w:color="auto"/>
                <w:left w:val="none" w:sz="0" w:space="0" w:color="auto"/>
                <w:bottom w:val="none" w:sz="0" w:space="0" w:color="auto"/>
                <w:right w:val="none" w:sz="0" w:space="0" w:color="auto"/>
              </w:divBdr>
              <w:divsChild>
                <w:div w:id="953752793">
                  <w:marLeft w:val="3225"/>
                  <w:marRight w:val="225"/>
                  <w:marTop w:val="0"/>
                  <w:marBottom w:val="0"/>
                  <w:divBdr>
                    <w:top w:val="none" w:sz="0" w:space="0" w:color="auto"/>
                    <w:left w:val="none" w:sz="0" w:space="0" w:color="auto"/>
                    <w:bottom w:val="none" w:sz="0" w:space="0" w:color="auto"/>
                    <w:right w:val="none" w:sz="0" w:space="0" w:color="auto"/>
                  </w:divBdr>
                  <w:divsChild>
                    <w:div w:id="1240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92157242">
      <w:bodyDiv w:val="1"/>
      <w:marLeft w:val="0"/>
      <w:marRight w:val="0"/>
      <w:marTop w:val="0"/>
      <w:marBottom w:val="0"/>
      <w:divBdr>
        <w:top w:val="none" w:sz="0" w:space="0" w:color="auto"/>
        <w:left w:val="none" w:sz="0" w:space="0" w:color="auto"/>
        <w:bottom w:val="none" w:sz="0" w:space="0" w:color="auto"/>
        <w:right w:val="none" w:sz="0" w:space="0" w:color="auto"/>
      </w:divBdr>
    </w:div>
    <w:div w:id="1639527808">
      <w:bodyDiv w:val="1"/>
      <w:marLeft w:val="0"/>
      <w:marRight w:val="0"/>
      <w:marTop w:val="0"/>
      <w:marBottom w:val="0"/>
      <w:divBdr>
        <w:top w:val="none" w:sz="0" w:space="0" w:color="auto"/>
        <w:left w:val="none" w:sz="0" w:space="0" w:color="auto"/>
        <w:bottom w:val="none" w:sz="0" w:space="0" w:color="auto"/>
        <w:right w:val="none" w:sz="0" w:space="0" w:color="auto"/>
      </w:divBdr>
    </w:div>
    <w:div w:id="1741323110">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21001966">
      <w:bodyDiv w:val="1"/>
      <w:marLeft w:val="0"/>
      <w:marRight w:val="0"/>
      <w:marTop w:val="0"/>
      <w:marBottom w:val="0"/>
      <w:divBdr>
        <w:top w:val="none" w:sz="0" w:space="0" w:color="auto"/>
        <w:left w:val="none" w:sz="0" w:space="0" w:color="auto"/>
        <w:bottom w:val="none" w:sz="0" w:space="0" w:color="auto"/>
        <w:right w:val="none" w:sz="0" w:space="0" w:color="auto"/>
      </w:divBdr>
    </w:div>
    <w:div w:id="2132744887">
      <w:bodyDiv w:val="1"/>
      <w:marLeft w:val="0"/>
      <w:marRight w:val="0"/>
      <w:marTop w:val="0"/>
      <w:marBottom w:val="0"/>
      <w:divBdr>
        <w:top w:val="none" w:sz="0" w:space="0" w:color="auto"/>
        <w:left w:val="none" w:sz="0" w:space="0" w:color="auto"/>
        <w:bottom w:val="none" w:sz="0" w:space="0" w:color="auto"/>
        <w:right w:val="none" w:sz="0" w:space="0" w:color="auto"/>
      </w:divBdr>
      <w:divsChild>
        <w:div w:id="1705210114">
          <w:marLeft w:val="0"/>
          <w:marRight w:val="0"/>
          <w:marTop w:val="0"/>
          <w:marBottom w:val="0"/>
          <w:divBdr>
            <w:top w:val="none" w:sz="0" w:space="0" w:color="auto"/>
            <w:left w:val="none" w:sz="0" w:space="0" w:color="auto"/>
            <w:bottom w:val="none" w:sz="0" w:space="0" w:color="auto"/>
            <w:right w:val="none" w:sz="0" w:space="0" w:color="auto"/>
          </w:divBdr>
          <w:divsChild>
            <w:div w:id="1357073166">
              <w:marLeft w:val="0"/>
              <w:marRight w:val="0"/>
              <w:marTop w:val="0"/>
              <w:marBottom w:val="0"/>
              <w:divBdr>
                <w:top w:val="none" w:sz="0" w:space="0" w:color="auto"/>
                <w:left w:val="none" w:sz="0" w:space="0" w:color="auto"/>
                <w:bottom w:val="none" w:sz="0" w:space="0" w:color="auto"/>
                <w:right w:val="none" w:sz="0" w:space="0" w:color="auto"/>
              </w:divBdr>
              <w:divsChild>
                <w:div w:id="403181204">
                  <w:marLeft w:val="0"/>
                  <w:marRight w:val="0"/>
                  <w:marTop w:val="0"/>
                  <w:marBottom w:val="0"/>
                  <w:divBdr>
                    <w:top w:val="none" w:sz="0" w:space="0" w:color="auto"/>
                    <w:left w:val="none" w:sz="0" w:space="0" w:color="auto"/>
                    <w:bottom w:val="none" w:sz="0" w:space="0" w:color="auto"/>
                    <w:right w:val="none" w:sz="0" w:space="0" w:color="auto"/>
                  </w:divBdr>
                  <w:divsChild>
                    <w:div w:id="845289948">
                      <w:marLeft w:val="0"/>
                      <w:marRight w:val="0"/>
                      <w:marTop w:val="0"/>
                      <w:marBottom w:val="0"/>
                      <w:divBdr>
                        <w:top w:val="none" w:sz="0" w:space="0" w:color="auto"/>
                        <w:left w:val="none" w:sz="0" w:space="0" w:color="auto"/>
                        <w:bottom w:val="none" w:sz="0" w:space="0" w:color="auto"/>
                        <w:right w:val="none" w:sz="0" w:space="0" w:color="auto"/>
                      </w:divBdr>
                      <w:divsChild>
                        <w:div w:id="1208956669">
                          <w:marLeft w:val="0"/>
                          <w:marRight w:val="0"/>
                          <w:marTop w:val="0"/>
                          <w:marBottom w:val="0"/>
                          <w:divBdr>
                            <w:top w:val="none" w:sz="0" w:space="0" w:color="auto"/>
                            <w:left w:val="none" w:sz="0" w:space="0" w:color="auto"/>
                            <w:bottom w:val="none" w:sz="0" w:space="0" w:color="auto"/>
                            <w:right w:val="none" w:sz="0" w:space="0" w:color="auto"/>
                          </w:divBdr>
                          <w:divsChild>
                            <w:div w:id="3029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biermann@marchofdimes.com" TargetMode="External"/><Relationship Id="rId4" Type="http://schemas.microsoft.com/office/2007/relationships/stylesWithEffects" Target="stylesWithEffects.xml"/><Relationship Id="rId9" Type="http://schemas.openxmlformats.org/officeDocument/2006/relationships/hyperlink" Target="mailto:bhm0@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32EED-FE1B-43E2-BA72-C0EE362F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8944</Words>
  <Characters>50985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2014-11-13T18:33:00Z</dcterms:created>
  <dcterms:modified xsi:type="dcterms:W3CDTF">2014-11-14T16:20:00Z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