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BF" w:rsidRDefault="004210BF">
      <w:pPr>
        <w:jc w:val="center"/>
        <w:outlineLvl w:val="0"/>
        <w:rPr>
          <w:sz w:val="24"/>
          <w:szCs w:val="24"/>
        </w:rPr>
      </w:pPr>
      <w:r>
        <w:rPr>
          <w:sz w:val="24"/>
          <w:szCs w:val="24"/>
        </w:rPr>
        <w:t xml:space="preserve">Health Care and Other Facilities Project </w:t>
      </w:r>
    </w:p>
    <w:p w:rsidR="004210BF" w:rsidRPr="000A0FE2" w:rsidRDefault="004210BF">
      <w:pPr>
        <w:jc w:val="center"/>
        <w:outlineLvl w:val="0"/>
        <w:rPr>
          <w:sz w:val="24"/>
          <w:szCs w:val="24"/>
        </w:rPr>
      </w:pPr>
      <w:r>
        <w:rPr>
          <w:sz w:val="24"/>
          <w:szCs w:val="24"/>
        </w:rPr>
        <w:t>Status Update Form</w:t>
      </w:r>
    </w:p>
    <w:p w:rsidR="004210BF" w:rsidRPr="000A0FE2" w:rsidRDefault="004210BF">
      <w:pPr>
        <w:rPr>
          <w:sz w:val="24"/>
          <w:szCs w:val="24"/>
        </w:rPr>
      </w:pPr>
    </w:p>
    <w:p w:rsidR="004210BF" w:rsidRPr="000A0FE2" w:rsidRDefault="004210BF">
      <w:pPr>
        <w:jc w:val="center"/>
        <w:outlineLvl w:val="0"/>
        <w:rPr>
          <w:sz w:val="24"/>
          <w:szCs w:val="24"/>
        </w:rPr>
      </w:pPr>
      <w:r w:rsidRPr="000A0FE2">
        <w:rPr>
          <w:sz w:val="24"/>
          <w:szCs w:val="24"/>
        </w:rPr>
        <w:t>SUPPORTING STATEMENT</w:t>
      </w:r>
    </w:p>
    <w:p w:rsidR="004210BF" w:rsidRPr="000A0FE2" w:rsidRDefault="004210BF">
      <w:pPr>
        <w:rPr>
          <w:sz w:val="24"/>
          <w:szCs w:val="24"/>
        </w:rPr>
      </w:pPr>
    </w:p>
    <w:p w:rsidR="004210BF" w:rsidRPr="000A0FE2" w:rsidRDefault="004210BF">
      <w:pPr>
        <w:outlineLvl w:val="0"/>
        <w:rPr>
          <w:sz w:val="24"/>
          <w:szCs w:val="24"/>
        </w:rPr>
      </w:pPr>
      <w:r w:rsidRPr="000A0FE2">
        <w:rPr>
          <w:sz w:val="24"/>
          <w:szCs w:val="24"/>
        </w:rPr>
        <w:t>A.   JUSTIFICATION</w:t>
      </w:r>
    </w:p>
    <w:p w:rsidR="004210BF" w:rsidRPr="000A0FE2" w:rsidRDefault="004210BF">
      <w:pPr>
        <w:rPr>
          <w:sz w:val="24"/>
          <w:szCs w:val="24"/>
        </w:rPr>
      </w:pPr>
    </w:p>
    <w:p w:rsidR="004210BF" w:rsidRPr="000A0FE2" w:rsidRDefault="004210BF">
      <w:pPr>
        <w:tabs>
          <w:tab w:val="left" w:pos="720"/>
        </w:tabs>
        <w:ind w:left="720" w:hanging="720"/>
        <w:outlineLvl w:val="0"/>
        <w:rPr>
          <w:sz w:val="24"/>
          <w:szCs w:val="24"/>
        </w:rPr>
      </w:pPr>
      <w:r w:rsidRPr="000A0FE2">
        <w:rPr>
          <w:sz w:val="24"/>
          <w:szCs w:val="24"/>
        </w:rPr>
        <w:t>1.</w:t>
      </w:r>
      <w:r w:rsidRPr="000A0FE2">
        <w:rPr>
          <w:sz w:val="24"/>
          <w:szCs w:val="24"/>
        </w:rPr>
        <w:tab/>
      </w:r>
      <w:r w:rsidRPr="000A0FE2">
        <w:rPr>
          <w:sz w:val="24"/>
          <w:szCs w:val="24"/>
          <w:u w:val="single"/>
        </w:rPr>
        <w:t xml:space="preserve">Circumstances </w:t>
      </w:r>
      <w:r w:rsidR="00E87E28">
        <w:rPr>
          <w:sz w:val="24"/>
          <w:szCs w:val="24"/>
          <w:u w:val="single"/>
        </w:rPr>
        <w:t>Making the Collection of Information Necessary</w:t>
      </w:r>
      <w:r w:rsidRPr="000A0FE2">
        <w:rPr>
          <w:sz w:val="24"/>
          <w:szCs w:val="24"/>
          <w:u w:val="single"/>
        </w:rPr>
        <w:t xml:space="preserve"> </w:t>
      </w:r>
    </w:p>
    <w:p w:rsidR="004210BF" w:rsidRPr="000A0FE2" w:rsidRDefault="004210BF">
      <w:pPr>
        <w:rPr>
          <w:sz w:val="24"/>
          <w:szCs w:val="24"/>
        </w:rPr>
      </w:pPr>
    </w:p>
    <w:p w:rsidR="004210BF" w:rsidRDefault="004210BF">
      <w:pPr>
        <w:rPr>
          <w:b/>
          <w:i/>
          <w:sz w:val="24"/>
          <w:szCs w:val="24"/>
        </w:rPr>
      </w:pPr>
      <w:r>
        <w:rPr>
          <w:sz w:val="24"/>
          <w:szCs w:val="24"/>
        </w:rPr>
        <w:t>The Health Resources and Services Administration (HRSA) is requesting Office of Management and Budget (</w:t>
      </w:r>
      <w:r w:rsidRPr="000A0FE2">
        <w:rPr>
          <w:sz w:val="24"/>
          <w:szCs w:val="24"/>
        </w:rPr>
        <w:t>OMB</w:t>
      </w:r>
      <w:r>
        <w:rPr>
          <w:sz w:val="24"/>
          <w:szCs w:val="24"/>
        </w:rPr>
        <w:t>)</w:t>
      </w:r>
      <w:r w:rsidRPr="000A0FE2">
        <w:rPr>
          <w:sz w:val="24"/>
          <w:szCs w:val="24"/>
        </w:rPr>
        <w:t xml:space="preserve"> approval </w:t>
      </w:r>
      <w:r>
        <w:rPr>
          <w:sz w:val="24"/>
          <w:szCs w:val="24"/>
        </w:rPr>
        <w:t xml:space="preserve">for </w:t>
      </w:r>
      <w:r w:rsidR="00767E9B">
        <w:rPr>
          <w:sz w:val="24"/>
          <w:szCs w:val="24"/>
        </w:rPr>
        <w:t>extension</w:t>
      </w:r>
      <w:r w:rsidR="0098718A">
        <w:rPr>
          <w:sz w:val="24"/>
          <w:szCs w:val="24"/>
        </w:rPr>
        <w:t xml:space="preserve"> for </w:t>
      </w:r>
      <w:r>
        <w:rPr>
          <w:sz w:val="24"/>
          <w:szCs w:val="24"/>
        </w:rPr>
        <w:t>the Health Care and Other Facilities Project Status Update Form</w:t>
      </w:r>
      <w:r w:rsidR="00505455">
        <w:rPr>
          <w:sz w:val="24"/>
          <w:szCs w:val="24"/>
        </w:rPr>
        <w:t xml:space="preserve"> </w:t>
      </w:r>
      <w:r w:rsidR="00505455" w:rsidRPr="005411F4">
        <w:rPr>
          <w:sz w:val="24"/>
          <w:szCs w:val="24"/>
        </w:rPr>
        <w:t>(OMB# 0915-0309)</w:t>
      </w:r>
      <w:r w:rsidRPr="005411F4">
        <w:rPr>
          <w:sz w:val="24"/>
          <w:szCs w:val="24"/>
        </w:rPr>
        <w:t>.</w:t>
      </w:r>
      <w:r w:rsidRPr="000A0FE2">
        <w:rPr>
          <w:sz w:val="24"/>
          <w:szCs w:val="24"/>
        </w:rPr>
        <w:t xml:space="preserve"> </w:t>
      </w:r>
      <w:r w:rsidR="00505455">
        <w:rPr>
          <w:sz w:val="24"/>
          <w:szCs w:val="24"/>
        </w:rPr>
        <w:t xml:space="preserve"> This form </w:t>
      </w:r>
      <w:r>
        <w:rPr>
          <w:sz w:val="24"/>
          <w:szCs w:val="24"/>
        </w:rPr>
        <w:t>allow</w:t>
      </w:r>
      <w:r w:rsidR="00505455">
        <w:rPr>
          <w:sz w:val="24"/>
          <w:szCs w:val="24"/>
        </w:rPr>
        <w:t>s</w:t>
      </w:r>
      <w:r>
        <w:rPr>
          <w:sz w:val="24"/>
          <w:szCs w:val="24"/>
        </w:rPr>
        <w:t xml:space="preserve"> for the standardized and electronic collection of information that will allow HRSA to monitor and verify its grantees’ progress towards completion of their projects.  </w:t>
      </w:r>
      <w:r w:rsidRPr="000A0FE2">
        <w:rPr>
          <w:sz w:val="24"/>
          <w:szCs w:val="24"/>
        </w:rPr>
        <w:t xml:space="preserve">The information collection is authorized by 42 USC 300s-6 (Section 1627 of the Public Health Service (PHS) Act). </w:t>
      </w:r>
      <w:r>
        <w:rPr>
          <w:sz w:val="24"/>
          <w:szCs w:val="24"/>
        </w:rPr>
        <w:t xml:space="preserve">  </w:t>
      </w:r>
      <w:r w:rsidR="00BA19C0">
        <w:rPr>
          <w:sz w:val="24"/>
          <w:szCs w:val="24"/>
        </w:rPr>
        <w:t xml:space="preserve">  </w:t>
      </w:r>
      <w:r w:rsidR="004B34E0">
        <w:rPr>
          <w:sz w:val="24"/>
          <w:szCs w:val="24"/>
        </w:rPr>
        <w:t xml:space="preserve">  </w:t>
      </w:r>
      <w:r w:rsidR="00611232">
        <w:rPr>
          <w:sz w:val="24"/>
          <w:szCs w:val="24"/>
        </w:rPr>
        <w:t xml:space="preserve">  </w:t>
      </w:r>
    </w:p>
    <w:p w:rsidR="004210BF" w:rsidRDefault="004210BF">
      <w:pPr>
        <w:rPr>
          <w:b/>
          <w:i/>
          <w:sz w:val="24"/>
          <w:szCs w:val="24"/>
        </w:rPr>
      </w:pPr>
    </w:p>
    <w:p w:rsidR="004210BF" w:rsidRDefault="004210BF">
      <w:pPr>
        <w:rPr>
          <w:b/>
          <w:sz w:val="24"/>
          <w:szCs w:val="24"/>
        </w:rPr>
      </w:pPr>
      <w:r>
        <w:rPr>
          <w:sz w:val="24"/>
          <w:szCs w:val="24"/>
        </w:rPr>
        <w:t xml:space="preserve">HRSA’s Health Care and Other Facilities (HCOF) program provides </w:t>
      </w:r>
      <w:r w:rsidR="00A52678">
        <w:rPr>
          <w:sz w:val="24"/>
          <w:szCs w:val="24"/>
        </w:rPr>
        <w:t xml:space="preserve">congressionally-directed </w:t>
      </w:r>
      <w:r>
        <w:rPr>
          <w:sz w:val="24"/>
          <w:szCs w:val="24"/>
        </w:rPr>
        <w:t>funds to health-related facilities for construction-related activities and/or capital equipment purchases.  Awarded facilities are required to provide a periodic (quarterly for construction-related projects, annually for equipment only projects) update of the status of the funded project until it is completed.  The monitoring period averages about 3 years with some projects taking up to 5 years to complete.  The information collected from these updates is vital to program management staff to determine whether projects are progressing according to the established timeframes, meeting deadlines established in the Notice of Award (N</w:t>
      </w:r>
      <w:r w:rsidR="0094064D">
        <w:rPr>
          <w:sz w:val="24"/>
          <w:szCs w:val="24"/>
        </w:rPr>
        <w:t>o</w:t>
      </w:r>
      <w:r>
        <w:rPr>
          <w:sz w:val="24"/>
          <w:szCs w:val="24"/>
        </w:rPr>
        <w:t xml:space="preserve">A), and drawing down funds appropriately.  </w:t>
      </w:r>
      <w:r w:rsidRPr="00B1717E">
        <w:rPr>
          <w:sz w:val="24"/>
          <w:szCs w:val="24"/>
        </w:rPr>
        <w:t>Information collected from these updates is also shared with the Division of Grants Management Operations (DGMO) for their assistance in the overall evaluation of each project’s progress.</w:t>
      </w:r>
      <w:r w:rsidRPr="00C853EE">
        <w:rPr>
          <w:b/>
          <w:sz w:val="24"/>
          <w:szCs w:val="24"/>
        </w:rPr>
        <w:t xml:space="preserve">   </w:t>
      </w:r>
    </w:p>
    <w:p w:rsidR="000A2C72" w:rsidRDefault="000A2C72">
      <w:pPr>
        <w:rPr>
          <w:b/>
          <w:sz w:val="24"/>
          <w:szCs w:val="24"/>
        </w:rPr>
      </w:pPr>
    </w:p>
    <w:p w:rsidR="004210BF" w:rsidRPr="00505455" w:rsidRDefault="000A2C72">
      <w:pPr>
        <w:rPr>
          <w:sz w:val="24"/>
          <w:szCs w:val="24"/>
        </w:rPr>
      </w:pPr>
      <w:r w:rsidRPr="000A2C72">
        <w:rPr>
          <w:sz w:val="24"/>
          <w:szCs w:val="24"/>
        </w:rPr>
        <w:t>Currently</w:t>
      </w:r>
      <w:r>
        <w:rPr>
          <w:sz w:val="24"/>
          <w:szCs w:val="24"/>
        </w:rPr>
        <w:t>,</w:t>
      </w:r>
      <w:r w:rsidRPr="000A2C72">
        <w:rPr>
          <w:sz w:val="24"/>
          <w:szCs w:val="24"/>
        </w:rPr>
        <w:t xml:space="preserve"> </w:t>
      </w:r>
      <w:r>
        <w:rPr>
          <w:sz w:val="24"/>
          <w:szCs w:val="24"/>
        </w:rPr>
        <w:t xml:space="preserve">monitoring data are received </w:t>
      </w:r>
      <w:r w:rsidR="0098718A">
        <w:rPr>
          <w:sz w:val="24"/>
          <w:szCs w:val="24"/>
        </w:rPr>
        <w:t xml:space="preserve">on the OMB approved form transmitted electronically via the HRSA Electronic Handbook </w:t>
      </w:r>
      <w:r>
        <w:rPr>
          <w:sz w:val="24"/>
          <w:szCs w:val="24"/>
        </w:rPr>
        <w:t xml:space="preserve">in which grantees describe program status to date.  </w:t>
      </w:r>
      <w:r w:rsidR="0098718A">
        <w:rPr>
          <w:sz w:val="24"/>
          <w:szCs w:val="24"/>
        </w:rPr>
        <w:t xml:space="preserve">The monitoring form </w:t>
      </w:r>
      <w:r>
        <w:rPr>
          <w:sz w:val="24"/>
          <w:szCs w:val="24"/>
        </w:rPr>
        <w:t>provide</w:t>
      </w:r>
      <w:r w:rsidR="0098718A">
        <w:rPr>
          <w:sz w:val="24"/>
          <w:szCs w:val="24"/>
        </w:rPr>
        <w:t>s</w:t>
      </w:r>
      <w:r>
        <w:rPr>
          <w:sz w:val="24"/>
          <w:szCs w:val="24"/>
        </w:rPr>
        <w:t xml:space="preserve"> identical standardized information.  This information collect</w:t>
      </w:r>
      <w:r w:rsidR="002F0D74">
        <w:rPr>
          <w:sz w:val="24"/>
          <w:szCs w:val="24"/>
        </w:rPr>
        <w:t>ion</w:t>
      </w:r>
      <w:r>
        <w:rPr>
          <w:sz w:val="24"/>
          <w:szCs w:val="24"/>
        </w:rPr>
        <w:t xml:space="preserve"> request is being submitted in order to </w:t>
      </w:r>
      <w:r w:rsidR="0098718A">
        <w:rPr>
          <w:sz w:val="24"/>
          <w:szCs w:val="24"/>
        </w:rPr>
        <w:t xml:space="preserve">continue to </w:t>
      </w:r>
      <w:r>
        <w:rPr>
          <w:sz w:val="24"/>
          <w:szCs w:val="24"/>
        </w:rPr>
        <w:t xml:space="preserve">collect standardized identical information from grantees on the progress of their projects.    </w:t>
      </w:r>
      <w:r w:rsidR="00AE2AEB">
        <w:rPr>
          <w:sz w:val="24"/>
          <w:szCs w:val="24"/>
        </w:rPr>
        <w:t xml:space="preserve">  </w:t>
      </w:r>
    </w:p>
    <w:p w:rsidR="004210BF" w:rsidRDefault="004210BF">
      <w:pPr>
        <w:numPr>
          <w:ilvl w:val="12"/>
          <w:numId w:val="0"/>
        </w:numPr>
        <w:ind w:left="720"/>
        <w:rPr>
          <w:sz w:val="24"/>
          <w:szCs w:val="24"/>
        </w:rPr>
      </w:pPr>
    </w:p>
    <w:p w:rsidR="004210BF" w:rsidRPr="000A0FE2" w:rsidRDefault="004210BF">
      <w:pPr>
        <w:numPr>
          <w:ilvl w:val="12"/>
          <w:numId w:val="0"/>
        </w:numPr>
        <w:tabs>
          <w:tab w:val="left" w:pos="720"/>
        </w:tabs>
        <w:ind w:left="720" w:hanging="720"/>
        <w:outlineLvl w:val="0"/>
        <w:rPr>
          <w:sz w:val="24"/>
          <w:szCs w:val="24"/>
        </w:rPr>
      </w:pPr>
      <w:r w:rsidRPr="000A0FE2">
        <w:rPr>
          <w:sz w:val="24"/>
          <w:szCs w:val="24"/>
        </w:rPr>
        <w:t>2.</w:t>
      </w:r>
      <w:r w:rsidRPr="000A0FE2">
        <w:rPr>
          <w:sz w:val="24"/>
          <w:szCs w:val="24"/>
        </w:rPr>
        <w:tab/>
      </w:r>
      <w:r w:rsidRPr="000A0FE2">
        <w:rPr>
          <w:sz w:val="24"/>
          <w:szCs w:val="24"/>
          <w:u w:val="single"/>
        </w:rPr>
        <w:t>Purpose and Use of Information</w:t>
      </w:r>
      <w:r w:rsidR="00E87E28">
        <w:rPr>
          <w:sz w:val="24"/>
          <w:szCs w:val="24"/>
          <w:u w:val="single"/>
        </w:rPr>
        <w:t xml:space="preserve"> Collection</w:t>
      </w:r>
      <w:r>
        <w:rPr>
          <w:sz w:val="24"/>
          <w:szCs w:val="24"/>
          <w:u w:val="single"/>
        </w:rPr>
        <w:t xml:space="preserve">  </w:t>
      </w:r>
    </w:p>
    <w:p w:rsidR="004210BF" w:rsidRPr="000A0FE2" w:rsidRDefault="004210BF">
      <w:pPr>
        <w:numPr>
          <w:ilvl w:val="12"/>
          <w:numId w:val="0"/>
        </w:numPr>
        <w:rPr>
          <w:sz w:val="24"/>
          <w:szCs w:val="24"/>
        </w:rPr>
      </w:pPr>
    </w:p>
    <w:p w:rsidR="004210BF" w:rsidRDefault="004210BF">
      <w:pPr>
        <w:numPr>
          <w:ilvl w:val="12"/>
          <w:numId w:val="0"/>
        </w:numPr>
        <w:rPr>
          <w:sz w:val="24"/>
          <w:szCs w:val="24"/>
        </w:rPr>
      </w:pPr>
      <w:r>
        <w:rPr>
          <w:sz w:val="24"/>
          <w:szCs w:val="24"/>
        </w:rPr>
        <w:t xml:space="preserve">HRSA’s </w:t>
      </w:r>
      <w:r w:rsidRPr="000A0FE2">
        <w:rPr>
          <w:sz w:val="24"/>
          <w:szCs w:val="24"/>
        </w:rPr>
        <w:t>Healthcare Systems Bureau (HSB</w:t>
      </w:r>
      <w:r>
        <w:rPr>
          <w:sz w:val="24"/>
          <w:szCs w:val="24"/>
        </w:rPr>
        <w:t xml:space="preserve">) </w:t>
      </w:r>
      <w:r w:rsidRPr="000A0FE2">
        <w:rPr>
          <w:sz w:val="24"/>
          <w:szCs w:val="24"/>
        </w:rPr>
        <w:t xml:space="preserve">has the primary responsibility for monitoring the </w:t>
      </w:r>
      <w:r>
        <w:rPr>
          <w:sz w:val="24"/>
          <w:szCs w:val="24"/>
        </w:rPr>
        <w:t xml:space="preserve">HCOF projects.  HRSA needs the standardized reports in order to conduct oversight of the project.  </w:t>
      </w:r>
    </w:p>
    <w:p w:rsidR="004210BF" w:rsidRDefault="004210BF">
      <w:pPr>
        <w:numPr>
          <w:ilvl w:val="12"/>
          <w:numId w:val="0"/>
        </w:numPr>
        <w:rPr>
          <w:sz w:val="24"/>
          <w:szCs w:val="24"/>
        </w:rPr>
      </w:pPr>
    </w:p>
    <w:p w:rsidR="004210BF" w:rsidRDefault="004210BF">
      <w:pPr>
        <w:numPr>
          <w:ilvl w:val="12"/>
          <w:numId w:val="0"/>
        </w:numPr>
        <w:rPr>
          <w:sz w:val="24"/>
          <w:szCs w:val="24"/>
        </w:rPr>
      </w:pPr>
      <w:r>
        <w:rPr>
          <w:sz w:val="24"/>
          <w:szCs w:val="24"/>
        </w:rPr>
        <w:t xml:space="preserve">Grantees will be required to submit the following information:  the estimated or actual start and completion </w:t>
      </w:r>
      <w:r w:rsidR="00E5139D">
        <w:rPr>
          <w:sz w:val="24"/>
          <w:szCs w:val="24"/>
        </w:rPr>
        <w:t xml:space="preserve">dates </w:t>
      </w:r>
      <w:r>
        <w:rPr>
          <w:sz w:val="24"/>
          <w:szCs w:val="24"/>
        </w:rPr>
        <w:t xml:space="preserve">of the project, project completion percentage, percentage of award drawn down, and a discussion of change orders, major problems, or notification of any change(s) in project scope.  Design-only and construction projects are required to </w:t>
      </w:r>
      <w:r>
        <w:rPr>
          <w:sz w:val="24"/>
          <w:szCs w:val="24"/>
        </w:rPr>
        <w:lastRenderedPageBreak/>
        <w:t xml:space="preserve">submit reports on a quarterly basis.  Equipment-only projects are required to submit reports on an annual basis.  </w:t>
      </w:r>
    </w:p>
    <w:p w:rsidR="004210BF" w:rsidRDefault="004210BF">
      <w:pPr>
        <w:numPr>
          <w:ilvl w:val="12"/>
          <w:numId w:val="0"/>
        </w:numPr>
        <w:rPr>
          <w:sz w:val="24"/>
          <w:szCs w:val="24"/>
        </w:rPr>
      </w:pPr>
    </w:p>
    <w:p w:rsidR="004210BF" w:rsidRDefault="004210BF">
      <w:pPr>
        <w:numPr>
          <w:ilvl w:val="12"/>
          <w:numId w:val="0"/>
        </w:numPr>
        <w:rPr>
          <w:sz w:val="24"/>
          <w:szCs w:val="24"/>
        </w:rPr>
      </w:pPr>
      <w:r>
        <w:rPr>
          <w:sz w:val="24"/>
          <w:szCs w:val="24"/>
        </w:rPr>
        <w:t>The data</w:t>
      </w:r>
      <w:r w:rsidR="00170DEE">
        <w:rPr>
          <w:sz w:val="24"/>
          <w:szCs w:val="24"/>
        </w:rPr>
        <w:t xml:space="preserve"> will be </w:t>
      </w:r>
      <w:r>
        <w:rPr>
          <w:sz w:val="24"/>
          <w:szCs w:val="24"/>
        </w:rPr>
        <w:t>used by HRSA to monitor grantees’ progr</w:t>
      </w:r>
      <w:r w:rsidR="00170DEE">
        <w:rPr>
          <w:sz w:val="24"/>
          <w:szCs w:val="24"/>
        </w:rPr>
        <w:t>ess in completing their projects and will be</w:t>
      </w:r>
      <w:r>
        <w:rPr>
          <w:sz w:val="24"/>
          <w:szCs w:val="24"/>
        </w:rPr>
        <w:t xml:space="preserve"> useful in </w:t>
      </w:r>
      <w:r w:rsidR="00170DEE">
        <w:rPr>
          <w:sz w:val="24"/>
          <w:szCs w:val="24"/>
        </w:rPr>
        <w:t>highlighting</w:t>
      </w:r>
      <w:r>
        <w:rPr>
          <w:sz w:val="24"/>
          <w:szCs w:val="24"/>
        </w:rPr>
        <w:t xml:space="preserve"> potential problems that may need to be addressed.  These </w:t>
      </w:r>
      <w:r w:rsidR="00170DEE">
        <w:rPr>
          <w:sz w:val="24"/>
          <w:szCs w:val="24"/>
        </w:rPr>
        <w:t xml:space="preserve">problems could </w:t>
      </w:r>
      <w:r>
        <w:rPr>
          <w:sz w:val="24"/>
          <w:szCs w:val="24"/>
        </w:rPr>
        <w:t xml:space="preserve">include excess draw downs of grant funds, unapproved changes in scope, and undue delays in project completion.  In addition, the status updates </w:t>
      </w:r>
      <w:r w:rsidR="00170DEE">
        <w:rPr>
          <w:sz w:val="24"/>
          <w:szCs w:val="24"/>
        </w:rPr>
        <w:t xml:space="preserve">will </w:t>
      </w:r>
      <w:r>
        <w:rPr>
          <w:sz w:val="24"/>
          <w:szCs w:val="24"/>
        </w:rPr>
        <w:t>provide a vehicle for the grantees to inform HRSA of administrative changes such as</w:t>
      </w:r>
      <w:r w:rsidR="00170DEE">
        <w:rPr>
          <w:sz w:val="24"/>
          <w:szCs w:val="24"/>
        </w:rPr>
        <w:t xml:space="preserve"> a change in the </w:t>
      </w:r>
      <w:r w:rsidR="00F43917">
        <w:rPr>
          <w:sz w:val="24"/>
          <w:szCs w:val="24"/>
        </w:rPr>
        <w:t xml:space="preserve">project </w:t>
      </w:r>
      <w:r w:rsidR="00170DEE">
        <w:rPr>
          <w:sz w:val="24"/>
          <w:szCs w:val="24"/>
        </w:rPr>
        <w:t>contact person</w:t>
      </w:r>
      <w:r w:rsidR="00F43917">
        <w:rPr>
          <w:sz w:val="24"/>
          <w:szCs w:val="24"/>
        </w:rPr>
        <w:t>.</w:t>
      </w:r>
      <w:r>
        <w:rPr>
          <w:sz w:val="24"/>
          <w:szCs w:val="24"/>
        </w:rPr>
        <w:t xml:space="preserve"> </w:t>
      </w:r>
      <w:r w:rsidR="00A71E6A">
        <w:rPr>
          <w:sz w:val="24"/>
          <w:szCs w:val="24"/>
        </w:rPr>
        <w:t xml:space="preserve">  </w:t>
      </w:r>
    </w:p>
    <w:p w:rsidR="004210BF" w:rsidRDefault="004210BF">
      <w:pPr>
        <w:numPr>
          <w:ilvl w:val="12"/>
          <w:numId w:val="0"/>
        </w:numPr>
        <w:tabs>
          <w:tab w:val="left" w:pos="720"/>
        </w:tabs>
        <w:outlineLvl w:val="0"/>
        <w:rPr>
          <w:sz w:val="24"/>
          <w:szCs w:val="24"/>
        </w:rPr>
      </w:pPr>
    </w:p>
    <w:p w:rsidR="004210BF" w:rsidRPr="000A0FE2" w:rsidRDefault="004210BF">
      <w:pPr>
        <w:numPr>
          <w:ilvl w:val="12"/>
          <w:numId w:val="0"/>
        </w:numPr>
        <w:tabs>
          <w:tab w:val="left" w:pos="720"/>
        </w:tabs>
        <w:outlineLvl w:val="0"/>
        <w:rPr>
          <w:sz w:val="24"/>
          <w:szCs w:val="24"/>
        </w:rPr>
      </w:pPr>
      <w:r w:rsidRPr="000A0FE2">
        <w:rPr>
          <w:sz w:val="24"/>
          <w:szCs w:val="24"/>
        </w:rPr>
        <w:t>3.</w:t>
      </w:r>
      <w:r>
        <w:rPr>
          <w:sz w:val="24"/>
          <w:szCs w:val="24"/>
        </w:rPr>
        <w:tab/>
        <w:t xml:space="preserve">  </w:t>
      </w:r>
      <w:r w:rsidRPr="000A0FE2">
        <w:rPr>
          <w:sz w:val="24"/>
          <w:szCs w:val="24"/>
          <w:u w:val="single"/>
        </w:rPr>
        <w:t>Use of Improved Information Technology</w:t>
      </w:r>
    </w:p>
    <w:p w:rsidR="004210BF" w:rsidRPr="000A0FE2" w:rsidRDefault="004210BF">
      <w:pPr>
        <w:numPr>
          <w:ilvl w:val="12"/>
          <w:numId w:val="0"/>
        </w:numPr>
        <w:rPr>
          <w:sz w:val="24"/>
          <w:szCs w:val="24"/>
        </w:rPr>
      </w:pPr>
    </w:p>
    <w:p w:rsidR="004210BF" w:rsidRDefault="004210BF">
      <w:pPr>
        <w:numPr>
          <w:ilvl w:val="12"/>
          <w:numId w:val="0"/>
        </w:numPr>
        <w:rPr>
          <w:sz w:val="24"/>
          <w:szCs w:val="24"/>
        </w:rPr>
      </w:pPr>
      <w:r w:rsidRPr="000A0FE2">
        <w:rPr>
          <w:sz w:val="24"/>
          <w:szCs w:val="24"/>
        </w:rPr>
        <w:t xml:space="preserve">The </w:t>
      </w:r>
      <w:r>
        <w:rPr>
          <w:sz w:val="24"/>
          <w:szCs w:val="24"/>
        </w:rPr>
        <w:t>form is ful</w:t>
      </w:r>
      <w:r w:rsidR="00DE7062">
        <w:rPr>
          <w:sz w:val="24"/>
          <w:szCs w:val="24"/>
        </w:rPr>
        <w:t xml:space="preserve">ly electronic.  </w:t>
      </w:r>
      <w:r w:rsidR="00624950">
        <w:rPr>
          <w:sz w:val="24"/>
          <w:szCs w:val="24"/>
        </w:rPr>
        <w:t xml:space="preserve">  </w:t>
      </w:r>
      <w:r w:rsidR="00A32E07">
        <w:rPr>
          <w:sz w:val="24"/>
          <w:szCs w:val="24"/>
        </w:rPr>
        <w:t xml:space="preserve">  </w:t>
      </w:r>
      <w:r>
        <w:rPr>
          <w:sz w:val="24"/>
          <w:szCs w:val="24"/>
        </w:rPr>
        <w:t xml:space="preserve"> </w:t>
      </w:r>
    </w:p>
    <w:p w:rsidR="004210BF" w:rsidRPr="000A0FE2" w:rsidRDefault="004210BF">
      <w:pPr>
        <w:numPr>
          <w:ilvl w:val="12"/>
          <w:numId w:val="0"/>
        </w:numPr>
        <w:rPr>
          <w:sz w:val="24"/>
          <w:szCs w:val="24"/>
        </w:rPr>
      </w:pPr>
      <w:r>
        <w:rPr>
          <w:sz w:val="24"/>
          <w:szCs w:val="24"/>
        </w:rPr>
        <w:t xml:space="preserve">   </w:t>
      </w:r>
    </w:p>
    <w:p w:rsidR="004210BF" w:rsidRPr="000A0FE2" w:rsidRDefault="004210BF">
      <w:pPr>
        <w:numPr>
          <w:ilvl w:val="12"/>
          <w:numId w:val="0"/>
        </w:numPr>
        <w:tabs>
          <w:tab w:val="left" w:pos="720"/>
        </w:tabs>
        <w:ind w:left="720" w:hanging="720"/>
        <w:outlineLvl w:val="0"/>
        <w:rPr>
          <w:sz w:val="24"/>
          <w:szCs w:val="24"/>
        </w:rPr>
      </w:pPr>
      <w:r w:rsidRPr="000A0FE2">
        <w:rPr>
          <w:sz w:val="24"/>
          <w:szCs w:val="24"/>
        </w:rPr>
        <w:t>4.</w:t>
      </w:r>
      <w:r>
        <w:rPr>
          <w:sz w:val="24"/>
          <w:szCs w:val="24"/>
        </w:rPr>
        <w:t xml:space="preserve">       </w:t>
      </w:r>
      <w:r w:rsidRPr="000A0FE2">
        <w:rPr>
          <w:sz w:val="24"/>
          <w:szCs w:val="24"/>
        </w:rPr>
        <w:tab/>
      </w:r>
      <w:r w:rsidRPr="000A0FE2">
        <w:rPr>
          <w:sz w:val="24"/>
          <w:szCs w:val="24"/>
          <w:u w:val="single"/>
        </w:rPr>
        <w:t>Efforts to Identify Duplication</w:t>
      </w:r>
      <w:r w:rsidR="00E87E28">
        <w:rPr>
          <w:sz w:val="24"/>
          <w:szCs w:val="24"/>
          <w:u w:val="single"/>
        </w:rPr>
        <w:t xml:space="preserve"> and Use Similar Information</w:t>
      </w:r>
    </w:p>
    <w:p w:rsidR="004210BF" w:rsidRPr="000A0FE2" w:rsidRDefault="004210BF">
      <w:pPr>
        <w:numPr>
          <w:ilvl w:val="12"/>
          <w:numId w:val="0"/>
        </w:numPr>
        <w:rPr>
          <w:sz w:val="24"/>
          <w:szCs w:val="24"/>
        </w:rPr>
      </w:pPr>
    </w:p>
    <w:p w:rsidR="004210BF" w:rsidRPr="000A0FE2" w:rsidRDefault="004210BF">
      <w:pPr>
        <w:numPr>
          <w:ilvl w:val="12"/>
          <w:numId w:val="0"/>
        </w:numPr>
        <w:outlineLvl w:val="0"/>
        <w:rPr>
          <w:sz w:val="24"/>
          <w:szCs w:val="24"/>
        </w:rPr>
      </w:pPr>
      <w:r w:rsidRPr="000A0FE2">
        <w:rPr>
          <w:sz w:val="24"/>
          <w:szCs w:val="24"/>
        </w:rPr>
        <w:t>The information requested is not available from any other source.</w:t>
      </w:r>
      <w:r>
        <w:rPr>
          <w:sz w:val="24"/>
          <w:szCs w:val="24"/>
        </w:rPr>
        <w:t xml:space="preserve">  The information we are requesting is specific to this funding award program and is unique to the program.</w:t>
      </w:r>
    </w:p>
    <w:p w:rsidR="004210BF" w:rsidRPr="000A0FE2" w:rsidRDefault="004210BF">
      <w:pPr>
        <w:numPr>
          <w:ilvl w:val="12"/>
          <w:numId w:val="0"/>
        </w:numPr>
        <w:rPr>
          <w:sz w:val="24"/>
          <w:szCs w:val="24"/>
        </w:rPr>
      </w:pPr>
    </w:p>
    <w:p w:rsidR="004210BF" w:rsidRPr="000A0FE2" w:rsidRDefault="004210BF">
      <w:pPr>
        <w:numPr>
          <w:ilvl w:val="12"/>
          <w:numId w:val="0"/>
        </w:numPr>
        <w:tabs>
          <w:tab w:val="left" w:pos="720"/>
        </w:tabs>
        <w:ind w:left="720" w:hanging="720"/>
        <w:outlineLvl w:val="0"/>
        <w:rPr>
          <w:sz w:val="24"/>
          <w:szCs w:val="24"/>
        </w:rPr>
      </w:pPr>
      <w:r w:rsidRPr="000A0FE2">
        <w:rPr>
          <w:sz w:val="24"/>
          <w:szCs w:val="24"/>
        </w:rPr>
        <w:t>5.</w:t>
      </w:r>
      <w:r w:rsidRPr="000A0FE2">
        <w:rPr>
          <w:sz w:val="24"/>
          <w:szCs w:val="24"/>
        </w:rPr>
        <w:tab/>
      </w:r>
      <w:r w:rsidR="003C7DC8">
        <w:rPr>
          <w:sz w:val="24"/>
          <w:szCs w:val="24"/>
          <w:u w:val="single"/>
        </w:rPr>
        <w:t xml:space="preserve">Impact on Small Businesses or Other </w:t>
      </w:r>
      <w:r w:rsidRPr="000A0FE2">
        <w:rPr>
          <w:sz w:val="24"/>
          <w:szCs w:val="24"/>
          <w:u w:val="single"/>
        </w:rPr>
        <w:t>Small Entities</w:t>
      </w:r>
    </w:p>
    <w:p w:rsidR="004210BF" w:rsidRPr="000A0FE2" w:rsidRDefault="004210BF">
      <w:pPr>
        <w:numPr>
          <w:ilvl w:val="12"/>
          <w:numId w:val="0"/>
        </w:numPr>
        <w:rPr>
          <w:sz w:val="24"/>
          <w:szCs w:val="24"/>
        </w:rPr>
      </w:pPr>
    </w:p>
    <w:p w:rsidR="004210BF" w:rsidRDefault="004210BF">
      <w:pPr>
        <w:numPr>
          <w:ilvl w:val="12"/>
          <w:numId w:val="0"/>
        </w:numPr>
        <w:rPr>
          <w:sz w:val="24"/>
          <w:szCs w:val="24"/>
        </w:rPr>
      </w:pPr>
      <w:r>
        <w:rPr>
          <w:sz w:val="24"/>
          <w:szCs w:val="24"/>
        </w:rPr>
        <w:t>The data collection activities do not significantly impact small entities.</w:t>
      </w:r>
    </w:p>
    <w:p w:rsidR="004210BF" w:rsidRPr="000A0FE2" w:rsidRDefault="004210BF">
      <w:pPr>
        <w:numPr>
          <w:ilvl w:val="12"/>
          <w:numId w:val="0"/>
        </w:numPr>
        <w:rPr>
          <w:sz w:val="24"/>
          <w:szCs w:val="24"/>
        </w:rPr>
      </w:pPr>
      <w:r>
        <w:rPr>
          <w:sz w:val="24"/>
          <w:szCs w:val="24"/>
        </w:rPr>
        <w:t xml:space="preserve">  </w:t>
      </w:r>
    </w:p>
    <w:p w:rsidR="004210BF" w:rsidRPr="000A0FE2" w:rsidRDefault="004210BF">
      <w:pPr>
        <w:numPr>
          <w:ilvl w:val="12"/>
          <w:numId w:val="0"/>
        </w:numPr>
        <w:tabs>
          <w:tab w:val="left" w:pos="720"/>
        </w:tabs>
        <w:ind w:left="720" w:hanging="720"/>
        <w:outlineLvl w:val="0"/>
        <w:rPr>
          <w:sz w:val="24"/>
          <w:szCs w:val="24"/>
        </w:rPr>
      </w:pPr>
      <w:r w:rsidRPr="000A0FE2">
        <w:rPr>
          <w:sz w:val="24"/>
          <w:szCs w:val="24"/>
        </w:rPr>
        <w:t>6.</w:t>
      </w:r>
      <w:r w:rsidRPr="000A0FE2">
        <w:rPr>
          <w:sz w:val="24"/>
          <w:szCs w:val="24"/>
        </w:rPr>
        <w:tab/>
      </w:r>
      <w:r w:rsidRPr="000A0FE2">
        <w:rPr>
          <w:sz w:val="24"/>
          <w:szCs w:val="24"/>
          <w:u w:val="single"/>
        </w:rPr>
        <w:t xml:space="preserve">Consequences </w:t>
      </w:r>
      <w:r w:rsidR="003C7DC8">
        <w:rPr>
          <w:sz w:val="24"/>
          <w:szCs w:val="24"/>
          <w:u w:val="single"/>
        </w:rPr>
        <w:t>o</w:t>
      </w:r>
      <w:r w:rsidRPr="000A0FE2">
        <w:rPr>
          <w:sz w:val="24"/>
          <w:szCs w:val="24"/>
          <w:u w:val="single"/>
        </w:rPr>
        <w:t xml:space="preserve">f </w:t>
      </w:r>
      <w:r w:rsidR="003C7DC8">
        <w:rPr>
          <w:sz w:val="24"/>
          <w:szCs w:val="24"/>
          <w:u w:val="single"/>
        </w:rPr>
        <w:t xml:space="preserve">Collecting the </w:t>
      </w:r>
      <w:r w:rsidRPr="000A0FE2">
        <w:rPr>
          <w:sz w:val="24"/>
          <w:szCs w:val="24"/>
          <w:u w:val="single"/>
        </w:rPr>
        <w:t>Information Less Frequently</w:t>
      </w:r>
    </w:p>
    <w:p w:rsidR="004210BF" w:rsidRPr="000A0FE2" w:rsidRDefault="004210BF">
      <w:pPr>
        <w:numPr>
          <w:ilvl w:val="12"/>
          <w:numId w:val="0"/>
        </w:numPr>
        <w:rPr>
          <w:sz w:val="24"/>
          <w:szCs w:val="24"/>
        </w:rPr>
      </w:pPr>
    </w:p>
    <w:p w:rsidR="004210BF" w:rsidRDefault="004210BF">
      <w:pPr>
        <w:numPr>
          <w:ilvl w:val="12"/>
          <w:numId w:val="0"/>
        </w:numPr>
        <w:rPr>
          <w:sz w:val="24"/>
          <w:szCs w:val="24"/>
        </w:rPr>
      </w:pPr>
      <w:r>
        <w:rPr>
          <w:sz w:val="24"/>
          <w:szCs w:val="24"/>
        </w:rPr>
        <w:t xml:space="preserve">Congress, as well as the DGMO, requires Federal oversight to ensure that funds are used for their intended purpose.  Without frequent monitoring, projects might prematurely draw down grant funds, projects might be delayed without HRSA program staff knowing the reasons, or projects might not be completed within the 5-year draw down limit.  If construction projects were to be monitored less frequently, HRSA would be less able to remedy problems in a timely manner.  </w:t>
      </w:r>
    </w:p>
    <w:p w:rsidR="004210BF" w:rsidRPr="000A0FE2" w:rsidRDefault="004210BF">
      <w:pPr>
        <w:numPr>
          <w:ilvl w:val="12"/>
          <w:numId w:val="0"/>
        </w:numPr>
        <w:rPr>
          <w:sz w:val="24"/>
          <w:szCs w:val="24"/>
        </w:rPr>
      </w:pPr>
    </w:p>
    <w:p w:rsidR="004210BF" w:rsidRPr="000A0FE2" w:rsidRDefault="004210BF">
      <w:pPr>
        <w:numPr>
          <w:ilvl w:val="12"/>
          <w:numId w:val="0"/>
        </w:numPr>
        <w:tabs>
          <w:tab w:val="left" w:pos="720"/>
        </w:tabs>
        <w:ind w:left="720" w:hanging="720"/>
        <w:outlineLvl w:val="0"/>
        <w:rPr>
          <w:sz w:val="24"/>
          <w:szCs w:val="24"/>
        </w:rPr>
      </w:pPr>
      <w:r w:rsidRPr="000A0FE2">
        <w:rPr>
          <w:sz w:val="24"/>
          <w:szCs w:val="24"/>
        </w:rPr>
        <w:t>7.</w:t>
      </w:r>
      <w:r w:rsidRPr="000A0FE2">
        <w:rPr>
          <w:sz w:val="24"/>
          <w:szCs w:val="24"/>
        </w:rPr>
        <w:tab/>
      </w:r>
      <w:r w:rsidR="003C7DC8">
        <w:rPr>
          <w:sz w:val="24"/>
          <w:szCs w:val="24"/>
        </w:rPr>
        <w:t xml:space="preserve">Special Circumstances Relating to the </w:t>
      </w:r>
      <w:r w:rsidRPr="000A0FE2">
        <w:rPr>
          <w:sz w:val="24"/>
          <w:szCs w:val="24"/>
          <w:u w:val="single"/>
        </w:rPr>
        <w:t xml:space="preserve">Guidelines </w:t>
      </w:r>
      <w:r w:rsidR="003C7DC8">
        <w:rPr>
          <w:sz w:val="24"/>
          <w:szCs w:val="24"/>
          <w:u w:val="single"/>
        </w:rPr>
        <w:t>of</w:t>
      </w:r>
      <w:r w:rsidRPr="000A0FE2">
        <w:rPr>
          <w:sz w:val="24"/>
          <w:szCs w:val="24"/>
          <w:u w:val="single"/>
        </w:rPr>
        <w:t xml:space="preserve"> 5 CFR 1320.5</w:t>
      </w:r>
    </w:p>
    <w:p w:rsidR="004210BF" w:rsidRPr="000A0FE2" w:rsidRDefault="004210BF">
      <w:pPr>
        <w:numPr>
          <w:ilvl w:val="12"/>
          <w:numId w:val="0"/>
        </w:numPr>
        <w:rPr>
          <w:sz w:val="24"/>
          <w:szCs w:val="24"/>
        </w:rPr>
      </w:pPr>
    </w:p>
    <w:p w:rsidR="004210BF" w:rsidRPr="000A0FE2" w:rsidRDefault="004210BF">
      <w:pPr>
        <w:numPr>
          <w:ilvl w:val="12"/>
          <w:numId w:val="0"/>
        </w:numPr>
        <w:rPr>
          <w:sz w:val="24"/>
          <w:szCs w:val="24"/>
        </w:rPr>
      </w:pPr>
      <w:r>
        <w:rPr>
          <w:sz w:val="24"/>
          <w:szCs w:val="24"/>
        </w:rPr>
        <w:t xml:space="preserve">This action is consistent with the Guidelines in 5 CFR 1320.5. </w:t>
      </w:r>
    </w:p>
    <w:p w:rsidR="004210BF" w:rsidRPr="000A0FE2" w:rsidRDefault="004210BF">
      <w:pPr>
        <w:numPr>
          <w:ilvl w:val="12"/>
          <w:numId w:val="0"/>
        </w:numPr>
        <w:rPr>
          <w:sz w:val="24"/>
          <w:szCs w:val="24"/>
        </w:rPr>
      </w:pPr>
    </w:p>
    <w:p w:rsidR="004210BF" w:rsidRPr="000A0FE2" w:rsidRDefault="004210BF">
      <w:pPr>
        <w:numPr>
          <w:ilvl w:val="12"/>
          <w:numId w:val="0"/>
        </w:numPr>
        <w:tabs>
          <w:tab w:val="left" w:pos="720"/>
        </w:tabs>
        <w:ind w:left="720" w:hanging="720"/>
        <w:outlineLvl w:val="0"/>
        <w:rPr>
          <w:sz w:val="24"/>
          <w:szCs w:val="24"/>
        </w:rPr>
      </w:pPr>
      <w:r w:rsidRPr="000A0FE2">
        <w:rPr>
          <w:sz w:val="24"/>
          <w:szCs w:val="24"/>
        </w:rPr>
        <w:t>8.</w:t>
      </w:r>
      <w:r w:rsidRPr="000A0FE2">
        <w:rPr>
          <w:sz w:val="24"/>
          <w:szCs w:val="24"/>
        </w:rPr>
        <w:tab/>
      </w:r>
      <w:r w:rsidR="009E6F00">
        <w:rPr>
          <w:sz w:val="24"/>
          <w:szCs w:val="24"/>
          <w:u w:val="single"/>
        </w:rPr>
        <w:t>Comments in Response to the Federal Register Notice/Outside Consultation</w:t>
      </w:r>
    </w:p>
    <w:p w:rsidR="004210BF" w:rsidRPr="000A0FE2" w:rsidRDefault="004210BF">
      <w:pPr>
        <w:numPr>
          <w:ilvl w:val="12"/>
          <w:numId w:val="0"/>
        </w:numPr>
        <w:rPr>
          <w:sz w:val="24"/>
          <w:szCs w:val="24"/>
        </w:rPr>
      </w:pPr>
      <w:r>
        <w:rPr>
          <w:sz w:val="24"/>
          <w:szCs w:val="24"/>
        </w:rPr>
        <w:t xml:space="preserve"> </w:t>
      </w:r>
    </w:p>
    <w:p w:rsidR="004210BF" w:rsidRPr="000A0FE2" w:rsidRDefault="004210BF">
      <w:pPr>
        <w:numPr>
          <w:ilvl w:val="12"/>
          <w:numId w:val="0"/>
        </w:numPr>
        <w:rPr>
          <w:sz w:val="24"/>
          <w:szCs w:val="24"/>
        </w:rPr>
      </w:pPr>
      <w:r w:rsidRPr="000A0FE2">
        <w:rPr>
          <w:sz w:val="24"/>
          <w:szCs w:val="24"/>
        </w:rPr>
        <w:t xml:space="preserve">The notice required in 5 CFR 1320.8(d) was published in the </w:t>
      </w:r>
      <w:r w:rsidRPr="00E437B3">
        <w:rPr>
          <w:i/>
          <w:sz w:val="24"/>
          <w:szCs w:val="24"/>
        </w:rPr>
        <w:t>Federal Register</w:t>
      </w:r>
      <w:r w:rsidRPr="000A0FE2">
        <w:rPr>
          <w:sz w:val="24"/>
          <w:szCs w:val="24"/>
        </w:rPr>
        <w:t xml:space="preserve"> on</w:t>
      </w:r>
      <w:bookmarkStart w:id="0" w:name="_GoBack"/>
      <w:bookmarkEnd w:id="0"/>
      <w:r w:rsidR="00F662C3">
        <w:rPr>
          <w:sz w:val="24"/>
          <w:szCs w:val="24"/>
        </w:rPr>
        <w:t xml:space="preserve"> April 17, 2013</w:t>
      </w:r>
      <w:r>
        <w:rPr>
          <w:sz w:val="24"/>
          <w:szCs w:val="24"/>
        </w:rPr>
        <w:t xml:space="preserve"> (Volume 7</w:t>
      </w:r>
      <w:r w:rsidR="00F662C3">
        <w:rPr>
          <w:sz w:val="24"/>
          <w:szCs w:val="24"/>
        </w:rPr>
        <w:t>8</w:t>
      </w:r>
      <w:r>
        <w:rPr>
          <w:sz w:val="24"/>
          <w:szCs w:val="24"/>
        </w:rPr>
        <w:t xml:space="preserve">, Number </w:t>
      </w:r>
      <w:r w:rsidR="00F662C3">
        <w:rPr>
          <w:sz w:val="24"/>
          <w:szCs w:val="24"/>
        </w:rPr>
        <w:t>74</w:t>
      </w:r>
      <w:r>
        <w:rPr>
          <w:sz w:val="24"/>
          <w:szCs w:val="24"/>
        </w:rPr>
        <w:t xml:space="preserve">, Page </w:t>
      </w:r>
      <w:r w:rsidR="003E7547">
        <w:rPr>
          <w:sz w:val="24"/>
          <w:szCs w:val="24"/>
        </w:rPr>
        <w:t>2</w:t>
      </w:r>
      <w:r w:rsidR="00F662C3">
        <w:rPr>
          <w:sz w:val="24"/>
          <w:szCs w:val="24"/>
        </w:rPr>
        <w:t>2888</w:t>
      </w:r>
      <w:r>
        <w:rPr>
          <w:sz w:val="24"/>
          <w:szCs w:val="24"/>
        </w:rPr>
        <w:t xml:space="preserve">). </w:t>
      </w:r>
      <w:r w:rsidRPr="000A0FE2">
        <w:rPr>
          <w:sz w:val="24"/>
          <w:szCs w:val="24"/>
        </w:rPr>
        <w:t xml:space="preserve"> No comments were received.</w:t>
      </w:r>
    </w:p>
    <w:p w:rsidR="004210BF" w:rsidRPr="000A0FE2" w:rsidRDefault="004210BF">
      <w:pPr>
        <w:numPr>
          <w:ilvl w:val="12"/>
          <w:numId w:val="0"/>
        </w:numPr>
        <w:rPr>
          <w:sz w:val="24"/>
          <w:szCs w:val="24"/>
        </w:rPr>
      </w:pPr>
    </w:p>
    <w:p w:rsidR="004210BF" w:rsidRDefault="004210BF">
      <w:pPr>
        <w:numPr>
          <w:ilvl w:val="12"/>
          <w:numId w:val="0"/>
        </w:numPr>
        <w:rPr>
          <w:sz w:val="24"/>
          <w:szCs w:val="24"/>
        </w:rPr>
      </w:pPr>
      <w:r>
        <w:rPr>
          <w:sz w:val="24"/>
          <w:szCs w:val="24"/>
        </w:rPr>
        <w:t>We contacted three grantees</w:t>
      </w:r>
      <w:r w:rsidRPr="000A0FE2">
        <w:rPr>
          <w:sz w:val="24"/>
          <w:szCs w:val="24"/>
        </w:rPr>
        <w:t xml:space="preserve"> who provided </w:t>
      </w:r>
      <w:r>
        <w:rPr>
          <w:sz w:val="24"/>
          <w:szCs w:val="24"/>
        </w:rPr>
        <w:t xml:space="preserve">comments on the burden and design of the form.  Their comments were taken into consideration and are reflected in the burden estimates.  </w:t>
      </w:r>
      <w:r w:rsidRPr="000A0FE2">
        <w:rPr>
          <w:sz w:val="24"/>
          <w:szCs w:val="24"/>
        </w:rPr>
        <w:t xml:space="preserve">The persons </w:t>
      </w:r>
      <w:r>
        <w:rPr>
          <w:sz w:val="24"/>
          <w:szCs w:val="24"/>
        </w:rPr>
        <w:t>we contacted are as follows:</w:t>
      </w:r>
    </w:p>
    <w:p w:rsidR="0058554F" w:rsidRPr="000A0FE2" w:rsidRDefault="0058554F">
      <w:pPr>
        <w:numPr>
          <w:ilvl w:val="12"/>
          <w:numId w:val="0"/>
        </w:numPr>
        <w:rPr>
          <w:sz w:val="24"/>
          <w:szCs w:val="24"/>
        </w:rPr>
      </w:pPr>
    </w:p>
    <w:p w:rsidR="004210BF" w:rsidRPr="000A0FE2" w:rsidRDefault="004210BF">
      <w:pPr>
        <w:numPr>
          <w:ilvl w:val="12"/>
          <w:numId w:val="0"/>
        </w:numPr>
        <w:rPr>
          <w:sz w:val="24"/>
          <w:szCs w:val="24"/>
        </w:rPr>
      </w:pPr>
    </w:p>
    <w:p w:rsidR="0058554F" w:rsidRDefault="008151D7">
      <w:pPr>
        <w:numPr>
          <w:ilvl w:val="12"/>
          <w:numId w:val="0"/>
        </w:numPr>
        <w:ind w:left="720"/>
        <w:outlineLvl w:val="0"/>
        <w:rPr>
          <w:sz w:val="24"/>
          <w:szCs w:val="24"/>
        </w:rPr>
      </w:pPr>
      <w:r>
        <w:rPr>
          <w:sz w:val="24"/>
          <w:szCs w:val="24"/>
        </w:rPr>
        <w:lastRenderedPageBreak/>
        <w:t xml:space="preserve">Ms. </w:t>
      </w:r>
      <w:r w:rsidR="00231C3A">
        <w:rPr>
          <w:sz w:val="24"/>
          <w:szCs w:val="24"/>
        </w:rPr>
        <w:t>Cheryl Sowash</w:t>
      </w:r>
    </w:p>
    <w:p w:rsidR="008151D7" w:rsidRDefault="00231C3A">
      <w:pPr>
        <w:numPr>
          <w:ilvl w:val="12"/>
          <w:numId w:val="0"/>
        </w:numPr>
        <w:ind w:left="720"/>
        <w:outlineLvl w:val="0"/>
        <w:rPr>
          <w:sz w:val="24"/>
          <w:szCs w:val="24"/>
        </w:rPr>
      </w:pPr>
      <w:r>
        <w:rPr>
          <w:sz w:val="24"/>
          <w:szCs w:val="24"/>
        </w:rPr>
        <w:t>Senior Sponsored Program Officer</w:t>
      </w:r>
    </w:p>
    <w:p w:rsidR="008151D7" w:rsidRDefault="00231C3A">
      <w:pPr>
        <w:numPr>
          <w:ilvl w:val="12"/>
          <w:numId w:val="0"/>
        </w:numPr>
        <w:ind w:left="720"/>
        <w:outlineLvl w:val="0"/>
        <w:rPr>
          <w:sz w:val="24"/>
          <w:szCs w:val="24"/>
        </w:rPr>
      </w:pPr>
      <w:r>
        <w:rPr>
          <w:sz w:val="24"/>
          <w:szCs w:val="24"/>
        </w:rPr>
        <w:t>The Ohio State University, Office of Sponsored Programs</w:t>
      </w:r>
    </w:p>
    <w:p w:rsidR="008151D7" w:rsidRDefault="00231C3A">
      <w:pPr>
        <w:numPr>
          <w:ilvl w:val="12"/>
          <w:numId w:val="0"/>
        </w:numPr>
        <w:ind w:left="720"/>
        <w:outlineLvl w:val="0"/>
        <w:rPr>
          <w:sz w:val="24"/>
          <w:szCs w:val="24"/>
        </w:rPr>
      </w:pPr>
      <w:r>
        <w:rPr>
          <w:sz w:val="24"/>
          <w:szCs w:val="24"/>
        </w:rPr>
        <w:t>1960 Kenny Road</w:t>
      </w:r>
    </w:p>
    <w:p w:rsidR="008151D7" w:rsidRDefault="00231C3A">
      <w:pPr>
        <w:numPr>
          <w:ilvl w:val="12"/>
          <w:numId w:val="0"/>
        </w:numPr>
        <w:ind w:left="720"/>
        <w:outlineLvl w:val="0"/>
        <w:rPr>
          <w:sz w:val="24"/>
          <w:szCs w:val="24"/>
        </w:rPr>
      </w:pPr>
      <w:r>
        <w:rPr>
          <w:sz w:val="24"/>
          <w:szCs w:val="24"/>
        </w:rPr>
        <w:t>Columbus, OH 43210</w:t>
      </w:r>
    </w:p>
    <w:p w:rsidR="008151D7" w:rsidRDefault="00231C3A">
      <w:pPr>
        <w:numPr>
          <w:ilvl w:val="12"/>
          <w:numId w:val="0"/>
        </w:numPr>
        <w:ind w:left="720"/>
        <w:outlineLvl w:val="0"/>
        <w:rPr>
          <w:sz w:val="24"/>
          <w:szCs w:val="24"/>
        </w:rPr>
      </w:pPr>
      <w:r>
        <w:rPr>
          <w:sz w:val="24"/>
          <w:szCs w:val="24"/>
        </w:rPr>
        <w:t>(614) 292-3738</w:t>
      </w:r>
    </w:p>
    <w:p w:rsidR="00231C3A" w:rsidRDefault="00231C3A">
      <w:pPr>
        <w:numPr>
          <w:ilvl w:val="12"/>
          <w:numId w:val="0"/>
        </w:numPr>
        <w:ind w:left="720"/>
        <w:outlineLvl w:val="0"/>
        <w:rPr>
          <w:sz w:val="24"/>
          <w:szCs w:val="24"/>
        </w:rPr>
      </w:pPr>
      <w:r>
        <w:rPr>
          <w:sz w:val="24"/>
          <w:szCs w:val="24"/>
        </w:rPr>
        <w:t>Sowash.10@osu.edu</w:t>
      </w:r>
    </w:p>
    <w:p w:rsidR="008151D7" w:rsidRDefault="008151D7">
      <w:pPr>
        <w:numPr>
          <w:ilvl w:val="12"/>
          <w:numId w:val="0"/>
        </w:numPr>
        <w:ind w:left="720"/>
        <w:outlineLvl w:val="0"/>
        <w:rPr>
          <w:sz w:val="24"/>
          <w:szCs w:val="24"/>
        </w:rPr>
      </w:pPr>
    </w:p>
    <w:p w:rsidR="008151D7" w:rsidRDefault="008151D7">
      <w:pPr>
        <w:numPr>
          <w:ilvl w:val="12"/>
          <w:numId w:val="0"/>
        </w:numPr>
        <w:ind w:left="720"/>
        <w:outlineLvl w:val="0"/>
        <w:rPr>
          <w:sz w:val="24"/>
          <w:szCs w:val="24"/>
        </w:rPr>
      </w:pPr>
      <w:r>
        <w:rPr>
          <w:sz w:val="24"/>
          <w:szCs w:val="24"/>
        </w:rPr>
        <w:t xml:space="preserve">Ms. </w:t>
      </w:r>
      <w:r w:rsidR="00FF75C2">
        <w:rPr>
          <w:sz w:val="24"/>
          <w:szCs w:val="24"/>
        </w:rPr>
        <w:t>Leigh Ann Ross</w:t>
      </w:r>
    </w:p>
    <w:p w:rsidR="00FF75C2" w:rsidRDefault="00FF75C2">
      <w:pPr>
        <w:numPr>
          <w:ilvl w:val="12"/>
          <w:numId w:val="0"/>
        </w:numPr>
        <w:ind w:left="720"/>
        <w:outlineLvl w:val="0"/>
        <w:rPr>
          <w:sz w:val="24"/>
          <w:szCs w:val="24"/>
        </w:rPr>
      </w:pPr>
      <w:r>
        <w:rPr>
          <w:sz w:val="24"/>
          <w:szCs w:val="24"/>
        </w:rPr>
        <w:t>Associate Dean/Chair, Department of Pharmacy Practice</w:t>
      </w:r>
    </w:p>
    <w:p w:rsidR="008151D7" w:rsidRDefault="00FF75C2">
      <w:pPr>
        <w:numPr>
          <w:ilvl w:val="12"/>
          <w:numId w:val="0"/>
        </w:numPr>
        <w:ind w:left="720"/>
        <w:outlineLvl w:val="0"/>
        <w:rPr>
          <w:sz w:val="24"/>
          <w:szCs w:val="24"/>
        </w:rPr>
      </w:pPr>
      <w:r>
        <w:rPr>
          <w:sz w:val="24"/>
          <w:szCs w:val="24"/>
        </w:rPr>
        <w:t>University of Mississippi Scholl of Pharmacy</w:t>
      </w:r>
    </w:p>
    <w:p w:rsidR="00D05835" w:rsidRDefault="00FF75C2">
      <w:pPr>
        <w:numPr>
          <w:ilvl w:val="12"/>
          <w:numId w:val="0"/>
        </w:numPr>
        <w:ind w:left="720"/>
        <w:outlineLvl w:val="0"/>
        <w:rPr>
          <w:sz w:val="24"/>
          <w:szCs w:val="24"/>
        </w:rPr>
      </w:pPr>
      <w:r>
        <w:rPr>
          <w:sz w:val="24"/>
          <w:szCs w:val="24"/>
        </w:rPr>
        <w:t>2500 North State Street</w:t>
      </w:r>
    </w:p>
    <w:p w:rsidR="00D05835" w:rsidRDefault="00FF75C2">
      <w:pPr>
        <w:numPr>
          <w:ilvl w:val="12"/>
          <w:numId w:val="0"/>
        </w:numPr>
        <w:ind w:left="720"/>
        <w:outlineLvl w:val="0"/>
        <w:rPr>
          <w:sz w:val="24"/>
          <w:szCs w:val="24"/>
        </w:rPr>
      </w:pPr>
      <w:r>
        <w:rPr>
          <w:sz w:val="24"/>
          <w:szCs w:val="24"/>
        </w:rPr>
        <w:t>Jackson, MS 39216</w:t>
      </w:r>
    </w:p>
    <w:p w:rsidR="00D05835" w:rsidRDefault="00FF75C2">
      <w:pPr>
        <w:numPr>
          <w:ilvl w:val="12"/>
          <w:numId w:val="0"/>
        </w:numPr>
        <w:ind w:left="720"/>
        <w:outlineLvl w:val="0"/>
        <w:rPr>
          <w:sz w:val="24"/>
          <w:szCs w:val="24"/>
        </w:rPr>
      </w:pPr>
      <w:r>
        <w:rPr>
          <w:sz w:val="24"/>
          <w:szCs w:val="24"/>
        </w:rPr>
        <w:t>(601) 984-2481</w:t>
      </w:r>
    </w:p>
    <w:p w:rsidR="00FF75C2" w:rsidRDefault="00FF75C2">
      <w:pPr>
        <w:numPr>
          <w:ilvl w:val="12"/>
          <w:numId w:val="0"/>
        </w:numPr>
        <w:ind w:left="720"/>
        <w:outlineLvl w:val="0"/>
        <w:rPr>
          <w:sz w:val="24"/>
          <w:szCs w:val="24"/>
        </w:rPr>
      </w:pPr>
      <w:r>
        <w:rPr>
          <w:sz w:val="24"/>
          <w:szCs w:val="24"/>
        </w:rPr>
        <w:t>laross@umc.edu</w:t>
      </w:r>
    </w:p>
    <w:p w:rsidR="008151D7" w:rsidRDefault="008151D7" w:rsidP="0031186F">
      <w:pPr>
        <w:numPr>
          <w:ilvl w:val="12"/>
          <w:numId w:val="0"/>
        </w:numPr>
        <w:outlineLvl w:val="0"/>
        <w:rPr>
          <w:sz w:val="24"/>
          <w:szCs w:val="24"/>
        </w:rPr>
      </w:pPr>
    </w:p>
    <w:p w:rsidR="008151D7" w:rsidRDefault="008151D7">
      <w:pPr>
        <w:numPr>
          <w:ilvl w:val="12"/>
          <w:numId w:val="0"/>
        </w:numPr>
        <w:ind w:left="720"/>
        <w:outlineLvl w:val="0"/>
        <w:rPr>
          <w:sz w:val="24"/>
          <w:szCs w:val="24"/>
        </w:rPr>
      </w:pPr>
      <w:r>
        <w:rPr>
          <w:sz w:val="24"/>
          <w:szCs w:val="24"/>
        </w:rPr>
        <w:t xml:space="preserve">Ms. </w:t>
      </w:r>
      <w:r w:rsidR="00026F86">
        <w:rPr>
          <w:sz w:val="24"/>
          <w:szCs w:val="24"/>
        </w:rPr>
        <w:t>Carol A. Hollyhand</w:t>
      </w:r>
    </w:p>
    <w:p w:rsidR="008151D7" w:rsidRDefault="00026F86">
      <w:pPr>
        <w:numPr>
          <w:ilvl w:val="12"/>
          <w:numId w:val="0"/>
        </w:numPr>
        <w:ind w:left="720"/>
        <w:outlineLvl w:val="0"/>
        <w:rPr>
          <w:sz w:val="24"/>
          <w:szCs w:val="24"/>
        </w:rPr>
      </w:pPr>
      <w:r>
        <w:rPr>
          <w:sz w:val="24"/>
          <w:szCs w:val="24"/>
        </w:rPr>
        <w:t xml:space="preserve">Associate </w:t>
      </w:r>
      <w:r w:rsidR="008151D7">
        <w:rPr>
          <w:sz w:val="24"/>
          <w:szCs w:val="24"/>
        </w:rPr>
        <w:t xml:space="preserve">Director, </w:t>
      </w:r>
      <w:r>
        <w:rPr>
          <w:sz w:val="24"/>
          <w:szCs w:val="24"/>
        </w:rPr>
        <w:t>Office of Sponsored Programs</w:t>
      </w:r>
    </w:p>
    <w:p w:rsidR="008151D7" w:rsidRDefault="00026F86">
      <w:pPr>
        <w:numPr>
          <w:ilvl w:val="12"/>
          <w:numId w:val="0"/>
        </w:numPr>
        <w:ind w:left="720"/>
        <w:outlineLvl w:val="0"/>
        <w:rPr>
          <w:sz w:val="24"/>
          <w:szCs w:val="24"/>
        </w:rPr>
      </w:pPr>
      <w:r>
        <w:rPr>
          <w:sz w:val="24"/>
          <w:szCs w:val="24"/>
        </w:rPr>
        <w:t>The University of Alabama</w:t>
      </w:r>
    </w:p>
    <w:p w:rsidR="00026F86" w:rsidRDefault="00026F86">
      <w:pPr>
        <w:numPr>
          <w:ilvl w:val="12"/>
          <w:numId w:val="0"/>
        </w:numPr>
        <w:ind w:left="720"/>
        <w:outlineLvl w:val="0"/>
        <w:rPr>
          <w:sz w:val="24"/>
          <w:szCs w:val="24"/>
        </w:rPr>
      </w:pPr>
      <w:r>
        <w:rPr>
          <w:sz w:val="24"/>
          <w:szCs w:val="24"/>
        </w:rPr>
        <w:t>152 Rose Administration Building</w:t>
      </w:r>
    </w:p>
    <w:p w:rsidR="008151D7" w:rsidRDefault="008151D7">
      <w:pPr>
        <w:numPr>
          <w:ilvl w:val="12"/>
          <w:numId w:val="0"/>
        </w:numPr>
        <w:ind w:left="720"/>
        <w:outlineLvl w:val="0"/>
        <w:rPr>
          <w:sz w:val="24"/>
          <w:szCs w:val="24"/>
        </w:rPr>
      </w:pPr>
      <w:r>
        <w:rPr>
          <w:sz w:val="24"/>
          <w:szCs w:val="24"/>
        </w:rPr>
        <w:t>P.O. Box</w:t>
      </w:r>
      <w:r w:rsidR="00026F86">
        <w:rPr>
          <w:sz w:val="24"/>
          <w:szCs w:val="24"/>
        </w:rPr>
        <w:t>870104</w:t>
      </w:r>
    </w:p>
    <w:p w:rsidR="008151D7" w:rsidRDefault="00026F86">
      <w:pPr>
        <w:numPr>
          <w:ilvl w:val="12"/>
          <w:numId w:val="0"/>
        </w:numPr>
        <w:ind w:left="720"/>
        <w:outlineLvl w:val="0"/>
        <w:rPr>
          <w:sz w:val="24"/>
          <w:szCs w:val="24"/>
        </w:rPr>
      </w:pPr>
      <w:r>
        <w:rPr>
          <w:sz w:val="24"/>
          <w:szCs w:val="24"/>
        </w:rPr>
        <w:t>Tuscaloosa, AL 35487-0104</w:t>
      </w:r>
    </w:p>
    <w:p w:rsidR="008151D7" w:rsidRDefault="00026F86">
      <w:pPr>
        <w:numPr>
          <w:ilvl w:val="12"/>
          <w:numId w:val="0"/>
        </w:numPr>
        <w:ind w:left="720"/>
        <w:outlineLvl w:val="0"/>
        <w:rPr>
          <w:sz w:val="24"/>
          <w:szCs w:val="24"/>
        </w:rPr>
      </w:pPr>
      <w:r>
        <w:rPr>
          <w:sz w:val="24"/>
          <w:szCs w:val="24"/>
        </w:rPr>
        <w:t>(205) 348-8880</w:t>
      </w:r>
    </w:p>
    <w:p w:rsidR="00026F86" w:rsidRDefault="00026F86">
      <w:pPr>
        <w:numPr>
          <w:ilvl w:val="12"/>
          <w:numId w:val="0"/>
        </w:numPr>
        <w:ind w:left="720"/>
        <w:outlineLvl w:val="0"/>
        <w:rPr>
          <w:sz w:val="24"/>
          <w:szCs w:val="24"/>
        </w:rPr>
      </w:pPr>
      <w:r>
        <w:rPr>
          <w:sz w:val="24"/>
          <w:szCs w:val="24"/>
        </w:rPr>
        <w:t>chollyhand@fa.ua.edu</w:t>
      </w:r>
    </w:p>
    <w:p w:rsidR="004210BF" w:rsidRPr="000A0FE2" w:rsidRDefault="004210BF">
      <w:pPr>
        <w:numPr>
          <w:ilvl w:val="12"/>
          <w:numId w:val="0"/>
        </w:numPr>
        <w:ind w:left="720"/>
        <w:rPr>
          <w:sz w:val="24"/>
          <w:szCs w:val="24"/>
        </w:rPr>
      </w:pPr>
    </w:p>
    <w:p w:rsidR="004210BF" w:rsidRPr="000A0FE2" w:rsidRDefault="004210BF">
      <w:pPr>
        <w:numPr>
          <w:ilvl w:val="12"/>
          <w:numId w:val="0"/>
        </w:numPr>
        <w:tabs>
          <w:tab w:val="left" w:pos="720"/>
        </w:tabs>
        <w:ind w:left="720" w:hanging="720"/>
        <w:outlineLvl w:val="0"/>
        <w:rPr>
          <w:sz w:val="24"/>
          <w:szCs w:val="24"/>
        </w:rPr>
      </w:pPr>
      <w:r w:rsidRPr="000A0FE2">
        <w:rPr>
          <w:sz w:val="24"/>
          <w:szCs w:val="24"/>
        </w:rPr>
        <w:t>9.</w:t>
      </w:r>
      <w:r w:rsidRPr="000A0FE2">
        <w:rPr>
          <w:sz w:val="24"/>
          <w:szCs w:val="24"/>
        </w:rPr>
        <w:tab/>
      </w:r>
      <w:r w:rsidR="009E6F00">
        <w:rPr>
          <w:sz w:val="24"/>
          <w:szCs w:val="24"/>
          <w:u w:val="single"/>
        </w:rPr>
        <w:t>Explanation of any Payment/Gift to Respondents</w:t>
      </w:r>
    </w:p>
    <w:p w:rsidR="004210BF" w:rsidRPr="000A0FE2" w:rsidRDefault="004210BF">
      <w:pPr>
        <w:numPr>
          <w:ilvl w:val="12"/>
          <w:numId w:val="0"/>
        </w:numPr>
        <w:rPr>
          <w:sz w:val="24"/>
          <w:szCs w:val="24"/>
        </w:rPr>
      </w:pPr>
    </w:p>
    <w:p w:rsidR="004210BF" w:rsidRDefault="004210BF">
      <w:pPr>
        <w:numPr>
          <w:ilvl w:val="12"/>
          <w:numId w:val="0"/>
        </w:numPr>
        <w:outlineLvl w:val="0"/>
        <w:rPr>
          <w:sz w:val="24"/>
          <w:szCs w:val="24"/>
        </w:rPr>
      </w:pPr>
      <w:r w:rsidRPr="000A0FE2">
        <w:rPr>
          <w:sz w:val="24"/>
          <w:szCs w:val="24"/>
        </w:rPr>
        <w:t>Respondents will receive no remuneration.</w:t>
      </w:r>
      <w:r>
        <w:rPr>
          <w:sz w:val="24"/>
          <w:szCs w:val="24"/>
        </w:rPr>
        <w:t xml:space="preserve">  </w:t>
      </w:r>
    </w:p>
    <w:p w:rsidR="004210BF" w:rsidRDefault="004210BF">
      <w:pPr>
        <w:numPr>
          <w:ilvl w:val="12"/>
          <w:numId w:val="0"/>
        </w:numPr>
        <w:outlineLvl w:val="0"/>
        <w:rPr>
          <w:sz w:val="24"/>
          <w:szCs w:val="24"/>
        </w:rPr>
      </w:pPr>
    </w:p>
    <w:p w:rsidR="004210BF" w:rsidRDefault="004210BF">
      <w:pPr>
        <w:numPr>
          <w:ilvl w:val="0"/>
          <w:numId w:val="5"/>
        </w:numPr>
        <w:outlineLvl w:val="0"/>
        <w:rPr>
          <w:sz w:val="24"/>
          <w:szCs w:val="24"/>
          <w:u w:val="single"/>
        </w:rPr>
      </w:pPr>
      <w:r>
        <w:rPr>
          <w:sz w:val="24"/>
          <w:szCs w:val="24"/>
        </w:rPr>
        <w:t xml:space="preserve">      </w:t>
      </w:r>
      <w:r w:rsidRPr="000A0FE2">
        <w:rPr>
          <w:sz w:val="24"/>
          <w:szCs w:val="24"/>
          <w:u w:val="single"/>
        </w:rPr>
        <w:t>Assurance of Confidentiality</w:t>
      </w:r>
      <w:r w:rsidR="001A4654">
        <w:rPr>
          <w:sz w:val="24"/>
          <w:szCs w:val="24"/>
          <w:u w:val="single"/>
        </w:rPr>
        <w:t xml:space="preserve"> Provided to Respondents</w:t>
      </w:r>
      <w:r>
        <w:rPr>
          <w:sz w:val="24"/>
          <w:szCs w:val="24"/>
          <w:u w:val="single"/>
        </w:rPr>
        <w:t xml:space="preserve">  </w:t>
      </w:r>
      <w:r w:rsidR="003D75A3">
        <w:rPr>
          <w:sz w:val="24"/>
          <w:szCs w:val="24"/>
          <w:u w:val="single"/>
        </w:rPr>
        <w:t xml:space="preserve">  </w:t>
      </w:r>
    </w:p>
    <w:p w:rsidR="004210BF" w:rsidRPr="000A0FE2" w:rsidRDefault="004210BF">
      <w:pPr>
        <w:tabs>
          <w:tab w:val="left" w:pos="720"/>
        </w:tabs>
        <w:ind w:left="360"/>
        <w:outlineLvl w:val="0"/>
        <w:rPr>
          <w:sz w:val="24"/>
          <w:szCs w:val="24"/>
        </w:rPr>
      </w:pPr>
    </w:p>
    <w:p w:rsidR="004210BF" w:rsidRPr="000A0FE2" w:rsidRDefault="004210BF">
      <w:pPr>
        <w:numPr>
          <w:ilvl w:val="12"/>
          <w:numId w:val="0"/>
        </w:numPr>
        <w:rPr>
          <w:sz w:val="24"/>
          <w:szCs w:val="24"/>
        </w:rPr>
      </w:pPr>
      <w:r w:rsidRPr="000A0FE2">
        <w:rPr>
          <w:sz w:val="24"/>
          <w:szCs w:val="24"/>
        </w:rPr>
        <w:t xml:space="preserve">The Privacy Act does not apply because these information collection requirements do not include collection of information </w:t>
      </w:r>
      <w:r w:rsidR="00DC4616">
        <w:rPr>
          <w:sz w:val="24"/>
          <w:szCs w:val="24"/>
        </w:rPr>
        <w:t>at the individual level</w:t>
      </w:r>
      <w:r w:rsidRPr="000A0FE2">
        <w:rPr>
          <w:sz w:val="24"/>
          <w:szCs w:val="24"/>
        </w:rPr>
        <w:t xml:space="preserve">; all information is aggregated to the facility level. </w:t>
      </w:r>
      <w:r>
        <w:rPr>
          <w:sz w:val="24"/>
          <w:szCs w:val="24"/>
        </w:rPr>
        <w:t xml:space="preserve"> </w:t>
      </w:r>
    </w:p>
    <w:p w:rsidR="004210BF" w:rsidRPr="000A0FE2" w:rsidRDefault="004210BF">
      <w:pPr>
        <w:numPr>
          <w:ilvl w:val="12"/>
          <w:numId w:val="0"/>
        </w:numPr>
        <w:rPr>
          <w:sz w:val="24"/>
          <w:szCs w:val="24"/>
        </w:rPr>
      </w:pPr>
    </w:p>
    <w:p w:rsidR="004210BF" w:rsidRDefault="004210BF">
      <w:pPr>
        <w:numPr>
          <w:ilvl w:val="0"/>
          <w:numId w:val="5"/>
        </w:numPr>
        <w:outlineLvl w:val="0"/>
        <w:rPr>
          <w:sz w:val="24"/>
          <w:szCs w:val="24"/>
          <w:u w:val="single"/>
        </w:rPr>
      </w:pPr>
      <w:r>
        <w:rPr>
          <w:sz w:val="24"/>
          <w:szCs w:val="24"/>
        </w:rPr>
        <w:t xml:space="preserve">      </w:t>
      </w:r>
      <w:r w:rsidR="001A4654">
        <w:rPr>
          <w:sz w:val="24"/>
          <w:szCs w:val="24"/>
          <w:u w:val="single"/>
        </w:rPr>
        <w:t>Justification for Sensitive Questions</w:t>
      </w:r>
      <w:r>
        <w:rPr>
          <w:sz w:val="24"/>
          <w:szCs w:val="24"/>
          <w:u w:val="single"/>
        </w:rPr>
        <w:t xml:space="preserve">    </w:t>
      </w:r>
    </w:p>
    <w:p w:rsidR="004210BF" w:rsidRPr="000A0FE2" w:rsidRDefault="004210BF">
      <w:pPr>
        <w:tabs>
          <w:tab w:val="left" w:pos="720"/>
        </w:tabs>
        <w:ind w:left="360"/>
        <w:outlineLvl w:val="0"/>
        <w:rPr>
          <w:sz w:val="24"/>
          <w:szCs w:val="24"/>
        </w:rPr>
      </w:pPr>
    </w:p>
    <w:p w:rsidR="004210BF" w:rsidRPr="000A0FE2" w:rsidRDefault="004210BF">
      <w:pPr>
        <w:numPr>
          <w:ilvl w:val="12"/>
          <w:numId w:val="0"/>
        </w:numPr>
        <w:outlineLvl w:val="0"/>
        <w:rPr>
          <w:sz w:val="24"/>
          <w:szCs w:val="24"/>
        </w:rPr>
      </w:pPr>
      <w:r w:rsidRPr="000A0FE2">
        <w:rPr>
          <w:sz w:val="24"/>
          <w:szCs w:val="24"/>
        </w:rPr>
        <w:t>No questions of a sensitive nature are involved.</w:t>
      </w:r>
    </w:p>
    <w:p w:rsidR="004210BF" w:rsidRPr="000A0FE2" w:rsidRDefault="004210BF">
      <w:pPr>
        <w:numPr>
          <w:ilvl w:val="12"/>
          <w:numId w:val="0"/>
        </w:numPr>
        <w:rPr>
          <w:sz w:val="24"/>
          <w:szCs w:val="24"/>
        </w:rPr>
      </w:pPr>
    </w:p>
    <w:p w:rsidR="004210BF" w:rsidRPr="000D55E9" w:rsidRDefault="004210BF">
      <w:pPr>
        <w:numPr>
          <w:ilvl w:val="12"/>
          <w:numId w:val="0"/>
        </w:numPr>
        <w:tabs>
          <w:tab w:val="left" w:pos="720"/>
        </w:tabs>
        <w:ind w:left="720" w:hanging="720"/>
        <w:outlineLvl w:val="0"/>
        <w:rPr>
          <w:sz w:val="24"/>
          <w:szCs w:val="24"/>
        </w:rPr>
      </w:pPr>
      <w:r w:rsidRPr="000D55E9">
        <w:rPr>
          <w:sz w:val="24"/>
          <w:szCs w:val="24"/>
        </w:rPr>
        <w:t>12.</w:t>
      </w:r>
      <w:r w:rsidRPr="000D55E9">
        <w:rPr>
          <w:sz w:val="24"/>
          <w:szCs w:val="24"/>
        </w:rPr>
        <w:tab/>
      </w:r>
      <w:r w:rsidRPr="000D55E9">
        <w:rPr>
          <w:sz w:val="24"/>
          <w:szCs w:val="24"/>
          <w:u w:val="single"/>
        </w:rPr>
        <w:t xml:space="preserve">Estimate of Annualized Hour </w:t>
      </w:r>
      <w:r w:rsidR="001A4654">
        <w:rPr>
          <w:sz w:val="24"/>
          <w:szCs w:val="24"/>
          <w:u w:val="single"/>
        </w:rPr>
        <w:t xml:space="preserve">and Cost </w:t>
      </w:r>
      <w:r w:rsidRPr="000D55E9">
        <w:rPr>
          <w:sz w:val="24"/>
          <w:szCs w:val="24"/>
          <w:u w:val="single"/>
        </w:rPr>
        <w:t>Burden</w:t>
      </w:r>
    </w:p>
    <w:p w:rsidR="004210BF" w:rsidRPr="000D55E9" w:rsidRDefault="004210BF">
      <w:pPr>
        <w:numPr>
          <w:ilvl w:val="12"/>
          <w:numId w:val="0"/>
        </w:numPr>
        <w:rPr>
          <w:sz w:val="24"/>
          <w:szCs w:val="24"/>
        </w:rPr>
      </w:pPr>
    </w:p>
    <w:p w:rsidR="004210BF" w:rsidRPr="000D55E9" w:rsidRDefault="004210BF">
      <w:pPr>
        <w:numPr>
          <w:ilvl w:val="12"/>
          <w:numId w:val="0"/>
        </w:numPr>
        <w:rPr>
          <w:sz w:val="24"/>
          <w:szCs w:val="24"/>
        </w:rPr>
      </w:pPr>
      <w:r w:rsidRPr="000D55E9">
        <w:rPr>
          <w:sz w:val="24"/>
          <w:szCs w:val="24"/>
        </w:rPr>
        <w:t xml:space="preserve">The following estimates of burden per response are based on comments from the grantees referenced in Section 8 that describes consultation outside of the agency.  </w:t>
      </w:r>
    </w:p>
    <w:p w:rsidR="004210BF" w:rsidRPr="000D55E9" w:rsidRDefault="004210BF">
      <w:pPr>
        <w:numPr>
          <w:ilvl w:val="12"/>
          <w:numId w:val="0"/>
        </w:numPr>
        <w:rPr>
          <w:sz w:val="24"/>
          <w:szCs w:val="24"/>
        </w:rPr>
      </w:pPr>
    </w:p>
    <w:p w:rsidR="004210BF" w:rsidRDefault="004210BF">
      <w:pPr>
        <w:numPr>
          <w:ilvl w:val="12"/>
          <w:numId w:val="0"/>
        </w:numPr>
        <w:rPr>
          <w:sz w:val="24"/>
          <w:szCs w:val="24"/>
        </w:rPr>
      </w:pPr>
      <w:r w:rsidRPr="000D55E9">
        <w:rPr>
          <w:sz w:val="24"/>
          <w:szCs w:val="24"/>
        </w:rPr>
        <w:t>The burden estimates shown below are based on the following estimates of the average number of facilities in each category over the next 3 years:</w:t>
      </w:r>
    </w:p>
    <w:p w:rsidR="004210BF" w:rsidRPr="005411F4" w:rsidRDefault="004210BF" w:rsidP="0031186F">
      <w:pPr>
        <w:numPr>
          <w:ilvl w:val="12"/>
          <w:numId w:val="0"/>
        </w:numPr>
        <w:ind w:firstLine="720"/>
        <w:outlineLvl w:val="0"/>
        <w:rPr>
          <w:sz w:val="24"/>
          <w:szCs w:val="24"/>
        </w:rPr>
      </w:pPr>
      <w:r w:rsidRPr="000D55E9">
        <w:rPr>
          <w:sz w:val="24"/>
          <w:szCs w:val="24"/>
        </w:rPr>
        <w:lastRenderedPageBreak/>
        <w:t xml:space="preserve">Total reporting </w:t>
      </w:r>
      <w:r w:rsidRPr="000A2C72">
        <w:rPr>
          <w:sz w:val="24"/>
          <w:szCs w:val="24"/>
        </w:rPr>
        <w:t xml:space="preserve">facilities </w:t>
      </w:r>
      <w:r w:rsidRPr="000D55E9">
        <w:rPr>
          <w:sz w:val="24"/>
          <w:szCs w:val="24"/>
        </w:rPr>
        <w:t>with remaining obligations:</w:t>
      </w:r>
      <w:r w:rsidRPr="000D55E9">
        <w:rPr>
          <w:sz w:val="24"/>
          <w:szCs w:val="24"/>
        </w:rPr>
        <w:tab/>
      </w:r>
      <w:r w:rsidRPr="000D55E9">
        <w:rPr>
          <w:sz w:val="24"/>
          <w:szCs w:val="24"/>
        </w:rPr>
        <w:tab/>
        <w:t xml:space="preserve">   </w:t>
      </w:r>
      <w:r w:rsidRPr="000D55E9">
        <w:rPr>
          <w:sz w:val="24"/>
          <w:szCs w:val="24"/>
        </w:rPr>
        <w:tab/>
        <w:t xml:space="preserve">  </w:t>
      </w:r>
      <w:r w:rsidR="00F662C3">
        <w:rPr>
          <w:sz w:val="24"/>
          <w:szCs w:val="24"/>
        </w:rPr>
        <w:t>517</w:t>
      </w:r>
    </w:p>
    <w:p w:rsidR="004210BF" w:rsidRPr="005411F4" w:rsidRDefault="004210BF">
      <w:pPr>
        <w:numPr>
          <w:ilvl w:val="12"/>
          <w:numId w:val="0"/>
        </w:numPr>
        <w:rPr>
          <w:sz w:val="24"/>
          <w:szCs w:val="24"/>
        </w:rPr>
      </w:pPr>
    </w:p>
    <w:p w:rsidR="004210BF" w:rsidRPr="005411F4" w:rsidRDefault="004210BF">
      <w:pPr>
        <w:numPr>
          <w:ilvl w:val="12"/>
          <w:numId w:val="0"/>
        </w:numPr>
        <w:rPr>
          <w:sz w:val="24"/>
          <w:szCs w:val="24"/>
        </w:rPr>
      </w:pPr>
      <w:r w:rsidRPr="005411F4">
        <w:rPr>
          <w:sz w:val="24"/>
          <w:szCs w:val="24"/>
        </w:rPr>
        <w:t xml:space="preserve"> </w:t>
      </w:r>
      <w:r w:rsidR="001E5856">
        <w:rPr>
          <w:sz w:val="24"/>
          <w:szCs w:val="24"/>
        </w:rPr>
        <w:tab/>
      </w:r>
      <w:r w:rsidR="001E5856">
        <w:rPr>
          <w:sz w:val="24"/>
          <w:szCs w:val="24"/>
        </w:rPr>
        <w:tab/>
      </w:r>
      <w:r w:rsidRPr="005411F4">
        <w:rPr>
          <w:sz w:val="24"/>
          <w:szCs w:val="24"/>
        </w:rPr>
        <w:t xml:space="preserve">Construction-related </w:t>
      </w:r>
      <w:r w:rsidRPr="005411F4">
        <w:rPr>
          <w:sz w:val="24"/>
          <w:szCs w:val="24"/>
        </w:rPr>
        <w:tab/>
      </w:r>
      <w:r w:rsidRPr="005411F4">
        <w:rPr>
          <w:sz w:val="24"/>
          <w:szCs w:val="24"/>
        </w:rPr>
        <w:tab/>
      </w:r>
      <w:r w:rsidRPr="005411F4">
        <w:rPr>
          <w:sz w:val="24"/>
          <w:szCs w:val="24"/>
        </w:rPr>
        <w:tab/>
      </w:r>
      <w:r w:rsidRPr="005411F4">
        <w:rPr>
          <w:sz w:val="24"/>
          <w:szCs w:val="24"/>
        </w:rPr>
        <w:tab/>
      </w:r>
      <w:r w:rsidRPr="005411F4">
        <w:rPr>
          <w:sz w:val="24"/>
          <w:szCs w:val="24"/>
        </w:rPr>
        <w:tab/>
      </w:r>
      <w:r w:rsidRPr="005411F4">
        <w:rPr>
          <w:sz w:val="24"/>
          <w:szCs w:val="24"/>
        </w:rPr>
        <w:tab/>
        <w:t xml:space="preserve">  </w:t>
      </w:r>
      <w:r w:rsidRPr="005411F4">
        <w:rPr>
          <w:sz w:val="24"/>
          <w:szCs w:val="24"/>
        </w:rPr>
        <w:tab/>
        <w:t xml:space="preserve">  </w:t>
      </w:r>
      <w:r w:rsidR="007A17B1">
        <w:rPr>
          <w:sz w:val="24"/>
          <w:szCs w:val="24"/>
        </w:rPr>
        <w:t>200</w:t>
      </w:r>
    </w:p>
    <w:p w:rsidR="004210BF" w:rsidRDefault="004210BF">
      <w:pPr>
        <w:numPr>
          <w:ilvl w:val="12"/>
          <w:numId w:val="0"/>
        </w:numPr>
        <w:rPr>
          <w:sz w:val="24"/>
          <w:szCs w:val="24"/>
        </w:rPr>
      </w:pPr>
      <w:r w:rsidRPr="005411F4">
        <w:rPr>
          <w:sz w:val="24"/>
          <w:szCs w:val="24"/>
        </w:rPr>
        <w:t xml:space="preserve">  </w:t>
      </w:r>
      <w:r w:rsidR="001E5856">
        <w:rPr>
          <w:sz w:val="24"/>
          <w:szCs w:val="24"/>
        </w:rPr>
        <w:tab/>
      </w:r>
      <w:r w:rsidR="001E5856">
        <w:rPr>
          <w:sz w:val="24"/>
          <w:szCs w:val="24"/>
        </w:rPr>
        <w:tab/>
      </w:r>
      <w:r w:rsidRPr="005411F4">
        <w:rPr>
          <w:sz w:val="24"/>
          <w:szCs w:val="24"/>
        </w:rPr>
        <w:t>Equipment only</w:t>
      </w:r>
      <w:r w:rsidRPr="005411F4">
        <w:rPr>
          <w:sz w:val="24"/>
          <w:szCs w:val="24"/>
        </w:rPr>
        <w:tab/>
      </w:r>
      <w:r w:rsidRPr="005411F4">
        <w:rPr>
          <w:sz w:val="24"/>
          <w:szCs w:val="24"/>
        </w:rPr>
        <w:tab/>
      </w:r>
      <w:r w:rsidRPr="005411F4">
        <w:rPr>
          <w:sz w:val="24"/>
          <w:szCs w:val="24"/>
        </w:rPr>
        <w:tab/>
      </w:r>
      <w:r w:rsidRPr="005411F4">
        <w:rPr>
          <w:sz w:val="24"/>
          <w:szCs w:val="24"/>
        </w:rPr>
        <w:tab/>
      </w:r>
      <w:r w:rsidRPr="005411F4">
        <w:rPr>
          <w:sz w:val="24"/>
          <w:szCs w:val="24"/>
        </w:rPr>
        <w:tab/>
        <w:t xml:space="preserve">     </w:t>
      </w:r>
      <w:r w:rsidRPr="005411F4">
        <w:rPr>
          <w:sz w:val="24"/>
          <w:szCs w:val="24"/>
        </w:rPr>
        <w:tab/>
        <w:t xml:space="preserve">    </w:t>
      </w:r>
      <w:r w:rsidRPr="005411F4">
        <w:rPr>
          <w:sz w:val="24"/>
          <w:szCs w:val="24"/>
        </w:rPr>
        <w:tab/>
        <w:t xml:space="preserve">  </w:t>
      </w:r>
      <w:r w:rsidR="007A17B1">
        <w:rPr>
          <w:sz w:val="24"/>
          <w:szCs w:val="24"/>
        </w:rPr>
        <w:t>317</w:t>
      </w:r>
    </w:p>
    <w:p w:rsidR="00F43917" w:rsidRDefault="00F43917">
      <w:pPr>
        <w:numPr>
          <w:ilvl w:val="12"/>
          <w:numId w:val="0"/>
        </w:numPr>
        <w:rPr>
          <w:sz w:val="24"/>
          <w:szCs w:val="24"/>
        </w:rPr>
      </w:pPr>
    </w:p>
    <w:p w:rsidR="00F43917" w:rsidRPr="000D55E9" w:rsidRDefault="00F43917">
      <w:pPr>
        <w:numPr>
          <w:ilvl w:val="12"/>
          <w:numId w:val="0"/>
        </w:numPr>
        <w:rPr>
          <w:sz w:val="24"/>
          <w:szCs w:val="24"/>
        </w:rPr>
      </w:pPr>
    </w:p>
    <w:p w:rsidR="004210BF" w:rsidRPr="000D55E9" w:rsidRDefault="004210BF">
      <w:pPr>
        <w:numPr>
          <w:ilvl w:val="12"/>
          <w:numId w:val="0"/>
        </w:numPr>
        <w:tabs>
          <w:tab w:val="left" w:pos="1896"/>
          <w:tab w:val="left" w:pos="2256"/>
          <w:tab w:val="left" w:pos="2856"/>
          <w:tab w:val="left" w:pos="3456"/>
          <w:tab w:val="left" w:pos="4056"/>
          <w:tab w:val="left" w:pos="4656"/>
          <w:tab w:val="left" w:pos="5256"/>
          <w:tab w:val="left" w:pos="5856"/>
          <w:tab w:val="left" w:pos="6456"/>
          <w:tab w:val="left" w:pos="7056"/>
          <w:tab w:val="left" w:pos="7656"/>
          <w:tab w:val="left" w:pos="8256"/>
          <w:tab w:val="left" w:pos="8856"/>
          <w:tab w:val="left" w:pos="9456"/>
        </w:tabs>
        <w:ind w:left="888"/>
        <w:outlineLvl w:val="0"/>
        <w:rPr>
          <w:sz w:val="24"/>
          <w:szCs w:val="24"/>
        </w:rPr>
      </w:pPr>
      <w:r w:rsidRPr="000D55E9">
        <w:rPr>
          <w:sz w:val="24"/>
          <w:szCs w:val="24"/>
          <w:u w:val="single"/>
        </w:rPr>
        <w:t>ESTIMATE</w:t>
      </w:r>
      <w:r w:rsidR="000D4CEC">
        <w:rPr>
          <w:sz w:val="24"/>
          <w:szCs w:val="24"/>
          <w:u w:val="single"/>
        </w:rPr>
        <w:t>D</w:t>
      </w:r>
      <w:r w:rsidRPr="000D55E9">
        <w:rPr>
          <w:sz w:val="24"/>
          <w:szCs w:val="24"/>
          <w:u w:val="single"/>
        </w:rPr>
        <w:t xml:space="preserve"> </w:t>
      </w:r>
      <w:r w:rsidR="000D4CEC">
        <w:rPr>
          <w:sz w:val="24"/>
          <w:szCs w:val="24"/>
          <w:u w:val="single"/>
        </w:rPr>
        <w:t>ANNUALIZED</w:t>
      </w:r>
      <w:r w:rsidRPr="000D55E9">
        <w:rPr>
          <w:sz w:val="24"/>
          <w:szCs w:val="24"/>
          <w:u w:val="single"/>
        </w:rPr>
        <w:t xml:space="preserve"> BURDEN</w:t>
      </w:r>
      <w:r w:rsidR="000D4CEC">
        <w:rPr>
          <w:sz w:val="24"/>
          <w:szCs w:val="24"/>
          <w:u w:val="single"/>
        </w:rPr>
        <w:t xml:space="preserve"> HOURS</w:t>
      </w:r>
    </w:p>
    <w:p w:rsidR="004210BF" w:rsidRPr="000D55E9" w:rsidRDefault="004210BF">
      <w:pPr>
        <w:numPr>
          <w:ilvl w:val="12"/>
          <w:numId w:val="0"/>
        </w:numPr>
        <w:tabs>
          <w:tab w:val="left" w:pos="1896"/>
          <w:tab w:val="left" w:pos="2256"/>
          <w:tab w:val="left" w:pos="2856"/>
          <w:tab w:val="left" w:pos="3456"/>
          <w:tab w:val="left" w:pos="4056"/>
          <w:tab w:val="left" w:pos="4656"/>
          <w:tab w:val="left" w:pos="5256"/>
          <w:tab w:val="left" w:pos="5856"/>
          <w:tab w:val="left" w:pos="6456"/>
          <w:tab w:val="left" w:pos="7056"/>
          <w:tab w:val="left" w:pos="7656"/>
          <w:tab w:val="left" w:pos="8256"/>
          <w:tab w:val="left" w:pos="8856"/>
          <w:tab w:val="left" w:pos="9456"/>
        </w:tabs>
        <w:rPr>
          <w:sz w:val="24"/>
          <w:szCs w:val="24"/>
        </w:rPr>
      </w:pPr>
    </w:p>
    <w:p w:rsidR="004210BF" w:rsidRPr="000D55E9" w:rsidRDefault="004210BF">
      <w:pPr>
        <w:tabs>
          <w:tab w:val="left" w:pos="-1152"/>
          <w:tab w:val="left" w:pos="-43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4210BF" w:rsidRPr="000D55E9" w:rsidTr="00D512F5">
        <w:tc>
          <w:tcPr>
            <w:tcW w:w="1476" w:type="dxa"/>
          </w:tcPr>
          <w:p w:rsidR="004210BF" w:rsidRPr="000D55E9" w:rsidRDefault="004210BF" w:rsidP="00D512F5">
            <w:pPr>
              <w:tabs>
                <w:tab w:val="left" w:pos="-1152"/>
                <w:tab w:val="left" w:pos="-432"/>
              </w:tabs>
            </w:pPr>
            <w:r w:rsidRPr="000D55E9">
              <w:t xml:space="preserve">Project Type </w:t>
            </w:r>
          </w:p>
        </w:tc>
        <w:tc>
          <w:tcPr>
            <w:tcW w:w="1476" w:type="dxa"/>
          </w:tcPr>
          <w:p w:rsidR="004210BF" w:rsidRPr="000D55E9" w:rsidRDefault="004210BF" w:rsidP="00D512F5">
            <w:pPr>
              <w:tabs>
                <w:tab w:val="left" w:pos="-1152"/>
                <w:tab w:val="left" w:pos="-432"/>
              </w:tabs>
            </w:pPr>
            <w:r w:rsidRPr="000D55E9">
              <w:t>Number of Respondents</w:t>
            </w:r>
          </w:p>
        </w:tc>
        <w:tc>
          <w:tcPr>
            <w:tcW w:w="1476" w:type="dxa"/>
          </w:tcPr>
          <w:p w:rsidR="004210BF" w:rsidRPr="000D55E9" w:rsidRDefault="004210BF" w:rsidP="00D512F5">
            <w:pPr>
              <w:tabs>
                <w:tab w:val="left" w:pos="-1152"/>
                <w:tab w:val="left" w:pos="-432"/>
              </w:tabs>
            </w:pPr>
            <w:r w:rsidRPr="000D55E9">
              <w:t>Responses per Respondent</w:t>
            </w:r>
          </w:p>
        </w:tc>
        <w:tc>
          <w:tcPr>
            <w:tcW w:w="1476" w:type="dxa"/>
          </w:tcPr>
          <w:p w:rsidR="004210BF" w:rsidRPr="000D55E9" w:rsidRDefault="004210BF" w:rsidP="00D512F5">
            <w:pPr>
              <w:tabs>
                <w:tab w:val="left" w:pos="-1152"/>
                <w:tab w:val="left" w:pos="-432"/>
              </w:tabs>
            </w:pPr>
            <w:r w:rsidRPr="000D55E9">
              <w:t>Total Responses</w:t>
            </w:r>
          </w:p>
        </w:tc>
        <w:tc>
          <w:tcPr>
            <w:tcW w:w="1476" w:type="dxa"/>
          </w:tcPr>
          <w:p w:rsidR="004210BF" w:rsidRPr="000D55E9" w:rsidRDefault="004210BF" w:rsidP="00D512F5">
            <w:pPr>
              <w:tabs>
                <w:tab w:val="left" w:pos="-1152"/>
                <w:tab w:val="left" w:pos="-432"/>
              </w:tabs>
            </w:pPr>
            <w:r w:rsidRPr="000D55E9">
              <w:t>Hours per Response</w:t>
            </w:r>
          </w:p>
        </w:tc>
        <w:tc>
          <w:tcPr>
            <w:tcW w:w="1476" w:type="dxa"/>
          </w:tcPr>
          <w:p w:rsidR="004210BF" w:rsidRPr="000D55E9" w:rsidRDefault="004210BF" w:rsidP="00D512F5">
            <w:pPr>
              <w:tabs>
                <w:tab w:val="left" w:pos="-1152"/>
                <w:tab w:val="left" w:pos="-432"/>
              </w:tabs>
            </w:pPr>
            <w:r w:rsidRPr="000D55E9">
              <w:t>Total Burden Hours</w:t>
            </w:r>
          </w:p>
        </w:tc>
      </w:tr>
      <w:tr w:rsidR="004210BF" w:rsidRPr="000D55E9" w:rsidTr="00D512F5">
        <w:tc>
          <w:tcPr>
            <w:tcW w:w="1476" w:type="dxa"/>
          </w:tcPr>
          <w:p w:rsidR="004210BF" w:rsidRPr="000D55E9" w:rsidRDefault="004210BF" w:rsidP="00D512F5">
            <w:pPr>
              <w:tabs>
                <w:tab w:val="left" w:pos="-1152"/>
                <w:tab w:val="left" w:pos="-432"/>
              </w:tabs>
            </w:pPr>
            <w:r w:rsidRPr="000D55E9">
              <w:t>Construction-Related</w:t>
            </w:r>
          </w:p>
        </w:tc>
        <w:tc>
          <w:tcPr>
            <w:tcW w:w="1476" w:type="dxa"/>
          </w:tcPr>
          <w:p w:rsidR="004210BF" w:rsidRPr="000D55E9" w:rsidRDefault="004210BF" w:rsidP="00D512F5">
            <w:pPr>
              <w:tabs>
                <w:tab w:val="left" w:pos="-1152"/>
                <w:tab w:val="left" w:pos="-432"/>
              </w:tabs>
            </w:pPr>
          </w:p>
          <w:p w:rsidR="004210BF" w:rsidRPr="000D55E9" w:rsidRDefault="004210BF" w:rsidP="007A17B1">
            <w:pPr>
              <w:tabs>
                <w:tab w:val="left" w:pos="-1152"/>
                <w:tab w:val="left" w:pos="-432"/>
              </w:tabs>
            </w:pPr>
            <w:r w:rsidRPr="000D55E9">
              <w:t xml:space="preserve">  </w:t>
            </w:r>
            <w:r w:rsidR="007A17B1">
              <w:t>200</w:t>
            </w:r>
          </w:p>
        </w:tc>
        <w:tc>
          <w:tcPr>
            <w:tcW w:w="1476" w:type="dxa"/>
          </w:tcPr>
          <w:p w:rsidR="004210BF" w:rsidRPr="000D55E9" w:rsidRDefault="004210BF" w:rsidP="00D512F5">
            <w:pPr>
              <w:tabs>
                <w:tab w:val="left" w:pos="-1152"/>
                <w:tab w:val="left" w:pos="-432"/>
              </w:tabs>
            </w:pPr>
          </w:p>
          <w:p w:rsidR="004210BF" w:rsidRPr="000D55E9" w:rsidRDefault="004210BF" w:rsidP="00D512F5">
            <w:pPr>
              <w:tabs>
                <w:tab w:val="left" w:pos="-1152"/>
                <w:tab w:val="left" w:pos="-432"/>
              </w:tabs>
            </w:pPr>
            <w:r w:rsidRPr="000D55E9">
              <w:t>4</w:t>
            </w:r>
          </w:p>
        </w:tc>
        <w:tc>
          <w:tcPr>
            <w:tcW w:w="1476" w:type="dxa"/>
          </w:tcPr>
          <w:p w:rsidR="004210BF" w:rsidRPr="000D55E9" w:rsidRDefault="004210BF" w:rsidP="00D512F5">
            <w:pPr>
              <w:tabs>
                <w:tab w:val="left" w:pos="-1152"/>
                <w:tab w:val="left" w:pos="-432"/>
              </w:tabs>
            </w:pPr>
          </w:p>
          <w:p w:rsidR="004210BF" w:rsidRPr="000D55E9" w:rsidRDefault="007A17B1" w:rsidP="007A17B1">
            <w:pPr>
              <w:tabs>
                <w:tab w:val="left" w:pos="-1152"/>
                <w:tab w:val="left" w:pos="-432"/>
              </w:tabs>
            </w:pPr>
            <w:r>
              <w:t>800</w:t>
            </w:r>
          </w:p>
        </w:tc>
        <w:tc>
          <w:tcPr>
            <w:tcW w:w="1476" w:type="dxa"/>
          </w:tcPr>
          <w:p w:rsidR="004210BF" w:rsidRPr="000D55E9" w:rsidRDefault="004210BF" w:rsidP="00D512F5">
            <w:pPr>
              <w:tabs>
                <w:tab w:val="left" w:pos="-1152"/>
                <w:tab w:val="left" w:pos="-432"/>
              </w:tabs>
            </w:pPr>
          </w:p>
          <w:p w:rsidR="004210BF" w:rsidRPr="000D55E9" w:rsidRDefault="004210BF" w:rsidP="00D512F5">
            <w:pPr>
              <w:tabs>
                <w:tab w:val="left" w:pos="-1152"/>
                <w:tab w:val="left" w:pos="-432"/>
              </w:tabs>
            </w:pPr>
            <w:r w:rsidRPr="000D55E9">
              <w:t>.5</w:t>
            </w:r>
          </w:p>
        </w:tc>
        <w:tc>
          <w:tcPr>
            <w:tcW w:w="1476" w:type="dxa"/>
          </w:tcPr>
          <w:p w:rsidR="004210BF" w:rsidRPr="000D55E9" w:rsidRDefault="004210BF" w:rsidP="00D512F5">
            <w:pPr>
              <w:tabs>
                <w:tab w:val="left" w:pos="-1152"/>
                <w:tab w:val="left" w:pos="-432"/>
              </w:tabs>
            </w:pPr>
          </w:p>
          <w:p w:rsidR="004210BF" w:rsidRPr="000D55E9" w:rsidRDefault="007A17B1" w:rsidP="007A17B1">
            <w:pPr>
              <w:tabs>
                <w:tab w:val="left" w:pos="-1152"/>
                <w:tab w:val="left" w:pos="-432"/>
              </w:tabs>
            </w:pPr>
            <w:r>
              <w:t>400</w:t>
            </w:r>
          </w:p>
        </w:tc>
      </w:tr>
      <w:tr w:rsidR="004210BF" w:rsidRPr="000D55E9" w:rsidTr="00D512F5">
        <w:tc>
          <w:tcPr>
            <w:tcW w:w="1476" w:type="dxa"/>
          </w:tcPr>
          <w:p w:rsidR="004210BF" w:rsidRPr="000D55E9" w:rsidRDefault="004210BF" w:rsidP="00D512F5">
            <w:pPr>
              <w:tabs>
                <w:tab w:val="left" w:pos="-1152"/>
                <w:tab w:val="left" w:pos="-432"/>
              </w:tabs>
            </w:pPr>
            <w:r w:rsidRPr="000D55E9">
              <w:t>Equipment Only</w:t>
            </w:r>
          </w:p>
        </w:tc>
        <w:tc>
          <w:tcPr>
            <w:tcW w:w="1476" w:type="dxa"/>
          </w:tcPr>
          <w:p w:rsidR="004210BF" w:rsidRPr="000D55E9" w:rsidRDefault="004210BF" w:rsidP="00D512F5">
            <w:pPr>
              <w:tabs>
                <w:tab w:val="left" w:pos="-1152"/>
                <w:tab w:val="left" w:pos="-432"/>
              </w:tabs>
            </w:pPr>
          </w:p>
          <w:p w:rsidR="004210BF" w:rsidRPr="000D55E9" w:rsidRDefault="004210BF" w:rsidP="007A17B1">
            <w:pPr>
              <w:tabs>
                <w:tab w:val="left" w:pos="-1152"/>
                <w:tab w:val="left" w:pos="-432"/>
              </w:tabs>
            </w:pPr>
            <w:r w:rsidRPr="000D55E9">
              <w:t xml:space="preserve">  </w:t>
            </w:r>
            <w:r w:rsidR="007A17B1">
              <w:t>317</w:t>
            </w:r>
          </w:p>
        </w:tc>
        <w:tc>
          <w:tcPr>
            <w:tcW w:w="1476" w:type="dxa"/>
          </w:tcPr>
          <w:p w:rsidR="004210BF" w:rsidRPr="000D55E9" w:rsidRDefault="004210BF" w:rsidP="00D512F5">
            <w:pPr>
              <w:tabs>
                <w:tab w:val="left" w:pos="-1152"/>
                <w:tab w:val="left" w:pos="-432"/>
              </w:tabs>
            </w:pPr>
          </w:p>
          <w:p w:rsidR="004210BF" w:rsidRPr="000D55E9" w:rsidRDefault="004210BF" w:rsidP="00D512F5">
            <w:pPr>
              <w:tabs>
                <w:tab w:val="left" w:pos="-1152"/>
                <w:tab w:val="left" w:pos="-432"/>
              </w:tabs>
            </w:pPr>
            <w:r w:rsidRPr="000D55E9">
              <w:t>1</w:t>
            </w:r>
          </w:p>
        </w:tc>
        <w:tc>
          <w:tcPr>
            <w:tcW w:w="1476" w:type="dxa"/>
          </w:tcPr>
          <w:p w:rsidR="004210BF" w:rsidRPr="000D55E9" w:rsidRDefault="004210BF" w:rsidP="00D512F5">
            <w:pPr>
              <w:tabs>
                <w:tab w:val="left" w:pos="-1152"/>
                <w:tab w:val="left" w:pos="-432"/>
              </w:tabs>
            </w:pPr>
          </w:p>
          <w:p w:rsidR="004210BF" w:rsidRPr="000D55E9" w:rsidRDefault="007A17B1" w:rsidP="007A17B1">
            <w:pPr>
              <w:tabs>
                <w:tab w:val="left" w:pos="-1152"/>
                <w:tab w:val="left" w:pos="-432"/>
              </w:tabs>
            </w:pPr>
            <w:r>
              <w:t>317</w:t>
            </w:r>
          </w:p>
        </w:tc>
        <w:tc>
          <w:tcPr>
            <w:tcW w:w="1476" w:type="dxa"/>
          </w:tcPr>
          <w:p w:rsidR="004210BF" w:rsidRPr="000D55E9" w:rsidRDefault="004210BF" w:rsidP="00D512F5">
            <w:pPr>
              <w:tabs>
                <w:tab w:val="left" w:pos="-1152"/>
                <w:tab w:val="left" w:pos="-432"/>
              </w:tabs>
            </w:pPr>
          </w:p>
          <w:p w:rsidR="004210BF" w:rsidRPr="000D55E9" w:rsidRDefault="004210BF" w:rsidP="00D512F5">
            <w:pPr>
              <w:tabs>
                <w:tab w:val="left" w:pos="-1152"/>
                <w:tab w:val="left" w:pos="-432"/>
              </w:tabs>
            </w:pPr>
            <w:r w:rsidRPr="000D55E9">
              <w:t>.5</w:t>
            </w:r>
          </w:p>
        </w:tc>
        <w:tc>
          <w:tcPr>
            <w:tcW w:w="1476" w:type="dxa"/>
          </w:tcPr>
          <w:p w:rsidR="004210BF" w:rsidRPr="000D55E9" w:rsidRDefault="004210BF" w:rsidP="00D512F5">
            <w:pPr>
              <w:tabs>
                <w:tab w:val="left" w:pos="-1152"/>
                <w:tab w:val="left" w:pos="-432"/>
              </w:tabs>
            </w:pPr>
          </w:p>
          <w:p w:rsidR="004210BF" w:rsidRPr="000D55E9" w:rsidRDefault="007A17B1" w:rsidP="007A17B1">
            <w:pPr>
              <w:tabs>
                <w:tab w:val="left" w:pos="-1152"/>
                <w:tab w:val="left" w:pos="-432"/>
              </w:tabs>
            </w:pPr>
            <w:r>
              <w:t>158.5</w:t>
            </w:r>
          </w:p>
        </w:tc>
      </w:tr>
      <w:tr w:rsidR="004210BF" w:rsidRPr="000D55E9" w:rsidTr="00D512F5">
        <w:tc>
          <w:tcPr>
            <w:tcW w:w="1476" w:type="dxa"/>
          </w:tcPr>
          <w:p w:rsidR="004210BF" w:rsidRPr="000D55E9" w:rsidRDefault="004210BF" w:rsidP="00D512F5">
            <w:pPr>
              <w:tabs>
                <w:tab w:val="left" w:pos="-1152"/>
                <w:tab w:val="left" w:pos="-432"/>
              </w:tabs>
            </w:pPr>
            <w:r w:rsidRPr="000D55E9">
              <w:t>Total</w:t>
            </w:r>
          </w:p>
        </w:tc>
        <w:tc>
          <w:tcPr>
            <w:tcW w:w="1476" w:type="dxa"/>
          </w:tcPr>
          <w:p w:rsidR="004210BF" w:rsidRPr="000D55E9" w:rsidRDefault="004210BF" w:rsidP="007A17B1">
            <w:pPr>
              <w:tabs>
                <w:tab w:val="left" w:pos="-1152"/>
                <w:tab w:val="left" w:pos="-432"/>
              </w:tabs>
            </w:pPr>
            <w:r w:rsidRPr="000D55E9">
              <w:t xml:space="preserve">  </w:t>
            </w:r>
            <w:r w:rsidR="007A17B1">
              <w:t>517</w:t>
            </w:r>
          </w:p>
        </w:tc>
        <w:tc>
          <w:tcPr>
            <w:tcW w:w="1476" w:type="dxa"/>
          </w:tcPr>
          <w:p w:rsidR="004210BF" w:rsidRPr="000D55E9" w:rsidRDefault="004210BF" w:rsidP="00D512F5">
            <w:pPr>
              <w:tabs>
                <w:tab w:val="left" w:pos="-1152"/>
                <w:tab w:val="left" w:pos="-432"/>
              </w:tabs>
            </w:pPr>
          </w:p>
        </w:tc>
        <w:tc>
          <w:tcPr>
            <w:tcW w:w="1476" w:type="dxa"/>
          </w:tcPr>
          <w:p w:rsidR="004210BF" w:rsidRPr="000D55E9" w:rsidRDefault="007A17B1" w:rsidP="007A17B1">
            <w:pPr>
              <w:tabs>
                <w:tab w:val="left" w:pos="-1152"/>
                <w:tab w:val="left" w:pos="-432"/>
              </w:tabs>
            </w:pPr>
            <w:r>
              <w:t>1,117</w:t>
            </w:r>
          </w:p>
        </w:tc>
        <w:tc>
          <w:tcPr>
            <w:tcW w:w="1476" w:type="dxa"/>
          </w:tcPr>
          <w:p w:rsidR="004210BF" w:rsidRPr="000D55E9" w:rsidRDefault="004210BF" w:rsidP="00D512F5">
            <w:pPr>
              <w:tabs>
                <w:tab w:val="left" w:pos="-1152"/>
                <w:tab w:val="left" w:pos="-432"/>
              </w:tabs>
            </w:pPr>
          </w:p>
        </w:tc>
        <w:tc>
          <w:tcPr>
            <w:tcW w:w="1476" w:type="dxa"/>
          </w:tcPr>
          <w:p w:rsidR="004210BF" w:rsidRPr="000D55E9" w:rsidRDefault="007A17B1" w:rsidP="007A17B1">
            <w:pPr>
              <w:tabs>
                <w:tab w:val="left" w:pos="-1152"/>
                <w:tab w:val="left" w:pos="-432"/>
              </w:tabs>
            </w:pPr>
            <w:r>
              <w:t>558.5</w:t>
            </w:r>
          </w:p>
        </w:tc>
      </w:tr>
    </w:tbl>
    <w:p w:rsidR="004210BF" w:rsidRDefault="004210BF">
      <w:pPr>
        <w:numPr>
          <w:ilvl w:val="12"/>
          <w:numId w:val="0"/>
        </w:numPr>
        <w:tabs>
          <w:tab w:val="left" w:pos="1896"/>
          <w:tab w:val="left" w:pos="2256"/>
          <w:tab w:val="left" w:pos="2856"/>
          <w:tab w:val="left" w:pos="3456"/>
          <w:tab w:val="left" w:pos="4056"/>
          <w:tab w:val="left" w:pos="4656"/>
          <w:tab w:val="left" w:pos="5256"/>
          <w:tab w:val="left" w:pos="5856"/>
          <w:tab w:val="left" w:pos="6456"/>
          <w:tab w:val="left" w:pos="7056"/>
          <w:tab w:val="left" w:pos="7656"/>
          <w:tab w:val="left" w:pos="8256"/>
          <w:tab w:val="left" w:pos="8856"/>
          <w:tab w:val="left" w:pos="9456"/>
        </w:tabs>
      </w:pPr>
    </w:p>
    <w:p w:rsidR="007A35C3" w:rsidRPr="000D55E9" w:rsidRDefault="007A35C3" w:rsidP="007A35C3">
      <w:pPr>
        <w:numPr>
          <w:ilvl w:val="12"/>
          <w:numId w:val="0"/>
        </w:numPr>
        <w:tabs>
          <w:tab w:val="left" w:pos="1896"/>
          <w:tab w:val="left" w:pos="2256"/>
          <w:tab w:val="left" w:pos="2856"/>
          <w:tab w:val="left" w:pos="3456"/>
          <w:tab w:val="left" w:pos="4056"/>
          <w:tab w:val="left" w:pos="4656"/>
          <w:tab w:val="left" w:pos="5256"/>
          <w:tab w:val="left" w:pos="5856"/>
          <w:tab w:val="left" w:pos="6456"/>
          <w:tab w:val="left" w:pos="7056"/>
          <w:tab w:val="left" w:pos="7656"/>
          <w:tab w:val="left" w:pos="8256"/>
          <w:tab w:val="left" w:pos="8856"/>
          <w:tab w:val="left" w:pos="9456"/>
        </w:tabs>
        <w:ind w:left="888"/>
        <w:outlineLvl w:val="0"/>
        <w:rPr>
          <w:sz w:val="24"/>
          <w:szCs w:val="24"/>
        </w:rPr>
      </w:pPr>
      <w:r w:rsidRPr="000D55E9">
        <w:rPr>
          <w:sz w:val="24"/>
          <w:szCs w:val="24"/>
          <w:u w:val="single"/>
        </w:rPr>
        <w:t>ESTIMATE</w:t>
      </w:r>
      <w:r>
        <w:rPr>
          <w:sz w:val="24"/>
          <w:szCs w:val="24"/>
          <w:u w:val="single"/>
        </w:rPr>
        <w:t>D</w:t>
      </w:r>
      <w:r w:rsidRPr="000D55E9">
        <w:rPr>
          <w:sz w:val="24"/>
          <w:szCs w:val="24"/>
          <w:u w:val="single"/>
        </w:rPr>
        <w:t xml:space="preserve"> </w:t>
      </w:r>
      <w:r>
        <w:rPr>
          <w:sz w:val="24"/>
          <w:szCs w:val="24"/>
          <w:u w:val="single"/>
        </w:rPr>
        <w:t>ANNUALIZED</w:t>
      </w:r>
      <w:r w:rsidRPr="000D55E9">
        <w:rPr>
          <w:sz w:val="24"/>
          <w:szCs w:val="24"/>
          <w:u w:val="single"/>
        </w:rPr>
        <w:t xml:space="preserve"> BURDEN</w:t>
      </w:r>
      <w:r>
        <w:rPr>
          <w:sz w:val="24"/>
          <w:szCs w:val="24"/>
          <w:u w:val="single"/>
        </w:rPr>
        <w:t xml:space="preserve"> COSTS</w:t>
      </w:r>
    </w:p>
    <w:p w:rsidR="007A35C3" w:rsidRPr="000D55E9" w:rsidRDefault="007A35C3">
      <w:pPr>
        <w:numPr>
          <w:ilvl w:val="12"/>
          <w:numId w:val="0"/>
        </w:numPr>
        <w:tabs>
          <w:tab w:val="left" w:pos="1896"/>
          <w:tab w:val="left" w:pos="2256"/>
          <w:tab w:val="left" w:pos="2856"/>
          <w:tab w:val="left" w:pos="3456"/>
          <w:tab w:val="left" w:pos="4056"/>
          <w:tab w:val="left" w:pos="4656"/>
          <w:tab w:val="left" w:pos="5256"/>
          <w:tab w:val="left" w:pos="5856"/>
          <w:tab w:val="left" w:pos="6456"/>
          <w:tab w:val="left" w:pos="7056"/>
          <w:tab w:val="left" w:pos="7656"/>
          <w:tab w:val="left" w:pos="8256"/>
          <w:tab w:val="left" w:pos="8856"/>
          <w:tab w:val="left" w:pos="9456"/>
        </w:tabs>
      </w:pPr>
    </w:p>
    <w:p w:rsidR="004210BF" w:rsidRDefault="004210BF">
      <w:pPr>
        <w:numPr>
          <w:ilvl w:val="12"/>
          <w:numId w:val="0"/>
        </w:numPr>
        <w:tabs>
          <w:tab w:val="left" w:pos="1896"/>
          <w:tab w:val="left" w:pos="2256"/>
          <w:tab w:val="left" w:pos="2856"/>
          <w:tab w:val="left" w:pos="3456"/>
          <w:tab w:val="left" w:pos="4056"/>
          <w:tab w:val="left" w:pos="4656"/>
          <w:tab w:val="left" w:pos="5256"/>
          <w:tab w:val="left" w:pos="5856"/>
          <w:tab w:val="left" w:pos="6456"/>
          <w:tab w:val="left" w:pos="7056"/>
          <w:tab w:val="left" w:pos="7656"/>
          <w:tab w:val="left" w:pos="8256"/>
          <w:tab w:val="left" w:pos="8856"/>
          <w:tab w:val="left" w:pos="9456"/>
        </w:tabs>
        <w:rPr>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502"/>
        <w:gridCol w:w="1530"/>
        <w:gridCol w:w="1350"/>
        <w:gridCol w:w="1980"/>
      </w:tblGrid>
      <w:tr w:rsidR="00885BA5" w:rsidRPr="000D55E9" w:rsidTr="0031186F">
        <w:tc>
          <w:tcPr>
            <w:tcW w:w="1476" w:type="dxa"/>
          </w:tcPr>
          <w:p w:rsidR="00885BA5" w:rsidRPr="000D55E9" w:rsidRDefault="00885BA5" w:rsidP="00DB7C63">
            <w:pPr>
              <w:tabs>
                <w:tab w:val="left" w:pos="-1152"/>
                <w:tab w:val="left" w:pos="-432"/>
              </w:tabs>
            </w:pPr>
            <w:r w:rsidRPr="000D55E9">
              <w:t xml:space="preserve">Project Type </w:t>
            </w:r>
          </w:p>
        </w:tc>
        <w:tc>
          <w:tcPr>
            <w:tcW w:w="2502" w:type="dxa"/>
          </w:tcPr>
          <w:p w:rsidR="00885BA5" w:rsidRPr="000D55E9" w:rsidRDefault="00885BA5" w:rsidP="00DB7C63">
            <w:pPr>
              <w:tabs>
                <w:tab w:val="left" w:pos="-1152"/>
                <w:tab w:val="left" w:pos="-432"/>
              </w:tabs>
            </w:pPr>
            <w:r>
              <w:t xml:space="preserve">Type of </w:t>
            </w:r>
            <w:r w:rsidRPr="000D55E9">
              <w:t>Respondent</w:t>
            </w:r>
          </w:p>
        </w:tc>
        <w:tc>
          <w:tcPr>
            <w:tcW w:w="1530" w:type="dxa"/>
          </w:tcPr>
          <w:p w:rsidR="00885BA5" w:rsidRPr="000D55E9" w:rsidRDefault="00885BA5" w:rsidP="00DB7C63">
            <w:pPr>
              <w:tabs>
                <w:tab w:val="left" w:pos="-1152"/>
                <w:tab w:val="left" w:pos="-432"/>
              </w:tabs>
            </w:pPr>
            <w:r w:rsidRPr="000D55E9">
              <w:t>Total Burden Hours</w:t>
            </w:r>
          </w:p>
        </w:tc>
        <w:tc>
          <w:tcPr>
            <w:tcW w:w="1350" w:type="dxa"/>
          </w:tcPr>
          <w:p w:rsidR="00885BA5" w:rsidRPr="000D55E9" w:rsidRDefault="00885BA5" w:rsidP="00DB7C63">
            <w:pPr>
              <w:tabs>
                <w:tab w:val="left" w:pos="-1152"/>
                <w:tab w:val="left" w:pos="-432"/>
              </w:tabs>
            </w:pPr>
            <w:r>
              <w:t>Hourly Wage Rate</w:t>
            </w:r>
          </w:p>
        </w:tc>
        <w:tc>
          <w:tcPr>
            <w:tcW w:w="1980" w:type="dxa"/>
          </w:tcPr>
          <w:p w:rsidR="00885BA5" w:rsidRPr="000D55E9" w:rsidRDefault="00885BA5" w:rsidP="00DB7C63">
            <w:pPr>
              <w:tabs>
                <w:tab w:val="left" w:pos="-1152"/>
                <w:tab w:val="left" w:pos="-432"/>
              </w:tabs>
            </w:pPr>
            <w:r w:rsidRPr="000D55E9">
              <w:t>Total Burden Hours</w:t>
            </w:r>
          </w:p>
        </w:tc>
      </w:tr>
      <w:tr w:rsidR="002C5379" w:rsidRPr="000D55E9" w:rsidTr="0031186F">
        <w:tc>
          <w:tcPr>
            <w:tcW w:w="1476" w:type="dxa"/>
          </w:tcPr>
          <w:p w:rsidR="002C5379" w:rsidRPr="000D55E9" w:rsidRDefault="002C5379" w:rsidP="00DB7C63">
            <w:pPr>
              <w:tabs>
                <w:tab w:val="left" w:pos="-1152"/>
                <w:tab w:val="left" w:pos="-432"/>
              </w:tabs>
            </w:pPr>
            <w:r w:rsidRPr="000D55E9">
              <w:t>Construction-Related</w:t>
            </w:r>
          </w:p>
        </w:tc>
        <w:tc>
          <w:tcPr>
            <w:tcW w:w="2502" w:type="dxa"/>
          </w:tcPr>
          <w:p w:rsidR="002C5379" w:rsidRPr="000D55E9" w:rsidRDefault="002C5379" w:rsidP="00DB7C63">
            <w:pPr>
              <w:tabs>
                <w:tab w:val="left" w:pos="-1152"/>
                <w:tab w:val="left" w:pos="-432"/>
              </w:tabs>
            </w:pPr>
            <w:r>
              <w:t>Office and Administration Support Occupation</w:t>
            </w:r>
            <w:r w:rsidR="0058554F">
              <w:t>s</w:t>
            </w:r>
          </w:p>
          <w:p w:rsidR="002C5379" w:rsidRPr="000D55E9" w:rsidRDefault="002C5379" w:rsidP="00DB7C63">
            <w:pPr>
              <w:tabs>
                <w:tab w:val="left" w:pos="-1152"/>
                <w:tab w:val="left" w:pos="-432"/>
              </w:tabs>
            </w:pPr>
          </w:p>
        </w:tc>
        <w:tc>
          <w:tcPr>
            <w:tcW w:w="1530" w:type="dxa"/>
          </w:tcPr>
          <w:p w:rsidR="002C5379" w:rsidRPr="000D55E9" w:rsidRDefault="002C5379" w:rsidP="00DB7C63">
            <w:pPr>
              <w:tabs>
                <w:tab w:val="left" w:pos="-1152"/>
                <w:tab w:val="left" w:pos="-432"/>
              </w:tabs>
            </w:pPr>
          </w:p>
          <w:p w:rsidR="002C5379" w:rsidRPr="000D55E9" w:rsidRDefault="002C5379" w:rsidP="00DB7C63">
            <w:pPr>
              <w:tabs>
                <w:tab w:val="left" w:pos="-1152"/>
                <w:tab w:val="left" w:pos="-432"/>
              </w:tabs>
            </w:pPr>
            <w:r>
              <w:t>400</w:t>
            </w:r>
          </w:p>
        </w:tc>
        <w:tc>
          <w:tcPr>
            <w:tcW w:w="1350" w:type="dxa"/>
          </w:tcPr>
          <w:p w:rsidR="002C5379" w:rsidRPr="000D55E9" w:rsidRDefault="002C5379" w:rsidP="00DB7C63">
            <w:pPr>
              <w:tabs>
                <w:tab w:val="left" w:pos="-1152"/>
                <w:tab w:val="left" w:pos="-432"/>
              </w:tabs>
            </w:pPr>
          </w:p>
          <w:p w:rsidR="002C5379" w:rsidRPr="000D55E9" w:rsidRDefault="002C5379" w:rsidP="00DB7C63">
            <w:pPr>
              <w:tabs>
                <w:tab w:val="left" w:pos="-1152"/>
                <w:tab w:val="left" w:pos="-432"/>
              </w:tabs>
            </w:pPr>
            <w:r>
              <w:t>$17.00</w:t>
            </w:r>
          </w:p>
        </w:tc>
        <w:tc>
          <w:tcPr>
            <w:tcW w:w="1980" w:type="dxa"/>
          </w:tcPr>
          <w:p w:rsidR="002C5379" w:rsidRPr="000D55E9" w:rsidRDefault="002C5379" w:rsidP="00DB7C63">
            <w:pPr>
              <w:tabs>
                <w:tab w:val="left" w:pos="-1152"/>
                <w:tab w:val="left" w:pos="-432"/>
              </w:tabs>
            </w:pPr>
          </w:p>
          <w:p w:rsidR="002C5379" w:rsidRPr="000D55E9" w:rsidRDefault="002C5379" w:rsidP="00DB7C63">
            <w:pPr>
              <w:tabs>
                <w:tab w:val="left" w:pos="-1152"/>
                <w:tab w:val="left" w:pos="-432"/>
              </w:tabs>
            </w:pPr>
            <w:r>
              <w:t>$6,800.00</w:t>
            </w:r>
          </w:p>
        </w:tc>
      </w:tr>
      <w:tr w:rsidR="002C5379" w:rsidRPr="000D55E9" w:rsidTr="0031186F">
        <w:tc>
          <w:tcPr>
            <w:tcW w:w="1476" w:type="dxa"/>
          </w:tcPr>
          <w:p w:rsidR="002C5379" w:rsidRPr="000D55E9" w:rsidRDefault="002C5379" w:rsidP="00DB7C63">
            <w:pPr>
              <w:tabs>
                <w:tab w:val="left" w:pos="-1152"/>
                <w:tab w:val="left" w:pos="-432"/>
              </w:tabs>
            </w:pPr>
            <w:r w:rsidRPr="000D55E9">
              <w:t>Equipment Only</w:t>
            </w:r>
          </w:p>
        </w:tc>
        <w:tc>
          <w:tcPr>
            <w:tcW w:w="2502" w:type="dxa"/>
          </w:tcPr>
          <w:p w:rsidR="002C5379" w:rsidRPr="000D55E9" w:rsidRDefault="002C5379" w:rsidP="00885BA5">
            <w:pPr>
              <w:tabs>
                <w:tab w:val="left" w:pos="-1152"/>
                <w:tab w:val="left" w:pos="-432"/>
              </w:tabs>
            </w:pPr>
            <w:r>
              <w:t>Office and Administration Support Occupation</w:t>
            </w:r>
            <w:r w:rsidR="0058554F">
              <w:t>s</w:t>
            </w:r>
          </w:p>
          <w:p w:rsidR="002C5379" w:rsidRPr="000D55E9" w:rsidRDefault="002C5379" w:rsidP="00DB7C63">
            <w:pPr>
              <w:tabs>
                <w:tab w:val="left" w:pos="-1152"/>
                <w:tab w:val="left" w:pos="-432"/>
              </w:tabs>
            </w:pPr>
          </w:p>
        </w:tc>
        <w:tc>
          <w:tcPr>
            <w:tcW w:w="1530" w:type="dxa"/>
          </w:tcPr>
          <w:p w:rsidR="002C5379" w:rsidRPr="000D55E9" w:rsidRDefault="002C5379" w:rsidP="00DB7C63">
            <w:pPr>
              <w:tabs>
                <w:tab w:val="left" w:pos="-1152"/>
                <w:tab w:val="left" w:pos="-432"/>
              </w:tabs>
            </w:pPr>
          </w:p>
          <w:p w:rsidR="002C5379" w:rsidRPr="000D55E9" w:rsidRDefault="002C5379" w:rsidP="00DB7C63">
            <w:pPr>
              <w:tabs>
                <w:tab w:val="left" w:pos="-1152"/>
                <w:tab w:val="left" w:pos="-432"/>
              </w:tabs>
            </w:pPr>
            <w:r>
              <w:t>158.5</w:t>
            </w:r>
          </w:p>
        </w:tc>
        <w:tc>
          <w:tcPr>
            <w:tcW w:w="1350" w:type="dxa"/>
          </w:tcPr>
          <w:p w:rsidR="002C5379" w:rsidRPr="000D55E9" w:rsidRDefault="002C5379" w:rsidP="002C5379">
            <w:pPr>
              <w:tabs>
                <w:tab w:val="left" w:pos="-1152"/>
                <w:tab w:val="left" w:pos="-432"/>
              </w:tabs>
            </w:pPr>
          </w:p>
          <w:p w:rsidR="002C5379" w:rsidRPr="000D55E9" w:rsidRDefault="002C5379" w:rsidP="002C5379">
            <w:pPr>
              <w:tabs>
                <w:tab w:val="left" w:pos="-1152"/>
                <w:tab w:val="left" w:pos="-432"/>
              </w:tabs>
            </w:pPr>
            <w:r>
              <w:t>$17.00</w:t>
            </w:r>
          </w:p>
        </w:tc>
        <w:tc>
          <w:tcPr>
            <w:tcW w:w="1980" w:type="dxa"/>
          </w:tcPr>
          <w:p w:rsidR="002C5379" w:rsidRPr="000D55E9" w:rsidRDefault="002C5379" w:rsidP="00DB7C63">
            <w:pPr>
              <w:tabs>
                <w:tab w:val="left" w:pos="-1152"/>
                <w:tab w:val="left" w:pos="-432"/>
              </w:tabs>
            </w:pPr>
          </w:p>
          <w:p w:rsidR="002C5379" w:rsidRDefault="002C5379" w:rsidP="00DB7C63">
            <w:pPr>
              <w:tabs>
                <w:tab w:val="left" w:pos="-1152"/>
                <w:tab w:val="left" w:pos="-432"/>
              </w:tabs>
            </w:pPr>
            <w:r>
              <w:t>$2,694.50</w:t>
            </w:r>
          </w:p>
          <w:p w:rsidR="002C5379" w:rsidRPr="000D55E9" w:rsidRDefault="002C5379" w:rsidP="00DB7C63">
            <w:pPr>
              <w:tabs>
                <w:tab w:val="left" w:pos="-1152"/>
                <w:tab w:val="left" w:pos="-432"/>
              </w:tabs>
            </w:pPr>
          </w:p>
        </w:tc>
      </w:tr>
      <w:tr w:rsidR="002C5379" w:rsidRPr="000D55E9" w:rsidTr="0031186F">
        <w:tc>
          <w:tcPr>
            <w:tcW w:w="1476" w:type="dxa"/>
          </w:tcPr>
          <w:p w:rsidR="002C5379" w:rsidRPr="000D55E9" w:rsidRDefault="002C5379" w:rsidP="00DB7C63">
            <w:pPr>
              <w:tabs>
                <w:tab w:val="left" w:pos="-1152"/>
                <w:tab w:val="left" w:pos="-432"/>
              </w:tabs>
            </w:pPr>
            <w:r w:rsidRPr="000D55E9">
              <w:t>Total</w:t>
            </w:r>
          </w:p>
        </w:tc>
        <w:tc>
          <w:tcPr>
            <w:tcW w:w="2502" w:type="dxa"/>
          </w:tcPr>
          <w:p w:rsidR="002C5379" w:rsidRPr="000D55E9" w:rsidRDefault="002C5379" w:rsidP="00DB7C63">
            <w:pPr>
              <w:tabs>
                <w:tab w:val="left" w:pos="-1152"/>
                <w:tab w:val="left" w:pos="-432"/>
              </w:tabs>
            </w:pPr>
          </w:p>
        </w:tc>
        <w:tc>
          <w:tcPr>
            <w:tcW w:w="1530" w:type="dxa"/>
          </w:tcPr>
          <w:p w:rsidR="002C5379" w:rsidRPr="000D55E9" w:rsidRDefault="002C5379" w:rsidP="00DB7C63">
            <w:pPr>
              <w:tabs>
                <w:tab w:val="left" w:pos="-1152"/>
                <w:tab w:val="left" w:pos="-432"/>
              </w:tabs>
            </w:pPr>
            <w:r>
              <w:t>558.5</w:t>
            </w:r>
          </w:p>
        </w:tc>
        <w:tc>
          <w:tcPr>
            <w:tcW w:w="1350" w:type="dxa"/>
          </w:tcPr>
          <w:p w:rsidR="002C5379" w:rsidRPr="000D55E9" w:rsidRDefault="002C5379" w:rsidP="00DB7C63">
            <w:pPr>
              <w:tabs>
                <w:tab w:val="left" w:pos="-1152"/>
                <w:tab w:val="left" w:pos="-432"/>
              </w:tabs>
            </w:pPr>
          </w:p>
        </w:tc>
        <w:tc>
          <w:tcPr>
            <w:tcW w:w="1980" w:type="dxa"/>
          </w:tcPr>
          <w:p w:rsidR="002C5379" w:rsidRPr="000D55E9" w:rsidRDefault="002C5379" w:rsidP="00DB7C63">
            <w:pPr>
              <w:tabs>
                <w:tab w:val="left" w:pos="-1152"/>
                <w:tab w:val="left" w:pos="-432"/>
              </w:tabs>
            </w:pPr>
            <w:r>
              <w:t>$9,494.50</w:t>
            </w:r>
          </w:p>
        </w:tc>
      </w:tr>
    </w:tbl>
    <w:p w:rsidR="007A35C3" w:rsidRPr="0093377D" w:rsidRDefault="007A35C3">
      <w:pPr>
        <w:numPr>
          <w:ilvl w:val="12"/>
          <w:numId w:val="0"/>
        </w:numPr>
        <w:tabs>
          <w:tab w:val="left" w:pos="1896"/>
          <w:tab w:val="left" w:pos="2256"/>
          <w:tab w:val="left" w:pos="2856"/>
          <w:tab w:val="left" w:pos="3456"/>
          <w:tab w:val="left" w:pos="4056"/>
          <w:tab w:val="left" w:pos="4656"/>
          <w:tab w:val="left" w:pos="5256"/>
          <w:tab w:val="left" w:pos="5856"/>
          <w:tab w:val="left" w:pos="6456"/>
          <w:tab w:val="left" w:pos="7056"/>
          <w:tab w:val="left" w:pos="7656"/>
          <w:tab w:val="left" w:pos="8256"/>
          <w:tab w:val="left" w:pos="8856"/>
          <w:tab w:val="left" w:pos="9456"/>
        </w:tabs>
        <w:rPr>
          <w:b/>
        </w:rPr>
      </w:pPr>
    </w:p>
    <w:p w:rsidR="004210BF" w:rsidRPr="0093377D"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b/>
          <w:sz w:val="24"/>
          <w:szCs w:val="24"/>
        </w:rPr>
      </w:pPr>
      <w:r w:rsidRPr="0093377D">
        <w:rPr>
          <w:b/>
          <w:bCs/>
          <w:sz w:val="24"/>
          <w:szCs w:val="24"/>
        </w:rPr>
        <w:t>Basis for Estimates:</w:t>
      </w:r>
    </w:p>
    <w:p w:rsidR="004210BF" w:rsidRPr="0093377D"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b/>
          <w:sz w:val="24"/>
          <w:szCs w:val="24"/>
        </w:rPr>
      </w:pP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sz w:val="24"/>
          <w:szCs w:val="24"/>
        </w:rPr>
      </w:pPr>
      <w:r w:rsidRPr="00A6186A">
        <w:rPr>
          <w:sz w:val="24"/>
          <w:szCs w:val="24"/>
        </w:rPr>
        <w:t xml:space="preserve">13.       </w:t>
      </w:r>
      <w:r w:rsidRPr="00A6186A">
        <w:rPr>
          <w:sz w:val="24"/>
          <w:szCs w:val="24"/>
          <w:u w:val="single"/>
        </w:rPr>
        <w:t xml:space="preserve">Estimates of </w:t>
      </w:r>
      <w:r w:rsidR="006C3939">
        <w:rPr>
          <w:sz w:val="24"/>
          <w:szCs w:val="24"/>
          <w:u w:val="single"/>
        </w:rPr>
        <w:t xml:space="preserve">other Total </w:t>
      </w:r>
      <w:r w:rsidRPr="00A6186A">
        <w:rPr>
          <w:sz w:val="24"/>
          <w:szCs w:val="24"/>
          <w:u w:val="single"/>
        </w:rPr>
        <w:t xml:space="preserve">Annual Cost </w:t>
      </w:r>
      <w:r w:rsidR="006C3939">
        <w:rPr>
          <w:sz w:val="24"/>
          <w:szCs w:val="24"/>
          <w:u w:val="single"/>
        </w:rPr>
        <w:t xml:space="preserve">Burden </w:t>
      </w:r>
      <w:r w:rsidRPr="00A6186A">
        <w:rPr>
          <w:sz w:val="24"/>
          <w:szCs w:val="24"/>
          <w:u w:val="single"/>
        </w:rPr>
        <w:t>to Respondents</w:t>
      </w:r>
      <w:r w:rsidR="006C3939">
        <w:rPr>
          <w:sz w:val="24"/>
          <w:szCs w:val="24"/>
          <w:u w:val="single"/>
        </w:rPr>
        <w:t xml:space="preserve"> or Recordkeepers/Capital Costs</w:t>
      </w: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r w:rsidRPr="00A6186A">
        <w:rPr>
          <w:sz w:val="24"/>
          <w:szCs w:val="24"/>
        </w:rPr>
        <w:t>There are no capital or start up costs for this activity.  Purchase of computers, testing equipment, etc., is not needed.  Also, there are no operations and maintenance costs that would be required beyond normal staff time.</w:t>
      </w: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sz w:val="24"/>
          <w:szCs w:val="24"/>
        </w:rPr>
      </w:pP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sz w:val="24"/>
          <w:szCs w:val="24"/>
        </w:rPr>
      </w:pPr>
      <w:r w:rsidRPr="00A6186A">
        <w:rPr>
          <w:sz w:val="24"/>
          <w:szCs w:val="24"/>
        </w:rPr>
        <w:t xml:space="preserve">14.      </w:t>
      </w:r>
      <w:r w:rsidRPr="00A6186A">
        <w:rPr>
          <w:sz w:val="24"/>
          <w:szCs w:val="24"/>
          <w:u w:val="single"/>
        </w:rPr>
        <w:t>Annualized Cost to the Federal Government</w:t>
      </w: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b/>
          <w:sz w:val="24"/>
          <w:szCs w:val="24"/>
        </w:rPr>
      </w:pPr>
      <w:r w:rsidRPr="00A6186A">
        <w:rPr>
          <w:sz w:val="24"/>
          <w:szCs w:val="24"/>
        </w:rPr>
        <w:t>The estimated cost to the Federal Government to analyze and process monitoring reports is estimated to be</w:t>
      </w:r>
      <w:r>
        <w:rPr>
          <w:sz w:val="24"/>
          <w:szCs w:val="24"/>
        </w:rPr>
        <w:t xml:space="preserve"> 50.41 percent of 1 FTE at a GS-13 level, amounting to approximately $</w:t>
      </w:r>
      <w:r w:rsidR="00AB4E10">
        <w:rPr>
          <w:sz w:val="24"/>
          <w:szCs w:val="24"/>
        </w:rPr>
        <w:t>50,865.</w:t>
      </w:r>
      <w:r>
        <w:rPr>
          <w:sz w:val="24"/>
          <w:szCs w:val="24"/>
        </w:rPr>
        <w:t xml:space="preserve"> </w:t>
      </w:r>
      <w:r w:rsidRPr="00A6186A">
        <w:rPr>
          <w:sz w:val="24"/>
          <w:szCs w:val="24"/>
        </w:rPr>
        <w:t xml:space="preserve"> </w:t>
      </w: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bCs/>
          <w:sz w:val="24"/>
          <w:szCs w:val="24"/>
        </w:rPr>
      </w:pP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sz w:val="24"/>
          <w:szCs w:val="24"/>
          <w:u w:val="single"/>
        </w:rPr>
      </w:pPr>
      <w:r w:rsidRPr="00A6186A">
        <w:rPr>
          <w:sz w:val="24"/>
          <w:szCs w:val="24"/>
        </w:rPr>
        <w:t xml:space="preserve">15.      </w:t>
      </w:r>
      <w:r w:rsidR="00D772AA">
        <w:rPr>
          <w:sz w:val="24"/>
          <w:szCs w:val="24"/>
        </w:rPr>
        <w:t xml:space="preserve">Explanation for Program </w:t>
      </w:r>
      <w:r w:rsidRPr="00A6186A">
        <w:rPr>
          <w:sz w:val="24"/>
          <w:szCs w:val="24"/>
          <w:u w:val="single"/>
        </w:rPr>
        <w:t xml:space="preserve">Changes </w:t>
      </w:r>
      <w:r w:rsidR="00D772AA">
        <w:rPr>
          <w:sz w:val="24"/>
          <w:szCs w:val="24"/>
          <w:u w:val="single"/>
        </w:rPr>
        <w:t>or Adjustments</w:t>
      </w: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sz w:val="24"/>
          <w:szCs w:val="24"/>
        </w:rPr>
      </w:pPr>
    </w:p>
    <w:p w:rsidR="004210BF" w:rsidRPr="00A6186A" w:rsidRDefault="00EF3724">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r w:rsidRPr="005411F4">
        <w:rPr>
          <w:sz w:val="24"/>
          <w:szCs w:val="24"/>
        </w:rPr>
        <w:t>The current annual hour burden approved by OMB for this activity is 1</w:t>
      </w:r>
      <w:r w:rsidR="00DC4616">
        <w:rPr>
          <w:sz w:val="24"/>
          <w:szCs w:val="24"/>
        </w:rPr>
        <w:t>,</w:t>
      </w:r>
      <w:r w:rsidR="007A17B1">
        <w:rPr>
          <w:sz w:val="24"/>
          <w:szCs w:val="24"/>
        </w:rPr>
        <w:t>581</w:t>
      </w:r>
      <w:r w:rsidRPr="005411F4">
        <w:rPr>
          <w:sz w:val="24"/>
          <w:szCs w:val="24"/>
        </w:rPr>
        <w:t xml:space="preserve"> hours.  The estimated annual hour burden has </w:t>
      </w:r>
      <w:r w:rsidR="007A17B1">
        <w:rPr>
          <w:sz w:val="24"/>
          <w:szCs w:val="24"/>
        </w:rPr>
        <w:t>de</w:t>
      </w:r>
      <w:r w:rsidRPr="005411F4">
        <w:rPr>
          <w:sz w:val="24"/>
          <w:szCs w:val="24"/>
        </w:rPr>
        <w:t xml:space="preserve">creased by </w:t>
      </w:r>
      <w:r w:rsidR="001B455D">
        <w:rPr>
          <w:sz w:val="24"/>
          <w:szCs w:val="24"/>
        </w:rPr>
        <w:t>1,022.5</w:t>
      </w:r>
      <w:r w:rsidRPr="005411F4">
        <w:rPr>
          <w:sz w:val="24"/>
          <w:szCs w:val="24"/>
        </w:rPr>
        <w:t xml:space="preserve"> hours </w:t>
      </w:r>
      <w:r w:rsidR="005411F4" w:rsidRPr="005411F4">
        <w:rPr>
          <w:sz w:val="24"/>
          <w:szCs w:val="24"/>
        </w:rPr>
        <w:t xml:space="preserve">due to a program adjustment.  </w:t>
      </w:r>
      <w:r w:rsidRPr="005411F4">
        <w:rPr>
          <w:sz w:val="24"/>
          <w:szCs w:val="24"/>
        </w:rPr>
        <w:t xml:space="preserve">The number of total respondents has </w:t>
      </w:r>
      <w:r w:rsidR="001B455D">
        <w:rPr>
          <w:sz w:val="24"/>
          <w:szCs w:val="24"/>
        </w:rPr>
        <w:t>de</w:t>
      </w:r>
      <w:r w:rsidRPr="005411F4">
        <w:rPr>
          <w:sz w:val="24"/>
          <w:szCs w:val="24"/>
        </w:rPr>
        <w:t xml:space="preserve">creased because </w:t>
      </w:r>
      <w:r w:rsidR="0087636E">
        <w:rPr>
          <w:sz w:val="24"/>
          <w:szCs w:val="24"/>
        </w:rPr>
        <w:t xml:space="preserve">a number of </w:t>
      </w:r>
      <w:r w:rsidRPr="005411F4">
        <w:rPr>
          <w:sz w:val="24"/>
          <w:szCs w:val="24"/>
        </w:rPr>
        <w:t>grants</w:t>
      </w:r>
      <w:r w:rsidR="0087636E">
        <w:rPr>
          <w:sz w:val="24"/>
          <w:szCs w:val="24"/>
        </w:rPr>
        <w:t xml:space="preserve"> </w:t>
      </w:r>
      <w:r w:rsidR="0087636E">
        <w:rPr>
          <w:sz w:val="24"/>
          <w:szCs w:val="24"/>
        </w:rPr>
        <w:lastRenderedPageBreak/>
        <w:t>have been</w:t>
      </w:r>
      <w:r w:rsidR="001B455D">
        <w:rPr>
          <w:sz w:val="24"/>
          <w:szCs w:val="24"/>
        </w:rPr>
        <w:t xml:space="preserve"> clos</w:t>
      </w:r>
      <w:r w:rsidR="0087636E">
        <w:rPr>
          <w:sz w:val="24"/>
          <w:szCs w:val="24"/>
        </w:rPr>
        <w:t>ed</w:t>
      </w:r>
      <w:r w:rsidR="001B455D">
        <w:rPr>
          <w:sz w:val="24"/>
          <w:szCs w:val="24"/>
        </w:rPr>
        <w:t xml:space="preserve"> out and no new awards in</w:t>
      </w:r>
      <w:r w:rsidR="0087636E">
        <w:rPr>
          <w:sz w:val="24"/>
          <w:szCs w:val="24"/>
        </w:rPr>
        <w:t xml:space="preserve"> were made in</w:t>
      </w:r>
      <w:r w:rsidR="001B455D">
        <w:rPr>
          <w:sz w:val="24"/>
          <w:szCs w:val="24"/>
        </w:rPr>
        <w:t xml:space="preserve"> fiscal years 2011, 2012 and 2013.</w:t>
      </w: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u w:val="single"/>
        </w:rPr>
      </w:pPr>
      <w:r w:rsidRPr="00A6186A">
        <w:rPr>
          <w:sz w:val="24"/>
          <w:szCs w:val="24"/>
        </w:rPr>
        <w:t xml:space="preserve">16.      </w:t>
      </w:r>
      <w:r w:rsidR="00D772AA" w:rsidRPr="0031186F">
        <w:rPr>
          <w:sz w:val="24"/>
          <w:szCs w:val="24"/>
          <w:u w:val="single"/>
        </w:rPr>
        <w:t>Plans for Tabulatio</w:t>
      </w:r>
      <w:r w:rsidR="003931E8" w:rsidRPr="0031186F">
        <w:rPr>
          <w:sz w:val="24"/>
          <w:szCs w:val="24"/>
          <w:u w:val="single"/>
        </w:rPr>
        <w:t>n</w:t>
      </w:r>
      <w:r w:rsidR="00D772AA" w:rsidRPr="0031186F">
        <w:rPr>
          <w:sz w:val="24"/>
          <w:szCs w:val="24"/>
          <w:u w:val="single"/>
        </w:rPr>
        <w:t xml:space="preserve">, Publication, and Project </w:t>
      </w:r>
      <w:r w:rsidRPr="0087636E">
        <w:rPr>
          <w:sz w:val="24"/>
          <w:szCs w:val="24"/>
          <w:u w:val="single"/>
        </w:rPr>
        <w:t>Time</w:t>
      </w:r>
      <w:r w:rsidRPr="00A6186A">
        <w:rPr>
          <w:sz w:val="24"/>
          <w:szCs w:val="24"/>
          <w:u w:val="single"/>
        </w:rPr>
        <w:t xml:space="preserve"> Schedule</w:t>
      </w:r>
    </w:p>
    <w:p w:rsidR="004210BF" w:rsidRPr="00A6186A" w:rsidRDefault="004210BF">
      <w:p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ind w:left="360"/>
        <w:outlineLvl w:val="0"/>
        <w:rPr>
          <w:sz w:val="24"/>
          <w:szCs w:val="24"/>
          <w:u w:val="single"/>
        </w:rPr>
      </w:pPr>
    </w:p>
    <w:p w:rsidR="004210BF"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r w:rsidRPr="00A6186A">
        <w:rPr>
          <w:sz w:val="24"/>
          <w:szCs w:val="24"/>
        </w:rPr>
        <w:t xml:space="preserve">There are no plans to publish </w:t>
      </w:r>
      <w:r>
        <w:rPr>
          <w:sz w:val="24"/>
          <w:szCs w:val="24"/>
        </w:rPr>
        <w:t xml:space="preserve">the results of the information </w:t>
      </w:r>
      <w:r w:rsidRPr="00A6186A">
        <w:rPr>
          <w:sz w:val="24"/>
          <w:szCs w:val="24"/>
        </w:rPr>
        <w:t>collected in this report.</w:t>
      </w: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p>
    <w:p w:rsidR="004210BF" w:rsidRPr="00A6186A" w:rsidRDefault="004210BF">
      <w:pPr>
        <w:numPr>
          <w:ilvl w:val="0"/>
          <w:numId w:val="6"/>
        </w:numPr>
        <w:tabs>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sz w:val="24"/>
          <w:szCs w:val="24"/>
          <w:u w:val="single"/>
        </w:rPr>
      </w:pPr>
      <w:r w:rsidRPr="00A6186A">
        <w:rPr>
          <w:sz w:val="24"/>
          <w:szCs w:val="24"/>
        </w:rPr>
        <w:t xml:space="preserve">     </w:t>
      </w:r>
      <w:r w:rsidR="003931E8" w:rsidRPr="0031186F">
        <w:rPr>
          <w:sz w:val="24"/>
          <w:szCs w:val="24"/>
          <w:u w:val="single"/>
        </w:rPr>
        <w:t>Re</w:t>
      </w:r>
      <w:r w:rsidR="009A0D2D" w:rsidRPr="0031186F">
        <w:rPr>
          <w:sz w:val="24"/>
          <w:szCs w:val="24"/>
          <w:u w:val="single"/>
        </w:rPr>
        <w:t>a</w:t>
      </w:r>
      <w:r w:rsidR="003931E8" w:rsidRPr="0031186F">
        <w:rPr>
          <w:sz w:val="24"/>
          <w:szCs w:val="24"/>
          <w:u w:val="single"/>
        </w:rPr>
        <w:t xml:space="preserve">son(s) Display of OMB </w:t>
      </w:r>
      <w:r w:rsidRPr="0087636E">
        <w:rPr>
          <w:sz w:val="24"/>
          <w:szCs w:val="24"/>
          <w:u w:val="single"/>
        </w:rPr>
        <w:t>Expiration</w:t>
      </w:r>
      <w:r w:rsidRPr="00A6186A">
        <w:rPr>
          <w:sz w:val="24"/>
          <w:szCs w:val="24"/>
          <w:u w:val="single"/>
        </w:rPr>
        <w:t xml:space="preserve"> Date</w:t>
      </w:r>
      <w:r w:rsidR="003931E8">
        <w:rPr>
          <w:sz w:val="24"/>
          <w:szCs w:val="24"/>
          <w:u w:val="single"/>
        </w:rPr>
        <w:t xml:space="preserve"> is Inappropriate</w:t>
      </w:r>
    </w:p>
    <w:p w:rsidR="004210BF" w:rsidRPr="00A6186A" w:rsidRDefault="004210BF">
      <w:p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ind w:left="360"/>
        <w:outlineLvl w:val="0"/>
        <w:rPr>
          <w:sz w:val="24"/>
          <w:szCs w:val="24"/>
        </w:rPr>
      </w:pP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r w:rsidRPr="00A6186A">
        <w:rPr>
          <w:sz w:val="24"/>
          <w:szCs w:val="24"/>
        </w:rPr>
        <w:t>No exemptions are requested.</w:t>
      </w:r>
    </w:p>
    <w:p w:rsidR="004210BF" w:rsidRPr="00A6186A" w:rsidRDefault="004210BF">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rPr>
          <w:sz w:val="24"/>
          <w:szCs w:val="24"/>
        </w:rPr>
      </w:pPr>
    </w:p>
    <w:p w:rsidR="004210BF" w:rsidRPr="00A6186A" w:rsidRDefault="004210BF">
      <w:pPr>
        <w:numPr>
          <w:ilvl w:val="0"/>
          <w:numId w:val="6"/>
        </w:numPr>
        <w:tabs>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outlineLvl w:val="0"/>
        <w:rPr>
          <w:sz w:val="24"/>
          <w:szCs w:val="24"/>
          <w:u w:val="single"/>
        </w:rPr>
      </w:pPr>
      <w:r w:rsidRPr="00A6186A">
        <w:rPr>
          <w:sz w:val="24"/>
          <w:szCs w:val="24"/>
        </w:rPr>
        <w:t xml:space="preserve">     </w:t>
      </w:r>
      <w:r w:rsidR="003931E8" w:rsidRPr="0031186F">
        <w:rPr>
          <w:sz w:val="24"/>
          <w:szCs w:val="24"/>
          <w:u w:val="single"/>
        </w:rPr>
        <w:t xml:space="preserve">Exceptions to </w:t>
      </w:r>
      <w:r w:rsidRPr="0087636E">
        <w:rPr>
          <w:sz w:val="24"/>
          <w:szCs w:val="24"/>
          <w:u w:val="single"/>
        </w:rPr>
        <w:t>Certification</w:t>
      </w:r>
      <w:r w:rsidR="003931E8">
        <w:rPr>
          <w:sz w:val="24"/>
          <w:szCs w:val="24"/>
          <w:u w:val="single"/>
        </w:rPr>
        <w:t xml:space="preserve"> for Paperwork Reduction Act Submission</w:t>
      </w:r>
    </w:p>
    <w:p w:rsidR="004210BF" w:rsidRPr="00A6186A" w:rsidRDefault="004210BF">
      <w:pPr>
        <w:tabs>
          <w:tab w:val="left" w:pos="88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ind w:left="360"/>
        <w:outlineLvl w:val="0"/>
        <w:rPr>
          <w:sz w:val="24"/>
          <w:szCs w:val="24"/>
          <w:u w:val="single"/>
        </w:rPr>
      </w:pPr>
    </w:p>
    <w:p w:rsidR="004210BF" w:rsidRDefault="003931E8">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jc w:val="both"/>
        <w:rPr>
          <w:sz w:val="24"/>
          <w:szCs w:val="24"/>
        </w:rPr>
      </w:pPr>
      <w:r>
        <w:rPr>
          <w:sz w:val="24"/>
          <w:szCs w:val="24"/>
        </w:rPr>
        <w:t>There are no exceptions to the collection.</w:t>
      </w:r>
    </w:p>
    <w:p w:rsidR="00BD59CD" w:rsidRDefault="00BD59CD">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jc w:val="both"/>
        <w:rPr>
          <w:sz w:val="24"/>
          <w:szCs w:val="24"/>
        </w:rPr>
      </w:pPr>
    </w:p>
    <w:p w:rsidR="009D457D" w:rsidRDefault="009D457D">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jc w:val="both"/>
        <w:rPr>
          <w:sz w:val="24"/>
          <w:szCs w:val="24"/>
        </w:rPr>
      </w:pPr>
    </w:p>
    <w:p w:rsidR="00BD59CD" w:rsidRDefault="00BD59CD">
      <w:pPr>
        <w:numPr>
          <w:ilvl w:val="12"/>
          <w:numId w:val="0"/>
        </w:numPr>
        <w:tabs>
          <w:tab w:val="left" w:pos="888"/>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s>
        <w:jc w:val="both"/>
        <w:rPr>
          <w:sz w:val="24"/>
          <w:szCs w:val="24"/>
        </w:rPr>
      </w:pPr>
    </w:p>
    <w:sectPr w:rsidR="00BD59C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9D" w:rsidRDefault="008D219D">
      <w:r>
        <w:separator/>
      </w:r>
    </w:p>
  </w:endnote>
  <w:endnote w:type="continuationSeparator" w:id="0">
    <w:p w:rsidR="008D219D" w:rsidRDefault="008D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EB" w:rsidRDefault="00AE2AEB">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03C0D">
      <w:rPr>
        <w:noProof/>
        <w:sz w:val="24"/>
        <w:szCs w:val="24"/>
      </w:rPr>
      <w:t>2</w:t>
    </w:r>
    <w:r>
      <w:rPr>
        <w:sz w:val="24"/>
        <w:szCs w:val="24"/>
      </w:rPr>
      <w:fldChar w:fldCharType="end"/>
    </w:r>
  </w:p>
  <w:p w:rsidR="00BD59CD" w:rsidRPr="0031186F" w:rsidRDefault="00BD59CD" w:rsidP="00503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9D" w:rsidRDefault="008D219D">
      <w:r>
        <w:separator/>
      </w:r>
    </w:p>
  </w:footnote>
  <w:footnote w:type="continuationSeparator" w:id="0">
    <w:p w:rsidR="008D219D" w:rsidRDefault="008D2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A22"/>
    <w:multiLevelType w:val="hybridMultilevel"/>
    <w:tmpl w:val="BF1E5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44582"/>
    <w:multiLevelType w:val="hybridMultilevel"/>
    <w:tmpl w:val="66227EA6"/>
    <w:lvl w:ilvl="0" w:tplc="0409000F">
      <w:start w:val="17"/>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71203B"/>
    <w:multiLevelType w:val="hybridMultilevel"/>
    <w:tmpl w:val="260CDD6C"/>
    <w:lvl w:ilvl="0" w:tplc="0409000F">
      <w:start w:val="10"/>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6D7BED"/>
    <w:multiLevelType w:val="hybridMultilevel"/>
    <w:tmpl w:val="ED2C5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E47673"/>
    <w:multiLevelType w:val="hybridMultilevel"/>
    <w:tmpl w:val="1F42A582"/>
    <w:lvl w:ilvl="0" w:tplc="C9CE5CA2">
      <w:start w:val="10"/>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AF969C7"/>
    <w:multiLevelType w:val="hybridMultilevel"/>
    <w:tmpl w:val="728034E8"/>
    <w:lvl w:ilvl="0" w:tplc="9D9CEEE6">
      <w:start w:val="16"/>
      <w:numFmt w:val="decimal"/>
      <w:lvlText w:val="%1."/>
      <w:lvlJc w:val="left"/>
      <w:pPr>
        <w:tabs>
          <w:tab w:val="num" w:pos="885"/>
        </w:tabs>
        <w:ind w:left="885" w:hanging="88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39D"/>
    <w:rsid w:val="00026F86"/>
    <w:rsid w:val="000451DB"/>
    <w:rsid w:val="00052F4A"/>
    <w:rsid w:val="000A2C72"/>
    <w:rsid w:val="000D4CEC"/>
    <w:rsid w:val="00135862"/>
    <w:rsid w:val="00170DEE"/>
    <w:rsid w:val="001A4654"/>
    <w:rsid w:val="001B455D"/>
    <w:rsid w:val="001C212B"/>
    <w:rsid w:val="001E5856"/>
    <w:rsid w:val="00231C3A"/>
    <w:rsid w:val="00236A45"/>
    <w:rsid w:val="0025262F"/>
    <w:rsid w:val="00286ABA"/>
    <w:rsid w:val="002C5379"/>
    <w:rsid w:val="002F0D74"/>
    <w:rsid w:val="0031186F"/>
    <w:rsid w:val="00312BAB"/>
    <w:rsid w:val="003931E8"/>
    <w:rsid w:val="003B28AE"/>
    <w:rsid w:val="003C499F"/>
    <w:rsid w:val="003C7DC8"/>
    <w:rsid w:val="003D75A3"/>
    <w:rsid w:val="003E7547"/>
    <w:rsid w:val="00410584"/>
    <w:rsid w:val="004210BF"/>
    <w:rsid w:val="004A74FD"/>
    <w:rsid w:val="004B34E0"/>
    <w:rsid w:val="004B7A21"/>
    <w:rsid w:val="00503C0D"/>
    <w:rsid w:val="00505455"/>
    <w:rsid w:val="005251F7"/>
    <w:rsid w:val="00526C46"/>
    <w:rsid w:val="005411F4"/>
    <w:rsid w:val="00543DE1"/>
    <w:rsid w:val="0058554F"/>
    <w:rsid w:val="00585E25"/>
    <w:rsid w:val="00611232"/>
    <w:rsid w:val="00624950"/>
    <w:rsid w:val="006252AC"/>
    <w:rsid w:val="00640401"/>
    <w:rsid w:val="006A1F2E"/>
    <w:rsid w:val="006C3939"/>
    <w:rsid w:val="006E5ED8"/>
    <w:rsid w:val="00741FC4"/>
    <w:rsid w:val="00767E9B"/>
    <w:rsid w:val="0077700E"/>
    <w:rsid w:val="007A17B1"/>
    <w:rsid w:val="007A35C3"/>
    <w:rsid w:val="007D15FB"/>
    <w:rsid w:val="008151D7"/>
    <w:rsid w:val="00854E19"/>
    <w:rsid w:val="0087636E"/>
    <w:rsid w:val="00885BA5"/>
    <w:rsid w:val="008D219D"/>
    <w:rsid w:val="0094064D"/>
    <w:rsid w:val="0095667F"/>
    <w:rsid w:val="0098718A"/>
    <w:rsid w:val="009A0D2D"/>
    <w:rsid w:val="009A719A"/>
    <w:rsid w:val="009B5270"/>
    <w:rsid w:val="009D457D"/>
    <w:rsid w:val="009E6F00"/>
    <w:rsid w:val="00A32E07"/>
    <w:rsid w:val="00A52678"/>
    <w:rsid w:val="00A71E6A"/>
    <w:rsid w:val="00AB4E10"/>
    <w:rsid w:val="00AE2AEB"/>
    <w:rsid w:val="00AF1B0F"/>
    <w:rsid w:val="00B03D74"/>
    <w:rsid w:val="00B10BEA"/>
    <w:rsid w:val="00B81C68"/>
    <w:rsid w:val="00B81C79"/>
    <w:rsid w:val="00BA19C0"/>
    <w:rsid w:val="00BD16F7"/>
    <w:rsid w:val="00BD59CD"/>
    <w:rsid w:val="00BF7055"/>
    <w:rsid w:val="00C24059"/>
    <w:rsid w:val="00C70DFE"/>
    <w:rsid w:val="00C76097"/>
    <w:rsid w:val="00CA4838"/>
    <w:rsid w:val="00CD0BC9"/>
    <w:rsid w:val="00D05835"/>
    <w:rsid w:val="00D06E8A"/>
    <w:rsid w:val="00D2604B"/>
    <w:rsid w:val="00D512F5"/>
    <w:rsid w:val="00D772AA"/>
    <w:rsid w:val="00D92868"/>
    <w:rsid w:val="00DB7C63"/>
    <w:rsid w:val="00DC4616"/>
    <w:rsid w:val="00DD2AAD"/>
    <w:rsid w:val="00DE7062"/>
    <w:rsid w:val="00DF56AC"/>
    <w:rsid w:val="00E245D3"/>
    <w:rsid w:val="00E5139D"/>
    <w:rsid w:val="00E60312"/>
    <w:rsid w:val="00E87E28"/>
    <w:rsid w:val="00E97C35"/>
    <w:rsid w:val="00ED6BCD"/>
    <w:rsid w:val="00EF3724"/>
    <w:rsid w:val="00F04893"/>
    <w:rsid w:val="00F43917"/>
    <w:rsid w:val="00F662C3"/>
    <w:rsid w:val="00FC3E00"/>
    <w:rsid w:val="00FF1636"/>
    <w:rsid w:val="00FF1FF3"/>
    <w:rsid w:val="00FF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77700E"/>
    <w:rPr>
      <w:sz w:val="16"/>
      <w:szCs w:val="16"/>
    </w:rPr>
  </w:style>
  <w:style w:type="paragraph" w:styleId="CommentText">
    <w:name w:val="annotation text"/>
    <w:basedOn w:val="Normal"/>
    <w:link w:val="CommentTextChar"/>
    <w:rsid w:val="0077700E"/>
  </w:style>
  <w:style w:type="character" w:customStyle="1" w:styleId="CommentTextChar">
    <w:name w:val="Comment Text Char"/>
    <w:basedOn w:val="DefaultParagraphFont"/>
    <w:link w:val="CommentText"/>
    <w:rsid w:val="0077700E"/>
  </w:style>
  <w:style w:type="paragraph" w:styleId="CommentSubject">
    <w:name w:val="annotation subject"/>
    <w:basedOn w:val="CommentText"/>
    <w:next w:val="CommentText"/>
    <w:link w:val="CommentSubjectChar"/>
    <w:rsid w:val="0077700E"/>
    <w:rPr>
      <w:b/>
      <w:bCs/>
    </w:rPr>
  </w:style>
  <w:style w:type="character" w:customStyle="1" w:styleId="CommentSubjectChar">
    <w:name w:val="Comment Subject Char"/>
    <w:link w:val="CommentSubject"/>
    <w:rsid w:val="0077700E"/>
    <w:rPr>
      <w:b/>
      <w:bCs/>
    </w:rPr>
  </w:style>
  <w:style w:type="paragraph" w:styleId="Revision">
    <w:name w:val="Revision"/>
    <w:hidden/>
    <w:uiPriority w:val="99"/>
    <w:semiHidden/>
    <w:rsid w:val="0087636E"/>
  </w:style>
  <w:style w:type="paragraph" w:styleId="Header">
    <w:name w:val="header"/>
    <w:basedOn w:val="Normal"/>
    <w:link w:val="HeaderChar"/>
    <w:rsid w:val="00BD59CD"/>
    <w:pPr>
      <w:tabs>
        <w:tab w:val="center" w:pos="4680"/>
        <w:tab w:val="right" w:pos="9360"/>
      </w:tabs>
    </w:pPr>
  </w:style>
  <w:style w:type="character" w:customStyle="1" w:styleId="HeaderChar">
    <w:name w:val="Header Char"/>
    <w:basedOn w:val="DefaultParagraphFont"/>
    <w:link w:val="Header"/>
    <w:rsid w:val="00BD59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Uncompensated Services Assurance Report</vt:lpstr>
    </vt:vector>
  </TitlesOfParts>
  <Company>hrsa</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Uncompensated Services Assurance Report</dc:title>
  <dc:creator>HRSA</dc:creator>
  <cp:lastModifiedBy>Jodi Duckhorn</cp:lastModifiedBy>
  <cp:revision>3</cp:revision>
  <cp:lastPrinted>2007-06-27T19:49:00Z</cp:lastPrinted>
  <dcterms:created xsi:type="dcterms:W3CDTF">2013-06-06T14:50:00Z</dcterms:created>
  <dcterms:modified xsi:type="dcterms:W3CDTF">2013-06-25T13:50:00Z</dcterms:modified>
</cp:coreProperties>
</file>