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720" w:rsidRDefault="00490720">
      <w:pPr>
        <w:widowControl/>
        <w:autoSpaceDE/>
        <w:autoSpaceDN/>
        <w:adjustRightInd/>
        <w:rPr>
          <w:b/>
          <w:bCs/>
          <w:sz w:val="32"/>
          <w:szCs w:val="32"/>
        </w:rPr>
      </w:pPr>
    </w:p>
    <w:p w:rsidR="00BA1A0C" w:rsidRDefault="009B3794" w:rsidP="00CE5AA9">
      <w:pPr>
        <w:tabs>
          <w:tab w:val="center" w:pos="4680"/>
        </w:tabs>
        <w:spacing w:before="120"/>
        <w:jc w:val="center"/>
        <w:rPr>
          <w:b/>
          <w:bCs/>
          <w:sz w:val="32"/>
          <w:szCs w:val="32"/>
        </w:rPr>
      </w:pPr>
      <w:r>
        <w:rPr>
          <w:b/>
          <w:bCs/>
          <w:sz w:val="32"/>
          <w:szCs w:val="32"/>
        </w:rPr>
        <w:t xml:space="preserve">Supporting Statement </w:t>
      </w:r>
      <w:r w:rsidR="00BA1A0C">
        <w:rPr>
          <w:b/>
          <w:bCs/>
          <w:sz w:val="32"/>
          <w:szCs w:val="32"/>
        </w:rPr>
        <w:t>A</w:t>
      </w:r>
    </w:p>
    <w:p w:rsidR="00BA1A0C" w:rsidRDefault="00BA1A0C" w:rsidP="00CE5AA9">
      <w:pPr>
        <w:tabs>
          <w:tab w:val="center" w:pos="4680"/>
        </w:tabs>
        <w:spacing w:before="120"/>
        <w:jc w:val="center"/>
        <w:rPr>
          <w:b/>
          <w:bCs/>
          <w:sz w:val="32"/>
          <w:szCs w:val="32"/>
        </w:rPr>
      </w:pPr>
    </w:p>
    <w:p w:rsidR="009B3794" w:rsidRDefault="00B212DF" w:rsidP="00CE5AA9">
      <w:pPr>
        <w:tabs>
          <w:tab w:val="center" w:pos="4680"/>
        </w:tabs>
        <w:spacing w:before="120"/>
        <w:jc w:val="center"/>
        <w:rPr>
          <w:b/>
          <w:bCs/>
          <w:sz w:val="32"/>
          <w:szCs w:val="32"/>
        </w:rPr>
      </w:pPr>
      <w:r w:rsidRPr="00AD44F5">
        <w:rPr>
          <w:b/>
          <w:bCs/>
          <w:sz w:val="32"/>
          <w:szCs w:val="32"/>
        </w:rPr>
        <w:t>Primary Care Faculty Development Initiative</w:t>
      </w:r>
    </w:p>
    <w:p w:rsidR="00BA1A0C" w:rsidRDefault="00BA1A0C" w:rsidP="00CE5AA9">
      <w:pPr>
        <w:tabs>
          <w:tab w:val="center" w:pos="4680"/>
        </w:tabs>
        <w:spacing w:before="120"/>
        <w:jc w:val="center"/>
        <w:rPr>
          <w:b/>
          <w:bCs/>
          <w:sz w:val="32"/>
          <w:szCs w:val="32"/>
        </w:rPr>
      </w:pPr>
    </w:p>
    <w:p w:rsidR="00BA1A0C" w:rsidRDefault="00BA1A0C" w:rsidP="00CE5AA9">
      <w:pPr>
        <w:tabs>
          <w:tab w:val="center" w:pos="4680"/>
        </w:tabs>
        <w:spacing w:before="120"/>
        <w:jc w:val="center"/>
        <w:rPr>
          <w:b/>
          <w:bCs/>
          <w:sz w:val="32"/>
          <w:szCs w:val="32"/>
        </w:rPr>
      </w:pPr>
      <w:r>
        <w:rPr>
          <w:b/>
          <w:bCs/>
          <w:sz w:val="32"/>
          <w:szCs w:val="32"/>
        </w:rPr>
        <w:t>OMB Control No. 09</w:t>
      </w:r>
      <w:r w:rsidR="00E34A1F">
        <w:rPr>
          <w:b/>
          <w:bCs/>
          <w:sz w:val="32"/>
          <w:szCs w:val="32"/>
        </w:rPr>
        <w:t>15</w:t>
      </w:r>
      <w:r>
        <w:rPr>
          <w:b/>
          <w:bCs/>
          <w:sz w:val="32"/>
          <w:szCs w:val="32"/>
        </w:rPr>
        <w:t>-XXXX</w:t>
      </w:r>
    </w:p>
    <w:p w:rsidR="00BA1A0C" w:rsidRDefault="00BA1A0C" w:rsidP="00CE5AA9">
      <w:pPr>
        <w:tabs>
          <w:tab w:val="center" w:pos="4680"/>
        </w:tabs>
        <w:spacing w:before="120"/>
        <w:jc w:val="center"/>
        <w:rPr>
          <w:b/>
          <w:bCs/>
          <w:sz w:val="32"/>
          <w:szCs w:val="32"/>
        </w:rPr>
      </w:pPr>
    </w:p>
    <w:p w:rsidR="009B3794" w:rsidRPr="00BA1A0C" w:rsidRDefault="009B3794" w:rsidP="00CE5AA9">
      <w:pPr>
        <w:tabs>
          <w:tab w:val="center" w:pos="4680"/>
        </w:tabs>
        <w:spacing w:before="120"/>
        <w:jc w:val="center"/>
        <w:rPr>
          <w:b/>
          <w:bCs/>
          <w:sz w:val="32"/>
          <w:szCs w:val="32"/>
        </w:rPr>
      </w:pPr>
    </w:p>
    <w:p w:rsidR="009B3794" w:rsidRPr="00CE5AA9" w:rsidRDefault="00DE3A45" w:rsidP="00CE5AA9">
      <w:pPr>
        <w:spacing w:before="120"/>
        <w:rPr>
          <w:b/>
          <w:sz w:val="24"/>
        </w:rPr>
      </w:pPr>
      <w:r>
        <w:rPr>
          <w:b/>
          <w:sz w:val="24"/>
        </w:rPr>
        <w:t>Terms of Clearance</w:t>
      </w:r>
      <w:r w:rsidR="00BA1A0C" w:rsidRPr="00BA1A0C">
        <w:rPr>
          <w:b/>
          <w:sz w:val="24"/>
        </w:rPr>
        <w:t>:</w:t>
      </w:r>
      <w:r w:rsidR="00BA1A0C">
        <w:rPr>
          <w:sz w:val="24"/>
        </w:rPr>
        <w:t xml:space="preserve">  </w:t>
      </w:r>
      <w:r w:rsidR="00B212DF" w:rsidRPr="00AD44F5">
        <w:rPr>
          <w:sz w:val="24"/>
        </w:rPr>
        <w:t>None</w:t>
      </w:r>
    </w:p>
    <w:p w:rsidR="009B3794" w:rsidRDefault="009B3794" w:rsidP="00CA3DA6">
      <w:pPr>
        <w:spacing w:before="120"/>
        <w:rPr>
          <w:b/>
          <w:bCs/>
          <w:sz w:val="24"/>
        </w:rPr>
      </w:pPr>
      <w:r>
        <w:rPr>
          <w:b/>
          <w:bCs/>
          <w:sz w:val="24"/>
        </w:rPr>
        <w:t>A.</w:t>
      </w:r>
      <w:r>
        <w:rPr>
          <w:b/>
          <w:bCs/>
          <w:sz w:val="24"/>
        </w:rPr>
        <w:tab/>
        <w:t>Justification</w:t>
      </w:r>
    </w:p>
    <w:p w:rsidR="009B3794" w:rsidRDefault="009B3794" w:rsidP="00CA3DA6">
      <w:pPr>
        <w:numPr>
          <w:ilvl w:val="0"/>
          <w:numId w:val="2"/>
        </w:numPr>
        <w:tabs>
          <w:tab w:val="clear" w:pos="1080"/>
          <w:tab w:val="num" w:pos="360"/>
        </w:tabs>
        <w:spacing w:before="240"/>
        <w:ind w:left="360"/>
        <w:rPr>
          <w:b/>
          <w:sz w:val="24"/>
        </w:rPr>
      </w:pPr>
      <w:r>
        <w:rPr>
          <w:b/>
          <w:sz w:val="24"/>
          <w:u w:val="single"/>
        </w:rPr>
        <w:t>Circumstances Making the Collection of Information Necessary</w:t>
      </w:r>
    </w:p>
    <w:p w:rsidR="0090309A" w:rsidRDefault="0090309A" w:rsidP="00AD44F5">
      <w:pPr>
        <w:spacing w:before="120"/>
        <w:ind w:left="360"/>
        <w:rPr>
          <w:sz w:val="24"/>
        </w:rPr>
      </w:pPr>
      <w:r w:rsidRPr="00AD44F5">
        <w:rPr>
          <w:sz w:val="24"/>
        </w:rPr>
        <w:t xml:space="preserve">There is a national need for re-strategizing the health care workforce to deliver care in new models and delivery systems, such as </w:t>
      </w:r>
      <w:proofErr w:type="gramStart"/>
      <w:r w:rsidRPr="00AD44F5">
        <w:rPr>
          <w:sz w:val="24"/>
        </w:rPr>
        <w:t>accountable</w:t>
      </w:r>
      <w:proofErr w:type="gramEnd"/>
      <w:r w:rsidRPr="00AD44F5">
        <w:rPr>
          <w:sz w:val="24"/>
        </w:rPr>
        <w:t xml:space="preserve"> care organization, team based care and patient centered medical homes, where primary care physicians and the teams they lead play a central role.  A key requirement for physicians, who have been trained, is not only to delivery on the promise of health reform, but to prepare the next generation of physicians and inter-professional teams by implementing common approaches, tools, methods to assist faculty in teaching and assessing students’ and residents’ knowledge, skills and attitudes in a variety of health care delivery domains.  Currently there is no national consensus, nor infrastructure in place, to support effective faculty learning and development in the primary care specialties.  As a leader in the area of faculty development through a variety of initiatives including working within its statutory authorities, </w:t>
      </w:r>
      <w:r w:rsidR="00CB237E">
        <w:rPr>
          <w:sz w:val="24"/>
        </w:rPr>
        <w:t>the Health Resources and Services Administration (</w:t>
      </w:r>
      <w:r w:rsidRPr="00AD44F5">
        <w:rPr>
          <w:sz w:val="24"/>
        </w:rPr>
        <w:t>HRSA</w:t>
      </w:r>
      <w:r w:rsidR="00CB237E">
        <w:rPr>
          <w:sz w:val="24"/>
        </w:rPr>
        <w:t>)</w:t>
      </w:r>
      <w:r w:rsidRPr="00AD44F5">
        <w:rPr>
          <w:sz w:val="24"/>
        </w:rPr>
        <w:t xml:space="preserve"> is facilitating an initiative to develop, implement and evaluate recognized and needed improvements.</w:t>
      </w:r>
    </w:p>
    <w:p w:rsidR="00E33E9B" w:rsidRPr="008F6609" w:rsidRDefault="00E33E9B" w:rsidP="00AD44F5">
      <w:pPr>
        <w:spacing w:before="120"/>
        <w:ind w:left="360"/>
        <w:rPr>
          <w:sz w:val="24"/>
        </w:rPr>
      </w:pPr>
    </w:p>
    <w:p w:rsidR="00347F59" w:rsidRDefault="0090309A" w:rsidP="00AD44F5">
      <w:pPr>
        <w:spacing w:before="120"/>
        <w:ind w:left="360"/>
        <w:rPr>
          <w:sz w:val="24"/>
        </w:rPr>
      </w:pPr>
      <w:r w:rsidRPr="00AD44F5">
        <w:rPr>
          <w:sz w:val="24"/>
        </w:rPr>
        <w:t>H</w:t>
      </w:r>
      <w:r w:rsidR="00347F59" w:rsidRPr="00AD44F5">
        <w:rPr>
          <w:sz w:val="24"/>
        </w:rPr>
        <w:t>RSA</w:t>
      </w:r>
      <w:r w:rsidR="00EB3FAF" w:rsidRPr="00AD44F5">
        <w:rPr>
          <w:sz w:val="24"/>
        </w:rPr>
        <w:t xml:space="preserve">’s Bureau of Health Professions, Division of Medicine and Dentistry, </w:t>
      </w:r>
      <w:r w:rsidR="00347F59" w:rsidRPr="00AD44F5">
        <w:rPr>
          <w:sz w:val="24"/>
        </w:rPr>
        <w:t>has contracted with Oregon Health and Science University</w:t>
      </w:r>
      <w:r w:rsidR="00CB237E">
        <w:rPr>
          <w:sz w:val="24"/>
        </w:rPr>
        <w:t xml:space="preserve"> (OHSU)</w:t>
      </w:r>
      <w:r w:rsidR="00EB3FAF" w:rsidRPr="00AD44F5">
        <w:rPr>
          <w:sz w:val="24"/>
        </w:rPr>
        <w:t>, contract HHSH250201200023C,</w:t>
      </w:r>
      <w:r w:rsidR="00347F59" w:rsidRPr="00AD44F5">
        <w:rPr>
          <w:sz w:val="24"/>
        </w:rPr>
        <w:t xml:space="preserve"> to conduct the planning, execution, and evaluation of a nationally based longitudinal Primary Care Faculty Development Initiative </w:t>
      </w:r>
      <w:r w:rsidR="00EB3FAF" w:rsidRPr="00AD44F5">
        <w:rPr>
          <w:sz w:val="24"/>
        </w:rPr>
        <w:t xml:space="preserve">(PCFDI) </w:t>
      </w:r>
      <w:r w:rsidR="00347F59" w:rsidRPr="00AD44F5">
        <w:rPr>
          <w:sz w:val="24"/>
        </w:rPr>
        <w:t>demonstration project.</w:t>
      </w:r>
      <w:r w:rsidR="00EB3FAF" w:rsidRPr="00AD44F5">
        <w:rPr>
          <w:sz w:val="24"/>
        </w:rPr>
        <w:t xml:space="preserve">  </w:t>
      </w:r>
      <w:r w:rsidRPr="00AD44F5">
        <w:rPr>
          <w:sz w:val="24"/>
        </w:rPr>
        <w:t>The authority for the PCFDI can be found in the Public Health Services Act, 42 USC §</w:t>
      </w:r>
      <w:proofErr w:type="gramStart"/>
      <w:r w:rsidRPr="00AD44F5">
        <w:rPr>
          <w:sz w:val="24"/>
        </w:rPr>
        <w:t>293k(</w:t>
      </w:r>
      <w:proofErr w:type="gramEnd"/>
      <w:r w:rsidRPr="00AD44F5">
        <w:rPr>
          <w:sz w:val="24"/>
        </w:rPr>
        <w:t xml:space="preserve">a)(1)(G) – Primary Care Training and Enhancement.  </w:t>
      </w:r>
      <w:r w:rsidR="00EB3FAF" w:rsidRPr="00AD44F5">
        <w:rPr>
          <w:sz w:val="24"/>
        </w:rPr>
        <w:t xml:space="preserve">OHSU has developed web-based survey instruments which will be used to </w:t>
      </w:r>
      <w:r w:rsidR="001118D8">
        <w:rPr>
          <w:sz w:val="24"/>
        </w:rPr>
        <w:t>review</w:t>
      </w:r>
      <w:r w:rsidR="00EB3FAF" w:rsidRPr="00AD44F5">
        <w:rPr>
          <w:sz w:val="24"/>
        </w:rPr>
        <w:t xml:space="preserve"> planned curriculum and its implementation and to make recommendations to improve teaching and competency assessment in primary care educational activities.  The objectives of the surveys are to</w:t>
      </w:r>
      <w:r w:rsidR="00D970C4" w:rsidRPr="00AD44F5">
        <w:rPr>
          <w:sz w:val="24"/>
        </w:rPr>
        <w:t>: 1)</w:t>
      </w:r>
      <w:r w:rsidR="00EB3FAF" w:rsidRPr="00AD44F5">
        <w:rPr>
          <w:sz w:val="24"/>
        </w:rPr>
        <w:t xml:space="preserve"> assess t</w:t>
      </w:r>
      <w:bookmarkStart w:id="0" w:name="_GoBack"/>
      <w:bookmarkEnd w:id="0"/>
      <w:r w:rsidR="00EB3FAF" w:rsidRPr="00AD44F5">
        <w:rPr>
          <w:sz w:val="24"/>
        </w:rPr>
        <w:t>he feasibility and acceptability of an inter-disciplinary faculty development pilot program targeting primary care physicians</w:t>
      </w:r>
      <w:r w:rsidR="00D970C4" w:rsidRPr="00AD44F5">
        <w:rPr>
          <w:sz w:val="24"/>
        </w:rPr>
        <w:t>; 2)</w:t>
      </w:r>
      <w:r w:rsidR="00EB3FAF" w:rsidRPr="00AD44F5">
        <w:rPr>
          <w:sz w:val="24"/>
        </w:rPr>
        <w:t xml:space="preserve"> to measure the leadership skills of PCFDI faculty participants</w:t>
      </w:r>
      <w:r w:rsidR="00D970C4" w:rsidRPr="00AD44F5">
        <w:rPr>
          <w:sz w:val="24"/>
        </w:rPr>
        <w:t>; and 3)</w:t>
      </w:r>
      <w:r w:rsidR="00EB3FAF" w:rsidRPr="00AD44F5">
        <w:rPr>
          <w:sz w:val="24"/>
        </w:rPr>
        <w:t xml:space="preserve"> to assess the initial impact of faculty receiving training from an inter-disciplinary faculty pilot program on </w:t>
      </w:r>
      <w:r w:rsidR="00D970C4" w:rsidRPr="00AD44F5">
        <w:rPr>
          <w:sz w:val="24"/>
        </w:rPr>
        <w:t xml:space="preserve">their ability to make changes in their practices and residencies and </w:t>
      </w:r>
      <w:r w:rsidR="00EB3FAF" w:rsidRPr="00AD44F5">
        <w:rPr>
          <w:sz w:val="24"/>
        </w:rPr>
        <w:t xml:space="preserve">their </w:t>
      </w:r>
      <w:r w:rsidR="00EB3FAF" w:rsidRPr="00AD44F5">
        <w:rPr>
          <w:sz w:val="24"/>
        </w:rPr>
        <w:lastRenderedPageBreak/>
        <w:t>perception of skill development in the core content areas of leadership, change management, teamwork, panel or population management, competency assessment, and clinical microsystems.</w:t>
      </w:r>
    </w:p>
    <w:p w:rsidR="009B3794" w:rsidRDefault="009B3794" w:rsidP="00CA3DA6">
      <w:pPr>
        <w:numPr>
          <w:ilvl w:val="0"/>
          <w:numId w:val="2"/>
        </w:numPr>
        <w:tabs>
          <w:tab w:val="clear" w:pos="1080"/>
          <w:tab w:val="num" w:pos="360"/>
        </w:tabs>
        <w:spacing w:before="240"/>
        <w:ind w:left="360"/>
        <w:rPr>
          <w:b/>
          <w:sz w:val="24"/>
        </w:rPr>
      </w:pPr>
      <w:r>
        <w:rPr>
          <w:b/>
          <w:sz w:val="24"/>
          <w:u w:val="single"/>
        </w:rPr>
        <w:t>Purpose and Use of Information Collection</w:t>
      </w:r>
    </w:p>
    <w:p w:rsidR="00B5327A" w:rsidRPr="00180B60" w:rsidRDefault="00180B60" w:rsidP="00AD44F5">
      <w:pPr>
        <w:spacing w:before="120"/>
        <w:ind w:left="360"/>
        <w:rPr>
          <w:sz w:val="24"/>
        </w:rPr>
      </w:pPr>
      <w:r w:rsidRPr="00AD44F5">
        <w:rPr>
          <w:sz w:val="24"/>
        </w:rPr>
        <w:t xml:space="preserve">The evaluation of a nationally based, longitudinal, primary care faculty development initiative is to consist of the following: (1) development and execution of recruitment and pilot methodologies, and pilot evaluation strategy that can be utilized by a team of expert trainers to implement the pilot; (2) </w:t>
      </w:r>
      <w:r w:rsidR="00B5327A" w:rsidRPr="00AD44F5">
        <w:rPr>
          <w:sz w:val="24"/>
        </w:rPr>
        <w:t>execution and evaluation of effectiveness, impact, results, and recommendations that can be used by a team of expert trainers to implement the pilot; and (3) evaluation of the effectiveness and impact of the pilot to produce a final descriptive report.  The final descriptive report will be given to HRSA and shall include evaluation results and recommendations of the nationally based primary care faculty development demonstration pilot.</w:t>
      </w:r>
      <w:r w:rsidR="0090309A">
        <w:rPr>
          <w:sz w:val="24"/>
        </w:rPr>
        <w:t xml:space="preserve">  </w:t>
      </w:r>
    </w:p>
    <w:p w:rsidR="009B3794" w:rsidRPr="00B5327A" w:rsidRDefault="009B3794" w:rsidP="00CA3DA6">
      <w:pPr>
        <w:numPr>
          <w:ilvl w:val="0"/>
          <w:numId w:val="2"/>
        </w:numPr>
        <w:tabs>
          <w:tab w:val="clear" w:pos="1080"/>
          <w:tab w:val="num" w:pos="360"/>
        </w:tabs>
        <w:spacing w:before="240"/>
        <w:ind w:left="360"/>
        <w:rPr>
          <w:sz w:val="24"/>
        </w:rPr>
      </w:pPr>
      <w:r>
        <w:rPr>
          <w:b/>
          <w:sz w:val="24"/>
          <w:u w:val="single"/>
        </w:rPr>
        <w:t>Use of Improved Information Technology and Burden Reduction</w:t>
      </w:r>
    </w:p>
    <w:p w:rsidR="00B5327A" w:rsidRPr="00B5327A" w:rsidRDefault="00B5327A" w:rsidP="00B5327A">
      <w:pPr>
        <w:spacing w:before="240"/>
        <w:ind w:left="360"/>
        <w:rPr>
          <w:sz w:val="24"/>
        </w:rPr>
      </w:pPr>
      <w:r w:rsidRPr="00AD44F5">
        <w:rPr>
          <w:sz w:val="24"/>
        </w:rPr>
        <w:t xml:space="preserve">The two </w:t>
      </w:r>
      <w:r w:rsidR="003B507C" w:rsidRPr="00AD44F5">
        <w:rPr>
          <w:sz w:val="24"/>
        </w:rPr>
        <w:t xml:space="preserve">PCFDI </w:t>
      </w:r>
      <w:r w:rsidRPr="00AD44F5">
        <w:rPr>
          <w:sz w:val="24"/>
        </w:rPr>
        <w:t xml:space="preserve">surveys </w:t>
      </w:r>
      <w:r w:rsidR="003B507C" w:rsidRPr="00AD44F5">
        <w:rPr>
          <w:sz w:val="24"/>
        </w:rPr>
        <w:t>are Irvine’s Leadership Behavior Survey and the Faculty Skill &amp; Program Feasibility Survey.  The two surveys are web-based and the surveys will be administered one time to trainers participating in the PCFDI Train-the-Trainer meeting.</w:t>
      </w:r>
      <w:r w:rsidRPr="00B5327A">
        <w:rPr>
          <w:sz w:val="24"/>
        </w:rPr>
        <w:t xml:space="preserve"> </w:t>
      </w:r>
    </w:p>
    <w:p w:rsidR="009B3794" w:rsidRDefault="009B3794" w:rsidP="00CA3DA6">
      <w:pPr>
        <w:numPr>
          <w:ilvl w:val="0"/>
          <w:numId w:val="2"/>
        </w:numPr>
        <w:tabs>
          <w:tab w:val="clear" w:pos="1080"/>
          <w:tab w:val="num" w:pos="360"/>
        </w:tabs>
        <w:spacing w:before="240"/>
        <w:ind w:left="360"/>
        <w:rPr>
          <w:b/>
          <w:sz w:val="24"/>
        </w:rPr>
      </w:pPr>
      <w:r>
        <w:rPr>
          <w:b/>
          <w:sz w:val="24"/>
          <w:u w:val="single"/>
        </w:rPr>
        <w:t>Efforts to  Identify Duplication and Use of Similar Information</w:t>
      </w:r>
    </w:p>
    <w:p w:rsidR="003B507C" w:rsidRDefault="003B507C" w:rsidP="003B507C">
      <w:pPr>
        <w:spacing w:before="120"/>
        <w:ind w:left="360"/>
        <w:rPr>
          <w:sz w:val="24"/>
        </w:rPr>
      </w:pPr>
      <w:r w:rsidRPr="00AD44F5">
        <w:rPr>
          <w:sz w:val="24"/>
        </w:rPr>
        <w:t>Irvine’s Leadership Behavior Survey was developed prior to the PCFDI contract, however the results obtained from both survey instruments are specific to the PCFDI pilot project, and information related to this pilot project has not yet been collected.</w:t>
      </w:r>
    </w:p>
    <w:p w:rsidR="009B3794" w:rsidRPr="002B7B53" w:rsidRDefault="009B3794" w:rsidP="00CA3DA6">
      <w:pPr>
        <w:numPr>
          <w:ilvl w:val="0"/>
          <w:numId w:val="2"/>
        </w:numPr>
        <w:tabs>
          <w:tab w:val="clear" w:pos="1080"/>
          <w:tab w:val="num" w:pos="360"/>
        </w:tabs>
        <w:spacing w:before="240"/>
        <w:ind w:left="360"/>
        <w:rPr>
          <w:color w:val="000000"/>
          <w:sz w:val="24"/>
        </w:rPr>
      </w:pPr>
      <w:r>
        <w:rPr>
          <w:b/>
          <w:sz w:val="24"/>
          <w:u w:val="single"/>
        </w:rPr>
        <w:t>Impact on Small Businesses or Other Small Entities</w:t>
      </w:r>
    </w:p>
    <w:p w:rsidR="002B7B53" w:rsidRPr="002B7B53" w:rsidRDefault="002B7B53" w:rsidP="002B7B53">
      <w:pPr>
        <w:spacing w:before="240"/>
        <w:ind w:left="360"/>
        <w:rPr>
          <w:color w:val="000000"/>
          <w:sz w:val="24"/>
        </w:rPr>
      </w:pPr>
      <w:r w:rsidRPr="00AD44F5">
        <w:rPr>
          <w:sz w:val="24"/>
        </w:rPr>
        <w:t>The two survey instruments will involve small entities (physicians), who attended the PCFDI Train-the-Trainer meeting, and it should take approximately 10</w:t>
      </w:r>
      <w:r w:rsidR="00D970C4" w:rsidRPr="00AD44F5">
        <w:rPr>
          <w:sz w:val="24"/>
        </w:rPr>
        <w:t>-15</w:t>
      </w:r>
      <w:r w:rsidRPr="00AD44F5">
        <w:rPr>
          <w:sz w:val="24"/>
        </w:rPr>
        <w:t xml:space="preserve"> minutes to complete each one.  The surveys are web-based to minimize their burden.</w:t>
      </w:r>
      <w:r>
        <w:rPr>
          <w:sz w:val="24"/>
        </w:rPr>
        <w:t xml:space="preserve">  </w:t>
      </w:r>
    </w:p>
    <w:p w:rsidR="009B3794" w:rsidRPr="002B7B53" w:rsidRDefault="009B3794" w:rsidP="00CA3DA6">
      <w:pPr>
        <w:numPr>
          <w:ilvl w:val="0"/>
          <w:numId w:val="2"/>
        </w:numPr>
        <w:tabs>
          <w:tab w:val="clear" w:pos="1080"/>
          <w:tab w:val="num" w:pos="360"/>
        </w:tabs>
        <w:spacing w:before="240"/>
        <w:ind w:left="360"/>
        <w:rPr>
          <w:b/>
          <w:sz w:val="24"/>
        </w:rPr>
      </w:pPr>
      <w:r>
        <w:rPr>
          <w:b/>
          <w:sz w:val="24"/>
          <w:u w:val="single"/>
        </w:rPr>
        <w:t>Consequences of Collecting the Information Less Frequent</w:t>
      </w:r>
      <w:r w:rsidR="001325B2">
        <w:rPr>
          <w:b/>
          <w:sz w:val="24"/>
          <w:u w:val="single"/>
        </w:rPr>
        <w:t>ly</w:t>
      </w:r>
    </w:p>
    <w:p w:rsidR="002B7B53" w:rsidRPr="002B7B53" w:rsidRDefault="002B7B53" w:rsidP="002B7B53">
      <w:pPr>
        <w:spacing w:before="240"/>
        <w:ind w:left="360"/>
        <w:rPr>
          <w:sz w:val="24"/>
        </w:rPr>
      </w:pPr>
      <w:r w:rsidRPr="00AD44F5">
        <w:rPr>
          <w:sz w:val="24"/>
        </w:rPr>
        <w:t xml:space="preserve">The data on the PCFDI surveys will only be collected </w:t>
      </w:r>
      <w:r w:rsidR="006665E8" w:rsidRPr="00AD44F5">
        <w:rPr>
          <w:sz w:val="24"/>
        </w:rPr>
        <w:t>one time</w:t>
      </w:r>
      <w:r w:rsidRPr="00AD44F5">
        <w:rPr>
          <w:sz w:val="24"/>
        </w:rPr>
        <w:t xml:space="preserve"> during the contract lifespan, therefore if the information is not collected, there will be no data available to improve the pilot project curriculum</w:t>
      </w:r>
      <w:r w:rsidR="006665E8" w:rsidRPr="00AD44F5">
        <w:rPr>
          <w:sz w:val="24"/>
        </w:rPr>
        <w:t xml:space="preserve">.  The evaluation of the PCFDI pilot program </w:t>
      </w:r>
      <w:r w:rsidRPr="00AD44F5">
        <w:rPr>
          <w:sz w:val="24"/>
        </w:rPr>
        <w:t>is one of the main objectives of HRSA’s contract with Oregon Health and Science University.</w:t>
      </w:r>
    </w:p>
    <w:p w:rsidR="009B3794" w:rsidRPr="006665E8" w:rsidRDefault="009B3794" w:rsidP="00CA3DA6">
      <w:pPr>
        <w:numPr>
          <w:ilvl w:val="0"/>
          <w:numId w:val="2"/>
        </w:numPr>
        <w:tabs>
          <w:tab w:val="clear" w:pos="1080"/>
          <w:tab w:val="num" w:pos="360"/>
        </w:tabs>
        <w:spacing w:before="240"/>
        <w:ind w:left="360"/>
        <w:rPr>
          <w:b/>
          <w:sz w:val="24"/>
        </w:rPr>
      </w:pPr>
      <w:r>
        <w:rPr>
          <w:b/>
          <w:sz w:val="24"/>
          <w:u w:val="single"/>
        </w:rPr>
        <w:t>Special Circumstances Relating to the Guidelines of 5 CFR 1320.5</w:t>
      </w:r>
    </w:p>
    <w:p w:rsidR="006665E8" w:rsidRPr="006665E8" w:rsidRDefault="006665E8" w:rsidP="006665E8">
      <w:pPr>
        <w:spacing w:before="240"/>
        <w:ind w:left="360"/>
        <w:rPr>
          <w:sz w:val="24"/>
        </w:rPr>
      </w:pPr>
      <w:r w:rsidRPr="00AD44F5">
        <w:rPr>
          <w:sz w:val="24"/>
        </w:rPr>
        <w:t>The request fully complies with the regulation.</w:t>
      </w:r>
    </w:p>
    <w:p w:rsidR="009B3794" w:rsidRDefault="009B3794" w:rsidP="00CA3DA6">
      <w:pPr>
        <w:numPr>
          <w:ilvl w:val="0"/>
          <w:numId w:val="2"/>
        </w:numPr>
        <w:tabs>
          <w:tab w:val="clear" w:pos="1080"/>
          <w:tab w:val="num" w:pos="360"/>
        </w:tabs>
        <w:spacing w:before="240"/>
        <w:ind w:left="360"/>
        <w:rPr>
          <w:b/>
          <w:sz w:val="24"/>
        </w:rPr>
      </w:pPr>
      <w:r>
        <w:rPr>
          <w:b/>
          <w:iCs/>
          <w:sz w:val="24"/>
          <w:u w:val="single"/>
        </w:rPr>
        <w:t>Comments in Response to the Federal Register</w:t>
      </w:r>
      <w:r>
        <w:rPr>
          <w:b/>
          <w:sz w:val="24"/>
          <w:u w:val="single"/>
        </w:rPr>
        <w:t xml:space="preserve"> Notice/Outside Consultation</w:t>
      </w:r>
    </w:p>
    <w:p w:rsidR="00DE3A45" w:rsidRPr="00DE3A45" w:rsidRDefault="00DE3A45" w:rsidP="00CA3DA6">
      <w:pPr>
        <w:spacing w:before="120"/>
        <w:rPr>
          <w:b/>
          <w:sz w:val="24"/>
        </w:rPr>
      </w:pPr>
      <w:r w:rsidRPr="00DE3A45">
        <w:rPr>
          <w:b/>
          <w:sz w:val="24"/>
        </w:rPr>
        <w:t>Section 8A:</w:t>
      </w:r>
    </w:p>
    <w:p w:rsidR="006665E8" w:rsidRPr="006665E8" w:rsidRDefault="006665E8" w:rsidP="006665E8">
      <w:pPr>
        <w:spacing w:before="120"/>
        <w:ind w:left="360"/>
        <w:rPr>
          <w:sz w:val="24"/>
        </w:rPr>
      </w:pPr>
      <w:r w:rsidRPr="006665E8">
        <w:rPr>
          <w:sz w:val="24"/>
        </w:rPr>
        <w:t xml:space="preserve">A 60-day Federal Register Notice was published in the </w:t>
      </w:r>
      <w:r w:rsidRPr="006665E8">
        <w:rPr>
          <w:i/>
          <w:iCs/>
          <w:sz w:val="24"/>
        </w:rPr>
        <w:t xml:space="preserve">Federal Register </w:t>
      </w:r>
      <w:r w:rsidRPr="006665E8">
        <w:rPr>
          <w:sz w:val="24"/>
        </w:rPr>
        <w:t xml:space="preserve">on </w:t>
      </w:r>
      <w:r w:rsidR="0088244E">
        <w:rPr>
          <w:sz w:val="24"/>
        </w:rPr>
        <w:t xml:space="preserve">April 3, </w:t>
      </w:r>
      <w:r w:rsidRPr="006665E8">
        <w:rPr>
          <w:sz w:val="24"/>
        </w:rPr>
        <w:t>20</w:t>
      </w:r>
      <w:r w:rsidR="0088244E">
        <w:rPr>
          <w:sz w:val="24"/>
        </w:rPr>
        <w:t>13</w:t>
      </w:r>
      <w:r w:rsidRPr="006665E8">
        <w:rPr>
          <w:sz w:val="24"/>
        </w:rPr>
        <w:t xml:space="preserve">, </w:t>
      </w:r>
      <w:r w:rsidRPr="006665E8">
        <w:rPr>
          <w:sz w:val="24"/>
        </w:rPr>
        <w:lastRenderedPageBreak/>
        <w:t xml:space="preserve">vol. </w:t>
      </w:r>
      <w:r w:rsidR="0088244E">
        <w:rPr>
          <w:sz w:val="24"/>
        </w:rPr>
        <w:t>78</w:t>
      </w:r>
      <w:r w:rsidRPr="006665E8">
        <w:rPr>
          <w:sz w:val="24"/>
        </w:rPr>
        <w:t xml:space="preserve">, No. </w:t>
      </w:r>
      <w:r w:rsidR="0088244E">
        <w:rPr>
          <w:sz w:val="24"/>
        </w:rPr>
        <w:t>64</w:t>
      </w:r>
      <w:r w:rsidRPr="006665E8">
        <w:rPr>
          <w:sz w:val="24"/>
        </w:rPr>
        <w:t xml:space="preserve">; pp. </w:t>
      </w:r>
      <w:r w:rsidR="00943768">
        <w:rPr>
          <w:sz w:val="24"/>
        </w:rPr>
        <w:t xml:space="preserve">20117-8 </w:t>
      </w:r>
      <w:r w:rsidRPr="006665E8">
        <w:rPr>
          <w:sz w:val="24"/>
        </w:rPr>
        <w:t xml:space="preserve">(see attachment </w:t>
      </w:r>
      <w:r w:rsidR="00CC7E5F">
        <w:rPr>
          <w:sz w:val="24"/>
        </w:rPr>
        <w:t>A</w:t>
      </w:r>
      <w:r w:rsidRPr="006665E8">
        <w:rPr>
          <w:sz w:val="24"/>
        </w:rPr>
        <w:t>). There were no public comments.</w:t>
      </w:r>
    </w:p>
    <w:p w:rsidR="00DE3A45" w:rsidRPr="00DE3A45" w:rsidRDefault="00DE3A45" w:rsidP="00CA3DA6">
      <w:pPr>
        <w:spacing w:before="120"/>
        <w:rPr>
          <w:b/>
          <w:sz w:val="24"/>
        </w:rPr>
      </w:pPr>
      <w:r w:rsidRPr="00DE3A45">
        <w:rPr>
          <w:b/>
          <w:sz w:val="24"/>
        </w:rPr>
        <w:t>Section 8B:</w:t>
      </w:r>
    </w:p>
    <w:p w:rsidR="00D373FA" w:rsidRDefault="00D970C4" w:rsidP="006E48E6">
      <w:pPr>
        <w:spacing w:before="120"/>
        <w:ind w:left="360"/>
        <w:rPr>
          <w:sz w:val="24"/>
        </w:rPr>
      </w:pPr>
      <w:r>
        <w:rPr>
          <w:sz w:val="24"/>
        </w:rPr>
        <w:t xml:space="preserve">Irvine’s Leadership Behavior Survey has been previously published in the medical literature. The </w:t>
      </w:r>
      <w:r w:rsidRPr="00D970C4">
        <w:rPr>
          <w:sz w:val="24"/>
        </w:rPr>
        <w:t>Faculty Skill &amp; Program Feasibility Survey</w:t>
      </w:r>
      <w:r>
        <w:rPr>
          <w:sz w:val="24"/>
        </w:rPr>
        <w:t xml:space="preserve"> was developed </w:t>
      </w:r>
      <w:r w:rsidR="00755AC1">
        <w:rPr>
          <w:sz w:val="24"/>
        </w:rPr>
        <w:t xml:space="preserve">based on the content of the implemented curriculum by evaluation experts at </w:t>
      </w:r>
      <w:r w:rsidR="00755AC1" w:rsidRPr="00755AC1">
        <w:rPr>
          <w:sz w:val="24"/>
        </w:rPr>
        <w:t>Oregon Health and Science University</w:t>
      </w:r>
      <w:r w:rsidR="005C13D7">
        <w:rPr>
          <w:sz w:val="24"/>
        </w:rPr>
        <w:t xml:space="preserve"> who are under contract with HRSA for the evaluation of the pilot</w:t>
      </w:r>
      <w:r>
        <w:rPr>
          <w:sz w:val="24"/>
        </w:rPr>
        <w:t>.</w:t>
      </w:r>
      <w:r w:rsidR="006E48E6" w:rsidRPr="006E48E6">
        <w:rPr>
          <w:sz w:val="24"/>
        </w:rPr>
        <w:t xml:space="preserve"> </w:t>
      </w:r>
      <w:r w:rsidR="00F36866">
        <w:rPr>
          <w:sz w:val="24"/>
        </w:rPr>
        <w:t xml:space="preserve"> </w:t>
      </w:r>
    </w:p>
    <w:p w:rsidR="00D373FA" w:rsidRDefault="00D373FA" w:rsidP="006E48E6">
      <w:pPr>
        <w:spacing w:before="120"/>
        <w:ind w:left="360"/>
        <w:rPr>
          <w:sz w:val="24"/>
        </w:rPr>
      </w:pPr>
    </w:p>
    <w:p w:rsidR="006E48E6" w:rsidRDefault="006E48E6" w:rsidP="006E48E6">
      <w:pPr>
        <w:spacing w:before="120"/>
        <w:ind w:left="360"/>
        <w:rPr>
          <w:sz w:val="24"/>
        </w:rPr>
      </w:pPr>
      <w:r>
        <w:rPr>
          <w:sz w:val="24"/>
        </w:rPr>
        <w:t>Two consultants familiar with the PCFDI Train-the Trainer meeting curriculum pilot tested the two surveys, providing feedback on how long it took to complete the surveys.</w:t>
      </w:r>
      <w:r w:rsidR="00F36866">
        <w:rPr>
          <w:sz w:val="24"/>
        </w:rPr>
        <w:t xml:space="preserve">  Both consultants are members of the project Steering </w:t>
      </w:r>
      <w:proofErr w:type="gramStart"/>
      <w:r w:rsidR="00F36866">
        <w:rPr>
          <w:sz w:val="24"/>
        </w:rPr>
        <w:t>Committee,</w:t>
      </w:r>
      <w:proofErr w:type="gramEnd"/>
      <w:r w:rsidR="00F36866">
        <w:rPr>
          <w:sz w:val="24"/>
        </w:rPr>
        <w:t xml:space="preserve"> have extensive knowledge of the project and have expertise in survey research.  These consultants reviewed the surveys in detail to assure that the instructions are clear and understandable, the survey data elements are appropriate to the project, the frequency of collection is appropriate, and the survey design is sound.  The two consultants concluded that the estimate of 10 minutes to complete the Leadership Behavior Survey and 15 minutes to complete the Faculty Skill &amp; Program Feasibility Survey are accurate.  No unresolved problems were identified by the consultants.  The consultations took place in 2013.  </w:t>
      </w:r>
    </w:p>
    <w:p w:rsidR="00F36866" w:rsidRDefault="00F36866" w:rsidP="00F36866">
      <w:pPr>
        <w:pStyle w:val="PlainText"/>
        <w:rPr>
          <w:rFonts w:ascii="Times New Roman" w:hAnsi="Times New Roman" w:cs="Times New Roman"/>
          <w:sz w:val="24"/>
          <w:szCs w:val="24"/>
        </w:rPr>
      </w:pPr>
    </w:p>
    <w:p w:rsidR="00F36866" w:rsidRPr="00382571" w:rsidRDefault="00F36866" w:rsidP="00382571">
      <w:pPr>
        <w:pStyle w:val="PlainText"/>
        <w:ind w:firstLine="360"/>
        <w:rPr>
          <w:rFonts w:ascii="Times New Roman" w:hAnsi="Times New Roman" w:cs="Times New Roman"/>
          <w:sz w:val="24"/>
          <w:szCs w:val="24"/>
        </w:rPr>
      </w:pPr>
      <w:r w:rsidRPr="00382571">
        <w:rPr>
          <w:rFonts w:ascii="Times New Roman" w:hAnsi="Times New Roman" w:cs="Times New Roman"/>
          <w:sz w:val="24"/>
          <w:szCs w:val="24"/>
        </w:rPr>
        <w:t>The two consultants are:</w:t>
      </w:r>
    </w:p>
    <w:p w:rsidR="00F36866" w:rsidRPr="00382571" w:rsidRDefault="00F36866" w:rsidP="00382571">
      <w:pPr>
        <w:pStyle w:val="PlainText"/>
        <w:ind w:firstLine="360"/>
        <w:rPr>
          <w:rFonts w:ascii="Times New Roman" w:hAnsi="Times New Roman" w:cs="Times New Roman"/>
          <w:sz w:val="24"/>
          <w:szCs w:val="24"/>
        </w:rPr>
      </w:pPr>
      <w:r w:rsidRPr="00382571">
        <w:rPr>
          <w:rFonts w:ascii="Times New Roman" w:hAnsi="Times New Roman" w:cs="Times New Roman"/>
          <w:sz w:val="24"/>
          <w:szCs w:val="24"/>
        </w:rPr>
        <w:t xml:space="preserve">Eric </w:t>
      </w:r>
      <w:proofErr w:type="spellStart"/>
      <w:r w:rsidRPr="00382571">
        <w:rPr>
          <w:rFonts w:ascii="Times New Roman" w:hAnsi="Times New Roman" w:cs="Times New Roman"/>
          <w:sz w:val="24"/>
          <w:szCs w:val="24"/>
        </w:rPr>
        <w:t>Holmboe</w:t>
      </w:r>
      <w:proofErr w:type="spellEnd"/>
      <w:r w:rsidRPr="00382571">
        <w:rPr>
          <w:rFonts w:ascii="Times New Roman" w:hAnsi="Times New Roman" w:cs="Times New Roman"/>
          <w:sz w:val="24"/>
          <w:szCs w:val="24"/>
        </w:rPr>
        <w:t>, MD</w:t>
      </w:r>
    </w:p>
    <w:p w:rsidR="00F36866" w:rsidRPr="00382571" w:rsidRDefault="00F36866" w:rsidP="00382571">
      <w:pPr>
        <w:pStyle w:val="PlainText"/>
        <w:ind w:firstLine="360"/>
        <w:rPr>
          <w:rFonts w:ascii="Times New Roman" w:hAnsi="Times New Roman" w:cs="Times New Roman"/>
          <w:sz w:val="24"/>
          <w:szCs w:val="24"/>
        </w:rPr>
      </w:pPr>
      <w:r w:rsidRPr="00382571">
        <w:rPr>
          <w:rFonts w:ascii="Times New Roman" w:hAnsi="Times New Roman" w:cs="Times New Roman"/>
          <w:sz w:val="24"/>
          <w:szCs w:val="24"/>
        </w:rPr>
        <w:t>Chief Medical Officer and Senior Vice President of the American Board of Internal Medicine</w:t>
      </w:r>
    </w:p>
    <w:p w:rsidR="00F36866" w:rsidRPr="00382571" w:rsidRDefault="00F36866" w:rsidP="00382571">
      <w:pPr>
        <w:pStyle w:val="PlainText"/>
        <w:ind w:firstLine="360"/>
        <w:rPr>
          <w:rFonts w:ascii="Times New Roman" w:hAnsi="Times New Roman" w:cs="Times New Roman"/>
          <w:sz w:val="24"/>
          <w:szCs w:val="24"/>
        </w:rPr>
      </w:pPr>
      <w:r w:rsidRPr="00382571">
        <w:rPr>
          <w:rFonts w:ascii="Times New Roman" w:hAnsi="Times New Roman" w:cs="Times New Roman"/>
          <w:sz w:val="24"/>
          <w:szCs w:val="24"/>
        </w:rPr>
        <w:t>510 Walnut Street, Suite 1700</w:t>
      </w:r>
    </w:p>
    <w:p w:rsidR="00F36866" w:rsidRPr="00382571" w:rsidRDefault="00F36866" w:rsidP="00382571">
      <w:pPr>
        <w:pStyle w:val="PlainText"/>
        <w:ind w:firstLine="360"/>
        <w:rPr>
          <w:rFonts w:ascii="Times New Roman" w:hAnsi="Times New Roman" w:cs="Times New Roman"/>
          <w:sz w:val="24"/>
          <w:szCs w:val="24"/>
        </w:rPr>
      </w:pPr>
      <w:r w:rsidRPr="00382571">
        <w:rPr>
          <w:rFonts w:ascii="Times New Roman" w:hAnsi="Times New Roman" w:cs="Times New Roman"/>
          <w:sz w:val="24"/>
          <w:szCs w:val="24"/>
        </w:rPr>
        <w:t>Philadelphia, PA  19106</w:t>
      </w:r>
    </w:p>
    <w:p w:rsidR="00F36866" w:rsidRPr="00382571" w:rsidRDefault="001118D8" w:rsidP="00382571">
      <w:pPr>
        <w:pStyle w:val="PlainText"/>
        <w:ind w:firstLine="360"/>
        <w:rPr>
          <w:rFonts w:ascii="Times New Roman" w:hAnsi="Times New Roman" w:cs="Times New Roman"/>
          <w:sz w:val="24"/>
          <w:szCs w:val="24"/>
        </w:rPr>
      </w:pPr>
      <w:hyperlink r:id="rId9" w:history="1">
        <w:r w:rsidR="00F36866" w:rsidRPr="00382571">
          <w:rPr>
            <w:rStyle w:val="Hyperlink"/>
            <w:rFonts w:ascii="Times New Roman" w:hAnsi="Times New Roman" w:cs="Times New Roman"/>
            <w:sz w:val="24"/>
            <w:szCs w:val="24"/>
          </w:rPr>
          <w:t>eholmboe@abim.org</w:t>
        </w:r>
      </w:hyperlink>
    </w:p>
    <w:p w:rsidR="00F36866" w:rsidRPr="00382571" w:rsidRDefault="00F36866" w:rsidP="00382571">
      <w:pPr>
        <w:pStyle w:val="PlainText"/>
        <w:ind w:firstLine="360"/>
        <w:rPr>
          <w:rFonts w:ascii="Times New Roman" w:hAnsi="Times New Roman" w:cs="Times New Roman"/>
          <w:sz w:val="24"/>
          <w:szCs w:val="24"/>
        </w:rPr>
      </w:pPr>
      <w:r w:rsidRPr="00382571">
        <w:rPr>
          <w:rFonts w:ascii="Times New Roman" w:hAnsi="Times New Roman" w:cs="Times New Roman"/>
          <w:sz w:val="24"/>
          <w:szCs w:val="24"/>
        </w:rPr>
        <w:t>Tel: 215-446-3606</w:t>
      </w:r>
    </w:p>
    <w:p w:rsidR="00F36866" w:rsidRPr="00382571" w:rsidRDefault="00F36866" w:rsidP="00382571">
      <w:pPr>
        <w:pStyle w:val="PlainText"/>
        <w:ind w:firstLine="360"/>
        <w:rPr>
          <w:rFonts w:ascii="Times New Roman" w:hAnsi="Times New Roman" w:cs="Times New Roman"/>
          <w:sz w:val="24"/>
          <w:szCs w:val="24"/>
        </w:rPr>
      </w:pPr>
      <w:r w:rsidRPr="00382571">
        <w:rPr>
          <w:rFonts w:ascii="Times New Roman" w:hAnsi="Times New Roman" w:cs="Times New Roman"/>
          <w:sz w:val="24"/>
          <w:szCs w:val="24"/>
        </w:rPr>
        <w:t>Fax: 215-399-4085</w:t>
      </w:r>
    </w:p>
    <w:p w:rsidR="00F36866" w:rsidRPr="00382571" w:rsidRDefault="00F36866" w:rsidP="00F36866">
      <w:pPr>
        <w:pStyle w:val="PlainText"/>
        <w:rPr>
          <w:rFonts w:ascii="Times New Roman" w:hAnsi="Times New Roman" w:cs="Times New Roman"/>
          <w:sz w:val="24"/>
          <w:szCs w:val="24"/>
        </w:rPr>
      </w:pPr>
    </w:p>
    <w:p w:rsidR="00F36866" w:rsidRPr="00382571" w:rsidRDefault="00F36866" w:rsidP="00382571">
      <w:pPr>
        <w:pStyle w:val="PlainText"/>
        <w:ind w:firstLine="360"/>
        <w:rPr>
          <w:rFonts w:ascii="Times New Roman" w:hAnsi="Times New Roman" w:cs="Times New Roman"/>
          <w:sz w:val="24"/>
          <w:szCs w:val="24"/>
        </w:rPr>
      </w:pPr>
      <w:r w:rsidRPr="00382571">
        <w:rPr>
          <w:rFonts w:ascii="Times New Roman" w:hAnsi="Times New Roman" w:cs="Times New Roman"/>
          <w:sz w:val="24"/>
          <w:szCs w:val="24"/>
        </w:rPr>
        <w:t xml:space="preserve">Carol </w:t>
      </w:r>
      <w:proofErr w:type="spellStart"/>
      <w:r w:rsidRPr="00382571">
        <w:rPr>
          <w:rFonts w:ascii="Times New Roman" w:hAnsi="Times New Roman" w:cs="Times New Roman"/>
          <w:sz w:val="24"/>
          <w:szCs w:val="24"/>
        </w:rPr>
        <w:t>Carraccio</w:t>
      </w:r>
      <w:proofErr w:type="spellEnd"/>
      <w:r w:rsidRPr="00382571">
        <w:rPr>
          <w:rFonts w:ascii="Times New Roman" w:hAnsi="Times New Roman" w:cs="Times New Roman"/>
          <w:sz w:val="24"/>
          <w:szCs w:val="24"/>
        </w:rPr>
        <w:t>, MD, MA</w:t>
      </w:r>
    </w:p>
    <w:p w:rsidR="00F36866" w:rsidRPr="00382571" w:rsidRDefault="00F36866" w:rsidP="00382571">
      <w:pPr>
        <w:pStyle w:val="PlainText"/>
        <w:ind w:firstLine="360"/>
        <w:rPr>
          <w:rFonts w:ascii="Times New Roman" w:hAnsi="Times New Roman" w:cs="Times New Roman"/>
          <w:sz w:val="24"/>
          <w:szCs w:val="24"/>
        </w:rPr>
      </w:pPr>
      <w:r w:rsidRPr="00382571">
        <w:rPr>
          <w:rFonts w:ascii="Times New Roman" w:hAnsi="Times New Roman" w:cs="Times New Roman"/>
          <w:sz w:val="24"/>
          <w:szCs w:val="24"/>
        </w:rPr>
        <w:t xml:space="preserve">Director of Competency-based Assessment Programs </w:t>
      </w:r>
      <w:proofErr w:type="gramStart"/>
      <w:r w:rsidRPr="00382571">
        <w:rPr>
          <w:rFonts w:ascii="Times New Roman" w:hAnsi="Times New Roman" w:cs="Times New Roman"/>
          <w:sz w:val="24"/>
          <w:szCs w:val="24"/>
        </w:rPr>
        <w:t>The</w:t>
      </w:r>
      <w:proofErr w:type="gramEnd"/>
      <w:r w:rsidRPr="00382571">
        <w:rPr>
          <w:rFonts w:ascii="Times New Roman" w:hAnsi="Times New Roman" w:cs="Times New Roman"/>
          <w:sz w:val="24"/>
          <w:szCs w:val="24"/>
        </w:rPr>
        <w:t xml:space="preserve"> American Board of Pediatrics</w:t>
      </w:r>
    </w:p>
    <w:p w:rsidR="00F36866" w:rsidRPr="00382571" w:rsidRDefault="00F36866" w:rsidP="00382571">
      <w:pPr>
        <w:pStyle w:val="PlainText"/>
        <w:ind w:firstLine="360"/>
        <w:rPr>
          <w:rFonts w:ascii="Times New Roman" w:hAnsi="Times New Roman" w:cs="Times New Roman"/>
          <w:sz w:val="24"/>
          <w:szCs w:val="24"/>
        </w:rPr>
      </w:pPr>
      <w:r w:rsidRPr="00382571">
        <w:rPr>
          <w:rFonts w:ascii="Times New Roman" w:hAnsi="Times New Roman" w:cs="Times New Roman"/>
          <w:sz w:val="24"/>
          <w:szCs w:val="24"/>
        </w:rPr>
        <w:t>111 Silver Cedar Court</w:t>
      </w:r>
    </w:p>
    <w:p w:rsidR="00F36866" w:rsidRPr="00382571" w:rsidRDefault="00F36866" w:rsidP="00382571">
      <w:pPr>
        <w:pStyle w:val="PlainText"/>
        <w:ind w:firstLine="360"/>
        <w:rPr>
          <w:rFonts w:ascii="Times New Roman" w:hAnsi="Times New Roman" w:cs="Times New Roman"/>
          <w:sz w:val="24"/>
          <w:szCs w:val="24"/>
        </w:rPr>
      </w:pPr>
      <w:r w:rsidRPr="00382571">
        <w:rPr>
          <w:rFonts w:ascii="Times New Roman" w:hAnsi="Times New Roman" w:cs="Times New Roman"/>
          <w:sz w:val="24"/>
          <w:szCs w:val="24"/>
        </w:rPr>
        <w:t>Chapel Hill, NC 27514</w:t>
      </w:r>
    </w:p>
    <w:p w:rsidR="00F36866" w:rsidRPr="00382571" w:rsidRDefault="001118D8" w:rsidP="00382571">
      <w:pPr>
        <w:pStyle w:val="PlainText"/>
        <w:ind w:firstLine="360"/>
        <w:rPr>
          <w:rFonts w:ascii="Times New Roman" w:hAnsi="Times New Roman" w:cs="Times New Roman"/>
          <w:sz w:val="24"/>
          <w:szCs w:val="24"/>
        </w:rPr>
      </w:pPr>
      <w:hyperlink r:id="rId10" w:history="1">
        <w:r w:rsidR="00F36866" w:rsidRPr="00382571">
          <w:rPr>
            <w:rStyle w:val="Hyperlink"/>
            <w:rFonts w:ascii="Times New Roman" w:hAnsi="Times New Roman" w:cs="Times New Roman"/>
            <w:sz w:val="24"/>
            <w:szCs w:val="24"/>
          </w:rPr>
          <w:t>CCarraccio@abpeds.org</w:t>
        </w:r>
      </w:hyperlink>
    </w:p>
    <w:p w:rsidR="00F36866" w:rsidRPr="00382571" w:rsidRDefault="00F36866" w:rsidP="00382571">
      <w:pPr>
        <w:pStyle w:val="PlainText"/>
        <w:ind w:firstLine="360"/>
        <w:rPr>
          <w:rFonts w:ascii="Times New Roman" w:hAnsi="Times New Roman" w:cs="Times New Roman"/>
          <w:sz w:val="24"/>
          <w:szCs w:val="24"/>
        </w:rPr>
      </w:pPr>
      <w:r w:rsidRPr="00382571">
        <w:rPr>
          <w:rFonts w:ascii="Times New Roman" w:hAnsi="Times New Roman" w:cs="Times New Roman"/>
          <w:sz w:val="24"/>
          <w:szCs w:val="24"/>
        </w:rPr>
        <w:t>Telephone: (919) 929-0461</w:t>
      </w:r>
    </w:p>
    <w:p w:rsidR="00F36866" w:rsidRPr="00382571" w:rsidRDefault="00F36866" w:rsidP="00382571">
      <w:pPr>
        <w:pStyle w:val="PlainText"/>
        <w:ind w:firstLine="360"/>
        <w:rPr>
          <w:rFonts w:ascii="Times New Roman" w:hAnsi="Times New Roman" w:cs="Times New Roman"/>
          <w:sz w:val="24"/>
          <w:szCs w:val="24"/>
        </w:rPr>
      </w:pPr>
      <w:r w:rsidRPr="00382571">
        <w:rPr>
          <w:rFonts w:ascii="Times New Roman" w:hAnsi="Times New Roman" w:cs="Times New Roman"/>
          <w:sz w:val="24"/>
          <w:szCs w:val="24"/>
        </w:rPr>
        <w:t>Fax: (919) 929-9255</w:t>
      </w:r>
    </w:p>
    <w:p w:rsidR="006E48E6" w:rsidRDefault="006E48E6" w:rsidP="00CC7E5F">
      <w:pPr>
        <w:spacing w:before="120"/>
        <w:ind w:left="360"/>
        <w:rPr>
          <w:sz w:val="24"/>
        </w:rPr>
      </w:pPr>
    </w:p>
    <w:p w:rsidR="009B3794" w:rsidRPr="00CC7E5F" w:rsidRDefault="009B3794" w:rsidP="00CA3DA6">
      <w:pPr>
        <w:numPr>
          <w:ilvl w:val="0"/>
          <w:numId w:val="2"/>
        </w:numPr>
        <w:tabs>
          <w:tab w:val="clear" w:pos="1080"/>
          <w:tab w:val="num" w:pos="360"/>
        </w:tabs>
        <w:spacing w:before="240"/>
        <w:ind w:left="360"/>
        <w:rPr>
          <w:b/>
          <w:sz w:val="24"/>
        </w:rPr>
      </w:pPr>
      <w:r>
        <w:rPr>
          <w:b/>
          <w:sz w:val="24"/>
          <w:u w:val="single"/>
        </w:rPr>
        <w:t>Explanation of any Payment/Gift to Respondents</w:t>
      </w:r>
    </w:p>
    <w:p w:rsidR="00CC7E5F" w:rsidRPr="00CC7E5F" w:rsidRDefault="00CC7E5F" w:rsidP="00CC7E5F">
      <w:pPr>
        <w:spacing w:before="240"/>
        <w:ind w:left="360"/>
        <w:rPr>
          <w:sz w:val="24"/>
        </w:rPr>
      </w:pPr>
      <w:r w:rsidRPr="00382571">
        <w:rPr>
          <w:sz w:val="24"/>
        </w:rPr>
        <w:t xml:space="preserve">There </w:t>
      </w:r>
      <w:r w:rsidR="00634A3D">
        <w:rPr>
          <w:sz w:val="24"/>
        </w:rPr>
        <w:t>will be</w:t>
      </w:r>
      <w:r w:rsidRPr="00382571">
        <w:rPr>
          <w:sz w:val="24"/>
        </w:rPr>
        <w:t xml:space="preserve"> no payments or gifts given to respondents for completing the surveys.</w:t>
      </w:r>
    </w:p>
    <w:p w:rsidR="009B3794" w:rsidRPr="00CC7E5F" w:rsidRDefault="009B3794" w:rsidP="00CA3DA6">
      <w:pPr>
        <w:numPr>
          <w:ilvl w:val="0"/>
          <w:numId w:val="2"/>
        </w:numPr>
        <w:tabs>
          <w:tab w:val="clear" w:pos="1080"/>
          <w:tab w:val="num" w:pos="360"/>
        </w:tabs>
        <w:spacing w:before="240"/>
        <w:ind w:left="360"/>
        <w:rPr>
          <w:b/>
          <w:sz w:val="24"/>
        </w:rPr>
      </w:pPr>
      <w:r>
        <w:rPr>
          <w:b/>
          <w:sz w:val="24"/>
          <w:u w:val="single"/>
        </w:rPr>
        <w:t>Assurance of Confidentiality Provided to Respondents</w:t>
      </w:r>
    </w:p>
    <w:p w:rsidR="00CC7E5F" w:rsidRPr="00CC7E5F" w:rsidRDefault="00AF70B8" w:rsidP="00CC7E5F">
      <w:pPr>
        <w:spacing w:before="240"/>
        <w:ind w:left="360"/>
        <w:rPr>
          <w:sz w:val="24"/>
        </w:rPr>
      </w:pPr>
      <w:r w:rsidRPr="00382571">
        <w:rPr>
          <w:sz w:val="24"/>
        </w:rPr>
        <w:t>The PCFDI surveys will not collect personally identifiable information from respondents.  Participation is voluntary and d</w:t>
      </w:r>
      <w:r w:rsidR="00CC7E5F" w:rsidRPr="00382571">
        <w:rPr>
          <w:sz w:val="24"/>
        </w:rPr>
        <w:t>ata will be kept private to the extent allowed by law.</w:t>
      </w:r>
    </w:p>
    <w:p w:rsidR="009B3794" w:rsidRPr="003A1ABA" w:rsidRDefault="009B3794" w:rsidP="00CA3DA6">
      <w:pPr>
        <w:numPr>
          <w:ilvl w:val="0"/>
          <w:numId w:val="2"/>
        </w:numPr>
        <w:tabs>
          <w:tab w:val="clear" w:pos="1080"/>
          <w:tab w:val="num" w:pos="360"/>
        </w:tabs>
        <w:spacing w:before="240"/>
        <w:ind w:left="360"/>
        <w:rPr>
          <w:b/>
          <w:sz w:val="24"/>
        </w:rPr>
      </w:pPr>
      <w:r>
        <w:rPr>
          <w:b/>
          <w:sz w:val="24"/>
          <w:u w:val="single"/>
        </w:rPr>
        <w:lastRenderedPageBreak/>
        <w:t>Justification for Sensitive Questions</w:t>
      </w:r>
    </w:p>
    <w:p w:rsidR="003A1ABA" w:rsidRPr="003A1ABA" w:rsidRDefault="006E48E6" w:rsidP="003A1ABA">
      <w:pPr>
        <w:spacing w:before="240"/>
        <w:ind w:left="360"/>
        <w:rPr>
          <w:sz w:val="24"/>
        </w:rPr>
      </w:pPr>
      <w:r>
        <w:rPr>
          <w:sz w:val="24"/>
        </w:rPr>
        <w:t xml:space="preserve">The surveys do not contain questions of a sensitive nature.  </w:t>
      </w:r>
    </w:p>
    <w:p w:rsidR="009B3794" w:rsidRDefault="009B3794" w:rsidP="00CA3DA6">
      <w:pPr>
        <w:numPr>
          <w:ilvl w:val="0"/>
          <w:numId w:val="2"/>
        </w:numPr>
        <w:tabs>
          <w:tab w:val="clear" w:pos="1080"/>
          <w:tab w:val="num" w:pos="360"/>
        </w:tabs>
        <w:spacing w:before="240"/>
        <w:ind w:left="360"/>
        <w:rPr>
          <w:sz w:val="24"/>
        </w:rPr>
      </w:pPr>
      <w:r>
        <w:rPr>
          <w:b/>
          <w:sz w:val="24"/>
          <w:u w:val="single"/>
        </w:rPr>
        <w:t xml:space="preserve">Estimates of Annualized Hour and Cost Burden  </w:t>
      </w:r>
    </w:p>
    <w:p w:rsidR="00AF70B8" w:rsidRDefault="00AF70B8" w:rsidP="00382571">
      <w:pPr>
        <w:spacing w:before="240"/>
        <w:ind w:left="360"/>
        <w:rPr>
          <w:sz w:val="24"/>
        </w:rPr>
      </w:pPr>
      <w:r w:rsidRPr="00382571">
        <w:rPr>
          <w:sz w:val="24"/>
        </w:rPr>
        <w:t xml:space="preserve">The survey respondents </w:t>
      </w:r>
      <w:r w:rsidR="00382571">
        <w:rPr>
          <w:sz w:val="24"/>
        </w:rPr>
        <w:t xml:space="preserve">will </w:t>
      </w:r>
      <w:r w:rsidRPr="00382571">
        <w:rPr>
          <w:sz w:val="24"/>
        </w:rPr>
        <w:t xml:space="preserve">consist of </w:t>
      </w:r>
      <w:r w:rsidR="00382571">
        <w:rPr>
          <w:sz w:val="24"/>
        </w:rPr>
        <w:t xml:space="preserve">36 </w:t>
      </w:r>
      <w:r w:rsidRPr="00382571">
        <w:rPr>
          <w:sz w:val="24"/>
        </w:rPr>
        <w:t xml:space="preserve">physicians who participated in the PCFDI pilot training program.  The annual burden will be 10 minutes for </w:t>
      </w:r>
      <w:r w:rsidR="00755AC1" w:rsidRPr="00382571">
        <w:rPr>
          <w:sz w:val="24"/>
        </w:rPr>
        <w:t xml:space="preserve">the </w:t>
      </w:r>
      <w:proofErr w:type="gramStart"/>
      <w:r w:rsidR="00755AC1" w:rsidRPr="00382571">
        <w:rPr>
          <w:sz w:val="24"/>
        </w:rPr>
        <w:t>Irvine’s  Leadership</w:t>
      </w:r>
      <w:proofErr w:type="gramEnd"/>
      <w:r w:rsidR="00755AC1" w:rsidRPr="00382571">
        <w:rPr>
          <w:sz w:val="24"/>
        </w:rPr>
        <w:t xml:space="preserve"> Behavior Survey and 15 minutes for the Faculty Skill &amp; Program Feasibility Survey</w:t>
      </w:r>
      <w:r w:rsidR="006E48E6" w:rsidRPr="00AB003E">
        <w:rPr>
          <w:sz w:val="24"/>
        </w:rPr>
        <w:t xml:space="preserve">.  </w:t>
      </w:r>
      <w:r w:rsidRPr="00382571">
        <w:rPr>
          <w:sz w:val="24"/>
        </w:rPr>
        <w:t xml:space="preserve">The time estimates were </w:t>
      </w:r>
      <w:r w:rsidR="006E48E6" w:rsidRPr="00382571">
        <w:rPr>
          <w:sz w:val="24"/>
        </w:rPr>
        <w:t>provided by two consultants familiar with the PCFDI Train-the-Trainer curriculum</w:t>
      </w:r>
      <w:r w:rsidR="00634A3D">
        <w:rPr>
          <w:sz w:val="24"/>
        </w:rPr>
        <w:t xml:space="preserve"> who pilot tested the surveys</w:t>
      </w:r>
      <w:r w:rsidR="006E48E6" w:rsidRPr="00382571">
        <w:rPr>
          <w:sz w:val="24"/>
        </w:rPr>
        <w:t xml:space="preserve">.  </w:t>
      </w:r>
    </w:p>
    <w:p w:rsidR="009B3794" w:rsidRDefault="009B3794" w:rsidP="00CA3DA6">
      <w:pPr>
        <w:widowControl/>
        <w:tabs>
          <w:tab w:val="num" w:pos="720"/>
        </w:tabs>
        <w:spacing w:before="120"/>
        <w:rPr>
          <w:sz w:val="24"/>
        </w:rPr>
      </w:pPr>
      <w:r>
        <w:rPr>
          <w:b/>
          <w:sz w:val="24"/>
        </w:rPr>
        <w:t>12A.</w:t>
      </w:r>
      <w:r>
        <w:rPr>
          <w:sz w:val="24"/>
        </w:rPr>
        <w:t xml:space="preserve">        </w:t>
      </w:r>
      <w:r>
        <w:rPr>
          <w:b/>
          <w:sz w:val="24"/>
        </w:rPr>
        <w:t>Estimated Annualized Burden Hours</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1283"/>
        <w:gridCol w:w="1632"/>
        <w:gridCol w:w="1532"/>
        <w:gridCol w:w="1261"/>
        <w:gridCol w:w="1061"/>
      </w:tblGrid>
      <w:tr w:rsidR="00CA3DA6" w:rsidRPr="00015505" w:rsidTr="00CA3DA6">
        <w:trPr>
          <w:trHeight w:val="2189"/>
        </w:trPr>
        <w:tc>
          <w:tcPr>
            <w:tcW w:w="1532" w:type="dxa"/>
          </w:tcPr>
          <w:p w:rsidR="00CA3DA6" w:rsidRPr="00015505" w:rsidRDefault="00CA3DA6" w:rsidP="00CA3DA6">
            <w:pPr>
              <w:widowControl/>
              <w:tabs>
                <w:tab w:val="num" w:pos="1080"/>
              </w:tabs>
              <w:spacing w:before="120"/>
              <w:rPr>
                <w:b/>
                <w:bCs/>
                <w:sz w:val="24"/>
              </w:rPr>
            </w:pPr>
            <w:r w:rsidRPr="00015505">
              <w:rPr>
                <w:b/>
                <w:bCs/>
                <w:sz w:val="24"/>
              </w:rPr>
              <w:t>Type of</w:t>
            </w:r>
          </w:p>
          <w:p w:rsidR="00CA3DA6" w:rsidRPr="00015505" w:rsidRDefault="00CA3DA6" w:rsidP="00CA3DA6">
            <w:pPr>
              <w:widowControl/>
              <w:tabs>
                <w:tab w:val="num" w:pos="1080"/>
              </w:tabs>
              <w:spacing w:before="120"/>
              <w:rPr>
                <w:b/>
                <w:bCs/>
                <w:sz w:val="24"/>
              </w:rPr>
            </w:pPr>
            <w:r w:rsidRPr="00015505">
              <w:rPr>
                <w:b/>
                <w:bCs/>
                <w:sz w:val="24"/>
              </w:rPr>
              <w:t>Respondent</w:t>
            </w:r>
          </w:p>
          <w:p w:rsidR="00CA3DA6" w:rsidRPr="00015505" w:rsidRDefault="00CA3DA6" w:rsidP="00CA3DA6">
            <w:pPr>
              <w:widowControl/>
              <w:tabs>
                <w:tab w:val="num" w:pos="1080"/>
              </w:tabs>
              <w:spacing w:before="120"/>
              <w:rPr>
                <w:b/>
                <w:bCs/>
                <w:sz w:val="24"/>
              </w:rPr>
            </w:pPr>
          </w:p>
        </w:tc>
        <w:tc>
          <w:tcPr>
            <w:tcW w:w="874" w:type="dxa"/>
          </w:tcPr>
          <w:p w:rsidR="00CA3DA6" w:rsidRPr="00015505" w:rsidRDefault="00CA3DA6" w:rsidP="00CA3DA6">
            <w:pPr>
              <w:widowControl/>
              <w:tabs>
                <w:tab w:val="num" w:pos="1080"/>
              </w:tabs>
              <w:spacing w:before="120"/>
              <w:rPr>
                <w:b/>
                <w:bCs/>
                <w:sz w:val="24"/>
              </w:rPr>
            </w:pPr>
            <w:r w:rsidRPr="00015505">
              <w:rPr>
                <w:b/>
                <w:bCs/>
                <w:sz w:val="24"/>
              </w:rPr>
              <w:t>Form</w:t>
            </w:r>
          </w:p>
          <w:p w:rsidR="00CA3DA6" w:rsidRPr="00015505" w:rsidRDefault="00CA3DA6" w:rsidP="00CA3DA6">
            <w:pPr>
              <w:widowControl/>
              <w:tabs>
                <w:tab w:val="num" w:pos="1080"/>
              </w:tabs>
              <w:spacing w:before="120"/>
              <w:rPr>
                <w:b/>
                <w:bCs/>
                <w:sz w:val="24"/>
              </w:rPr>
            </w:pPr>
            <w:r w:rsidRPr="00015505">
              <w:rPr>
                <w:b/>
                <w:bCs/>
                <w:sz w:val="24"/>
              </w:rPr>
              <w:t>Name</w:t>
            </w:r>
          </w:p>
          <w:p w:rsidR="00CA3DA6" w:rsidRPr="00015505" w:rsidRDefault="00CA3DA6" w:rsidP="00CA3DA6">
            <w:pPr>
              <w:widowControl/>
              <w:tabs>
                <w:tab w:val="num" w:pos="1080"/>
              </w:tabs>
              <w:spacing w:before="120"/>
              <w:rPr>
                <w:b/>
                <w:bCs/>
                <w:sz w:val="24"/>
              </w:rPr>
            </w:pPr>
          </w:p>
        </w:tc>
        <w:tc>
          <w:tcPr>
            <w:tcW w:w="1632" w:type="dxa"/>
          </w:tcPr>
          <w:p w:rsidR="00CA3DA6" w:rsidRPr="00015505" w:rsidRDefault="00CA3DA6" w:rsidP="00CA3DA6">
            <w:pPr>
              <w:widowControl/>
              <w:tabs>
                <w:tab w:val="num" w:pos="1080"/>
              </w:tabs>
              <w:spacing w:before="120"/>
              <w:rPr>
                <w:b/>
                <w:bCs/>
                <w:sz w:val="24"/>
              </w:rPr>
            </w:pPr>
            <w:r w:rsidRPr="00015505">
              <w:rPr>
                <w:b/>
                <w:bCs/>
                <w:sz w:val="24"/>
              </w:rPr>
              <w:t>No. of</w:t>
            </w:r>
          </w:p>
          <w:p w:rsidR="00CA3DA6" w:rsidRPr="00015505" w:rsidRDefault="00CA3DA6" w:rsidP="00CA3DA6">
            <w:pPr>
              <w:widowControl/>
              <w:tabs>
                <w:tab w:val="num" w:pos="1080"/>
              </w:tabs>
              <w:spacing w:before="120"/>
              <w:rPr>
                <w:b/>
                <w:bCs/>
                <w:sz w:val="24"/>
              </w:rPr>
            </w:pPr>
            <w:r w:rsidRPr="00015505">
              <w:rPr>
                <w:b/>
                <w:bCs/>
                <w:sz w:val="24"/>
              </w:rPr>
              <w:t>Respondents</w:t>
            </w:r>
          </w:p>
        </w:tc>
        <w:tc>
          <w:tcPr>
            <w:tcW w:w="1532" w:type="dxa"/>
          </w:tcPr>
          <w:p w:rsidR="00CA3DA6" w:rsidRPr="00015505" w:rsidRDefault="00CA3DA6" w:rsidP="00CA3DA6">
            <w:pPr>
              <w:widowControl/>
              <w:tabs>
                <w:tab w:val="num" w:pos="1080"/>
              </w:tabs>
              <w:spacing w:before="120"/>
              <w:rPr>
                <w:b/>
                <w:bCs/>
                <w:sz w:val="24"/>
              </w:rPr>
            </w:pPr>
            <w:r w:rsidRPr="00015505">
              <w:rPr>
                <w:b/>
                <w:bCs/>
                <w:sz w:val="24"/>
              </w:rPr>
              <w:t>No.</w:t>
            </w:r>
          </w:p>
          <w:p w:rsidR="00CA3DA6" w:rsidRPr="00015505" w:rsidRDefault="00CA3DA6" w:rsidP="00CA3DA6">
            <w:pPr>
              <w:widowControl/>
              <w:tabs>
                <w:tab w:val="num" w:pos="1080"/>
              </w:tabs>
              <w:spacing w:before="120"/>
              <w:rPr>
                <w:b/>
                <w:bCs/>
                <w:sz w:val="24"/>
              </w:rPr>
            </w:pPr>
            <w:r w:rsidRPr="00015505">
              <w:rPr>
                <w:b/>
                <w:bCs/>
                <w:sz w:val="24"/>
              </w:rPr>
              <w:t>Responses</w:t>
            </w:r>
          </w:p>
          <w:p w:rsidR="00CA3DA6" w:rsidRPr="00015505" w:rsidRDefault="00CA3DA6" w:rsidP="00CA3DA6">
            <w:pPr>
              <w:widowControl/>
              <w:tabs>
                <w:tab w:val="num" w:pos="1080"/>
              </w:tabs>
              <w:spacing w:before="120"/>
              <w:rPr>
                <w:b/>
                <w:bCs/>
                <w:sz w:val="24"/>
              </w:rPr>
            </w:pPr>
            <w:r w:rsidRPr="00015505">
              <w:rPr>
                <w:b/>
                <w:bCs/>
                <w:sz w:val="24"/>
              </w:rPr>
              <w:t>per</w:t>
            </w:r>
          </w:p>
          <w:p w:rsidR="00CA3DA6" w:rsidRPr="00015505" w:rsidRDefault="00CA3DA6" w:rsidP="00CA3DA6">
            <w:pPr>
              <w:widowControl/>
              <w:tabs>
                <w:tab w:val="num" w:pos="1080"/>
              </w:tabs>
              <w:spacing w:before="120"/>
              <w:rPr>
                <w:b/>
                <w:bCs/>
                <w:sz w:val="24"/>
              </w:rPr>
            </w:pPr>
            <w:r w:rsidRPr="00015505">
              <w:rPr>
                <w:b/>
                <w:bCs/>
                <w:sz w:val="24"/>
              </w:rPr>
              <w:t>Respondent</w:t>
            </w:r>
          </w:p>
        </w:tc>
        <w:tc>
          <w:tcPr>
            <w:tcW w:w="1261" w:type="dxa"/>
          </w:tcPr>
          <w:p w:rsidR="00CA3DA6" w:rsidRPr="00015505" w:rsidRDefault="00CA3DA6" w:rsidP="00CA3DA6">
            <w:pPr>
              <w:widowControl/>
              <w:tabs>
                <w:tab w:val="num" w:pos="1080"/>
              </w:tabs>
              <w:spacing w:before="120"/>
              <w:rPr>
                <w:b/>
                <w:bCs/>
                <w:sz w:val="24"/>
              </w:rPr>
            </w:pPr>
            <w:r w:rsidRPr="00015505">
              <w:rPr>
                <w:b/>
                <w:bCs/>
                <w:sz w:val="24"/>
              </w:rPr>
              <w:t>Average</w:t>
            </w:r>
          </w:p>
          <w:p w:rsidR="00CA3DA6" w:rsidRPr="00015505" w:rsidRDefault="00CA3DA6" w:rsidP="00CA3DA6">
            <w:pPr>
              <w:widowControl/>
              <w:tabs>
                <w:tab w:val="num" w:pos="1080"/>
              </w:tabs>
              <w:spacing w:before="120"/>
              <w:rPr>
                <w:b/>
                <w:bCs/>
                <w:sz w:val="24"/>
              </w:rPr>
            </w:pPr>
            <w:r w:rsidRPr="00015505">
              <w:rPr>
                <w:b/>
                <w:bCs/>
                <w:sz w:val="24"/>
              </w:rPr>
              <w:t>Burden per</w:t>
            </w:r>
          </w:p>
          <w:p w:rsidR="00CA3DA6" w:rsidRPr="00015505" w:rsidRDefault="00CA3DA6" w:rsidP="00CA3DA6">
            <w:pPr>
              <w:widowControl/>
              <w:tabs>
                <w:tab w:val="num" w:pos="1080"/>
              </w:tabs>
              <w:spacing w:before="120"/>
              <w:rPr>
                <w:b/>
                <w:bCs/>
                <w:sz w:val="24"/>
              </w:rPr>
            </w:pPr>
            <w:r w:rsidRPr="00015505">
              <w:rPr>
                <w:b/>
                <w:bCs/>
                <w:sz w:val="24"/>
              </w:rPr>
              <w:t>Response</w:t>
            </w:r>
          </w:p>
          <w:p w:rsidR="00CA3DA6" w:rsidRPr="00015505" w:rsidRDefault="00CA3DA6" w:rsidP="00CA3DA6">
            <w:pPr>
              <w:widowControl/>
              <w:tabs>
                <w:tab w:val="num" w:pos="1080"/>
              </w:tabs>
              <w:spacing w:before="120"/>
              <w:rPr>
                <w:b/>
                <w:bCs/>
                <w:sz w:val="24"/>
              </w:rPr>
            </w:pPr>
            <w:r w:rsidRPr="00015505">
              <w:rPr>
                <w:b/>
                <w:bCs/>
                <w:sz w:val="24"/>
              </w:rPr>
              <w:t>(in hours)</w:t>
            </w:r>
          </w:p>
        </w:tc>
        <w:tc>
          <w:tcPr>
            <w:tcW w:w="1061" w:type="dxa"/>
          </w:tcPr>
          <w:p w:rsidR="00CA3DA6" w:rsidRPr="00015505" w:rsidRDefault="00CA3DA6" w:rsidP="00CA3DA6">
            <w:pPr>
              <w:widowControl/>
              <w:tabs>
                <w:tab w:val="num" w:pos="1080"/>
              </w:tabs>
              <w:spacing w:before="120"/>
              <w:rPr>
                <w:b/>
                <w:bCs/>
                <w:sz w:val="24"/>
              </w:rPr>
            </w:pPr>
            <w:r w:rsidRPr="00015505">
              <w:rPr>
                <w:b/>
                <w:bCs/>
                <w:sz w:val="24"/>
              </w:rPr>
              <w:t>Total Burden Hours</w:t>
            </w:r>
          </w:p>
        </w:tc>
      </w:tr>
      <w:tr w:rsidR="00CA3DA6" w:rsidRPr="00015505" w:rsidTr="00CA3DA6">
        <w:trPr>
          <w:trHeight w:val="679"/>
        </w:trPr>
        <w:tc>
          <w:tcPr>
            <w:tcW w:w="1532" w:type="dxa"/>
          </w:tcPr>
          <w:p w:rsidR="00CA3DA6" w:rsidRPr="00015505" w:rsidRDefault="00CA3DA6" w:rsidP="00CA3DA6">
            <w:pPr>
              <w:widowControl/>
              <w:tabs>
                <w:tab w:val="num" w:pos="1080"/>
              </w:tabs>
              <w:spacing w:before="120"/>
              <w:rPr>
                <w:b/>
                <w:bCs/>
                <w:sz w:val="24"/>
              </w:rPr>
            </w:pPr>
            <w:r w:rsidRPr="00015505">
              <w:rPr>
                <w:b/>
                <w:bCs/>
                <w:sz w:val="24"/>
              </w:rPr>
              <w:t>Physicians</w:t>
            </w:r>
          </w:p>
        </w:tc>
        <w:tc>
          <w:tcPr>
            <w:tcW w:w="874" w:type="dxa"/>
          </w:tcPr>
          <w:p w:rsidR="00CA3DA6" w:rsidRPr="00015505" w:rsidRDefault="001743B5" w:rsidP="001743B5">
            <w:pPr>
              <w:widowControl/>
              <w:tabs>
                <w:tab w:val="num" w:pos="1080"/>
              </w:tabs>
              <w:spacing w:before="120"/>
              <w:rPr>
                <w:b/>
                <w:bCs/>
                <w:sz w:val="24"/>
              </w:rPr>
            </w:pPr>
            <w:r>
              <w:rPr>
                <w:sz w:val="24"/>
              </w:rPr>
              <w:t>Irvine’s Leadership Behavior Survey</w:t>
            </w:r>
          </w:p>
        </w:tc>
        <w:tc>
          <w:tcPr>
            <w:tcW w:w="1632" w:type="dxa"/>
          </w:tcPr>
          <w:p w:rsidR="00CA3DA6" w:rsidRPr="00015505" w:rsidRDefault="00F36866" w:rsidP="00F36866">
            <w:pPr>
              <w:widowControl/>
              <w:tabs>
                <w:tab w:val="num" w:pos="1080"/>
              </w:tabs>
              <w:spacing w:before="120"/>
              <w:rPr>
                <w:b/>
                <w:bCs/>
                <w:sz w:val="24"/>
              </w:rPr>
            </w:pPr>
            <w:r>
              <w:rPr>
                <w:sz w:val="24"/>
              </w:rPr>
              <w:t>36</w:t>
            </w:r>
          </w:p>
        </w:tc>
        <w:tc>
          <w:tcPr>
            <w:tcW w:w="1532" w:type="dxa"/>
          </w:tcPr>
          <w:p w:rsidR="00CA3DA6" w:rsidRPr="00015505" w:rsidRDefault="001743B5" w:rsidP="00CA3DA6">
            <w:pPr>
              <w:widowControl/>
              <w:tabs>
                <w:tab w:val="num" w:pos="1080"/>
              </w:tabs>
              <w:spacing w:before="120"/>
              <w:rPr>
                <w:b/>
                <w:bCs/>
                <w:sz w:val="24"/>
              </w:rPr>
            </w:pPr>
            <w:r>
              <w:rPr>
                <w:sz w:val="24"/>
              </w:rPr>
              <w:t>1</w:t>
            </w:r>
          </w:p>
        </w:tc>
        <w:tc>
          <w:tcPr>
            <w:tcW w:w="1261" w:type="dxa"/>
          </w:tcPr>
          <w:p w:rsidR="00CA3DA6" w:rsidRPr="00015505" w:rsidRDefault="001743B5" w:rsidP="00CA3DA6">
            <w:pPr>
              <w:widowControl/>
              <w:tabs>
                <w:tab w:val="num" w:pos="1080"/>
              </w:tabs>
              <w:spacing w:before="120"/>
              <w:rPr>
                <w:b/>
                <w:bCs/>
                <w:sz w:val="24"/>
              </w:rPr>
            </w:pPr>
            <w:r>
              <w:rPr>
                <w:sz w:val="24"/>
              </w:rPr>
              <w:t>10</w:t>
            </w:r>
            <w:r w:rsidR="00CA3DA6" w:rsidRPr="00015505">
              <w:rPr>
                <w:sz w:val="24"/>
              </w:rPr>
              <w:t>/60</w:t>
            </w:r>
          </w:p>
        </w:tc>
        <w:tc>
          <w:tcPr>
            <w:tcW w:w="1061" w:type="dxa"/>
          </w:tcPr>
          <w:p w:rsidR="00CA3DA6" w:rsidRPr="00015505" w:rsidRDefault="00A91BFC" w:rsidP="00CA3DA6">
            <w:pPr>
              <w:widowControl/>
              <w:tabs>
                <w:tab w:val="num" w:pos="1080"/>
              </w:tabs>
              <w:spacing w:before="120"/>
              <w:rPr>
                <w:b/>
                <w:bCs/>
                <w:sz w:val="24"/>
              </w:rPr>
            </w:pPr>
            <w:r>
              <w:rPr>
                <w:sz w:val="24"/>
              </w:rPr>
              <w:t>6</w:t>
            </w:r>
          </w:p>
        </w:tc>
      </w:tr>
      <w:tr w:rsidR="00CA3DA6" w:rsidRPr="00015505" w:rsidTr="00CA3DA6">
        <w:trPr>
          <w:trHeight w:val="800"/>
        </w:trPr>
        <w:tc>
          <w:tcPr>
            <w:tcW w:w="1532" w:type="dxa"/>
          </w:tcPr>
          <w:p w:rsidR="00CA3DA6" w:rsidRPr="00015505" w:rsidRDefault="001743B5" w:rsidP="00CA3DA6">
            <w:pPr>
              <w:widowControl/>
              <w:tabs>
                <w:tab w:val="num" w:pos="1080"/>
              </w:tabs>
              <w:spacing w:before="120"/>
              <w:rPr>
                <w:b/>
                <w:bCs/>
                <w:sz w:val="24"/>
              </w:rPr>
            </w:pPr>
            <w:r>
              <w:rPr>
                <w:b/>
                <w:bCs/>
                <w:sz w:val="24"/>
              </w:rPr>
              <w:t>Physicians</w:t>
            </w:r>
          </w:p>
        </w:tc>
        <w:tc>
          <w:tcPr>
            <w:tcW w:w="874" w:type="dxa"/>
          </w:tcPr>
          <w:p w:rsidR="00CA3DA6" w:rsidRPr="00015505" w:rsidRDefault="001743B5" w:rsidP="001743B5">
            <w:pPr>
              <w:widowControl/>
              <w:tabs>
                <w:tab w:val="num" w:pos="1080"/>
              </w:tabs>
              <w:spacing w:before="120"/>
              <w:rPr>
                <w:b/>
                <w:bCs/>
                <w:sz w:val="24"/>
              </w:rPr>
            </w:pPr>
            <w:r>
              <w:rPr>
                <w:sz w:val="24"/>
              </w:rPr>
              <w:t>Faculty Skill &amp; Program Feasibility Survey</w:t>
            </w:r>
          </w:p>
        </w:tc>
        <w:tc>
          <w:tcPr>
            <w:tcW w:w="1632" w:type="dxa"/>
          </w:tcPr>
          <w:p w:rsidR="00CA3DA6" w:rsidRPr="00015505" w:rsidRDefault="00A91BFC" w:rsidP="00A91BFC">
            <w:pPr>
              <w:widowControl/>
              <w:tabs>
                <w:tab w:val="num" w:pos="1080"/>
              </w:tabs>
              <w:spacing w:before="120"/>
              <w:rPr>
                <w:b/>
                <w:bCs/>
                <w:sz w:val="24"/>
              </w:rPr>
            </w:pPr>
            <w:r>
              <w:rPr>
                <w:sz w:val="24"/>
              </w:rPr>
              <w:t>36</w:t>
            </w:r>
            <w:r w:rsidR="006E48E6" w:rsidRPr="00015505">
              <w:rPr>
                <w:sz w:val="24"/>
              </w:rPr>
              <w:t xml:space="preserve"> </w:t>
            </w:r>
          </w:p>
        </w:tc>
        <w:tc>
          <w:tcPr>
            <w:tcW w:w="1532" w:type="dxa"/>
          </w:tcPr>
          <w:p w:rsidR="00CA3DA6" w:rsidRPr="00015505" w:rsidRDefault="00CA3DA6" w:rsidP="00CA3DA6">
            <w:pPr>
              <w:widowControl/>
              <w:tabs>
                <w:tab w:val="num" w:pos="1080"/>
              </w:tabs>
              <w:spacing w:before="120"/>
              <w:rPr>
                <w:b/>
                <w:bCs/>
                <w:sz w:val="24"/>
              </w:rPr>
            </w:pPr>
            <w:r w:rsidRPr="00015505">
              <w:rPr>
                <w:sz w:val="24"/>
              </w:rPr>
              <w:t>1</w:t>
            </w:r>
          </w:p>
        </w:tc>
        <w:tc>
          <w:tcPr>
            <w:tcW w:w="1261" w:type="dxa"/>
          </w:tcPr>
          <w:p w:rsidR="00CA3DA6" w:rsidRPr="00015505" w:rsidRDefault="00755AC1" w:rsidP="00CA3DA6">
            <w:pPr>
              <w:widowControl/>
              <w:tabs>
                <w:tab w:val="num" w:pos="1080"/>
              </w:tabs>
              <w:spacing w:before="120"/>
              <w:rPr>
                <w:b/>
                <w:bCs/>
                <w:sz w:val="24"/>
              </w:rPr>
            </w:pPr>
            <w:r>
              <w:rPr>
                <w:sz w:val="24"/>
              </w:rPr>
              <w:t>15</w:t>
            </w:r>
            <w:r w:rsidR="001743B5">
              <w:rPr>
                <w:sz w:val="24"/>
              </w:rPr>
              <w:t>/60</w:t>
            </w:r>
          </w:p>
        </w:tc>
        <w:tc>
          <w:tcPr>
            <w:tcW w:w="1061" w:type="dxa"/>
          </w:tcPr>
          <w:p w:rsidR="00CA3DA6" w:rsidRPr="00015505" w:rsidRDefault="00A91BFC" w:rsidP="00CA3DA6">
            <w:pPr>
              <w:widowControl/>
              <w:tabs>
                <w:tab w:val="num" w:pos="1080"/>
              </w:tabs>
              <w:spacing w:before="120"/>
              <w:rPr>
                <w:sz w:val="24"/>
              </w:rPr>
            </w:pPr>
            <w:r>
              <w:rPr>
                <w:sz w:val="24"/>
              </w:rPr>
              <w:t>9</w:t>
            </w:r>
          </w:p>
          <w:p w:rsidR="00CA3DA6" w:rsidRPr="00015505" w:rsidRDefault="00CA3DA6" w:rsidP="00CA3DA6">
            <w:pPr>
              <w:widowControl/>
              <w:tabs>
                <w:tab w:val="num" w:pos="1080"/>
              </w:tabs>
              <w:spacing w:before="120"/>
              <w:rPr>
                <w:b/>
                <w:bCs/>
                <w:sz w:val="24"/>
              </w:rPr>
            </w:pPr>
          </w:p>
        </w:tc>
      </w:tr>
      <w:tr w:rsidR="00CA3DA6" w:rsidRPr="00015505" w:rsidTr="00CA3DA6">
        <w:trPr>
          <w:trHeight w:val="815"/>
        </w:trPr>
        <w:tc>
          <w:tcPr>
            <w:tcW w:w="1532" w:type="dxa"/>
          </w:tcPr>
          <w:p w:rsidR="00CA3DA6" w:rsidRPr="00015505" w:rsidRDefault="00CA3DA6" w:rsidP="00CA3DA6">
            <w:pPr>
              <w:widowControl/>
              <w:tabs>
                <w:tab w:val="num" w:pos="1080"/>
              </w:tabs>
              <w:spacing w:before="120"/>
              <w:rPr>
                <w:b/>
                <w:bCs/>
                <w:sz w:val="24"/>
              </w:rPr>
            </w:pPr>
            <w:r w:rsidRPr="00015505">
              <w:rPr>
                <w:b/>
                <w:bCs/>
                <w:sz w:val="24"/>
              </w:rPr>
              <w:t>Total</w:t>
            </w:r>
          </w:p>
        </w:tc>
        <w:tc>
          <w:tcPr>
            <w:tcW w:w="874" w:type="dxa"/>
          </w:tcPr>
          <w:p w:rsidR="00CA3DA6" w:rsidRPr="00015505" w:rsidRDefault="00CA3DA6" w:rsidP="00CA3DA6">
            <w:pPr>
              <w:widowControl/>
              <w:tabs>
                <w:tab w:val="num" w:pos="1080"/>
              </w:tabs>
              <w:spacing w:before="120"/>
              <w:rPr>
                <w:sz w:val="24"/>
              </w:rPr>
            </w:pPr>
          </w:p>
        </w:tc>
        <w:tc>
          <w:tcPr>
            <w:tcW w:w="1632" w:type="dxa"/>
          </w:tcPr>
          <w:p w:rsidR="00CA3DA6" w:rsidRPr="00015505" w:rsidRDefault="00050D09" w:rsidP="00A91BFC">
            <w:pPr>
              <w:widowControl/>
              <w:tabs>
                <w:tab w:val="num" w:pos="1080"/>
              </w:tabs>
              <w:spacing w:before="120"/>
              <w:rPr>
                <w:sz w:val="24"/>
              </w:rPr>
            </w:pPr>
            <w:r>
              <w:rPr>
                <w:sz w:val="24"/>
              </w:rPr>
              <w:t>36</w:t>
            </w:r>
          </w:p>
        </w:tc>
        <w:tc>
          <w:tcPr>
            <w:tcW w:w="1532" w:type="dxa"/>
          </w:tcPr>
          <w:p w:rsidR="00CA3DA6" w:rsidRPr="00015505" w:rsidRDefault="00CA3DA6" w:rsidP="00CA3DA6">
            <w:pPr>
              <w:widowControl/>
              <w:tabs>
                <w:tab w:val="num" w:pos="1080"/>
              </w:tabs>
              <w:spacing w:before="120"/>
              <w:rPr>
                <w:sz w:val="24"/>
              </w:rPr>
            </w:pPr>
          </w:p>
        </w:tc>
        <w:tc>
          <w:tcPr>
            <w:tcW w:w="1261" w:type="dxa"/>
          </w:tcPr>
          <w:p w:rsidR="00CA3DA6" w:rsidRPr="00015505" w:rsidRDefault="00050D09" w:rsidP="00CA3DA6">
            <w:pPr>
              <w:widowControl/>
              <w:tabs>
                <w:tab w:val="num" w:pos="1080"/>
              </w:tabs>
              <w:spacing w:before="120"/>
              <w:rPr>
                <w:sz w:val="24"/>
              </w:rPr>
            </w:pPr>
            <w:r>
              <w:rPr>
                <w:sz w:val="24"/>
              </w:rPr>
              <w:t>25/60</w:t>
            </w:r>
          </w:p>
        </w:tc>
        <w:tc>
          <w:tcPr>
            <w:tcW w:w="1061" w:type="dxa"/>
          </w:tcPr>
          <w:p w:rsidR="00CA3DA6" w:rsidRPr="00015505" w:rsidRDefault="00A91BFC" w:rsidP="00CA3DA6">
            <w:pPr>
              <w:widowControl/>
              <w:tabs>
                <w:tab w:val="num" w:pos="1080"/>
              </w:tabs>
              <w:spacing w:before="120"/>
              <w:rPr>
                <w:sz w:val="24"/>
              </w:rPr>
            </w:pPr>
            <w:r>
              <w:rPr>
                <w:b/>
                <w:bCs/>
                <w:sz w:val="24"/>
              </w:rPr>
              <w:t>15</w:t>
            </w:r>
          </w:p>
          <w:p w:rsidR="00CA3DA6" w:rsidRPr="00015505" w:rsidRDefault="00CA3DA6" w:rsidP="00CA3DA6">
            <w:pPr>
              <w:widowControl/>
              <w:tabs>
                <w:tab w:val="num" w:pos="1080"/>
              </w:tabs>
              <w:spacing w:before="120"/>
              <w:rPr>
                <w:sz w:val="24"/>
              </w:rPr>
            </w:pPr>
          </w:p>
        </w:tc>
      </w:tr>
    </w:tbl>
    <w:p w:rsidR="009B3794" w:rsidRDefault="009B3794" w:rsidP="00CA3DA6">
      <w:pPr>
        <w:widowControl/>
        <w:tabs>
          <w:tab w:val="num" w:pos="1080"/>
        </w:tabs>
        <w:spacing w:before="120"/>
        <w:rPr>
          <w:b/>
          <w:bCs/>
          <w:sz w:val="24"/>
        </w:rPr>
      </w:pPr>
    </w:p>
    <w:p w:rsidR="009B3794" w:rsidRDefault="009B3794" w:rsidP="00CA3DA6">
      <w:pPr>
        <w:widowControl/>
        <w:spacing w:before="120"/>
        <w:ind w:left="270"/>
        <w:rPr>
          <w:b/>
          <w:sz w:val="24"/>
        </w:rPr>
      </w:pPr>
      <w:r>
        <w:rPr>
          <w:b/>
          <w:sz w:val="24"/>
        </w:rPr>
        <w:t>12B</w:t>
      </w:r>
      <w:proofErr w:type="gramStart"/>
      <w:r>
        <w:rPr>
          <w:sz w:val="24"/>
        </w:rPr>
        <w:t xml:space="preserve">.  </w:t>
      </w:r>
      <w:r>
        <w:rPr>
          <w:b/>
          <w:sz w:val="24"/>
        </w:rPr>
        <w:t>Estimated</w:t>
      </w:r>
      <w:proofErr w:type="gramEnd"/>
      <w:r>
        <w:rPr>
          <w:b/>
          <w:sz w:val="24"/>
        </w:rPr>
        <w:t xml:space="preserve"> Annualized Burden Costs</w:t>
      </w: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1330"/>
        <w:gridCol w:w="1429"/>
        <w:gridCol w:w="1776"/>
      </w:tblGrid>
      <w:tr w:rsidR="009B3794" w:rsidRPr="00015505" w:rsidTr="00CA3DA6">
        <w:tc>
          <w:tcPr>
            <w:tcW w:w="1430" w:type="dxa"/>
          </w:tcPr>
          <w:p w:rsidR="009B3794" w:rsidRPr="00015505" w:rsidRDefault="009B3794" w:rsidP="00CE5AA9">
            <w:pPr>
              <w:widowControl/>
              <w:spacing w:before="120"/>
              <w:rPr>
                <w:b/>
                <w:bCs/>
                <w:sz w:val="24"/>
              </w:rPr>
            </w:pPr>
            <w:r w:rsidRPr="00015505">
              <w:rPr>
                <w:b/>
                <w:bCs/>
                <w:sz w:val="24"/>
              </w:rPr>
              <w:t>Type of</w:t>
            </w:r>
          </w:p>
          <w:p w:rsidR="009B3794" w:rsidRPr="00015505" w:rsidRDefault="009B3794" w:rsidP="00CE5AA9">
            <w:pPr>
              <w:widowControl/>
              <w:spacing w:before="120"/>
              <w:rPr>
                <w:sz w:val="24"/>
              </w:rPr>
            </w:pPr>
            <w:r w:rsidRPr="00015505">
              <w:rPr>
                <w:b/>
                <w:bCs/>
                <w:sz w:val="24"/>
              </w:rPr>
              <w:t>Respondent</w:t>
            </w:r>
          </w:p>
          <w:p w:rsidR="009B3794" w:rsidRPr="00015505" w:rsidRDefault="009B3794" w:rsidP="00CE5AA9">
            <w:pPr>
              <w:widowControl/>
              <w:spacing w:before="120"/>
              <w:rPr>
                <w:b/>
                <w:bCs/>
                <w:sz w:val="24"/>
              </w:rPr>
            </w:pPr>
          </w:p>
        </w:tc>
        <w:tc>
          <w:tcPr>
            <w:tcW w:w="1330" w:type="dxa"/>
          </w:tcPr>
          <w:p w:rsidR="009B3794" w:rsidRPr="00015505" w:rsidRDefault="009B3794" w:rsidP="00CE5AA9">
            <w:pPr>
              <w:widowControl/>
              <w:spacing w:before="120"/>
              <w:rPr>
                <w:b/>
                <w:bCs/>
                <w:sz w:val="24"/>
              </w:rPr>
            </w:pPr>
            <w:r w:rsidRPr="00015505">
              <w:rPr>
                <w:b/>
                <w:bCs/>
                <w:sz w:val="24"/>
              </w:rPr>
              <w:t>Total Burden</w:t>
            </w:r>
          </w:p>
          <w:p w:rsidR="009B3794" w:rsidRPr="00015505" w:rsidRDefault="009B3794" w:rsidP="00CE5AA9">
            <w:pPr>
              <w:widowControl/>
              <w:spacing w:before="120"/>
              <w:rPr>
                <w:sz w:val="24"/>
              </w:rPr>
            </w:pPr>
            <w:r w:rsidRPr="00015505">
              <w:rPr>
                <w:b/>
                <w:bCs/>
                <w:sz w:val="24"/>
              </w:rPr>
              <w:t>Hours</w:t>
            </w:r>
          </w:p>
          <w:p w:rsidR="009B3794" w:rsidRPr="00015505" w:rsidRDefault="009B3794" w:rsidP="00CE5AA9">
            <w:pPr>
              <w:widowControl/>
              <w:spacing w:before="120"/>
              <w:rPr>
                <w:b/>
                <w:bCs/>
                <w:sz w:val="24"/>
              </w:rPr>
            </w:pPr>
          </w:p>
        </w:tc>
        <w:tc>
          <w:tcPr>
            <w:tcW w:w="1429" w:type="dxa"/>
          </w:tcPr>
          <w:p w:rsidR="009B3794" w:rsidRPr="00015505" w:rsidRDefault="009B3794" w:rsidP="00CE5AA9">
            <w:pPr>
              <w:widowControl/>
              <w:spacing w:before="120"/>
              <w:rPr>
                <w:b/>
                <w:bCs/>
                <w:sz w:val="24"/>
              </w:rPr>
            </w:pPr>
            <w:r w:rsidRPr="00015505">
              <w:rPr>
                <w:b/>
                <w:bCs/>
                <w:sz w:val="24"/>
              </w:rPr>
              <w:t>Hourly</w:t>
            </w:r>
          </w:p>
          <w:p w:rsidR="009B3794" w:rsidRPr="00015505" w:rsidRDefault="009B3794" w:rsidP="00CE5AA9">
            <w:pPr>
              <w:widowControl/>
              <w:spacing w:before="120"/>
              <w:rPr>
                <w:sz w:val="24"/>
              </w:rPr>
            </w:pPr>
            <w:r w:rsidRPr="00015505">
              <w:rPr>
                <w:b/>
                <w:bCs/>
                <w:sz w:val="24"/>
              </w:rPr>
              <w:t>Wage Rate</w:t>
            </w:r>
          </w:p>
          <w:p w:rsidR="009B3794" w:rsidRPr="00015505" w:rsidRDefault="009B3794" w:rsidP="00CE5AA9">
            <w:pPr>
              <w:widowControl/>
              <w:spacing w:before="120"/>
              <w:rPr>
                <w:b/>
                <w:bCs/>
                <w:sz w:val="24"/>
              </w:rPr>
            </w:pPr>
          </w:p>
        </w:tc>
        <w:tc>
          <w:tcPr>
            <w:tcW w:w="1776" w:type="dxa"/>
          </w:tcPr>
          <w:p w:rsidR="009B3794" w:rsidRPr="00015505" w:rsidRDefault="009B3794" w:rsidP="00CE5AA9">
            <w:pPr>
              <w:widowControl/>
              <w:spacing w:before="120"/>
              <w:rPr>
                <w:sz w:val="24"/>
              </w:rPr>
            </w:pPr>
            <w:r w:rsidRPr="00015505">
              <w:rPr>
                <w:b/>
                <w:bCs/>
                <w:sz w:val="24"/>
              </w:rPr>
              <w:t>Total Respondent Costs</w:t>
            </w:r>
          </w:p>
          <w:p w:rsidR="009B3794" w:rsidRPr="00015505" w:rsidRDefault="009B3794" w:rsidP="00CE5AA9">
            <w:pPr>
              <w:widowControl/>
              <w:spacing w:before="120"/>
              <w:rPr>
                <w:b/>
                <w:bCs/>
                <w:sz w:val="24"/>
              </w:rPr>
            </w:pPr>
          </w:p>
        </w:tc>
      </w:tr>
      <w:tr w:rsidR="009B3794" w:rsidRPr="00015505" w:rsidTr="00CA3DA6">
        <w:tc>
          <w:tcPr>
            <w:tcW w:w="1430" w:type="dxa"/>
          </w:tcPr>
          <w:p w:rsidR="009B3794" w:rsidRPr="00015505" w:rsidRDefault="009B3794" w:rsidP="00CE5AA9">
            <w:pPr>
              <w:spacing w:before="120"/>
              <w:rPr>
                <w:sz w:val="24"/>
              </w:rPr>
            </w:pPr>
            <w:r w:rsidRPr="00015505">
              <w:rPr>
                <w:sz w:val="24"/>
              </w:rPr>
              <w:t xml:space="preserve">Physicians </w:t>
            </w:r>
          </w:p>
        </w:tc>
        <w:tc>
          <w:tcPr>
            <w:tcW w:w="1330" w:type="dxa"/>
          </w:tcPr>
          <w:p w:rsidR="009B3794" w:rsidRPr="00015505" w:rsidRDefault="00A91BFC" w:rsidP="00CE5AA9">
            <w:pPr>
              <w:spacing w:before="120"/>
              <w:rPr>
                <w:sz w:val="24"/>
              </w:rPr>
            </w:pPr>
            <w:r>
              <w:rPr>
                <w:sz w:val="24"/>
              </w:rPr>
              <w:t>15</w:t>
            </w:r>
          </w:p>
        </w:tc>
        <w:tc>
          <w:tcPr>
            <w:tcW w:w="1429" w:type="dxa"/>
          </w:tcPr>
          <w:p w:rsidR="009B3794" w:rsidRPr="00015505" w:rsidRDefault="009B3794" w:rsidP="00713735">
            <w:pPr>
              <w:spacing w:before="120"/>
              <w:jc w:val="right"/>
              <w:rPr>
                <w:sz w:val="24"/>
              </w:rPr>
            </w:pPr>
            <w:r w:rsidRPr="00015505">
              <w:rPr>
                <w:sz w:val="24"/>
              </w:rPr>
              <w:t xml:space="preserve"> $</w:t>
            </w:r>
            <w:r w:rsidR="00713735">
              <w:rPr>
                <w:sz w:val="24"/>
              </w:rPr>
              <w:t>85.77</w:t>
            </w:r>
            <w:r w:rsidRPr="00015505">
              <w:rPr>
                <w:sz w:val="24"/>
              </w:rPr>
              <w:t xml:space="preserve"> </w:t>
            </w:r>
          </w:p>
        </w:tc>
        <w:tc>
          <w:tcPr>
            <w:tcW w:w="1776" w:type="dxa"/>
          </w:tcPr>
          <w:p w:rsidR="009B3794" w:rsidRPr="00015505" w:rsidRDefault="009B3794" w:rsidP="00A91BFC">
            <w:pPr>
              <w:spacing w:before="120"/>
              <w:jc w:val="right"/>
              <w:rPr>
                <w:sz w:val="24"/>
              </w:rPr>
            </w:pPr>
            <w:r w:rsidRPr="00015505">
              <w:rPr>
                <w:sz w:val="24"/>
              </w:rPr>
              <w:t xml:space="preserve"> $</w:t>
            </w:r>
            <w:r w:rsidR="00A91BFC">
              <w:rPr>
                <w:sz w:val="24"/>
              </w:rPr>
              <w:t>1286.55</w:t>
            </w:r>
          </w:p>
        </w:tc>
      </w:tr>
      <w:tr w:rsidR="009B3794" w:rsidRPr="00015505" w:rsidTr="00CA3DA6">
        <w:trPr>
          <w:trHeight w:val="440"/>
        </w:trPr>
        <w:tc>
          <w:tcPr>
            <w:tcW w:w="1430" w:type="dxa"/>
          </w:tcPr>
          <w:p w:rsidR="009B3794" w:rsidRPr="00015505" w:rsidRDefault="009B3794" w:rsidP="00CE5AA9">
            <w:pPr>
              <w:widowControl/>
              <w:spacing w:before="120"/>
              <w:rPr>
                <w:sz w:val="24"/>
              </w:rPr>
            </w:pPr>
            <w:r w:rsidRPr="00015505">
              <w:rPr>
                <w:sz w:val="24"/>
              </w:rPr>
              <w:t>Total</w:t>
            </w:r>
          </w:p>
        </w:tc>
        <w:tc>
          <w:tcPr>
            <w:tcW w:w="1330" w:type="dxa"/>
          </w:tcPr>
          <w:p w:rsidR="009B3794" w:rsidRPr="00015505" w:rsidRDefault="009B3794" w:rsidP="00CE5AA9">
            <w:pPr>
              <w:widowControl/>
              <w:spacing w:before="120"/>
              <w:rPr>
                <w:sz w:val="24"/>
              </w:rPr>
            </w:pPr>
          </w:p>
        </w:tc>
        <w:tc>
          <w:tcPr>
            <w:tcW w:w="1429" w:type="dxa"/>
          </w:tcPr>
          <w:p w:rsidR="009B3794" w:rsidRPr="00015505" w:rsidRDefault="009B3794" w:rsidP="00CE5AA9">
            <w:pPr>
              <w:widowControl/>
              <w:spacing w:before="120"/>
              <w:jc w:val="right"/>
              <w:rPr>
                <w:sz w:val="24"/>
              </w:rPr>
            </w:pPr>
          </w:p>
        </w:tc>
        <w:tc>
          <w:tcPr>
            <w:tcW w:w="1776" w:type="dxa"/>
          </w:tcPr>
          <w:p w:rsidR="009B3794" w:rsidRPr="00015505" w:rsidRDefault="009B3794" w:rsidP="00A91BFC">
            <w:pPr>
              <w:widowControl/>
              <w:spacing w:before="120"/>
              <w:jc w:val="right"/>
              <w:rPr>
                <w:sz w:val="24"/>
              </w:rPr>
            </w:pPr>
            <w:r w:rsidRPr="00015505">
              <w:rPr>
                <w:sz w:val="24"/>
              </w:rPr>
              <w:t>$</w:t>
            </w:r>
            <w:r w:rsidR="00A91BFC">
              <w:rPr>
                <w:sz w:val="24"/>
              </w:rPr>
              <w:t>1286.55</w:t>
            </w:r>
          </w:p>
        </w:tc>
      </w:tr>
    </w:tbl>
    <w:p w:rsidR="00E33E9B" w:rsidRDefault="00E33E9B" w:rsidP="00713735">
      <w:pPr>
        <w:widowControl/>
        <w:spacing w:before="120"/>
        <w:ind w:left="270"/>
        <w:rPr>
          <w:sz w:val="24"/>
        </w:rPr>
      </w:pPr>
    </w:p>
    <w:p w:rsidR="00713735" w:rsidRDefault="00713735" w:rsidP="00713735">
      <w:pPr>
        <w:widowControl/>
        <w:spacing w:before="120"/>
        <w:ind w:left="270"/>
        <w:rPr>
          <w:sz w:val="24"/>
        </w:rPr>
      </w:pPr>
      <w:r w:rsidRPr="00382571">
        <w:rPr>
          <w:sz w:val="24"/>
        </w:rPr>
        <w:lastRenderedPageBreak/>
        <w:t>The wage rate used in the Estimated Annualized Burden Costs table was the average of the mean family medicine, internal medicine, and pediatric wages listed on the Department of Labor website since these three groups of medical personnel will be responding to the PCFDI surveys.</w:t>
      </w:r>
    </w:p>
    <w:p w:rsidR="00AB003E" w:rsidRDefault="00AB003E" w:rsidP="00713735">
      <w:pPr>
        <w:widowControl/>
        <w:spacing w:before="120"/>
        <w:ind w:left="270"/>
        <w:rPr>
          <w:sz w:val="24"/>
        </w:rPr>
      </w:pPr>
    </w:p>
    <w:p w:rsidR="009B3794" w:rsidRPr="00713735" w:rsidRDefault="009B3794" w:rsidP="00CA3DA6">
      <w:pPr>
        <w:numPr>
          <w:ilvl w:val="0"/>
          <w:numId w:val="2"/>
        </w:numPr>
        <w:tabs>
          <w:tab w:val="clear" w:pos="1080"/>
          <w:tab w:val="num" w:pos="360"/>
        </w:tabs>
        <w:spacing w:before="240"/>
        <w:ind w:left="360"/>
        <w:rPr>
          <w:b/>
          <w:sz w:val="24"/>
        </w:rPr>
      </w:pPr>
      <w:r>
        <w:rPr>
          <w:b/>
          <w:sz w:val="24"/>
          <w:u w:val="single"/>
        </w:rPr>
        <w:t xml:space="preserve">Estimates of other Total Annual Cost Burden to Respondents or </w:t>
      </w:r>
      <w:proofErr w:type="spellStart"/>
      <w:r>
        <w:rPr>
          <w:b/>
          <w:sz w:val="24"/>
          <w:u w:val="single"/>
        </w:rPr>
        <w:t>Recordkeepers</w:t>
      </w:r>
      <w:proofErr w:type="spellEnd"/>
      <w:r>
        <w:rPr>
          <w:b/>
          <w:sz w:val="24"/>
          <w:u w:val="single"/>
        </w:rPr>
        <w:t>/Capital Costs</w:t>
      </w:r>
    </w:p>
    <w:p w:rsidR="00713735" w:rsidRPr="003930C3" w:rsidRDefault="00713735" w:rsidP="00713735">
      <w:pPr>
        <w:spacing w:before="240"/>
        <w:ind w:left="360"/>
        <w:rPr>
          <w:sz w:val="24"/>
        </w:rPr>
      </w:pPr>
      <w:r w:rsidRPr="00382571">
        <w:rPr>
          <w:sz w:val="24"/>
        </w:rPr>
        <w:t xml:space="preserve">The only </w:t>
      </w:r>
      <w:r w:rsidR="003930C3" w:rsidRPr="00382571">
        <w:rPr>
          <w:sz w:val="24"/>
        </w:rPr>
        <w:t>associated cost to respondents is their time to provide the requested information.</w:t>
      </w:r>
    </w:p>
    <w:p w:rsidR="009B3794" w:rsidRDefault="009B3794" w:rsidP="00CA3DA6">
      <w:pPr>
        <w:numPr>
          <w:ilvl w:val="0"/>
          <w:numId w:val="2"/>
        </w:numPr>
        <w:tabs>
          <w:tab w:val="clear" w:pos="1080"/>
          <w:tab w:val="num" w:pos="360"/>
        </w:tabs>
        <w:spacing w:before="240"/>
        <w:ind w:left="360"/>
        <w:rPr>
          <w:b/>
          <w:sz w:val="24"/>
        </w:rPr>
      </w:pPr>
      <w:r>
        <w:rPr>
          <w:b/>
          <w:sz w:val="24"/>
          <w:u w:val="single"/>
        </w:rPr>
        <w:t>Annualized Cost to Federal Government</w:t>
      </w:r>
    </w:p>
    <w:p w:rsidR="003930C3" w:rsidRDefault="003930C3" w:rsidP="003930C3">
      <w:pPr>
        <w:pStyle w:val="BodyTextIndent"/>
        <w:spacing w:before="120"/>
        <w:ind w:left="360"/>
        <w:rPr>
          <w:rFonts w:ascii="Times New Roman" w:hAnsi="Times New Roman"/>
        </w:rPr>
      </w:pPr>
      <w:r w:rsidRPr="00382571">
        <w:rPr>
          <w:rFonts w:ascii="Times New Roman" w:hAnsi="Times New Roman"/>
        </w:rPr>
        <w:t xml:space="preserve">The survey instruments are one aspect of the PCFDI initiative.  The creation, administration, and analysis of the survey instruments </w:t>
      </w:r>
      <w:proofErr w:type="gramStart"/>
      <w:r w:rsidRPr="00382571">
        <w:rPr>
          <w:rFonts w:ascii="Times New Roman" w:hAnsi="Times New Roman"/>
        </w:rPr>
        <w:t>is</w:t>
      </w:r>
      <w:proofErr w:type="gramEnd"/>
      <w:r w:rsidRPr="00382571">
        <w:rPr>
          <w:rFonts w:ascii="Times New Roman" w:hAnsi="Times New Roman"/>
        </w:rPr>
        <w:t xml:space="preserve"> estimated to be $</w:t>
      </w:r>
      <w:r w:rsidR="00AD5448" w:rsidRPr="00382571">
        <w:rPr>
          <w:rFonts w:ascii="Times New Roman" w:hAnsi="Times New Roman"/>
        </w:rPr>
        <w:t>67,000.00</w:t>
      </w:r>
      <w:r w:rsidRPr="00382571">
        <w:rPr>
          <w:rFonts w:ascii="Times New Roman" w:hAnsi="Times New Roman"/>
        </w:rPr>
        <w:t>/year.  The review and overview of the survey instruments by the government contracting officer representative will be equal to approximately 15 hours at an hourly rate of $46.93, for a total of $1395.00.  The estimated annualized cost to the government is $</w:t>
      </w:r>
      <w:r w:rsidR="00AD5448" w:rsidRPr="00382571">
        <w:rPr>
          <w:rFonts w:ascii="Times New Roman" w:hAnsi="Times New Roman"/>
        </w:rPr>
        <w:t>68,395.00</w:t>
      </w:r>
      <w:r w:rsidRPr="00382571">
        <w:rPr>
          <w:rFonts w:ascii="Times New Roman" w:hAnsi="Times New Roman"/>
        </w:rPr>
        <w:t>.</w:t>
      </w:r>
      <w:r>
        <w:rPr>
          <w:rFonts w:ascii="Times New Roman" w:hAnsi="Times New Roman"/>
        </w:rPr>
        <w:t xml:space="preserve"> </w:t>
      </w:r>
    </w:p>
    <w:p w:rsidR="009B3794" w:rsidRDefault="009B3794" w:rsidP="00CA3DA6">
      <w:pPr>
        <w:numPr>
          <w:ilvl w:val="0"/>
          <w:numId w:val="2"/>
        </w:numPr>
        <w:tabs>
          <w:tab w:val="clear" w:pos="1080"/>
          <w:tab w:val="num" w:pos="360"/>
        </w:tabs>
        <w:spacing w:before="240"/>
        <w:ind w:left="360"/>
        <w:rPr>
          <w:b/>
          <w:sz w:val="24"/>
        </w:rPr>
      </w:pPr>
      <w:r>
        <w:rPr>
          <w:b/>
          <w:sz w:val="24"/>
          <w:u w:val="single"/>
        </w:rPr>
        <w:t>Explanation for Program Changes or Adjustments</w:t>
      </w:r>
    </w:p>
    <w:p w:rsidR="003930C3" w:rsidRDefault="003930C3" w:rsidP="00CA3DA6">
      <w:pPr>
        <w:pStyle w:val="BodyTextIndent"/>
        <w:spacing w:before="120"/>
        <w:ind w:left="360"/>
        <w:rPr>
          <w:rFonts w:ascii="Times New Roman" w:hAnsi="Times New Roman"/>
        </w:rPr>
      </w:pPr>
      <w:r w:rsidRPr="00382571">
        <w:rPr>
          <w:rFonts w:ascii="Times New Roman" w:hAnsi="Times New Roman"/>
        </w:rPr>
        <w:t>This is a new data collection.</w:t>
      </w:r>
    </w:p>
    <w:p w:rsidR="009B3794" w:rsidRDefault="009B3794" w:rsidP="00CA3DA6">
      <w:pPr>
        <w:numPr>
          <w:ilvl w:val="0"/>
          <w:numId w:val="2"/>
        </w:numPr>
        <w:tabs>
          <w:tab w:val="clear" w:pos="1080"/>
          <w:tab w:val="num" w:pos="360"/>
        </w:tabs>
        <w:spacing w:before="240"/>
        <w:ind w:left="360"/>
        <w:rPr>
          <w:b/>
          <w:sz w:val="24"/>
        </w:rPr>
      </w:pPr>
      <w:r>
        <w:rPr>
          <w:b/>
          <w:sz w:val="24"/>
          <w:u w:val="single"/>
        </w:rPr>
        <w:t>Plans for Tabulation</w:t>
      </w:r>
      <w:r w:rsidR="002118B4">
        <w:rPr>
          <w:b/>
          <w:sz w:val="24"/>
          <w:u w:val="single"/>
        </w:rPr>
        <w:t xml:space="preserve">, </w:t>
      </w:r>
      <w:r>
        <w:rPr>
          <w:b/>
          <w:sz w:val="24"/>
          <w:u w:val="single"/>
        </w:rPr>
        <w:t>Publication</w:t>
      </w:r>
      <w:r w:rsidR="002118B4">
        <w:rPr>
          <w:b/>
          <w:sz w:val="24"/>
          <w:u w:val="single"/>
        </w:rPr>
        <w:t>,</w:t>
      </w:r>
      <w:r>
        <w:rPr>
          <w:b/>
          <w:sz w:val="24"/>
          <w:u w:val="single"/>
        </w:rPr>
        <w:t xml:space="preserve"> and Project Time Schedule</w:t>
      </w:r>
    </w:p>
    <w:p w:rsidR="00AB003E" w:rsidRDefault="001E6716" w:rsidP="00CA3DA6">
      <w:pPr>
        <w:spacing w:before="120"/>
        <w:ind w:left="360"/>
        <w:rPr>
          <w:sz w:val="24"/>
        </w:rPr>
      </w:pPr>
      <w:r w:rsidRPr="00382571">
        <w:rPr>
          <w:sz w:val="24"/>
        </w:rPr>
        <w:t xml:space="preserve">Data collection for </w:t>
      </w:r>
      <w:r w:rsidR="00C6283B" w:rsidRPr="00382571">
        <w:rPr>
          <w:sz w:val="24"/>
        </w:rPr>
        <w:t xml:space="preserve">Irvine’s </w:t>
      </w:r>
      <w:r w:rsidR="00AD5448" w:rsidRPr="00382571">
        <w:rPr>
          <w:sz w:val="24"/>
        </w:rPr>
        <w:t xml:space="preserve">Leadership Behavior Survey and the Faculty Skill &amp; Program Feasibility Survey </w:t>
      </w:r>
      <w:r w:rsidR="00AB003E">
        <w:rPr>
          <w:sz w:val="24"/>
        </w:rPr>
        <w:t xml:space="preserve">will occur one time only and </w:t>
      </w:r>
      <w:r w:rsidR="00181DDE" w:rsidRPr="00382571">
        <w:rPr>
          <w:sz w:val="24"/>
        </w:rPr>
        <w:t xml:space="preserve">is planned for </w:t>
      </w:r>
      <w:r w:rsidR="0072598B" w:rsidRPr="00382571">
        <w:rPr>
          <w:sz w:val="24"/>
        </w:rPr>
        <w:t xml:space="preserve">November of 2013. </w:t>
      </w:r>
      <w:r w:rsidR="00AB003E">
        <w:rPr>
          <w:sz w:val="24"/>
        </w:rPr>
        <w:t xml:space="preserve"> </w:t>
      </w:r>
      <w:r w:rsidR="00005EDF" w:rsidRPr="00382571">
        <w:rPr>
          <w:sz w:val="24"/>
        </w:rPr>
        <w:t>The percent of participants who responded to each of the survey questions will be aggregated and used to assess the impact of the</w:t>
      </w:r>
      <w:r w:rsidR="00005EDF" w:rsidRPr="00382571">
        <w:rPr>
          <w:rFonts w:ascii="Arial" w:hAnsi="Arial"/>
          <w:sz w:val="24"/>
        </w:rPr>
        <w:t xml:space="preserve"> </w:t>
      </w:r>
      <w:r w:rsidR="00005EDF" w:rsidRPr="00382571">
        <w:rPr>
          <w:sz w:val="24"/>
        </w:rPr>
        <w:t xml:space="preserve">training on </w:t>
      </w:r>
      <w:r w:rsidR="00713799" w:rsidRPr="00382571">
        <w:rPr>
          <w:sz w:val="24"/>
        </w:rPr>
        <w:t>the</w:t>
      </w:r>
      <w:r w:rsidR="00005EDF" w:rsidRPr="00382571">
        <w:rPr>
          <w:sz w:val="24"/>
        </w:rPr>
        <w:t xml:space="preserve"> ability</w:t>
      </w:r>
      <w:r w:rsidR="0072598B" w:rsidRPr="00382571">
        <w:rPr>
          <w:sz w:val="24"/>
        </w:rPr>
        <w:t xml:space="preserve"> of participants to make changes in their practices and residencies and their perception of skill development</w:t>
      </w:r>
      <w:r w:rsidR="00713799" w:rsidRPr="00382571">
        <w:rPr>
          <w:rFonts w:ascii="Arial" w:hAnsi="Arial"/>
          <w:sz w:val="22"/>
          <w:szCs w:val="22"/>
        </w:rPr>
        <w:t xml:space="preserve">. </w:t>
      </w:r>
      <w:r w:rsidR="00AB003E">
        <w:rPr>
          <w:rFonts w:ascii="Arial" w:hAnsi="Arial"/>
          <w:sz w:val="22"/>
          <w:szCs w:val="22"/>
        </w:rPr>
        <w:t xml:space="preserve"> </w:t>
      </w:r>
      <w:r w:rsidR="00713799" w:rsidRPr="00382571">
        <w:rPr>
          <w:sz w:val="24"/>
        </w:rPr>
        <w:t>The results of the survey instruments will be sent to HRSA in the final summative report</w:t>
      </w:r>
      <w:r w:rsidR="0072598B" w:rsidRPr="00382571">
        <w:rPr>
          <w:sz w:val="24"/>
        </w:rPr>
        <w:t xml:space="preserve"> in February of 2014.  </w:t>
      </w:r>
      <w:r w:rsidR="00C6283B" w:rsidRPr="00382571">
        <w:rPr>
          <w:sz w:val="24"/>
        </w:rPr>
        <w:t>The findings from the overall PCFDI project including aggregate</w:t>
      </w:r>
      <w:r w:rsidRPr="00382571">
        <w:rPr>
          <w:sz w:val="24"/>
        </w:rPr>
        <w:t>d</w:t>
      </w:r>
      <w:r w:rsidR="00C6283B" w:rsidRPr="00382571">
        <w:rPr>
          <w:sz w:val="24"/>
        </w:rPr>
        <w:t xml:space="preserve"> data from surveys will be submitted for publication in medical education journals for the purpose of improving future faculty development projects to better train the primary care workforce.</w:t>
      </w:r>
      <w:r w:rsidRPr="00382571">
        <w:rPr>
          <w:sz w:val="24"/>
        </w:rPr>
        <w:t xml:space="preserve"> </w:t>
      </w:r>
      <w:r w:rsidR="00E33E9B">
        <w:rPr>
          <w:sz w:val="24"/>
        </w:rPr>
        <w:t xml:space="preserve"> </w:t>
      </w:r>
      <w:r w:rsidRPr="00382571">
        <w:rPr>
          <w:sz w:val="24"/>
        </w:rPr>
        <w:t>This project will not use sampling, imputation, or other statistical estimation techniques.  The time schedule for the entire project is as stated in contract HHSH250201200023C</w:t>
      </w:r>
      <w:r w:rsidR="00AB003E" w:rsidRPr="00382571">
        <w:rPr>
          <w:sz w:val="24"/>
        </w:rPr>
        <w:t>.</w:t>
      </w:r>
    </w:p>
    <w:p w:rsidR="009B3794" w:rsidRPr="002A6BB1" w:rsidRDefault="009B3794" w:rsidP="00CA3DA6">
      <w:pPr>
        <w:numPr>
          <w:ilvl w:val="0"/>
          <w:numId w:val="2"/>
        </w:numPr>
        <w:tabs>
          <w:tab w:val="clear" w:pos="1080"/>
          <w:tab w:val="num" w:pos="360"/>
        </w:tabs>
        <w:spacing w:before="240"/>
        <w:ind w:left="360"/>
        <w:rPr>
          <w:b/>
          <w:sz w:val="24"/>
        </w:rPr>
      </w:pPr>
      <w:r>
        <w:rPr>
          <w:b/>
          <w:sz w:val="24"/>
          <w:u w:val="single"/>
        </w:rPr>
        <w:t>Reason(s) Display of OMB Expiration Date is Inappropriate</w:t>
      </w:r>
    </w:p>
    <w:p w:rsidR="002A6BB1" w:rsidRPr="00B5682B" w:rsidRDefault="002A6BB1" w:rsidP="002A6BB1">
      <w:pPr>
        <w:spacing w:before="240"/>
        <w:ind w:left="360"/>
        <w:rPr>
          <w:sz w:val="24"/>
        </w:rPr>
      </w:pPr>
      <w:r w:rsidRPr="00382571">
        <w:rPr>
          <w:sz w:val="24"/>
        </w:rPr>
        <w:t>No exemption is being requested.  The expiration date will be displayed.</w:t>
      </w:r>
      <w:r w:rsidRPr="00B5682B">
        <w:rPr>
          <w:sz w:val="24"/>
        </w:rPr>
        <w:t xml:space="preserve">  </w:t>
      </w:r>
    </w:p>
    <w:p w:rsidR="009B3794" w:rsidRPr="00B5682B" w:rsidRDefault="009B3794" w:rsidP="00CA3DA6">
      <w:pPr>
        <w:numPr>
          <w:ilvl w:val="0"/>
          <w:numId w:val="2"/>
        </w:numPr>
        <w:tabs>
          <w:tab w:val="clear" w:pos="1080"/>
          <w:tab w:val="num" w:pos="360"/>
        </w:tabs>
        <w:spacing w:before="240"/>
        <w:ind w:left="360"/>
        <w:rPr>
          <w:b/>
          <w:sz w:val="24"/>
        </w:rPr>
      </w:pPr>
      <w:r>
        <w:rPr>
          <w:b/>
          <w:sz w:val="24"/>
          <w:u w:val="single"/>
        </w:rPr>
        <w:t>Exceptions to Certification for Paperwork Reduction Act Submissions</w:t>
      </w:r>
    </w:p>
    <w:p w:rsidR="00B5682B" w:rsidRPr="00B5682B" w:rsidRDefault="00B5682B" w:rsidP="00B5682B">
      <w:pPr>
        <w:spacing w:before="240"/>
        <w:ind w:left="360"/>
        <w:rPr>
          <w:sz w:val="24"/>
        </w:rPr>
      </w:pPr>
      <w:r w:rsidRPr="00382571">
        <w:rPr>
          <w:sz w:val="24"/>
        </w:rPr>
        <w:t>There are no exceptions to the certification.</w:t>
      </w:r>
    </w:p>
    <w:p w:rsidR="00943768" w:rsidRDefault="00943768">
      <w:pPr>
        <w:widowControl/>
        <w:autoSpaceDE/>
        <w:autoSpaceDN/>
        <w:adjustRightInd/>
        <w:rPr>
          <w:b/>
          <w:sz w:val="24"/>
        </w:rPr>
      </w:pPr>
    </w:p>
    <w:sectPr w:rsidR="00943768" w:rsidSect="001D4856">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D66" w:rsidRDefault="00195D66">
      <w:r>
        <w:separator/>
      </w:r>
    </w:p>
  </w:endnote>
  <w:endnote w:type="continuationSeparator" w:id="0">
    <w:p w:rsidR="00195D66" w:rsidRDefault="0019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D66" w:rsidRDefault="00195D66">
      <w:r>
        <w:separator/>
      </w:r>
    </w:p>
  </w:footnote>
  <w:footnote w:type="continuationSeparator" w:id="0">
    <w:p w:rsidR="00195D66" w:rsidRDefault="00195D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6">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9">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6">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4">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5">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2">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2"/>
  </w:num>
  <w:num w:numId="2">
    <w:abstractNumId w:val="21"/>
  </w:num>
  <w:num w:numId="3">
    <w:abstractNumId w:val="14"/>
  </w:num>
  <w:num w:numId="4">
    <w:abstractNumId w:val="38"/>
  </w:num>
  <w:num w:numId="5">
    <w:abstractNumId w:val="41"/>
  </w:num>
  <w:num w:numId="6">
    <w:abstractNumId w:val="9"/>
  </w:num>
  <w:num w:numId="7">
    <w:abstractNumId w:val="34"/>
  </w:num>
  <w:num w:numId="8">
    <w:abstractNumId w:val="17"/>
  </w:num>
  <w:num w:numId="9">
    <w:abstractNumId w:val="25"/>
  </w:num>
  <w:num w:numId="10">
    <w:abstractNumId w:val="19"/>
  </w:num>
  <w:num w:numId="11">
    <w:abstractNumId w:val="8"/>
  </w:num>
  <w:num w:numId="12">
    <w:abstractNumId w:val="24"/>
  </w:num>
  <w:num w:numId="13">
    <w:abstractNumId w:val="20"/>
  </w:num>
  <w:num w:numId="14">
    <w:abstractNumId w:val="22"/>
  </w:num>
  <w:num w:numId="15">
    <w:abstractNumId w:val="7"/>
  </w:num>
  <w:num w:numId="16">
    <w:abstractNumId w:val="0"/>
  </w:num>
  <w:num w:numId="17">
    <w:abstractNumId w:val="1"/>
  </w:num>
  <w:num w:numId="18">
    <w:abstractNumId w:val="15"/>
  </w:num>
  <w:num w:numId="19">
    <w:abstractNumId w:val="33"/>
  </w:num>
  <w:num w:numId="20">
    <w:abstractNumId w:val="31"/>
  </w:num>
  <w:num w:numId="21">
    <w:abstractNumId w:val="18"/>
  </w:num>
  <w:num w:numId="22">
    <w:abstractNumId w:val="37"/>
  </w:num>
  <w:num w:numId="23">
    <w:abstractNumId w:val="29"/>
  </w:num>
  <w:num w:numId="24">
    <w:abstractNumId w:val="30"/>
  </w:num>
  <w:num w:numId="25">
    <w:abstractNumId w:val="40"/>
  </w:num>
  <w:num w:numId="26">
    <w:abstractNumId w:val="36"/>
  </w:num>
  <w:num w:numId="27">
    <w:abstractNumId w:val="3"/>
  </w:num>
  <w:num w:numId="28">
    <w:abstractNumId w:val="16"/>
  </w:num>
  <w:num w:numId="29">
    <w:abstractNumId w:val="39"/>
  </w:num>
  <w:num w:numId="30">
    <w:abstractNumId w:val="35"/>
  </w:num>
  <w:num w:numId="31">
    <w:abstractNumId w:val="32"/>
  </w:num>
  <w:num w:numId="32">
    <w:abstractNumId w:val="10"/>
  </w:num>
  <w:num w:numId="33">
    <w:abstractNumId w:val="2"/>
  </w:num>
  <w:num w:numId="34">
    <w:abstractNumId w:val="26"/>
  </w:num>
  <w:num w:numId="35">
    <w:abstractNumId w:val="12"/>
  </w:num>
  <w:num w:numId="36">
    <w:abstractNumId w:val="11"/>
  </w:num>
  <w:num w:numId="37">
    <w:abstractNumId w:val="13"/>
  </w:num>
  <w:num w:numId="38">
    <w:abstractNumId w:val="4"/>
  </w:num>
  <w:num w:numId="39">
    <w:abstractNumId w:val="28"/>
  </w:num>
  <w:num w:numId="40">
    <w:abstractNumId w:val="6"/>
  </w:num>
  <w:num w:numId="41">
    <w:abstractNumId w:val="27"/>
  </w:num>
  <w:num w:numId="42">
    <w:abstractNumId w:val="23"/>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05EDF"/>
    <w:rsid w:val="00015505"/>
    <w:rsid w:val="00027957"/>
    <w:rsid w:val="00044361"/>
    <w:rsid w:val="00050D09"/>
    <w:rsid w:val="001118D8"/>
    <w:rsid w:val="001325B2"/>
    <w:rsid w:val="001743B5"/>
    <w:rsid w:val="00180B60"/>
    <w:rsid w:val="00181DDE"/>
    <w:rsid w:val="00195D66"/>
    <w:rsid w:val="001D4856"/>
    <w:rsid w:val="001E6716"/>
    <w:rsid w:val="002118B4"/>
    <w:rsid w:val="002640E7"/>
    <w:rsid w:val="002A6BB1"/>
    <w:rsid w:val="002B7B53"/>
    <w:rsid w:val="002E4748"/>
    <w:rsid w:val="003076D1"/>
    <w:rsid w:val="00322313"/>
    <w:rsid w:val="00347F59"/>
    <w:rsid w:val="00382571"/>
    <w:rsid w:val="00391E16"/>
    <w:rsid w:val="003930C3"/>
    <w:rsid w:val="003A1ABA"/>
    <w:rsid w:val="003B507C"/>
    <w:rsid w:val="003D23B1"/>
    <w:rsid w:val="00472847"/>
    <w:rsid w:val="004746CA"/>
    <w:rsid w:val="00486788"/>
    <w:rsid w:val="00490720"/>
    <w:rsid w:val="004E687D"/>
    <w:rsid w:val="00503BAB"/>
    <w:rsid w:val="00512007"/>
    <w:rsid w:val="0056058A"/>
    <w:rsid w:val="005C13D7"/>
    <w:rsid w:val="005E1765"/>
    <w:rsid w:val="00622125"/>
    <w:rsid w:val="00624019"/>
    <w:rsid w:val="00634A3D"/>
    <w:rsid w:val="006665E8"/>
    <w:rsid w:val="00680D76"/>
    <w:rsid w:val="006A1316"/>
    <w:rsid w:val="006A6C24"/>
    <w:rsid w:val="006E0893"/>
    <w:rsid w:val="006E48E6"/>
    <w:rsid w:val="00713735"/>
    <w:rsid w:val="00713799"/>
    <w:rsid w:val="0072598B"/>
    <w:rsid w:val="00755AC1"/>
    <w:rsid w:val="007630D5"/>
    <w:rsid w:val="00784881"/>
    <w:rsid w:val="007C007C"/>
    <w:rsid w:val="007F047A"/>
    <w:rsid w:val="0088244E"/>
    <w:rsid w:val="008D2D67"/>
    <w:rsid w:val="008F6609"/>
    <w:rsid w:val="0090309A"/>
    <w:rsid w:val="00943768"/>
    <w:rsid w:val="009A4437"/>
    <w:rsid w:val="009B3794"/>
    <w:rsid w:val="009B7E4D"/>
    <w:rsid w:val="009E0D65"/>
    <w:rsid w:val="00A03008"/>
    <w:rsid w:val="00A04886"/>
    <w:rsid w:val="00A91BFC"/>
    <w:rsid w:val="00A92CAB"/>
    <w:rsid w:val="00AB003E"/>
    <w:rsid w:val="00AD44F5"/>
    <w:rsid w:val="00AD5448"/>
    <w:rsid w:val="00AE7154"/>
    <w:rsid w:val="00AF70B8"/>
    <w:rsid w:val="00AF75B6"/>
    <w:rsid w:val="00B15509"/>
    <w:rsid w:val="00B212DF"/>
    <w:rsid w:val="00B5327A"/>
    <w:rsid w:val="00B567C1"/>
    <w:rsid w:val="00B5682B"/>
    <w:rsid w:val="00B655C6"/>
    <w:rsid w:val="00B74290"/>
    <w:rsid w:val="00BA1A0C"/>
    <w:rsid w:val="00BC3601"/>
    <w:rsid w:val="00C478F3"/>
    <w:rsid w:val="00C6283B"/>
    <w:rsid w:val="00C74B86"/>
    <w:rsid w:val="00CA3DA6"/>
    <w:rsid w:val="00CB237E"/>
    <w:rsid w:val="00CC7E5F"/>
    <w:rsid w:val="00CD36E7"/>
    <w:rsid w:val="00CE5AA9"/>
    <w:rsid w:val="00D3691A"/>
    <w:rsid w:val="00D373FA"/>
    <w:rsid w:val="00D46313"/>
    <w:rsid w:val="00D74B86"/>
    <w:rsid w:val="00D92E1D"/>
    <w:rsid w:val="00D970C4"/>
    <w:rsid w:val="00DE3A45"/>
    <w:rsid w:val="00E203FA"/>
    <w:rsid w:val="00E33E9B"/>
    <w:rsid w:val="00E34A1F"/>
    <w:rsid w:val="00E962DB"/>
    <w:rsid w:val="00EB3FAF"/>
    <w:rsid w:val="00ED18EA"/>
    <w:rsid w:val="00EE529C"/>
    <w:rsid w:val="00F36866"/>
    <w:rsid w:val="00F4221E"/>
    <w:rsid w:val="00F80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PlainText">
    <w:name w:val="Plain Text"/>
    <w:basedOn w:val="Normal"/>
    <w:link w:val="PlainTextChar"/>
    <w:uiPriority w:val="99"/>
    <w:unhideWhenUsed/>
    <w:rsid w:val="00F36866"/>
    <w:pPr>
      <w:widowControl/>
      <w:autoSpaceDE/>
      <w:autoSpaceDN/>
      <w:adjustRightInd/>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F36866"/>
    <w:rPr>
      <w:rFonts w:ascii="Calibri" w:eastAsiaTheme="minorHAnsi" w:hAnsi="Calibri" w:cs="Consolas"/>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PlainText">
    <w:name w:val="Plain Text"/>
    <w:basedOn w:val="Normal"/>
    <w:link w:val="PlainTextChar"/>
    <w:uiPriority w:val="99"/>
    <w:unhideWhenUsed/>
    <w:rsid w:val="00F36866"/>
    <w:pPr>
      <w:widowControl/>
      <w:autoSpaceDE/>
      <w:autoSpaceDN/>
      <w:adjustRightInd/>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F36866"/>
    <w:rPr>
      <w:rFonts w:ascii="Calibri" w:eastAsiaTheme="minorHAns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03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Carraccio@abpeds.org" TargetMode="External"/><Relationship Id="rId4" Type="http://schemas.microsoft.com/office/2007/relationships/stylesWithEffects" Target="stylesWithEffects.xml"/><Relationship Id="rId9" Type="http://schemas.openxmlformats.org/officeDocument/2006/relationships/hyperlink" Target="mailto:eholmboe@abi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447CE-46D3-4634-B756-8D9096EEF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1561</Words>
  <Characters>9053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10593</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Jodi Duckhorn</cp:lastModifiedBy>
  <cp:revision>4</cp:revision>
  <cp:lastPrinted>2010-10-14T13:41:00Z</cp:lastPrinted>
  <dcterms:created xsi:type="dcterms:W3CDTF">2013-05-15T12:57:00Z</dcterms:created>
  <dcterms:modified xsi:type="dcterms:W3CDTF">2013-07-29T18:24:00Z</dcterms:modified>
</cp:coreProperties>
</file>