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60F" w:rsidRDefault="00A5660F" w:rsidP="00A5660F">
      <w:pPr>
        <w:jc w:val="center"/>
        <w:rPr>
          <w:sz w:val="24"/>
          <w:szCs w:val="24"/>
        </w:rPr>
      </w:pPr>
    </w:p>
    <w:p w:rsidR="00A5660F" w:rsidRDefault="00A5660F" w:rsidP="00A5660F">
      <w:pPr>
        <w:jc w:val="center"/>
        <w:rPr>
          <w:sz w:val="24"/>
          <w:szCs w:val="24"/>
        </w:rPr>
      </w:pPr>
    </w:p>
    <w:p w:rsidR="00A5660F" w:rsidRDefault="00A5660F" w:rsidP="00A5660F">
      <w:pPr>
        <w:jc w:val="center"/>
        <w:rPr>
          <w:sz w:val="24"/>
          <w:szCs w:val="24"/>
        </w:rPr>
      </w:pPr>
    </w:p>
    <w:p w:rsidR="00A5660F" w:rsidRDefault="00A5660F" w:rsidP="00A5660F">
      <w:pPr>
        <w:jc w:val="center"/>
        <w:rPr>
          <w:sz w:val="24"/>
          <w:szCs w:val="24"/>
        </w:rPr>
      </w:pPr>
    </w:p>
    <w:p w:rsidR="00A5660F" w:rsidRDefault="00A5660F" w:rsidP="00A5660F">
      <w:pPr>
        <w:jc w:val="center"/>
        <w:rPr>
          <w:rFonts w:ascii="Times New Roman" w:hAnsi="Times New Roman" w:cs="Times New Roman"/>
          <w:sz w:val="24"/>
          <w:szCs w:val="24"/>
        </w:rPr>
      </w:pPr>
      <w:r>
        <w:rPr>
          <w:rFonts w:ascii="Times New Roman" w:hAnsi="Times New Roman" w:cs="Times New Roman"/>
          <w:sz w:val="24"/>
          <w:szCs w:val="24"/>
        </w:rPr>
        <w:t>Marine Recreational Information Program</w:t>
      </w:r>
    </w:p>
    <w:p w:rsidR="00A5660F" w:rsidRDefault="00A5660F" w:rsidP="00A5660F">
      <w:pPr>
        <w:jc w:val="center"/>
        <w:rPr>
          <w:rFonts w:ascii="Times New Roman" w:hAnsi="Times New Roman" w:cs="Times New Roman"/>
          <w:sz w:val="24"/>
          <w:szCs w:val="24"/>
        </w:rPr>
      </w:pPr>
      <w:r>
        <w:rPr>
          <w:rFonts w:ascii="Times New Roman" w:hAnsi="Times New Roman" w:cs="Times New Roman"/>
          <w:sz w:val="24"/>
          <w:szCs w:val="24"/>
        </w:rPr>
        <w:t>Fishing Effort Survey</w:t>
      </w:r>
    </w:p>
    <w:p w:rsidR="00A5660F" w:rsidRDefault="00A5660F" w:rsidP="00A5660F">
      <w:pPr>
        <w:jc w:val="center"/>
        <w:rPr>
          <w:rFonts w:ascii="Times New Roman" w:hAnsi="Times New Roman" w:cs="Times New Roman"/>
          <w:sz w:val="24"/>
          <w:szCs w:val="24"/>
        </w:rPr>
      </w:pPr>
      <w:r>
        <w:rPr>
          <w:rFonts w:ascii="Times New Roman" w:hAnsi="Times New Roman" w:cs="Times New Roman"/>
          <w:sz w:val="24"/>
          <w:szCs w:val="24"/>
        </w:rPr>
        <w:t>Nonresponse Follow-up Study</w:t>
      </w:r>
    </w:p>
    <w:p w:rsidR="00443311" w:rsidRDefault="00A5660F" w:rsidP="00A5660F">
      <w:pPr>
        <w:pStyle w:val="Default"/>
      </w:pPr>
      <w:r>
        <w:t>9/26/2013</w:t>
      </w:r>
      <w:r>
        <w:br w:type="page"/>
      </w:r>
      <w:r w:rsidR="00443311">
        <w:lastRenderedPageBreak/>
        <w:t xml:space="preserve">The MRIP Fishing Effort Survey (MFES) was implemented in Massachusetts, New York, North Carolina and Florida in October, 2012 to test a revised data collection design for monitoring marine recreational fishing effort.  The survey, which collects information for two-month reference waves, included </w:t>
      </w:r>
      <w:r w:rsidR="004C06AE">
        <w:t xml:space="preserve">a follow-up </w:t>
      </w:r>
      <w:bookmarkStart w:id="0" w:name="_GoBack"/>
      <w:bookmarkEnd w:id="0"/>
      <w:r w:rsidR="004C06AE">
        <w:t xml:space="preserve">study to assess nonresponse bias in the MFES.  We also assessed nonresponse bias by comparing survey measures </w:t>
      </w:r>
      <w:r w:rsidR="00EF7A27">
        <w:t>between</w:t>
      </w:r>
      <w:r w:rsidR="004C06AE">
        <w:t xml:space="preserve"> early and late responders.  </w:t>
      </w:r>
      <w:r w:rsidR="00CB0781">
        <w:t>Details of these assessments are provided below.</w:t>
      </w:r>
    </w:p>
    <w:p w:rsidR="00CB0781" w:rsidRDefault="00CB0781" w:rsidP="00A5660F">
      <w:pPr>
        <w:pStyle w:val="Default"/>
      </w:pPr>
    </w:p>
    <w:p w:rsidR="00CB0781" w:rsidRPr="00C80A90" w:rsidRDefault="00CB0781" w:rsidP="00443311">
      <w:pPr>
        <w:pStyle w:val="Default"/>
        <w:rPr>
          <w:b/>
        </w:rPr>
      </w:pPr>
      <w:r w:rsidRPr="00C80A90">
        <w:rPr>
          <w:b/>
        </w:rPr>
        <w:t>Nonresponse Follow-up Study</w:t>
      </w:r>
    </w:p>
    <w:p w:rsidR="00CB0781" w:rsidRDefault="00CB0781" w:rsidP="00443311">
      <w:pPr>
        <w:pStyle w:val="Default"/>
      </w:pPr>
    </w:p>
    <w:p w:rsidR="00CB0781" w:rsidRDefault="00CB0781" w:rsidP="00CB0781">
      <w:pPr>
        <w:pStyle w:val="L1-FlLSp12"/>
        <w:spacing w:line="240" w:lineRule="auto"/>
        <w:rPr>
          <w:rFonts w:ascii="Times New Roman" w:hAnsi="Times New Roman"/>
        </w:rPr>
      </w:pPr>
      <w:r>
        <w:rPr>
          <w:rFonts w:ascii="Times New Roman" w:hAnsi="Times New Roman"/>
        </w:rPr>
        <w:t xml:space="preserve">Each wave, 400 </w:t>
      </w:r>
      <w:r w:rsidR="00723C67">
        <w:rPr>
          <w:rFonts w:ascii="Times New Roman" w:hAnsi="Times New Roman"/>
        </w:rPr>
        <w:t xml:space="preserve">total </w:t>
      </w:r>
      <w:proofErr w:type="spellStart"/>
      <w:r>
        <w:rPr>
          <w:rFonts w:ascii="Times New Roman" w:hAnsi="Times New Roman"/>
        </w:rPr>
        <w:t>nonrespondents</w:t>
      </w:r>
      <w:proofErr w:type="spellEnd"/>
      <w:r w:rsidR="00C80A90">
        <w:rPr>
          <w:rFonts w:ascii="Times New Roman" w:hAnsi="Times New Roman"/>
        </w:rPr>
        <w:t>, 320 from the Resident Angler Survey (RAS) and 80 from the Non-Resident Angler Survey (NAS),</w:t>
      </w:r>
      <w:r>
        <w:rPr>
          <w:rFonts w:ascii="Times New Roman" w:hAnsi="Times New Roman"/>
        </w:rPr>
        <w:t xml:space="preserve"> were sampled for the </w:t>
      </w:r>
      <w:r w:rsidR="00D954C7">
        <w:rPr>
          <w:rFonts w:ascii="Times New Roman" w:hAnsi="Times New Roman"/>
        </w:rPr>
        <w:t>Non-Response Follow-Up study (NRFU)</w:t>
      </w:r>
      <w:r w:rsidR="004F6F70">
        <w:rPr>
          <w:rFonts w:ascii="Times New Roman" w:hAnsi="Times New Roman"/>
        </w:rPr>
        <w:t>.</w:t>
      </w:r>
      <w:r>
        <w:rPr>
          <w:rFonts w:ascii="Times New Roman" w:hAnsi="Times New Roman"/>
        </w:rPr>
        <w:t xml:space="preserve">  Data collection for the study was initiated six weeks after the final contact </w:t>
      </w:r>
      <w:r w:rsidR="00EF7A27">
        <w:rPr>
          <w:rFonts w:ascii="Times New Roman" w:hAnsi="Times New Roman"/>
        </w:rPr>
        <w:t xml:space="preserve">for the </w:t>
      </w:r>
      <w:r w:rsidR="004F6F70">
        <w:rPr>
          <w:rFonts w:ascii="Times New Roman" w:hAnsi="Times New Roman"/>
        </w:rPr>
        <w:t>MFES</w:t>
      </w:r>
      <w:r>
        <w:rPr>
          <w:rFonts w:ascii="Times New Roman" w:hAnsi="Times New Roman"/>
        </w:rPr>
        <w:t xml:space="preserve"> with the delivery of an advanced letter via regular first-class mail.  Five days later, a survey packet, including a cover letter, questionnaire, post-paid return envelope and a $5.00 cash incentive was delivered via FedEx.  A thank you/reminder postcard was delivered eight days after the FedEx.</w:t>
      </w:r>
      <w:r w:rsidR="00D954C7">
        <w:rPr>
          <w:rFonts w:ascii="Times New Roman" w:hAnsi="Times New Roman"/>
        </w:rPr>
        <w:t xml:space="preserve">  </w:t>
      </w:r>
      <w:r w:rsidR="00B91E44">
        <w:rPr>
          <w:rFonts w:ascii="Times New Roman" w:hAnsi="Times New Roman"/>
        </w:rPr>
        <w:t xml:space="preserve">The </w:t>
      </w:r>
      <w:r w:rsidR="00DF1E70">
        <w:rPr>
          <w:rFonts w:ascii="Times New Roman" w:hAnsi="Times New Roman"/>
        </w:rPr>
        <w:t xml:space="preserve">NRFU </w:t>
      </w:r>
      <w:r w:rsidR="00B91E44">
        <w:rPr>
          <w:rFonts w:ascii="Times New Roman" w:hAnsi="Times New Roman"/>
        </w:rPr>
        <w:t>survey</w:t>
      </w:r>
      <w:r w:rsidR="00DF1E70">
        <w:rPr>
          <w:rFonts w:ascii="Times New Roman" w:hAnsi="Times New Roman"/>
        </w:rPr>
        <w:t xml:space="preserve"> instruments</w:t>
      </w:r>
      <w:r w:rsidR="00B91E44">
        <w:rPr>
          <w:rFonts w:ascii="Times New Roman" w:hAnsi="Times New Roman"/>
        </w:rPr>
        <w:t xml:space="preserve"> were identical to the instruments used for the MFES.  </w:t>
      </w:r>
      <w:r w:rsidR="00D954C7">
        <w:rPr>
          <w:rFonts w:ascii="Times New Roman" w:hAnsi="Times New Roman"/>
        </w:rPr>
        <w:t xml:space="preserve">To </w:t>
      </w:r>
      <w:r w:rsidR="00B91E44">
        <w:rPr>
          <w:rFonts w:ascii="Times New Roman" w:hAnsi="Times New Roman"/>
        </w:rPr>
        <w:t>date, four waves of the NRFU have been completed (Wave 5, 2012 – Wave 2, 2013).</w:t>
      </w:r>
    </w:p>
    <w:p w:rsidR="003218C9" w:rsidRDefault="003218C9" w:rsidP="00CB0781">
      <w:pPr>
        <w:pStyle w:val="L1-FlLSp12"/>
        <w:spacing w:line="240" w:lineRule="auto"/>
        <w:rPr>
          <w:rFonts w:ascii="Times New Roman" w:hAnsi="Times New Roman"/>
        </w:rPr>
      </w:pPr>
    </w:p>
    <w:p w:rsidR="003218C9" w:rsidRDefault="003218C9" w:rsidP="00CB0781">
      <w:pPr>
        <w:pStyle w:val="L1-FlLSp12"/>
        <w:spacing w:line="240" w:lineRule="auto"/>
        <w:rPr>
          <w:rFonts w:ascii="Times New Roman" w:hAnsi="Times New Roman"/>
        </w:rPr>
      </w:pPr>
      <w:r>
        <w:rPr>
          <w:rFonts w:ascii="Times New Roman" w:hAnsi="Times New Roman"/>
        </w:rPr>
        <w:t>Table 1 provides the initial sample sizes, number of completed interviews a</w:t>
      </w:r>
      <w:r w:rsidR="004F6F70">
        <w:rPr>
          <w:rFonts w:ascii="Times New Roman" w:hAnsi="Times New Roman"/>
        </w:rPr>
        <w:t>nd response rates for the NRFU.  Overall, 474 nonresponse interviews were completed for the RAS and 124</w:t>
      </w:r>
      <w:r w:rsidR="001C6291">
        <w:rPr>
          <w:rFonts w:ascii="Times New Roman" w:hAnsi="Times New Roman"/>
        </w:rPr>
        <w:t xml:space="preserve"> </w:t>
      </w:r>
      <w:r w:rsidR="00684C03">
        <w:rPr>
          <w:rFonts w:ascii="Times New Roman" w:hAnsi="Times New Roman"/>
        </w:rPr>
        <w:t xml:space="preserve">for NAS, resulting in </w:t>
      </w:r>
      <w:proofErr w:type="spellStart"/>
      <w:r w:rsidR="00684C03">
        <w:rPr>
          <w:rFonts w:ascii="Times New Roman" w:hAnsi="Times New Roman"/>
        </w:rPr>
        <w:t>unweighted</w:t>
      </w:r>
      <w:proofErr w:type="spellEnd"/>
      <w:r w:rsidR="00684C03">
        <w:rPr>
          <w:rFonts w:ascii="Times New Roman" w:hAnsi="Times New Roman"/>
        </w:rPr>
        <w:t xml:space="preserve"> response rates (AAPOR RR1) of 37% and</w:t>
      </w:r>
      <w:r w:rsidR="00B07AA0">
        <w:rPr>
          <w:rFonts w:ascii="Times New Roman" w:hAnsi="Times New Roman"/>
        </w:rPr>
        <w:t xml:space="preserve"> 38.8% </w:t>
      </w:r>
      <w:r w:rsidR="00684C03">
        <w:rPr>
          <w:rFonts w:ascii="Times New Roman" w:hAnsi="Times New Roman"/>
        </w:rPr>
        <w:t xml:space="preserve">for the </w:t>
      </w:r>
      <w:r w:rsidR="00B07AA0">
        <w:rPr>
          <w:rFonts w:ascii="Times New Roman" w:hAnsi="Times New Roman"/>
        </w:rPr>
        <w:t xml:space="preserve">respective </w:t>
      </w:r>
      <w:r w:rsidR="003003A9">
        <w:rPr>
          <w:rFonts w:ascii="Times New Roman" w:hAnsi="Times New Roman"/>
        </w:rPr>
        <w:t>samples</w:t>
      </w:r>
      <w:r w:rsidR="00684C03">
        <w:rPr>
          <w:rFonts w:ascii="Times New Roman" w:hAnsi="Times New Roman"/>
        </w:rPr>
        <w:t xml:space="preserve">.   </w:t>
      </w:r>
    </w:p>
    <w:p w:rsidR="003946A5" w:rsidRDefault="003946A5" w:rsidP="00CB0781">
      <w:pPr>
        <w:pStyle w:val="L1-FlLSp12"/>
        <w:spacing w:line="240" w:lineRule="auto"/>
        <w:rPr>
          <w:rFonts w:ascii="Times New Roman" w:hAnsi="Times New Roman"/>
        </w:rPr>
      </w:pPr>
    </w:p>
    <w:p w:rsidR="003946A5" w:rsidRDefault="003946A5" w:rsidP="00CB0781">
      <w:pPr>
        <w:pStyle w:val="L1-FlLSp12"/>
        <w:spacing w:line="240" w:lineRule="auto"/>
        <w:rPr>
          <w:rFonts w:ascii="Times New Roman" w:hAnsi="Times New Roman"/>
        </w:rPr>
      </w:pPr>
      <w:proofErr w:type="gramStart"/>
      <w:r>
        <w:rPr>
          <w:rFonts w:ascii="Times New Roman" w:hAnsi="Times New Roman"/>
        </w:rPr>
        <w:t>Table 1.</w:t>
      </w:r>
      <w:proofErr w:type="gramEnd"/>
      <w:r>
        <w:rPr>
          <w:rFonts w:ascii="Times New Roman" w:hAnsi="Times New Roman"/>
        </w:rPr>
        <w:t xml:space="preserve"> </w:t>
      </w:r>
      <w:proofErr w:type="gramStart"/>
      <w:r>
        <w:rPr>
          <w:rFonts w:ascii="Times New Roman" w:hAnsi="Times New Roman"/>
        </w:rPr>
        <w:t>Sample sizes, completed interviews and response rates by wave for the RAS and the NAS.</w:t>
      </w:r>
      <w:proofErr w:type="gramEnd"/>
    </w:p>
    <w:p w:rsidR="003946A5" w:rsidRDefault="003946A5" w:rsidP="00CB0781">
      <w:pPr>
        <w:pStyle w:val="L1-FlLSp12"/>
        <w:spacing w:line="240" w:lineRule="auto"/>
        <w:rPr>
          <w:rFonts w:ascii="Times New Roman" w:hAnsi="Times New Roman"/>
        </w:rPr>
      </w:pPr>
    </w:p>
    <w:tbl>
      <w:tblPr>
        <w:tblW w:w="8680" w:type="dxa"/>
        <w:tblInd w:w="93" w:type="dxa"/>
        <w:tblLook w:val="04A0" w:firstRow="1" w:lastRow="0" w:firstColumn="1" w:lastColumn="0" w:noHBand="0" w:noVBand="1"/>
      </w:tblPr>
      <w:tblGrid>
        <w:gridCol w:w="960"/>
        <w:gridCol w:w="1340"/>
        <w:gridCol w:w="1360"/>
        <w:gridCol w:w="1160"/>
        <w:gridCol w:w="1340"/>
        <w:gridCol w:w="1360"/>
        <w:gridCol w:w="1160"/>
      </w:tblGrid>
      <w:tr w:rsidR="004F6F70" w:rsidRPr="004F6F70" w:rsidTr="004F6F70">
        <w:trPr>
          <w:trHeight w:val="300"/>
        </w:trPr>
        <w:tc>
          <w:tcPr>
            <w:tcW w:w="960" w:type="dxa"/>
            <w:tcBorders>
              <w:top w:val="single" w:sz="4" w:space="0" w:color="auto"/>
              <w:left w:val="nil"/>
              <w:bottom w:val="nil"/>
              <w:right w:val="nil"/>
            </w:tcBorders>
            <w:shd w:val="clear" w:color="auto" w:fill="auto"/>
            <w:noWrap/>
            <w:vAlign w:val="bottom"/>
            <w:hideMark/>
          </w:tcPr>
          <w:p w:rsidR="004F6F70" w:rsidRPr="004F6F70" w:rsidRDefault="004F6F70" w:rsidP="004F6F70">
            <w:pPr>
              <w:spacing w:after="0" w:line="240" w:lineRule="auto"/>
              <w:rPr>
                <w:rFonts w:ascii="Calibri" w:eastAsia="Times New Roman" w:hAnsi="Calibri" w:cs="Times New Roman"/>
                <w:color w:val="000000"/>
              </w:rPr>
            </w:pPr>
            <w:r w:rsidRPr="004F6F70">
              <w:rPr>
                <w:rFonts w:ascii="Calibri" w:eastAsia="Times New Roman" w:hAnsi="Calibri" w:cs="Times New Roman"/>
                <w:color w:val="000000"/>
              </w:rPr>
              <w:t> </w:t>
            </w:r>
          </w:p>
        </w:tc>
        <w:tc>
          <w:tcPr>
            <w:tcW w:w="3860" w:type="dxa"/>
            <w:gridSpan w:val="3"/>
            <w:tcBorders>
              <w:top w:val="single" w:sz="4" w:space="0" w:color="auto"/>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Resident Angler Survey</w:t>
            </w:r>
          </w:p>
        </w:tc>
        <w:tc>
          <w:tcPr>
            <w:tcW w:w="3860" w:type="dxa"/>
            <w:gridSpan w:val="3"/>
            <w:tcBorders>
              <w:top w:val="single" w:sz="4" w:space="0" w:color="auto"/>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Non-Resident Angler Survey</w:t>
            </w:r>
          </w:p>
        </w:tc>
      </w:tr>
      <w:tr w:rsidR="004F6F70" w:rsidRPr="004F6F70" w:rsidTr="004F6F70">
        <w:trPr>
          <w:trHeight w:val="840"/>
        </w:trPr>
        <w:tc>
          <w:tcPr>
            <w:tcW w:w="96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State</w:t>
            </w:r>
          </w:p>
        </w:tc>
        <w:tc>
          <w:tcPr>
            <w:tcW w:w="1340" w:type="dxa"/>
            <w:tcBorders>
              <w:top w:val="nil"/>
              <w:left w:val="nil"/>
              <w:bottom w:val="nil"/>
              <w:right w:val="nil"/>
            </w:tcBorders>
            <w:shd w:val="clear" w:color="auto" w:fill="auto"/>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Sample Size</w:t>
            </w:r>
          </w:p>
        </w:tc>
        <w:tc>
          <w:tcPr>
            <w:tcW w:w="1360" w:type="dxa"/>
            <w:tcBorders>
              <w:top w:val="nil"/>
              <w:left w:val="nil"/>
              <w:bottom w:val="nil"/>
              <w:right w:val="nil"/>
            </w:tcBorders>
            <w:shd w:val="clear" w:color="auto" w:fill="auto"/>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Complete Interviews</w:t>
            </w:r>
          </w:p>
        </w:tc>
        <w:tc>
          <w:tcPr>
            <w:tcW w:w="1160" w:type="dxa"/>
            <w:tcBorders>
              <w:top w:val="nil"/>
              <w:left w:val="nil"/>
              <w:bottom w:val="nil"/>
              <w:right w:val="nil"/>
            </w:tcBorders>
            <w:shd w:val="clear" w:color="auto" w:fill="auto"/>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Response Rate</w:t>
            </w:r>
          </w:p>
        </w:tc>
        <w:tc>
          <w:tcPr>
            <w:tcW w:w="1340" w:type="dxa"/>
            <w:tcBorders>
              <w:top w:val="nil"/>
              <w:left w:val="nil"/>
              <w:bottom w:val="nil"/>
              <w:right w:val="nil"/>
            </w:tcBorders>
            <w:shd w:val="clear" w:color="auto" w:fill="auto"/>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Sample Size</w:t>
            </w:r>
          </w:p>
        </w:tc>
        <w:tc>
          <w:tcPr>
            <w:tcW w:w="1360" w:type="dxa"/>
            <w:tcBorders>
              <w:top w:val="nil"/>
              <w:left w:val="nil"/>
              <w:bottom w:val="nil"/>
              <w:right w:val="nil"/>
            </w:tcBorders>
            <w:shd w:val="clear" w:color="auto" w:fill="auto"/>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Complete Interviews</w:t>
            </w:r>
          </w:p>
        </w:tc>
        <w:tc>
          <w:tcPr>
            <w:tcW w:w="1160" w:type="dxa"/>
            <w:tcBorders>
              <w:top w:val="nil"/>
              <w:left w:val="nil"/>
              <w:bottom w:val="nil"/>
              <w:right w:val="nil"/>
            </w:tcBorders>
            <w:shd w:val="clear" w:color="auto" w:fill="auto"/>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Response Rate</w:t>
            </w:r>
          </w:p>
        </w:tc>
      </w:tr>
      <w:tr w:rsidR="004F6F70" w:rsidRPr="004F6F70" w:rsidTr="004F6F70">
        <w:trPr>
          <w:trHeight w:val="300"/>
        </w:trPr>
        <w:tc>
          <w:tcPr>
            <w:tcW w:w="960" w:type="dxa"/>
            <w:tcBorders>
              <w:top w:val="nil"/>
              <w:left w:val="nil"/>
              <w:bottom w:val="single" w:sz="4" w:space="0" w:color="auto"/>
              <w:right w:val="nil"/>
            </w:tcBorders>
            <w:shd w:val="clear" w:color="auto" w:fill="auto"/>
            <w:noWrap/>
            <w:vAlign w:val="bottom"/>
            <w:hideMark/>
          </w:tcPr>
          <w:p w:rsidR="004F6F70" w:rsidRPr="004F6F70" w:rsidRDefault="004F6F70" w:rsidP="004F6F70">
            <w:pPr>
              <w:spacing w:after="0" w:line="240" w:lineRule="auto"/>
              <w:rPr>
                <w:rFonts w:ascii="Calibri" w:eastAsia="Times New Roman" w:hAnsi="Calibri" w:cs="Times New Roman"/>
                <w:color w:val="000000"/>
              </w:rPr>
            </w:pPr>
            <w:r w:rsidRPr="004F6F70">
              <w:rPr>
                <w:rFonts w:ascii="Calibri" w:eastAsia="Times New Roman" w:hAnsi="Calibri" w:cs="Times New Roman"/>
                <w:color w:val="000000"/>
              </w:rPr>
              <w:t> </w:t>
            </w:r>
          </w:p>
        </w:tc>
        <w:tc>
          <w:tcPr>
            <w:tcW w:w="1340" w:type="dxa"/>
            <w:tcBorders>
              <w:top w:val="nil"/>
              <w:left w:val="nil"/>
              <w:bottom w:val="single" w:sz="4" w:space="0" w:color="auto"/>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(n)</w:t>
            </w:r>
          </w:p>
        </w:tc>
        <w:tc>
          <w:tcPr>
            <w:tcW w:w="1360" w:type="dxa"/>
            <w:tcBorders>
              <w:top w:val="nil"/>
              <w:left w:val="nil"/>
              <w:bottom w:val="single" w:sz="4" w:space="0" w:color="auto"/>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(n)</w:t>
            </w:r>
          </w:p>
        </w:tc>
        <w:tc>
          <w:tcPr>
            <w:tcW w:w="1160" w:type="dxa"/>
            <w:tcBorders>
              <w:top w:val="nil"/>
              <w:left w:val="nil"/>
              <w:bottom w:val="single" w:sz="4" w:space="0" w:color="auto"/>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w:t>
            </w:r>
          </w:p>
        </w:tc>
        <w:tc>
          <w:tcPr>
            <w:tcW w:w="1340" w:type="dxa"/>
            <w:tcBorders>
              <w:top w:val="nil"/>
              <w:left w:val="nil"/>
              <w:bottom w:val="single" w:sz="4" w:space="0" w:color="auto"/>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(n)</w:t>
            </w:r>
          </w:p>
        </w:tc>
        <w:tc>
          <w:tcPr>
            <w:tcW w:w="1360" w:type="dxa"/>
            <w:tcBorders>
              <w:top w:val="nil"/>
              <w:left w:val="nil"/>
              <w:bottom w:val="single" w:sz="4" w:space="0" w:color="auto"/>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(n)</w:t>
            </w:r>
          </w:p>
        </w:tc>
        <w:tc>
          <w:tcPr>
            <w:tcW w:w="1160" w:type="dxa"/>
            <w:tcBorders>
              <w:top w:val="nil"/>
              <w:left w:val="nil"/>
              <w:bottom w:val="single" w:sz="4" w:space="0" w:color="auto"/>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w:t>
            </w:r>
          </w:p>
        </w:tc>
      </w:tr>
      <w:tr w:rsidR="004F6F70" w:rsidRPr="004F6F70" w:rsidTr="004F6F70">
        <w:trPr>
          <w:trHeight w:val="300"/>
        </w:trPr>
        <w:tc>
          <w:tcPr>
            <w:tcW w:w="96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MA</w:t>
            </w:r>
          </w:p>
        </w:tc>
        <w:tc>
          <w:tcPr>
            <w:tcW w:w="134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293</w:t>
            </w:r>
          </w:p>
        </w:tc>
        <w:tc>
          <w:tcPr>
            <w:tcW w:w="136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119</w:t>
            </w:r>
          </w:p>
        </w:tc>
        <w:tc>
          <w:tcPr>
            <w:tcW w:w="116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40.6%</w:t>
            </w:r>
          </w:p>
        </w:tc>
        <w:tc>
          <w:tcPr>
            <w:tcW w:w="134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80</w:t>
            </w:r>
          </w:p>
        </w:tc>
        <w:tc>
          <w:tcPr>
            <w:tcW w:w="136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35</w:t>
            </w:r>
          </w:p>
        </w:tc>
        <w:tc>
          <w:tcPr>
            <w:tcW w:w="116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43.8%</w:t>
            </w:r>
          </w:p>
        </w:tc>
      </w:tr>
      <w:tr w:rsidR="004F6F70" w:rsidRPr="004F6F70" w:rsidTr="004F6F70">
        <w:trPr>
          <w:trHeight w:val="300"/>
        </w:trPr>
        <w:tc>
          <w:tcPr>
            <w:tcW w:w="96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NY</w:t>
            </w:r>
          </w:p>
        </w:tc>
        <w:tc>
          <w:tcPr>
            <w:tcW w:w="134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270</w:t>
            </w:r>
          </w:p>
        </w:tc>
        <w:tc>
          <w:tcPr>
            <w:tcW w:w="136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88</w:t>
            </w:r>
          </w:p>
        </w:tc>
        <w:tc>
          <w:tcPr>
            <w:tcW w:w="116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32.6%</w:t>
            </w:r>
          </w:p>
        </w:tc>
        <w:tc>
          <w:tcPr>
            <w:tcW w:w="134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80</w:t>
            </w:r>
          </w:p>
        </w:tc>
        <w:tc>
          <w:tcPr>
            <w:tcW w:w="136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26</w:t>
            </w:r>
          </w:p>
        </w:tc>
        <w:tc>
          <w:tcPr>
            <w:tcW w:w="116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32.5%</w:t>
            </w:r>
          </w:p>
        </w:tc>
      </w:tr>
      <w:tr w:rsidR="004F6F70" w:rsidRPr="004F6F70" w:rsidTr="004F6F70">
        <w:trPr>
          <w:trHeight w:val="300"/>
        </w:trPr>
        <w:tc>
          <w:tcPr>
            <w:tcW w:w="96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NC</w:t>
            </w:r>
          </w:p>
        </w:tc>
        <w:tc>
          <w:tcPr>
            <w:tcW w:w="134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359</w:t>
            </w:r>
          </w:p>
        </w:tc>
        <w:tc>
          <w:tcPr>
            <w:tcW w:w="136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149</w:t>
            </w:r>
          </w:p>
        </w:tc>
        <w:tc>
          <w:tcPr>
            <w:tcW w:w="116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41.5%</w:t>
            </w:r>
          </w:p>
        </w:tc>
        <w:tc>
          <w:tcPr>
            <w:tcW w:w="134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80</w:t>
            </w:r>
          </w:p>
        </w:tc>
        <w:tc>
          <w:tcPr>
            <w:tcW w:w="136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35</w:t>
            </w:r>
          </w:p>
        </w:tc>
        <w:tc>
          <w:tcPr>
            <w:tcW w:w="116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43.8%</w:t>
            </w:r>
          </w:p>
        </w:tc>
      </w:tr>
      <w:tr w:rsidR="004F6F70" w:rsidRPr="004F6F70" w:rsidTr="004F6F70">
        <w:trPr>
          <w:trHeight w:val="300"/>
        </w:trPr>
        <w:tc>
          <w:tcPr>
            <w:tcW w:w="96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FL</w:t>
            </w:r>
          </w:p>
        </w:tc>
        <w:tc>
          <w:tcPr>
            <w:tcW w:w="134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358</w:t>
            </w:r>
          </w:p>
        </w:tc>
        <w:tc>
          <w:tcPr>
            <w:tcW w:w="136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118</w:t>
            </w:r>
          </w:p>
        </w:tc>
        <w:tc>
          <w:tcPr>
            <w:tcW w:w="116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33.0%</w:t>
            </w:r>
          </w:p>
        </w:tc>
        <w:tc>
          <w:tcPr>
            <w:tcW w:w="134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80</w:t>
            </w:r>
          </w:p>
        </w:tc>
        <w:tc>
          <w:tcPr>
            <w:tcW w:w="136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28</w:t>
            </w:r>
          </w:p>
        </w:tc>
        <w:tc>
          <w:tcPr>
            <w:tcW w:w="1160" w:type="dxa"/>
            <w:tcBorders>
              <w:top w:val="nil"/>
              <w:left w:val="nil"/>
              <w:bottom w:val="nil"/>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35.0%</w:t>
            </w:r>
          </w:p>
        </w:tc>
      </w:tr>
      <w:tr w:rsidR="004F6F70" w:rsidRPr="004F6F70" w:rsidTr="004F6F70">
        <w:trPr>
          <w:trHeight w:val="300"/>
        </w:trPr>
        <w:tc>
          <w:tcPr>
            <w:tcW w:w="960" w:type="dxa"/>
            <w:tcBorders>
              <w:top w:val="nil"/>
              <w:left w:val="nil"/>
              <w:bottom w:val="single" w:sz="4" w:space="0" w:color="auto"/>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Overall</w:t>
            </w:r>
          </w:p>
        </w:tc>
        <w:tc>
          <w:tcPr>
            <w:tcW w:w="1340" w:type="dxa"/>
            <w:tcBorders>
              <w:top w:val="nil"/>
              <w:left w:val="nil"/>
              <w:bottom w:val="single" w:sz="4" w:space="0" w:color="auto"/>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1280</w:t>
            </w:r>
          </w:p>
        </w:tc>
        <w:tc>
          <w:tcPr>
            <w:tcW w:w="1360" w:type="dxa"/>
            <w:tcBorders>
              <w:top w:val="nil"/>
              <w:left w:val="nil"/>
              <w:bottom w:val="single" w:sz="4" w:space="0" w:color="auto"/>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474</w:t>
            </w:r>
          </w:p>
        </w:tc>
        <w:tc>
          <w:tcPr>
            <w:tcW w:w="1160" w:type="dxa"/>
            <w:tcBorders>
              <w:top w:val="nil"/>
              <w:left w:val="nil"/>
              <w:bottom w:val="single" w:sz="4" w:space="0" w:color="auto"/>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37.0%</w:t>
            </w:r>
          </w:p>
        </w:tc>
        <w:tc>
          <w:tcPr>
            <w:tcW w:w="1340" w:type="dxa"/>
            <w:tcBorders>
              <w:top w:val="nil"/>
              <w:left w:val="nil"/>
              <w:bottom w:val="single" w:sz="4" w:space="0" w:color="auto"/>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320</w:t>
            </w:r>
          </w:p>
        </w:tc>
        <w:tc>
          <w:tcPr>
            <w:tcW w:w="1360" w:type="dxa"/>
            <w:tcBorders>
              <w:top w:val="nil"/>
              <w:left w:val="nil"/>
              <w:bottom w:val="single" w:sz="4" w:space="0" w:color="auto"/>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124</w:t>
            </w:r>
          </w:p>
        </w:tc>
        <w:tc>
          <w:tcPr>
            <w:tcW w:w="1160" w:type="dxa"/>
            <w:tcBorders>
              <w:top w:val="nil"/>
              <w:left w:val="nil"/>
              <w:bottom w:val="single" w:sz="4" w:space="0" w:color="auto"/>
              <w:right w:val="nil"/>
            </w:tcBorders>
            <w:shd w:val="clear" w:color="auto" w:fill="auto"/>
            <w:noWrap/>
            <w:vAlign w:val="bottom"/>
            <w:hideMark/>
          </w:tcPr>
          <w:p w:rsidR="004F6F70" w:rsidRPr="004F6F70" w:rsidRDefault="004F6F70" w:rsidP="004F6F70">
            <w:pPr>
              <w:spacing w:after="0" w:line="240" w:lineRule="auto"/>
              <w:jc w:val="center"/>
              <w:rPr>
                <w:rFonts w:ascii="Calibri" w:eastAsia="Times New Roman" w:hAnsi="Calibri" w:cs="Times New Roman"/>
                <w:color w:val="000000"/>
              </w:rPr>
            </w:pPr>
            <w:r w:rsidRPr="004F6F70">
              <w:rPr>
                <w:rFonts w:ascii="Calibri" w:eastAsia="Times New Roman" w:hAnsi="Calibri" w:cs="Times New Roman"/>
                <w:color w:val="000000"/>
              </w:rPr>
              <w:t>38.8%</w:t>
            </w:r>
          </w:p>
        </w:tc>
      </w:tr>
    </w:tbl>
    <w:p w:rsidR="00164EB9" w:rsidRDefault="00164EB9" w:rsidP="00CB0781">
      <w:pPr>
        <w:pStyle w:val="L1-FlLSp12"/>
        <w:spacing w:line="240" w:lineRule="auto"/>
        <w:rPr>
          <w:rFonts w:ascii="Times New Roman" w:hAnsi="Times New Roman"/>
        </w:rPr>
      </w:pPr>
    </w:p>
    <w:p w:rsidR="00B91E44" w:rsidRDefault="003003A9" w:rsidP="00CB0781">
      <w:pPr>
        <w:pStyle w:val="L1-FlLSp12"/>
        <w:spacing w:line="240" w:lineRule="auto"/>
        <w:rPr>
          <w:rFonts w:ascii="Times New Roman" w:hAnsi="Times New Roman"/>
        </w:rPr>
      </w:pPr>
      <w:r>
        <w:rPr>
          <w:rFonts w:ascii="Times New Roman" w:hAnsi="Times New Roman"/>
        </w:rPr>
        <w:t>We assessed nonresponse bias by comparing estimated fishing prevalence (percent of households that reported fishing during the wave) between the initial MFES and NRFU samples.</w:t>
      </w:r>
      <w:r w:rsidR="00A94D8A">
        <w:rPr>
          <w:rFonts w:ascii="Times New Roman" w:hAnsi="Times New Roman"/>
        </w:rPr>
        <w:t xml:space="preserve">  Differences between MFES and NRFU estimates would suggest that MFES and NRFU samples </w:t>
      </w:r>
      <w:r w:rsidR="00C80A90">
        <w:rPr>
          <w:rFonts w:ascii="Times New Roman" w:hAnsi="Times New Roman"/>
        </w:rPr>
        <w:t>are</w:t>
      </w:r>
      <w:r w:rsidR="00A94D8A">
        <w:rPr>
          <w:rFonts w:ascii="Times New Roman" w:hAnsi="Times New Roman"/>
        </w:rPr>
        <w:t xml:space="preserve"> different with respect to recreational fishing activity, resulting in biased MFES estimates.  </w:t>
      </w:r>
    </w:p>
    <w:p w:rsidR="00CB0781" w:rsidRDefault="00CB0781" w:rsidP="00443311">
      <w:pPr>
        <w:pStyle w:val="Default"/>
      </w:pPr>
    </w:p>
    <w:p w:rsidR="00B85BBE" w:rsidRDefault="00AE14B7">
      <w:r>
        <w:rPr>
          <w:rFonts w:ascii="Times New Roman" w:hAnsi="Times New Roman" w:cs="Times New Roman"/>
          <w:sz w:val="24"/>
          <w:szCs w:val="24"/>
        </w:rPr>
        <w:t xml:space="preserve">Table 2 shows </w:t>
      </w:r>
      <w:r w:rsidR="009515E9">
        <w:rPr>
          <w:rFonts w:ascii="Times New Roman" w:hAnsi="Times New Roman" w:cs="Times New Roman"/>
          <w:sz w:val="24"/>
          <w:szCs w:val="24"/>
        </w:rPr>
        <w:t xml:space="preserve">that </w:t>
      </w:r>
      <w:r w:rsidR="00530131">
        <w:rPr>
          <w:rFonts w:ascii="Times New Roman" w:hAnsi="Times New Roman" w:cs="Times New Roman"/>
          <w:sz w:val="24"/>
          <w:szCs w:val="24"/>
        </w:rPr>
        <w:t>d</w:t>
      </w:r>
      <w:r w:rsidR="009F734B">
        <w:rPr>
          <w:rFonts w:ascii="Times New Roman" w:hAnsi="Times New Roman" w:cs="Times New Roman"/>
          <w:sz w:val="24"/>
          <w:szCs w:val="24"/>
        </w:rPr>
        <w:t xml:space="preserve">ifferences in estimated </w:t>
      </w:r>
      <w:r w:rsidR="00530131">
        <w:rPr>
          <w:rFonts w:ascii="Times New Roman" w:hAnsi="Times New Roman" w:cs="Times New Roman"/>
          <w:sz w:val="24"/>
          <w:szCs w:val="24"/>
        </w:rPr>
        <w:t xml:space="preserve">fishing </w:t>
      </w:r>
      <w:r w:rsidR="009F734B">
        <w:rPr>
          <w:rFonts w:ascii="Times New Roman" w:hAnsi="Times New Roman" w:cs="Times New Roman"/>
          <w:sz w:val="24"/>
          <w:szCs w:val="24"/>
        </w:rPr>
        <w:t>prevalence between initial</w:t>
      </w:r>
      <w:r w:rsidR="00530131">
        <w:rPr>
          <w:rFonts w:ascii="Times New Roman" w:hAnsi="Times New Roman" w:cs="Times New Roman"/>
          <w:sz w:val="24"/>
          <w:szCs w:val="24"/>
        </w:rPr>
        <w:t xml:space="preserve"> samples </w:t>
      </w:r>
      <w:r w:rsidR="009F734B">
        <w:rPr>
          <w:rFonts w:ascii="Times New Roman" w:hAnsi="Times New Roman" w:cs="Times New Roman"/>
          <w:sz w:val="24"/>
          <w:szCs w:val="24"/>
        </w:rPr>
        <w:t xml:space="preserve">and NRFU samples </w:t>
      </w:r>
      <w:r w:rsidR="00C80A90">
        <w:rPr>
          <w:rFonts w:ascii="Times New Roman" w:hAnsi="Times New Roman" w:cs="Times New Roman"/>
          <w:sz w:val="24"/>
          <w:szCs w:val="24"/>
        </w:rPr>
        <w:t>are</w:t>
      </w:r>
      <w:r w:rsidR="009F734B">
        <w:rPr>
          <w:rFonts w:ascii="Times New Roman" w:hAnsi="Times New Roman" w:cs="Times New Roman"/>
          <w:sz w:val="24"/>
          <w:szCs w:val="24"/>
        </w:rPr>
        <w:t xml:space="preserve"> neither significant nor systematic for either the RAS or NAS, </w:t>
      </w:r>
      <w:r w:rsidR="007A71E2">
        <w:rPr>
          <w:rFonts w:ascii="Times New Roman" w:hAnsi="Times New Roman" w:cs="Times New Roman"/>
          <w:sz w:val="24"/>
          <w:szCs w:val="24"/>
        </w:rPr>
        <w:t>demonstrating</w:t>
      </w:r>
      <w:r w:rsidR="00530131">
        <w:rPr>
          <w:rFonts w:ascii="Times New Roman" w:hAnsi="Times New Roman" w:cs="Times New Roman"/>
          <w:sz w:val="24"/>
          <w:szCs w:val="24"/>
        </w:rPr>
        <w:t xml:space="preserve"> that MFES respondents and </w:t>
      </w:r>
      <w:proofErr w:type="spellStart"/>
      <w:r w:rsidR="00530131">
        <w:rPr>
          <w:rFonts w:ascii="Times New Roman" w:hAnsi="Times New Roman" w:cs="Times New Roman"/>
          <w:sz w:val="24"/>
          <w:szCs w:val="24"/>
        </w:rPr>
        <w:t>nonrespondents</w:t>
      </w:r>
      <w:proofErr w:type="spellEnd"/>
      <w:r w:rsidR="00530131">
        <w:rPr>
          <w:rFonts w:ascii="Times New Roman" w:hAnsi="Times New Roman" w:cs="Times New Roman"/>
          <w:sz w:val="24"/>
          <w:szCs w:val="24"/>
        </w:rPr>
        <w:t xml:space="preserve"> are not significantly different with respect</w:t>
      </w:r>
      <w:r w:rsidR="007A71E2">
        <w:rPr>
          <w:rFonts w:ascii="Times New Roman" w:hAnsi="Times New Roman" w:cs="Times New Roman"/>
          <w:sz w:val="24"/>
          <w:szCs w:val="24"/>
        </w:rPr>
        <w:t xml:space="preserve"> to </w:t>
      </w:r>
      <w:r w:rsidR="007A71E2">
        <w:rPr>
          <w:rFonts w:ascii="Times New Roman" w:hAnsi="Times New Roman" w:cs="Times New Roman"/>
          <w:sz w:val="24"/>
          <w:szCs w:val="24"/>
        </w:rPr>
        <w:lastRenderedPageBreak/>
        <w:t>saltwater fishing activity.  This suggests that nonresponse is not a significant source of bias in the MFES.</w:t>
      </w:r>
    </w:p>
    <w:p w:rsidR="00281EE8" w:rsidRPr="00AE14B7" w:rsidRDefault="00B85BBE">
      <w:pPr>
        <w:rPr>
          <w:rFonts w:ascii="Times New Roman" w:hAnsi="Times New Roman" w:cs="Times New Roman"/>
          <w:sz w:val="24"/>
          <w:szCs w:val="24"/>
        </w:rPr>
      </w:pPr>
      <w:proofErr w:type="gramStart"/>
      <w:r w:rsidRPr="00AE14B7">
        <w:rPr>
          <w:rFonts w:ascii="Times New Roman" w:hAnsi="Times New Roman" w:cs="Times New Roman"/>
          <w:sz w:val="24"/>
          <w:szCs w:val="24"/>
        </w:rPr>
        <w:t>Table 2.</w:t>
      </w:r>
      <w:proofErr w:type="gramEnd"/>
      <w:r w:rsidRPr="00AE14B7">
        <w:rPr>
          <w:rFonts w:ascii="Times New Roman" w:hAnsi="Times New Roman" w:cs="Times New Roman"/>
          <w:sz w:val="24"/>
          <w:szCs w:val="24"/>
        </w:rPr>
        <w:t xml:space="preserve"> </w:t>
      </w:r>
      <w:proofErr w:type="gramStart"/>
      <w:r w:rsidRPr="00AE14B7">
        <w:rPr>
          <w:rFonts w:ascii="Times New Roman" w:hAnsi="Times New Roman" w:cs="Times New Roman"/>
          <w:sz w:val="24"/>
          <w:szCs w:val="24"/>
        </w:rPr>
        <w:t>Estimated fishing prevalence for the full sample and</w:t>
      </w:r>
      <w:r w:rsidR="00A829F0" w:rsidRPr="00AE14B7">
        <w:rPr>
          <w:rFonts w:ascii="Times New Roman" w:hAnsi="Times New Roman" w:cs="Times New Roman"/>
          <w:sz w:val="24"/>
          <w:szCs w:val="24"/>
        </w:rPr>
        <w:t xml:space="preserve"> nonresponse follow-up</w:t>
      </w:r>
      <w:r w:rsidR="00BB17A9">
        <w:rPr>
          <w:rFonts w:ascii="Times New Roman" w:hAnsi="Times New Roman" w:cs="Times New Roman"/>
          <w:sz w:val="24"/>
          <w:szCs w:val="24"/>
        </w:rPr>
        <w:t xml:space="preserve"> sample</w:t>
      </w:r>
      <w:r w:rsidR="00A829F0" w:rsidRPr="00AE14B7">
        <w:rPr>
          <w:rFonts w:ascii="Times New Roman" w:hAnsi="Times New Roman" w:cs="Times New Roman"/>
          <w:sz w:val="24"/>
          <w:szCs w:val="24"/>
        </w:rPr>
        <w:t xml:space="preserve"> for </w:t>
      </w:r>
      <w:r w:rsidRPr="00AE14B7">
        <w:rPr>
          <w:rFonts w:ascii="Times New Roman" w:hAnsi="Times New Roman" w:cs="Times New Roman"/>
          <w:sz w:val="24"/>
          <w:szCs w:val="24"/>
        </w:rPr>
        <w:t xml:space="preserve">the </w:t>
      </w:r>
      <w:r w:rsidR="00A829F0" w:rsidRPr="00AE14B7">
        <w:rPr>
          <w:rFonts w:ascii="Times New Roman" w:hAnsi="Times New Roman" w:cs="Times New Roman"/>
          <w:sz w:val="24"/>
          <w:szCs w:val="24"/>
        </w:rPr>
        <w:t xml:space="preserve">(a) </w:t>
      </w:r>
      <w:r w:rsidRPr="00AE14B7">
        <w:rPr>
          <w:rFonts w:ascii="Times New Roman" w:hAnsi="Times New Roman" w:cs="Times New Roman"/>
          <w:sz w:val="24"/>
          <w:szCs w:val="24"/>
        </w:rPr>
        <w:t>Resident Angler Survey and the</w:t>
      </w:r>
      <w:r w:rsidR="00A829F0" w:rsidRPr="00AE14B7">
        <w:rPr>
          <w:rFonts w:ascii="Times New Roman" w:hAnsi="Times New Roman" w:cs="Times New Roman"/>
          <w:sz w:val="24"/>
          <w:szCs w:val="24"/>
        </w:rPr>
        <w:t xml:space="preserve"> (b)</w:t>
      </w:r>
      <w:r w:rsidRPr="00AE14B7">
        <w:rPr>
          <w:rFonts w:ascii="Times New Roman" w:hAnsi="Times New Roman" w:cs="Times New Roman"/>
          <w:sz w:val="24"/>
          <w:szCs w:val="24"/>
        </w:rPr>
        <w:t xml:space="preserve"> Non-Resident Angler Survey.</w:t>
      </w:r>
      <w:proofErr w:type="gramEnd"/>
    </w:p>
    <w:p w:rsidR="00B85BBE" w:rsidRDefault="00416456">
      <w:r>
        <w:t>(a)</w:t>
      </w:r>
    </w:p>
    <w:tbl>
      <w:tblPr>
        <w:tblW w:w="7040" w:type="dxa"/>
        <w:tblInd w:w="93" w:type="dxa"/>
        <w:tblLook w:val="04A0" w:firstRow="1" w:lastRow="0" w:firstColumn="1" w:lastColumn="0" w:noHBand="0" w:noVBand="1"/>
      </w:tblPr>
      <w:tblGrid>
        <w:gridCol w:w="960"/>
        <w:gridCol w:w="1482"/>
        <w:gridCol w:w="1222"/>
        <w:gridCol w:w="1481"/>
        <w:gridCol w:w="935"/>
        <w:gridCol w:w="960"/>
      </w:tblGrid>
      <w:tr w:rsidR="00112E1C" w:rsidRPr="00112E1C" w:rsidTr="00112E1C">
        <w:trPr>
          <w:trHeight w:val="300"/>
        </w:trPr>
        <w:tc>
          <w:tcPr>
            <w:tcW w:w="960" w:type="dxa"/>
            <w:tcBorders>
              <w:top w:val="single" w:sz="4" w:space="0" w:color="auto"/>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 </w:t>
            </w:r>
          </w:p>
        </w:tc>
        <w:tc>
          <w:tcPr>
            <w:tcW w:w="5120" w:type="dxa"/>
            <w:gridSpan w:val="4"/>
            <w:tcBorders>
              <w:top w:val="single" w:sz="4" w:space="0" w:color="auto"/>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Estimated Prevalence</w:t>
            </w:r>
          </w:p>
        </w:tc>
        <w:tc>
          <w:tcPr>
            <w:tcW w:w="960" w:type="dxa"/>
            <w:tcBorders>
              <w:top w:val="single" w:sz="4" w:space="0" w:color="auto"/>
              <w:left w:val="nil"/>
              <w:bottom w:val="nil"/>
              <w:right w:val="nil"/>
            </w:tcBorders>
            <w:shd w:val="clear" w:color="auto" w:fill="auto"/>
            <w:noWrap/>
            <w:vAlign w:val="bottom"/>
            <w:hideMark/>
          </w:tcPr>
          <w:p w:rsidR="00112E1C" w:rsidRPr="00112E1C" w:rsidRDefault="00112E1C" w:rsidP="00112E1C">
            <w:pPr>
              <w:spacing w:after="0" w:line="240" w:lineRule="auto"/>
              <w:rPr>
                <w:rFonts w:ascii="Calibri" w:eastAsia="Times New Roman" w:hAnsi="Calibri" w:cs="Times New Roman"/>
                <w:color w:val="000000"/>
              </w:rPr>
            </w:pPr>
            <w:r w:rsidRPr="00112E1C">
              <w:rPr>
                <w:rFonts w:ascii="Calibri" w:eastAsia="Times New Roman" w:hAnsi="Calibri" w:cs="Times New Roman"/>
                <w:color w:val="000000"/>
              </w:rPr>
              <w:t> </w:t>
            </w:r>
          </w:p>
        </w:tc>
      </w:tr>
      <w:tr w:rsidR="00112E1C" w:rsidRPr="00112E1C" w:rsidTr="00112E1C">
        <w:trPr>
          <w:trHeight w:val="300"/>
        </w:trPr>
        <w:tc>
          <w:tcPr>
            <w:tcW w:w="960"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State</w:t>
            </w:r>
          </w:p>
        </w:tc>
        <w:tc>
          <w:tcPr>
            <w:tcW w:w="2704" w:type="dxa"/>
            <w:gridSpan w:val="2"/>
            <w:tcBorders>
              <w:top w:val="nil"/>
              <w:left w:val="nil"/>
              <w:bottom w:val="nil"/>
              <w:right w:val="nil"/>
            </w:tcBorders>
            <w:shd w:val="clear" w:color="auto" w:fill="auto"/>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Full Sample (RAS)</w:t>
            </w:r>
          </w:p>
        </w:tc>
        <w:tc>
          <w:tcPr>
            <w:tcW w:w="2416" w:type="dxa"/>
            <w:gridSpan w:val="2"/>
            <w:tcBorders>
              <w:top w:val="nil"/>
              <w:left w:val="nil"/>
              <w:bottom w:val="nil"/>
              <w:right w:val="nil"/>
            </w:tcBorders>
            <w:shd w:val="clear" w:color="auto" w:fill="auto"/>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NRFU Sample (RAS)</w:t>
            </w:r>
          </w:p>
        </w:tc>
        <w:tc>
          <w:tcPr>
            <w:tcW w:w="960" w:type="dxa"/>
            <w:tcBorders>
              <w:top w:val="nil"/>
              <w:left w:val="nil"/>
              <w:bottom w:val="nil"/>
              <w:right w:val="nil"/>
            </w:tcBorders>
            <w:shd w:val="clear" w:color="auto" w:fill="auto"/>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i/>
                <w:iCs/>
                <w:color w:val="000000"/>
              </w:rPr>
              <w:t>p</w:t>
            </w:r>
            <w:r w:rsidRPr="00112E1C">
              <w:rPr>
                <w:rFonts w:ascii="Calibri" w:eastAsia="Times New Roman" w:hAnsi="Calibri" w:cs="Times New Roman"/>
                <w:color w:val="000000"/>
              </w:rPr>
              <w:t>-value</w:t>
            </w:r>
          </w:p>
        </w:tc>
      </w:tr>
      <w:tr w:rsidR="00112E1C" w:rsidRPr="00112E1C" w:rsidTr="00112E1C">
        <w:trPr>
          <w:trHeight w:val="285"/>
        </w:trPr>
        <w:tc>
          <w:tcPr>
            <w:tcW w:w="960" w:type="dxa"/>
            <w:tcBorders>
              <w:top w:val="nil"/>
              <w:left w:val="nil"/>
              <w:bottom w:val="single" w:sz="4" w:space="0" w:color="auto"/>
              <w:right w:val="nil"/>
            </w:tcBorders>
            <w:shd w:val="clear" w:color="auto" w:fill="auto"/>
            <w:noWrap/>
            <w:vAlign w:val="bottom"/>
            <w:hideMark/>
          </w:tcPr>
          <w:p w:rsidR="00112E1C" w:rsidRPr="00112E1C" w:rsidRDefault="00112E1C" w:rsidP="00112E1C">
            <w:pPr>
              <w:spacing w:after="0" w:line="240" w:lineRule="auto"/>
              <w:rPr>
                <w:rFonts w:ascii="Calibri" w:eastAsia="Times New Roman" w:hAnsi="Calibri" w:cs="Times New Roman"/>
                <w:color w:val="000000"/>
              </w:rPr>
            </w:pPr>
            <w:r w:rsidRPr="00112E1C">
              <w:rPr>
                <w:rFonts w:ascii="Calibri" w:eastAsia="Times New Roman" w:hAnsi="Calibri" w:cs="Times New Roman"/>
                <w:color w:val="000000"/>
              </w:rPr>
              <w:t> </w:t>
            </w:r>
          </w:p>
        </w:tc>
        <w:tc>
          <w:tcPr>
            <w:tcW w:w="1482" w:type="dxa"/>
            <w:tcBorders>
              <w:top w:val="nil"/>
              <w:left w:val="nil"/>
              <w:bottom w:val="single" w:sz="4" w:space="0" w:color="auto"/>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w:t>
            </w:r>
          </w:p>
        </w:tc>
        <w:tc>
          <w:tcPr>
            <w:tcW w:w="1222" w:type="dxa"/>
            <w:tcBorders>
              <w:top w:val="nil"/>
              <w:left w:val="nil"/>
              <w:bottom w:val="single" w:sz="4" w:space="0" w:color="auto"/>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(n)</w:t>
            </w:r>
          </w:p>
        </w:tc>
        <w:tc>
          <w:tcPr>
            <w:tcW w:w="1481" w:type="dxa"/>
            <w:tcBorders>
              <w:top w:val="nil"/>
              <w:left w:val="nil"/>
              <w:bottom w:val="single" w:sz="4" w:space="0" w:color="auto"/>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w:t>
            </w:r>
          </w:p>
        </w:tc>
        <w:tc>
          <w:tcPr>
            <w:tcW w:w="935" w:type="dxa"/>
            <w:tcBorders>
              <w:top w:val="nil"/>
              <w:left w:val="nil"/>
              <w:bottom w:val="single" w:sz="4" w:space="0" w:color="auto"/>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(n)</w:t>
            </w:r>
          </w:p>
        </w:tc>
        <w:tc>
          <w:tcPr>
            <w:tcW w:w="960" w:type="dxa"/>
            <w:tcBorders>
              <w:top w:val="nil"/>
              <w:left w:val="nil"/>
              <w:bottom w:val="single" w:sz="4" w:space="0" w:color="auto"/>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 </w:t>
            </w:r>
          </w:p>
        </w:tc>
      </w:tr>
      <w:tr w:rsidR="00112E1C" w:rsidRPr="00112E1C" w:rsidTr="00112E1C">
        <w:trPr>
          <w:trHeight w:val="300"/>
        </w:trPr>
        <w:tc>
          <w:tcPr>
            <w:tcW w:w="960"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MA</w:t>
            </w:r>
          </w:p>
        </w:tc>
        <w:tc>
          <w:tcPr>
            <w:tcW w:w="1482"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9.4%</w:t>
            </w:r>
          </w:p>
        </w:tc>
        <w:tc>
          <w:tcPr>
            <w:tcW w:w="1222"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6424</w:t>
            </w:r>
          </w:p>
        </w:tc>
        <w:tc>
          <w:tcPr>
            <w:tcW w:w="1481"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8.2%</w:t>
            </w:r>
          </w:p>
        </w:tc>
        <w:tc>
          <w:tcPr>
            <w:tcW w:w="935"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119</w:t>
            </w:r>
          </w:p>
        </w:tc>
        <w:tc>
          <w:tcPr>
            <w:tcW w:w="960"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0.667</w:t>
            </w:r>
          </w:p>
        </w:tc>
      </w:tr>
      <w:tr w:rsidR="00112E1C" w:rsidRPr="00112E1C" w:rsidTr="00112E1C">
        <w:trPr>
          <w:trHeight w:val="300"/>
        </w:trPr>
        <w:tc>
          <w:tcPr>
            <w:tcW w:w="960"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NY</w:t>
            </w:r>
          </w:p>
        </w:tc>
        <w:tc>
          <w:tcPr>
            <w:tcW w:w="1482"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7.2%</w:t>
            </w:r>
          </w:p>
        </w:tc>
        <w:tc>
          <w:tcPr>
            <w:tcW w:w="1222"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4864</w:t>
            </w:r>
          </w:p>
        </w:tc>
        <w:tc>
          <w:tcPr>
            <w:tcW w:w="1481"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13.9%</w:t>
            </w:r>
          </w:p>
        </w:tc>
        <w:tc>
          <w:tcPr>
            <w:tcW w:w="935"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88</w:t>
            </w:r>
          </w:p>
        </w:tc>
        <w:tc>
          <w:tcPr>
            <w:tcW w:w="960"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0.230</w:t>
            </w:r>
          </w:p>
        </w:tc>
      </w:tr>
      <w:tr w:rsidR="00112E1C" w:rsidRPr="00112E1C" w:rsidTr="00112E1C">
        <w:trPr>
          <w:trHeight w:val="300"/>
        </w:trPr>
        <w:tc>
          <w:tcPr>
            <w:tcW w:w="960"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NC</w:t>
            </w:r>
          </w:p>
        </w:tc>
        <w:tc>
          <w:tcPr>
            <w:tcW w:w="1482"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10.5%</w:t>
            </w:r>
          </w:p>
        </w:tc>
        <w:tc>
          <w:tcPr>
            <w:tcW w:w="1222"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7921</w:t>
            </w:r>
          </w:p>
        </w:tc>
        <w:tc>
          <w:tcPr>
            <w:tcW w:w="1481"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7.1%</w:t>
            </w:r>
          </w:p>
        </w:tc>
        <w:tc>
          <w:tcPr>
            <w:tcW w:w="935"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149</w:t>
            </w:r>
          </w:p>
        </w:tc>
        <w:tc>
          <w:tcPr>
            <w:tcW w:w="960"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0.100</w:t>
            </w:r>
          </w:p>
        </w:tc>
      </w:tr>
      <w:tr w:rsidR="00112E1C" w:rsidRPr="00112E1C" w:rsidTr="00112E1C">
        <w:trPr>
          <w:trHeight w:val="300"/>
        </w:trPr>
        <w:tc>
          <w:tcPr>
            <w:tcW w:w="960" w:type="dxa"/>
            <w:tcBorders>
              <w:top w:val="nil"/>
              <w:left w:val="nil"/>
              <w:bottom w:val="single" w:sz="4" w:space="0" w:color="auto"/>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FL</w:t>
            </w:r>
          </w:p>
        </w:tc>
        <w:tc>
          <w:tcPr>
            <w:tcW w:w="1482" w:type="dxa"/>
            <w:tcBorders>
              <w:top w:val="nil"/>
              <w:left w:val="nil"/>
              <w:bottom w:val="single" w:sz="4" w:space="0" w:color="auto"/>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20.9%</w:t>
            </w:r>
          </w:p>
        </w:tc>
        <w:tc>
          <w:tcPr>
            <w:tcW w:w="1222" w:type="dxa"/>
            <w:tcBorders>
              <w:top w:val="nil"/>
              <w:left w:val="nil"/>
              <w:bottom w:val="single" w:sz="4" w:space="0" w:color="auto"/>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6767</w:t>
            </w:r>
          </w:p>
        </w:tc>
        <w:tc>
          <w:tcPr>
            <w:tcW w:w="1481" w:type="dxa"/>
            <w:tcBorders>
              <w:top w:val="nil"/>
              <w:left w:val="nil"/>
              <w:bottom w:val="single" w:sz="4" w:space="0" w:color="auto"/>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23.3%</w:t>
            </w:r>
          </w:p>
        </w:tc>
        <w:tc>
          <w:tcPr>
            <w:tcW w:w="935" w:type="dxa"/>
            <w:tcBorders>
              <w:top w:val="nil"/>
              <w:left w:val="nil"/>
              <w:bottom w:val="single" w:sz="4" w:space="0" w:color="auto"/>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118</w:t>
            </w:r>
          </w:p>
        </w:tc>
        <w:tc>
          <w:tcPr>
            <w:tcW w:w="960" w:type="dxa"/>
            <w:tcBorders>
              <w:top w:val="nil"/>
              <w:left w:val="nil"/>
              <w:bottom w:val="single" w:sz="4" w:space="0" w:color="auto"/>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0.682</w:t>
            </w:r>
          </w:p>
        </w:tc>
      </w:tr>
    </w:tbl>
    <w:p w:rsidR="00416456" w:rsidRDefault="00416456"/>
    <w:p w:rsidR="00416456" w:rsidRDefault="00416456">
      <w:r>
        <w:t>(b)</w:t>
      </w:r>
    </w:p>
    <w:tbl>
      <w:tblPr>
        <w:tblW w:w="7040" w:type="dxa"/>
        <w:tblInd w:w="93" w:type="dxa"/>
        <w:tblLook w:val="04A0" w:firstRow="1" w:lastRow="0" w:firstColumn="1" w:lastColumn="0" w:noHBand="0" w:noVBand="1"/>
      </w:tblPr>
      <w:tblGrid>
        <w:gridCol w:w="960"/>
        <w:gridCol w:w="1643"/>
        <w:gridCol w:w="1038"/>
        <w:gridCol w:w="1643"/>
        <w:gridCol w:w="796"/>
        <w:gridCol w:w="960"/>
      </w:tblGrid>
      <w:tr w:rsidR="00112E1C" w:rsidRPr="00112E1C" w:rsidTr="00112E1C">
        <w:trPr>
          <w:trHeight w:val="300"/>
        </w:trPr>
        <w:tc>
          <w:tcPr>
            <w:tcW w:w="960" w:type="dxa"/>
            <w:tcBorders>
              <w:top w:val="single" w:sz="4" w:space="0" w:color="auto"/>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 </w:t>
            </w:r>
          </w:p>
        </w:tc>
        <w:tc>
          <w:tcPr>
            <w:tcW w:w="5120" w:type="dxa"/>
            <w:gridSpan w:val="4"/>
            <w:tcBorders>
              <w:top w:val="single" w:sz="4" w:space="0" w:color="auto"/>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Estimated Prevalence</w:t>
            </w:r>
          </w:p>
        </w:tc>
        <w:tc>
          <w:tcPr>
            <w:tcW w:w="960" w:type="dxa"/>
            <w:tcBorders>
              <w:top w:val="single" w:sz="4" w:space="0" w:color="auto"/>
              <w:left w:val="nil"/>
              <w:bottom w:val="nil"/>
              <w:right w:val="nil"/>
            </w:tcBorders>
            <w:shd w:val="clear" w:color="auto" w:fill="auto"/>
            <w:noWrap/>
            <w:vAlign w:val="bottom"/>
            <w:hideMark/>
          </w:tcPr>
          <w:p w:rsidR="00112E1C" w:rsidRPr="00112E1C" w:rsidRDefault="00112E1C" w:rsidP="00112E1C">
            <w:pPr>
              <w:spacing w:after="0" w:line="240" w:lineRule="auto"/>
              <w:rPr>
                <w:rFonts w:ascii="Calibri" w:eastAsia="Times New Roman" w:hAnsi="Calibri" w:cs="Times New Roman"/>
                <w:color w:val="000000"/>
              </w:rPr>
            </w:pPr>
            <w:r w:rsidRPr="00112E1C">
              <w:rPr>
                <w:rFonts w:ascii="Calibri" w:eastAsia="Times New Roman" w:hAnsi="Calibri" w:cs="Times New Roman"/>
                <w:color w:val="000000"/>
              </w:rPr>
              <w:t> </w:t>
            </w:r>
          </w:p>
        </w:tc>
      </w:tr>
      <w:tr w:rsidR="00112E1C" w:rsidRPr="00112E1C" w:rsidTr="00112E1C">
        <w:trPr>
          <w:trHeight w:val="300"/>
        </w:trPr>
        <w:tc>
          <w:tcPr>
            <w:tcW w:w="960"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State</w:t>
            </w:r>
          </w:p>
        </w:tc>
        <w:tc>
          <w:tcPr>
            <w:tcW w:w="2681" w:type="dxa"/>
            <w:gridSpan w:val="2"/>
            <w:tcBorders>
              <w:top w:val="nil"/>
              <w:left w:val="nil"/>
              <w:bottom w:val="nil"/>
              <w:right w:val="nil"/>
            </w:tcBorders>
            <w:shd w:val="clear" w:color="auto" w:fill="auto"/>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Full Sample (NAS)</w:t>
            </w:r>
          </w:p>
        </w:tc>
        <w:tc>
          <w:tcPr>
            <w:tcW w:w="2439" w:type="dxa"/>
            <w:gridSpan w:val="2"/>
            <w:tcBorders>
              <w:top w:val="nil"/>
              <w:left w:val="nil"/>
              <w:bottom w:val="nil"/>
              <w:right w:val="nil"/>
            </w:tcBorders>
            <w:shd w:val="clear" w:color="auto" w:fill="auto"/>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NRFU Sample (NAS)</w:t>
            </w:r>
          </w:p>
        </w:tc>
        <w:tc>
          <w:tcPr>
            <w:tcW w:w="960" w:type="dxa"/>
            <w:tcBorders>
              <w:top w:val="nil"/>
              <w:left w:val="nil"/>
              <w:bottom w:val="nil"/>
              <w:right w:val="nil"/>
            </w:tcBorders>
            <w:shd w:val="clear" w:color="auto" w:fill="auto"/>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i/>
                <w:iCs/>
                <w:color w:val="000000"/>
              </w:rPr>
              <w:t>p</w:t>
            </w:r>
            <w:r w:rsidRPr="00112E1C">
              <w:rPr>
                <w:rFonts w:ascii="Calibri" w:eastAsia="Times New Roman" w:hAnsi="Calibri" w:cs="Times New Roman"/>
                <w:color w:val="000000"/>
              </w:rPr>
              <w:t>-value</w:t>
            </w:r>
          </w:p>
        </w:tc>
      </w:tr>
      <w:tr w:rsidR="00112E1C" w:rsidRPr="00112E1C" w:rsidTr="00112E1C">
        <w:trPr>
          <w:trHeight w:val="300"/>
        </w:trPr>
        <w:tc>
          <w:tcPr>
            <w:tcW w:w="960" w:type="dxa"/>
            <w:tcBorders>
              <w:top w:val="nil"/>
              <w:left w:val="nil"/>
              <w:bottom w:val="single" w:sz="4" w:space="0" w:color="auto"/>
              <w:right w:val="nil"/>
            </w:tcBorders>
            <w:shd w:val="clear" w:color="auto" w:fill="auto"/>
            <w:noWrap/>
            <w:vAlign w:val="bottom"/>
            <w:hideMark/>
          </w:tcPr>
          <w:p w:rsidR="00112E1C" w:rsidRPr="00112E1C" w:rsidRDefault="00112E1C" w:rsidP="00112E1C">
            <w:pPr>
              <w:spacing w:after="0" w:line="240" w:lineRule="auto"/>
              <w:rPr>
                <w:rFonts w:ascii="Calibri" w:eastAsia="Times New Roman" w:hAnsi="Calibri" w:cs="Times New Roman"/>
                <w:color w:val="000000"/>
              </w:rPr>
            </w:pPr>
            <w:r w:rsidRPr="00112E1C">
              <w:rPr>
                <w:rFonts w:ascii="Calibri" w:eastAsia="Times New Roman" w:hAnsi="Calibri" w:cs="Times New Roman"/>
                <w:color w:val="000000"/>
              </w:rPr>
              <w:t> </w:t>
            </w:r>
          </w:p>
        </w:tc>
        <w:tc>
          <w:tcPr>
            <w:tcW w:w="1643" w:type="dxa"/>
            <w:tcBorders>
              <w:top w:val="nil"/>
              <w:left w:val="nil"/>
              <w:bottom w:val="single" w:sz="4" w:space="0" w:color="auto"/>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w:t>
            </w:r>
          </w:p>
        </w:tc>
        <w:tc>
          <w:tcPr>
            <w:tcW w:w="1038" w:type="dxa"/>
            <w:tcBorders>
              <w:top w:val="nil"/>
              <w:left w:val="nil"/>
              <w:bottom w:val="single" w:sz="4" w:space="0" w:color="auto"/>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(n)</w:t>
            </w:r>
          </w:p>
        </w:tc>
        <w:tc>
          <w:tcPr>
            <w:tcW w:w="1643" w:type="dxa"/>
            <w:tcBorders>
              <w:top w:val="nil"/>
              <w:left w:val="nil"/>
              <w:bottom w:val="single" w:sz="4" w:space="0" w:color="auto"/>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w:t>
            </w:r>
          </w:p>
        </w:tc>
        <w:tc>
          <w:tcPr>
            <w:tcW w:w="796" w:type="dxa"/>
            <w:tcBorders>
              <w:top w:val="nil"/>
              <w:left w:val="nil"/>
              <w:bottom w:val="single" w:sz="4" w:space="0" w:color="auto"/>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(n)</w:t>
            </w:r>
          </w:p>
        </w:tc>
        <w:tc>
          <w:tcPr>
            <w:tcW w:w="960" w:type="dxa"/>
            <w:tcBorders>
              <w:top w:val="nil"/>
              <w:left w:val="nil"/>
              <w:bottom w:val="single" w:sz="4" w:space="0" w:color="auto"/>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 </w:t>
            </w:r>
          </w:p>
        </w:tc>
      </w:tr>
      <w:tr w:rsidR="00112E1C" w:rsidRPr="00112E1C" w:rsidTr="00112E1C">
        <w:trPr>
          <w:trHeight w:val="300"/>
        </w:trPr>
        <w:tc>
          <w:tcPr>
            <w:tcW w:w="960"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MA</w:t>
            </w:r>
          </w:p>
        </w:tc>
        <w:tc>
          <w:tcPr>
            <w:tcW w:w="1643"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55.3%</w:t>
            </w:r>
          </w:p>
        </w:tc>
        <w:tc>
          <w:tcPr>
            <w:tcW w:w="1038"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745</w:t>
            </w:r>
          </w:p>
        </w:tc>
        <w:tc>
          <w:tcPr>
            <w:tcW w:w="1643"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63.3%</w:t>
            </w:r>
          </w:p>
        </w:tc>
        <w:tc>
          <w:tcPr>
            <w:tcW w:w="796"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35</w:t>
            </w:r>
          </w:p>
        </w:tc>
        <w:tc>
          <w:tcPr>
            <w:tcW w:w="960"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0.322</w:t>
            </w:r>
          </w:p>
        </w:tc>
      </w:tr>
      <w:tr w:rsidR="00112E1C" w:rsidRPr="00112E1C" w:rsidTr="00112E1C">
        <w:trPr>
          <w:trHeight w:val="300"/>
        </w:trPr>
        <w:tc>
          <w:tcPr>
            <w:tcW w:w="960"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NY</w:t>
            </w:r>
          </w:p>
        </w:tc>
        <w:tc>
          <w:tcPr>
            <w:tcW w:w="1643"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43.5%</w:t>
            </w:r>
          </w:p>
        </w:tc>
        <w:tc>
          <w:tcPr>
            <w:tcW w:w="1038"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649</w:t>
            </w:r>
          </w:p>
        </w:tc>
        <w:tc>
          <w:tcPr>
            <w:tcW w:w="1643"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30.1%</w:t>
            </w:r>
          </w:p>
        </w:tc>
        <w:tc>
          <w:tcPr>
            <w:tcW w:w="796"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26</w:t>
            </w:r>
          </w:p>
        </w:tc>
        <w:tc>
          <w:tcPr>
            <w:tcW w:w="960"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0.342</w:t>
            </w:r>
          </w:p>
        </w:tc>
      </w:tr>
      <w:tr w:rsidR="00112E1C" w:rsidRPr="00112E1C" w:rsidTr="00112E1C">
        <w:trPr>
          <w:trHeight w:val="300"/>
        </w:trPr>
        <w:tc>
          <w:tcPr>
            <w:tcW w:w="960"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NC</w:t>
            </w:r>
          </w:p>
        </w:tc>
        <w:tc>
          <w:tcPr>
            <w:tcW w:w="1643"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29.5%</w:t>
            </w:r>
          </w:p>
        </w:tc>
        <w:tc>
          <w:tcPr>
            <w:tcW w:w="1038"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609</w:t>
            </w:r>
          </w:p>
        </w:tc>
        <w:tc>
          <w:tcPr>
            <w:tcW w:w="1643"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44.2%</w:t>
            </w:r>
          </w:p>
        </w:tc>
        <w:tc>
          <w:tcPr>
            <w:tcW w:w="796"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35</w:t>
            </w:r>
          </w:p>
        </w:tc>
        <w:tc>
          <w:tcPr>
            <w:tcW w:w="960" w:type="dxa"/>
            <w:tcBorders>
              <w:top w:val="nil"/>
              <w:left w:val="nil"/>
              <w:bottom w:val="nil"/>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0.472</w:t>
            </w:r>
          </w:p>
        </w:tc>
      </w:tr>
      <w:tr w:rsidR="00112E1C" w:rsidRPr="00112E1C" w:rsidTr="00112E1C">
        <w:trPr>
          <w:trHeight w:val="300"/>
        </w:trPr>
        <w:tc>
          <w:tcPr>
            <w:tcW w:w="960" w:type="dxa"/>
            <w:tcBorders>
              <w:top w:val="nil"/>
              <w:left w:val="nil"/>
              <w:bottom w:val="single" w:sz="4" w:space="0" w:color="auto"/>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FL</w:t>
            </w:r>
          </w:p>
        </w:tc>
        <w:tc>
          <w:tcPr>
            <w:tcW w:w="1643" w:type="dxa"/>
            <w:tcBorders>
              <w:top w:val="nil"/>
              <w:left w:val="nil"/>
              <w:bottom w:val="single" w:sz="4" w:space="0" w:color="auto"/>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43.5%</w:t>
            </w:r>
          </w:p>
        </w:tc>
        <w:tc>
          <w:tcPr>
            <w:tcW w:w="1038" w:type="dxa"/>
            <w:tcBorders>
              <w:top w:val="nil"/>
              <w:left w:val="nil"/>
              <w:bottom w:val="single" w:sz="4" w:space="0" w:color="auto"/>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589</w:t>
            </w:r>
          </w:p>
        </w:tc>
        <w:tc>
          <w:tcPr>
            <w:tcW w:w="1643" w:type="dxa"/>
            <w:tcBorders>
              <w:top w:val="nil"/>
              <w:left w:val="nil"/>
              <w:bottom w:val="single" w:sz="4" w:space="0" w:color="auto"/>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37.1%</w:t>
            </w:r>
          </w:p>
        </w:tc>
        <w:tc>
          <w:tcPr>
            <w:tcW w:w="796" w:type="dxa"/>
            <w:tcBorders>
              <w:top w:val="nil"/>
              <w:left w:val="nil"/>
              <w:bottom w:val="single" w:sz="4" w:space="0" w:color="auto"/>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28</w:t>
            </w:r>
          </w:p>
        </w:tc>
        <w:tc>
          <w:tcPr>
            <w:tcW w:w="960" w:type="dxa"/>
            <w:tcBorders>
              <w:top w:val="nil"/>
              <w:left w:val="nil"/>
              <w:bottom w:val="single" w:sz="4" w:space="0" w:color="auto"/>
              <w:right w:val="nil"/>
            </w:tcBorders>
            <w:shd w:val="clear" w:color="auto" w:fill="auto"/>
            <w:noWrap/>
            <w:vAlign w:val="bottom"/>
            <w:hideMark/>
          </w:tcPr>
          <w:p w:rsidR="00112E1C" w:rsidRPr="00112E1C" w:rsidRDefault="00112E1C" w:rsidP="00112E1C">
            <w:pPr>
              <w:spacing w:after="0" w:line="240" w:lineRule="auto"/>
              <w:jc w:val="center"/>
              <w:rPr>
                <w:rFonts w:ascii="Calibri" w:eastAsia="Times New Roman" w:hAnsi="Calibri" w:cs="Times New Roman"/>
                <w:color w:val="000000"/>
              </w:rPr>
            </w:pPr>
            <w:r w:rsidRPr="00112E1C">
              <w:rPr>
                <w:rFonts w:ascii="Calibri" w:eastAsia="Times New Roman" w:hAnsi="Calibri" w:cs="Times New Roman"/>
                <w:color w:val="000000"/>
              </w:rPr>
              <w:t>0.418</w:t>
            </w:r>
          </w:p>
        </w:tc>
      </w:tr>
    </w:tbl>
    <w:p w:rsidR="00631612" w:rsidRDefault="00631612" w:rsidP="00631612">
      <w:pPr>
        <w:pStyle w:val="L1-FlLSp12"/>
        <w:spacing w:line="240" w:lineRule="auto"/>
        <w:rPr>
          <w:rFonts w:ascii="Times New Roman" w:hAnsi="Times New Roman"/>
        </w:rPr>
      </w:pPr>
      <w:r>
        <w:rPr>
          <w:rFonts w:ascii="Times New Roman" w:hAnsi="Times New Roman"/>
        </w:rPr>
        <w:t>Notes – Comparisons between full sample data and NRFU include four waves of data collection, wave 5, 2012 – wave 2, 2013.</w:t>
      </w:r>
    </w:p>
    <w:p w:rsidR="00631612" w:rsidRDefault="00631612" w:rsidP="00B7161D">
      <w:pPr>
        <w:rPr>
          <w:rFonts w:ascii="Times New Roman" w:hAnsi="Times New Roman" w:cs="Times New Roman"/>
          <w:b/>
          <w:sz w:val="24"/>
          <w:szCs w:val="24"/>
        </w:rPr>
      </w:pPr>
    </w:p>
    <w:p w:rsidR="00B7161D" w:rsidRPr="00C80A90" w:rsidRDefault="00B7161D" w:rsidP="00B7161D">
      <w:pPr>
        <w:rPr>
          <w:rFonts w:ascii="Times New Roman" w:hAnsi="Times New Roman" w:cs="Times New Roman"/>
          <w:b/>
          <w:sz w:val="24"/>
          <w:szCs w:val="24"/>
        </w:rPr>
      </w:pPr>
      <w:r w:rsidRPr="00C80A90">
        <w:rPr>
          <w:rFonts w:ascii="Times New Roman" w:hAnsi="Times New Roman" w:cs="Times New Roman"/>
          <w:b/>
          <w:sz w:val="24"/>
          <w:szCs w:val="24"/>
        </w:rPr>
        <w:t>Early vs. Late Responders</w:t>
      </w:r>
    </w:p>
    <w:p w:rsidR="00B7161D" w:rsidRDefault="00B7161D" w:rsidP="00B7161D">
      <w:pPr>
        <w:rPr>
          <w:rFonts w:ascii="Times New Roman" w:hAnsi="Times New Roman" w:cs="Times New Roman"/>
          <w:sz w:val="24"/>
          <w:szCs w:val="24"/>
        </w:rPr>
      </w:pPr>
      <w:r>
        <w:rPr>
          <w:rFonts w:ascii="Times New Roman" w:hAnsi="Times New Roman" w:cs="Times New Roman"/>
          <w:sz w:val="24"/>
          <w:szCs w:val="24"/>
        </w:rPr>
        <w:t>We also assessed nonresponse bias by comparing final prevalence estimates, generated from complete sample data</w:t>
      </w:r>
      <w:r w:rsidR="00C80A90">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to preliminary prevalence estimates, derived from survey data collected within three weeks of the conclusion of each wave.  </w:t>
      </w:r>
    </w:p>
    <w:p w:rsidR="00C80A90" w:rsidRDefault="00C80A90">
      <w:r>
        <w:rPr>
          <w:rFonts w:ascii="Times New Roman" w:hAnsi="Times New Roman" w:cs="Times New Roman"/>
          <w:sz w:val="24"/>
          <w:szCs w:val="24"/>
        </w:rPr>
        <w:t xml:space="preserve">Table 3 shows that there are no significant differences between preliminary and final estimates for either the RAS or NAS, verifying the results from the NRFU.    </w:t>
      </w:r>
      <w:r>
        <w:br w:type="page"/>
      </w:r>
    </w:p>
    <w:p w:rsidR="00FF652C" w:rsidRDefault="00FF652C" w:rsidP="00FF652C">
      <w:pPr>
        <w:rPr>
          <w:rFonts w:ascii="Times New Roman" w:hAnsi="Times New Roman" w:cs="Times New Roman"/>
          <w:sz w:val="24"/>
          <w:szCs w:val="24"/>
        </w:rPr>
      </w:pPr>
      <w:proofErr w:type="gramStart"/>
      <w:r>
        <w:rPr>
          <w:rFonts w:ascii="Times New Roman" w:hAnsi="Times New Roman" w:cs="Times New Roman"/>
          <w:sz w:val="24"/>
          <w:szCs w:val="24"/>
        </w:rPr>
        <w:lastRenderedPageBreak/>
        <w:t>Table 3</w:t>
      </w:r>
      <w:r w:rsidRPr="00AE14B7">
        <w:rPr>
          <w:rFonts w:ascii="Times New Roman" w:hAnsi="Times New Roman" w:cs="Times New Roman"/>
          <w:sz w:val="24"/>
          <w:szCs w:val="24"/>
        </w:rPr>
        <w:t>.</w:t>
      </w:r>
      <w:proofErr w:type="gramEnd"/>
      <w:r w:rsidRPr="00AE14B7">
        <w:rPr>
          <w:rFonts w:ascii="Times New Roman" w:hAnsi="Times New Roman" w:cs="Times New Roman"/>
          <w:sz w:val="24"/>
          <w:szCs w:val="24"/>
        </w:rPr>
        <w:t xml:space="preserve"> </w:t>
      </w:r>
      <w:r>
        <w:rPr>
          <w:rFonts w:ascii="Times New Roman" w:hAnsi="Times New Roman" w:cs="Times New Roman"/>
          <w:sz w:val="24"/>
          <w:szCs w:val="24"/>
        </w:rPr>
        <w:t>Final and preliminary fishing prevalence estimates</w:t>
      </w:r>
      <w:r w:rsidRPr="00AE14B7">
        <w:rPr>
          <w:rFonts w:ascii="Times New Roman" w:hAnsi="Times New Roman" w:cs="Times New Roman"/>
          <w:sz w:val="24"/>
          <w:szCs w:val="24"/>
        </w:rPr>
        <w:t xml:space="preserve"> for the (a) Resident Angler Survey and the (b) Non-Resident Angler Survey.</w:t>
      </w:r>
    </w:p>
    <w:p w:rsidR="00FF652C" w:rsidRDefault="00FF652C" w:rsidP="00FF652C">
      <w:pPr>
        <w:rPr>
          <w:rFonts w:ascii="Times New Roman" w:hAnsi="Times New Roman" w:cs="Times New Roman"/>
          <w:sz w:val="24"/>
          <w:szCs w:val="24"/>
        </w:rPr>
      </w:pPr>
      <w:r>
        <w:rPr>
          <w:rFonts w:ascii="Times New Roman" w:hAnsi="Times New Roman" w:cs="Times New Roman"/>
          <w:sz w:val="24"/>
          <w:szCs w:val="24"/>
        </w:rPr>
        <w:t>(a)</w:t>
      </w:r>
    </w:p>
    <w:tbl>
      <w:tblPr>
        <w:tblW w:w="6880" w:type="dxa"/>
        <w:tblInd w:w="93" w:type="dxa"/>
        <w:tblLook w:val="04A0" w:firstRow="1" w:lastRow="0" w:firstColumn="1" w:lastColumn="0" w:noHBand="0" w:noVBand="1"/>
      </w:tblPr>
      <w:tblGrid>
        <w:gridCol w:w="960"/>
        <w:gridCol w:w="1359"/>
        <w:gridCol w:w="1121"/>
        <w:gridCol w:w="1359"/>
        <w:gridCol w:w="1121"/>
        <w:gridCol w:w="960"/>
      </w:tblGrid>
      <w:tr w:rsidR="00FF652C" w:rsidRPr="00FF652C" w:rsidTr="00FF652C">
        <w:trPr>
          <w:trHeight w:val="300"/>
        </w:trPr>
        <w:tc>
          <w:tcPr>
            <w:tcW w:w="960" w:type="dxa"/>
            <w:tcBorders>
              <w:top w:val="single" w:sz="4" w:space="0" w:color="auto"/>
              <w:left w:val="nil"/>
              <w:bottom w:val="nil"/>
              <w:right w:val="nil"/>
            </w:tcBorders>
            <w:shd w:val="clear" w:color="auto" w:fill="auto"/>
            <w:noWrap/>
            <w:vAlign w:val="bottom"/>
            <w:hideMark/>
          </w:tcPr>
          <w:p w:rsidR="00FF652C" w:rsidRPr="00FF652C" w:rsidRDefault="00FF652C" w:rsidP="00FF652C">
            <w:pPr>
              <w:spacing w:after="0" w:line="240" w:lineRule="auto"/>
              <w:rPr>
                <w:rFonts w:ascii="Calibri" w:eastAsia="Times New Roman" w:hAnsi="Calibri" w:cs="Times New Roman"/>
                <w:color w:val="000000"/>
              </w:rPr>
            </w:pPr>
            <w:r w:rsidRPr="00FF652C">
              <w:rPr>
                <w:rFonts w:ascii="Calibri" w:eastAsia="Times New Roman" w:hAnsi="Calibri" w:cs="Times New Roman"/>
                <w:color w:val="000000"/>
              </w:rPr>
              <w:t> </w:t>
            </w:r>
          </w:p>
        </w:tc>
        <w:tc>
          <w:tcPr>
            <w:tcW w:w="4960" w:type="dxa"/>
            <w:gridSpan w:val="4"/>
            <w:tcBorders>
              <w:top w:val="single" w:sz="4" w:space="0" w:color="auto"/>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Estimated Fishing Prevalence (RAS)</w:t>
            </w:r>
          </w:p>
        </w:tc>
        <w:tc>
          <w:tcPr>
            <w:tcW w:w="960" w:type="dxa"/>
            <w:tcBorders>
              <w:top w:val="single" w:sz="4" w:space="0" w:color="auto"/>
              <w:left w:val="nil"/>
              <w:bottom w:val="nil"/>
              <w:right w:val="nil"/>
            </w:tcBorders>
            <w:shd w:val="clear" w:color="auto" w:fill="auto"/>
            <w:noWrap/>
            <w:vAlign w:val="bottom"/>
            <w:hideMark/>
          </w:tcPr>
          <w:p w:rsidR="00FF652C" w:rsidRPr="00FF652C" w:rsidRDefault="00FF652C" w:rsidP="00FF652C">
            <w:pPr>
              <w:spacing w:after="0" w:line="240" w:lineRule="auto"/>
              <w:rPr>
                <w:rFonts w:ascii="Calibri" w:eastAsia="Times New Roman" w:hAnsi="Calibri" w:cs="Times New Roman"/>
                <w:color w:val="000000"/>
              </w:rPr>
            </w:pPr>
            <w:r w:rsidRPr="00FF652C">
              <w:rPr>
                <w:rFonts w:ascii="Calibri" w:eastAsia="Times New Roman" w:hAnsi="Calibri" w:cs="Times New Roman"/>
                <w:color w:val="000000"/>
              </w:rPr>
              <w:t> </w:t>
            </w:r>
          </w:p>
        </w:tc>
      </w:tr>
      <w:tr w:rsidR="00FF652C" w:rsidRPr="00FF652C" w:rsidTr="00FF652C">
        <w:trPr>
          <w:trHeight w:val="330"/>
        </w:trPr>
        <w:tc>
          <w:tcPr>
            <w:tcW w:w="96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State</w:t>
            </w:r>
          </w:p>
        </w:tc>
        <w:tc>
          <w:tcPr>
            <w:tcW w:w="2480" w:type="dxa"/>
            <w:gridSpan w:val="2"/>
            <w:tcBorders>
              <w:top w:val="nil"/>
              <w:left w:val="nil"/>
              <w:bottom w:val="nil"/>
              <w:right w:val="nil"/>
            </w:tcBorders>
            <w:shd w:val="clear" w:color="auto" w:fill="auto"/>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Final Estimate</w:t>
            </w:r>
          </w:p>
        </w:tc>
        <w:tc>
          <w:tcPr>
            <w:tcW w:w="2480" w:type="dxa"/>
            <w:gridSpan w:val="2"/>
            <w:tcBorders>
              <w:top w:val="nil"/>
              <w:left w:val="nil"/>
              <w:bottom w:val="nil"/>
              <w:right w:val="nil"/>
            </w:tcBorders>
            <w:shd w:val="clear" w:color="auto" w:fill="auto"/>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Preliminary Estimate</w:t>
            </w:r>
          </w:p>
        </w:tc>
        <w:tc>
          <w:tcPr>
            <w:tcW w:w="960" w:type="dxa"/>
            <w:tcBorders>
              <w:top w:val="nil"/>
              <w:left w:val="nil"/>
              <w:bottom w:val="nil"/>
              <w:right w:val="nil"/>
            </w:tcBorders>
            <w:shd w:val="clear" w:color="auto" w:fill="auto"/>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i/>
                <w:iCs/>
                <w:color w:val="000000"/>
              </w:rPr>
              <w:t>p</w:t>
            </w:r>
            <w:r w:rsidRPr="00FF652C">
              <w:rPr>
                <w:rFonts w:ascii="Calibri" w:eastAsia="Times New Roman" w:hAnsi="Calibri" w:cs="Times New Roman"/>
                <w:color w:val="000000"/>
              </w:rPr>
              <w:t>-value</w:t>
            </w:r>
          </w:p>
        </w:tc>
      </w:tr>
      <w:tr w:rsidR="00FF652C" w:rsidRPr="00FF652C" w:rsidTr="00FF652C">
        <w:trPr>
          <w:trHeight w:val="270"/>
        </w:trPr>
        <w:tc>
          <w:tcPr>
            <w:tcW w:w="960" w:type="dxa"/>
            <w:tcBorders>
              <w:top w:val="nil"/>
              <w:left w:val="nil"/>
              <w:bottom w:val="single" w:sz="4" w:space="0" w:color="auto"/>
              <w:right w:val="nil"/>
            </w:tcBorders>
            <w:shd w:val="clear" w:color="auto" w:fill="auto"/>
            <w:noWrap/>
            <w:vAlign w:val="bottom"/>
            <w:hideMark/>
          </w:tcPr>
          <w:p w:rsidR="00FF652C" w:rsidRPr="00FF652C" w:rsidRDefault="00FF652C" w:rsidP="00FF652C">
            <w:pPr>
              <w:spacing w:after="0" w:line="240" w:lineRule="auto"/>
              <w:rPr>
                <w:rFonts w:ascii="Calibri" w:eastAsia="Times New Roman" w:hAnsi="Calibri" w:cs="Times New Roman"/>
                <w:color w:val="000000"/>
              </w:rPr>
            </w:pPr>
            <w:r w:rsidRPr="00FF652C">
              <w:rPr>
                <w:rFonts w:ascii="Calibri" w:eastAsia="Times New Roman" w:hAnsi="Calibri" w:cs="Times New Roman"/>
                <w:color w:val="000000"/>
              </w:rPr>
              <w:t> </w:t>
            </w:r>
          </w:p>
        </w:tc>
        <w:tc>
          <w:tcPr>
            <w:tcW w:w="1359" w:type="dxa"/>
            <w:tcBorders>
              <w:top w:val="nil"/>
              <w:left w:val="nil"/>
              <w:bottom w:val="single" w:sz="4" w:space="0" w:color="auto"/>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w:t>
            </w:r>
          </w:p>
        </w:tc>
        <w:tc>
          <w:tcPr>
            <w:tcW w:w="1121" w:type="dxa"/>
            <w:tcBorders>
              <w:top w:val="nil"/>
              <w:left w:val="nil"/>
              <w:bottom w:val="single" w:sz="4" w:space="0" w:color="auto"/>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(n)</w:t>
            </w:r>
          </w:p>
        </w:tc>
        <w:tc>
          <w:tcPr>
            <w:tcW w:w="1359" w:type="dxa"/>
            <w:tcBorders>
              <w:top w:val="nil"/>
              <w:left w:val="nil"/>
              <w:bottom w:val="single" w:sz="4" w:space="0" w:color="auto"/>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w:t>
            </w:r>
          </w:p>
        </w:tc>
        <w:tc>
          <w:tcPr>
            <w:tcW w:w="1121" w:type="dxa"/>
            <w:tcBorders>
              <w:top w:val="nil"/>
              <w:left w:val="nil"/>
              <w:bottom w:val="single" w:sz="4" w:space="0" w:color="auto"/>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(n)</w:t>
            </w:r>
          </w:p>
        </w:tc>
        <w:tc>
          <w:tcPr>
            <w:tcW w:w="960" w:type="dxa"/>
            <w:tcBorders>
              <w:top w:val="nil"/>
              <w:left w:val="nil"/>
              <w:bottom w:val="single" w:sz="4" w:space="0" w:color="auto"/>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 </w:t>
            </w:r>
          </w:p>
        </w:tc>
      </w:tr>
      <w:tr w:rsidR="00FF652C" w:rsidRPr="00FF652C" w:rsidTr="00FF652C">
        <w:trPr>
          <w:trHeight w:val="300"/>
        </w:trPr>
        <w:tc>
          <w:tcPr>
            <w:tcW w:w="96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MA</w:t>
            </w:r>
          </w:p>
        </w:tc>
        <w:tc>
          <w:tcPr>
            <w:tcW w:w="1359"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10.1%</w:t>
            </w:r>
          </w:p>
        </w:tc>
        <w:tc>
          <w:tcPr>
            <w:tcW w:w="1121"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7982</w:t>
            </w:r>
          </w:p>
        </w:tc>
        <w:tc>
          <w:tcPr>
            <w:tcW w:w="1359"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9.8%</w:t>
            </w:r>
          </w:p>
        </w:tc>
        <w:tc>
          <w:tcPr>
            <w:tcW w:w="1121"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5811</w:t>
            </w:r>
          </w:p>
        </w:tc>
        <w:tc>
          <w:tcPr>
            <w:tcW w:w="96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0.610</w:t>
            </w:r>
          </w:p>
        </w:tc>
      </w:tr>
      <w:tr w:rsidR="00FF652C" w:rsidRPr="00FF652C" w:rsidTr="00FF652C">
        <w:trPr>
          <w:trHeight w:val="300"/>
        </w:trPr>
        <w:tc>
          <w:tcPr>
            <w:tcW w:w="96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NY</w:t>
            </w:r>
          </w:p>
        </w:tc>
        <w:tc>
          <w:tcPr>
            <w:tcW w:w="1359"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8.1%</w:t>
            </w:r>
          </w:p>
        </w:tc>
        <w:tc>
          <w:tcPr>
            <w:tcW w:w="1121"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6183</w:t>
            </w:r>
          </w:p>
        </w:tc>
        <w:tc>
          <w:tcPr>
            <w:tcW w:w="1359"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7.9%</w:t>
            </w:r>
          </w:p>
        </w:tc>
        <w:tc>
          <w:tcPr>
            <w:tcW w:w="1121"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4532</w:t>
            </w:r>
          </w:p>
        </w:tc>
        <w:tc>
          <w:tcPr>
            <w:tcW w:w="96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0.689</w:t>
            </w:r>
          </w:p>
        </w:tc>
      </w:tr>
      <w:tr w:rsidR="00FF652C" w:rsidRPr="00FF652C" w:rsidTr="00FF652C">
        <w:trPr>
          <w:trHeight w:val="300"/>
        </w:trPr>
        <w:tc>
          <w:tcPr>
            <w:tcW w:w="96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NC</w:t>
            </w:r>
          </w:p>
        </w:tc>
        <w:tc>
          <w:tcPr>
            <w:tcW w:w="1359"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11.1%</w:t>
            </w:r>
          </w:p>
        </w:tc>
        <w:tc>
          <w:tcPr>
            <w:tcW w:w="1121"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9839</w:t>
            </w:r>
          </w:p>
        </w:tc>
        <w:tc>
          <w:tcPr>
            <w:tcW w:w="1359"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11.0%</w:t>
            </w:r>
          </w:p>
        </w:tc>
        <w:tc>
          <w:tcPr>
            <w:tcW w:w="1121"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7413</w:t>
            </w:r>
          </w:p>
        </w:tc>
        <w:tc>
          <w:tcPr>
            <w:tcW w:w="96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0.944</w:t>
            </w:r>
          </w:p>
        </w:tc>
      </w:tr>
      <w:tr w:rsidR="00FF652C" w:rsidRPr="00FF652C" w:rsidTr="00FF652C">
        <w:trPr>
          <w:trHeight w:val="300"/>
        </w:trPr>
        <w:tc>
          <w:tcPr>
            <w:tcW w:w="960" w:type="dxa"/>
            <w:tcBorders>
              <w:top w:val="nil"/>
              <w:left w:val="nil"/>
              <w:bottom w:val="single" w:sz="4" w:space="0" w:color="auto"/>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FL</w:t>
            </w:r>
          </w:p>
        </w:tc>
        <w:tc>
          <w:tcPr>
            <w:tcW w:w="1359" w:type="dxa"/>
            <w:tcBorders>
              <w:top w:val="nil"/>
              <w:left w:val="nil"/>
              <w:bottom w:val="single" w:sz="4" w:space="0" w:color="auto"/>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22.0%</w:t>
            </w:r>
          </w:p>
        </w:tc>
        <w:tc>
          <w:tcPr>
            <w:tcW w:w="1121" w:type="dxa"/>
            <w:tcBorders>
              <w:top w:val="nil"/>
              <w:left w:val="nil"/>
              <w:bottom w:val="single" w:sz="4" w:space="0" w:color="auto"/>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8342</w:t>
            </w:r>
          </w:p>
        </w:tc>
        <w:tc>
          <w:tcPr>
            <w:tcW w:w="1359" w:type="dxa"/>
            <w:tcBorders>
              <w:top w:val="nil"/>
              <w:left w:val="nil"/>
              <w:bottom w:val="single" w:sz="4" w:space="0" w:color="auto"/>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22.6%</w:t>
            </w:r>
          </w:p>
        </w:tc>
        <w:tc>
          <w:tcPr>
            <w:tcW w:w="1121" w:type="dxa"/>
            <w:tcBorders>
              <w:top w:val="nil"/>
              <w:left w:val="nil"/>
              <w:bottom w:val="single" w:sz="4" w:space="0" w:color="auto"/>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6197</w:t>
            </w:r>
          </w:p>
        </w:tc>
        <w:tc>
          <w:tcPr>
            <w:tcW w:w="960" w:type="dxa"/>
            <w:tcBorders>
              <w:top w:val="nil"/>
              <w:left w:val="nil"/>
              <w:bottom w:val="single" w:sz="4" w:space="0" w:color="auto"/>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0.384</w:t>
            </w:r>
          </w:p>
        </w:tc>
      </w:tr>
    </w:tbl>
    <w:p w:rsidR="00FF652C" w:rsidRDefault="00FF652C" w:rsidP="00FF652C">
      <w:pPr>
        <w:rPr>
          <w:rFonts w:ascii="Times New Roman" w:hAnsi="Times New Roman" w:cs="Times New Roman"/>
          <w:sz w:val="24"/>
          <w:szCs w:val="24"/>
        </w:rPr>
      </w:pPr>
    </w:p>
    <w:p w:rsidR="00FF652C" w:rsidRDefault="00FF652C" w:rsidP="00FF652C">
      <w:pPr>
        <w:rPr>
          <w:rFonts w:ascii="Times New Roman" w:hAnsi="Times New Roman" w:cs="Times New Roman"/>
          <w:sz w:val="24"/>
          <w:szCs w:val="24"/>
        </w:rPr>
      </w:pPr>
      <w:r>
        <w:rPr>
          <w:rFonts w:ascii="Times New Roman" w:hAnsi="Times New Roman" w:cs="Times New Roman"/>
          <w:sz w:val="24"/>
          <w:szCs w:val="24"/>
        </w:rPr>
        <w:t>(b)</w:t>
      </w:r>
    </w:p>
    <w:tbl>
      <w:tblPr>
        <w:tblW w:w="6880" w:type="dxa"/>
        <w:tblInd w:w="93" w:type="dxa"/>
        <w:tblLook w:val="04A0" w:firstRow="1" w:lastRow="0" w:firstColumn="1" w:lastColumn="0" w:noHBand="0" w:noVBand="1"/>
      </w:tblPr>
      <w:tblGrid>
        <w:gridCol w:w="960"/>
        <w:gridCol w:w="1520"/>
        <w:gridCol w:w="960"/>
        <w:gridCol w:w="1520"/>
        <w:gridCol w:w="960"/>
        <w:gridCol w:w="960"/>
      </w:tblGrid>
      <w:tr w:rsidR="00FF652C" w:rsidRPr="00FF652C" w:rsidTr="00FF652C">
        <w:trPr>
          <w:trHeight w:val="300"/>
        </w:trPr>
        <w:tc>
          <w:tcPr>
            <w:tcW w:w="960" w:type="dxa"/>
            <w:tcBorders>
              <w:top w:val="single" w:sz="4" w:space="0" w:color="auto"/>
              <w:left w:val="nil"/>
              <w:bottom w:val="nil"/>
              <w:right w:val="nil"/>
            </w:tcBorders>
            <w:shd w:val="clear" w:color="auto" w:fill="auto"/>
            <w:noWrap/>
            <w:vAlign w:val="bottom"/>
            <w:hideMark/>
          </w:tcPr>
          <w:p w:rsidR="00FF652C" w:rsidRPr="00FF652C" w:rsidRDefault="00FF652C" w:rsidP="00FF652C">
            <w:pPr>
              <w:spacing w:after="0" w:line="240" w:lineRule="auto"/>
              <w:rPr>
                <w:rFonts w:ascii="Calibri" w:eastAsia="Times New Roman" w:hAnsi="Calibri" w:cs="Times New Roman"/>
                <w:color w:val="000000"/>
              </w:rPr>
            </w:pPr>
            <w:r w:rsidRPr="00FF652C">
              <w:rPr>
                <w:rFonts w:ascii="Calibri" w:eastAsia="Times New Roman" w:hAnsi="Calibri" w:cs="Times New Roman"/>
                <w:color w:val="000000"/>
              </w:rPr>
              <w:t> </w:t>
            </w:r>
          </w:p>
        </w:tc>
        <w:tc>
          <w:tcPr>
            <w:tcW w:w="4960" w:type="dxa"/>
            <w:gridSpan w:val="4"/>
            <w:tcBorders>
              <w:top w:val="single" w:sz="4" w:space="0" w:color="auto"/>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Estimated Fishing Prevalence (NAS)</w:t>
            </w:r>
          </w:p>
        </w:tc>
        <w:tc>
          <w:tcPr>
            <w:tcW w:w="960" w:type="dxa"/>
            <w:tcBorders>
              <w:top w:val="single" w:sz="4" w:space="0" w:color="auto"/>
              <w:left w:val="nil"/>
              <w:bottom w:val="nil"/>
              <w:right w:val="nil"/>
            </w:tcBorders>
            <w:shd w:val="clear" w:color="auto" w:fill="auto"/>
            <w:noWrap/>
            <w:vAlign w:val="bottom"/>
            <w:hideMark/>
          </w:tcPr>
          <w:p w:rsidR="00FF652C" w:rsidRPr="00FF652C" w:rsidRDefault="00FF652C" w:rsidP="00FF652C">
            <w:pPr>
              <w:spacing w:after="0" w:line="240" w:lineRule="auto"/>
              <w:rPr>
                <w:rFonts w:ascii="Calibri" w:eastAsia="Times New Roman" w:hAnsi="Calibri" w:cs="Times New Roman"/>
                <w:color w:val="000000"/>
              </w:rPr>
            </w:pPr>
            <w:r w:rsidRPr="00FF652C">
              <w:rPr>
                <w:rFonts w:ascii="Calibri" w:eastAsia="Times New Roman" w:hAnsi="Calibri" w:cs="Times New Roman"/>
                <w:color w:val="000000"/>
              </w:rPr>
              <w:t> </w:t>
            </w:r>
          </w:p>
        </w:tc>
      </w:tr>
      <w:tr w:rsidR="00FF652C" w:rsidRPr="00FF652C" w:rsidTr="00FF652C">
        <w:trPr>
          <w:trHeight w:val="300"/>
        </w:trPr>
        <w:tc>
          <w:tcPr>
            <w:tcW w:w="96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State</w:t>
            </w:r>
          </w:p>
        </w:tc>
        <w:tc>
          <w:tcPr>
            <w:tcW w:w="2480" w:type="dxa"/>
            <w:gridSpan w:val="2"/>
            <w:tcBorders>
              <w:top w:val="nil"/>
              <w:left w:val="nil"/>
              <w:bottom w:val="nil"/>
              <w:right w:val="nil"/>
            </w:tcBorders>
            <w:shd w:val="clear" w:color="auto" w:fill="auto"/>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Final Estimate</w:t>
            </w:r>
          </w:p>
        </w:tc>
        <w:tc>
          <w:tcPr>
            <w:tcW w:w="2480" w:type="dxa"/>
            <w:gridSpan w:val="2"/>
            <w:tcBorders>
              <w:top w:val="nil"/>
              <w:left w:val="nil"/>
              <w:bottom w:val="nil"/>
              <w:right w:val="nil"/>
            </w:tcBorders>
            <w:shd w:val="clear" w:color="auto" w:fill="auto"/>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Preliminary Estimate</w:t>
            </w:r>
          </w:p>
        </w:tc>
        <w:tc>
          <w:tcPr>
            <w:tcW w:w="960" w:type="dxa"/>
            <w:tcBorders>
              <w:top w:val="nil"/>
              <w:left w:val="nil"/>
              <w:bottom w:val="nil"/>
              <w:right w:val="nil"/>
            </w:tcBorders>
            <w:shd w:val="clear" w:color="auto" w:fill="auto"/>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i/>
                <w:iCs/>
                <w:color w:val="000000"/>
              </w:rPr>
              <w:t>p</w:t>
            </w:r>
            <w:r w:rsidRPr="00FF652C">
              <w:rPr>
                <w:rFonts w:ascii="Calibri" w:eastAsia="Times New Roman" w:hAnsi="Calibri" w:cs="Times New Roman"/>
                <w:color w:val="000000"/>
              </w:rPr>
              <w:t>-value</w:t>
            </w:r>
          </w:p>
        </w:tc>
      </w:tr>
      <w:tr w:rsidR="00FF652C" w:rsidRPr="00FF652C" w:rsidTr="00FF652C">
        <w:trPr>
          <w:trHeight w:val="300"/>
        </w:trPr>
        <w:tc>
          <w:tcPr>
            <w:tcW w:w="960" w:type="dxa"/>
            <w:tcBorders>
              <w:top w:val="nil"/>
              <w:left w:val="nil"/>
              <w:bottom w:val="single" w:sz="4" w:space="0" w:color="auto"/>
              <w:right w:val="nil"/>
            </w:tcBorders>
            <w:shd w:val="clear" w:color="auto" w:fill="auto"/>
            <w:noWrap/>
            <w:vAlign w:val="bottom"/>
            <w:hideMark/>
          </w:tcPr>
          <w:p w:rsidR="00FF652C" w:rsidRPr="00FF652C" w:rsidRDefault="00FF652C" w:rsidP="00FF652C">
            <w:pPr>
              <w:spacing w:after="0" w:line="240" w:lineRule="auto"/>
              <w:rPr>
                <w:rFonts w:ascii="Calibri" w:eastAsia="Times New Roman" w:hAnsi="Calibri" w:cs="Times New Roman"/>
                <w:color w:val="000000"/>
              </w:rPr>
            </w:pPr>
            <w:r w:rsidRPr="00FF652C">
              <w:rPr>
                <w:rFonts w:ascii="Calibri" w:eastAsia="Times New Roman" w:hAnsi="Calibri" w:cs="Times New Roman"/>
                <w:color w:val="000000"/>
              </w:rPr>
              <w:t> </w:t>
            </w:r>
          </w:p>
        </w:tc>
        <w:tc>
          <w:tcPr>
            <w:tcW w:w="1520" w:type="dxa"/>
            <w:tcBorders>
              <w:top w:val="nil"/>
              <w:left w:val="nil"/>
              <w:bottom w:val="single" w:sz="4" w:space="0" w:color="auto"/>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w:t>
            </w:r>
          </w:p>
        </w:tc>
        <w:tc>
          <w:tcPr>
            <w:tcW w:w="960" w:type="dxa"/>
            <w:tcBorders>
              <w:top w:val="nil"/>
              <w:left w:val="nil"/>
              <w:bottom w:val="single" w:sz="4" w:space="0" w:color="auto"/>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(n)</w:t>
            </w:r>
          </w:p>
        </w:tc>
        <w:tc>
          <w:tcPr>
            <w:tcW w:w="1520" w:type="dxa"/>
            <w:tcBorders>
              <w:top w:val="nil"/>
              <w:left w:val="nil"/>
              <w:bottom w:val="single" w:sz="4" w:space="0" w:color="auto"/>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w:t>
            </w:r>
          </w:p>
        </w:tc>
        <w:tc>
          <w:tcPr>
            <w:tcW w:w="960" w:type="dxa"/>
            <w:tcBorders>
              <w:top w:val="nil"/>
              <w:left w:val="nil"/>
              <w:bottom w:val="single" w:sz="4" w:space="0" w:color="auto"/>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(n)</w:t>
            </w:r>
          </w:p>
        </w:tc>
        <w:tc>
          <w:tcPr>
            <w:tcW w:w="960" w:type="dxa"/>
            <w:tcBorders>
              <w:top w:val="nil"/>
              <w:left w:val="nil"/>
              <w:bottom w:val="single" w:sz="4" w:space="0" w:color="auto"/>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 </w:t>
            </w:r>
          </w:p>
        </w:tc>
      </w:tr>
      <w:tr w:rsidR="00FF652C" w:rsidRPr="00FF652C" w:rsidTr="00FF652C">
        <w:trPr>
          <w:trHeight w:val="300"/>
        </w:trPr>
        <w:tc>
          <w:tcPr>
            <w:tcW w:w="96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MA</w:t>
            </w:r>
          </w:p>
        </w:tc>
        <w:tc>
          <w:tcPr>
            <w:tcW w:w="152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47.6%</w:t>
            </w:r>
          </w:p>
        </w:tc>
        <w:tc>
          <w:tcPr>
            <w:tcW w:w="96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905</w:t>
            </w:r>
          </w:p>
        </w:tc>
        <w:tc>
          <w:tcPr>
            <w:tcW w:w="152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47.4%</w:t>
            </w:r>
          </w:p>
        </w:tc>
        <w:tc>
          <w:tcPr>
            <w:tcW w:w="96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699</w:t>
            </w:r>
          </w:p>
        </w:tc>
        <w:tc>
          <w:tcPr>
            <w:tcW w:w="96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0.944</w:t>
            </w:r>
          </w:p>
        </w:tc>
      </w:tr>
      <w:tr w:rsidR="00FF652C" w:rsidRPr="00FF652C" w:rsidTr="00FF652C">
        <w:trPr>
          <w:trHeight w:val="300"/>
        </w:trPr>
        <w:tc>
          <w:tcPr>
            <w:tcW w:w="96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NY</w:t>
            </w:r>
          </w:p>
        </w:tc>
        <w:tc>
          <w:tcPr>
            <w:tcW w:w="152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32.4%</w:t>
            </w:r>
          </w:p>
        </w:tc>
        <w:tc>
          <w:tcPr>
            <w:tcW w:w="96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802</w:t>
            </w:r>
          </w:p>
        </w:tc>
        <w:tc>
          <w:tcPr>
            <w:tcW w:w="152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32.8%</w:t>
            </w:r>
          </w:p>
        </w:tc>
        <w:tc>
          <w:tcPr>
            <w:tcW w:w="96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615</w:t>
            </w:r>
          </w:p>
        </w:tc>
        <w:tc>
          <w:tcPr>
            <w:tcW w:w="96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0.920</w:t>
            </w:r>
          </w:p>
        </w:tc>
      </w:tr>
      <w:tr w:rsidR="00FF652C" w:rsidRPr="00FF652C" w:rsidTr="00FF652C">
        <w:trPr>
          <w:trHeight w:val="300"/>
        </w:trPr>
        <w:tc>
          <w:tcPr>
            <w:tcW w:w="96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NC</w:t>
            </w:r>
          </w:p>
        </w:tc>
        <w:tc>
          <w:tcPr>
            <w:tcW w:w="152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47.0%</w:t>
            </w:r>
          </w:p>
        </w:tc>
        <w:tc>
          <w:tcPr>
            <w:tcW w:w="96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760</w:t>
            </w:r>
          </w:p>
        </w:tc>
        <w:tc>
          <w:tcPr>
            <w:tcW w:w="152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45.8%</w:t>
            </w:r>
          </w:p>
        </w:tc>
        <w:tc>
          <w:tcPr>
            <w:tcW w:w="96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580</w:t>
            </w:r>
          </w:p>
        </w:tc>
        <w:tc>
          <w:tcPr>
            <w:tcW w:w="960" w:type="dxa"/>
            <w:tcBorders>
              <w:top w:val="nil"/>
              <w:left w:val="nil"/>
              <w:bottom w:val="nil"/>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0.667</w:t>
            </w:r>
          </w:p>
        </w:tc>
      </w:tr>
      <w:tr w:rsidR="00FF652C" w:rsidRPr="00FF652C" w:rsidTr="00FF652C">
        <w:trPr>
          <w:trHeight w:val="300"/>
        </w:trPr>
        <w:tc>
          <w:tcPr>
            <w:tcW w:w="960" w:type="dxa"/>
            <w:tcBorders>
              <w:top w:val="nil"/>
              <w:left w:val="nil"/>
              <w:bottom w:val="single" w:sz="4" w:space="0" w:color="auto"/>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FL</w:t>
            </w:r>
          </w:p>
        </w:tc>
        <w:tc>
          <w:tcPr>
            <w:tcW w:w="1520" w:type="dxa"/>
            <w:tcBorders>
              <w:top w:val="nil"/>
              <w:left w:val="nil"/>
              <w:bottom w:val="single" w:sz="4" w:space="0" w:color="auto"/>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52.3%</w:t>
            </w:r>
          </w:p>
        </w:tc>
        <w:tc>
          <w:tcPr>
            <w:tcW w:w="960" w:type="dxa"/>
            <w:tcBorders>
              <w:top w:val="nil"/>
              <w:left w:val="nil"/>
              <w:bottom w:val="single" w:sz="4" w:space="0" w:color="auto"/>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723</w:t>
            </w:r>
          </w:p>
        </w:tc>
        <w:tc>
          <w:tcPr>
            <w:tcW w:w="1520" w:type="dxa"/>
            <w:tcBorders>
              <w:top w:val="nil"/>
              <w:left w:val="nil"/>
              <w:bottom w:val="single" w:sz="4" w:space="0" w:color="auto"/>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50.9%</w:t>
            </w:r>
          </w:p>
        </w:tc>
        <w:tc>
          <w:tcPr>
            <w:tcW w:w="960" w:type="dxa"/>
            <w:tcBorders>
              <w:top w:val="nil"/>
              <w:left w:val="nil"/>
              <w:bottom w:val="single" w:sz="4" w:space="0" w:color="auto"/>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526</w:t>
            </w:r>
          </w:p>
        </w:tc>
        <w:tc>
          <w:tcPr>
            <w:tcW w:w="960" w:type="dxa"/>
            <w:tcBorders>
              <w:top w:val="nil"/>
              <w:left w:val="nil"/>
              <w:bottom w:val="single" w:sz="4" w:space="0" w:color="auto"/>
              <w:right w:val="nil"/>
            </w:tcBorders>
            <w:shd w:val="clear" w:color="auto" w:fill="auto"/>
            <w:noWrap/>
            <w:vAlign w:val="bottom"/>
            <w:hideMark/>
          </w:tcPr>
          <w:p w:rsidR="00FF652C" w:rsidRPr="00FF652C" w:rsidRDefault="00FF652C" w:rsidP="00FF652C">
            <w:pPr>
              <w:spacing w:after="0" w:line="240" w:lineRule="auto"/>
              <w:jc w:val="center"/>
              <w:rPr>
                <w:rFonts w:ascii="Calibri" w:eastAsia="Times New Roman" w:hAnsi="Calibri" w:cs="Times New Roman"/>
                <w:color w:val="000000"/>
              </w:rPr>
            </w:pPr>
            <w:r w:rsidRPr="00FF652C">
              <w:rPr>
                <w:rFonts w:ascii="Calibri" w:eastAsia="Times New Roman" w:hAnsi="Calibri" w:cs="Times New Roman"/>
                <w:color w:val="000000"/>
              </w:rPr>
              <w:t>0.631</w:t>
            </w:r>
          </w:p>
        </w:tc>
      </w:tr>
    </w:tbl>
    <w:p w:rsidR="00631612" w:rsidRDefault="00631612" w:rsidP="00631612">
      <w:pPr>
        <w:pStyle w:val="L1-FlLSp12"/>
        <w:spacing w:line="240" w:lineRule="auto"/>
        <w:rPr>
          <w:rFonts w:ascii="Times New Roman" w:hAnsi="Times New Roman"/>
        </w:rPr>
      </w:pPr>
      <w:r>
        <w:rPr>
          <w:rFonts w:ascii="Times New Roman" w:hAnsi="Times New Roman"/>
        </w:rPr>
        <w:t xml:space="preserve">Notes – Comparisons between </w:t>
      </w:r>
      <w:r w:rsidR="00966AF1">
        <w:rPr>
          <w:rFonts w:ascii="Times New Roman" w:hAnsi="Times New Roman"/>
        </w:rPr>
        <w:t>preliminary and final estimates include 5</w:t>
      </w:r>
      <w:r>
        <w:rPr>
          <w:rFonts w:ascii="Times New Roman" w:hAnsi="Times New Roman"/>
        </w:rPr>
        <w:t xml:space="preserve"> waves of data collection, wave 5, 2012 – wave </w:t>
      </w:r>
      <w:r w:rsidR="00966AF1">
        <w:rPr>
          <w:rFonts w:ascii="Times New Roman" w:hAnsi="Times New Roman"/>
        </w:rPr>
        <w:t>3</w:t>
      </w:r>
      <w:r>
        <w:rPr>
          <w:rFonts w:ascii="Times New Roman" w:hAnsi="Times New Roman"/>
        </w:rPr>
        <w:t>, 2013.</w:t>
      </w:r>
    </w:p>
    <w:p w:rsidR="00FF652C" w:rsidRDefault="00FF652C" w:rsidP="00FF652C">
      <w:pPr>
        <w:rPr>
          <w:rFonts w:ascii="Times New Roman" w:hAnsi="Times New Roman" w:cs="Times New Roman"/>
          <w:sz w:val="24"/>
          <w:szCs w:val="24"/>
        </w:rPr>
      </w:pPr>
    </w:p>
    <w:p w:rsidR="00097B53" w:rsidRPr="00AE14B7" w:rsidRDefault="00097B53" w:rsidP="00FF652C">
      <w:pPr>
        <w:rPr>
          <w:rFonts w:ascii="Times New Roman" w:hAnsi="Times New Roman" w:cs="Times New Roman"/>
          <w:sz w:val="24"/>
          <w:szCs w:val="24"/>
        </w:rPr>
      </w:pPr>
      <w:r>
        <w:rPr>
          <w:rFonts w:ascii="Times New Roman" w:hAnsi="Times New Roman" w:cs="Times New Roman"/>
          <w:sz w:val="24"/>
          <w:szCs w:val="24"/>
        </w:rPr>
        <w:t xml:space="preserve">Nonresponse will result in biased estimates if respondents and </w:t>
      </w:r>
      <w:proofErr w:type="spellStart"/>
      <w:r>
        <w:rPr>
          <w:rFonts w:ascii="Times New Roman" w:hAnsi="Times New Roman" w:cs="Times New Roman"/>
          <w:sz w:val="24"/>
          <w:szCs w:val="24"/>
        </w:rPr>
        <w:t>nonrespondents</w:t>
      </w:r>
      <w:proofErr w:type="spellEnd"/>
      <w:r>
        <w:rPr>
          <w:rFonts w:ascii="Times New Roman" w:hAnsi="Times New Roman" w:cs="Times New Roman"/>
          <w:sz w:val="24"/>
          <w:szCs w:val="24"/>
        </w:rPr>
        <w:t xml:space="preserve"> are different with respect to survey measures. In the MRIP Fishing Effort Survey, estimates of fishing prevalence will be biased if respondents are more or less likely to participate in recreational fishing than </w:t>
      </w:r>
      <w:proofErr w:type="spellStart"/>
      <w:r>
        <w:rPr>
          <w:rFonts w:ascii="Times New Roman" w:hAnsi="Times New Roman" w:cs="Times New Roman"/>
          <w:sz w:val="24"/>
          <w:szCs w:val="24"/>
        </w:rPr>
        <w:t>nonrespondents</w:t>
      </w:r>
      <w:proofErr w:type="spellEnd"/>
      <w:r>
        <w:rPr>
          <w:rFonts w:ascii="Times New Roman" w:hAnsi="Times New Roman" w:cs="Times New Roman"/>
          <w:sz w:val="24"/>
          <w:szCs w:val="24"/>
        </w:rPr>
        <w:t>.  We tested for nonresponse bias in the MFES by comparing preliminary and final survey data and by conducting a nonresponse follow-up study.  Neither assessment demonstrated that MFES estimates are biased as a result of nonresponse.</w:t>
      </w:r>
      <w:r w:rsidR="00BF68E7">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097B53" w:rsidRPr="00AE14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DFA" w:rsidRDefault="00EB3DFA" w:rsidP="00EB3DFA">
      <w:pPr>
        <w:spacing w:after="0" w:line="240" w:lineRule="auto"/>
      </w:pPr>
      <w:r>
        <w:separator/>
      </w:r>
    </w:p>
  </w:endnote>
  <w:endnote w:type="continuationSeparator" w:id="0">
    <w:p w:rsidR="00EB3DFA" w:rsidRDefault="00EB3DFA" w:rsidP="00EB3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DFA" w:rsidRDefault="00EB3DFA" w:rsidP="00EB3DFA">
      <w:pPr>
        <w:spacing w:after="0" w:line="240" w:lineRule="auto"/>
      </w:pPr>
      <w:r>
        <w:separator/>
      </w:r>
    </w:p>
  </w:footnote>
  <w:footnote w:type="continuationSeparator" w:id="0">
    <w:p w:rsidR="00EB3DFA" w:rsidRDefault="00EB3DFA" w:rsidP="00EB3DFA">
      <w:pPr>
        <w:spacing w:after="0" w:line="240" w:lineRule="auto"/>
      </w:pPr>
      <w:r>
        <w:continuationSeparator/>
      </w:r>
    </w:p>
  </w:footnote>
  <w:footnote w:id="1">
    <w:p w:rsidR="00C80A90" w:rsidRDefault="00C80A90">
      <w:pPr>
        <w:pStyle w:val="FootnoteText"/>
      </w:pPr>
      <w:r>
        <w:rPr>
          <w:rStyle w:val="FootnoteReference"/>
        </w:rPr>
        <w:footnoteRef/>
      </w:r>
      <w:r>
        <w:t xml:space="preserve"> Complete sample data includes surveys returned within 12 weeks of the end of the reference wave.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311"/>
    <w:rsid w:val="00097B53"/>
    <w:rsid w:val="00112E1C"/>
    <w:rsid w:val="001562C6"/>
    <w:rsid w:val="00164EB9"/>
    <w:rsid w:val="001A5C11"/>
    <w:rsid w:val="001C6291"/>
    <w:rsid w:val="001E6BA2"/>
    <w:rsid w:val="00281EE8"/>
    <w:rsid w:val="003003A9"/>
    <w:rsid w:val="003218C9"/>
    <w:rsid w:val="003946A5"/>
    <w:rsid w:val="00416456"/>
    <w:rsid w:val="00443311"/>
    <w:rsid w:val="004C06AE"/>
    <w:rsid w:val="004E612F"/>
    <w:rsid w:val="004F6F70"/>
    <w:rsid w:val="00501FCF"/>
    <w:rsid w:val="00512FFB"/>
    <w:rsid w:val="00530131"/>
    <w:rsid w:val="005565AA"/>
    <w:rsid w:val="00565CE3"/>
    <w:rsid w:val="00631612"/>
    <w:rsid w:val="00684C03"/>
    <w:rsid w:val="00723C67"/>
    <w:rsid w:val="007A71E2"/>
    <w:rsid w:val="009515E9"/>
    <w:rsid w:val="00966AF1"/>
    <w:rsid w:val="009F734B"/>
    <w:rsid w:val="00A32BCD"/>
    <w:rsid w:val="00A5660F"/>
    <w:rsid w:val="00A829F0"/>
    <w:rsid w:val="00A94D8A"/>
    <w:rsid w:val="00AE14B7"/>
    <w:rsid w:val="00B07AA0"/>
    <w:rsid w:val="00B7161D"/>
    <w:rsid w:val="00B85BBE"/>
    <w:rsid w:val="00B91E44"/>
    <w:rsid w:val="00BB17A9"/>
    <w:rsid w:val="00BF68E7"/>
    <w:rsid w:val="00C80A90"/>
    <w:rsid w:val="00CB0781"/>
    <w:rsid w:val="00D954C7"/>
    <w:rsid w:val="00DC3ECE"/>
    <w:rsid w:val="00DF1E70"/>
    <w:rsid w:val="00EB3DFA"/>
    <w:rsid w:val="00EF7A27"/>
    <w:rsid w:val="00FF6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4331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1-FlLSp12">
    <w:name w:val="L1-FlL Sp&amp;1/2"/>
    <w:basedOn w:val="Normal"/>
    <w:uiPriority w:val="99"/>
    <w:rsid w:val="00CB0781"/>
    <w:pPr>
      <w:tabs>
        <w:tab w:val="left" w:pos="1152"/>
      </w:tabs>
      <w:spacing w:after="0" w:line="360" w:lineRule="atLeast"/>
    </w:pPr>
    <w:rPr>
      <w:rFonts w:ascii="Garamond" w:eastAsia="Times New Roman" w:hAnsi="Garamond" w:cs="Times New Roman"/>
      <w:sz w:val="24"/>
      <w:szCs w:val="20"/>
    </w:rPr>
  </w:style>
  <w:style w:type="paragraph" w:styleId="FootnoteText">
    <w:name w:val="footnote text"/>
    <w:basedOn w:val="Normal"/>
    <w:link w:val="FootnoteTextChar"/>
    <w:uiPriority w:val="99"/>
    <w:semiHidden/>
    <w:unhideWhenUsed/>
    <w:rsid w:val="00EB3D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DFA"/>
    <w:rPr>
      <w:sz w:val="20"/>
      <w:szCs w:val="20"/>
    </w:rPr>
  </w:style>
  <w:style w:type="character" w:styleId="FootnoteReference">
    <w:name w:val="footnote reference"/>
    <w:basedOn w:val="DefaultParagraphFont"/>
    <w:uiPriority w:val="99"/>
    <w:semiHidden/>
    <w:unhideWhenUsed/>
    <w:rsid w:val="00EB3D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4331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1-FlLSp12">
    <w:name w:val="L1-FlL Sp&amp;1/2"/>
    <w:basedOn w:val="Normal"/>
    <w:uiPriority w:val="99"/>
    <w:rsid w:val="00CB0781"/>
    <w:pPr>
      <w:tabs>
        <w:tab w:val="left" w:pos="1152"/>
      </w:tabs>
      <w:spacing w:after="0" w:line="360" w:lineRule="atLeast"/>
    </w:pPr>
    <w:rPr>
      <w:rFonts w:ascii="Garamond" w:eastAsia="Times New Roman" w:hAnsi="Garamond" w:cs="Times New Roman"/>
      <w:sz w:val="24"/>
      <w:szCs w:val="20"/>
    </w:rPr>
  </w:style>
  <w:style w:type="paragraph" w:styleId="FootnoteText">
    <w:name w:val="footnote text"/>
    <w:basedOn w:val="Normal"/>
    <w:link w:val="FootnoteTextChar"/>
    <w:uiPriority w:val="99"/>
    <w:semiHidden/>
    <w:unhideWhenUsed/>
    <w:rsid w:val="00EB3D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DFA"/>
    <w:rPr>
      <w:sz w:val="20"/>
      <w:szCs w:val="20"/>
    </w:rPr>
  </w:style>
  <w:style w:type="character" w:styleId="FootnoteReference">
    <w:name w:val="footnote reference"/>
    <w:basedOn w:val="DefaultParagraphFont"/>
    <w:uiPriority w:val="99"/>
    <w:semiHidden/>
    <w:unhideWhenUsed/>
    <w:rsid w:val="00EB3D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2325">
      <w:bodyDiv w:val="1"/>
      <w:marLeft w:val="0"/>
      <w:marRight w:val="0"/>
      <w:marTop w:val="0"/>
      <w:marBottom w:val="0"/>
      <w:divBdr>
        <w:top w:val="none" w:sz="0" w:space="0" w:color="auto"/>
        <w:left w:val="none" w:sz="0" w:space="0" w:color="auto"/>
        <w:bottom w:val="none" w:sz="0" w:space="0" w:color="auto"/>
        <w:right w:val="none" w:sz="0" w:space="0" w:color="auto"/>
      </w:divBdr>
    </w:div>
    <w:div w:id="577592917">
      <w:bodyDiv w:val="1"/>
      <w:marLeft w:val="0"/>
      <w:marRight w:val="0"/>
      <w:marTop w:val="0"/>
      <w:marBottom w:val="0"/>
      <w:divBdr>
        <w:top w:val="none" w:sz="0" w:space="0" w:color="auto"/>
        <w:left w:val="none" w:sz="0" w:space="0" w:color="auto"/>
        <w:bottom w:val="none" w:sz="0" w:space="0" w:color="auto"/>
        <w:right w:val="none" w:sz="0" w:space="0" w:color="auto"/>
      </w:divBdr>
    </w:div>
    <w:div w:id="689530056">
      <w:bodyDiv w:val="1"/>
      <w:marLeft w:val="0"/>
      <w:marRight w:val="0"/>
      <w:marTop w:val="0"/>
      <w:marBottom w:val="0"/>
      <w:divBdr>
        <w:top w:val="none" w:sz="0" w:space="0" w:color="auto"/>
        <w:left w:val="none" w:sz="0" w:space="0" w:color="auto"/>
        <w:bottom w:val="none" w:sz="0" w:space="0" w:color="auto"/>
        <w:right w:val="none" w:sz="0" w:space="0" w:color="auto"/>
      </w:divBdr>
    </w:div>
    <w:div w:id="784226373">
      <w:bodyDiv w:val="1"/>
      <w:marLeft w:val="0"/>
      <w:marRight w:val="0"/>
      <w:marTop w:val="0"/>
      <w:marBottom w:val="0"/>
      <w:divBdr>
        <w:top w:val="none" w:sz="0" w:space="0" w:color="auto"/>
        <w:left w:val="none" w:sz="0" w:space="0" w:color="auto"/>
        <w:bottom w:val="none" w:sz="0" w:space="0" w:color="auto"/>
        <w:right w:val="none" w:sz="0" w:space="0" w:color="auto"/>
      </w:divBdr>
    </w:div>
    <w:div w:id="809130308">
      <w:bodyDiv w:val="1"/>
      <w:marLeft w:val="0"/>
      <w:marRight w:val="0"/>
      <w:marTop w:val="0"/>
      <w:marBottom w:val="0"/>
      <w:divBdr>
        <w:top w:val="none" w:sz="0" w:space="0" w:color="auto"/>
        <w:left w:val="none" w:sz="0" w:space="0" w:color="auto"/>
        <w:bottom w:val="none" w:sz="0" w:space="0" w:color="auto"/>
        <w:right w:val="none" w:sz="0" w:space="0" w:color="auto"/>
      </w:divBdr>
    </w:div>
    <w:div w:id="1151751845">
      <w:bodyDiv w:val="1"/>
      <w:marLeft w:val="0"/>
      <w:marRight w:val="0"/>
      <w:marTop w:val="0"/>
      <w:marBottom w:val="0"/>
      <w:divBdr>
        <w:top w:val="none" w:sz="0" w:space="0" w:color="auto"/>
        <w:left w:val="none" w:sz="0" w:space="0" w:color="auto"/>
        <w:bottom w:val="none" w:sz="0" w:space="0" w:color="auto"/>
        <w:right w:val="none" w:sz="0" w:space="0" w:color="auto"/>
      </w:divBdr>
    </w:div>
    <w:div w:id="1162116437">
      <w:bodyDiv w:val="1"/>
      <w:marLeft w:val="0"/>
      <w:marRight w:val="0"/>
      <w:marTop w:val="0"/>
      <w:marBottom w:val="0"/>
      <w:divBdr>
        <w:top w:val="none" w:sz="0" w:space="0" w:color="auto"/>
        <w:left w:val="none" w:sz="0" w:space="0" w:color="auto"/>
        <w:bottom w:val="none" w:sz="0" w:space="0" w:color="auto"/>
        <w:right w:val="none" w:sz="0" w:space="0" w:color="auto"/>
      </w:divBdr>
    </w:div>
    <w:div w:id="1256015718">
      <w:bodyDiv w:val="1"/>
      <w:marLeft w:val="0"/>
      <w:marRight w:val="0"/>
      <w:marTop w:val="0"/>
      <w:marBottom w:val="0"/>
      <w:divBdr>
        <w:top w:val="none" w:sz="0" w:space="0" w:color="auto"/>
        <w:left w:val="none" w:sz="0" w:space="0" w:color="auto"/>
        <w:bottom w:val="none" w:sz="0" w:space="0" w:color="auto"/>
        <w:right w:val="none" w:sz="0" w:space="0" w:color="auto"/>
      </w:divBdr>
    </w:div>
    <w:div w:id="1637103695">
      <w:bodyDiv w:val="1"/>
      <w:marLeft w:val="0"/>
      <w:marRight w:val="0"/>
      <w:marTop w:val="0"/>
      <w:marBottom w:val="0"/>
      <w:divBdr>
        <w:top w:val="none" w:sz="0" w:space="0" w:color="auto"/>
        <w:left w:val="none" w:sz="0" w:space="0" w:color="auto"/>
        <w:bottom w:val="none" w:sz="0" w:space="0" w:color="auto"/>
        <w:right w:val="none" w:sz="0" w:space="0" w:color="auto"/>
      </w:divBdr>
    </w:div>
    <w:div w:id="211428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E3304-4AA0-406F-B3B3-4373A6B50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Rob_Andrews</dc:creator>
  <cp:lastModifiedBy>Rob_Andrews</cp:lastModifiedBy>
  <cp:revision>41</cp:revision>
  <dcterms:created xsi:type="dcterms:W3CDTF">2013-09-27T18:43:00Z</dcterms:created>
  <dcterms:modified xsi:type="dcterms:W3CDTF">2013-10-01T11:29:00Z</dcterms:modified>
</cp:coreProperties>
</file>