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DF2" w:rsidRDefault="005F1DF2" w:rsidP="005F1DF2">
      <w:pPr>
        <w:jc w:val="center"/>
        <w:rPr>
          <w:sz w:val="24"/>
          <w:szCs w:val="24"/>
        </w:rPr>
      </w:pPr>
    </w:p>
    <w:p w:rsidR="005F1DF2" w:rsidRDefault="005F1DF2" w:rsidP="005F1DF2">
      <w:pPr>
        <w:jc w:val="center"/>
        <w:rPr>
          <w:sz w:val="24"/>
          <w:szCs w:val="24"/>
        </w:rPr>
      </w:pPr>
    </w:p>
    <w:p w:rsidR="005F1DF2" w:rsidRDefault="005F1DF2" w:rsidP="005F1DF2">
      <w:pPr>
        <w:jc w:val="center"/>
        <w:rPr>
          <w:sz w:val="24"/>
          <w:szCs w:val="24"/>
        </w:rPr>
      </w:pPr>
    </w:p>
    <w:p w:rsidR="005F1DF2" w:rsidRDefault="005F1DF2" w:rsidP="005F1DF2">
      <w:pPr>
        <w:jc w:val="center"/>
        <w:rPr>
          <w:sz w:val="24"/>
          <w:szCs w:val="24"/>
        </w:rPr>
      </w:pPr>
    </w:p>
    <w:p w:rsidR="005F1DF2" w:rsidRDefault="005F1DF2" w:rsidP="005F1DF2">
      <w:pPr>
        <w:jc w:val="center"/>
        <w:rPr>
          <w:sz w:val="24"/>
          <w:szCs w:val="24"/>
        </w:rPr>
      </w:pPr>
    </w:p>
    <w:p w:rsidR="005F1DF2" w:rsidRDefault="005F1DF2" w:rsidP="005F1DF2">
      <w:pPr>
        <w:jc w:val="center"/>
        <w:rPr>
          <w:rFonts w:ascii="Times New Roman" w:hAnsi="Times New Roman" w:cs="Times New Roman"/>
          <w:sz w:val="24"/>
          <w:szCs w:val="24"/>
        </w:rPr>
      </w:pPr>
      <w:r>
        <w:rPr>
          <w:rFonts w:ascii="Times New Roman" w:hAnsi="Times New Roman" w:cs="Times New Roman"/>
          <w:sz w:val="24"/>
          <w:szCs w:val="24"/>
        </w:rPr>
        <w:t>Marine Recreational Information Program</w:t>
      </w:r>
    </w:p>
    <w:p w:rsidR="005F1DF2" w:rsidRDefault="005F1DF2" w:rsidP="005F1DF2">
      <w:pPr>
        <w:jc w:val="center"/>
        <w:rPr>
          <w:rFonts w:ascii="Times New Roman" w:hAnsi="Times New Roman" w:cs="Times New Roman"/>
          <w:sz w:val="24"/>
          <w:szCs w:val="24"/>
        </w:rPr>
      </w:pPr>
      <w:r>
        <w:rPr>
          <w:rFonts w:ascii="Times New Roman" w:hAnsi="Times New Roman" w:cs="Times New Roman"/>
          <w:sz w:val="24"/>
          <w:szCs w:val="24"/>
        </w:rPr>
        <w:t>Fishing Effort Survey</w:t>
      </w:r>
    </w:p>
    <w:p w:rsidR="005F1DF2" w:rsidRDefault="005F1DF2" w:rsidP="005F1DF2">
      <w:pPr>
        <w:jc w:val="center"/>
        <w:rPr>
          <w:rFonts w:ascii="Times New Roman" w:hAnsi="Times New Roman" w:cs="Times New Roman"/>
          <w:sz w:val="24"/>
          <w:szCs w:val="24"/>
        </w:rPr>
      </w:pPr>
      <w:r>
        <w:rPr>
          <w:rFonts w:ascii="Times New Roman" w:hAnsi="Times New Roman" w:cs="Times New Roman"/>
          <w:sz w:val="24"/>
          <w:szCs w:val="24"/>
        </w:rPr>
        <w:t>Experimental Testing</w:t>
      </w:r>
    </w:p>
    <w:p w:rsidR="005F1DF2" w:rsidRPr="005F1DF2" w:rsidRDefault="005F1DF2" w:rsidP="005F1DF2">
      <w:pPr>
        <w:jc w:val="center"/>
        <w:rPr>
          <w:rFonts w:ascii="Times New Roman" w:eastAsia="Times New Roman" w:hAnsi="Times New Roman" w:cs="Times New Roman"/>
          <w:color w:val="000000"/>
          <w:sz w:val="24"/>
          <w:szCs w:val="24"/>
        </w:rPr>
      </w:pPr>
      <w:r>
        <w:rPr>
          <w:rFonts w:ascii="Times New Roman" w:hAnsi="Times New Roman" w:cs="Times New Roman"/>
          <w:sz w:val="24"/>
          <w:szCs w:val="24"/>
        </w:rPr>
        <w:t>9/26/2013</w:t>
      </w:r>
      <w:bookmarkStart w:id="0" w:name="_GoBack"/>
      <w:bookmarkEnd w:id="0"/>
      <w:r>
        <w:br w:type="page"/>
      </w:r>
    </w:p>
    <w:p w:rsidR="003B4D3D" w:rsidRDefault="003B4D3D" w:rsidP="003B4D3D">
      <w:pPr>
        <w:pStyle w:val="Default"/>
      </w:pPr>
      <w:r>
        <w:lastRenderedPageBreak/>
        <w:t xml:space="preserve">The MRIP Fishing Effort Survey (MFES) was implemented in </w:t>
      </w:r>
      <w:r w:rsidR="003165E0">
        <w:t xml:space="preserve">Massachusetts, New York, North Carolina and Florida in </w:t>
      </w:r>
      <w:r>
        <w:t xml:space="preserve">October, 2012 to test a </w:t>
      </w:r>
      <w:r w:rsidR="007B7724">
        <w:t xml:space="preserve">revised data collection design for monitoring marine recreational fishing effort.  The survey, which collects information for two-month reference waves, included </w:t>
      </w:r>
      <w:r w:rsidR="004B0A75">
        <w:t xml:space="preserve">two </w:t>
      </w:r>
      <w:r w:rsidR="007B7724">
        <w:t>experiments during the first two study waves, wave 5 (Sept-Oct 201</w:t>
      </w:r>
      <w:r w:rsidR="004B0A75">
        <w:t xml:space="preserve">2) and wave 6 (Nov-Dec, 2012), to </w:t>
      </w:r>
      <w:r w:rsidR="002C2937">
        <w:t>test different survey design features aimed at maximizing efficiency and minimizing nonresponse error</w:t>
      </w:r>
      <w:r w:rsidR="004B0A75">
        <w:t xml:space="preserve">.  Specifically, the experiments tested two versions of the survey instrument and </w:t>
      </w:r>
      <w:r w:rsidR="00AB1D62">
        <w:t>four</w:t>
      </w:r>
      <w:r w:rsidR="004B0A75">
        <w:t xml:space="preserve"> levels of cash incentives.  Details of the experiments are provided below. </w:t>
      </w:r>
      <w:r w:rsidR="007B7724">
        <w:t xml:space="preserve"> </w:t>
      </w:r>
    </w:p>
    <w:p w:rsidR="003B4D3D" w:rsidRDefault="003B4D3D" w:rsidP="003B4D3D">
      <w:pPr>
        <w:pStyle w:val="Default"/>
      </w:pPr>
    </w:p>
    <w:p w:rsidR="004B0A75" w:rsidRPr="00261977" w:rsidRDefault="004B0A75" w:rsidP="003B4D3D">
      <w:pPr>
        <w:pStyle w:val="Default"/>
        <w:rPr>
          <w:b/>
        </w:rPr>
      </w:pPr>
      <w:r w:rsidRPr="00261977">
        <w:rPr>
          <w:b/>
        </w:rPr>
        <w:t>Instrument Testing</w:t>
      </w:r>
    </w:p>
    <w:p w:rsidR="004B0A75" w:rsidRDefault="004B0A75" w:rsidP="003B4D3D">
      <w:pPr>
        <w:pStyle w:val="Default"/>
      </w:pPr>
    </w:p>
    <w:p w:rsidR="00FD2225" w:rsidRDefault="003B4D3D" w:rsidP="003B4D3D">
      <w:pPr>
        <w:pStyle w:val="Default"/>
      </w:pPr>
      <w:r>
        <w:t xml:space="preserve">The </w:t>
      </w:r>
      <w:r w:rsidR="004B0A75">
        <w:t>MFES</w:t>
      </w:r>
      <w:r>
        <w:t xml:space="preserve"> included an experiment to test two versions of the survey instrument.  </w:t>
      </w:r>
      <w:r w:rsidR="00C0314D">
        <w:t xml:space="preserve">The objective of the </w:t>
      </w:r>
      <w:r w:rsidR="001072F7">
        <w:t>experiment</w:t>
      </w:r>
      <w:r w:rsidR="00C0314D">
        <w:t xml:space="preserve"> was to identify the </w:t>
      </w:r>
      <w:r w:rsidR="001072F7">
        <w:t>instrument</w:t>
      </w:r>
      <w:r w:rsidR="00C0314D">
        <w:t xml:space="preserve"> that</w:t>
      </w:r>
      <w:r w:rsidR="00FC072D">
        <w:t xml:space="preserve"> maximized overall response rates while</w:t>
      </w:r>
      <w:r w:rsidR="00C0314D">
        <w:t xml:space="preserve"> m</w:t>
      </w:r>
      <w:r w:rsidR="00FC072D">
        <w:t>inimizing</w:t>
      </w:r>
      <w:r w:rsidR="00C0314D">
        <w:t xml:space="preserve"> the potential for nonresponse bias </w:t>
      </w:r>
      <w:r w:rsidR="00FC072D">
        <w:t>resulting from</w:t>
      </w:r>
      <w:r w:rsidR="00C0314D">
        <w:t xml:space="preserve"> differential nonresponse between anglers and non-anglers.  </w:t>
      </w:r>
      <w:r>
        <w:t xml:space="preserve">One version of the </w:t>
      </w:r>
      <w:r w:rsidR="004B0A75">
        <w:t>instrument</w:t>
      </w:r>
      <w:r>
        <w:t xml:space="preserve"> (</w:t>
      </w:r>
      <w:r w:rsidR="00FD2225">
        <w:t>Saltwater Fishing Survey</w:t>
      </w:r>
      <w:r w:rsidR="00567F73">
        <w:t>) utilized</w:t>
      </w:r>
      <w:r>
        <w:t xml:space="preserve"> a “screen out” approach that quickly identifies anglers (and non-anglers) and encourages participation by minimizing the number of</w:t>
      </w:r>
      <w:r w:rsidR="00F91222">
        <w:t xml:space="preserve"> survey</w:t>
      </w:r>
      <w:r>
        <w:t xml:space="preserve"> questions, particularly for non-anglers.</w:t>
      </w:r>
      <w:r w:rsidR="00C73F0E">
        <w:t xml:space="preserve">  </w:t>
      </w:r>
      <w:r>
        <w:t xml:space="preserve">  </w:t>
      </w:r>
      <w:r w:rsidR="004B0A75">
        <w:t xml:space="preserve">Person-level information, including details about recent fishing activity and limited demographic information, is </w:t>
      </w:r>
      <w:r w:rsidR="00FD2225">
        <w:t>collected for all household residents, but only</w:t>
      </w:r>
      <w:r w:rsidR="004B0A75">
        <w:t xml:space="preserve"> if someone in the household </w:t>
      </w:r>
      <w:r w:rsidR="00FD2225">
        <w:t>reported fishing</w:t>
      </w:r>
      <w:r w:rsidR="004B0A75">
        <w:t xml:space="preserve"> during the reference wave.  </w:t>
      </w:r>
      <w:r>
        <w:t>The second version (</w:t>
      </w:r>
      <w:r w:rsidR="00FD2225">
        <w:t>Weather and Outdoor Activity Survey</w:t>
      </w:r>
      <w:r w:rsidR="00567F73">
        <w:t>) utilized</w:t>
      </w:r>
      <w:r>
        <w:t xml:space="preserve"> an “engaging” approach that encourages response by broadening the scope of the questions to include both fishing and non-fishing questions.</w:t>
      </w:r>
      <w:r w:rsidR="004B0A75">
        <w:t xml:space="preserve">  </w:t>
      </w:r>
      <w:r w:rsidR="00FD2225">
        <w:t>This version</w:t>
      </w:r>
      <w:r w:rsidR="004B0A75">
        <w:t xml:space="preserve"> collects person-level information for all residents of sampled households, regardless of whether or not household residents participated in saltwater fishing.</w:t>
      </w:r>
      <w:r w:rsidR="00406E6A">
        <w:t xml:space="preserve">  </w:t>
      </w:r>
      <w:r w:rsidR="001671E9">
        <w:t>Each wave, s</w:t>
      </w:r>
      <w:r w:rsidR="001F2045">
        <w:t>ampled addresses were randomly assigned to one</w:t>
      </w:r>
      <w:r w:rsidR="00261977">
        <w:t xml:space="preserve"> </w:t>
      </w:r>
      <w:r w:rsidR="00E8574F">
        <w:t xml:space="preserve">of the two questionnaire types, </w:t>
      </w:r>
      <w:r w:rsidR="00261977">
        <w:t>whic</w:t>
      </w:r>
      <w:r w:rsidR="002E40AD">
        <w:t>h</w:t>
      </w:r>
      <w:r w:rsidR="00406E6A">
        <w:t xml:space="preserve"> were evaluated in terms of response rates and reported fishing activity.</w:t>
      </w:r>
    </w:p>
    <w:p w:rsidR="00000F98" w:rsidRDefault="00000F98" w:rsidP="003B4D3D">
      <w:pPr>
        <w:pStyle w:val="Default"/>
      </w:pPr>
    </w:p>
    <w:p w:rsidR="000C1C82" w:rsidRDefault="004E5331" w:rsidP="004E5331">
      <w:pPr>
        <w:pStyle w:val="Default"/>
      </w:pPr>
      <w:r>
        <w:t>Table 1 provides the weighted response rates (AAPOR RR1 after excluding undeliverable addresses) and estimated fishing prevalence (percentage of households with residents who reported fishing</w:t>
      </w:r>
      <w:r w:rsidR="001D6AF1">
        <w:t xml:space="preserve"> during the wave</w:t>
      </w:r>
      <w:r>
        <w:t xml:space="preserve">) for the two versions of the instrument.  Overall, the Weather and Outdoor Activity Survey achieved </w:t>
      </w:r>
      <w:r w:rsidR="002057EE">
        <w:t xml:space="preserve">a </w:t>
      </w:r>
      <w:r>
        <w:t>significantly higher response ra</w:t>
      </w:r>
      <w:r w:rsidR="002057EE">
        <w:t>te</w:t>
      </w:r>
      <w:r>
        <w:t xml:space="preserve"> than the Saltwater Fishing Survey, and there </w:t>
      </w:r>
      <w:r w:rsidR="00953AB2">
        <w:t>was no significant difference</w:t>
      </w:r>
      <w:r>
        <w:t xml:space="preserve"> between instruments i</w:t>
      </w:r>
      <w:r w:rsidR="00E56E60">
        <w:t>n estimated prevalence</w:t>
      </w:r>
      <w:r>
        <w:t xml:space="preserve">.  </w:t>
      </w:r>
      <w:r w:rsidR="000C1C82">
        <w:t>The lack of a significant difference between instruments for estimated prevalence suggests that</w:t>
      </w:r>
      <w:r w:rsidR="00AE4C25">
        <w:t xml:space="preserve"> the gain in response for the </w:t>
      </w:r>
      <w:r w:rsidR="00725D87">
        <w:t>engaging instrument</w:t>
      </w:r>
      <w:r w:rsidR="00AE4C25">
        <w:t xml:space="preserve"> cannot be attributed to increased survey participation by either anglers or non-anglers, but that </w:t>
      </w:r>
      <w:r w:rsidR="000C1C82">
        <w:t xml:space="preserve">both </w:t>
      </w:r>
      <w:r w:rsidR="00AE4C25">
        <w:t>groups</w:t>
      </w:r>
      <w:r w:rsidR="000C1C82">
        <w:t xml:space="preserve"> are more likely to respond to the </w:t>
      </w:r>
      <w:r w:rsidR="00725D87">
        <w:t>Weather and Outdoor Activity Survey</w:t>
      </w:r>
      <w:r w:rsidR="000C1C82">
        <w:t xml:space="preserve"> than the Saltwater Fishing Survey.  </w:t>
      </w:r>
    </w:p>
    <w:p w:rsidR="000C1C82" w:rsidRDefault="000C1C82" w:rsidP="004E5331">
      <w:pPr>
        <w:pStyle w:val="Default"/>
      </w:pPr>
    </w:p>
    <w:p w:rsidR="00546F38" w:rsidRDefault="004E5331" w:rsidP="004E5331">
      <w:pPr>
        <w:pStyle w:val="Default"/>
      </w:pPr>
      <w:r>
        <w:t xml:space="preserve">We also compared response rates and prevalence </w:t>
      </w:r>
      <w:r w:rsidR="009506B9">
        <w:t xml:space="preserve">between instruments both </w:t>
      </w:r>
      <w:r w:rsidR="00CE3F27">
        <w:t>among and</w:t>
      </w:r>
      <w:r>
        <w:t xml:space="preserve"> within </w:t>
      </w:r>
      <w:r w:rsidR="003C0CE6">
        <w:t>subpopulations</w:t>
      </w:r>
      <w:r>
        <w:t xml:space="preserve"> defined by whether or not sampled addresses could be matched to state </w:t>
      </w:r>
      <w:r w:rsidR="00E53F60">
        <w:t>databases of licensed saltwater angler</w:t>
      </w:r>
      <w:r w:rsidR="00016ED2">
        <w:t>s</w:t>
      </w:r>
      <w:r w:rsidR="0082481D">
        <w:t xml:space="preserve"> – </w:t>
      </w:r>
      <w:r w:rsidR="003C0CE6">
        <w:t>subpopulations</w:t>
      </w:r>
      <w:r w:rsidR="0082481D">
        <w:t xml:space="preserve"> expected to distinguish between households with anglers and households with no </w:t>
      </w:r>
      <w:r w:rsidR="00724350">
        <w:t xml:space="preserve">anglers </w:t>
      </w:r>
      <w:r w:rsidR="0082481D">
        <w:t>or less avid anglers</w:t>
      </w:r>
      <w:r>
        <w:t>.</w:t>
      </w:r>
      <w:r w:rsidR="007C37D8">
        <w:t xml:space="preserve">  </w:t>
      </w:r>
      <w:r w:rsidR="00E53F60">
        <w:t>As expected</w:t>
      </w:r>
      <w:r w:rsidR="005E5097">
        <w:t xml:space="preserve">, both response rates and estimated prevalence were higher in the matched </w:t>
      </w:r>
      <w:r w:rsidR="003C0CE6">
        <w:t>subpopulation</w:t>
      </w:r>
      <w:r w:rsidR="005E5097">
        <w:t xml:space="preserve"> than the unmatched </w:t>
      </w:r>
      <w:r w:rsidR="003C0CE6">
        <w:t>subpopulation</w:t>
      </w:r>
      <w:r w:rsidR="005E5097">
        <w:t xml:space="preserve">, </w:t>
      </w:r>
      <w:r w:rsidR="005F0D91">
        <w:t>confirming</w:t>
      </w:r>
      <w:r w:rsidR="003051FD">
        <w:t xml:space="preserve"> that a population expected to be interested in </w:t>
      </w:r>
      <w:r w:rsidR="002057EE">
        <w:t>the survey topic</w:t>
      </w:r>
      <w:r w:rsidR="0020341D">
        <w:t xml:space="preserve"> -</w:t>
      </w:r>
      <w:r w:rsidR="007A4E7D">
        <w:t xml:space="preserve"> households </w:t>
      </w:r>
      <w:r w:rsidR="0020341D">
        <w:t>with licensed anglers -</w:t>
      </w:r>
      <w:r w:rsidR="003051FD">
        <w:t xml:space="preserve"> is more l</w:t>
      </w:r>
      <w:r w:rsidR="00E53F60">
        <w:t xml:space="preserve">ikely to respond to a fishing survey and report fishing </w:t>
      </w:r>
      <w:r w:rsidR="00E53F60">
        <w:lastRenderedPageBreak/>
        <w:t xml:space="preserve">activity than a population </w:t>
      </w:r>
      <w:r w:rsidR="006F02B4">
        <w:t>that</w:t>
      </w:r>
      <w:r w:rsidR="00E53F60">
        <w:t xml:space="preserve"> exclude</w:t>
      </w:r>
      <w:r w:rsidR="006F02B4">
        <w:t>s</w:t>
      </w:r>
      <w:r w:rsidR="00E53F60">
        <w:t xml:space="preserve"> licensed anglers</w:t>
      </w:r>
      <w:r w:rsidR="00E53F60">
        <w:rPr>
          <w:rStyle w:val="FootnoteReference"/>
        </w:rPr>
        <w:footnoteReference w:id="1"/>
      </w:r>
      <w:r w:rsidR="00E53F60">
        <w:t xml:space="preserve">.  </w:t>
      </w:r>
      <w:r w:rsidR="00C87AA2">
        <w:t>Because we can identify household license status prior to data collection, we can account for differential nonresponse between matched and unmatched households in the estimation design by treating matched an unmatched domains as strata</w:t>
      </w:r>
      <w:r w:rsidR="0030458E">
        <w:t xml:space="preserve"> (</w:t>
      </w:r>
      <w:proofErr w:type="spellStart"/>
      <w:r w:rsidR="0030458E">
        <w:t>Lohr</w:t>
      </w:r>
      <w:proofErr w:type="spellEnd"/>
      <w:r w:rsidR="0030458E">
        <w:t>, 2009)</w:t>
      </w:r>
      <w:r w:rsidR="00C87AA2">
        <w:t>.</w:t>
      </w:r>
    </w:p>
    <w:p w:rsidR="00103A90" w:rsidRDefault="00103A90" w:rsidP="004E5331">
      <w:pPr>
        <w:pStyle w:val="Default"/>
      </w:pPr>
    </w:p>
    <w:p w:rsidR="00C93FD6" w:rsidRDefault="009B66E0" w:rsidP="004E5331">
      <w:pPr>
        <w:pStyle w:val="Default"/>
      </w:pPr>
      <w:proofErr w:type="gramStart"/>
      <w:r>
        <w:t>Table 1.</w:t>
      </w:r>
      <w:proofErr w:type="gramEnd"/>
      <w:r>
        <w:t xml:space="preserve"> Weighted response rates and estimated prevalence overall and by domain for two versions of the survey instrument</w:t>
      </w:r>
      <w:r w:rsidR="00C93FD6">
        <w:t>.</w:t>
      </w:r>
    </w:p>
    <w:p w:rsidR="00D049B2" w:rsidRDefault="00D049B2" w:rsidP="004E5331">
      <w:pPr>
        <w:pStyle w:val="Default"/>
      </w:pPr>
    </w:p>
    <w:tbl>
      <w:tblPr>
        <w:tblW w:w="7140" w:type="dxa"/>
        <w:tblInd w:w="93" w:type="dxa"/>
        <w:tblLook w:val="04A0" w:firstRow="1" w:lastRow="0" w:firstColumn="1" w:lastColumn="0" w:noHBand="0" w:noVBand="1"/>
      </w:tblPr>
      <w:tblGrid>
        <w:gridCol w:w="2220"/>
        <w:gridCol w:w="1660"/>
        <w:gridCol w:w="821"/>
        <w:gridCol w:w="1660"/>
        <w:gridCol w:w="821"/>
      </w:tblGrid>
      <w:tr w:rsidR="00672A81" w:rsidRPr="00672A81" w:rsidTr="00672A81">
        <w:trPr>
          <w:trHeight w:val="765"/>
        </w:trPr>
        <w:tc>
          <w:tcPr>
            <w:tcW w:w="2220" w:type="dxa"/>
            <w:tcBorders>
              <w:top w:val="single" w:sz="4" w:space="0" w:color="auto"/>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r w:rsidRPr="00672A81">
              <w:rPr>
                <w:rFonts w:ascii="Times New Roman" w:eastAsia="Times New Roman" w:hAnsi="Times New Roman" w:cs="Times New Roman"/>
                <w:color w:val="000000"/>
              </w:rPr>
              <w:t> </w:t>
            </w:r>
          </w:p>
        </w:tc>
        <w:tc>
          <w:tcPr>
            <w:tcW w:w="2460" w:type="dxa"/>
            <w:gridSpan w:val="2"/>
            <w:tcBorders>
              <w:top w:val="single" w:sz="4" w:space="0" w:color="auto"/>
              <w:left w:val="nil"/>
              <w:bottom w:val="nil"/>
              <w:right w:val="nil"/>
            </w:tcBorders>
            <w:shd w:val="clear" w:color="auto" w:fill="auto"/>
            <w:vAlign w:val="bottom"/>
            <w:hideMark/>
          </w:tcPr>
          <w:p w:rsidR="00672A81" w:rsidRPr="009778DE"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Saltwater Fishing</w:t>
            </w:r>
          </w:p>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 xml:space="preserve"> Survey</w:t>
            </w:r>
          </w:p>
        </w:tc>
        <w:tc>
          <w:tcPr>
            <w:tcW w:w="2460" w:type="dxa"/>
            <w:gridSpan w:val="2"/>
            <w:tcBorders>
              <w:top w:val="single" w:sz="4" w:space="0" w:color="auto"/>
              <w:left w:val="nil"/>
              <w:bottom w:val="nil"/>
              <w:right w:val="nil"/>
            </w:tcBorders>
            <w:shd w:val="clear" w:color="auto" w:fill="auto"/>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Weather and Outdoor Activity Survey</w:t>
            </w:r>
          </w:p>
        </w:tc>
      </w:tr>
      <w:tr w:rsidR="00672A81" w:rsidRPr="00672A81" w:rsidTr="00672A81">
        <w:trPr>
          <w:trHeight w:val="300"/>
        </w:trPr>
        <w:tc>
          <w:tcPr>
            <w:tcW w:w="2220" w:type="dxa"/>
            <w:tcBorders>
              <w:top w:val="nil"/>
              <w:left w:val="nil"/>
              <w:bottom w:val="single" w:sz="4" w:space="0" w:color="auto"/>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r w:rsidRPr="00672A81">
              <w:rPr>
                <w:rFonts w:ascii="Times New Roman" w:eastAsia="Times New Roman" w:hAnsi="Times New Roman" w:cs="Times New Roman"/>
                <w:color w:val="000000"/>
              </w:rPr>
              <w:t> </w:t>
            </w:r>
          </w:p>
        </w:tc>
        <w:tc>
          <w:tcPr>
            <w:tcW w:w="1660" w:type="dxa"/>
            <w:tcBorders>
              <w:top w:val="nil"/>
              <w:left w:val="nil"/>
              <w:bottom w:val="single" w:sz="4" w:space="0" w:color="auto"/>
              <w:right w:val="nil"/>
            </w:tcBorders>
            <w:shd w:val="clear" w:color="auto" w:fill="auto"/>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w:t>
            </w:r>
          </w:p>
        </w:tc>
        <w:tc>
          <w:tcPr>
            <w:tcW w:w="800" w:type="dxa"/>
            <w:tcBorders>
              <w:top w:val="nil"/>
              <w:left w:val="nil"/>
              <w:bottom w:val="single" w:sz="4" w:space="0" w:color="auto"/>
              <w:right w:val="nil"/>
            </w:tcBorders>
            <w:shd w:val="clear" w:color="auto" w:fill="auto"/>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(n)</w:t>
            </w:r>
          </w:p>
        </w:tc>
        <w:tc>
          <w:tcPr>
            <w:tcW w:w="1660" w:type="dxa"/>
            <w:tcBorders>
              <w:top w:val="nil"/>
              <w:left w:val="nil"/>
              <w:bottom w:val="single" w:sz="4" w:space="0" w:color="auto"/>
              <w:right w:val="nil"/>
            </w:tcBorders>
            <w:shd w:val="clear" w:color="auto" w:fill="auto"/>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w:t>
            </w:r>
          </w:p>
        </w:tc>
        <w:tc>
          <w:tcPr>
            <w:tcW w:w="800" w:type="dxa"/>
            <w:tcBorders>
              <w:top w:val="nil"/>
              <w:left w:val="nil"/>
              <w:bottom w:val="single" w:sz="4" w:space="0" w:color="auto"/>
              <w:right w:val="nil"/>
            </w:tcBorders>
            <w:shd w:val="clear" w:color="auto" w:fill="auto"/>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(n)</w:t>
            </w:r>
          </w:p>
        </w:tc>
      </w:tr>
      <w:tr w:rsidR="00672A81" w:rsidRPr="00672A81" w:rsidTr="00672A81">
        <w:trPr>
          <w:trHeight w:val="300"/>
        </w:trPr>
        <w:tc>
          <w:tcPr>
            <w:tcW w:w="222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r w:rsidRPr="00672A81">
              <w:rPr>
                <w:rFonts w:ascii="Times New Roman" w:eastAsia="Times New Roman" w:hAnsi="Times New Roman" w:cs="Times New Roman"/>
                <w:color w:val="000000"/>
              </w:rPr>
              <w:t>Response Rate</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p>
        </w:tc>
      </w:tr>
      <w:tr w:rsidR="00672A81" w:rsidRPr="00672A81" w:rsidTr="00672A81">
        <w:trPr>
          <w:trHeight w:val="300"/>
        </w:trPr>
        <w:tc>
          <w:tcPr>
            <w:tcW w:w="222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r w:rsidRPr="00672A81">
              <w:rPr>
                <w:rFonts w:ascii="Times New Roman" w:eastAsia="Times New Roman" w:hAnsi="Times New Roman" w:cs="Times New Roman"/>
                <w:color w:val="000000"/>
              </w:rPr>
              <w:t xml:space="preserve">     Overall</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31.1 (0.4)</w:t>
            </w: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17,511</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34.7 (0.4)*</w:t>
            </w: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17,510</w:t>
            </w:r>
          </w:p>
        </w:tc>
      </w:tr>
      <w:tr w:rsidR="00672A81" w:rsidRPr="00672A81" w:rsidTr="00672A81">
        <w:trPr>
          <w:trHeight w:val="300"/>
        </w:trPr>
        <w:tc>
          <w:tcPr>
            <w:tcW w:w="222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r w:rsidRPr="00672A81">
              <w:rPr>
                <w:rFonts w:ascii="Times New Roman" w:eastAsia="Times New Roman" w:hAnsi="Times New Roman" w:cs="Times New Roman"/>
                <w:color w:val="000000"/>
              </w:rPr>
              <w:t xml:space="preserve">     Matched</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45.4 (1.1)</w:t>
            </w: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3,160</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45.0 (1.0)</w:t>
            </w: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3,247</w:t>
            </w:r>
          </w:p>
        </w:tc>
      </w:tr>
      <w:tr w:rsidR="00672A81" w:rsidRPr="00672A81" w:rsidTr="00672A81">
        <w:trPr>
          <w:trHeight w:val="300"/>
        </w:trPr>
        <w:tc>
          <w:tcPr>
            <w:tcW w:w="222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r w:rsidRPr="00672A81">
              <w:rPr>
                <w:rFonts w:ascii="Times New Roman" w:eastAsia="Times New Roman" w:hAnsi="Times New Roman" w:cs="Times New Roman"/>
                <w:color w:val="000000"/>
              </w:rPr>
              <w:t xml:space="preserve">     Unmatched</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30.3 (0.4)</w:t>
            </w: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14,351</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34.0 (0.5)*</w:t>
            </w: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14,263</w:t>
            </w:r>
          </w:p>
        </w:tc>
      </w:tr>
      <w:tr w:rsidR="00672A81" w:rsidRPr="00672A81" w:rsidTr="00672A81">
        <w:trPr>
          <w:trHeight w:val="300"/>
        </w:trPr>
        <w:tc>
          <w:tcPr>
            <w:tcW w:w="222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r>
      <w:tr w:rsidR="00672A81" w:rsidRPr="00672A81" w:rsidTr="00672A81">
        <w:trPr>
          <w:trHeight w:val="300"/>
        </w:trPr>
        <w:tc>
          <w:tcPr>
            <w:tcW w:w="222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r>
      <w:tr w:rsidR="00672A81" w:rsidRPr="00672A81" w:rsidTr="00672A81">
        <w:trPr>
          <w:trHeight w:val="300"/>
        </w:trPr>
        <w:tc>
          <w:tcPr>
            <w:tcW w:w="222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r w:rsidRPr="00672A81">
              <w:rPr>
                <w:rFonts w:ascii="Times New Roman" w:eastAsia="Times New Roman" w:hAnsi="Times New Roman" w:cs="Times New Roman"/>
                <w:color w:val="000000"/>
              </w:rPr>
              <w:t>Prevalence</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p>
        </w:tc>
      </w:tr>
      <w:tr w:rsidR="00672A81" w:rsidRPr="00672A81" w:rsidTr="00672A81">
        <w:trPr>
          <w:trHeight w:val="300"/>
        </w:trPr>
        <w:tc>
          <w:tcPr>
            <w:tcW w:w="222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r w:rsidRPr="00672A81">
              <w:rPr>
                <w:rFonts w:ascii="Times New Roman" w:eastAsia="Times New Roman" w:hAnsi="Times New Roman" w:cs="Times New Roman"/>
                <w:color w:val="000000"/>
              </w:rPr>
              <w:t xml:space="preserve">     Overall</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13.4 (0.5)</w:t>
            </w: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5,943</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14.1 (0.5)</w:t>
            </w: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6,498</w:t>
            </w:r>
          </w:p>
        </w:tc>
      </w:tr>
      <w:tr w:rsidR="00672A81" w:rsidRPr="00672A81" w:rsidTr="00672A81">
        <w:trPr>
          <w:trHeight w:val="300"/>
        </w:trPr>
        <w:tc>
          <w:tcPr>
            <w:tcW w:w="222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r w:rsidRPr="00672A81">
              <w:rPr>
                <w:rFonts w:ascii="Times New Roman" w:eastAsia="Times New Roman" w:hAnsi="Times New Roman" w:cs="Times New Roman"/>
                <w:color w:val="000000"/>
              </w:rPr>
              <w:t xml:space="preserve">     Matched</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49.9 (1.7)</w:t>
            </w: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1,491</w:t>
            </w:r>
          </w:p>
        </w:tc>
        <w:tc>
          <w:tcPr>
            <w:tcW w:w="166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48.5 (1.6)</w:t>
            </w:r>
          </w:p>
        </w:tc>
        <w:tc>
          <w:tcPr>
            <w:tcW w:w="800" w:type="dxa"/>
            <w:tcBorders>
              <w:top w:val="nil"/>
              <w:left w:val="nil"/>
              <w:bottom w:val="nil"/>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1,552</w:t>
            </w:r>
          </w:p>
        </w:tc>
      </w:tr>
      <w:tr w:rsidR="00672A81" w:rsidRPr="00672A81" w:rsidTr="00672A81">
        <w:trPr>
          <w:trHeight w:val="300"/>
        </w:trPr>
        <w:tc>
          <w:tcPr>
            <w:tcW w:w="2220" w:type="dxa"/>
            <w:tcBorders>
              <w:top w:val="nil"/>
              <w:left w:val="nil"/>
              <w:bottom w:val="single" w:sz="4" w:space="0" w:color="auto"/>
              <w:right w:val="nil"/>
            </w:tcBorders>
            <w:shd w:val="clear" w:color="auto" w:fill="auto"/>
            <w:noWrap/>
            <w:vAlign w:val="bottom"/>
            <w:hideMark/>
          </w:tcPr>
          <w:p w:rsidR="00672A81" w:rsidRPr="00672A81" w:rsidRDefault="00672A81" w:rsidP="00672A81">
            <w:pPr>
              <w:spacing w:after="0" w:line="240" w:lineRule="auto"/>
              <w:rPr>
                <w:rFonts w:ascii="Times New Roman" w:eastAsia="Times New Roman" w:hAnsi="Times New Roman" w:cs="Times New Roman"/>
                <w:color w:val="000000"/>
              </w:rPr>
            </w:pPr>
            <w:r w:rsidRPr="00672A81">
              <w:rPr>
                <w:rFonts w:ascii="Times New Roman" w:eastAsia="Times New Roman" w:hAnsi="Times New Roman" w:cs="Times New Roman"/>
                <w:color w:val="000000"/>
              </w:rPr>
              <w:t xml:space="preserve">     Unmatched</w:t>
            </w:r>
          </w:p>
        </w:tc>
        <w:tc>
          <w:tcPr>
            <w:tcW w:w="1660" w:type="dxa"/>
            <w:tcBorders>
              <w:top w:val="nil"/>
              <w:left w:val="nil"/>
              <w:bottom w:val="single" w:sz="4" w:space="0" w:color="auto"/>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11.2 (0.6)</w:t>
            </w:r>
          </w:p>
        </w:tc>
        <w:tc>
          <w:tcPr>
            <w:tcW w:w="800" w:type="dxa"/>
            <w:tcBorders>
              <w:top w:val="nil"/>
              <w:left w:val="nil"/>
              <w:bottom w:val="single" w:sz="4" w:space="0" w:color="auto"/>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4,452</w:t>
            </w:r>
          </w:p>
        </w:tc>
        <w:tc>
          <w:tcPr>
            <w:tcW w:w="1660" w:type="dxa"/>
            <w:tcBorders>
              <w:top w:val="nil"/>
              <w:left w:val="nil"/>
              <w:bottom w:val="single" w:sz="4" w:space="0" w:color="auto"/>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12.2 (0.6)</w:t>
            </w:r>
          </w:p>
        </w:tc>
        <w:tc>
          <w:tcPr>
            <w:tcW w:w="800" w:type="dxa"/>
            <w:tcBorders>
              <w:top w:val="nil"/>
              <w:left w:val="nil"/>
              <w:bottom w:val="single" w:sz="4" w:space="0" w:color="auto"/>
              <w:right w:val="nil"/>
            </w:tcBorders>
            <w:shd w:val="clear" w:color="auto" w:fill="auto"/>
            <w:noWrap/>
            <w:vAlign w:val="bottom"/>
            <w:hideMark/>
          </w:tcPr>
          <w:p w:rsidR="00672A81" w:rsidRPr="00672A81" w:rsidRDefault="00672A81" w:rsidP="00672A81">
            <w:pPr>
              <w:spacing w:after="0" w:line="240" w:lineRule="auto"/>
              <w:jc w:val="center"/>
              <w:rPr>
                <w:rFonts w:ascii="Times New Roman" w:eastAsia="Times New Roman" w:hAnsi="Times New Roman" w:cs="Times New Roman"/>
                <w:color w:val="000000"/>
              </w:rPr>
            </w:pPr>
            <w:r w:rsidRPr="00672A81">
              <w:rPr>
                <w:rFonts w:ascii="Times New Roman" w:eastAsia="Times New Roman" w:hAnsi="Times New Roman" w:cs="Times New Roman"/>
                <w:color w:val="000000"/>
              </w:rPr>
              <w:t>4,946</w:t>
            </w:r>
          </w:p>
        </w:tc>
      </w:tr>
    </w:tbl>
    <w:p w:rsidR="009B66E0" w:rsidRDefault="009B66E0" w:rsidP="004E5331">
      <w:pPr>
        <w:pStyle w:val="Default"/>
      </w:pPr>
      <w:r>
        <w:t xml:space="preserve"> </w:t>
      </w:r>
    </w:p>
    <w:p w:rsidR="000D38A2" w:rsidRDefault="00C93FD6" w:rsidP="004E5331">
      <w:pPr>
        <w:pStyle w:val="Default"/>
      </w:pPr>
      <w:r>
        <w:t>Notes – (1) standard errors are in parentheses. (2) Domains are defined by matching ABS samples to state databases of</w:t>
      </w:r>
      <w:r w:rsidR="000D38A2">
        <w:t xml:space="preserve"> licensed saltwater anglers. </w:t>
      </w:r>
    </w:p>
    <w:p w:rsidR="009B66E0" w:rsidRPr="00C93FD6" w:rsidRDefault="000D38A2" w:rsidP="004E5331">
      <w:pPr>
        <w:pStyle w:val="Default"/>
      </w:pPr>
      <w:r>
        <w:t xml:space="preserve">*Significantly different from </w:t>
      </w:r>
      <w:r w:rsidR="00F36D46">
        <w:t>Saltwater Fishing</w:t>
      </w:r>
      <w:r>
        <w:t xml:space="preserve"> Survey (p&lt;0.05)</w:t>
      </w:r>
      <w:r w:rsidR="00C93FD6">
        <w:t>.</w:t>
      </w:r>
    </w:p>
    <w:p w:rsidR="009B66E0" w:rsidRDefault="009B66E0" w:rsidP="004E5331">
      <w:pPr>
        <w:pStyle w:val="Default"/>
      </w:pPr>
    </w:p>
    <w:p w:rsidR="00FB287D" w:rsidRDefault="002351B0" w:rsidP="004E5331">
      <w:pPr>
        <w:pStyle w:val="Default"/>
      </w:pPr>
      <w:r>
        <w:t xml:space="preserve">There were no significant differences between instruments for either response </w:t>
      </w:r>
      <w:r w:rsidR="00F61A4E">
        <w:t>rate</w:t>
      </w:r>
      <w:r>
        <w:t xml:space="preserve"> or prevalence within the matched domain, suggesting that </w:t>
      </w:r>
      <w:r w:rsidR="00545EEF">
        <w:t xml:space="preserve">the inclusion of non-fishing questions in the Weather and Outdoor Activity Survey </w:t>
      </w:r>
      <w:r w:rsidR="00D56513">
        <w:t xml:space="preserve">did not </w:t>
      </w:r>
      <w:r w:rsidR="00103A90">
        <w:t xml:space="preserve">have an </w:t>
      </w:r>
      <w:r w:rsidR="00D56513">
        <w:t>impact</w:t>
      </w:r>
      <w:r w:rsidR="00103A90">
        <w:t xml:space="preserve"> on</w:t>
      </w:r>
      <w:r w:rsidR="00D56513">
        <w:t xml:space="preserve"> response by either anglers or non-anglers</w:t>
      </w:r>
      <w:r w:rsidR="003F2B2D">
        <w:t>.</w:t>
      </w:r>
      <w:r w:rsidR="007F0550">
        <w:t xml:space="preserve">  In the unmatched domain, </w:t>
      </w:r>
      <w:r w:rsidR="00B617A4">
        <w:t>the response rate</w:t>
      </w:r>
      <w:r w:rsidR="007F0550">
        <w:t xml:space="preserve"> </w:t>
      </w:r>
      <w:r w:rsidR="00B617A4">
        <w:t>was</w:t>
      </w:r>
      <w:r w:rsidR="007F0550">
        <w:t xml:space="preserve"> significantly higher for the Weather and Outdoor Activity Survey than the Saltwater Fishing Survey.  </w:t>
      </w:r>
      <w:r w:rsidR="00B0641C">
        <w:t>However, the</w:t>
      </w:r>
      <w:r w:rsidR="005E5097">
        <w:t xml:space="preserve"> higher response rate</w:t>
      </w:r>
      <w:r w:rsidR="00B0641C">
        <w:t xml:space="preserve"> did not translate to </w:t>
      </w:r>
      <w:r w:rsidR="00A84B62">
        <w:t xml:space="preserve">lower or higher </w:t>
      </w:r>
      <w:r w:rsidR="00B0641C">
        <w:t>estimates of prevalence; estimates of prevalence were not significantly differe</w:t>
      </w:r>
      <w:r w:rsidR="00B14445">
        <w:t>nt between instruments</w:t>
      </w:r>
      <w:r w:rsidR="00C91457">
        <w:t xml:space="preserve"> </w:t>
      </w:r>
      <w:r w:rsidR="0054416E">
        <w:t>within the domain</w:t>
      </w:r>
      <w:r w:rsidR="00B0641C">
        <w:t>.</w:t>
      </w:r>
      <w:r w:rsidR="00DF5D9E">
        <w:t xml:space="preserve">  This suggests that the engaging instrument </w:t>
      </w:r>
      <w:r w:rsidR="00590407">
        <w:t xml:space="preserve">uniformly </w:t>
      </w:r>
      <w:r w:rsidR="00DF5D9E">
        <w:t>in</w:t>
      </w:r>
      <w:r w:rsidR="00036275">
        <w:t xml:space="preserve">creased </w:t>
      </w:r>
      <w:r w:rsidR="00BA54F8">
        <w:t xml:space="preserve">the </w:t>
      </w:r>
      <w:r w:rsidR="00262805">
        <w:t>probability</w:t>
      </w:r>
      <w:r w:rsidR="00036275">
        <w:t xml:space="preserve"> of response</w:t>
      </w:r>
      <w:r w:rsidR="00DF5D9E">
        <w:t xml:space="preserve"> for anglers and non-anglers within the unmatched domain.</w:t>
      </w:r>
    </w:p>
    <w:p w:rsidR="00FB287D" w:rsidRDefault="00FB287D" w:rsidP="004E5331">
      <w:pPr>
        <w:pStyle w:val="Default"/>
      </w:pPr>
    </w:p>
    <w:p w:rsidR="003B4D3D" w:rsidRDefault="00DA679C" w:rsidP="003B4D3D">
      <w:pPr>
        <w:pStyle w:val="Default"/>
      </w:pPr>
      <w:r>
        <w:t xml:space="preserve">Differential nonresponse </w:t>
      </w:r>
      <w:r w:rsidR="003C0CE6">
        <w:t xml:space="preserve">to a survey request </w:t>
      </w:r>
      <w:r>
        <w:t>between subpopulations will result in nonresponse bias if the subpopulations are different with respect to the survey topic.</w:t>
      </w:r>
      <w:r w:rsidR="00C10E26">
        <w:t xml:space="preserve">  </w:t>
      </w:r>
      <w:r w:rsidR="00482D61">
        <w:t>In the MRIP Fishing Effort Survey, we account for differential nonresponse between matched and unmatched households during sampling</w:t>
      </w:r>
      <w:r w:rsidR="0038221D">
        <w:t xml:space="preserve"> – matched an</w:t>
      </w:r>
      <w:r w:rsidR="00016ED2">
        <w:t>d</w:t>
      </w:r>
      <w:r w:rsidR="0038221D">
        <w:t xml:space="preserve"> unmatched </w:t>
      </w:r>
      <w:r w:rsidR="00FD2ECF">
        <w:t>sub</w:t>
      </w:r>
      <w:r w:rsidR="0038221D">
        <w:t xml:space="preserve">populations are treated as independent </w:t>
      </w:r>
      <w:r w:rsidR="0038221D">
        <w:lastRenderedPageBreak/>
        <w:t>strata</w:t>
      </w:r>
      <w:r w:rsidR="00482D61">
        <w:t>.  Subse</w:t>
      </w:r>
      <w:r w:rsidR="00683C45">
        <w:t>quently, the potential for nonresponse bias is limited to differential nonresponse</w:t>
      </w:r>
      <w:r w:rsidR="00FD2ECF">
        <w:t xml:space="preserve"> between anglers and non-anglers</w:t>
      </w:r>
      <w:r w:rsidR="00683C45">
        <w:t xml:space="preserve"> within the matched and unmatched subpopulations.</w:t>
      </w:r>
      <w:r w:rsidR="00EF7B44">
        <w:t xml:space="preserve">  </w:t>
      </w:r>
      <w:r w:rsidR="000F3D11">
        <w:t xml:space="preserve">While the Weather and Outdoor Activity Survey achieved a higher response rate than the Saltwater Fishing Survey, </w:t>
      </w:r>
      <w:r w:rsidR="00A15A41">
        <w:t xml:space="preserve">both overall and within the unmatched subpopulation, </w:t>
      </w:r>
      <w:r w:rsidR="000F3D11">
        <w:t xml:space="preserve">the gains in response do not appear to result from a higher propensity to respond </w:t>
      </w:r>
      <w:r w:rsidR="004D21DF">
        <w:t xml:space="preserve">to the survey </w:t>
      </w:r>
      <w:r w:rsidR="000F3D11">
        <w:t xml:space="preserve">by </w:t>
      </w:r>
      <w:r w:rsidR="005A53E5">
        <w:t>either anglers or non-an</w:t>
      </w:r>
      <w:r w:rsidR="001163E2">
        <w:t>glers</w:t>
      </w:r>
      <w:r w:rsidR="006336DA">
        <w:t>.  As a result, we cannot conclude that one of t</w:t>
      </w:r>
      <w:r w:rsidR="001163E2">
        <w:t>he instruments is more or less</w:t>
      </w:r>
      <w:r w:rsidR="005A53E5">
        <w:t xml:space="preserve"> likely to minimize differential nonresponse between anglers and non-anglers.  However,</w:t>
      </w:r>
      <w:r w:rsidR="00A15A41">
        <w:t xml:space="preserve"> </w:t>
      </w:r>
      <w:r w:rsidR="00A42888">
        <w:t>higher response rates decrease the risk</w:t>
      </w:r>
      <w:r w:rsidR="009A4A27">
        <w:t xml:space="preserve"> for</w:t>
      </w:r>
      <w:r w:rsidR="00A15A41">
        <w:t xml:space="preserve"> nonresponse bias</w:t>
      </w:r>
      <w:r w:rsidR="006A33ED">
        <w:t xml:space="preserve"> and</w:t>
      </w:r>
      <w:r w:rsidR="00A42888">
        <w:t xml:space="preserve"> either lower data collection costs (for a </w:t>
      </w:r>
      <w:r w:rsidR="007E5CE8">
        <w:t xml:space="preserve">fixed </w:t>
      </w:r>
      <w:r w:rsidR="00A42888">
        <w:t>sample size) or increase the precision of estimates (for a fixed cost)</w:t>
      </w:r>
      <w:r w:rsidR="004D21DF">
        <w:rPr>
          <w:rStyle w:val="FootnoteReference"/>
        </w:rPr>
        <w:footnoteReference w:id="2"/>
      </w:r>
      <w:r w:rsidR="00A42888">
        <w:t>.</w:t>
      </w:r>
      <w:r w:rsidR="009A4A27">
        <w:t xml:space="preserve">  Consequently, we conclude</w:t>
      </w:r>
      <w:r w:rsidR="000D2BA0">
        <w:t xml:space="preserve"> that the Weathe</w:t>
      </w:r>
      <w:r w:rsidR="009A4A27">
        <w:t>r and Outdoor Activity Survey i</w:t>
      </w:r>
      <w:r w:rsidR="000D2BA0">
        <w:t xml:space="preserve">s </w:t>
      </w:r>
      <w:r w:rsidR="00F63482">
        <w:t>superior</w:t>
      </w:r>
      <w:r w:rsidR="000D2BA0">
        <w:t xml:space="preserve"> to the Saltwater Fishing Survey</w:t>
      </w:r>
      <w:r w:rsidR="009A4A27">
        <w:t xml:space="preserve"> </w:t>
      </w:r>
      <w:r w:rsidR="00F63482">
        <w:t>and recommend that the instrument be utilized for subsequent survey waves</w:t>
      </w:r>
      <w:r w:rsidR="000D2BA0">
        <w:t>.</w:t>
      </w:r>
      <w:r w:rsidR="00A07EEF">
        <w:t xml:space="preserve">  Because it collects person-level information for all residents of all sampled households, the Weather and Outdoor Activity Survey also supports post-stratification of survey weights</w:t>
      </w:r>
      <w:r w:rsidR="000D73A2">
        <w:t xml:space="preserve"> to population controls</w:t>
      </w:r>
      <w:r w:rsidR="00A07EEF">
        <w:t xml:space="preserve">, which </w:t>
      </w:r>
      <w:r w:rsidR="000D73A2">
        <w:t>is an additional benefit o</w:t>
      </w:r>
      <w:r w:rsidR="002C2937">
        <w:t>f this recommendation</w:t>
      </w:r>
      <w:r w:rsidR="00A07EEF">
        <w:t>.</w:t>
      </w:r>
      <w:r w:rsidR="000D2BA0">
        <w:t xml:space="preserve">  </w:t>
      </w:r>
    </w:p>
    <w:p w:rsidR="003B4D3D" w:rsidRDefault="003B4D3D" w:rsidP="003B4D3D">
      <w:pPr>
        <w:pStyle w:val="Default"/>
      </w:pPr>
    </w:p>
    <w:p w:rsidR="003B4D3D" w:rsidRPr="007C2B65" w:rsidRDefault="007B2B13">
      <w:pPr>
        <w:rPr>
          <w:b/>
        </w:rPr>
      </w:pPr>
      <w:r w:rsidRPr="007C2B65">
        <w:rPr>
          <w:rFonts w:ascii="Times New Roman" w:hAnsi="Times New Roman" w:cs="Times New Roman"/>
          <w:b/>
          <w:sz w:val="24"/>
          <w:szCs w:val="24"/>
        </w:rPr>
        <w:t>Incentive Testing</w:t>
      </w:r>
    </w:p>
    <w:p w:rsidR="003B4D3D" w:rsidRDefault="003B4D3D" w:rsidP="003B4D3D">
      <w:pPr>
        <w:pStyle w:val="Default"/>
      </w:pPr>
      <w:r>
        <w:t>Th</w:t>
      </w:r>
      <w:r w:rsidR="007B2B13">
        <w:t>e</w:t>
      </w:r>
      <w:r>
        <w:t xml:space="preserve"> </w:t>
      </w:r>
      <w:r w:rsidR="007B2B13">
        <w:t>MRIP Fishing Effort Survey included</w:t>
      </w:r>
      <w:r>
        <w:t xml:space="preserve"> an experiment to test the impact of </w:t>
      </w:r>
      <w:r w:rsidR="00ED2437">
        <w:t>modest</w:t>
      </w:r>
      <w:r>
        <w:t>, prepaid cash incentives on survey response</w:t>
      </w:r>
      <w:r w:rsidR="00EC4DC2">
        <w:t xml:space="preserve"> and survey measures</w:t>
      </w:r>
      <w:r>
        <w:t xml:space="preserve">.  </w:t>
      </w:r>
      <w:r w:rsidR="007B2B13">
        <w:t>Each wave, s</w:t>
      </w:r>
      <w:r>
        <w:t xml:space="preserve">ampled addresses </w:t>
      </w:r>
      <w:r w:rsidR="007B2B13">
        <w:t>were</w:t>
      </w:r>
      <w:r>
        <w:t xml:space="preserve"> randomly allocated to incentive treatment groups of $1, $2, and $5, as well as a non-incentive control group. Incentives </w:t>
      </w:r>
      <w:r w:rsidR="007B2B13">
        <w:t>were</w:t>
      </w:r>
      <w:r>
        <w:t xml:space="preserve"> </w:t>
      </w:r>
      <w:r w:rsidR="00FE1C52">
        <w:t xml:space="preserve">only included in </w:t>
      </w:r>
      <w:r w:rsidR="00851C06">
        <w:t xml:space="preserve">the </w:t>
      </w:r>
      <w:r w:rsidR="00FE1C52">
        <w:t>initial survey mailing</w:t>
      </w:r>
      <w:r>
        <w:t xml:space="preserve">. </w:t>
      </w:r>
      <w:r w:rsidR="009D1A32">
        <w:t xml:space="preserve">As in the instrument experiment, the objective of the incentive testing was to identify an optimum level of incentive that maximizes overall response while controlling costs and minimizes the potential for nonresponse bias resulting from differential nonresponse between anglers and non-anglers. </w:t>
      </w:r>
      <w:r>
        <w:t>Respo</w:t>
      </w:r>
      <w:r w:rsidR="007B2B13">
        <w:t>nse rates, estimated fishing prevalence</w:t>
      </w:r>
      <w:r>
        <w:t xml:space="preserve"> </w:t>
      </w:r>
      <w:r w:rsidR="007B2B13">
        <w:t>and relative costs of completing an interview were</w:t>
      </w:r>
      <w:r>
        <w:t xml:space="preserve"> compared among </w:t>
      </w:r>
      <w:r w:rsidR="00ED2437">
        <w:t>incentive treatments</w:t>
      </w:r>
      <w:r w:rsidR="00F93F8F">
        <w:t xml:space="preserve"> to quantify the impacts of incentives</w:t>
      </w:r>
      <w:r>
        <w:t xml:space="preserve">.  </w:t>
      </w:r>
    </w:p>
    <w:p w:rsidR="00EC4DC2" w:rsidRDefault="00EC4DC2" w:rsidP="003B4D3D">
      <w:pPr>
        <w:pStyle w:val="Default"/>
      </w:pPr>
    </w:p>
    <w:p w:rsidR="008924A3" w:rsidRDefault="001D562C" w:rsidP="003B4D3D">
      <w:pPr>
        <w:pStyle w:val="Default"/>
      </w:pPr>
      <w:r>
        <w:t xml:space="preserve">Table 2 </w:t>
      </w:r>
      <w:r w:rsidR="002215CD">
        <w:t>shows</w:t>
      </w:r>
      <w:r w:rsidR="00B7357E">
        <w:t xml:space="preserve"> weighted response rates and</w:t>
      </w:r>
      <w:r w:rsidR="002215CD">
        <w:t xml:space="preserve"> </w:t>
      </w:r>
      <w:r w:rsidR="00A82C2B">
        <w:t xml:space="preserve">the results of a logistic regression model predicting the effects of incentives on the odds of obtaining a completed survey.  Including an incentive in the initial survey mailing significantly increased the odds of receiving a completed survey, and </w:t>
      </w:r>
      <w:r w:rsidR="008924A3">
        <w:t>the odds increased significantly as the incentive amount increased.</w:t>
      </w:r>
      <w:r w:rsidR="00F12C86">
        <w:t xml:space="preserve">  </w:t>
      </w:r>
      <w:r w:rsidR="002B05AC">
        <w:t>Cash incentives of $1, $2, and $5 increased the odds</w:t>
      </w:r>
      <w:r w:rsidR="00F12C86">
        <w:t xml:space="preserve"> of receiving a completed survey by 63%</w:t>
      </w:r>
      <w:r w:rsidR="00675921">
        <w:t>, 93% and 137%</w:t>
      </w:r>
      <w:r w:rsidR="002B05AC">
        <w:t xml:space="preserve">, </w:t>
      </w:r>
      <w:r w:rsidR="00F12C86">
        <w:t>respectively.</w:t>
      </w:r>
      <w:r w:rsidR="00B7357E">
        <w:t xml:space="preserve">  </w:t>
      </w:r>
    </w:p>
    <w:p w:rsidR="00B7357E" w:rsidRDefault="00B7357E" w:rsidP="003B4D3D">
      <w:pPr>
        <w:pStyle w:val="Default"/>
      </w:pPr>
    </w:p>
    <w:p w:rsidR="00243A33" w:rsidRDefault="005E2ECA" w:rsidP="003B4D3D">
      <w:pPr>
        <w:pStyle w:val="Default"/>
      </w:pPr>
      <w:proofErr w:type="gramStart"/>
      <w:r>
        <w:t>Table 2.</w:t>
      </w:r>
      <w:proofErr w:type="gramEnd"/>
      <w:r>
        <w:t xml:space="preserve">  </w:t>
      </w:r>
      <w:proofErr w:type="gramStart"/>
      <w:r>
        <w:t>Weighted response rates and odds of receiving a completed survey by incentive amount.</w:t>
      </w:r>
      <w:proofErr w:type="gramEnd"/>
      <w:r w:rsidR="00E00C3C">
        <w:t xml:space="preserve"> </w:t>
      </w:r>
    </w:p>
    <w:p w:rsidR="00243A33" w:rsidRDefault="00243A33" w:rsidP="003B4D3D">
      <w:pPr>
        <w:pStyle w:val="Default"/>
      </w:pPr>
    </w:p>
    <w:tbl>
      <w:tblPr>
        <w:tblW w:w="6880" w:type="dxa"/>
        <w:tblInd w:w="93" w:type="dxa"/>
        <w:tblLook w:val="04A0" w:firstRow="1" w:lastRow="0" w:firstColumn="1" w:lastColumn="0" w:noHBand="0" w:noVBand="1"/>
      </w:tblPr>
      <w:tblGrid>
        <w:gridCol w:w="1340"/>
        <w:gridCol w:w="1480"/>
        <w:gridCol w:w="940"/>
        <w:gridCol w:w="1600"/>
        <w:gridCol w:w="1520"/>
      </w:tblGrid>
      <w:tr w:rsidR="00E82904" w:rsidRPr="00E82904" w:rsidTr="00E82904">
        <w:trPr>
          <w:trHeight w:val="600"/>
        </w:trPr>
        <w:tc>
          <w:tcPr>
            <w:tcW w:w="1340" w:type="dxa"/>
            <w:tcBorders>
              <w:top w:val="single" w:sz="4" w:space="0" w:color="auto"/>
              <w:left w:val="nil"/>
              <w:bottom w:val="single" w:sz="4" w:space="0" w:color="auto"/>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Incentive</w:t>
            </w:r>
          </w:p>
        </w:tc>
        <w:tc>
          <w:tcPr>
            <w:tcW w:w="1480" w:type="dxa"/>
            <w:tcBorders>
              <w:top w:val="single" w:sz="4" w:space="0" w:color="auto"/>
              <w:left w:val="nil"/>
              <w:bottom w:val="single" w:sz="4" w:space="0" w:color="auto"/>
              <w:right w:val="nil"/>
            </w:tcBorders>
            <w:shd w:val="clear" w:color="auto" w:fill="auto"/>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Response Rate (%)</w:t>
            </w:r>
          </w:p>
        </w:tc>
        <w:tc>
          <w:tcPr>
            <w:tcW w:w="940" w:type="dxa"/>
            <w:tcBorders>
              <w:top w:val="single" w:sz="4" w:space="0" w:color="auto"/>
              <w:left w:val="nil"/>
              <w:bottom w:val="single" w:sz="4" w:space="0" w:color="auto"/>
              <w:right w:val="nil"/>
            </w:tcBorders>
            <w:shd w:val="clear" w:color="auto" w:fill="auto"/>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n</w:t>
            </w:r>
          </w:p>
        </w:tc>
        <w:tc>
          <w:tcPr>
            <w:tcW w:w="1600" w:type="dxa"/>
            <w:tcBorders>
              <w:top w:val="single" w:sz="4" w:space="0" w:color="auto"/>
              <w:left w:val="nil"/>
              <w:bottom w:val="single" w:sz="4" w:space="0" w:color="auto"/>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Odds Ratio</w:t>
            </w:r>
          </w:p>
        </w:tc>
        <w:tc>
          <w:tcPr>
            <w:tcW w:w="1520" w:type="dxa"/>
            <w:tcBorders>
              <w:top w:val="single" w:sz="4" w:space="0" w:color="auto"/>
              <w:left w:val="nil"/>
              <w:bottom w:val="single" w:sz="4" w:space="0" w:color="auto"/>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95 % CI</w:t>
            </w:r>
          </w:p>
        </w:tc>
      </w:tr>
      <w:tr w:rsidR="00E82904" w:rsidRPr="00E82904" w:rsidTr="00E82904">
        <w:trPr>
          <w:trHeight w:val="300"/>
        </w:trPr>
        <w:tc>
          <w:tcPr>
            <w:tcW w:w="134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 xml:space="preserve">     $0</w:t>
            </w:r>
          </w:p>
        </w:tc>
        <w:tc>
          <w:tcPr>
            <w:tcW w:w="148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22.6</w:t>
            </w:r>
          </w:p>
        </w:tc>
        <w:tc>
          <w:tcPr>
            <w:tcW w:w="94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8,760</w:t>
            </w:r>
          </w:p>
        </w:tc>
        <w:tc>
          <w:tcPr>
            <w:tcW w:w="1600" w:type="dxa"/>
            <w:tcBorders>
              <w:top w:val="nil"/>
              <w:left w:val="nil"/>
              <w:bottom w:val="nil"/>
              <w:right w:val="nil"/>
            </w:tcBorders>
            <w:shd w:val="clear" w:color="auto" w:fill="auto"/>
            <w:noWrap/>
            <w:vAlign w:val="bottom"/>
            <w:hideMark/>
          </w:tcPr>
          <w:p w:rsidR="00E82904" w:rsidRPr="00E82904" w:rsidRDefault="00050EEE" w:rsidP="00050EEE">
            <w:pPr>
              <w:spacing w:after="0" w:line="240" w:lineRule="auto"/>
              <w:rPr>
                <w:rFonts w:ascii="Times New Roman" w:eastAsia="Times New Roman" w:hAnsi="Times New Roman" w:cs="Times New Roman"/>
                <w:color w:val="000000"/>
              </w:rPr>
            </w:pPr>
            <w:r w:rsidRPr="009778DE">
              <w:rPr>
                <w:rFonts w:ascii="Times New Roman" w:eastAsia="Times New Roman" w:hAnsi="Times New Roman" w:cs="Times New Roman"/>
                <w:color w:val="000000"/>
              </w:rPr>
              <w:t xml:space="preserve">        </w:t>
            </w:r>
            <w:r w:rsidR="00E82904" w:rsidRPr="00E82904">
              <w:rPr>
                <w:rFonts w:ascii="Times New Roman" w:eastAsia="Times New Roman" w:hAnsi="Times New Roman" w:cs="Times New Roman"/>
                <w:color w:val="000000"/>
              </w:rPr>
              <w:t>1.00</w:t>
            </w:r>
          </w:p>
        </w:tc>
        <w:tc>
          <w:tcPr>
            <w:tcW w:w="152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p>
        </w:tc>
      </w:tr>
      <w:tr w:rsidR="00E82904" w:rsidRPr="00E82904" w:rsidTr="00E82904">
        <w:trPr>
          <w:trHeight w:val="300"/>
        </w:trPr>
        <w:tc>
          <w:tcPr>
            <w:tcW w:w="134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 xml:space="preserve">     $1</w:t>
            </w:r>
          </w:p>
        </w:tc>
        <w:tc>
          <w:tcPr>
            <w:tcW w:w="148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32.2</w:t>
            </w:r>
          </w:p>
        </w:tc>
        <w:tc>
          <w:tcPr>
            <w:tcW w:w="94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8,737</w:t>
            </w:r>
          </w:p>
        </w:tc>
        <w:tc>
          <w:tcPr>
            <w:tcW w:w="160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1.63*</w:t>
            </w:r>
          </w:p>
        </w:tc>
        <w:tc>
          <w:tcPr>
            <w:tcW w:w="152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(1.51, 1.77)</w:t>
            </w:r>
          </w:p>
        </w:tc>
      </w:tr>
      <w:tr w:rsidR="00E82904" w:rsidRPr="00E82904" w:rsidTr="00E82904">
        <w:trPr>
          <w:trHeight w:val="300"/>
        </w:trPr>
        <w:tc>
          <w:tcPr>
            <w:tcW w:w="134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 xml:space="preserve">     $2</w:t>
            </w:r>
          </w:p>
        </w:tc>
        <w:tc>
          <w:tcPr>
            <w:tcW w:w="148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36</w:t>
            </w:r>
          </w:p>
        </w:tc>
        <w:tc>
          <w:tcPr>
            <w:tcW w:w="94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8,738</w:t>
            </w:r>
          </w:p>
        </w:tc>
        <w:tc>
          <w:tcPr>
            <w:tcW w:w="160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1.93*</w:t>
            </w:r>
          </w:p>
        </w:tc>
        <w:tc>
          <w:tcPr>
            <w:tcW w:w="1520" w:type="dxa"/>
            <w:tcBorders>
              <w:top w:val="nil"/>
              <w:left w:val="nil"/>
              <w:bottom w:val="nil"/>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(1.78, 2.09)</w:t>
            </w:r>
          </w:p>
        </w:tc>
      </w:tr>
      <w:tr w:rsidR="00E82904" w:rsidRPr="00E82904" w:rsidTr="00E82904">
        <w:trPr>
          <w:trHeight w:val="300"/>
        </w:trPr>
        <w:tc>
          <w:tcPr>
            <w:tcW w:w="1340" w:type="dxa"/>
            <w:tcBorders>
              <w:top w:val="nil"/>
              <w:left w:val="nil"/>
              <w:bottom w:val="single" w:sz="4" w:space="0" w:color="auto"/>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 xml:space="preserve">     $5</w:t>
            </w:r>
          </w:p>
        </w:tc>
        <w:tc>
          <w:tcPr>
            <w:tcW w:w="1480" w:type="dxa"/>
            <w:tcBorders>
              <w:top w:val="nil"/>
              <w:left w:val="nil"/>
              <w:bottom w:val="single" w:sz="4" w:space="0" w:color="auto"/>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40.8</w:t>
            </w:r>
          </w:p>
        </w:tc>
        <w:tc>
          <w:tcPr>
            <w:tcW w:w="940" w:type="dxa"/>
            <w:tcBorders>
              <w:top w:val="nil"/>
              <w:left w:val="nil"/>
              <w:bottom w:val="single" w:sz="4" w:space="0" w:color="auto"/>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8,786</w:t>
            </w:r>
          </w:p>
        </w:tc>
        <w:tc>
          <w:tcPr>
            <w:tcW w:w="1600" w:type="dxa"/>
            <w:tcBorders>
              <w:top w:val="nil"/>
              <w:left w:val="nil"/>
              <w:bottom w:val="single" w:sz="4" w:space="0" w:color="auto"/>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2.37*</w:t>
            </w:r>
          </w:p>
        </w:tc>
        <w:tc>
          <w:tcPr>
            <w:tcW w:w="1520" w:type="dxa"/>
            <w:tcBorders>
              <w:top w:val="nil"/>
              <w:left w:val="nil"/>
              <w:bottom w:val="single" w:sz="4" w:space="0" w:color="auto"/>
              <w:right w:val="nil"/>
            </w:tcBorders>
            <w:shd w:val="clear" w:color="auto" w:fill="auto"/>
            <w:noWrap/>
            <w:vAlign w:val="bottom"/>
            <w:hideMark/>
          </w:tcPr>
          <w:p w:rsidR="00E82904" w:rsidRPr="00E82904" w:rsidRDefault="00E82904" w:rsidP="00E82904">
            <w:pPr>
              <w:spacing w:after="0" w:line="240" w:lineRule="auto"/>
              <w:jc w:val="center"/>
              <w:rPr>
                <w:rFonts w:ascii="Times New Roman" w:eastAsia="Times New Roman" w:hAnsi="Times New Roman" w:cs="Times New Roman"/>
                <w:color w:val="000000"/>
              </w:rPr>
            </w:pPr>
            <w:r w:rsidRPr="00E82904">
              <w:rPr>
                <w:rFonts w:ascii="Times New Roman" w:eastAsia="Times New Roman" w:hAnsi="Times New Roman" w:cs="Times New Roman"/>
                <w:color w:val="000000"/>
              </w:rPr>
              <w:t>(2.18, 2.56)</w:t>
            </w:r>
          </w:p>
        </w:tc>
      </w:tr>
    </w:tbl>
    <w:p w:rsidR="00764E4E" w:rsidRDefault="00765C99" w:rsidP="00765C99">
      <w:pPr>
        <w:pStyle w:val="Default"/>
      </w:pPr>
      <w:r>
        <w:t>*Significantly different from the $0 control (</w:t>
      </w:r>
      <w:r>
        <w:rPr>
          <w:i/>
        </w:rPr>
        <w:t>p</w:t>
      </w:r>
      <w:r>
        <w:t xml:space="preserve">&lt;0.05).  </w:t>
      </w:r>
      <w:r w:rsidR="00470198">
        <w:t>Results of pairwise comparisons are as follows:  $1&gt;$0 (</w:t>
      </w:r>
      <w:r w:rsidR="00643E4C" w:rsidRPr="00643E4C">
        <w:rPr>
          <w:i/>
        </w:rPr>
        <w:t>p</w:t>
      </w:r>
      <w:r w:rsidR="00411D91">
        <w:t>&lt;0.05</w:t>
      </w:r>
      <w:r w:rsidR="00470198">
        <w:t>), $2&gt;$1 (</w:t>
      </w:r>
      <w:r w:rsidR="00643E4C" w:rsidRPr="00643E4C">
        <w:rPr>
          <w:i/>
        </w:rPr>
        <w:t>p</w:t>
      </w:r>
      <w:r w:rsidR="00411D91">
        <w:t>&lt;0.05</w:t>
      </w:r>
      <w:r w:rsidR="00470198">
        <w:t>), $5&gt;$2 (</w:t>
      </w:r>
      <w:r w:rsidR="00643E4C" w:rsidRPr="00643E4C">
        <w:rPr>
          <w:i/>
        </w:rPr>
        <w:t>p</w:t>
      </w:r>
      <w:r w:rsidR="00411D91">
        <w:t>&lt;0.05</w:t>
      </w:r>
      <w:r w:rsidR="00470198">
        <w:t>).</w:t>
      </w:r>
      <w:r w:rsidR="00300542">
        <w:br/>
      </w:r>
    </w:p>
    <w:p w:rsidR="00842981" w:rsidRDefault="00136EFE" w:rsidP="00842981">
      <w:pPr>
        <w:pStyle w:val="Default"/>
      </w:pPr>
      <w:r>
        <w:t>Previous studies (Groves et al., 2006) have demonstrated that prepaid cash incentives can motivate individuals with little or no interest in a survey topic to respond to a survey request.  Subsequently, w</w:t>
      </w:r>
      <w:r w:rsidR="00842981">
        <w:t xml:space="preserve">e hypothesized that incentives would have a larger impact on non-anglers </w:t>
      </w:r>
      <w:r w:rsidR="001E5555">
        <w:t xml:space="preserve">than anglers, minimizing </w:t>
      </w:r>
      <w:r w:rsidR="00842981">
        <w:t xml:space="preserve">differential nonresponse between </w:t>
      </w:r>
      <w:r w:rsidR="001E5555">
        <w:t>the two populations</w:t>
      </w:r>
      <w:r w:rsidR="00842981">
        <w:t>.</w:t>
      </w:r>
      <w:r w:rsidR="00272AB0">
        <w:t xml:space="preserve">  We </w:t>
      </w:r>
      <w:r w:rsidR="007C42A0">
        <w:t xml:space="preserve">initially </w:t>
      </w:r>
      <w:r w:rsidR="00272AB0">
        <w:t>explored this hypothesis by comparing estimated fishing preval</w:t>
      </w:r>
      <w:r w:rsidR="007C42A0">
        <w:t xml:space="preserve">ence among incentive conditions, expecting </w:t>
      </w:r>
      <w:r w:rsidR="00FE02C3">
        <w:t>that gains in response in the incentive conditions would translate</w:t>
      </w:r>
      <w:r w:rsidR="00CD196E">
        <w:t xml:space="preserve"> to lower estimates of fishing </w:t>
      </w:r>
      <w:r w:rsidR="00FE02C3">
        <w:t>prev</w:t>
      </w:r>
      <w:r w:rsidR="00CD196E">
        <w:t>ale</w:t>
      </w:r>
      <w:r w:rsidR="00FE02C3">
        <w:t>nce</w:t>
      </w:r>
      <w:r w:rsidR="007C42A0">
        <w:t>.  The results do not support this hypothesis; there were no significant differences in p</w:t>
      </w:r>
      <w:r w:rsidR="00176EB2">
        <w:t>revalence among incentive condi</w:t>
      </w:r>
      <w:r w:rsidR="007C42A0">
        <w:t xml:space="preserve">tions (Table 3).  </w:t>
      </w:r>
    </w:p>
    <w:p w:rsidR="00C968FC" w:rsidRDefault="00C968FC" w:rsidP="00842981">
      <w:pPr>
        <w:pStyle w:val="Default"/>
      </w:pPr>
    </w:p>
    <w:p w:rsidR="00C968FC" w:rsidRDefault="00C968FC" w:rsidP="00C968FC">
      <w:pPr>
        <w:pStyle w:val="Default"/>
      </w:pPr>
      <w:proofErr w:type="gramStart"/>
      <w:r>
        <w:t>Table 3.</w:t>
      </w:r>
      <w:proofErr w:type="gramEnd"/>
      <w:r>
        <w:t xml:space="preserve">  </w:t>
      </w:r>
      <w:r w:rsidR="00016ED2">
        <w:t>Overall e</w:t>
      </w:r>
      <w:r>
        <w:t>stimated fishing prevalence by incentive amount.</w:t>
      </w:r>
    </w:p>
    <w:p w:rsidR="00C968FC" w:rsidRDefault="00C968FC" w:rsidP="00C968FC">
      <w:pPr>
        <w:pStyle w:val="Default"/>
      </w:pPr>
    </w:p>
    <w:tbl>
      <w:tblPr>
        <w:tblW w:w="3760" w:type="dxa"/>
        <w:tblInd w:w="93" w:type="dxa"/>
        <w:tblLook w:val="04A0" w:firstRow="1" w:lastRow="0" w:firstColumn="1" w:lastColumn="0" w:noHBand="0" w:noVBand="1"/>
      </w:tblPr>
      <w:tblGrid>
        <w:gridCol w:w="1340"/>
        <w:gridCol w:w="1480"/>
        <w:gridCol w:w="940"/>
      </w:tblGrid>
      <w:tr w:rsidR="00D9076B" w:rsidRPr="00D9076B" w:rsidTr="00D9076B">
        <w:trPr>
          <w:trHeight w:val="600"/>
        </w:trPr>
        <w:tc>
          <w:tcPr>
            <w:tcW w:w="1340" w:type="dxa"/>
            <w:tcBorders>
              <w:top w:val="single" w:sz="4" w:space="0" w:color="auto"/>
              <w:left w:val="nil"/>
              <w:bottom w:val="single" w:sz="4" w:space="0" w:color="auto"/>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Incentive</w:t>
            </w:r>
          </w:p>
        </w:tc>
        <w:tc>
          <w:tcPr>
            <w:tcW w:w="1480" w:type="dxa"/>
            <w:tcBorders>
              <w:top w:val="single" w:sz="4" w:space="0" w:color="auto"/>
              <w:left w:val="nil"/>
              <w:bottom w:val="single" w:sz="4" w:space="0" w:color="auto"/>
              <w:right w:val="nil"/>
            </w:tcBorders>
            <w:shd w:val="clear" w:color="auto" w:fill="auto"/>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Prevalence     (%)</w:t>
            </w:r>
          </w:p>
        </w:tc>
        <w:tc>
          <w:tcPr>
            <w:tcW w:w="940" w:type="dxa"/>
            <w:tcBorders>
              <w:top w:val="single" w:sz="4" w:space="0" w:color="auto"/>
              <w:left w:val="nil"/>
              <w:bottom w:val="single" w:sz="4" w:space="0" w:color="auto"/>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n</w:t>
            </w:r>
          </w:p>
        </w:tc>
      </w:tr>
      <w:tr w:rsidR="00D9076B" w:rsidRPr="00D9076B" w:rsidTr="00D9076B">
        <w:trPr>
          <w:trHeight w:val="300"/>
        </w:trPr>
        <w:tc>
          <w:tcPr>
            <w:tcW w:w="1340" w:type="dxa"/>
            <w:tcBorders>
              <w:top w:val="nil"/>
              <w:left w:val="nil"/>
              <w:bottom w:val="nil"/>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 xml:space="preserve">     $0</w:t>
            </w:r>
          </w:p>
        </w:tc>
        <w:tc>
          <w:tcPr>
            <w:tcW w:w="1480" w:type="dxa"/>
            <w:tcBorders>
              <w:top w:val="nil"/>
              <w:left w:val="nil"/>
              <w:bottom w:val="nil"/>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12.8</w:t>
            </w:r>
          </w:p>
        </w:tc>
        <w:tc>
          <w:tcPr>
            <w:tcW w:w="940" w:type="dxa"/>
            <w:tcBorders>
              <w:top w:val="nil"/>
              <w:left w:val="nil"/>
              <w:bottom w:val="nil"/>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2,154</w:t>
            </w:r>
          </w:p>
        </w:tc>
      </w:tr>
      <w:tr w:rsidR="00D9076B" w:rsidRPr="00D9076B" w:rsidTr="00D9076B">
        <w:trPr>
          <w:trHeight w:val="300"/>
        </w:trPr>
        <w:tc>
          <w:tcPr>
            <w:tcW w:w="1340" w:type="dxa"/>
            <w:tcBorders>
              <w:top w:val="nil"/>
              <w:left w:val="nil"/>
              <w:bottom w:val="nil"/>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 xml:space="preserve">     $1</w:t>
            </w:r>
          </w:p>
        </w:tc>
        <w:tc>
          <w:tcPr>
            <w:tcW w:w="1480" w:type="dxa"/>
            <w:tcBorders>
              <w:top w:val="nil"/>
              <w:left w:val="nil"/>
              <w:bottom w:val="nil"/>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14.1</w:t>
            </w:r>
          </w:p>
        </w:tc>
        <w:tc>
          <w:tcPr>
            <w:tcW w:w="940" w:type="dxa"/>
            <w:tcBorders>
              <w:top w:val="nil"/>
              <w:left w:val="nil"/>
              <w:bottom w:val="nil"/>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3,065</w:t>
            </w:r>
          </w:p>
        </w:tc>
      </w:tr>
      <w:tr w:rsidR="00D9076B" w:rsidRPr="00D9076B" w:rsidTr="00D9076B">
        <w:trPr>
          <w:trHeight w:val="300"/>
        </w:trPr>
        <w:tc>
          <w:tcPr>
            <w:tcW w:w="1340" w:type="dxa"/>
            <w:tcBorders>
              <w:top w:val="nil"/>
              <w:left w:val="nil"/>
              <w:bottom w:val="nil"/>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 xml:space="preserve">     $2</w:t>
            </w:r>
          </w:p>
        </w:tc>
        <w:tc>
          <w:tcPr>
            <w:tcW w:w="1480" w:type="dxa"/>
            <w:tcBorders>
              <w:top w:val="nil"/>
              <w:left w:val="nil"/>
              <w:bottom w:val="nil"/>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13.6</w:t>
            </w:r>
          </w:p>
        </w:tc>
        <w:tc>
          <w:tcPr>
            <w:tcW w:w="940" w:type="dxa"/>
            <w:tcBorders>
              <w:top w:val="nil"/>
              <w:left w:val="nil"/>
              <w:bottom w:val="nil"/>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3,415</w:t>
            </w:r>
          </w:p>
        </w:tc>
      </w:tr>
      <w:tr w:rsidR="00D9076B" w:rsidRPr="00D9076B" w:rsidTr="00D9076B">
        <w:trPr>
          <w:trHeight w:val="300"/>
        </w:trPr>
        <w:tc>
          <w:tcPr>
            <w:tcW w:w="1340" w:type="dxa"/>
            <w:tcBorders>
              <w:top w:val="nil"/>
              <w:left w:val="nil"/>
              <w:bottom w:val="single" w:sz="4" w:space="0" w:color="auto"/>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 xml:space="preserve">     $5</w:t>
            </w:r>
          </w:p>
        </w:tc>
        <w:tc>
          <w:tcPr>
            <w:tcW w:w="1480" w:type="dxa"/>
            <w:tcBorders>
              <w:top w:val="nil"/>
              <w:left w:val="nil"/>
              <w:bottom w:val="single" w:sz="4" w:space="0" w:color="auto"/>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14.1</w:t>
            </w:r>
          </w:p>
        </w:tc>
        <w:tc>
          <w:tcPr>
            <w:tcW w:w="940" w:type="dxa"/>
            <w:tcBorders>
              <w:top w:val="nil"/>
              <w:left w:val="nil"/>
              <w:bottom w:val="single" w:sz="4" w:space="0" w:color="auto"/>
              <w:right w:val="nil"/>
            </w:tcBorders>
            <w:shd w:val="clear" w:color="auto" w:fill="auto"/>
            <w:noWrap/>
            <w:vAlign w:val="bottom"/>
            <w:hideMark/>
          </w:tcPr>
          <w:p w:rsidR="00D9076B" w:rsidRPr="00D9076B" w:rsidRDefault="00D9076B" w:rsidP="00D9076B">
            <w:pPr>
              <w:spacing w:after="0" w:line="240" w:lineRule="auto"/>
              <w:jc w:val="center"/>
              <w:rPr>
                <w:rFonts w:ascii="Times New Roman" w:eastAsia="Times New Roman" w:hAnsi="Times New Roman" w:cs="Times New Roman"/>
                <w:color w:val="000000"/>
              </w:rPr>
            </w:pPr>
            <w:r w:rsidRPr="00D9076B">
              <w:rPr>
                <w:rFonts w:ascii="Times New Roman" w:eastAsia="Times New Roman" w:hAnsi="Times New Roman" w:cs="Times New Roman"/>
                <w:color w:val="000000"/>
              </w:rPr>
              <w:t>3,807</w:t>
            </w:r>
          </w:p>
        </w:tc>
      </w:tr>
    </w:tbl>
    <w:p w:rsidR="00C968FC" w:rsidRDefault="00B37206" w:rsidP="00842981">
      <w:pPr>
        <w:pStyle w:val="Default"/>
      </w:pPr>
      <w:r>
        <w:t>Note – Differences</w:t>
      </w:r>
      <w:r w:rsidR="00680EFF">
        <w:t xml:space="preserve"> in </w:t>
      </w:r>
      <w:r>
        <w:t>pre</w:t>
      </w:r>
      <w:r w:rsidR="00680EFF">
        <w:t xml:space="preserve">valence among treatments are not </w:t>
      </w:r>
      <w:r>
        <w:t>significant (</w:t>
      </w:r>
      <w:r w:rsidRPr="00B37206">
        <w:rPr>
          <w:i/>
        </w:rPr>
        <w:t>p</w:t>
      </w:r>
      <w:r>
        <w:t>=0.05)</w:t>
      </w:r>
    </w:p>
    <w:p w:rsidR="00842981" w:rsidRDefault="00842981" w:rsidP="003B4D3D">
      <w:pPr>
        <w:pStyle w:val="Default"/>
      </w:pPr>
    </w:p>
    <w:p w:rsidR="00F80306" w:rsidRDefault="00764E4E" w:rsidP="003B4D3D">
      <w:pPr>
        <w:pStyle w:val="Default"/>
      </w:pPr>
      <w:r>
        <w:t xml:space="preserve">We further </w:t>
      </w:r>
      <w:r w:rsidR="00965529">
        <w:t>explored</w:t>
      </w:r>
      <w:r>
        <w:t xml:space="preserve"> the interaction of </w:t>
      </w:r>
      <w:r w:rsidR="005A5E0A">
        <w:t>topic salience</w:t>
      </w:r>
      <w:r>
        <w:t xml:space="preserve"> an</w:t>
      </w:r>
      <w:r w:rsidR="005A5E0A">
        <w:t xml:space="preserve">d </w:t>
      </w:r>
      <w:r w:rsidR="002B023D">
        <w:t>incentives</w:t>
      </w:r>
      <w:r w:rsidR="005A5E0A">
        <w:t xml:space="preserve"> by </w:t>
      </w:r>
      <w:r w:rsidR="00965529">
        <w:t>examining</w:t>
      </w:r>
      <w:r w:rsidR="005A5E0A">
        <w:t xml:space="preserve"> response rates </w:t>
      </w:r>
      <w:r w:rsidR="00CD196E">
        <w:t xml:space="preserve">and </w:t>
      </w:r>
      <w:r w:rsidR="00AD069F">
        <w:t xml:space="preserve">estimated fishing </w:t>
      </w:r>
      <w:r w:rsidR="00CD196E">
        <w:t xml:space="preserve">prevalence </w:t>
      </w:r>
      <w:r w:rsidR="005A5E0A">
        <w:t>for the incentive conditions within domains defined by whether or not sampled addresses could be matched to databases of licensed saltwater anglers.</w:t>
      </w:r>
      <w:r w:rsidR="00C237A5">
        <w:t xml:space="preserve">  </w:t>
      </w:r>
      <w:r w:rsidR="00A821F6">
        <w:t>We expected incentives to have a more pronounced effect in the unma</w:t>
      </w:r>
      <w:r w:rsidR="009B15D6">
        <w:t xml:space="preserve">tched domain, a population </w:t>
      </w:r>
      <w:r w:rsidR="002C6679">
        <w:t>less likely</w:t>
      </w:r>
      <w:r w:rsidR="009B15D6">
        <w:t xml:space="preserve"> to have an interest in </w:t>
      </w:r>
      <w:r w:rsidR="00381AB2">
        <w:t>the survey topic</w:t>
      </w:r>
      <w:r w:rsidR="007D2358">
        <w:t>, than in the matched domain</w:t>
      </w:r>
      <w:r w:rsidR="00A821F6">
        <w:t xml:space="preserve">.  </w:t>
      </w:r>
      <w:r w:rsidR="00061493">
        <w:t>Table 4 shows that</w:t>
      </w:r>
      <w:r w:rsidR="00A821F6">
        <w:t xml:space="preserve"> incentives increase</w:t>
      </w:r>
      <w:r w:rsidR="009B15D6">
        <w:t>d</w:t>
      </w:r>
      <w:r w:rsidR="00061493">
        <w:t xml:space="preserve"> </w:t>
      </w:r>
      <w:r w:rsidR="004F107C">
        <w:t xml:space="preserve">the odds of receiving a completed survey </w:t>
      </w:r>
      <w:r w:rsidR="00061493">
        <w:t>in both the matched and unmatched subpopulations.</w:t>
      </w:r>
      <w:r w:rsidR="009B15D6">
        <w:t xml:space="preserve">  </w:t>
      </w:r>
      <w:r w:rsidR="00156D07">
        <w:t>However</w:t>
      </w:r>
      <w:r w:rsidR="000239B9">
        <w:t xml:space="preserve">, the </w:t>
      </w:r>
      <w:r w:rsidR="00E52791">
        <w:t>value</w:t>
      </w:r>
      <w:r w:rsidR="00627289">
        <w:t xml:space="preserve"> of the incentive seems </w:t>
      </w:r>
      <w:r w:rsidR="004D6E4D">
        <w:t xml:space="preserve">to </w:t>
      </w:r>
      <w:r w:rsidR="006028B3">
        <w:t xml:space="preserve">be more important in the unmatched domain, where the </w:t>
      </w:r>
      <w:r w:rsidR="00E46810">
        <w:t>odds of receiving a completed survey</w:t>
      </w:r>
      <w:r w:rsidR="004F2985">
        <w:t xml:space="preserve"> increased</w:t>
      </w:r>
      <w:r w:rsidR="00294EC0">
        <w:t xml:space="preserve"> </w:t>
      </w:r>
      <w:r w:rsidR="009F7D9E">
        <w:t>uniformly</w:t>
      </w:r>
      <w:r w:rsidR="00294EC0">
        <w:t xml:space="preserve"> and</w:t>
      </w:r>
      <w:r w:rsidR="004F2985">
        <w:t xml:space="preserve"> significantly as the value of the incentive increased ($0&lt;$1&lt;$2&lt;$5).  </w:t>
      </w:r>
      <w:r w:rsidR="00D75CD2">
        <w:t xml:space="preserve">In </w:t>
      </w:r>
      <w:r w:rsidR="002216A5">
        <w:t xml:space="preserve">contrast, </w:t>
      </w:r>
      <w:r w:rsidR="00145353">
        <w:t>the incentive amount was less significant</w:t>
      </w:r>
      <w:r w:rsidR="002216A5">
        <w:t xml:space="preserve"> in the matched domain</w:t>
      </w:r>
      <w:r w:rsidR="006300D6">
        <w:t>, where the odds of receiving a completed survey were relatively flat among incentive conditions</w:t>
      </w:r>
      <w:r w:rsidR="002216A5">
        <w:t xml:space="preserve">.  </w:t>
      </w:r>
      <w:r w:rsidR="002C6679">
        <w:t xml:space="preserve">These results are consistent with our expectations and suggest that </w:t>
      </w:r>
      <w:r w:rsidR="00F80306">
        <w:t xml:space="preserve">a population </w:t>
      </w:r>
      <w:r w:rsidR="009101B0">
        <w:t xml:space="preserve">with a low propensity to respond to a fishing survey can be motivated to participate by cash incentives, and that the motivation may increase as the incentive amount increases.  </w:t>
      </w:r>
    </w:p>
    <w:p w:rsidR="009101B0" w:rsidRDefault="009101B0" w:rsidP="003B4D3D">
      <w:pPr>
        <w:pStyle w:val="Default"/>
      </w:pPr>
    </w:p>
    <w:p w:rsidR="00417224" w:rsidRDefault="00417224">
      <w:pPr>
        <w:rPr>
          <w:rFonts w:ascii="Times New Roman" w:hAnsi="Times New Roman" w:cs="Times New Roman"/>
          <w:sz w:val="24"/>
          <w:szCs w:val="24"/>
        </w:rPr>
      </w:pPr>
      <w:r>
        <w:rPr>
          <w:rFonts w:ascii="Times New Roman" w:hAnsi="Times New Roman" w:cs="Times New Roman"/>
          <w:sz w:val="24"/>
          <w:szCs w:val="24"/>
        </w:rPr>
        <w:br w:type="page"/>
      </w:r>
    </w:p>
    <w:p w:rsidR="0044004F" w:rsidRPr="00347D31" w:rsidRDefault="0044004F" w:rsidP="0044004F">
      <w:pPr>
        <w:rPr>
          <w:rFonts w:ascii="Times New Roman" w:hAnsi="Times New Roman" w:cs="Times New Roman"/>
          <w:sz w:val="24"/>
          <w:szCs w:val="24"/>
        </w:rPr>
      </w:pPr>
      <w:proofErr w:type="gramStart"/>
      <w:r w:rsidRPr="00347D31">
        <w:rPr>
          <w:rFonts w:ascii="Times New Roman" w:hAnsi="Times New Roman" w:cs="Times New Roman"/>
          <w:sz w:val="24"/>
          <w:szCs w:val="24"/>
        </w:rPr>
        <w:lastRenderedPageBreak/>
        <w:t>Table 4.</w:t>
      </w:r>
      <w:proofErr w:type="gramEnd"/>
      <w:r w:rsidRPr="00347D31">
        <w:rPr>
          <w:rFonts w:ascii="Times New Roman" w:hAnsi="Times New Roman" w:cs="Times New Roman"/>
          <w:sz w:val="24"/>
          <w:szCs w:val="24"/>
        </w:rPr>
        <w:t xml:space="preserve"> </w:t>
      </w:r>
      <w:r>
        <w:rPr>
          <w:rFonts w:ascii="Times New Roman" w:hAnsi="Times New Roman" w:cs="Times New Roman"/>
          <w:sz w:val="24"/>
          <w:szCs w:val="24"/>
        </w:rPr>
        <w:t xml:space="preserve">Odds of receiving a completed survey by level of incentive for sample that could and could not be matched to state databases of licensed anglers.  </w:t>
      </w:r>
    </w:p>
    <w:tbl>
      <w:tblPr>
        <w:tblW w:w="4320" w:type="dxa"/>
        <w:tblInd w:w="93" w:type="dxa"/>
        <w:tblLook w:val="04A0" w:firstRow="1" w:lastRow="0" w:firstColumn="1" w:lastColumn="0" w:noHBand="0" w:noVBand="1"/>
      </w:tblPr>
      <w:tblGrid>
        <w:gridCol w:w="1460"/>
        <w:gridCol w:w="1246"/>
        <w:gridCol w:w="1614"/>
      </w:tblGrid>
      <w:tr w:rsidR="00D10410" w:rsidRPr="009778DE" w:rsidTr="00D10410">
        <w:trPr>
          <w:trHeight w:val="300"/>
        </w:trPr>
        <w:tc>
          <w:tcPr>
            <w:tcW w:w="1460" w:type="dxa"/>
            <w:tcBorders>
              <w:top w:val="single" w:sz="4" w:space="0" w:color="auto"/>
              <w:left w:val="nil"/>
              <w:bottom w:val="nil"/>
              <w:right w:val="nil"/>
            </w:tcBorders>
            <w:shd w:val="clear" w:color="auto" w:fill="auto"/>
            <w:noWrap/>
            <w:vAlign w:val="bottom"/>
            <w:hideMark/>
          </w:tcPr>
          <w:p w:rsidR="00D10410" w:rsidRPr="009778DE" w:rsidRDefault="00D10410" w:rsidP="00D10410">
            <w:pPr>
              <w:spacing w:after="0" w:line="240" w:lineRule="auto"/>
              <w:rPr>
                <w:rFonts w:ascii="Times New Roman" w:eastAsia="Times New Roman" w:hAnsi="Times New Roman" w:cs="Times New Roman"/>
                <w:color w:val="000000"/>
              </w:rPr>
            </w:pPr>
            <w:r w:rsidRPr="009778DE">
              <w:rPr>
                <w:rFonts w:ascii="Times New Roman" w:eastAsia="Times New Roman" w:hAnsi="Times New Roman" w:cs="Times New Roman"/>
                <w:color w:val="000000"/>
              </w:rPr>
              <w:t> </w:t>
            </w:r>
          </w:p>
        </w:tc>
        <w:tc>
          <w:tcPr>
            <w:tcW w:w="2860" w:type="dxa"/>
            <w:gridSpan w:val="2"/>
            <w:tcBorders>
              <w:top w:val="single" w:sz="4" w:space="0" w:color="auto"/>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Subpopulation</w:t>
            </w:r>
          </w:p>
        </w:tc>
      </w:tr>
      <w:tr w:rsidR="00D10410" w:rsidRPr="009778DE" w:rsidTr="00D10410">
        <w:trPr>
          <w:trHeight w:val="300"/>
        </w:trPr>
        <w:tc>
          <w:tcPr>
            <w:tcW w:w="1460" w:type="dxa"/>
            <w:vMerge w:val="restart"/>
            <w:tcBorders>
              <w:top w:val="nil"/>
              <w:left w:val="nil"/>
              <w:bottom w:val="single" w:sz="4" w:space="0" w:color="000000"/>
              <w:right w:val="nil"/>
            </w:tcBorders>
            <w:shd w:val="clear" w:color="auto" w:fill="auto"/>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Comparison Pair</w:t>
            </w:r>
          </w:p>
        </w:tc>
        <w:tc>
          <w:tcPr>
            <w:tcW w:w="1246"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Matched</w:t>
            </w:r>
          </w:p>
        </w:tc>
        <w:tc>
          <w:tcPr>
            <w:tcW w:w="1614"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Unmatched</w:t>
            </w:r>
          </w:p>
        </w:tc>
      </w:tr>
      <w:tr w:rsidR="00D10410" w:rsidRPr="009778DE" w:rsidTr="00D10410">
        <w:trPr>
          <w:trHeight w:val="300"/>
        </w:trPr>
        <w:tc>
          <w:tcPr>
            <w:tcW w:w="1460" w:type="dxa"/>
            <w:vMerge/>
            <w:tcBorders>
              <w:top w:val="nil"/>
              <w:left w:val="nil"/>
              <w:bottom w:val="single" w:sz="4" w:space="0" w:color="000000"/>
              <w:right w:val="nil"/>
            </w:tcBorders>
            <w:vAlign w:val="center"/>
            <w:hideMark/>
          </w:tcPr>
          <w:p w:rsidR="00D10410" w:rsidRPr="009778DE" w:rsidRDefault="00D10410" w:rsidP="00D10410">
            <w:pPr>
              <w:spacing w:after="0" w:line="240" w:lineRule="auto"/>
              <w:rPr>
                <w:rFonts w:ascii="Times New Roman" w:eastAsia="Times New Roman" w:hAnsi="Times New Roman" w:cs="Times New Roman"/>
                <w:color w:val="000000"/>
              </w:rPr>
            </w:pPr>
          </w:p>
        </w:tc>
        <w:tc>
          <w:tcPr>
            <w:tcW w:w="1246" w:type="dxa"/>
            <w:tcBorders>
              <w:top w:val="nil"/>
              <w:left w:val="nil"/>
              <w:bottom w:val="single" w:sz="4" w:space="0" w:color="auto"/>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OR</w:t>
            </w:r>
          </w:p>
        </w:tc>
        <w:tc>
          <w:tcPr>
            <w:tcW w:w="1614" w:type="dxa"/>
            <w:tcBorders>
              <w:top w:val="nil"/>
              <w:left w:val="nil"/>
              <w:bottom w:val="single" w:sz="4" w:space="0" w:color="auto"/>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OR</w:t>
            </w:r>
          </w:p>
        </w:tc>
      </w:tr>
      <w:tr w:rsidR="00D10410" w:rsidRPr="009778DE" w:rsidTr="00D10410">
        <w:trPr>
          <w:trHeight w:val="300"/>
        </w:trPr>
        <w:tc>
          <w:tcPr>
            <w:tcW w:w="1460"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rPr>
                <w:rFonts w:ascii="Times New Roman" w:eastAsia="Times New Roman" w:hAnsi="Times New Roman" w:cs="Times New Roman"/>
                <w:color w:val="000000"/>
              </w:rPr>
            </w:pPr>
            <w:r w:rsidRPr="009778DE">
              <w:rPr>
                <w:rFonts w:ascii="Times New Roman" w:eastAsia="Times New Roman" w:hAnsi="Times New Roman" w:cs="Times New Roman"/>
                <w:color w:val="000000"/>
              </w:rPr>
              <w:t>$1 vs. $0</w:t>
            </w:r>
          </w:p>
        </w:tc>
        <w:tc>
          <w:tcPr>
            <w:tcW w:w="1246"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 xml:space="preserve">   1.75**</w:t>
            </w:r>
          </w:p>
        </w:tc>
        <w:tc>
          <w:tcPr>
            <w:tcW w:w="1614"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1.63**</w:t>
            </w:r>
          </w:p>
        </w:tc>
      </w:tr>
      <w:tr w:rsidR="00D10410" w:rsidRPr="009778DE" w:rsidTr="00D10410">
        <w:trPr>
          <w:trHeight w:val="300"/>
        </w:trPr>
        <w:tc>
          <w:tcPr>
            <w:tcW w:w="1460"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rPr>
                <w:rFonts w:ascii="Times New Roman" w:eastAsia="Times New Roman" w:hAnsi="Times New Roman" w:cs="Times New Roman"/>
                <w:color w:val="000000"/>
              </w:rPr>
            </w:pPr>
            <w:r w:rsidRPr="009778DE">
              <w:rPr>
                <w:rFonts w:ascii="Times New Roman" w:eastAsia="Times New Roman" w:hAnsi="Times New Roman" w:cs="Times New Roman"/>
                <w:color w:val="000000"/>
              </w:rPr>
              <w:t>$2 vs. $0</w:t>
            </w:r>
          </w:p>
        </w:tc>
        <w:tc>
          <w:tcPr>
            <w:tcW w:w="1246"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 xml:space="preserve">   2.01**</w:t>
            </w:r>
          </w:p>
        </w:tc>
        <w:tc>
          <w:tcPr>
            <w:tcW w:w="1614"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1.93**</w:t>
            </w:r>
          </w:p>
        </w:tc>
      </w:tr>
      <w:tr w:rsidR="00D10410" w:rsidRPr="009778DE" w:rsidTr="00D10410">
        <w:trPr>
          <w:trHeight w:val="300"/>
        </w:trPr>
        <w:tc>
          <w:tcPr>
            <w:tcW w:w="1460"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rPr>
                <w:rFonts w:ascii="Times New Roman" w:eastAsia="Times New Roman" w:hAnsi="Times New Roman" w:cs="Times New Roman"/>
                <w:color w:val="000000"/>
              </w:rPr>
            </w:pPr>
            <w:r w:rsidRPr="009778DE">
              <w:rPr>
                <w:rFonts w:ascii="Times New Roman" w:eastAsia="Times New Roman" w:hAnsi="Times New Roman" w:cs="Times New Roman"/>
                <w:color w:val="000000"/>
              </w:rPr>
              <w:t>$5 vs. $0</w:t>
            </w:r>
          </w:p>
        </w:tc>
        <w:tc>
          <w:tcPr>
            <w:tcW w:w="1246"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 xml:space="preserve">   2.11**</w:t>
            </w:r>
          </w:p>
        </w:tc>
        <w:tc>
          <w:tcPr>
            <w:tcW w:w="1614"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2.39**</w:t>
            </w:r>
          </w:p>
        </w:tc>
      </w:tr>
      <w:tr w:rsidR="00D10410" w:rsidRPr="009778DE" w:rsidTr="00D10410">
        <w:trPr>
          <w:trHeight w:val="300"/>
        </w:trPr>
        <w:tc>
          <w:tcPr>
            <w:tcW w:w="1460"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rPr>
                <w:rFonts w:ascii="Times New Roman" w:eastAsia="Times New Roman" w:hAnsi="Times New Roman" w:cs="Times New Roman"/>
                <w:color w:val="000000"/>
              </w:rPr>
            </w:pPr>
            <w:r w:rsidRPr="009778DE">
              <w:rPr>
                <w:rFonts w:ascii="Times New Roman" w:eastAsia="Times New Roman" w:hAnsi="Times New Roman" w:cs="Times New Roman"/>
                <w:color w:val="000000"/>
              </w:rPr>
              <w:t>$2 vs. $1</w:t>
            </w:r>
          </w:p>
        </w:tc>
        <w:tc>
          <w:tcPr>
            <w:tcW w:w="1246"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1.15</w:t>
            </w:r>
          </w:p>
        </w:tc>
        <w:tc>
          <w:tcPr>
            <w:tcW w:w="1614"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1.18**</w:t>
            </w:r>
          </w:p>
        </w:tc>
      </w:tr>
      <w:tr w:rsidR="00D10410" w:rsidRPr="009778DE" w:rsidTr="00D10410">
        <w:trPr>
          <w:trHeight w:val="300"/>
        </w:trPr>
        <w:tc>
          <w:tcPr>
            <w:tcW w:w="1460"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rPr>
                <w:rFonts w:ascii="Times New Roman" w:eastAsia="Times New Roman" w:hAnsi="Times New Roman" w:cs="Times New Roman"/>
                <w:color w:val="000000"/>
              </w:rPr>
            </w:pPr>
            <w:r w:rsidRPr="009778DE">
              <w:rPr>
                <w:rFonts w:ascii="Times New Roman" w:eastAsia="Times New Roman" w:hAnsi="Times New Roman" w:cs="Times New Roman"/>
                <w:color w:val="000000"/>
              </w:rPr>
              <w:t>$5 vs. $1</w:t>
            </w:r>
          </w:p>
        </w:tc>
        <w:tc>
          <w:tcPr>
            <w:tcW w:w="1246"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 xml:space="preserve">  1.21*</w:t>
            </w:r>
          </w:p>
        </w:tc>
        <w:tc>
          <w:tcPr>
            <w:tcW w:w="1614" w:type="dxa"/>
            <w:tcBorders>
              <w:top w:val="nil"/>
              <w:left w:val="nil"/>
              <w:bottom w:val="nil"/>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1.46**</w:t>
            </w:r>
          </w:p>
        </w:tc>
      </w:tr>
      <w:tr w:rsidR="00D10410" w:rsidRPr="009778DE" w:rsidTr="00D10410">
        <w:trPr>
          <w:trHeight w:val="300"/>
        </w:trPr>
        <w:tc>
          <w:tcPr>
            <w:tcW w:w="1460" w:type="dxa"/>
            <w:tcBorders>
              <w:top w:val="nil"/>
              <w:left w:val="nil"/>
              <w:bottom w:val="single" w:sz="4" w:space="0" w:color="auto"/>
              <w:right w:val="nil"/>
            </w:tcBorders>
            <w:shd w:val="clear" w:color="auto" w:fill="auto"/>
            <w:noWrap/>
            <w:vAlign w:val="bottom"/>
            <w:hideMark/>
          </w:tcPr>
          <w:p w:rsidR="00D10410" w:rsidRPr="009778DE" w:rsidRDefault="00D10410" w:rsidP="00D10410">
            <w:pPr>
              <w:spacing w:after="0" w:line="240" w:lineRule="auto"/>
              <w:rPr>
                <w:rFonts w:ascii="Times New Roman" w:eastAsia="Times New Roman" w:hAnsi="Times New Roman" w:cs="Times New Roman"/>
                <w:color w:val="000000"/>
              </w:rPr>
            </w:pPr>
            <w:r w:rsidRPr="009778DE">
              <w:rPr>
                <w:rFonts w:ascii="Times New Roman" w:eastAsia="Times New Roman" w:hAnsi="Times New Roman" w:cs="Times New Roman"/>
                <w:color w:val="000000"/>
              </w:rPr>
              <w:t>$5 vs. $2</w:t>
            </w:r>
          </w:p>
        </w:tc>
        <w:tc>
          <w:tcPr>
            <w:tcW w:w="1246" w:type="dxa"/>
            <w:tcBorders>
              <w:top w:val="nil"/>
              <w:left w:val="nil"/>
              <w:bottom w:val="single" w:sz="4" w:space="0" w:color="auto"/>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1.05</w:t>
            </w:r>
          </w:p>
        </w:tc>
        <w:tc>
          <w:tcPr>
            <w:tcW w:w="1614" w:type="dxa"/>
            <w:tcBorders>
              <w:top w:val="nil"/>
              <w:left w:val="nil"/>
              <w:bottom w:val="single" w:sz="4" w:space="0" w:color="auto"/>
              <w:right w:val="nil"/>
            </w:tcBorders>
            <w:shd w:val="clear" w:color="auto" w:fill="auto"/>
            <w:noWrap/>
            <w:vAlign w:val="bottom"/>
            <w:hideMark/>
          </w:tcPr>
          <w:p w:rsidR="00D10410" w:rsidRPr="009778DE" w:rsidRDefault="00D10410" w:rsidP="00D10410">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1.24**</w:t>
            </w:r>
          </w:p>
        </w:tc>
      </w:tr>
    </w:tbl>
    <w:p w:rsidR="0044004F" w:rsidRDefault="0044004F" w:rsidP="0044004F">
      <w:pPr>
        <w:spacing w:after="0" w:line="240" w:lineRule="auto"/>
        <w:rPr>
          <w:rFonts w:ascii="Times New Roman" w:hAnsi="Times New Roman" w:cs="Times New Roman"/>
          <w:sz w:val="24"/>
          <w:szCs w:val="24"/>
        </w:rPr>
      </w:pPr>
      <w:r>
        <w:rPr>
          <w:rFonts w:ascii="Times New Roman" w:hAnsi="Times New Roman" w:cs="Times New Roman"/>
          <w:sz w:val="24"/>
          <w:szCs w:val="24"/>
        </w:rPr>
        <w:t>Notes – The second value in the comparison pair is the reference value.</w:t>
      </w:r>
    </w:p>
    <w:p w:rsidR="0044004F" w:rsidRPr="00347D31" w:rsidRDefault="0044004F" w:rsidP="0044004F">
      <w:pPr>
        <w:spacing w:after="0" w:line="240" w:lineRule="auto"/>
        <w:rPr>
          <w:rFonts w:ascii="Times New Roman" w:hAnsi="Times New Roman" w:cs="Times New Roman"/>
          <w:sz w:val="24"/>
          <w:szCs w:val="24"/>
        </w:rPr>
      </w:pPr>
      <w:r>
        <w:rPr>
          <w:rFonts w:ascii="Times New Roman" w:hAnsi="Times New Roman" w:cs="Times New Roman"/>
          <w:sz w:val="24"/>
          <w:szCs w:val="24"/>
        </w:rPr>
        <w:t>Significance: *p&lt;0.05, **p&lt;0.0001</w:t>
      </w:r>
    </w:p>
    <w:p w:rsidR="0044004F" w:rsidRDefault="0044004F" w:rsidP="003B4D3D">
      <w:pPr>
        <w:pStyle w:val="Default"/>
      </w:pPr>
    </w:p>
    <w:p w:rsidR="0007702F" w:rsidRDefault="00A91EC1" w:rsidP="003B4D3D">
      <w:pPr>
        <w:pStyle w:val="Default"/>
      </w:pPr>
      <w:r>
        <w:t>As no</w:t>
      </w:r>
      <w:r w:rsidR="00AE4C25">
        <w:t>ted previously, we expe</w:t>
      </w:r>
      <w:r w:rsidR="009E077B">
        <w:t xml:space="preserve">cted that the gains in response </w:t>
      </w:r>
      <w:r w:rsidR="00876471">
        <w:t xml:space="preserve">in the incentive conditions </w:t>
      </w:r>
      <w:r w:rsidR="009E077B">
        <w:t>would translate to lower estimates of fishing prevalence, particularly in the un</w:t>
      </w:r>
      <w:r w:rsidR="00E1399D">
        <w:t xml:space="preserve">matched subpopulation.  Once again, the results are not consistent with expectations; differences in fishing prevalence </w:t>
      </w:r>
      <w:r w:rsidR="00876471">
        <w:t xml:space="preserve">among </w:t>
      </w:r>
      <w:r w:rsidR="001979AD">
        <w:t>treatments</w:t>
      </w:r>
      <w:r w:rsidR="00E1399D">
        <w:t xml:space="preserve"> were not significant in either the matched or unmatched domain</w:t>
      </w:r>
      <w:r w:rsidR="001D0167">
        <w:t xml:space="preserve"> (Table 5)</w:t>
      </w:r>
      <w:r w:rsidR="00E1399D">
        <w:t>.</w:t>
      </w:r>
      <w:r w:rsidR="00876471">
        <w:t xml:space="preserve">  </w:t>
      </w:r>
      <w:r w:rsidR="001979AD">
        <w:t xml:space="preserve">The lack of an effect of incentives on fishing prevalence suggests that the gains in response associated with increasing incentive amounts are uniform </w:t>
      </w:r>
      <w:r w:rsidR="006876AF">
        <w:t>between</w:t>
      </w:r>
      <w:r w:rsidR="001979AD">
        <w:t xml:space="preserve"> anglers and non-anglers.</w:t>
      </w:r>
    </w:p>
    <w:p w:rsidR="0007702F" w:rsidRDefault="0007702F" w:rsidP="003B4D3D">
      <w:pPr>
        <w:pStyle w:val="Default"/>
      </w:pPr>
    </w:p>
    <w:p w:rsidR="001D0167" w:rsidRDefault="0007702F" w:rsidP="003B4D3D">
      <w:pPr>
        <w:pStyle w:val="Default"/>
      </w:pPr>
      <w:proofErr w:type="gramStart"/>
      <w:r>
        <w:t>Table 5.</w:t>
      </w:r>
      <w:proofErr w:type="gramEnd"/>
      <w:r>
        <w:t xml:space="preserve">  </w:t>
      </w:r>
      <w:proofErr w:type="gramStart"/>
      <w:r>
        <w:t>Estimated fishing prevalence by incentive amount for a population of anglers (matched) and non-anglers (unmatched).</w:t>
      </w:r>
      <w:proofErr w:type="gramEnd"/>
      <w:r w:rsidR="001D0167">
        <w:t xml:space="preserve"> </w:t>
      </w:r>
    </w:p>
    <w:p w:rsidR="00680EFF" w:rsidRDefault="00680EFF" w:rsidP="003B4D3D">
      <w:pPr>
        <w:pStyle w:val="Default"/>
      </w:pPr>
    </w:p>
    <w:tbl>
      <w:tblPr>
        <w:tblW w:w="5400" w:type="dxa"/>
        <w:tblInd w:w="93" w:type="dxa"/>
        <w:tblLook w:val="04A0" w:firstRow="1" w:lastRow="0" w:firstColumn="1" w:lastColumn="0" w:noHBand="0" w:noVBand="1"/>
      </w:tblPr>
      <w:tblGrid>
        <w:gridCol w:w="1540"/>
        <w:gridCol w:w="935"/>
        <w:gridCol w:w="811"/>
        <w:gridCol w:w="935"/>
        <w:gridCol w:w="1179"/>
      </w:tblGrid>
      <w:tr w:rsidR="008A2CF6" w:rsidRPr="008A2CF6" w:rsidTr="008A2CF6">
        <w:trPr>
          <w:trHeight w:val="300"/>
        </w:trPr>
        <w:tc>
          <w:tcPr>
            <w:tcW w:w="1540" w:type="dxa"/>
            <w:tcBorders>
              <w:top w:val="single" w:sz="4" w:space="0" w:color="auto"/>
              <w:left w:val="nil"/>
              <w:bottom w:val="nil"/>
              <w:right w:val="nil"/>
            </w:tcBorders>
            <w:shd w:val="clear" w:color="auto" w:fill="auto"/>
            <w:noWrap/>
            <w:vAlign w:val="bottom"/>
            <w:hideMark/>
          </w:tcPr>
          <w:p w:rsidR="008A2CF6" w:rsidRPr="008A2CF6" w:rsidRDefault="008A2CF6" w:rsidP="008A2CF6">
            <w:pPr>
              <w:spacing w:after="0" w:line="240" w:lineRule="auto"/>
              <w:rPr>
                <w:rFonts w:ascii="Times New Roman" w:eastAsia="Times New Roman" w:hAnsi="Times New Roman" w:cs="Times New Roman"/>
                <w:color w:val="000000"/>
              </w:rPr>
            </w:pPr>
            <w:r w:rsidRPr="008A2CF6">
              <w:rPr>
                <w:rFonts w:ascii="Times New Roman" w:eastAsia="Times New Roman" w:hAnsi="Times New Roman" w:cs="Times New Roman"/>
                <w:color w:val="000000"/>
              </w:rPr>
              <w:t> </w:t>
            </w:r>
          </w:p>
        </w:tc>
        <w:tc>
          <w:tcPr>
            <w:tcW w:w="3860" w:type="dxa"/>
            <w:gridSpan w:val="4"/>
            <w:tcBorders>
              <w:top w:val="single" w:sz="4" w:space="0" w:color="auto"/>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Subpopulation</w:t>
            </w:r>
          </w:p>
        </w:tc>
      </w:tr>
      <w:tr w:rsidR="008A2CF6" w:rsidRPr="008A2CF6" w:rsidTr="008A2CF6">
        <w:trPr>
          <w:trHeight w:val="300"/>
        </w:trPr>
        <w:tc>
          <w:tcPr>
            <w:tcW w:w="1540"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p>
        </w:tc>
        <w:tc>
          <w:tcPr>
            <w:tcW w:w="1746" w:type="dxa"/>
            <w:gridSpan w:val="2"/>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Matched</w:t>
            </w:r>
          </w:p>
        </w:tc>
        <w:tc>
          <w:tcPr>
            <w:tcW w:w="2114" w:type="dxa"/>
            <w:gridSpan w:val="2"/>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Unmatched</w:t>
            </w:r>
          </w:p>
        </w:tc>
      </w:tr>
      <w:tr w:rsidR="008A2CF6" w:rsidRPr="008A2CF6" w:rsidTr="008A2CF6">
        <w:trPr>
          <w:trHeight w:val="300"/>
        </w:trPr>
        <w:tc>
          <w:tcPr>
            <w:tcW w:w="1540" w:type="dxa"/>
            <w:tcBorders>
              <w:top w:val="nil"/>
              <w:left w:val="nil"/>
              <w:bottom w:val="single" w:sz="4" w:space="0" w:color="auto"/>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Incentive</w:t>
            </w:r>
          </w:p>
        </w:tc>
        <w:tc>
          <w:tcPr>
            <w:tcW w:w="935" w:type="dxa"/>
            <w:tcBorders>
              <w:top w:val="nil"/>
              <w:left w:val="nil"/>
              <w:bottom w:val="single" w:sz="4" w:space="0" w:color="auto"/>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w:t>
            </w:r>
          </w:p>
        </w:tc>
        <w:tc>
          <w:tcPr>
            <w:tcW w:w="811" w:type="dxa"/>
            <w:tcBorders>
              <w:top w:val="nil"/>
              <w:left w:val="nil"/>
              <w:bottom w:val="single" w:sz="4" w:space="0" w:color="auto"/>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(n)</w:t>
            </w:r>
          </w:p>
        </w:tc>
        <w:tc>
          <w:tcPr>
            <w:tcW w:w="935" w:type="dxa"/>
            <w:tcBorders>
              <w:top w:val="nil"/>
              <w:left w:val="nil"/>
              <w:bottom w:val="single" w:sz="4" w:space="0" w:color="auto"/>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w:t>
            </w:r>
          </w:p>
        </w:tc>
        <w:tc>
          <w:tcPr>
            <w:tcW w:w="1179" w:type="dxa"/>
            <w:tcBorders>
              <w:top w:val="nil"/>
              <w:left w:val="nil"/>
              <w:bottom w:val="single" w:sz="4" w:space="0" w:color="auto"/>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(n)</w:t>
            </w:r>
          </w:p>
        </w:tc>
      </w:tr>
      <w:tr w:rsidR="008A2CF6" w:rsidRPr="008A2CF6" w:rsidTr="008A2CF6">
        <w:trPr>
          <w:trHeight w:val="300"/>
        </w:trPr>
        <w:tc>
          <w:tcPr>
            <w:tcW w:w="1540"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 xml:space="preserve">$0 </w:t>
            </w:r>
          </w:p>
        </w:tc>
        <w:tc>
          <w:tcPr>
            <w:tcW w:w="935"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49.2</w:t>
            </w:r>
          </w:p>
        </w:tc>
        <w:tc>
          <w:tcPr>
            <w:tcW w:w="811"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533</w:t>
            </w:r>
          </w:p>
        </w:tc>
        <w:tc>
          <w:tcPr>
            <w:tcW w:w="935"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10.7</w:t>
            </w:r>
          </w:p>
        </w:tc>
        <w:tc>
          <w:tcPr>
            <w:tcW w:w="1179"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1,621</w:t>
            </w:r>
          </w:p>
        </w:tc>
      </w:tr>
      <w:tr w:rsidR="008A2CF6" w:rsidRPr="008A2CF6" w:rsidTr="008A2CF6">
        <w:trPr>
          <w:trHeight w:val="300"/>
        </w:trPr>
        <w:tc>
          <w:tcPr>
            <w:tcW w:w="1540"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 xml:space="preserve">$1 </w:t>
            </w:r>
          </w:p>
        </w:tc>
        <w:tc>
          <w:tcPr>
            <w:tcW w:w="935"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50.3</w:t>
            </w:r>
          </w:p>
        </w:tc>
        <w:tc>
          <w:tcPr>
            <w:tcW w:w="811"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779</w:t>
            </w:r>
          </w:p>
        </w:tc>
        <w:tc>
          <w:tcPr>
            <w:tcW w:w="935"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12</w:t>
            </w:r>
          </w:p>
        </w:tc>
        <w:tc>
          <w:tcPr>
            <w:tcW w:w="1179"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2,286</w:t>
            </w:r>
          </w:p>
        </w:tc>
      </w:tr>
      <w:tr w:rsidR="008A2CF6" w:rsidRPr="008A2CF6" w:rsidTr="008A2CF6">
        <w:trPr>
          <w:trHeight w:val="300"/>
        </w:trPr>
        <w:tc>
          <w:tcPr>
            <w:tcW w:w="1540"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 xml:space="preserve">$2 </w:t>
            </w:r>
          </w:p>
        </w:tc>
        <w:tc>
          <w:tcPr>
            <w:tcW w:w="935"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48.6</w:t>
            </w:r>
          </w:p>
        </w:tc>
        <w:tc>
          <w:tcPr>
            <w:tcW w:w="811"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837</w:t>
            </w:r>
          </w:p>
        </w:tc>
        <w:tc>
          <w:tcPr>
            <w:tcW w:w="935"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11.6</w:t>
            </w:r>
          </w:p>
        </w:tc>
        <w:tc>
          <w:tcPr>
            <w:tcW w:w="1179" w:type="dxa"/>
            <w:tcBorders>
              <w:top w:val="nil"/>
              <w:left w:val="nil"/>
              <w:bottom w:val="nil"/>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2,578</w:t>
            </w:r>
          </w:p>
        </w:tc>
      </w:tr>
      <w:tr w:rsidR="008A2CF6" w:rsidRPr="008A2CF6" w:rsidTr="008A2CF6">
        <w:trPr>
          <w:trHeight w:val="300"/>
        </w:trPr>
        <w:tc>
          <w:tcPr>
            <w:tcW w:w="1540" w:type="dxa"/>
            <w:tcBorders>
              <w:top w:val="nil"/>
              <w:left w:val="nil"/>
              <w:bottom w:val="single" w:sz="4" w:space="0" w:color="auto"/>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 xml:space="preserve">$5 </w:t>
            </w:r>
          </w:p>
        </w:tc>
        <w:tc>
          <w:tcPr>
            <w:tcW w:w="935" w:type="dxa"/>
            <w:tcBorders>
              <w:top w:val="nil"/>
              <w:left w:val="nil"/>
              <w:bottom w:val="single" w:sz="4" w:space="0" w:color="auto"/>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48.2</w:t>
            </w:r>
          </w:p>
        </w:tc>
        <w:tc>
          <w:tcPr>
            <w:tcW w:w="811" w:type="dxa"/>
            <w:tcBorders>
              <w:top w:val="nil"/>
              <w:left w:val="nil"/>
              <w:bottom w:val="single" w:sz="4" w:space="0" w:color="auto"/>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894</w:t>
            </w:r>
          </w:p>
        </w:tc>
        <w:tc>
          <w:tcPr>
            <w:tcW w:w="935" w:type="dxa"/>
            <w:tcBorders>
              <w:top w:val="nil"/>
              <w:left w:val="nil"/>
              <w:bottom w:val="single" w:sz="4" w:space="0" w:color="auto"/>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12.4</w:t>
            </w:r>
          </w:p>
        </w:tc>
        <w:tc>
          <w:tcPr>
            <w:tcW w:w="1179" w:type="dxa"/>
            <w:tcBorders>
              <w:top w:val="nil"/>
              <w:left w:val="nil"/>
              <w:bottom w:val="single" w:sz="4" w:space="0" w:color="auto"/>
              <w:right w:val="nil"/>
            </w:tcBorders>
            <w:shd w:val="clear" w:color="auto" w:fill="auto"/>
            <w:noWrap/>
            <w:vAlign w:val="bottom"/>
            <w:hideMark/>
          </w:tcPr>
          <w:p w:rsidR="008A2CF6" w:rsidRPr="008A2CF6" w:rsidRDefault="008A2CF6" w:rsidP="008A2CF6">
            <w:pPr>
              <w:spacing w:after="0" w:line="240" w:lineRule="auto"/>
              <w:jc w:val="center"/>
              <w:rPr>
                <w:rFonts w:ascii="Times New Roman" w:eastAsia="Times New Roman" w:hAnsi="Times New Roman" w:cs="Times New Roman"/>
                <w:color w:val="000000"/>
              </w:rPr>
            </w:pPr>
            <w:r w:rsidRPr="008A2CF6">
              <w:rPr>
                <w:rFonts w:ascii="Times New Roman" w:eastAsia="Times New Roman" w:hAnsi="Times New Roman" w:cs="Times New Roman"/>
                <w:color w:val="000000"/>
              </w:rPr>
              <w:t>2,913</w:t>
            </w:r>
          </w:p>
        </w:tc>
      </w:tr>
    </w:tbl>
    <w:p w:rsidR="00680EFF" w:rsidRDefault="00680EFF" w:rsidP="00680EFF">
      <w:pPr>
        <w:pStyle w:val="Default"/>
      </w:pPr>
      <w:r>
        <w:t>Note –</w:t>
      </w:r>
      <w:r w:rsidR="00D10410">
        <w:t xml:space="preserve"> Within subpopulations d</w:t>
      </w:r>
      <w:r>
        <w:t>ifferences in prevalence among treatments are not significant (</w:t>
      </w:r>
      <w:r w:rsidRPr="00B37206">
        <w:rPr>
          <w:i/>
        </w:rPr>
        <w:t>p</w:t>
      </w:r>
      <w:r>
        <w:t>=0.05)</w:t>
      </w:r>
    </w:p>
    <w:p w:rsidR="00680EFF" w:rsidRDefault="00680EFF" w:rsidP="003B4D3D">
      <w:pPr>
        <w:pStyle w:val="Default"/>
      </w:pPr>
    </w:p>
    <w:p w:rsidR="001D0167" w:rsidRDefault="001D0167" w:rsidP="003B4D3D">
      <w:pPr>
        <w:pStyle w:val="Default"/>
      </w:pPr>
    </w:p>
    <w:p w:rsidR="00EA2CF0" w:rsidRDefault="001D0167" w:rsidP="003B4D3D">
      <w:pPr>
        <w:pStyle w:val="Default"/>
      </w:pPr>
      <w:r>
        <w:t xml:space="preserve">We also examined the effect of cash incentives on overall data collection costs, specifically the direct costs of printing, </w:t>
      </w:r>
      <w:r w:rsidR="00BD7067">
        <w:t>postage</w:t>
      </w:r>
      <w:r>
        <w:t xml:space="preserve">, and the cash incentives themselves.  Table 6 </w:t>
      </w:r>
      <w:r w:rsidR="00C5632C">
        <w:t>shows</w:t>
      </w:r>
      <w:r w:rsidR="00447BCB">
        <w:t xml:space="preserve"> that the $5 incentive provided the largest gain in response, but the gain came at a relative cost of approximately $0.15 per</w:t>
      </w:r>
      <w:r w:rsidR="00D2198F">
        <w:t xml:space="preserve"> completed</w:t>
      </w:r>
      <w:r w:rsidR="00447BCB">
        <w:t xml:space="preserve"> interview.  In contrast,</w:t>
      </w:r>
      <w:r w:rsidR="00C5632C">
        <w:t xml:space="preserve"> the additional costs of the $1 and $2 incentives (20% and 38%</w:t>
      </w:r>
      <w:r w:rsidR="00E8447F">
        <w:t xml:space="preserve"> higher </w:t>
      </w:r>
      <w:r w:rsidR="002150E6">
        <w:t xml:space="preserve">cost </w:t>
      </w:r>
      <w:r w:rsidR="00E8447F">
        <w:t>than the $0 control, respectively</w:t>
      </w:r>
      <w:r w:rsidR="00C5632C">
        <w:t>) are more than offset by the associated gains in the number of completed surveys (42% and 58%</w:t>
      </w:r>
      <w:r w:rsidR="00E8447F">
        <w:t>, respectively</w:t>
      </w:r>
      <w:r w:rsidR="00C5632C">
        <w:t>).</w:t>
      </w:r>
      <w:r w:rsidR="00E8447F">
        <w:t xml:space="preserve">  In other words, including a $1 or $2 cash incentive in the initial survey mailing actually decreased the cost of receiving a completed survey by 22% and 20%, respectively.  </w:t>
      </w:r>
      <w:r w:rsidR="00E56D15">
        <w:t>These cost savings</w:t>
      </w:r>
      <w:r w:rsidR="00BF78C0">
        <w:t xml:space="preserve">, which </w:t>
      </w:r>
      <w:r w:rsidR="00BF78C0">
        <w:lastRenderedPageBreak/>
        <w:t>are conservative</w:t>
      </w:r>
      <w:r w:rsidR="00BF78C0">
        <w:rPr>
          <w:rStyle w:val="FootnoteReference"/>
        </w:rPr>
        <w:footnoteReference w:id="3"/>
      </w:r>
      <w:r w:rsidR="00BF78C0">
        <w:t>,</w:t>
      </w:r>
      <w:r w:rsidR="00E56D15">
        <w:t xml:space="preserve"> could be used to lower overall data collection costs (for a fixed sample size) or increase the precision of survey estimates (for a fixed cost).</w:t>
      </w:r>
      <w:r w:rsidR="002150E6">
        <w:t xml:space="preserve">  </w:t>
      </w:r>
    </w:p>
    <w:p w:rsidR="00C5632C" w:rsidRDefault="00C5632C" w:rsidP="003B4D3D">
      <w:pPr>
        <w:pStyle w:val="Default"/>
      </w:pPr>
    </w:p>
    <w:p w:rsidR="009E3C9B" w:rsidRDefault="009E3C9B" w:rsidP="003B4D3D">
      <w:pPr>
        <w:pStyle w:val="Default"/>
      </w:pPr>
      <w:proofErr w:type="gramStart"/>
      <w:r>
        <w:t>Table 6.</w:t>
      </w:r>
      <w:proofErr w:type="gramEnd"/>
      <w:r>
        <w:t xml:space="preserve"> Effect of incentives on data collection costs</w:t>
      </w:r>
    </w:p>
    <w:tbl>
      <w:tblPr>
        <w:tblW w:w="7035" w:type="dxa"/>
        <w:tblInd w:w="93" w:type="dxa"/>
        <w:tblLook w:val="04A0" w:firstRow="1" w:lastRow="0" w:firstColumn="1" w:lastColumn="0" w:noHBand="0" w:noVBand="1"/>
      </w:tblPr>
      <w:tblGrid>
        <w:gridCol w:w="1300"/>
        <w:gridCol w:w="1880"/>
        <w:gridCol w:w="2145"/>
        <w:gridCol w:w="1710"/>
      </w:tblGrid>
      <w:tr w:rsidR="00C5632C" w:rsidRPr="00C5632C" w:rsidTr="0014521C">
        <w:trPr>
          <w:trHeight w:val="915"/>
        </w:trPr>
        <w:tc>
          <w:tcPr>
            <w:tcW w:w="1300" w:type="dxa"/>
            <w:tcBorders>
              <w:top w:val="single" w:sz="4" w:space="0" w:color="auto"/>
              <w:left w:val="nil"/>
              <w:bottom w:val="single" w:sz="4" w:space="0" w:color="auto"/>
              <w:right w:val="nil"/>
            </w:tcBorders>
            <w:shd w:val="clear" w:color="auto" w:fill="auto"/>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Incentive Amount</w:t>
            </w:r>
          </w:p>
        </w:tc>
        <w:tc>
          <w:tcPr>
            <w:tcW w:w="1880" w:type="dxa"/>
            <w:tcBorders>
              <w:top w:val="single" w:sz="4" w:space="0" w:color="auto"/>
              <w:left w:val="nil"/>
              <w:bottom w:val="single" w:sz="4" w:space="0" w:color="auto"/>
              <w:right w:val="nil"/>
            </w:tcBorders>
            <w:shd w:val="clear" w:color="auto" w:fill="auto"/>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Relative Cost Difference</w:t>
            </w:r>
          </w:p>
        </w:tc>
        <w:tc>
          <w:tcPr>
            <w:tcW w:w="2145" w:type="dxa"/>
            <w:tcBorders>
              <w:top w:val="single" w:sz="4" w:space="0" w:color="auto"/>
              <w:left w:val="nil"/>
              <w:bottom w:val="single" w:sz="4" w:space="0" w:color="auto"/>
              <w:right w:val="nil"/>
            </w:tcBorders>
            <w:shd w:val="clear" w:color="auto" w:fill="auto"/>
            <w:vAlign w:val="bottom"/>
            <w:hideMark/>
          </w:tcPr>
          <w:p w:rsidR="00C5632C" w:rsidRPr="009778DE" w:rsidRDefault="0014521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Relative Difference in Completed Surveys</w:t>
            </w:r>
          </w:p>
        </w:tc>
        <w:tc>
          <w:tcPr>
            <w:tcW w:w="1710" w:type="dxa"/>
            <w:tcBorders>
              <w:top w:val="single" w:sz="4" w:space="0" w:color="auto"/>
              <w:left w:val="nil"/>
              <w:bottom w:val="single" w:sz="4" w:space="0" w:color="auto"/>
              <w:right w:val="nil"/>
            </w:tcBorders>
            <w:shd w:val="clear" w:color="auto" w:fill="auto"/>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Relative Cost per Complete</w:t>
            </w:r>
            <w:r w:rsidR="0014521C" w:rsidRPr="009778DE">
              <w:rPr>
                <w:rFonts w:ascii="Times New Roman" w:eastAsia="Times New Roman" w:hAnsi="Times New Roman" w:cs="Times New Roman"/>
                <w:color w:val="000000"/>
              </w:rPr>
              <w:t>d Survey</w:t>
            </w:r>
          </w:p>
        </w:tc>
      </w:tr>
      <w:tr w:rsidR="00C5632C" w:rsidRPr="00C5632C" w:rsidTr="0014521C">
        <w:trPr>
          <w:trHeight w:val="315"/>
        </w:trPr>
        <w:tc>
          <w:tcPr>
            <w:tcW w:w="1300"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 xml:space="preserve">$0 </w:t>
            </w:r>
          </w:p>
        </w:tc>
        <w:tc>
          <w:tcPr>
            <w:tcW w:w="1880"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1.00</w:t>
            </w:r>
          </w:p>
        </w:tc>
        <w:tc>
          <w:tcPr>
            <w:tcW w:w="2145"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w:t>
            </w:r>
          </w:p>
        </w:tc>
        <w:tc>
          <w:tcPr>
            <w:tcW w:w="1710"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$1.00</w:t>
            </w:r>
          </w:p>
        </w:tc>
      </w:tr>
      <w:tr w:rsidR="00C5632C" w:rsidRPr="00C5632C" w:rsidTr="0014521C">
        <w:trPr>
          <w:trHeight w:val="315"/>
        </w:trPr>
        <w:tc>
          <w:tcPr>
            <w:tcW w:w="1300"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 xml:space="preserve">$1 </w:t>
            </w:r>
          </w:p>
        </w:tc>
        <w:tc>
          <w:tcPr>
            <w:tcW w:w="1880"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1.20</w:t>
            </w:r>
          </w:p>
        </w:tc>
        <w:tc>
          <w:tcPr>
            <w:tcW w:w="2145"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1.42</w:t>
            </w:r>
          </w:p>
        </w:tc>
        <w:tc>
          <w:tcPr>
            <w:tcW w:w="1710"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$0.78</w:t>
            </w:r>
          </w:p>
        </w:tc>
      </w:tr>
      <w:tr w:rsidR="00C5632C" w:rsidRPr="00C5632C" w:rsidTr="0014521C">
        <w:trPr>
          <w:trHeight w:val="315"/>
        </w:trPr>
        <w:tc>
          <w:tcPr>
            <w:tcW w:w="1300" w:type="dxa"/>
            <w:tcBorders>
              <w:top w:val="nil"/>
              <w:left w:val="nil"/>
              <w:bottom w:val="nil"/>
              <w:right w:val="nil"/>
            </w:tcBorders>
            <w:shd w:val="clear" w:color="auto" w:fill="auto"/>
            <w:noWrap/>
            <w:vAlign w:val="center"/>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 xml:space="preserve">$2 </w:t>
            </w:r>
          </w:p>
        </w:tc>
        <w:tc>
          <w:tcPr>
            <w:tcW w:w="1880"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1.38</w:t>
            </w:r>
          </w:p>
        </w:tc>
        <w:tc>
          <w:tcPr>
            <w:tcW w:w="2145"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1.58</w:t>
            </w:r>
          </w:p>
        </w:tc>
        <w:tc>
          <w:tcPr>
            <w:tcW w:w="1710" w:type="dxa"/>
            <w:tcBorders>
              <w:top w:val="nil"/>
              <w:left w:val="nil"/>
              <w:bottom w:val="nil"/>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$0.80</w:t>
            </w:r>
          </w:p>
        </w:tc>
      </w:tr>
      <w:tr w:rsidR="00C5632C" w:rsidRPr="00C5632C" w:rsidTr="0014521C">
        <w:trPr>
          <w:trHeight w:val="315"/>
        </w:trPr>
        <w:tc>
          <w:tcPr>
            <w:tcW w:w="1300" w:type="dxa"/>
            <w:tcBorders>
              <w:top w:val="nil"/>
              <w:left w:val="nil"/>
              <w:bottom w:val="single" w:sz="4" w:space="0" w:color="auto"/>
              <w:right w:val="nil"/>
            </w:tcBorders>
            <w:shd w:val="clear" w:color="auto" w:fill="auto"/>
            <w:noWrap/>
            <w:vAlign w:val="center"/>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 xml:space="preserve">$5 </w:t>
            </w:r>
          </w:p>
        </w:tc>
        <w:tc>
          <w:tcPr>
            <w:tcW w:w="1880" w:type="dxa"/>
            <w:tcBorders>
              <w:top w:val="nil"/>
              <w:left w:val="nil"/>
              <w:bottom w:val="single" w:sz="4" w:space="0" w:color="auto"/>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1.90</w:t>
            </w:r>
          </w:p>
        </w:tc>
        <w:tc>
          <w:tcPr>
            <w:tcW w:w="2145" w:type="dxa"/>
            <w:tcBorders>
              <w:top w:val="nil"/>
              <w:left w:val="nil"/>
              <w:bottom w:val="single" w:sz="4" w:space="0" w:color="auto"/>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1.75</w:t>
            </w:r>
          </w:p>
        </w:tc>
        <w:tc>
          <w:tcPr>
            <w:tcW w:w="1710" w:type="dxa"/>
            <w:tcBorders>
              <w:top w:val="nil"/>
              <w:left w:val="nil"/>
              <w:bottom w:val="single" w:sz="4" w:space="0" w:color="auto"/>
              <w:right w:val="nil"/>
            </w:tcBorders>
            <w:shd w:val="clear" w:color="auto" w:fill="auto"/>
            <w:noWrap/>
            <w:vAlign w:val="bottom"/>
            <w:hideMark/>
          </w:tcPr>
          <w:p w:rsidR="00C5632C" w:rsidRPr="009778DE" w:rsidRDefault="00C5632C" w:rsidP="00C5632C">
            <w:pPr>
              <w:spacing w:after="0" w:line="240" w:lineRule="auto"/>
              <w:jc w:val="center"/>
              <w:rPr>
                <w:rFonts w:ascii="Times New Roman" w:eastAsia="Times New Roman" w:hAnsi="Times New Roman" w:cs="Times New Roman"/>
                <w:color w:val="000000"/>
              </w:rPr>
            </w:pPr>
            <w:r w:rsidRPr="009778DE">
              <w:rPr>
                <w:rFonts w:ascii="Times New Roman" w:eastAsia="Times New Roman" w:hAnsi="Times New Roman" w:cs="Times New Roman"/>
                <w:color w:val="000000"/>
              </w:rPr>
              <w:t>$1.15</w:t>
            </w:r>
          </w:p>
        </w:tc>
      </w:tr>
    </w:tbl>
    <w:p w:rsidR="00C5632C" w:rsidRDefault="009E3C9B" w:rsidP="003B4D3D">
      <w:pPr>
        <w:pStyle w:val="Default"/>
      </w:pPr>
      <w:r>
        <w:t>Note – relative differences reflect the ratio of quantities (cost, completes) in the experimental treatments to the zero dollar control.</w:t>
      </w:r>
    </w:p>
    <w:p w:rsidR="006F42C4" w:rsidRDefault="006F42C4" w:rsidP="003B4D3D">
      <w:pPr>
        <w:pStyle w:val="Default"/>
      </w:pPr>
    </w:p>
    <w:p w:rsidR="006F42C4" w:rsidRDefault="00824DDD" w:rsidP="003B4D3D">
      <w:pPr>
        <w:pStyle w:val="Default"/>
      </w:pPr>
      <w:r>
        <w:t xml:space="preserve">Including a modest prepaid cash incentive in survey mailings clearly has a positive effect on survey response rates; the odds of receiving a completed survey increased significantly as the incentive amount increased.  </w:t>
      </w:r>
      <w:r w:rsidR="00C5735E">
        <w:t xml:space="preserve">We expected the incentives to have a greater effect on non-anglers than anglers and decrease the potential for nonresponse bias by minimizing differential nonresponse between these two populations.  However, the results of the </w:t>
      </w:r>
      <w:r w:rsidR="008D126A">
        <w:t>experiment</w:t>
      </w:r>
      <w:r w:rsidR="00C5735E">
        <w:t xml:space="preserve"> suggest that incentives increase </w:t>
      </w:r>
      <w:r w:rsidR="008D126A">
        <w:t>response propensities for non-anglers and anglers equally</w:t>
      </w:r>
      <w:r w:rsidR="00C5735E">
        <w:t>.</w:t>
      </w:r>
      <w:r w:rsidR="003A0332">
        <w:t xml:space="preserve">  While this result does not support our hypothesis, it does demonstrate that incentives can increase the quantity of data without </w:t>
      </w:r>
      <w:r w:rsidR="006F6A91">
        <w:t xml:space="preserve">having a negative impact on </w:t>
      </w:r>
      <w:r w:rsidR="00733C4B">
        <w:t>survey measures</w:t>
      </w:r>
      <w:r w:rsidR="006F6A91">
        <w:t>.</w:t>
      </w:r>
      <w:r w:rsidR="000D3C38">
        <w:t xml:space="preserve">  The experiment also demonstrated that incentives can decrease overall data collection costs.  Based upon these findings, we conclude that a $2 incentive is optimal in terms of </w:t>
      </w:r>
      <w:r w:rsidR="001529A6">
        <w:t xml:space="preserve">both </w:t>
      </w:r>
      <w:r w:rsidR="000D3C38">
        <w:t>maximizing response rates</w:t>
      </w:r>
      <w:r w:rsidR="001529A6">
        <w:t xml:space="preserve"> and</w:t>
      </w:r>
      <w:r w:rsidR="000D3C38">
        <w:t xml:space="preserve"> minimizing data collection costs.</w:t>
      </w:r>
      <w:r w:rsidR="006F6A91">
        <w:t xml:space="preserve">  </w:t>
      </w:r>
      <w:r w:rsidR="00BD3A3E">
        <w:t xml:space="preserve">  </w:t>
      </w:r>
      <w:r w:rsidR="00C5735E">
        <w:t xml:space="preserve">    </w:t>
      </w:r>
    </w:p>
    <w:p w:rsidR="00E949F7" w:rsidRDefault="00E949F7" w:rsidP="003B4D3D">
      <w:pPr>
        <w:pStyle w:val="Default"/>
      </w:pPr>
    </w:p>
    <w:p w:rsidR="0056190D" w:rsidRDefault="0056190D">
      <w:r>
        <w:t xml:space="preserve">  </w:t>
      </w:r>
    </w:p>
    <w:p w:rsidR="00851C06" w:rsidRDefault="00851C06">
      <w:r>
        <w:br/>
      </w:r>
    </w:p>
    <w:p w:rsidR="00851C06" w:rsidRDefault="00851C06">
      <w:r>
        <w:br w:type="page"/>
      </w:r>
    </w:p>
    <w:p w:rsidR="00CA4AE9" w:rsidRDefault="00851C06">
      <w:pPr>
        <w:rPr>
          <w:rFonts w:ascii="Times New Roman" w:hAnsi="Times New Roman" w:cs="Times New Roman"/>
          <w:sz w:val="24"/>
          <w:szCs w:val="24"/>
        </w:rPr>
      </w:pPr>
      <w:r>
        <w:rPr>
          <w:rFonts w:ascii="Times New Roman" w:hAnsi="Times New Roman" w:cs="Times New Roman"/>
          <w:sz w:val="24"/>
          <w:szCs w:val="24"/>
        </w:rPr>
        <w:lastRenderedPageBreak/>
        <w:t>References</w:t>
      </w:r>
    </w:p>
    <w:p w:rsidR="007C4152" w:rsidRDefault="007C4152" w:rsidP="007C4152">
      <w:pPr>
        <w:spacing w:after="0" w:line="240" w:lineRule="auto"/>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Groves, R.M., M.P. </w:t>
      </w:r>
      <w:proofErr w:type="spellStart"/>
      <w:r>
        <w:rPr>
          <w:rFonts w:ascii="Times New Roman" w:hAnsi="Times New Roman" w:cs="Times New Roman"/>
          <w:color w:val="000000"/>
          <w:sz w:val="24"/>
          <w:szCs w:val="24"/>
        </w:rPr>
        <w:t>Couper</w:t>
      </w:r>
      <w:proofErr w:type="spellEnd"/>
      <w:r>
        <w:rPr>
          <w:rFonts w:ascii="Times New Roman" w:hAnsi="Times New Roman" w:cs="Times New Roman"/>
          <w:color w:val="000000"/>
          <w:sz w:val="24"/>
          <w:szCs w:val="24"/>
        </w:rPr>
        <w:t xml:space="preserve">, S. Presser, E. Singer, R. </w:t>
      </w:r>
      <w:proofErr w:type="spellStart"/>
      <w:r>
        <w:rPr>
          <w:rFonts w:ascii="Times New Roman" w:hAnsi="Times New Roman" w:cs="Times New Roman"/>
          <w:color w:val="000000"/>
          <w:sz w:val="24"/>
          <w:szCs w:val="24"/>
        </w:rPr>
        <w:t>Tourangeau</w:t>
      </w:r>
      <w:proofErr w:type="spellEnd"/>
      <w:r>
        <w:rPr>
          <w:rFonts w:ascii="Times New Roman" w:hAnsi="Times New Roman" w:cs="Times New Roman"/>
          <w:color w:val="000000"/>
          <w:sz w:val="24"/>
          <w:szCs w:val="24"/>
        </w:rPr>
        <w:t xml:space="preserve">, G.P. </w:t>
      </w:r>
      <w:proofErr w:type="spellStart"/>
      <w:r>
        <w:rPr>
          <w:rFonts w:ascii="Times New Roman" w:hAnsi="Times New Roman" w:cs="Times New Roman"/>
          <w:color w:val="000000"/>
          <w:sz w:val="24"/>
          <w:szCs w:val="24"/>
        </w:rPr>
        <w:t>Piani</w:t>
      </w:r>
      <w:proofErr w:type="spellEnd"/>
      <w:r>
        <w:rPr>
          <w:rFonts w:ascii="Times New Roman" w:hAnsi="Times New Roman" w:cs="Times New Roman"/>
          <w:color w:val="000000"/>
          <w:sz w:val="24"/>
          <w:szCs w:val="24"/>
        </w:rPr>
        <w:t>, N. Lindsay.  2006.  Experiments in producing nonresponse bias.  Public Opinion Quarterly, 70: 720-736.</w:t>
      </w:r>
    </w:p>
    <w:p w:rsidR="007C4152" w:rsidRDefault="007C4152" w:rsidP="007C4152">
      <w:pPr>
        <w:spacing w:after="0" w:line="240" w:lineRule="auto"/>
        <w:ind w:left="450" w:hanging="450"/>
        <w:rPr>
          <w:rFonts w:ascii="Times New Roman" w:hAnsi="Times New Roman" w:cs="Times New Roman"/>
          <w:color w:val="000000"/>
          <w:sz w:val="24"/>
          <w:szCs w:val="24"/>
        </w:rPr>
      </w:pPr>
    </w:p>
    <w:p w:rsidR="007C4152" w:rsidRPr="004702EF" w:rsidRDefault="007C4152" w:rsidP="007C4152">
      <w:pPr>
        <w:spacing w:after="0" w:line="240" w:lineRule="auto"/>
        <w:ind w:left="450" w:hanging="450"/>
        <w:rPr>
          <w:rFonts w:ascii="Times New Roman" w:hAnsi="Times New Roman" w:cs="Times New Roman"/>
          <w:color w:val="000000"/>
          <w:sz w:val="24"/>
          <w:szCs w:val="24"/>
        </w:rPr>
      </w:pPr>
      <w:proofErr w:type="spellStart"/>
      <w:r w:rsidRPr="004702EF">
        <w:rPr>
          <w:rFonts w:ascii="Times New Roman" w:hAnsi="Times New Roman" w:cs="Times New Roman"/>
          <w:color w:val="000000"/>
          <w:sz w:val="24"/>
          <w:szCs w:val="24"/>
        </w:rPr>
        <w:t>Lohr</w:t>
      </w:r>
      <w:proofErr w:type="spellEnd"/>
      <w:r w:rsidRPr="004702EF">
        <w:rPr>
          <w:rFonts w:ascii="Times New Roman" w:hAnsi="Times New Roman" w:cs="Times New Roman"/>
          <w:color w:val="000000"/>
          <w:sz w:val="24"/>
          <w:szCs w:val="24"/>
        </w:rPr>
        <w:t xml:space="preserve">, S. 2009. </w:t>
      </w:r>
      <w:proofErr w:type="gramStart"/>
      <w:r w:rsidRPr="004702EF">
        <w:rPr>
          <w:rFonts w:ascii="Times New Roman" w:hAnsi="Times New Roman" w:cs="Times New Roman"/>
          <w:color w:val="000000"/>
          <w:sz w:val="24"/>
          <w:szCs w:val="24"/>
        </w:rPr>
        <w:t>Multiple Frame Surveys.</w:t>
      </w:r>
      <w:proofErr w:type="gramEnd"/>
      <w:r w:rsidRPr="004702EF">
        <w:rPr>
          <w:rFonts w:ascii="Times New Roman" w:hAnsi="Times New Roman" w:cs="Times New Roman"/>
          <w:color w:val="000000"/>
          <w:sz w:val="24"/>
          <w:szCs w:val="24"/>
        </w:rPr>
        <w:t xml:space="preserve"> Chapter 4 in </w:t>
      </w:r>
      <w:proofErr w:type="spellStart"/>
      <w:r w:rsidRPr="004702EF">
        <w:rPr>
          <w:rFonts w:ascii="Times New Roman" w:hAnsi="Times New Roman" w:cs="Times New Roman"/>
          <w:color w:val="000000"/>
          <w:sz w:val="24"/>
          <w:szCs w:val="24"/>
        </w:rPr>
        <w:t>Pfeffermann</w:t>
      </w:r>
      <w:proofErr w:type="spellEnd"/>
      <w:r w:rsidRPr="004702EF">
        <w:rPr>
          <w:rFonts w:ascii="Times New Roman" w:hAnsi="Times New Roman" w:cs="Times New Roman"/>
          <w:color w:val="000000"/>
          <w:sz w:val="24"/>
          <w:szCs w:val="24"/>
        </w:rPr>
        <w:t xml:space="preserve">, D. (Ed.) </w:t>
      </w:r>
      <w:r w:rsidRPr="004702EF">
        <w:rPr>
          <w:rFonts w:ascii="Times New Roman" w:hAnsi="Times New Roman" w:cs="Times New Roman"/>
          <w:i/>
          <w:iCs/>
          <w:color w:val="000000"/>
          <w:sz w:val="24"/>
          <w:szCs w:val="24"/>
        </w:rPr>
        <w:t xml:space="preserve">Handbook of Statistics: Sample Surveys Design, Methods and Applications </w:t>
      </w:r>
      <w:r w:rsidRPr="004702EF">
        <w:rPr>
          <w:rFonts w:ascii="Times New Roman" w:hAnsi="Times New Roman" w:cs="Times New Roman"/>
          <w:color w:val="000000"/>
          <w:sz w:val="24"/>
          <w:szCs w:val="24"/>
        </w:rPr>
        <w:t>(vol. 29A). Elsevier, Amsterdam.</w:t>
      </w:r>
    </w:p>
    <w:p w:rsidR="00851C06" w:rsidRDefault="00851C06">
      <w:pPr>
        <w:rPr>
          <w:rFonts w:ascii="Times New Roman" w:hAnsi="Times New Roman" w:cs="Times New Roman"/>
          <w:sz w:val="24"/>
          <w:szCs w:val="24"/>
        </w:rPr>
      </w:pPr>
    </w:p>
    <w:p w:rsidR="007C4152" w:rsidRDefault="007C4152">
      <w:pPr>
        <w:rPr>
          <w:rFonts w:ascii="Times New Roman" w:hAnsi="Times New Roman" w:cs="Times New Roman"/>
          <w:sz w:val="24"/>
          <w:szCs w:val="24"/>
        </w:rPr>
      </w:pPr>
    </w:p>
    <w:sectPr w:rsidR="007C41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13" w:rsidRDefault="005F2F13" w:rsidP="00E53F60">
      <w:pPr>
        <w:spacing w:after="0" w:line="240" w:lineRule="auto"/>
      </w:pPr>
      <w:r>
        <w:separator/>
      </w:r>
    </w:p>
  </w:endnote>
  <w:endnote w:type="continuationSeparator" w:id="0">
    <w:p w:rsidR="005F2F13" w:rsidRDefault="005F2F13" w:rsidP="00E5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13" w:rsidRDefault="005F2F13" w:rsidP="00E53F60">
      <w:pPr>
        <w:spacing w:after="0" w:line="240" w:lineRule="auto"/>
      </w:pPr>
      <w:r>
        <w:separator/>
      </w:r>
    </w:p>
  </w:footnote>
  <w:footnote w:type="continuationSeparator" w:id="0">
    <w:p w:rsidR="005F2F13" w:rsidRDefault="005F2F13" w:rsidP="00E53F60">
      <w:pPr>
        <w:spacing w:after="0" w:line="240" w:lineRule="auto"/>
      </w:pPr>
      <w:r>
        <w:continuationSeparator/>
      </w:r>
    </w:p>
  </w:footnote>
  <w:footnote w:id="1">
    <w:p w:rsidR="00E53F60" w:rsidRDefault="00E53F60">
      <w:pPr>
        <w:pStyle w:val="FootnoteText"/>
      </w:pPr>
      <w:r>
        <w:rPr>
          <w:rStyle w:val="FootnoteReference"/>
        </w:rPr>
        <w:footnoteRef/>
      </w:r>
      <w:r>
        <w:t xml:space="preserve"> The classification of sample into domains is dependent upon matching ABS sample to license databases by address and telephone number.  This process is unlikely to be 100% accurate, so the unmatched domain is likely to include some households with licensed anglers.  </w:t>
      </w:r>
      <w:r w:rsidR="00734F4D">
        <w:t>The</w:t>
      </w:r>
      <w:r w:rsidR="00EA7CA1">
        <w:t xml:space="preserve"> unmatched domain</w:t>
      </w:r>
      <w:r w:rsidR="00734F4D">
        <w:t xml:space="preserve"> also</w:t>
      </w:r>
      <w:r w:rsidR="00EA7CA1">
        <w:t xml:space="preserve"> </w:t>
      </w:r>
      <w:r w:rsidR="005556FF">
        <w:t xml:space="preserve">includes </w:t>
      </w:r>
      <w:r w:rsidR="00EA7CA1">
        <w:t xml:space="preserve">households with </w:t>
      </w:r>
      <w:r w:rsidR="00546F38">
        <w:t xml:space="preserve">residents </w:t>
      </w:r>
      <w:r w:rsidR="00EA7CA1">
        <w:t>who fish without a license.</w:t>
      </w:r>
    </w:p>
  </w:footnote>
  <w:footnote w:id="2">
    <w:p w:rsidR="004D21DF" w:rsidRDefault="004D21DF">
      <w:pPr>
        <w:pStyle w:val="FootnoteText"/>
      </w:pPr>
      <w:r>
        <w:rPr>
          <w:rStyle w:val="FootnoteReference"/>
        </w:rPr>
        <w:footnoteRef/>
      </w:r>
      <w:r>
        <w:t xml:space="preserve"> Assuming that fixed costs are the same for the two instruments, which was the case in the experiment.</w:t>
      </w:r>
    </w:p>
  </w:footnote>
  <w:footnote w:id="3">
    <w:p w:rsidR="00BF78C0" w:rsidRDefault="00BF78C0">
      <w:pPr>
        <w:pStyle w:val="FootnoteText"/>
      </w:pPr>
      <w:r>
        <w:rPr>
          <w:rStyle w:val="FootnoteReference"/>
        </w:rPr>
        <w:footnoteRef/>
      </w:r>
      <w:r>
        <w:t xml:space="preserve"> The cost comparison assumes that the non-incentive direct costs (postage and printing) are the same for all survey treatments and does not reflect the fact that incentive conditions may not require as many follow-up mailings.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5BBC"/>
    <w:multiLevelType w:val="hybridMultilevel"/>
    <w:tmpl w:val="144A9A9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02C9E"/>
    <w:multiLevelType w:val="hybridMultilevel"/>
    <w:tmpl w:val="D5B8AC2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3D"/>
    <w:rsid w:val="00000F98"/>
    <w:rsid w:val="00016ED2"/>
    <w:rsid w:val="000239B9"/>
    <w:rsid w:val="00036275"/>
    <w:rsid w:val="00047FEC"/>
    <w:rsid w:val="00050EEE"/>
    <w:rsid w:val="00055857"/>
    <w:rsid w:val="0006055B"/>
    <w:rsid w:val="00061493"/>
    <w:rsid w:val="00063551"/>
    <w:rsid w:val="00070B15"/>
    <w:rsid w:val="00070D3D"/>
    <w:rsid w:val="0007702F"/>
    <w:rsid w:val="000902F0"/>
    <w:rsid w:val="000914AA"/>
    <w:rsid w:val="000A0335"/>
    <w:rsid w:val="000A69D3"/>
    <w:rsid w:val="000C1C82"/>
    <w:rsid w:val="000D2A4E"/>
    <w:rsid w:val="000D2BA0"/>
    <w:rsid w:val="000D38A2"/>
    <w:rsid w:val="000D3C38"/>
    <w:rsid w:val="000D73A2"/>
    <w:rsid w:val="000F3D11"/>
    <w:rsid w:val="000F69A9"/>
    <w:rsid w:val="000F7B45"/>
    <w:rsid w:val="00103A90"/>
    <w:rsid w:val="001072F7"/>
    <w:rsid w:val="001123BE"/>
    <w:rsid w:val="001163E2"/>
    <w:rsid w:val="00123108"/>
    <w:rsid w:val="00136EFE"/>
    <w:rsid w:val="0014521C"/>
    <w:rsid w:val="00145353"/>
    <w:rsid w:val="001529A6"/>
    <w:rsid w:val="001566E8"/>
    <w:rsid w:val="00156D07"/>
    <w:rsid w:val="00161CEC"/>
    <w:rsid w:val="00165C55"/>
    <w:rsid w:val="001671E9"/>
    <w:rsid w:val="0017005E"/>
    <w:rsid w:val="00176EB2"/>
    <w:rsid w:val="00187C8A"/>
    <w:rsid w:val="001979AD"/>
    <w:rsid w:val="001A02A1"/>
    <w:rsid w:val="001B04E9"/>
    <w:rsid w:val="001D0167"/>
    <w:rsid w:val="001D562C"/>
    <w:rsid w:val="001D6AF1"/>
    <w:rsid w:val="001E089B"/>
    <w:rsid w:val="001E5555"/>
    <w:rsid w:val="001E5748"/>
    <w:rsid w:val="001F0A99"/>
    <w:rsid w:val="001F2045"/>
    <w:rsid w:val="0020341D"/>
    <w:rsid w:val="002057EE"/>
    <w:rsid w:val="002150E6"/>
    <w:rsid w:val="002215CD"/>
    <w:rsid w:val="002216A5"/>
    <w:rsid w:val="002254E0"/>
    <w:rsid w:val="00231E92"/>
    <w:rsid w:val="00234C5C"/>
    <w:rsid w:val="002351B0"/>
    <w:rsid w:val="00243A33"/>
    <w:rsid w:val="002509AB"/>
    <w:rsid w:val="00261977"/>
    <w:rsid w:val="00262805"/>
    <w:rsid w:val="00270CF7"/>
    <w:rsid w:val="00272AB0"/>
    <w:rsid w:val="002913E5"/>
    <w:rsid w:val="00294EC0"/>
    <w:rsid w:val="002B023D"/>
    <w:rsid w:val="002B05AC"/>
    <w:rsid w:val="002B21FA"/>
    <w:rsid w:val="002C2937"/>
    <w:rsid w:val="002C3875"/>
    <w:rsid w:val="002C6679"/>
    <w:rsid w:val="002E40AD"/>
    <w:rsid w:val="002E5A53"/>
    <w:rsid w:val="002E79D2"/>
    <w:rsid w:val="00300542"/>
    <w:rsid w:val="0030458E"/>
    <w:rsid w:val="003051FD"/>
    <w:rsid w:val="003165E0"/>
    <w:rsid w:val="00347D31"/>
    <w:rsid w:val="00351A7A"/>
    <w:rsid w:val="00366EA8"/>
    <w:rsid w:val="003807B0"/>
    <w:rsid w:val="00381AB2"/>
    <w:rsid w:val="0038221D"/>
    <w:rsid w:val="003854CB"/>
    <w:rsid w:val="003871ED"/>
    <w:rsid w:val="003A0332"/>
    <w:rsid w:val="003B4D3D"/>
    <w:rsid w:val="003C0CE6"/>
    <w:rsid w:val="003D52AC"/>
    <w:rsid w:val="003F2B2D"/>
    <w:rsid w:val="003F6CF3"/>
    <w:rsid w:val="00406E6A"/>
    <w:rsid w:val="00411D91"/>
    <w:rsid w:val="00417224"/>
    <w:rsid w:val="00423401"/>
    <w:rsid w:val="00424162"/>
    <w:rsid w:val="00427A61"/>
    <w:rsid w:val="0044004F"/>
    <w:rsid w:val="00447BCB"/>
    <w:rsid w:val="0046069A"/>
    <w:rsid w:val="00470198"/>
    <w:rsid w:val="00482D61"/>
    <w:rsid w:val="00491038"/>
    <w:rsid w:val="004B0A75"/>
    <w:rsid w:val="004B1C89"/>
    <w:rsid w:val="004D21DF"/>
    <w:rsid w:val="004D6E4D"/>
    <w:rsid w:val="004E5331"/>
    <w:rsid w:val="004F107C"/>
    <w:rsid w:val="004F2985"/>
    <w:rsid w:val="004F4D0B"/>
    <w:rsid w:val="0052252B"/>
    <w:rsid w:val="00536B9F"/>
    <w:rsid w:val="0054416E"/>
    <w:rsid w:val="00545EEF"/>
    <w:rsid w:val="00546F38"/>
    <w:rsid w:val="005556FF"/>
    <w:rsid w:val="0056190D"/>
    <w:rsid w:val="00567F73"/>
    <w:rsid w:val="00574B1E"/>
    <w:rsid w:val="00575A3B"/>
    <w:rsid w:val="005801DC"/>
    <w:rsid w:val="00580508"/>
    <w:rsid w:val="00590407"/>
    <w:rsid w:val="005A53E5"/>
    <w:rsid w:val="005A5E0A"/>
    <w:rsid w:val="005C7879"/>
    <w:rsid w:val="005D528A"/>
    <w:rsid w:val="005E0176"/>
    <w:rsid w:val="005E2ECA"/>
    <w:rsid w:val="005E5097"/>
    <w:rsid w:val="005F0D91"/>
    <w:rsid w:val="005F1DF2"/>
    <w:rsid w:val="005F2F13"/>
    <w:rsid w:val="006028B3"/>
    <w:rsid w:val="0060626A"/>
    <w:rsid w:val="00622DF1"/>
    <w:rsid w:val="00627289"/>
    <w:rsid w:val="006300D6"/>
    <w:rsid w:val="006336DA"/>
    <w:rsid w:val="006351A1"/>
    <w:rsid w:val="00641848"/>
    <w:rsid w:val="00643E4C"/>
    <w:rsid w:val="00672A81"/>
    <w:rsid w:val="00675921"/>
    <w:rsid w:val="00680EFF"/>
    <w:rsid w:val="00683C45"/>
    <w:rsid w:val="006876AF"/>
    <w:rsid w:val="006A33ED"/>
    <w:rsid w:val="006B06E8"/>
    <w:rsid w:val="006C7103"/>
    <w:rsid w:val="006D0EBF"/>
    <w:rsid w:val="006E3E39"/>
    <w:rsid w:val="006F02B4"/>
    <w:rsid w:val="006F1FA2"/>
    <w:rsid w:val="006F42C4"/>
    <w:rsid w:val="006F6A91"/>
    <w:rsid w:val="00724350"/>
    <w:rsid w:val="00725D87"/>
    <w:rsid w:val="00733C4B"/>
    <w:rsid w:val="00734F4D"/>
    <w:rsid w:val="007402EA"/>
    <w:rsid w:val="007573FA"/>
    <w:rsid w:val="00760BDC"/>
    <w:rsid w:val="00764E4E"/>
    <w:rsid w:val="00765B77"/>
    <w:rsid w:val="00765C99"/>
    <w:rsid w:val="00787E08"/>
    <w:rsid w:val="007A4E7D"/>
    <w:rsid w:val="007B0169"/>
    <w:rsid w:val="007B2B13"/>
    <w:rsid w:val="007B7724"/>
    <w:rsid w:val="007C2B65"/>
    <w:rsid w:val="007C37D8"/>
    <w:rsid w:val="007C4152"/>
    <w:rsid w:val="007C42A0"/>
    <w:rsid w:val="007D2358"/>
    <w:rsid w:val="007E5CE8"/>
    <w:rsid w:val="007F0550"/>
    <w:rsid w:val="0081608A"/>
    <w:rsid w:val="00820426"/>
    <w:rsid w:val="008230C5"/>
    <w:rsid w:val="0082481D"/>
    <w:rsid w:val="00824DDD"/>
    <w:rsid w:val="00827085"/>
    <w:rsid w:val="00842981"/>
    <w:rsid w:val="00851C06"/>
    <w:rsid w:val="00852482"/>
    <w:rsid w:val="00876055"/>
    <w:rsid w:val="00876471"/>
    <w:rsid w:val="00887F65"/>
    <w:rsid w:val="008924A3"/>
    <w:rsid w:val="00894945"/>
    <w:rsid w:val="008A2CF6"/>
    <w:rsid w:val="008D126A"/>
    <w:rsid w:val="008E00F8"/>
    <w:rsid w:val="008F2A96"/>
    <w:rsid w:val="009101B0"/>
    <w:rsid w:val="0092764D"/>
    <w:rsid w:val="009506B9"/>
    <w:rsid w:val="00951569"/>
    <w:rsid w:val="00953AB2"/>
    <w:rsid w:val="00954E2F"/>
    <w:rsid w:val="00965529"/>
    <w:rsid w:val="00967729"/>
    <w:rsid w:val="00974D3C"/>
    <w:rsid w:val="009778DE"/>
    <w:rsid w:val="009848DF"/>
    <w:rsid w:val="00990E67"/>
    <w:rsid w:val="0099775D"/>
    <w:rsid w:val="009A4A27"/>
    <w:rsid w:val="009B15D6"/>
    <w:rsid w:val="009B66E0"/>
    <w:rsid w:val="009D1A32"/>
    <w:rsid w:val="009E077B"/>
    <w:rsid w:val="009E3C9B"/>
    <w:rsid w:val="009F7D9E"/>
    <w:rsid w:val="00A07EEF"/>
    <w:rsid w:val="00A15A41"/>
    <w:rsid w:val="00A26503"/>
    <w:rsid w:val="00A42888"/>
    <w:rsid w:val="00A821F6"/>
    <w:rsid w:val="00A82C2B"/>
    <w:rsid w:val="00A84B62"/>
    <w:rsid w:val="00A91EC1"/>
    <w:rsid w:val="00AA3934"/>
    <w:rsid w:val="00AB1D62"/>
    <w:rsid w:val="00AB2749"/>
    <w:rsid w:val="00AC13E1"/>
    <w:rsid w:val="00AD069F"/>
    <w:rsid w:val="00AD5A42"/>
    <w:rsid w:val="00AE3F38"/>
    <w:rsid w:val="00AE4C25"/>
    <w:rsid w:val="00B017E6"/>
    <w:rsid w:val="00B0641C"/>
    <w:rsid w:val="00B10AF4"/>
    <w:rsid w:val="00B14445"/>
    <w:rsid w:val="00B366C2"/>
    <w:rsid w:val="00B37206"/>
    <w:rsid w:val="00B55A82"/>
    <w:rsid w:val="00B617A4"/>
    <w:rsid w:val="00B7357E"/>
    <w:rsid w:val="00BA54F8"/>
    <w:rsid w:val="00BB140E"/>
    <w:rsid w:val="00BB5343"/>
    <w:rsid w:val="00BD3A3E"/>
    <w:rsid w:val="00BD53E0"/>
    <w:rsid w:val="00BD7067"/>
    <w:rsid w:val="00BF191C"/>
    <w:rsid w:val="00BF256B"/>
    <w:rsid w:val="00BF5862"/>
    <w:rsid w:val="00BF78C0"/>
    <w:rsid w:val="00C0314D"/>
    <w:rsid w:val="00C10E26"/>
    <w:rsid w:val="00C237A5"/>
    <w:rsid w:val="00C25DEA"/>
    <w:rsid w:val="00C30C95"/>
    <w:rsid w:val="00C46AF3"/>
    <w:rsid w:val="00C5632C"/>
    <w:rsid w:val="00C5735E"/>
    <w:rsid w:val="00C6166A"/>
    <w:rsid w:val="00C73F0E"/>
    <w:rsid w:val="00C76EE3"/>
    <w:rsid w:val="00C834E6"/>
    <w:rsid w:val="00C87AA2"/>
    <w:rsid w:val="00C91457"/>
    <w:rsid w:val="00C93FD6"/>
    <w:rsid w:val="00C968FC"/>
    <w:rsid w:val="00CA4AE9"/>
    <w:rsid w:val="00CB0F43"/>
    <w:rsid w:val="00CC17BD"/>
    <w:rsid w:val="00CD196E"/>
    <w:rsid w:val="00CD27D3"/>
    <w:rsid w:val="00CD72F1"/>
    <w:rsid w:val="00CE3F27"/>
    <w:rsid w:val="00CF2100"/>
    <w:rsid w:val="00D049B2"/>
    <w:rsid w:val="00D06623"/>
    <w:rsid w:val="00D10410"/>
    <w:rsid w:val="00D10686"/>
    <w:rsid w:val="00D2198F"/>
    <w:rsid w:val="00D5081F"/>
    <w:rsid w:val="00D56513"/>
    <w:rsid w:val="00D6089F"/>
    <w:rsid w:val="00D75CD2"/>
    <w:rsid w:val="00D9076B"/>
    <w:rsid w:val="00D9415F"/>
    <w:rsid w:val="00DA2F92"/>
    <w:rsid w:val="00DA679C"/>
    <w:rsid w:val="00DC5F0B"/>
    <w:rsid w:val="00DF5D9E"/>
    <w:rsid w:val="00E00C3C"/>
    <w:rsid w:val="00E049B2"/>
    <w:rsid w:val="00E1399D"/>
    <w:rsid w:val="00E3539B"/>
    <w:rsid w:val="00E371A7"/>
    <w:rsid w:val="00E46810"/>
    <w:rsid w:val="00E52791"/>
    <w:rsid w:val="00E53F60"/>
    <w:rsid w:val="00E56D15"/>
    <w:rsid w:val="00E56E60"/>
    <w:rsid w:val="00E82904"/>
    <w:rsid w:val="00E8447F"/>
    <w:rsid w:val="00E8574F"/>
    <w:rsid w:val="00E949F7"/>
    <w:rsid w:val="00EA2CF0"/>
    <w:rsid w:val="00EA7CA1"/>
    <w:rsid w:val="00EB7A2F"/>
    <w:rsid w:val="00EC4DC2"/>
    <w:rsid w:val="00ED2437"/>
    <w:rsid w:val="00EF4EC4"/>
    <w:rsid w:val="00EF7B44"/>
    <w:rsid w:val="00F12C86"/>
    <w:rsid w:val="00F36D46"/>
    <w:rsid w:val="00F403F9"/>
    <w:rsid w:val="00F40981"/>
    <w:rsid w:val="00F56CF0"/>
    <w:rsid w:val="00F61A4E"/>
    <w:rsid w:val="00F63482"/>
    <w:rsid w:val="00F63B2F"/>
    <w:rsid w:val="00F64392"/>
    <w:rsid w:val="00F770CF"/>
    <w:rsid w:val="00F80306"/>
    <w:rsid w:val="00F83D76"/>
    <w:rsid w:val="00F91222"/>
    <w:rsid w:val="00F93F8F"/>
    <w:rsid w:val="00FB287D"/>
    <w:rsid w:val="00FC072D"/>
    <w:rsid w:val="00FC54E9"/>
    <w:rsid w:val="00FC5636"/>
    <w:rsid w:val="00FD2225"/>
    <w:rsid w:val="00FD2A7A"/>
    <w:rsid w:val="00FD2ECF"/>
    <w:rsid w:val="00FE02C3"/>
    <w:rsid w:val="00FE1C52"/>
    <w:rsid w:val="00FE21C1"/>
    <w:rsid w:val="00FF6BD2"/>
    <w:rsid w:val="00FF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B4D3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E53F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F60"/>
    <w:rPr>
      <w:sz w:val="20"/>
      <w:szCs w:val="20"/>
    </w:rPr>
  </w:style>
  <w:style w:type="character" w:styleId="FootnoteReference">
    <w:name w:val="footnote reference"/>
    <w:basedOn w:val="DefaultParagraphFont"/>
    <w:uiPriority w:val="99"/>
    <w:semiHidden/>
    <w:unhideWhenUsed/>
    <w:rsid w:val="00E53F60"/>
    <w:rPr>
      <w:vertAlign w:val="superscript"/>
    </w:rPr>
  </w:style>
  <w:style w:type="character" w:styleId="CommentReference">
    <w:name w:val="annotation reference"/>
    <w:basedOn w:val="DefaultParagraphFont"/>
    <w:uiPriority w:val="99"/>
    <w:semiHidden/>
    <w:unhideWhenUsed/>
    <w:rsid w:val="00764E4E"/>
    <w:rPr>
      <w:sz w:val="16"/>
      <w:szCs w:val="16"/>
    </w:rPr>
  </w:style>
  <w:style w:type="paragraph" w:styleId="CommentText">
    <w:name w:val="annotation text"/>
    <w:basedOn w:val="Normal"/>
    <w:link w:val="CommentTextChar"/>
    <w:uiPriority w:val="99"/>
    <w:semiHidden/>
    <w:unhideWhenUsed/>
    <w:rsid w:val="00764E4E"/>
    <w:pPr>
      <w:spacing w:line="240" w:lineRule="auto"/>
    </w:pPr>
    <w:rPr>
      <w:sz w:val="20"/>
      <w:szCs w:val="20"/>
    </w:rPr>
  </w:style>
  <w:style w:type="character" w:customStyle="1" w:styleId="CommentTextChar">
    <w:name w:val="Comment Text Char"/>
    <w:basedOn w:val="DefaultParagraphFont"/>
    <w:link w:val="CommentText"/>
    <w:uiPriority w:val="99"/>
    <w:semiHidden/>
    <w:rsid w:val="00764E4E"/>
    <w:rPr>
      <w:sz w:val="20"/>
      <w:szCs w:val="20"/>
    </w:rPr>
  </w:style>
  <w:style w:type="paragraph" w:styleId="CommentSubject">
    <w:name w:val="annotation subject"/>
    <w:basedOn w:val="CommentText"/>
    <w:next w:val="CommentText"/>
    <w:link w:val="CommentSubjectChar"/>
    <w:uiPriority w:val="99"/>
    <w:semiHidden/>
    <w:unhideWhenUsed/>
    <w:rsid w:val="00764E4E"/>
    <w:rPr>
      <w:b/>
      <w:bCs/>
    </w:rPr>
  </w:style>
  <w:style w:type="character" w:customStyle="1" w:styleId="CommentSubjectChar">
    <w:name w:val="Comment Subject Char"/>
    <w:basedOn w:val="CommentTextChar"/>
    <w:link w:val="CommentSubject"/>
    <w:uiPriority w:val="99"/>
    <w:semiHidden/>
    <w:rsid w:val="00764E4E"/>
    <w:rPr>
      <w:b/>
      <w:bCs/>
      <w:sz w:val="20"/>
      <w:szCs w:val="20"/>
    </w:rPr>
  </w:style>
  <w:style w:type="paragraph" w:styleId="BalloonText">
    <w:name w:val="Balloon Text"/>
    <w:basedOn w:val="Normal"/>
    <w:link w:val="BalloonTextChar"/>
    <w:uiPriority w:val="99"/>
    <w:semiHidden/>
    <w:unhideWhenUsed/>
    <w:rsid w:val="00764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E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B4D3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E53F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F60"/>
    <w:rPr>
      <w:sz w:val="20"/>
      <w:szCs w:val="20"/>
    </w:rPr>
  </w:style>
  <w:style w:type="character" w:styleId="FootnoteReference">
    <w:name w:val="footnote reference"/>
    <w:basedOn w:val="DefaultParagraphFont"/>
    <w:uiPriority w:val="99"/>
    <w:semiHidden/>
    <w:unhideWhenUsed/>
    <w:rsid w:val="00E53F60"/>
    <w:rPr>
      <w:vertAlign w:val="superscript"/>
    </w:rPr>
  </w:style>
  <w:style w:type="character" w:styleId="CommentReference">
    <w:name w:val="annotation reference"/>
    <w:basedOn w:val="DefaultParagraphFont"/>
    <w:uiPriority w:val="99"/>
    <w:semiHidden/>
    <w:unhideWhenUsed/>
    <w:rsid w:val="00764E4E"/>
    <w:rPr>
      <w:sz w:val="16"/>
      <w:szCs w:val="16"/>
    </w:rPr>
  </w:style>
  <w:style w:type="paragraph" w:styleId="CommentText">
    <w:name w:val="annotation text"/>
    <w:basedOn w:val="Normal"/>
    <w:link w:val="CommentTextChar"/>
    <w:uiPriority w:val="99"/>
    <w:semiHidden/>
    <w:unhideWhenUsed/>
    <w:rsid w:val="00764E4E"/>
    <w:pPr>
      <w:spacing w:line="240" w:lineRule="auto"/>
    </w:pPr>
    <w:rPr>
      <w:sz w:val="20"/>
      <w:szCs w:val="20"/>
    </w:rPr>
  </w:style>
  <w:style w:type="character" w:customStyle="1" w:styleId="CommentTextChar">
    <w:name w:val="Comment Text Char"/>
    <w:basedOn w:val="DefaultParagraphFont"/>
    <w:link w:val="CommentText"/>
    <w:uiPriority w:val="99"/>
    <w:semiHidden/>
    <w:rsid w:val="00764E4E"/>
    <w:rPr>
      <w:sz w:val="20"/>
      <w:szCs w:val="20"/>
    </w:rPr>
  </w:style>
  <w:style w:type="paragraph" w:styleId="CommentSubject">
    <w:name w:val="annotation subject"/>
    <w:basedOn w:val="CommentText"/>
    <w:next w:val="CommentText"/>
    <w:link w:val="CommentSubjectChar"/>
    <w:uiPriority w:val="99"/>
    <w:semiHidden/>
    <w:unhideWhenUsed/>
    <w:rsid w:val="00764E4E"/>
    <w:rPr>
      <w:b/>
      <w:bCs/>
    </w:rPr>
  </w:style>
  <w:style w:type="character" w:customStyle="1" w:styleId="CommentSubjectChar">
    <w:name w:val="Comment Subject Char"/>
    <w:basedOn w:val="CommentTextChar"/>
    <w:link w:val="CommentSubject"/>
    <w:uiPriority w:val="99"/>
    <w:semiHidden/>
    <w:rsid w:val="00764E4E"/>
    <w:rPr>
      <w:b/>
      <w:bCs/>
      <w:sz w:val="20"/>
      <w:szCs w:val="20"/>
    </w:rPr>
  </w:style>
  <w:style w:type="paragraph" w:styleId="BalloonText">
    <w:name w:val="Balloon Text"/>
    <w:basedOn w:val="Normal"/>
    <w:link w:val="BalloonTextChar"/>
    <w:uiPriority w:val="99"/>
    <w:semiHidden/>
    <w:unhideWhenUsed/>
    <w:rsid w:val="00764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328342">
      <w:bodyDiv w:val="1"/>
      <w:marLeft w:val="0"/>
      <w:marRight w:val="0"/>
      <w:marTop w:val="0"/>
      <w:marBottom w:val="0"/>
      <w:divBdr>
        <w:top w:val="none" w:sz="0" w:space="0" w:color="auto"/>
        <w:left w:val="none" w:sz="0" w:space="0" w:color="auto"/>
        <w:bottom w:val="none" w:sz="0" w:space="0" w:color="auto"/>
        <w:right w:val="none" w:sz="0" w:space="0" w:color="auto"/>
      </w:divBdr>
    </w:div>
    <w:div w:id="261573747">
      <w:bodyDiv w:val="1"/>
      <w:marLeft w:val="0"/>
      <w:marRight w:val="0"/>
      <w:marTop w:val="0"/>
      <w:marBottom w:val="0"/>
      <w:divBdr>
        <w:top w:val="none" w:sz="0" w:space="0" w:color="auto"/>
        <w:left w:val="none" w:sz="0" w:space="0" w:color="auto"/>
        <w:bottom w:val="none" w:sz="0" w:space="0" w:color="auto"/>
        <w:right w:val="none" w:sz="0" w:space="0" w:color="auto"/>
      </w:divBdr>
    </w:div>
    <w:div w:id="584653259">
      <w:bodyDiv w:val="1"/>
      <w:marLeft w:val="0"/>
      <w:marRight w:val="0"/>
      <w:marTop w:val="0"/>
      <w:marBottom w:val="0"/>
      <w:divBdr>
        <w:top w:val="none" w:sz="0" w:space="0" w:color="auto"/>
        <w:left w:val="none" w:sz="0" w:space="0" w:color="auto"/>
        <w:bottom w:val="none" w:sz="0" w:space="0" w:color="auto"/>
        <w:right w:val="none" w:sz="0" w:space="0" w:color="auto"/>
      </w:divBdr>
    </w:div>
    <w:div w:id="637036305">
      <w:bodyDiv w:val="1"/>
      <w:marLeft w:val="0"/>
      <w:marRight w:val="0"/>
      <w:marTop w:val="0"/>
      <w:marBottom w:val="0"/>
      <w:divBdr>
        <w:top w:val="none" w:sz="0" w:space="0" w:color="auto"/>
        <w:left w:val="none" w:sz="0" w:space="0" w:color="auto"/>
        <w:bottom w:val="none" w:sz="0" w:space="0" w:color="auto"/>
        <w:right w:val="none" w:sz="0" w:space="0" w:color="auto"/>
      </w:divBdr>
    </w:div>
    <w:div w:id="647444899">
      <w:bodyDiv w:val="1"/>
      <w:marLeft w:val="0"/>
      <w:marRight w:val="0"/>
      <w:marTop w:val="0"/>
      <w:marBottom w:val="0"/>
      <w:divBdr>
        <w:top w:val="none" w:sz="0" w:space="0" w:color="auto"/>
        <w:left w:val="none" w:sz="0" w:space="0" w:color="auto"/>
        <w:bottom w:val="none" w:sz="0" w:space="0" w:color="auto"/>
        <w:right w:val="none" w:sz="0" w:space="0" w:color="auto"/>
      </w:divBdr>
    </w:div>
    <w:div w:id="690647050">
      <w:bodyDiv w:val="1"/>
      <w:marLeft w:val="0"/>
      <w:marRight w:val="0"/>
      <w:marTop w:val="0"/>
      <w:marBottom w:val="0"/>
      <w:divBdr>
        <w:top w:val="none" w:sz="0" w:space="0" w:color="auto"/>
        <w:left w:val="none" w:sz="0" w:space="0" w:color="auto"/>
        <w:bottom w:val="none" w:sz="0" w:space="0" w:color="auto"/>
        <w:right w:val="none" w:sz="0" w:space="0" w:color="auto"/>
      </w:divBdr>
    </w:div>
    <w:div w:id="761030542">
      <w:bodyDiv w:val="1"/>
      <w:marLeft w:val="0"/>
      <w:marRight w:val="0"/>
      <w:marTop w:val="0"/>
      <w:marBottom w:val="0"/>
      <w:divBdr>
        <w:top w:val="none" w:sz="0" w:space="0" w:color="auto"/>
        <w:left w:val="none" w:sz="0" w:space="0" w:color="auto"/>
        <w:bottom w:val="none" w:sz="0" w:space="0" w:color="auto"/>
        <w:right w:val="none" w:sz="0" w:space="0" w:color="auto"/>
      </w:divBdr>
    </w:div>
    <w:div w:id="830608486">
      <w:bodyDiv w:val="1"/>
      <w:marLeft w:val="0"/>
      <w:marRight w:val="0"/>
      <w:marTop w:val="0"/>
      <w:marBottom w:val="0"/>
      <w:divBdr>
        <w:top w:val="none" w:sz="0" w:space="0" w:color="auto"/>
        <w:left w:val="none" w:sz="0" w:space="0" w:color="auto"/>
        <w:bottom w:val="none" w:sz="0" w:space="0" w:color="auto"/>
        <w:right w:val="none" w:sz="0" w:space="0" w:color="auto"/>
      </w:divBdr>
    </w:div>
    <w:div w:id="913469686">
      <w:bodyDiv w:val="1"/>
      <w:marLeft w:val="0"/>
      <w:marRight w:val="0"/>
      <w:marTop w:val="0"/>
      <w:marBottom w:val="0"/>
      <w:divBdr>
        <w:top w:val="none" w:sz="0" w:space="0" w:color="auto"/>
        <w:left w:val="none" w:sz="0" w:space="0" w:color="auto"/>
        <w:bottom w:val="none" w:sz="0" w:space="0" w:color="auto"/>
        <w:right w:val="none" w:sz="0" w:space="0" w:color="auto"/>
      </w:divBdr>
    </w:div>
    <w:div w:id="953830002">
      <w:bodyDiv w:val="1"/>
      <w:marLeft w:val="0"/>
      <w:marRight w:val="0"/>
      <w:marTop w:val="0"/>
      <w:marBottom w:val="0"/>
      <w:divBdr>
        <w:top w:val="none" w:sz="0" w:space="0" w:color="auto"/>
        <w:left w:val="none" w:sz="0" w:space="0" w:color="auto"/>
        <w:bottom w:val="none" w:sz="0" w:space="0" w:color="auto"/>
        <w:right w:val="none" w:sz="0" w:space="0" w:color="auto"/>
      </w:divBdr>
    </w:div>
    <w:div w:id="964239478">
      <w:bodyDiv w:val="1"/>
      <w:marLeft w:val="0"/>
      <w:marRight w:val="0"/>
      <w:marTop w:val="0"/>
      <w:marBottom w:val="0"/>
      <w:divBdr>
        <w:top w:val="none" w:sz="0" w:space="0" w:color="auto"/>
        <w:left w:val="none" w:sz="0" w:space="0" w:color="auto"/>
        <w:bottom w:val="none" w:sz="0" w:space="0" w:color="auto"/>
        <w:right w:val="none" w:sz="0" w:space="0" w:color="auto"/>
      </w:divBdr>
    </w:div>
    <w:div w:id="1106120163">
      <w:bodyDiv w:val="1"/>
      <w:marLeft w:val="0"/>
      <w:marRight w:val="0"/>
      <w:marTop w:val="0"/>
      <w:marBottom w:val="0"/>
      <w:divBdr>
        <w:top w:val="none" w:sz="0" w:space="0" w:color="auto"/>
        <w:left w:val="none" w:sz="0" w:space="0" w:color="auto"/>
        <w:bottom w:val="none" w:sz="0" w:space="0" w:color="auto"/>
        <w:right w:val="none" w:sz="0" w:space="0" w:color="auto"/>
      </w:divBdr>
    </w:div>
    <w:div w:id="1212303425">
      <w:bodyDiv w:val="1"/>
      <w:marLeft w:val="0"/>
      <w:marRight w:val="0"/>
      <w:marTop w:val="0"/>
      <w:marBottom w:val="0"/>
      <w:divBdr>
        <w:top w:val="none" w:sz="0" w:space="0" w:color="auto"/>
        <w:left w:val="none" w:sz="0" w:space="0" w:color="auto"/>
        <w:bottom w:val="none" w:sz="0" w:space="0" w:color="auto"/>
        <w:right w:val="none" w:sz="0" w:space="0" w:color="auto"/>
      </w:divBdr>
    </w:div>
    <w:div w:id="1325280580">
      <w:bodyDiv w:val="1"/>
      <w:marLeft w:val="0"/>
      <w:marRight w:val="0"/>
      <w:marTop w:val="0"/>
      <w:marBottom w:val="0"/>
      <w:divBdr>
        <w:top w:val="none" w:sz="0" w:space="0" w:color="auto"/>
        <w:left w:val="none" w:sz="0" w:space="0" w:color="auto"/>
        <w:bottom w:val="none" w:sz="0" w:space="0" w:color="auto"/>
        <w:right w:val="none" w:sz="0" w:space="0" w:color="auto"/>
      </w:divBdr>
    </w:div>
    <w:div w:id="1335495613">
      <w:bodyDiv w:val="1"/>
      <w:marLeft w:val="0"/>
      <w:marRight w:val="0"/>
      <w:marTop w:val="0"/>
      <w:marBottom w:val="0"/>
      <w:divBdr>
        <w:top w:val="none" w:sz="0" w:space="0" w:color="auto"/>
        <w:left w:val="none" w:sz="0" w:space="0" w:color="auto"/>
        <w:bottom w:val="none" w:sz="0" w:space="0" w:color="auto"/>
        <w:right w:val="none" w:sz="0" w:space="0" w:color="auto"/>
      </w:divBdr>
    </w:div>
    <w:div w:id="1391078020">
      <w:bodyDiv w:val="1"/>
      <w:marLeft w:val="0"/>
      <w:marRight w:val="0"/>
      <w:marTop w:val="0"/>
      <w:marBottom w:val="0"/>
      <w:divBdr>
        <w:top w:val="none" w:sz="0" w:space="0" w:color="auto"/>
        <w:left w:val="none" w:sz="0" w:space="0" w:color="auto"/>
        <w:bottom w:val="none" w:sz="0" w:space="0" w:color="auto"/>
        <w:right w:val="none" w:sz="0" w:space="0" w:color="auto"/>
      </w:divBdr>
    </w:div>
    <w:div w:id="1442341631">
      <w:bodyDiv w:val="1"/>
      <w:marLeft w:val="0"/>
      <w:marRight w:val="0"/>
      <w:marTop w:val="0"/>
      <w:marBottom w:val="0"/>
      <w:divBdr>
        <w:top w:val="none" w:sz="0" w:space="0" w:color="auto"/>
        <w:left w:val="none" w:sz="0" w:space="0" w:color="auto"/>
        <w:bottom w:val="none" w:sz="0" w:space="0" w:color="auto"/>
        <w:right w:val="none" w:sz="0" w:space="0" w:color="auto"/>
      </w:divBdr>
    </w:div>
    <w:div w:id="1628663873">
      <w:bodyDiv w:val="1"/>
      <w:marLeft w:val="0"/>
      <w:marRight w:val="0"/>
      <w:marTop w:val="0"/>
      <w:marBottom w:val="0"/>
      <w:divBdr>
        <w:top w:val="none" w:sz="0" w:space="0" w:color="auto"/>
        <w:left w:val="none" w:sz="0" w:space="0" w:color="auto"/>
        <w:bottom w:val="none" w:sz="0" w:space="0" w:color="auto"/>
        <w:right w:val="none" w:sz="0" w:space="0" w:color="auto"/>
      </w:divBdr>
    </w:div>
    <w:div w:id="1726906345">
      <w:bodyDiv w:val="1"/>
      <w:marLeft w:val="0"/>
      <w:marRight w:val="0"/>
      <w:marTop w:val="0"/>
      <w:marBottom w:val="0"/>
      <w:divBdr>
        <w:top w:val="none" w:sz="0" w:space="0" w:color="auto"/>
        <w:left w:val="none" w:sz="0" w:space="0" w:color="auto"/>
        <w:bottom w:val="none" w:sz="0" w:space="0" w:color="auto"/>
        <w:right w:val="none" w:sz="0" w:space="0" w:color="auto"/>
      </w:divBdr>
    </w:div>
    <w:div w:id="1904945657">
      <w:bodyDiv w:val="1"/>
      <w:marLeft w:val="0"/>
      <w:marRight w:val="0"/>
      <w:marTop w:val="0"/>
      <w:marBottom w:val="0"/>
      <w:divBdr>
        <w:top w:val="none" w:sz="0" w:space="0" w:color="auto"/>
        <w:left w:val="none" w:sz="0" w:space="0" w:color="auto"/>
        <w:bottom w:val="none" w:sz="0" w:space="0" w:color="auto"/>
        <w:right w:val="none" w:sz="0" w:space="0" w:color="auto"/>
      </w:divBdr>
    </w:div>
    <w:div w:id="1977686791">
      <w:bodyDiv w:val="1"/>
      <w:marLeft w:val="0"/>
      <w:marRight w:val="0"/>
      <w:marTop w:val="0"/>
      <w:marBottom w:val="0"/>
      <w:divBdr>
        <w:top w:val="none" w:sz="0" w:space="0" w:color="auto"/>
        <w:left w:val="none" w:sz="0" w:space="0" w:color="auto"/>
        <w:bottom w:val="none" w:sz="0" w:space="0" w:color="auto"/>
        <w:right w:val="none" w:sz="0" w:space="0" w:color="auto"/>
      </w:divBdr>
    </w:div>
    <w:div w:id="20797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615C5-7303-4857-B540-FEF3AC04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Rob_Andrews</dc:creator>
  <cp:lastModifiedBy>Rob_Andrews</cp:lastModifiedBy>
  <cp:revision>16</cp:revision>
  <cp:lastPrinted>2013-09-24T15:41:00Z</cp:lastPrinted>
  <dcterms:created xsi:type="dcterms:W3CDTF">2013-09-26T14:11:00Z</dcterms:created>
  <dcterms:modified xsi:type="dcterms:W3CDTF">2013-09-26T15:48:00Z</dcterms:modified>
</cp:coreProperties>
</file>