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25" w:rsidRPr="003745F4" w:rsidRDefault="00174F25" w:rsidP="00174F25">
      <w:pPr>
        <w:tabs>
          <w:tab w:val="center" w:pos="4680"/>
        </w:tabs>
        <w:jc w:val="center"/>
        <w:rPr>
          <w:b/>
          <w:bCs/>
        </w:rPr>
      </w:pPr>
      <w:r w:rsidRPr="003745F4">
        <w:rPr>
          <w:b/>
          <w:bCs/>
        </w:rPr>
        <w:t>Supporting Statement for the</w:t>
      </w:r>
    </w:p>
    <w:p w:rsidR="00174F25" w:rsidRDefault="00174F25" w:rsidP="00174F25">
      <w:pPr>
        <w:widowControl/>
        <w:tabs>
          <w:tab w:val="left" w:pos="1080"/>
          <w:tab w:val="left" w:pos="6840"/>
        </w:tabs>
        <w:jc w:val="center"/>
        <w:rPr>
          <w:b/>
        </w:rPr>
      </w:pPr>
      <w:r w:rsidRPr="00174F25">
        <w:rPr>
          <w:b/>
        </w:rPr>
        <w:t xml:space="preserve">Report of Selected Balance Sheet Items for Discount Window Borrowers </w:t>
      </w:r>
    </w:p>
    <w:p w:rsidR="00011E4D" w:rsidRPr="00174F25" w:rsidRDefault="00174F25" w:rsidP="00174F25">
      <w:pPr>
        <w:widowControl/>
        <w:tabs>
          <w:tab w:val="left" w:pos="1080"/>
          <w:tab w:val="left" w:pos="6840"/>
        </w:tabs>
        <w:jc w:val="center"/>
        <w:rPr>
          <w:rFonts w:ascii="Times" w:hAnsi="Times" w:cs="Times"/>
          <w:b/>
        </w:rPr>
      </w:pPr>
      <w:r w:rsidRPr="00174F25">
        <w:rPr>
          <w:b/>
        </w:rPr>
        <w:t>(FR 2046</w:t>
      </w:r>
      <w:r>
        <w:rPr>
          <w:b/>
        </w:rPr>
        <w:t>; OMB No. 7100-0289)</w:t>
      </w:r>
    </w:p>
    <w:p w:rsidR="00011E4D" w:rsidRPr="00E66F99" w:rsidRDefault="00011E4D">
      <w:pPr>
        <w:widowControl/>
        <w:tabs>
          <w:tab w:val="left" w:pos="360"/>
        </w:tabs>
      </w:pPr>
      <w:r w:rsidRPr="00E66F99">
        <w:rPr>
          <w:b/>
          <w:bCs/>
        </w:rPr>
        <w:t>Summary</w:t>
      </w:r>
    </w:p>
    <w:p w:rsidR="00011E4D" w:rsidRPr="00E66F99" w:rsidRDefault="00011E4D">
      <w:pPr>
        <w:widowControl/>
        <w:tabs>
          <w:tab w:val="left" w:pos="360"/>
        </w:tabs>
      </w:pPr>
    </w:p>
    <w:p w:rsidR="003C0E8E" w:rsidRPr="000D7C1E" w:rsidRDefault="00011E4D" w:rsidP="003C0E8E">
      <w:pPr>
        <w:widowControl/>
        <w:tabs>
          <w:tab w:val="left" w:pos="360"/>
        </w:tabs>
        <w:ind w:firstLine="360"/>
      </w:pPr>
      <w:r w:rsidRPr="00E66F99">
        <w:t xml:space="preserve">The </w:t>
      </w:r>
      <w:r w:rsidR="00174F25">
        <w:t>Board of Governors of the Federal Reserve</w:t>
      </w:r>
      <w:r w:rsidR="00A7539C">
        <w:t xml:space="preserve"> System</w:t>
      </w:r>
      <w:r w:rsidR="00174F25">
        <w:t xml:space="preserve">, under delegated authority from the Office of Management and Budget (OMB), </w:t>
      </w:r>
      <w:r w:rsidR="003C0E8E" w:rsidRPr="000D7C1E">
        <w:t xml:space="preserve">proposes to extend for three years, with minor revision, the Report of Selected Balance Sheet Items for Discount Window Borrowers (FR 2046; OMB No. 7100-0289).  These data are used to monitor discount window borrowing.  The Federal Reserve’s Regulation A, Extensions of Credit by Federal Reserve Banks, requires that </w:t>
      </w:r>
      <w:r w:rsidR="003C0E8E">
        <w:t xml:space="preserve">the Federal Reserve </w:t>
      </w:r>
      <w:r w:rsidR="003C0E8E" w:rsidRPr="000D7C1E">
        <w:t xml:space="preserve">review balance sheet data in determining whether to extend credit and to help ascertain whether undue use is made of such credit.  </w:t>
      </w:r>
      <w:r w:rsidR="003C0E8E">
        <w:t>Depository institutions that borrow from the discount window</w:t>
      </w:r>
      <w:r w:rsidR="003C0E8E" w:rsidRPr="000D7C1E">
        <w:t xml:space="preserve"> report </w:t>
      </w:r>
      <w:r w:rsidR="003C0E8E">
        <w:t xml:space="preserve">on the FR 2046 </w:t>
      </w:r>
      <w:r w:rsidR="003C0E8E" w:rsidRPr="000D7C1E">
        <w:t xml:space="preserve">certain balance sheet data for a period that encompasses the dates of borrowing.    </w:t>
      </w:r>
    </w:p>
    <w:p w:rsidR="003C0E8E" w:rsidRPr="000D7C1E" w:rsidRDefault="003C0E8E" w:rsidP="003C0E8E">
      <w:pPr>
        <w:widowControl/>
        <w:tabs>
          <w:tab w:val="left" w:pos="360"/>
        </w:tabs>
        <w:ind w:firstLine="360"/>
      </w:pPr>
    </w:p>
    <w:p w:rsidR="003C0E8E" w:rsidRPr="000D7C1E" w:rsidRDefault="003C0E8E" w:rsidP="003C0E8E">
      <w:pPr>
        <w:widowControl/>
        <w:autoSpaceDE/>
        <w:autoSpaceDN/>
        <w:adjustRightInd/>
        <w:ind w:firstLine="360"/>
      </w:pPr>
      <w:r>
        <w:t xml:space="preserve">The Federal Reserve </w:t>
      </w:r>
      <w:r w:rsidRPr="000D7C1E">
        <w:t xml:space="preserve">proposes to update data element definitions to account for the discontinuance of the Thrift Financial Report (OTS Form 1313).  Also, </w:t>
      </w:r>
      <w:r>
        <w:t xml:space="preserve">the Federal Reserve </w:t>
      </w:r>
      <w:r w:rsidRPr="000D7C1E">
        <w:t xml:space="preserve">proposes that institutions that file the </w:t>
      </w:r>
      <w:r w:rsidRPr="000D7C1E">
        <w:rPr>
          <w:rStyle w:val="Emphasis"/>
        </w:rPr>
        <w:t xml:space="preserve">Weekly Report of Selected Assets and Liabilities of Domestically Chartered Commercial Banks and U.S. Branches and Agencies of Foreign Banks </w:t>
      </w:r>
      <w:r w:rsidRPr="000D7C1E">
        <w:t xml:space="preserve">(FR 2644; OMB No. 7100-0075) need not report the Wednesday-only data item for total loans on the FR 2046.   The total annual burden for the FR 2046 is estimated to be 229 hours and would remain unchanged with the proposed revisions.  </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pPr>
      <w:r w:rsidRPr="000D7C1E">
        <w:rPr>
          <w:b/>
          <w:bCs/>
        </w:rPr>
        <w:t>Background</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rsidRPr="000D7C1E">
        <w:t xml:space="preserve">The Federal Reserve’s Regulation A establishes rules under which </w:t>
      </w:r>
      <w:r>
        <w:t xml:space="preserve">the </w:t>
      </w:r>
      <w:r w:rsidRPr="000D7C1E">
        <w:t>Federal Reserve may extend credit to depository institutions and defines three basic lending programs: primary credit, secondary credit, and seasonal credit.</w:t>
      </w:r>
      <w:r w:rsidRPr="000D7C1E">
        <w:rPr>
          <w:rStyle w:val="FootnoteReference"/>
          <w:vertAlign w:val="superscript"/>
        </w:rPr>
        <w:footnoteReference w:id="1"/>
      </w:r>
      <w:r w:rsidRPr="000D7C1E">
        <w:t xml:space="preserve">  </w:t>
      </w:r>
      <w:r w:rsidRPr="000D7C1E">
        <w:rPr>
          <w:u w:val="single"/>
        </w:rPr>
        <w:t>Primary credit</w:t>
      </w:r>
      <w:r w:rsidRPr="000D7C1E">
        <w:t xml:space="preserve"> is designed as a back-up funding source to assist depository institutions in meeting very short-term needs (usually overnight).  Since such credit is provided at an above-market rate and ordinarily is available to generally sound depository institutions, there is little or no administrative burden on the borrower or the </w:t>
      </w:r>
      <w:r>
        <w:t>Federal Reserve</w:t>
      </w:r>
      <w:r w:rsidRPr="000D7C1E">
        <w:t xml:space="preserve">.  </w:t>
      </w:r>
      <w:r w:rsidRPr="000D7C1E">
        <w:rPr>
          <w:u w:val="single"/>
        </w:rPr>
        <w:t>Secondary credit</w:t>
      </w:r>
      <w:r w:rsidRPr="000D7C1E">
        <w:t xml:space="preserve"> is designed as a back-up funding source for depository institutions that do not qualify for primary credit.  Such credit may be provided to meet temporary funding needs of an institution if such a credit extension would be consistent with the institution’s timely return to a reliance on market funding sources, or if such credit would facilitate the orderly resolution of serious financial difficulties of the borrowing institution.  Unlike primary credit borrowers, secondary credit borrowers are subject to a higher level of administration by the </w:t>
      </w:r>
      <w:r>
        <w:t xml:space="preserve">Federal Reserve </w:t>
      </w:r>
      <w:r w:rsidRPr="000D7C1E">
        <w:t xml:space="preserve">and therefore subject to a slightly higher interest rate.  In these cases, supplemental information for monitoring the borrower would likely be obtained from other sources, such as direct contacts with banking regulators.  </w:t>
      </w:r>
      <w:r w:rsidRPr="000D7C1E">
        <w:rPr>
          <w:u w:val="single"/>
        </w:rPr>
        <w:t>Seasonal credit</w:t>
      </w:r>
      <w:r w:rsidRPr="000D7C1E">
        <w:t xml:space="preserve"> is designed to assist smaller institutions in meeting longer-term funding needs arising from regular intra-year patterns in deposits and loans.  Regulation A requires that </w:t>
      </w:r>
      <w:r>
        <w:t xml:space="preserve">the Federal Reserve </w:t>
      </w:r>
      <w:r w:rsidRPr="000D7C1E">
        <w:t xml:space="preserve">ensure that the borrower’s funding need is truly seasonal in nature and that it will persist for at least four weeks.  Seasonal credit is provided at a market-related rate.  Nonetheless, borrowers may still find the rate charged </w:t>
      </w:r>
      <w:r w:rsidRPr="000D7C1E">
        <w:lastRenderedPageBreak/>
        <w:t>on seasonal credit attractive relative to the rates they would be charged for comparable credit arrangements from market sources.  Therefore, while borrowing at the discount window, seasonal borrowers must agree to limit their net federal funds sales to an amount consistent with their usual operating pattern.</w:t>
      </w:r>
      <w:r w:rsidRPr="000D7C1E">
        <w:rPr>
          <w:rStyle w:val="FootnoteReference"/>
          <w:vertAlign w:val="superscript"/>
        </w:rPr>
        <w:footnoteReference w:id="2"/>
      </w:r>
      <w:r w:rsidRPr="000D7C1E">
        <w:t xml:space="preserve"> </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rsidRPr="000D7C1E">
        <w:t>In 1998, the Subcommittee on Credit, Reserves, and Risk Management (SCRRM) requested standardized data reporting for discount window monitoring as part of its broader effort to promote greater uniformity across the Federal Reserve System in the administration of the discount window.</w:t>
      </w:r>
      <w:r w:rsidRPr="000D7C1E">
        <w:rPr>
          <w:rStyle w:val="FootnoteReference"/>
          <w:vertAlign w:val="superscript"/>
        </w:rPr>
        <w:footnoteReference w:id="3"/>
      </w:r>
      <w:r w:rsidRPr="000D7C1E">
        <w:t xml:space="preserve">  There had been considerable variation across Districts in the specific data elements collected, in the time periods for which data were requested, and in the formats in which data were reported.  The implementation of the FR 2046 standardized these aspects of data collection across Reserve Banks and, in many cases, reduced reporting burden relative to that under the previous data reporting procedures.  In 2003, the FR 2046 was updated owing to changes to Regulation A (the establish</w:t>
      </w:r>
      <w:r w:rsidRPr="000D7C1E">
        <w:softHyphen/>
        <w:t>ment of the primary and secondary credit programs) with no substantial changes to the reporting form or the instructions.  In 2010, the FR 2046 was revised to be consistent with the 2009 revisions to the FR 2644 so that respondents that provide Wednesday-only data on the FR 2046 and file the FR 2644 need not report data items that are common</w:t>
      </w:r>
      <w:r>
        <w:t>ly defined in</w:t>
      </w:r>
      <w:r w:rsidRPr="000D7C1E">
        <w:t xml:space="preserve"> both reports.  </w:t>
      </w:r>
    </w:p>
    <w:p w:rsidR="003C0E8E" w:rsidRPr="000D7C1E" w:rsidRDefault="003C0E8E" w:rsidP="003C0E8E">
      <w:pPr>
        <w:widowControl/>
        <w:tabs>
          <w:tab w:val="left" w:pos="360"/>
        </w:tabs>
        <w:ind w:firstLine="360"/>
        <w:rPr>
          <w:b/>
          <w:bCs/>
        </w:rPr>
      </w:pPr>
    </w:p>
    <w:p w:rsidR="003C0E8E" w:rsidRPr="000D7C1E" w:rsidRDefault="003C0E8E" w:rsidP="003C0E8E">
      <w:pPr>
        <w:widowControl/>
        <w:tabs>
          <w:tab w:val="left" w:pos="360"/>
        </w:tabs>
      </w:pPr>
      <w:r w:rsidRPr="000D7C1E">
        <w:rPr>
          <w:b/>
          <w:bCs/>
        </w:rPr>
        <w:t>Justification</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pPr>
      <w:r w:rsidRPr="000D7C1E">
        <w:t>There are many cases in which discount window borrowing might be considered inappropri</w:t>
      </w:r>
      <w:r w:rsidRPr="000D7C1E">
        <w:softHyphen/>
        <w:t xml:space="preserve">ate and inconsistent with Regulation A.  For example, using the primary or secondary credit programs as a primary funding source, or using seasonal credit to meet a non-seasonal funding need, would be considered inappropriate.  To guard against such situations, Regulation A (12 CFR 201.3(c)(2)-(3)) requires </w:t>
      </w:r>
      <w:r>
        <w:t xml:space="preserve">the Federal Reserve </w:t>
      </w:r>
      <w:r w:rsidRPr="000D7C1E">
        <w:t xml:space="preserve">to consider the balance sheet information of borrowers in determining whether to extend credit and to ensure that any credit provided is used for an appropriate purpose.  Questionable behavior might lead to follow-up discussions with the borrower concerning their circumstances at the time of borrowing and to counseling if their borrowing is deemed to have been inappropriate.  </w:t>
      </w:r>
    </w:p>
    <w:p w:rsidR="003C0E8E" w:rsidRPr="000D7C1E" w:rsidRDefault="003C0E8E" w:rsidP="003C0E8E">
      <w:pPr>
        <w:widowControl/>
        <w:tabs>
          <w:tab w:val="left" w:pos="360"/>
        </w:tabs>
      </w:pPr>
    </w:p>
    <w:p w:rsidR="003C0E8E" w:rsidRPr="000D7C1E" w:rsidRDefault="003C0E8E" w:rsidP="003C0E8E">
      <w:pPr>
        <w:widowControl/>
        <w:tabs>
          <w:tab w:val="right" w:pos="9360"/>
        </w:tabs>
        <w:ind w:firstLine="360"/>
      </w:pPr>
      <w:r w:rsidRPr="000D7C1E">
        <w:t xml:space="preserve">As noted above, there is usually little or no administrative burden on </w:t>
      </w:r>
      <w:r w:rsidRPr="000D7C1E">
        <w:rPr>
          <w:u w:val="single"/>
        </w:rPr>
        <w:t>primary credit</w:t>
      </w:r>
      <w:r w:rsidRPr="000D7C1E">
        <w:t xml:space="preserve"> borrow</w:t>
      </w:r>
      <w:r w:rsidRPr="000D7C1E">
        <w:softHyphen/>
        <w:t>ers, and the FR 2046 will usually not be collected from them.  However, the FR 2046 may be required from a primary credit borrower in very unusual circumstances, such as frequent borrowing or if there is information to suggest that undue use is being made of the credit.</w:t>
      </w:r>
      <w:r w:rsidRPr="000D7C1E">
        <w:rPr>
          <w:iCs/>
        </w:rPr>
        <w:t xml:space="preserve">  In these cases, </w:t>
      </w:r>
      <w:r w:rsidRPr="000D7C1E">
        <w:t>information on federal funds sold and purchased (including resale and repurchase agreements, respectively) would be important in identifying situations in which an institution might be attempting to substitute borrowing at the discount window for its normal market sources of funding.  In addition, information on total assets, loans, deposits, and securities could be used to assess the borrower’s funding need or use of the credit.  Because primary credit is extended for very short terms, daily data are necessary to capture the borrower’s balance sheet trends.</w:t>
      </w:r>
    </w:p>
    <w:p w:rsidR="003C0E8E" w:rsidRPr="000D7C1E" w:rsidRDefault="003C0E8E" w:rsidP="003C0E8E">
      <w:pPr>
        <w:widowControl/>
        <w:tabs>
          <w:tab w:val="right" w:pos="9360"/>
        </w:tabs>
        <w:ind w:firstLine="360"/>
      </w:pPr>
    </w:p>
    <w:p w:rsidR="003C0E8E" w:rsidRPr="000D7C1E" w:rsidRDefault="003C0E8E" w:rsidP="003C0E8E">
      <w:pPr>
        <w:widowControl/>
        <w:tabs>
          <w:tab w:val="left" w:pos="360"/>
        </w:tabs>
        <w:ind w:firstLine="360"/>
      </w:pPr>
      <w:r w:rsidRPr="000D7C1E">
        <w:lastRenderedPageBreak/>
        <w:t xml:space="preserve">The FR 2046 data are not routinely collected from </w:t>
      </w:r>
      <w:r w:rsidRPr="000D7C1E">
        <w:rPr>
          <w:u w:val="single"/>
        </w:rPr>
        <w:t>secondary credit</w:t>
      </w:r>
      <w:r w:rsidRPr="000D7C1E">
        <w:t xml:space="preserve"> borrowers if adequate information on the need for funding and the reason for borrowing from the Federal Reserve is available from other sources, such as direct contacts with banking regulators.  However, because secondary credit borrowers are not in generally sound condition, they are subject to a higher level of administration by the </w:t>
      </w:r>
      <w:r>
        <w:t>Federal Reserve</w:t>
      </w:r>
      <w:r w:rsidRPr="000D7C1E">
        <w:t xml:space="preserve">.  For example, if the loan is requested for a reason other than to cover an unexpected overdraft, the borrower is not allowed to increase its net exposure to other depository institutions—such as by selling federal funds—without permission. The FR 2046 data may be required if the </w:t>
      </w:r>
      <w:r>
        <w:t xml:space="preserve">Federal Reserve </w:t>
      </w:r>
      <w:r w:rsidRPr="000D7C1E">
        <w:t>becomes concerned about the frequency or size of the institution’s borrowing.  The use of the data is very similar to that described for primary credit.  Secondary credit is generally extended for one day at a time; therefore, daily data are necessary to capture the borrower’s balance sheet trends.</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rPr>
          <w:highlight w:val="yellow"/>
        </w:rPr>
      </w:pPr>
      <w:r w:rsidRPr="000D7C1E">
        <w:t xml:space="preserve">The FR 2046 data are collected primarily from </w:t>
      </w:r>
      <w:r w:rsidRPr="000D7C1E">
        <w:rPr>
          <w:u w:val="single"/>
        </w:rPr>
        <w:t>seasonal credit</w:t>
      </w:r>
      <w:r w:rsidRPr="000D7C1E">
        <w:t xml:space="preserve"> borrowers.  Information on federal funds sold and purchased is important to guard against situations in which a bank might be using seasonal credit inappropriately.  Under the terms of the program, seasonal borrowers may be net sellers of federal funds while borrowing at the discount window, as long as this pattern is consistent with their normal operating practices.  The information obtained on federal funds sold and purchased on the FR 2046 is used by discount officers to assess whether a seasonal borrower’s position in the federal funds market is normal.</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rsidRPr="000D7C1E">
        <w:t xml:space="preserve">Similarly, information on a seasonal borrower’s total assets, loans, securities and deposits is used to monitor whether loans advanced at the discount window are being used for the intended purpose.  Total loans and total deposits are used in monitoring an institution’s net funds availability (defined as total deposits less total loans) during the period of borrowing.  Historical data on net funds availability is a key variable used in establishing an institution’s seasonal credit line.  Discount officers monitor net funds availability during the period of borrowing to ensure that an institution’s actual funding need during the year is consistent with its seasonal credit line. In addition, information on total assets, loans, and securities is used to ensure that seasonal credit is used appropriately.  Many seasonal borrowers, for example, exhibit a marked increase in their loan portfolios over the first three quarters in each year reflecting increased agricultural credit demands.  Later in the year, loan demand at these banks subsides as farmers sell their crops and repay their outstanding bank loans with the proceeds.  Deviations from this typical pattern might indicate that seasonal credit was being used inappropriately.  For example, if a seasonal borrower’s total loans increased only modestly during the year while its securities portfolio expanded sharply, discount officers might contact the institution to verify whether it remained eligible for the seasonal credit program.  </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rPr>
          <w:color w:val="FF0000"/>
        </w:rPr>
      </w:pPr>
      <w:r w:rsidRPr="000D7C1E">
        <w:t xml:space="preserve">Seasonal credit is typically extended over lengthy periods, and the borrower’s funding need is expected to change slowly over the term of the borrowing.  Therefore, Wednesday-only data provide an adequate picture of a borrower’s balance sheet trends.  In cases where seasonal credit is extended to institutions in marginal financial condition, increased monitoring of the borrower is required, and daily data may be collected at the </w:t>
      </w:r>
      <w:r>
        <w:t>Federal Reserve</w:t>
      </w:r>
      <w:r w:rsidRPr="000D7C1E">
        <w:t>’s discretion.</w:t>
      </w:r>
    </w:p>
    <w:p w:rsidR="003C0E8E" w:rsidRDefault="003C0E8E" w:rsidP="003C0E8E">
      <w:pPr>
        <w:widowControl/>
        <w:tabs>
          <w:tab w:val="left" w:pos="360"/>
        </w:tabs>
        <w:rPr>
          <w:b/>
          <w:bCs/>
        </w:rPr>
      </w:pPr>
    </w:p>
    <w:p w:rsidR="003C0E8E" w:rsidRPr="000D7C1E" w:rsidRDefault="003C0E8E" w:rsidP="003C0E8E">
      <w:pPr>
        <w:widowControl/>
        <w:tabs>
          <w:tab w:val="left" w:pos="360"/>
        </w:tabs>
      </w:pPr>
      <w:r w:rsidRPr="000D7C1E">
        <w:rPr>
          <w:b/>
          <w:bCs/>
        </w:rPr>
        <w:t>Description of Information Collection</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rsidRPr="000D7C1E">
        <w:t>Table 1 lists the data elements that are reported on the FR 2046.  Data are reported weekly for each two-week period in which a borrowing is outstanding.  All data are reported for the bor</w:t>
      </w:r>
      <w:r w:rsidRPr="000D7C1E">
        <w:softHyphen/>
        <w:t xml:space="preserve">rower’s domestic offices only and reported in thousands of dollars.  The data elements include </w:t>
      </w:r>
      <w:r w:rsidRPr="000D7C1E">
        <w:lastRenderedPageBreak/>
        <w:t xml:space="preserve">the amounts of total securities, federal funds sold and securities purchased under agreements to resell, total loans, total assets, total deposits, and federal funds purchased and securities sold under agreements to repurchase.  </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pPr>
      <w:r w:rsidRPr="000D7C1E">
        <w:rPr>
          <w:u w:val="single"/>
        </w:rPr>
        <w:t>Primary or secondary credit</w:t>
      </w:r>
      <w:r w:rsidRPr="000D7C1E">
        <w:t xml:space="preserve"> borrowers report daily data.  A borrower need not supply deposit data on the FR 2046 when it already files such information weekly on the Report of Transaction Deposits, Other Deposits and Vault Cash (FR 2900; OMB No. 7100</w:t>
      </w:r>
      <w:r w:rsidRPr="000D7C1E">
        <w:noBreakHyphen/>
        <w:t>0087).  For these respondents, the two-week reporting period corresponds to their reserve maintenance period.</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rPr>
          <w:vertAlign w:val="superscript"/>
        </w:rPr>
      </w:pPr>
      <w:r w:rsidRPr="000D7C1E">
        <w:rPr>
          <w:u w:val="single"/>
        </w:rPr>
        <w:t>Seasonal credit</w:t>
      </w:r>
      <w:r w:rsidRPr="000D7C1E">
        <w:t xml:space="preserve"> borrowers report Wednesday-only data.  Depositories that already report total securities, federal funds sold and resale agreements, and total assets weekly on the FR 2644 or total deposits weekly on the FR 2900 or on the FR 2644 do not need to provide these data on the FR 2046.</w:t>
      </w:r>
      <w:r w:rsidRPr="000D7C1E">
        <w:rPr>
          <w:rStyle w:val="FootnoteReference"/>
          <w:vertAlign w:val="superscript"/>
        </w:rPr>
        <w:t xml:space="preserve"> </w:t>
      </w:r>
      <w:r w:rsidRPr="000D7C1E">
        <w:rPr>
          <w:rStyle w:val="FootnoteReference"/>
          <w:vertAlign w:val="superscript"/>
        </w:rPr>
        <w:footnoteReference w:id="4"/>
      </w:r>
    </w:p>
    <w:p w:rsidR="003C0E8E" w:rsidRPr="000D7C1E" w:rsidRDefault="003C0E8E" w:rsidP="003C0E8E">
      <w:pPr>
        <w:widowControl/>
        <w:tabs>
          <w:tab w:val="left" w:pos="360"/>
        </w:tabs>
        <w:ind w:firstLine="360"/>
        <w:rPr>
          <w:b/>
          <w:bCs/>
        </w:rPr>
      </w:pPr>
    </w:p>
    <w:p w:rsidR="003C0E8E" w:rsidRPr="000D7C1E" w:rsidRDefault="003C0E8E" w:rsidP="003C0E8E">
      <w:pPr>
        <w:widowControl/>
        <w:tabs>
          <w:tab w:val="left" w:pos="360"/>
        </w:tabs>
        <w:ind w:firstLine="360"/>
        <w:rPr>
          <w:b/>
        </w:rPr>
      </w:pPr>
      <w:r w:rsidRPr="000D7C1E">
        <w:rPr>
          <w:b/>
        </w:rPr>
        <w:t>Proposed Revisions</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t xml:space="preserve">The Federal Reserve </w:t>
      </w:r>
      <w:r w:rsidRPr="000D7C1E">
        <w:t>proposes two revisions to the FR 2046.  First, data element definitions in the FR 2046 instructions would be updated to map to the Consolidated Reports of Condition and Income (FFIEC 031 &amp; 041; OMB No. 7100</w:t>
      </w:r>
      <w:r w:rsidRPr="000D7C1E">
        <w:noBreakHyphen/>
        <w:t>0036).  For federally-chartered savings associations, d</w:t>
      </w:r>
      <w:r w:rsidRPr="000D7C1E" w:rsidDel="00CE1C40">
        <w:t xml:space="preserve">ata elements on the FR 2046 </w:t>
      </w:r>
      <w:r w:rsidRPr="000D7C1E">
        <w:t xml:space="preserve">currently </w:t>
      </w:r>
      <w:r w:rsidRPr="000D7C1E" w:rsidDel="00CE1C40">
        <w:t xml:space="preserve">are defined to be the same as specified in </w:t>
      </w:r>
      <w:r w:rsidRPr="000D7C1E">
        <w:t>the Thrift Financial Report</w:t>
      </w:r>
      <w:r w:rsidRPr="000D7C1E" w:rsidDel="00CE1C40">
        <w:t xml:space="preserve"> </w:t>
      </w:r>
      <w:r w:rsidRPr="000D7C1E">
        <w:t xml:space="preserve">(OTS Form 1313) </w:t>
      </w:r>
      <w:r w:rsidRPr="000D7C1E" w:rsidDel="00CE1C40">
        <w:t xml:space="preserve">definitions.  </w:t>
      </w:r>
      <w:r w:rsidRPr="000D7C1E">
        <w:t>In 2012, the Thrift Financial Report was discontinued.  These institutions now file the FFIEC 031 &amp; 041; the</w:t>
      </w:r>
      <w:r w:rsidRPr="000D7C1E">
        <w:rPr>
          <w:sz w:val="20"/>
          <w:szCs w:val="20"/>
        </w:rPr>
        <w:t xml:space="preserve"> </w:t>
      </w:r>
      <w:r w:rsidRPr="000D7C1E">
        <w:t xml:space="preserve">same Call Reports used by commercial banks and state-chartered savings associations. </w:t>
      </w:r>
    </w:p>
    <w:p w:rsidR="003C0E8E" w:rsidRPr="000D7C1E" w:rsidRDefault="003C0E8E" w:rsidP="003C0E8E">
      <w:pPr>
        <w:widowControl/>
        <w:autoSpaceDE/>
        <w:autoSpaceDN/>
        <w:adjustRightInd/>
      </w:pPr>
    </w:p>
    <w:p w:rsidR="003C0E8E" w:rsidRPr="000D7C1E" w:rsidRDefault="003C0E8E" w:rsidP="003C0E8E">
      <w:pPr>
        <w:widowControl/>
        <w:autoSpaceDE/>
        <w:autoSpaceDN/>
        <w:adjustRightInd/>
        <w:ind w:firstLine="360"/>
      </w:pPr>
      <w:r w:rsidRPr="000D7C1E">
        <w:t xml:space="preserve">Second, seasonal credit borrowers that also file the FR 2644 would not be required to provide Wednesday-only data for the total loans data item on the FR 2046.  Because the definitions of loans on the FR 2644 differs from that used for the FR 2046, FR 2046 respondents that also file the FR 2644 are currently required to provide data on total loans.  </w:t>
      </w:r>
      <w:r>
        <w:t xml:space="preserve">The Federal Reserve </w:t>
      </w:r>
      <w:r w:rsidRPr="000D7C1E">
        <w:t xml:space="preserve">has determined that in practice the difference in the definitions is not usually significant for the small institutions that borrow seasonal credit.  </w:t>
      </w:r>
    </w:p>
    <w:p w:rsidR="003C0E8E" w:rsidRPr="000D7C1E" w:rsidRDefault="003C0E8E" w:rsidP="003C0E8E">
      <w:pPr>
        <w:widowControl/>
        <w:autoSpaceDE/>
        <w:autoSpaceDN/>
        <w:adjustRightInd/>
      </w:pPr>
      <w:r w:rsidRPr="000D7C1E">
        <w:t xml:space="preserve"> </w:t>
      </w:r>
    </w:p>
    <w:p w:rsidR="003C0E8E" w:rsidRPr="000D7C1E" w:rsidRDefault="003C0E8E" w:rsidP="003C0E8E">
      <w:pPr>
        <w:widowControl/>
        <w:autoSpaceDE/>
        <w:autoSpaceDN/>
        <w:adjustRightInd/>
      </w:pPr>
    </w:p>
    <w:p w:rsidR="003C0E8E" w:rsidRDefault="003C0E8E">
      <w:pPr>
        <w:widowControl/>
        <w:autoSpaceDE/>
        <w:autoSpaceDN/>
        <w:adjustRightInd/>
        <w:rPr>
          <w:b/>
          <w:bCs/>
        </w:rPr>
      </w:pPr>
      <w:r>
        <w:rPr>
          <w:b/>
          <w:bCs/>
        </w:rPr>
        <w:br w:type="page"/>
      </w:r>
    </w:p>
    <w:p w:rsidR="003C0E8E" w:rsidRPr="000D7C1E" w:rsidRDefault="003C0E8E" w:rsidP="003C0E8E">
      <w:pPr>
        <w:widowControl/>
        <w:tabs>
          <w:tab w:val="left" w:pos="360"/>
        </w:tabs>
        <w:ind w:firstLine="360"/>
      </w:pPr>
      <w:r w:rsidRPr="000D7C1E">
        <w:rPr>
          <w:b/>
          <w:bCs/>
        </w:rPr>
        <w:lastRenderedPageBreak/>
        <w:t>Table 1:  Data Items on the FR 2046</w:t>
      </w:r>
    </w:p>
    <w:tbl>
      <w:tblPr>
        <w:tblW w:w="9540" w:type="dxa"/>
        <w:tblInd w:w="30" w:type="dxa"/>
        <w:tblLayout w:type="fixed"/>
        <w:tblCellMar>
          <w:left w:w="120" w:type="dxa"/>
          <w:right w:w="120" w:type="dxa"/>
        </w:tblCellMar>
        <w:tblLook w:val="0000" w:firstRow="0" w:lastRow="0" w:firstColumn="0" w:lastColumn="0" w:noHBand="0" w:noVBand="0"/>
      </w:tblPr>
      <w:tblGrid>
        <w:gridCol w:w="1260"/>
        <w:gridCol w:w="270"/>
        <w:gridCol w:w="2340"/>
        <w:gridCol w:w="1440"/>
        <w:gridCol w:w="2160"/>
        <w:gridCol w:w="2070"/>
      </w:tblGrid>
      <w:tr w:rsidR="003C0E8E" w:rsidRPr="000D7C1E" w:rsidTr="003C0E8E">
        <w:tc>
          <w:tcPr>
            <w:tcW w:w="12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jc w:val="center"/>
              <w:rPr>
                <w:sz w:val="20"/>
                <w:szCs w:val="20"/>
              </w:rPr>
            </w:pPr>
          </w:p>
          <w:p w:rsidR="003C0E8E" w:rsidRPr="000D7C1E" w:rsidRDefault="003C0E8E" w:rsidP="003C0E8E">
            <w:pPr>
              <w:widowControl/>
              <w:tabs>
                <w:tab w:val="left" w:pos="360"/>
              </w:tabs>
              <w:jc w:val="center"/>
              <w:rPr>
                <w:b/>
                <w:bCs/>
                <w:sz w:val="20"/>
                <w:szCs w:val="20"/>
              </w:rPr>
            </w:pPr>
            <w:r w:rsidRPr="000D7C1E">
              <w:rPr>
                <w:b/>
                <w:bCs/>
                <w:sz w:val="20"/>
                <w:szCs w:val="20"/>
              </w:rPr>
              <w:t>Type of</w:t>
            </w:r>
          </w:p>
          <w:p w:rsidR="003C0E8E" w:rsidRPr="000D7C1E" w:rsidRDefault="003C0E8E" w:rsidP="003C0E8E">
            <w:pPr>
              <w:widowControl/>
              <w:tabs>
                <w:tab w:val="left" w:pos="360"/>
              </w:tabs>
              <w:jc w:val="center"/>
              <w:rPr>
                <w:b/>
                <w:bCs/>
                <w:sz w:val="20"/>
                <w:szCs w:val="20"/>
              </w:rPr>
            </w:pPr>
            <w:r w:rsidRPr="000D7C1E">
              <w:rPr>
                <w:b/>
                <w:bCs/>
                <w:sz w:val="20"/>
                <w:szCs w:val="20"/>
              </w:rPr>
              <w:t>Cred</w:t>
            </w:r>
            <w:r w:rsidRPr="000D7C1E">
              <w:rPr>
                <w:b/>
                <w:bCs/>
                <w:sz w:val="20"/>
                <w:szCs w:val="20"/>
              </w:rPr>
              <w:softHyphen/>
              <w:t>it</w:t>
            </w: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jc w:val="center"/>
              <w:rPr>
                <w:b/>
                <w:bCs/>
                <w:sz w:val="20"/>
                <w:szCs w:val="20"/>
              </w:rPr>
            </w:pPr>
          </w:p>
          <w:p w:rsidR="003C0E8E" w:rsidRPr="000D7C1E" w:rsidRDefault="003C0E8E" w:rsidP="003C0E8E">
            <w:pPr>
              <w:widowControl/>
              <w:tabs>
                <w:tab w:val="left" w:pos="360"/>
              </w:tabs>
              <w:jc w:val="center"/>
              <w:rPr>
                <w:b/>
                <w:bCs/>
                <w:sz w:val="20"/>
                <w:szCs w:val="20"/>
              </w:rPr>
            </w:pPr>
            <w:r w:rsidRPr="000D7C1E">
              <w:rPr>
                <w:b/>
                <w:bCs/>
                <w:sz w:val="20"/>
                <w:szCs w:val="20"/>
              </w:rPr>
              <w:t>Data Elements</w:t>
            </w:r>
          </w:p>
        </w:tc>
        <w:tc>
          <w:tcPr>
            <w:tcW w:w="144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b/>
                <w:bCs/>
                <w:sz w:val="20"/>
                <w:szCs w:val="20"/>
              </w:rPr>
            </w:pPr>
            <w:r w:rsidRPr="000D7C1E">
              <w:rPr>
                <w:b/>
                <w:bCs/>
                <w:sz w:val="20"/>
                <w:szCs w:val="20"/>
              </w:rPr>
              <w:t>Days of Re</w:t>
            </w:r>
            <w:r w:rsidRPr="000D7C1E">
              <w:rPr>
                <w:b/>
                <w:bCs/>
                <w:sz w:val="20"/>
                <w:szCs w:val="20"/>
              </w:rPr>
              <w:softHyphen/>
              <w:t>port Period for which Data Provided</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jc w:val="center"/>
              <w:rPr>
                <w:b/>
                <w:bCs/>
                <w:sz w:val="20"/>
                <w:szCs w:val="20"/>
              </w:rPr>
            </w:pPr>
          </w:p>
          <w:p w:rsidR="003C0E8E" w:rsidRPr="000D7C1E" w:rsidRDefault="003C0E8E" w:rsidP="003C0E8E">
            <w:pPr>
              <w:widowControl/>
              <w:tabs>
                <w:tab w:val="left" w:pos="360"/>
              </w:tabs>
              <w:jc w:val="center"/>
              <w:rPr>
                <w:sz w:val="20"/>
                <w:szCs w:val="20"/>
              </w:rPr>
            </w:pPr>
            <w:r w:rsidRPr="000D7C1E">
              <w:rPr>
                <w:b/>
                <w:bCs/>
                <w:sz w:val="20"/>
                <w:szCs w:val="20"/>
              </w:rPr>
              <w:t>Qualifications</w:t>
            </w:r>
          </w:p>
        </w:tc>
        <w:tc>
          <w:tcPr>
            <w:tcW w:w="207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jc w:val="center"/>
              <w:rPr>
                <w:sz w:val="20"/>
                <w:szCs w:val="20"/>
              </w:rPr>
            </w:pPr>
          </w:p>
          <w:p w:rsidR="003C0E8E" w:rsidRPr="000D7C1E" w:rsidRDefault="003C0E8E" w:rsidP="003C0E8E">
            <w:pPr>
              <w:widowControl/>
              <w:tabs>
                <w:tab w:val="left" w:pos="360"/>
              </w:tabs>
              <w:jc w:val="center"/>
              <w:rPr>
                <w:sz w:val="20"/>
                <w:szCs w:val="20"/>
              </w:rPr>
            </w:pPr>
            <w:r w:rsidRPr="000D7C1E">
              <w:rPr>
                <w:b/>
                <w:bCs/>
                <w:sz w:val="20"/>
                <w:szCs w:val="20"/>
              </w:rPr>
              <w:t>Definition Source</w:t>
            </w:r>
            <w:r w:rsidRPr="000D7C1E">
              <w:rPr>
                <w:sz w:val="20"/>
                <w:szCs w:val="20"/>
                <w:vertAlign w:val="superscript"/>
              </w:rPr>
              <w:t>*</w:t>
            </w:r>
          </w:p>
        </w:tc>
      </w:tr>
      <w:tr w:rsidR="003C0E8E" w:rsidRPr="000D7C1E" w:rsidTr="003C0E8E">
        <w:tc>
          <w:tcPr>
            <w:tcW w:w="1260" w:type="dxa"/>
            <w:vMerge w:val="restart"/>
            <w:tcBorders>
              <w:top w:val="double" w:sz="7" w:space="0" w:color="000000"/>
              <w:left w:val="single" w:sz="7" w:space="0" w:color="000000"/>
              <w:bottom w:val="nil"/>
              <w:right w:val="single" w:sz="7" w:space="0" w:color="000000"/>
            </w:tcBorders>
            <w:vAlign w:val="center"/>
          </w:tcPr>
          <w:p w:rsidR="003C0E8E" w:rsidRPr="000D7C1E" w:rsidRDefault="003C0E8E" w:rsidP="003C0E8E">
            <w:pPr>
              <w:widowControl/>
              <w:tabs>
                <w:tab w:val="left" w:pos="360"/>
              </w:tabs>
              <w:jc w:val="center"/>
              <w:rPr>
                <w:b/>
                <w:bCs/>
                <w:sz w:val="20"/>
                <w:szCs w:val="20"/>
              </w:rPr>
            </w:pPr>
            <w:r w:rsidRPr="000D7C1E">
              <w:rPr>
                <w:b/>
                <w:bCs/>
                <w:sz w:val="20"/>
                <w:szCs w:val="20"/>
              </w:rPr>
              <w:t>Primary</w:t>
            </w:r>
          </w:p>
          <w:p w:rsidR="003C0E8E" w:rsidRPr="000D7C1E" w:rsidRDefault="003C0E8E" w:rsidP="003C0E8E">
            <w:pPr>
              <w:widowControl/>
              <w:tabs>
                <w:tab w:val="left" w:pos="360"/>
              </w:tabs>
              <w:jc w:val="center"/>
              <w:rPr>
                <w:b/>
                <w:bCs/>
                <w:sz w:val="20"/>
                <w:szCs w:val="20"/>
              </w:rPr>
            </w:pPr>
            <w:r w:rsidRPr="000D7C1E">
              <w:rPr>
                <w:b/>
                <w:bCs/>
                <w:sz w:val="20"/>
                <w:szCs w:val="20"/>
              </w:rPr>
              <w:t>or</w:t>
            </w:r>
          </w:p>
          <w:p w:rsidR="003C0E8E" w:rsidRPr="000D7C1E" w:rsidRDefault="003C0E8E" w:rsidP="003C0E8E">
            <w:pPr>
              <w:widowControl/>
              <w:tabs>
                <w:tab w:val="left" w:pos="360"/>
              </w:tabs>
              <w:jc w:val="center"/>
              <w:rPr>
                <w:sz w:val="20"/>
                <w:szCs w:val="20"/>
              </w:rPr>
            </w:pPr>
            <w:r w:rsidRPr="000D7C1E">
              <w:rPr>
                <w:b/>
                <w:bCs/>
                <w:sz w:val="20"/>
                <w:szCs w:val="20"/>
              </w:rPr>
              <w:t>Secondary</w:t>
            </w:r>
          </w:p>
        </w:tc>
        <w:tc>
          <w:tcPr>
            <w:tcW w:w="2610" w:type="dxa"/>
            <w:gridSpan w:val="2"/>
            <w:tcBorders>
              <w:top w:val="doub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securities</w:t>
            </w:r>
          </w:p>
        </w:tc>
        <w:tc>
          <w:tcPr>
            <w:tcW w:w="1440" w:type="dxa"/>
            <w:tcBorders>
              <w:top w:val="double" w:sz="7" w:space="0" w:color="000000"/>
              <w:left w:val="single" w:sz="7" w:space="0" w:color="000000"/>
              <w:right w:val="single" w:sz="7" w:space="0" w:color="000000"/>
            </w:tcBorders>
            <w:shd w:val="clear" w:color="auto" w:fill="auto"/>
            <w:vAlign w:val="center"/>
          </w:tcPr>
          <w:p w:rsidR="003C0E8E" w:rsidRPr="000D7C1E" w:rsidRDefault="003C0E8E" w:rsidP="003C0E8E">
            <w:pPr>
              <w:tabs>
                <w:tab w:val="left" w:pos="360"/>
              </w:tabs>
              <w:jc w:val="center"/>
              <w:rPr>
                <w:sz w:val="20"/>
                <w:szCs w:val="20"/>
              </w:rPr>
            </w:pPr>
          </w:p>
        </w:tc>
        <w:tc>
          <w:tcPr>
            <w:tcW w:w="2160" w:type="dxa"/>
            <w:tcBorders>
              <w:top w:val="doub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None</w:t>
            </w:r>
          </w:p>
        </w:tc>
        <w:tc>
          <w:tcPr>
            <w:tcW w:w="2070" w:type="dxa"/>
            <w:tcBorders>
              <w:top w:val="double" w:sz="7" w:space="0" w:color="000000"/>
              <w:left w:val="single" w:sz="7" w:space="0" w:color="000000"/>
              <w:bottom w:val="single" w:sz="7" w:space="0" w:color="000000"/>
              <w:right w:val="single" w:sz="7" w:space="0" w:color="000000"/>
            </w:tcBorders>
            <w:vAlign w:val="center"/>
          </w:tcPr>
          <w:p w:rsidR="003C0E8E" w:rsidRDefault="003C0E8E" w:rsidP="003C0E8E">
            <w:pPr>
              <w:widowControl/>
              <w:tabs>
                <w:tab w:val="left" w:pos="360"/>
              </w:tabs>
              <w:jc w:val="center"/>
              <w:rPr>
                <w:sz w:val="20"/>
                <w:szCs w:val="20"/>
              </w:rPr>
            </w:pPr>
            <w:r w:rsidRPr="000D7C1E">
              <w:rPr>
                <w:sz w:val="20"/>
                <w:szCs w:val="20"/>
              </w:rPr>
              <w:t>Call Report</w:t>
            </w:r>
            <w:r>
              <w:rPr>
                <w:sz w:val="20"/>
                <w:szCs w:val="20"/>
              </w:rPr>
              <w:t xml:space="preserve"> </w:t>
            </w:r>
            <w:r w:rsidRPr="000D7C1E">
              <w:rPr>
                <w:sz w:val="20"/>
                <w:szCs w:val="20"/>
              </w:rPr>
              <w:t>/</w:t>
            </w:r>
          </w:p>
          <w:p w:rsidR="003C0E8E" w:rsidRPr="000D7C1E" w:rsidRDefault="003C0E8E" w:rsidP="003C0E8E">
            <w:pPr>
              <w:widowControl/>
              <w:tabs>
                <w:tab w:val="left" w:pos="360"/>
              </w:tabs>
              <w:jc w:val="center"/>
              <w:rPr>
                <w:sz w:val="20"/>
                <w:szCs w:val="20"/>
              </w:rPr>
            </w:pPr>
            <w:r>
              <w:rPr>
                <w:sz w:val="20"/>
                <w:szCs w:val="20"/>
              </w:rPr>
              <w:t xml:space="preserve"> </w:t>
            </w:r>
            <w:r w:rsidRPr="000D7C1E">
              <w:rPr>
                <w:sz w:val="20"/>
                <w:szCs w:val="20"/>
              </w:rPr>
              <w:t>NCUA 5300</w:t>
            </w:r>
          </w:p>
        </w:tc>
      </w:tr>
      <w:tr w:rsidR="003C0E8E" w:rsidRPr="000D7C1E" w:rsidTr="003C0E8E">
        <w:tc>
          <w:tcPr>
            <w:tcW w:w="1260" w:type="dxa"/>
            <w:vMerge/>
            <w:tcBorders>
              <w:top w:val="nil"/>
              <w:left w:val="single" w:sz="7" w:space="0" w:color="000000"/>
              <w:bottom w:val="nil"/>
              <w:right w:val="single" w:sz="7" w:space="0" w:color="000000"/>
            </w:tcBorders>
            <w:vAlign w:val="center"/>
          </w:tcPr>
          <w:p w:rsidR="003C0E8E" w:rsidRPr="000D7C1E" w:rsidRDefault="003C0E8E" w:rsidP="003C0E8E">
            <w:pPr>
              <w:widowControl/>
              <w:tabs>
                <w:tab w:val="left" w:pos="360"/>
              </w:tabs>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 xml:space="preserve">Federal funds sold and resale agreements </w:t>
            </w:r>
          </w:p>
        </w:tc>
        <w:tc>
          <w:tcPr>
            <w:tcW w:w="1440" w:type="dxa"/>
            <w:tcBorders>
              <w:left w:val="single" w:sz="7" w:space="0" w:color="000000"/>
              <w:right w:val="single" w:sz="7" w:space="0" w:color="000000"/>
            </w:tcBorders>
            <w:shd w:val="clear" w:color="auto" w:fill="auto"/>
            <w:vAlign w:val="center"/>
          </w:tcPr>
          <w:p w:rsidR="003C0E8E" w:rsidRPr="000D7C1E" w:rsidRDefault="003C0E8E" w:rsidP="003C0E8E">
            <w:pPr>
              <w:tabs>
                <w:tab w:val="left" w:pos="360"/>
              </w:tabs>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Call Report</w:t>
            </w:r>
          </w:p>
        </w:tc>
      </w:tr>
      <w:tr w:rsidR="003C0E8E" w:rsidRPr="000D7C1E" w:rsidTr="003C0E8E">
        <w:tc>
          <w:tcPr>
            <w:tcW w:w="1260" w:type="dxa"/>
            <w:vMerge/>
            <w:tcBorders>
              <w:top w:val="nil"/>
              <w:left w:val="single" w:sz="7" w:space="0" w:color="000000"/>
              <w:bottom w:val="nil"/>
              <w:right w:val="single" w:sz="7" w:space="0" w:color="000000"/>
            </w:tcBorders>
            <w:vAlign w:val="center"/>
          </w:tcPr>
          <w:p w:rsidR="003C0E8E" w:rsidRPr="000D7C1E" w:rsidRDefault="003C0E8E" w:rsidP="003C0E8E">
            <w:pPr>
              <w:widowControl/>
              <w:tabs>
                <w:tab w:val="left" w:pos="360"/>
              </w:tabs>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loans</w:t>
            </w:r>
          </w:p>
        </w:tc>
        <w:tc>
          <w:tcPr>
            <w:tcW w:w="1440" w:type="dxa"/>
            <w:tcBorders>
              <w:left w:val="single" w:sz="7" w:space="0" w:color="000000"/>
              <w:right w:val="single" w:sz="7" w:space="0" w:color="000000"/>
            </w:tcBorders>
            <w:shd w:val="clear" w:color="auto" w:fill="auto"/>
            <w:vAlign w:val="center"/>
          </w:tcPr>
          <w:p w:rsidR="003C0E8E" w:rsidRPr="000D7C1E" w:rsidRDefault="003C0E8E" w:rsidP="003C0E8E">
            <w:pPr>
              <w:tabs>
                <w:tab w:val="left" w:pos="360"/>
              </w:tabs>
              <w:jc w:val="center"/>
              <w:rPr>
                <w:sz w:val="20"/>
                <w:szCs w:val="20"/>
              </w:rPr>
            </w:pPr>
            <w:r>
              <w:rPr>
                <w:sz w:val="20"/>
                <w:szCs w:val="20"/>
              </w:rPr>
              <w:t>A</w:t>
            </w:r>
            <w:r w:rsidRPr="000D7C1E">
              <w:rPr>
                <w:sz w:val="20"/>
                <w:szCs w:val="20"/>
              </w:rPr>
              <w:t>ll</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Call Report</w:t>
            </w:r>
            <w:r>
              <w:rPr>
                <w:sz w:val="20"/>
                <w:szCs w:val="20"/>
              </w:rPr>
              <w:t xml:space="preserve"> </w:t>
            </w:r>
            <w:r w:rsidRPr="000D7C1E">
              <w:rPr>
                <w:sz w:val="20"/>
                <w:szCs w:val="20"/>
              </w:rPr>
              <w:t>/</w:t>
            </w:r>
          </w:p>
          <w:p w:rsidR="003C0E8E" w:rsidRPr="000D7C1E" w:rsidRDefault="003C0E8E" w:rsidP="003C0E8E">
            <w:pPr>
              <w:widowControl/>
              <w:tabs>
                <w:tab w:val="left" w:pos="360"/>
              </w:tabs>
              <w:jc w:val="center"/>
              <w:rPr>
                <w:sz w:val="20"/>
                <w:szCs w:val="20"/>
              </w:rPr>
            </w:pPr>
            <w:r w:rsidRPr="000D7C1E">
              <w:rPr>
                <w:sz w:val="20"/>
                <w:szCs w:val="20"/>
              </w:rPr>
              <w:t>NCUA 5300</w:t>
            </w:r>
          </w:p>
        </w:tc>
      </w:tr>
      <w:tr w:rsidR="003C0E8E" w:rsidRPr="000D7C1E" w:rsidTr="003C0E8E">
        <w:tc>
          <w:tcPr>
            <w:tcW w:w="1260" w:type="dxa"/>
            <w:vMerge/>
            <w:tcBorders>
              <w:top w:val="nil"/>
              <w:left w:val="single" w:sz="7" w:space="0" w:color="000000"/>
              <w:bottom w:val="nil"/>
              <w:right w:val="single" w:sz="7" w:space="0" w:color="000000"/>
            </w:tcBorders>
            <w:vAlign w:val="center"/>
          </w:tcPr>
          <w:p w:rsidR="003C0E8E" w:rsidRPr="000D7C1E" w:rsidRDefault="003C0E8E" w:rsidP="003C0E8E">
            <w:pPr>
              <w:widowControl/>
              <w:tabs>
                <w:tab w:val="left" w:pos="360"/>
              </w:tabs>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assets</w:t>
            </w:r>
          </w:p>
        </w:tc>
        <w:tc>
          <w:tcPr>
            <w:tcW w:w="1440" w:type="dxa"/>
            <w:tcBorders>
              <w:left w:val="single" w:sz="7" w:space="0" w:color="000000"/>
              <w:right w:val="single" w:sz="7" w:space="0" w:color="000000"/>
            </w:tcBorders>
            <w:shd w:val="clear" w:color="auto" w:fill="auto"/>
            <w:vAlign w:val="center"/>
          </w:tcPr>
          <w:p w:rsidR="003C0E8E" w:rsidRPr="000D7C1E" w:rsidRDefault="003C0E8E" w:rsidP="003C0E8E">
            <w:pPr>
              <w:tabs>
                <w:tab w:val="left" w:pos="360"/>
              </w:tabs>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Call Report/</w:t>
            </w:r>
          </w:p>
          <w:p w:rsidR="003C0E8E" w:rsidRPr="000D7C1E" w:rsidRDefault="003C0E8E" w:rsidP="003C0E8E">
            <w:pPr>
              <w:widowControl/>
              <w:tabs>
                <w:tab w:val="left" w:pos="360"/>
              </w:tabs>
              <w:jc w:val="center"/>
              <w:rPr>
                <w:sz w:val="20"/>
                <w:szCs w:val="20"/>
              </w:rPr>
            </w:pPr>
            <w:r w:rsidRPr="000D7C1E">
              <w:rPr>
                <w:sz w:val="20"/>
                <w:szCs w:val="20"/>
              </w:rPr>
              <w:t>NCUA 5300</w:t>
            </w:r>
          </w:p>
        </w:tc>
      </w:tr>
      <w:tr w:rsidR="003C0E8E" w:rsidRPr="000D7C1E" w:rsidTr="003C0E8E">
        <w:tc>
          <w:tcPr>
            <w:tcW w:w="1260" w:type="dxa"/>
            <w:vMerge/>
            <w:tcBorders>
              <w:top w:val="nil"/>
              <w:left w:val="single" w:sz="7" w:space="0" w:color="000000"/>
              <w:bottom w:val="nil"/>
              <w:right w:val="single" w:sz="7" w:space="0" w:color="000000"/>
            </w:tcBorders>
            <w:vAlign w:val="center"/>
          </w:tcPr>
          <w:p w:rsidR="003C0E8E" w:rsidRPr="000D7C1E" w:rsidRDefault="003C0E8E" w:rsidP="003C0E8E">
            <w:pPr>
              <w:widowControl/>
              <w:tabs>
                <w:tab w:val="left" w:pos="360"/>
              </w:tabs>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deposits</w:t>
            </w:r>
          </w:p>
        </w:tc>
        <w:tc>
          <w:tcPr>
            <w:tcW w:w="1440" w:type="dxa"/>
            <w:tcBorders>
              <w:left w:val="single" w:sz="7" w:space="0" w:color="000000"/>
              <w:right w:val="single" w:sz="7" w:space="0" w:color="000000"/>
            </w:tcBorders>
            <w:shd w:val="clear" w:color="auto" w:fill="auto"/>
            <w:vAlign w:val="center"/>
          </w:tcPr>
          <w:p w:rsidR="003C0E8E" w:rsidRPr="000D7C1E" w:rsidRDefault="003C0E8E" w:rsidP="003C0E8E">
            <w:pPr>
              <w:tabs>
                <w:tab w:val="left" w:pos="360"/>
              </w:tabs>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When not re</w:t>
            </w:r>
            <w:r w:rsidRPr="000D7C1E">
              <w:rPr>
                <w:sz w:val="20"/>
                <w:szCs w:val="20"/>
              </w:rPr>
              <w:softHyphen/>
              <w:t>ported weekly on FR 2900</w:t>
            </w:r>
          </w:p>
        </w:tc>
        <w:tc>
          <w:tcPr>
            <w:tcW w:w="207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FR 2900 or</w:t>
            </w:r>
            <w:r>
              <w:rPr>
                <w:sz w:val="20"/>
                <w:szCs w:val="20"/>
              </w:rPr>
              <w:t xml:space="preserve"> </w:t>
            </w:r>
            <w:r w:rsidRPr="000D7C1E">
              <w:rPr>
                <w:sz w:val="20"/>
                <w:szCs w:val="20"/>
              </w:rPr>
              <w:t>Call Report</w:t>
            </w:r>
            <w:r>
              <w:rPr>
                <w:sz w:val="20"/>
                <w:szCs w:val="20"/>
              </w:rPr>
              <w:t xml:space="preserve"> </w:t>
            </w:r>
            <w:r w:rsidRPr="000D7C1E">
              <w:rPr>
                <w:sz w:val="20"/>
                <w:szCs w:val="20"/>
              </w:rPr>
              <w:t>/</w:t>
            </w:r>
            <w:r>
              <w:rPr>
                <w:sz w:val="20"/>
                <w:szCs w:val="20"/>
              </w:rPr>
              <w:t xml:space="preserve"> </w:t>
            </w:r>
            <w:r w:rsidRPr="000D7C1E">
              <w:rPr>
                <w:sz w:val="20"/>
                <w:szCs w:val="20"/>
              </w:rPr>
              <w:t>NCUA 5300</w:t>
            </w:r>
          </w:p>
        </w:tc>
      </w:tr>
      <w:tr w:rsidR="003C0E8E" w:rsidRPr="000D7C1E" w:rsidTr="003C0E8E">
        <w:tc>
          <w:tcPr>
            <w:tcW w:w="1260" w:type="dxa"/>
            <w:vMerge/>
            <w:tcBorders>
              <w:top w:val="nil"/>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Federal funds purchased and repurchase agree</w:t>
            </w:r>
            <w:r w:rsidRPr="000D7C1E">
              <w:rPr>
                <w:sz w:val="20"/>
                <w:szCs w:val="20"/>
              </w:rPr>
              <w:softHyphen/>
              <w:t>ments</w:t>
            </w:r>
          </w:p>
        </w:tc>
        <w:tc>
          <w:tcPr>
            <w:tcW w:w="1440" w:type="dxa"/>
            <w:tcBorders>
              <w:left w:val="single" w:sz="7" w:space="0" w:color="000000"/>
              <w:bottom w:val="single" w:sz="7" w:space="0" w:color="000000"/>
              <w:right w:val="single" w:sz="7" w:space="0" w:color="000000"/>
            </w:tcBorders>
            <w:shd w:val="clear" w:color="auto" w:fill="auto"/>
            <w:vAlign w:val="center"/>
          </w:tcPr>
          <w:p w:rsidR="003C0E8E" w:rsidRPr="000D7C1E" w:rsidRDefault="003C0E8E" w:rsidP="003C0E8E">
            <w:pPr>
              <w:widowControl/>
              <w:tabs>
                <w:tab w:val="left" w:pos="360"/>
              </w:tabs>
              <w:jc w:val="center"/>
              <w:rPr>
                <w:sz w:val="20"/>
                <w:szCs w:val="20"/>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Call Report</w:t>
            </w:r>
          </w:p>
        </w:tc>
      </w:tr>
      <w:tr w:rsidR="003C0E8E" w:rsidRPr="000D7C1E" w:rsidTr="003C0E8E">
        <w:tc>
          <w:tcPr>
            <w:tcW w:w="1260" w:type="dxa"/>
            <w:vMerge w:val="restart"/>
            <w:tcBorders>
              <w:top w:val="double" w:sz="7" w:space="0" w:color="000000"/>
              <w:left w:val="single" w:sz="7" w:space="0" w:color="000000"/>
              <w:bottom w:val="nil"/>
              <w:right w:val="single" w:sz="7" w:space="0" w:color="000000"/>
            </w:tcBorders>
            <w:vAlign w:val="center"/>
          </w:tcPr>
          <w:p w:rsidR="003C0E8E" w:rsidRPr="000D7C1E" w:rsidRDefault="003C0E8E" w:rsidP="003C0E8E">
            <w:pPr>
              <w:jc w:val="center"/>
              <w:rPr>
                <w:sz w:val="20"/>
                <w:szCs w:val="20"/>
              </w:rPr>
            </w:pPr>
          </w:p>
          <w:p w:rsidR="003C0E8E" w:rsidRPr="000D7C1E" w:rsidRDefault="003C0E8E" w:rsidP="003C0E8E">
            <w:pPr>
              <w:widowControl/>
              <w:tabs>
                <w:tab w:val="left" w:pos="360"/>
              </w:tabs>
              <w:jc w:val="center"/>
              <w:rPr>
                <w:b/>
                <w:sz w:val="20"/>
                <w:szCs w:val="20"/>
              </w:rPr>
            </w:pPr>
            <w:r w:rsidRPr="000D7C1E">
              <w:rPr>
                <w:b/>
                <w:sz w:val="20"/>
                <w:szCs w:val="20"/>
              </w:rPr>
              <w:t>Seasonal</w:t>
            </w:r>
          </w:p>
        </w:tc>
        <w:tc>
          <w:tcPr>
            <w:tcW w:w="2610" w:type="dxa"/>
            <w:gridSpan w:val="2"/>
            <w:tcBorders>
              <w:top w:val="doub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securities</w:t>
            </w:r>
          </w:p>
        </w:tc>
        <w:tc>
          <w:tcPr>
            <w:tcW w:w="1440" w:type="dxa"/>
            <w:tcBorders>
              <w:top w:val="doub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Wednesday</w:t>
            </w:r>
            <w:r>
              <w:rPr>
                <w:sz w:val="20"/>
                <w:szCs w:val="20"/>
              </w:rPr>
              <w:t xml:space="preserve"> </w:t>
            </w:r>
            <w:r w:rsidRPr="000D7C1E">
              <w:rPr>
                <w:sz w:val="20"/>
                <w:szCs w:val="20"/>
              </w:rPr>
              <w:t>only</w:t>
            </w:r>
          </w:p>
        </w:tc>
        <w:tc>
          <w:tcPr>
            <w:tcW w:w="2160" w:type="dxa"/>
            <w:tcBorders>
              <w:top w:val="doub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When not reported on FR 2644</w:t>
            </w:r>
          </w:p>
        </w:tc>
        <w:tc>
          <w:tcPr>
            <w:tcW w:w="2070" w:type="dxa"/>
            <w:tcBorders>
              <w:top w:val="double" w:sz="7" w:space="0" w:color="000000"/>
              <w:left w:val="single" w:sz="7" w:space="0" w:color="000000"/>
              <w:bottom w:val="single" w:sz="7" w:space="0" w:color="000000"/>
              <w:right w:val="single" w:sz="7" w:space="0" w:color="000000"/>
            </w:tcBorders>
          </w:tcPr>
          <w:p w:rsidR="003C0E8E" w:rsidRPr="000D7C1E" w:rsidRDefault="003C0E8E" w:rsidP="003C0E8E">
            <w:pPr>
              <w:widowControl/>
              <w:tabs>
                <w:tab w:val="left" w:pos="360"/>
              </w:tabs>
              <w:jc w:val="center"/>
              <w:rPr>
                <w:sz w:val="20"/>
                <w:szCs w:val="20"/>
              </w:rPr>
            </w:pPr>
            <w:r w:rsidRPr="000D7C1E">
              <w:rPr>
                <w:sz w:val="20"/>
                <w:szCs w:val="20"/>
              </w:rPr>
              <w:t>Call Report</w:t>
            </w:r>
            <w:r>
              <w:rPr>
                <w:sz w:val="20"/>
                <w:szCs w:val="20"/>
              </w:rPr>
              <w:t xml:space="preserve"> </w:t>
            </w:r>
            <w:r w:rsidRPr="000D7C1E">
              <w:rPr>
                <w:sz w:val="20"/>
                <w:szCs w:val="20"/>
              </w:rPr>
              <w:t>/</w:t>
            </w:r>
            <w:r>
              <w:rPr>
                <w:sz w:val="20"/>
                <w:szCs w:val="20"/>
              </w:rPr>
              <w:t xml:space="preserve"> </w:t>
            </w:r>
            <w:r w:rsidRPr="000D7C1E">
              <w:rPr>
                <w:sz w:val="20"/>
                <w:szCs w:val="20"/>
              </w:rPr>
              <w:t>NCUA 5300</w:t>
            </w:r>
          </w:p>
        </w:tc>
      </w:tr>
      <w:tr w:rsidR="003C0E8E" w:rsidRPr="000D7C1E" w:rsidTr="003C0E8E">
        <w:tc>
          <w:tcPr>
            <w:tcW w:w="1260" w:type="dxa"/>
            <w:vMerge/>
            <w:tcBorders>
              <w:top w:val="nil"/>
              <w:left w:val="single" w:sz="7" w:space="0" w:color="000000"/>
              <w:bottom w:val="nil"/>
              <w:right w:val="single" w:sz="7" w:space="0" w:color="000000"/>
            </w:tcBorders>
          </w:tcPr>
          <w:p w:rsidR="003C0E8E" w:rsidRPr="000D7C1E" w:rsidRDefault="003C0E8E" w:rsidP="003C0E8E">
            <w:pPr>
              <w:widowControl/>
              <w:tabs>
                <w:tab w:val="left" w:pos="360"/>
              </w:tabs>
              <w:rPr>
                <w:sz w:val="20"/>
                <w:szCs w:val="20"/>
              </w:rPr>
            </w:pPr>
            <w:bookmarkStart w:id="0" w:name="OLE_LINK1"/>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 xml:space="preserve">Federal funds sold and resale agreements </w:t>
            </w:r>
          </w:p>
        </w:tc>
        <w:tc>
          <w:tcPr>
            <w:tcW w:w="144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Wednesday</w:t>
            </w:r>
            <w:r>
              <w:rPr>
                <w:sz w:val="20"/>
                <w:szCs w:val="20"/>
              </w:rPr>
              <w:t xml:space="preserve"> </w:t>
            </w:r>
            <w:r w:rsidRPr="000D7C1E">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When not reported on FR 2644</w:t>
            </w:r>
          </w:p>
        </w:tc>
        <w:tc>
          <w:tcPr>
            <w:tcW w:w="207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widowControl/>
              <w:tabs>
                <w:tab w:val="left" w:pos="360"/>
              </w:tabs>
              <w:jc w:val="center"/>
              <w:rPr>
                <w:sz w:val="20"/>
                <w:szCs w:val="20"/>
              </w:rPr>
            </w:pPr>
            <w:r w:rsidRPr="000D7C1E">
              <w:rPr>
                <w:sz w:val="20"/>
                <w:szCs w:val="20"/>
              </w:rPr>
              <w:t>Call Report</w:t>
            </w:r>
          </w:p>
        </w:tc>
      </w:tr>
      <w:bookmarkEnd w:id="0"/>
      <w:tr w:rsidR="003C0E8E" w:rsidRPr="000D7C1E" w:rsidTr="003C0E8E">
        <w:tc>
          <w:tcPr>
            <w:tcW w:w="1260" w:type="dxa"/>
            <w:vMerge/>
            <w:tcBorders>
              <w:top w:val="nil"/>
              <w:left w:val="single" w:sz="7" w:space="0" w:color="000000"/>
              <w:bottom w:val="nil"/>
              <w:right w:val="single" w:sz="7" w:space="0" w:color="000000"/>
            </w:tcBorders>
          </w:tcPr>
          <w:p w:rsidR="003C0E8E" w:rsidRPr="000D7C1E" w:rsidRDefault="003C0E8E" w:rsidP="003C0E8E">
            <w:pPr>
              <w:widowControl/>
              <w:tabs>
                <w:tab w:val="left" w:pos="360"/>
              </w:tabs>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loans</w:t>
            </w:r>
          </w:p>
        </w:tc>
        <w:tc>
          <w:tcPr>
            <w:tcW w:w="144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Wednesday</w:t>
            </w:r>
            <w:r>
              <w:rPr>
                <w:sz w:val="20"/>
                <w:szCs w:val="20"/>
              </w:rPr>
              <w:t xml:space="preserve"> </w:t>
            </w:r>
            <w:r w:rsidRPr="000D7C1E">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When not reported on FR 2644</w:t>
            </w:r>
          </w:p>
        </w:tc>
        <w:tc>
          <w:tcPr>
            <w:tcW w:w="207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widowControl/>
              <w:tabs>
                <w:tab w:val="left" w:pos="360"/>
              </w:tabs>
              <w:jc w:val="center"/>
              <w:rPr>
                <w:sz w:val="20"/>
                <w:szCs w:val="20"/>
              </w:rPr>
            </w:pPr>
            <w:r>
              <w:rPr>
                <w:sz w:val="20"/>
                <w:szCs w:val="20"/>
              </w:rPr>
              <w:t xml:space="preserve">FR 2644 or </w:t>
            </w:r>
            <w:r w:rsidRPr="000D7C1E">
              <w:rPr>
                <w:sz w:val="20"/>
                <w:szCs w:val="20"/>
              </w:rPr>
              <w:t>Call Report</w:t>
            </w:r>
            <w:r>
              <w:rPr>
                <w:sz w:val="20"/>
                <w:szCs w:val="20"/>
              </w:rPr>
              <w:t xml:space="preserve"> </w:t>
            </w:r>
            <w:r w:rsidRPr="000D7C1E">
              <w:rPr>
                <w:sz w:val="20"/>
                <w:szCs w:val="20"/>
              </w:rPr>
              <w:t>/</w:t>
            </w:r>
            <w:r>
              <w:rPr>
                <w:sz w:val="20"/>
                <w:szCs w:val="20"/>
              </w:rPr>
              <w:t xml:space="preserve"> </w:t>
            </w:r>
            <w:r w:rsidRPr="000D7C1E">
              <w:rPr>
                <w:sz w:val="20"/>
                <w:szCs w:val="20"/>
              </w:rPr>
              <w:t>NCUA 5300</w:t>
            </w:r>
          </w:p>
        </w:tc>
      </w:tr>
      <w:tr w:rsidR="003C0E8E" w:rsidRPr="000D7C1E" w:rsidTr="003C0E8E">
        <w:tc>
          <w:tcPr>
            <w:tcW w:w="1260" w:type="dxa"/>
            <w:vMerge/>
            <w:tcBorders>
              <w:top w:val="nil"/>
              <w:left w:val="single" w:sz="7" w:space="0" w:color="000000"/>
              <w:bottom w:val="nil"/>
              <w:right w:val="single" w:sz="7" w:space="0" w:color="000000"/>
            </w:tcBorders>
          </w:tcPr>
          <w:p w:rsidR="003C0E8E" w:rsidRPr="000D7C1E" w:rsidRDefault="003C0E8E" w:rsidP="003C0E8E">
            <w:pPr>
              <w:widowControl/>
              <w:tabs>
                <w:tab w:val="left" w:pos="360"/>
              </w:tabs>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assets</w:t>
            </w:r>
          </w:p>
        </w:tc>
        <w:tc>
          <w:tcPr>
            <w:tcW w:w="144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Wednesday</w:t>
            </w:r>
            <w:r>
              <w:rPr>
                <w:sz w:val="20"/>
                <w:szCs w:val="20"/>
              </w:rPr>
              <w:t xml:space="preserve"> </w:t>
            </w:r>
            <w:r w:rsidRPr="000D7C1E">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When not reported on FR 2644</w:t>
            </w:r>
          </w:p>
        </w:tc>
        <w:tc>
          <w:tcPr>
            <w:tcW w:w="2070" w:type="dxa"/>
            <w:tcBorders>
              <w:top w:val="single" w:sz="7" w:space="0" w:color="000000"/>
              <w:left w:val="single" w:sz="7" w:space="0" w:color="000000"/>
              <w:bottom w:val="single" w:sz="7" w:space="0" w:color="000000"/>
              <w:right w:val="single" w:sz="7" w:space="0" w:color="000000"/>
            </w:tcBorders>
          </w:tcPr>
          <w:p w:rsidR="003C0E8E" w:rsidRDefault="003C0E8E" w:rsidP="003C0E8E">
            <w:pPr>
              <w:widowControl/>
              <w:tabs>
                <w:tab w:val="left" w:pos="360"/>
              </w:tabs>
              <w:jc w:val="center"/>
              <w:rPr>
                <w:sz w:val="20"/>
                <w:szCs w:val="20"/>
              </w:rPr>
            </w:pPr>
            <w:r w:rsidRPr="000D7C1E">
              <w:rPr>
                <w:sz w:val="20"/>
                <w:szCs w:val="20"/>
              </w:rPr>
              <w:t>Call Report</w:t>
            </w:r>
            <w:r>
              <w:rPr>
                <w:sz w:val="20"/>
                <w:szCs w:val="20"/>
              </w:rPr>
              <w:t xml:space="preserve"> </w:t>
            </w:r>
            <w:r w:rsidRPr="000D7C1E">
              <w:rPr>
                <w:sz w:val="20"/>
                <w:szCs w:val="20"/>
              </w:rPr>
              <w:t>/</w:t>
            </w:r>
          </w:p>
          <w:p w:rsidR="003C0E8E" w:rsidRPr="000D7C1E" w:rsidRDefault="003C0E8E" w:rsidP="003C0E8E">
            <w:pPr>
              <w:widowControl/>
              <w:tabs>
                <w:tab w:val="left" w:pos="360"/>
              </w:tabs>
              <w:jc w:val="center"/>
              <w:rPr>
                <w:sz w:val="20"/>
                <w:szCs w:val="20"/>
              </w:rPr>
            </w:pPr>
            <w:r>
              <w:rPr>
                <w:sz w:val="20"/>
                <w:szCs w:val="20"/>
              </w:rPr>
              <w:t xml:space="preserve"> </w:t>
            </w:r>
            <w:r w:rsidRPr="000D7C1E">
              <w:rPr>
                <w:sz w:val="20"/>
                <w:szCs w:val="20"/>
              </w:rPr>
              <w:t>NCUA 5300</w:t>
            </w:r>
          </w:p>
        </w:tc>
      </w:tr>
      <w:tr w:rsidR="003C0E8E" w:rsidRPr="000D7C1E" w:rsidTr="003C0E8E">
        <w:tc>
          <w:tcPr>
            <w:tcW w:w="1260" w:type="dxa"/>
            <w:vMerge/>
            <w:tcBorders>
              <w:top w:val="nil"/>
              <w:left w:val="single" w:sz="7" w:space="0" w:color="000000"/>
              <w:bottom w:val="nil"/>
              <w:right w:val="single" w:sz="7" w:space="0" w:color="000000"/>
            </w:tcBorders>
            <w:vAlign w:val="bottom"/>
          </w:tcPr>
          <w:p w:rsidR="003C0E8E" w:rsidRPr="000D7C1E" w:rsidRDefault="003C0E8E" w:rsidP="003C0E8E">
            <w:pPr>
              <w:widowControl/>
              <w:tabs>
                <w:tab w:val="left" w:pos="360"/>
              </w:tabs>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Total deposits</w:t>
            </w:r>
          </w:p>
        </w:tc>
        <w:tc>
          <w:tcPr>
            <w:tcW w:w="144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Wednesday</w:t>
            </w:r>
            <w:r>
              <w:rPr>
                <w:sz w:val="20"/>
                <w:szCs w:val="20"/>
              </w:rPr>
              <w:t xml:space="preserve"> </w:t>
            </w:r>
            <w:r w:rsidRPr="000D7C1E">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When not reported weekly on FR 2900 or FR 2644</w:t>
            </w:r>
          </w:p>
        </w:tc>
        <w:tc>
          <w:tcPr>
            <w:tcW w:w="207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widowControl/>
              <w:tabs>
                <w:tab w:val="left" w:pos="360"/>
              </w:tabs>
              <w:jc w:val="center"/>
              <w:rPr>
                <w:sz w:val="20"/>
                <w:szCs w:val="20"/>
              </w:rPr>
            </w:pPr>
            <w:r w:rsidRPr="000D7C1E">
              <w:rPr>
                <w:sz w:val="20"/>
                <w:szCs w:val="20"/>
              </w:rPr>
              <w:t>FR 2900 or</w:t>
            </w:r>
            <w:r>
              <w:rPr>
                <w:sz w:val="20"/>
                <w:szCs w:val="20"/>
              </w:rPr>
              <w:t xml:space="preserve"> </w:t>
            </w:r>
            <w:r w:rsidRPr="000D7C1E">
              <w:rPr>
                <w:sz w:val="20"/>
                <w:szCs w:val="20"/>
              </w:rPr>
              <w:t>Call Report /</w:t>
            </w:r>
            <w:r>
              <w:rPr>
                <w:sz w:val="20"/>
                <w:szCs w:val="20"/>
              </w:rPr>
              <w:t xml:space="preserve"> </w:t>
            </w:r>
            <w:r w:rsidRPr="000D7C1E">
              <w:rPr>
                <w:sz w:val="20"/>
                <w:szCs w:val="20"/>
              </w:rPr>
              <w:t>NCUA 5300</w:t>
            </w:r>
          </w:p>
        </w:tc>
      </w:tr>
      <w:tr w:rsidR="003C0E8E" w:rsidRPr="000D7C1E" w:rsidTr="003C0E8E">
        <w:trPr>
          <w:trHeight w:val="388"/>
        </w:trPr>
        <w:tc>
          <w:tcPr>
            <w:tcW w:w="1260" w:type="dxa"/>
            <w:vMerge/>
            <w:tcBorders>
              <w:top w:val="nil"/>
              <w:left w:val="single" w:sz="7" w:space="0" w:color="000000"/>
              <w:bottom w:val="single" w:sz="7" w:space="0" w:color="000000"/>
              <w:right w:val="single" w:sz="7" w:space="0" w:color="000000"/>
            </w:tcBorders>
          </w:tcPr>
          <w:p w:rsidR="003C0E8E" w:rsidRPr="000D7C1E" w:rsidRDefault="003C0E8E" w:rsidP="003C0E8E">
            <w:pPr>
              <w:widowControl/>
              <w:tabs>
                <w:tab w:val="left" w:pos="360"/>
              </w:tabs>
              <w:rPr>
                <w:sz w:val="20"/>
                <w:szCs w:val="20"/>
              </w:rPr>
            </w:pPr>
          </w:p>
        </w:tc>
        <w:tc>
          <w:tcPr>
            <w:tcW w:w="2610" w:type="dxa"/>
            <w:gridSpan w:val="2"/>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Federal funds purchased and repurchase agree</w:t>
            </w:r>
            <w:r w:rsidRPr="000D7C1E">
              <w:rPr>
                <w:sz w:val="20"/>
                <w:szCs w:val="20"/>
              </w:rPr>
              <w:softHyphen/>
              <w:t>ments</w:t>
            </w:r>
          </w:p>
        </w:tc>
        <w:tc>
          <w:tcPr>
            <w:tcW w:w="144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jc w:val="center"/>
              <w:rPr>
                <w:sz w:val="20"/>
                <w:szCs w:val="20"/>
              </w:rPr>
            </w:pPr>
            <w:r w:rsidRPr="000D7C1E">
              <w:rPr>
                <w:sz w:val="20"/>
                <w:szCs w:val="20"/>
              </w:rPr>
              <w:t>Wednesday</w:t>
            </w:r>
            <w:r>
              <w:rPr>
                <w:sz w:val="20"/>
                <w:szCs w:val="20"/>
              </w:rPr>
              <w:t xml:space="preserve"> </w:t>
            </w:r>
            <w:r w:rsidRPr="000D7C1E">
              <w:rPr>
                <w:sz w:val="20"/>
                <w:szCs w:val="20"/>
              </w:rPr>
              <w:t>only</w:t>
            </w:r>
          </w:p>
        </w:tc>
        <w:tc>
          <w:tcPr>
            <w:tcW w:w="2160" w:type="dxa"/>
            <w:tcBorders>
              <w:top w:val="single" w:sz="7" w:space="0" w:color="000000"/>
              <w:left w:val="single" w:sz="7" w:space="0" w:color="000000"/>
              <w:bottom w:val="single" w:sz="7" w:space="0" w:color="000000"/>
              <w:right w:val="single" w:sz="7" w:space="0" w:color="000000"/>
            </w:tcBorders>
            <w:vAlign w:val="center"/>
          </w:tcPr>
          <w:p w:rsidR="003C0E8E" w:rsidRPr="000D7C1E" w:rsidRDefault="003C0E8E" w:rsidP="003C0E8E">
            <w:pPr>
              <w:widowControl/>
              <w:tabs>
                <w:tab w:val="left" w:pos="360"/>
              </w:tabs>
              <w:rPr>
                <w:sz w:val="20"/>
                <w:szCs w:val="20"/>
              </w:rPr>
            </w:pPr>
            <w:r w:rsidRPr="000D7C1E">
              <w:rPr>
                <w:sz w:val="20"/>
                <w:szCs w:val="20"/>
              </w:rPr>
              <w:t>None</w:t>
            </w:r>
          </w:p>
        </w:tc>
        <w:tc>
          <w:tcPr>
            <w:tcW w:w="207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widowControl/>
              <w:tabs>
                <w:tab w:val="left" w:pos="360"/>
              </w:tabs>
              <w:jc w:val="center"/>
              <w:rPr>
                <w:sz w:val="20"/>
                <w:szCs w:val="20"/>
              </w:rPr>
            </w:pPr>
            <w:r w:rsidRPr="000D7C1E">
              <w:rPr>
                <w:sz w:val="20"/>
                <w:szCs w:val="20"/>
              </w:rPr>
              <w:t>Call Report</w:t>
            </w:r>
          </w:p>
        </w:tc>
      </w:tr>
      <w:tr w:rsidR="003C0E8E" w:rsidRPr="000D7C1E" w:rsidTr="003C0E8E">
        <w:trPr>
          <w:trHeight w:val="273"/>
        </w:trPr>
        <w:tc>
          <w:tcPr>
            <w:tcW w:w="9540" w:type="dxa"/>
            <w:gridSpan w:val="6"/>
            <w:tcBorders>
              <w:top w:val="double" w:sz="7" w:space="0" w:color="000000"/>
              <w:left w:val="single" w:sz="7" w:space="0" w:color="000000"/>
              <w:bottom w:val="nil"/>
              <w:right w:val="single" w:sz="7" w:space="0" w:color="000000"/>
            </w:tcBorders>
          </w:tcPr>
          <w:p w:rsidR="003C0E8E" w:rsidRPr="000D7C1E" w:rsidRDefault="003C0E8E" w:rsidP="003C0E8E">
            <w:pPr>
              <w:jc w:val="center"/>
              <w:rPr>
                <w:sz w:val="20"/>
                <w:szCs w:val="20"/>
              </w:rPr>
            </w:pPr>
          </w:p>
          <w:p w:rsidR="003C0E8E" w:rsidRPr="000D7C1E" w:rsidRDefault="003C0E8E" w:rsidP="003C0E8E">
            <w:pPr>
              <w:widowControl/>
              <w:tabs>
                <w:tab w:val="left" w:pos="360"/>
              </w:tabs>
              <w:rPr>
                <w:sz w:val="20"/>
                <w:szCs w:val="20"/>
              </w:rPr>
            </w:pPr>
            <w:r w:rsidRPr="000D7C1E">
              <w:rPr>
                <w:sz w:val="20"/>
                <w:szCs w:val="20"/>
              </w:rPr>
              <w:t xml:space="preserve">* </w:t>
            </w:r>
            <w:r w:rsidRPr="000D7C1E">
              <w:rPr>
                <w:b/>
                <w:bCs/>
                <w:sz w:val="20"/>
                <w:szCs w:val="20"/>
              </w:rPr>
              <w:t>source of</w:t>
            </w:r>
            <w:r w:rsidRPr="000D7C1E">
              <w:rPr>
                <w:sz w:val="20"/>
                <w:szCs w:val="20"/>
              </w:rPr>
              <w:t xml:space="preserve"> </w:t>
            </w:r>
            <w:r w:rsidRPr="000D7C1E">
              <w:rPr>
                <w:b/>
                <w:bCs/>
                <w:sz w:val="20"/>
                <w:szCs w:val="20"/>
              </w:rPr>
              <w:t>definition:</w:t>
            </w:r>
          </w:p>
        </w:tc>
      </w:tr>
      <w:tr w:rsidR="003C0E8E" w:rsidRPr="000D7C1E" w:rsidTr="003C0E8E">
        <w:trPr>
          <w:trHeight w:val="711"/>
        </w:trPr>
        <w:tc>
          <w:tcPr>
            <w:tcW w:w="1530" w:type="dxa"/>
            <w:gridSpan w:val="2"/>
            <w:tcBorders>
              <w:top w:val="nil"/>
              <w:left w:val="single" w:sz="7" w:space="0" w:color="000000"/>
              <w:bottom w:val="single" w:sz="7" w:space="0" w:color="000000"/>
              <w:right w:val="nil"/>
            </w:tcBorders>
          </w:tcPr>
          <w:p w:rsidR="003C0E8E" w:rsidRPr="000D7C1E" w:rsidRDefault="003C0E8E" w:rsidP="003C0E8E">
            <w:pPr>
              <w:rPr>
                <w:sz w:val="20"/>
                <w:szCs w:val="20"/>
              </w:rPr>
            </w:pPr>
          </w:p>
          <w:p w:rsidR="003C0E8E" w:rsidRPr="000D7C1E" w:rsidRDefault="003C0E8E" w:rsidP="003C0E8E">
            <w:pPr>
              <w:widowControl/>
              <w:tabs>
                <w:tab w:val="right" w:pos="1200"/>
              </w:tabs>
              <w:jc w:val="both"/>
              <w:rPr>
                <w:sz w:val="20"/>
                <w:szCs w:val="20"/>
              </w:rPr>
            </w:pPr>
            <w:r w:rsidRPr="000D7C1E">
              <w:rPr>
                <w:sz w:val="20"/>
                <w:szCs w:val="20"/>
              </w:rPr>
              <w:tab/>
              <w:t>Call Reports =</w:t>
            </w:r>
          </w:p>
          <w:p w:rsidR="003C0E8E" w:rsidRPr="000D7C1E" w:rsidRDefault="003C0E8E" w:rsidP="003C0E8E">
            <w:pPr>
              <w:widowControl/>
              <w:tabs>
                <w:tab w:val="left" w:pos="360"/>
              </w:tabs>
              <w:rPr>
                <w:sz w:val="20"/>
                <w:szCs w:val="20"/>
              </w:rPr>
            </w:pPr>
          </w:p>
          <w:p w:rsidR="003C0E8E" w:rsidRPr="000D7C1E" w:rsidRDefault="003C0E8E" w:rsidP="003C0E8E">
            <w:pPr>
              <w:widowControl/>
              <w:tabs>
                <w:tab w:val="left" w:pos="360"/>
              </w:tabs>
              <w:rPr>
                <w:sz w:val="20"/>
                <w:szCs w:val="20"/>
              </w:rPr>
            </w:pPr>
          </w:p>
          <w:p w:rsidR="003C0E8E" w:rsidRPr="000D7C1E" w:rsidRDefault="003C0E8E" w:rsidP="003C0E8E">
            <w:pPr>
              <w:widowControl/>
              <w:tabs>
                <w:tab w:val="right" w:pos="1200"/>
              </w:tabs>
              <w:rPr>
                <w:sz w:val="20"/>
                <w:szCs w:val="20"/>
              </w:rPr>
            </w:pPr>
            <w:r w:rsidRPr="000D7C1E">
              <w:rPr>
                <w:sz w:val="20"/>
                <w:szCs w:val="20"/>
              </w:rPr>
              <w:tab/>
              <w:t>NCUA 5300 =</w:t>
            </w:r>
          </w:p>
        </w:tc>
        <w:tc>
          <w:tcPr>
            <w:tcW w:w="8010" w:type="dxa"/>
            <w:gridSpan w:val="4"/>
            <w:tcBorders>
              <w:top w:val="nil"/>
              <w:left w:val="nil"/>
              <w:bottom w:val="single" w:sz="7" w:space="0" w:color="000000"/>
              <w:right w:val="single" w:sz="7" w:space="0" w:color="000000"/>
            </w:tcBorders>
          </w:tcPr>
          <w:p w:rsidR="003C0E8E" w:rsidRPr="000D7C1E" w:rsidRDefault="003C0E8E" w:rsidP="003C0E8E">
            <w:pPr>
              <w:jc w:val="center"/>
              <w:rPr>
                <w:sz w:val="20"/>
                <w:szCs w:val="20"/>
              </w:rPr>
            </w:pPr>
          </w:p>
          <w:p w:rsidR="003C0E8E" w:rsidRPr="000D7C1E" w:rsidRDefault="003C0E8E" w:rsidP="003C0E8E">
            <w:pPr>
              <w:widowControl/>
              <w:tabs>
                <w:tab w:val="left" w:pos="360"/>
              </w:tabs>
              <w:rPr>
                <w:sz w:val="20"/>
                <w:szCs w:val="20"/>
              </w:rPr>
            </w:pPr>
            <w:r w:rsidRPr="000D7C1E">
              <w:rPr>
                <w:sz w:val="20"/>
                <w:szCs w:val="20"/>
              </w:rPr>
              <w:t>U.S. commercial bank Consolidated Reports of Condition and Income (FFIEC 031 &amp; 041; OMB No. 7100</w:t>
            </w:r>
            <w:r w:rsidRPr="000D7C1E">
              <w:rPr>
                <w:sz w:val="20"/>
                <w:szCs w:val="20"/>
              </w:rPr>
              <w:noBreakHyphen/>
              <w:t xml:space="preserve">0036) </w:t>
            </w:r>
            <w:r w:rsidRPr="000D7C1E">
              <w:rPr>
                <w:i/>
                <w:iCs/>
                <w:sz w:val="20"/>
                <w:szCs w:val="20"/>
              </w:rPr>
              <w:t>or</w:t>
            </w:r>
            <w:r w:rsidRPr="000D7C1E">
              <w:rPr>
                <w:sz w:val="20"/>
                <w:szCs w:val="20"/>
              </w:rPr>
              <w:t xml:space="preserve"> Report of Assets and Liabilities of U.S. Branches and Agencies of Foreign Banks (FFIEC 002; OMB No. 7100</w:t>
            </w:r>
            <w:r w:rsidRPr="000D7C1E">
              <w:rPr>
                <w:sz w:val="20"/>
                <w:szCs w:val="20"/>
              </w:rPr>
              <w:noBreakHyphen/>
              <w:t>0032)</w:t>
            </w:r>
          </w:p>
          <w:p w:rsidR="003C0E8E" w:rsidRPr="000D7C1E" w:rsidRDefault="003C0E8E" w:rsidP="003C0E8E">
            <w:pPr>
              <w:widowControl/>
              <w:tabs>
                <w:tab w:val="left" w:pos="360"/>
              </w:tabs>
              <w:rPr>
                <w:sz w:val="20"/>
                <w:szCs w:val="20"/>
              </w:rPr>
            </w:pPr>
            <w:r w:rsidRPr="000D7C1E">
              <w:rPr>
                <w:sz w:val="20"/>
                <w:szCs w:val="20"/>
              </w:rPr>
              <w:t>Statement of Financial Condition (NCUA 5300; OMB No. 3133-0004)</w:t>
            </w:r>
          </w:p>
        </w:tc>
      </w:tr>
    </w:tbl>
    <w:p w:rsidR="0067467D" w:rsidRDefault="0067467D" w:rsidP="003C0E8E">
      <w:pPr>
        <w:widowControl/>
        <w:tabs>
          <w:tab w:val="left" w:pos="360"/>
        </w:tabs>
        <w:rPr>
          <w:b/>
        </w:rPr>
      </w:pPr>
    </w:p>
    <w:p w:rsidR="003C0E8E" w:rsidRPr="000D7C1E" w:rsidRDefault="003C0E8E" w:rsidP="003C0E8E">
      <w:pPr>
        <w:widowControl/>
        <w:tabs>
          <w:tab w:val="left" w:pos="360"/>
        </w:tabs>
      </w:pPr>
      <w:r w:rsidRPr="000D7C1E">
        <w:rPr>
          <w:b/>
        </w:rPr>
        <w:t>Data</w:t>
      </w:r>
      <w:r w:rsidRPr="000D7C1E">
        <w:t xml:space="preserve"> </w:t>
      </w:r>
      <w:r w:rsidRPr="000D7C1E">
        <w:rPr>
          <w:b/>
          <w:bCs/>
        </w:rPr>
        <w:t>Content</w:t>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pPr>
      <w:r w:rsidRPr="000D7C1E">
        <w:t>In general, the definitions of data items reported on the FR 2046 correspond closely with data definitions employed in the Call Reports for each type of institution.  As shown in table 2, the FR 2046 definitions of total assets, total securities, total loans, and total deposits coincide with the relevant data definitions in the quarterly Call Reports filed by each type of institution.</w:t>
      </w:r>
      <w:r w:rsidRPr="000D7C1E">
        <w:rPr>
          <w:rStyle w:val="FootnoteReference"/>
          <w:vertAlign w:val="superscript"/>
        </w:rPr>
        <w:footnoteReference w:id="5"/>
      </w:r>
    </w:p>
    <w:p w:rsidR="003C0E8E" w:rsidRPr="000D7C1E" w:rsidRDefault="003C0E8E" w:rsidP="003C0E8E">
      <w:pPr>
        <w:widowControl/>
        <w:tabs>
          <w:tab w:val="left" w:pos="360"/>
        </w:tabs>
        <w:ind w:firstLine="360"/>
      </w:pPr>
    </w:p>
    <w:p w:rsidR="003C0E8E" w:rsidRPr="000D7C1E" w:rsidRDefault="003C0E8E" w:rsidP="003C0E8E">
      <w:pPr>
        <w:widowControl/>
        <w:tabs>
          <w:tab w:val="left" w:pos="360"/>
        </w:tabs>
        <w:ind w:firstLine="360"/>
        <w:rPr>
          <w:b/>
          <w:bCs/>
        </w:rPr>
      </w:pPr>
      <w:r w:rsidRPr="000D7C1E">
        <w:t xml:space="preserve">Most institutions that borrow at the discount window are banks and hence file the bank Call Report.  Thus, these definitions should be familiar to the vast majority of discount window borrowers.  Moreover, the Call Report definitions are adequate for discount window monitoring purposes; they include federal funds purchased and sold on an overnight basis or rolled over </w:t>
      </w:r>
      <w:r w:rsidRPr="000D7C1E">
        <w:lastRenderedPageBreak/>
        <w:t>daily under a continuing contract and also include most overnight and term funding under repurchase agreements.  Thus, this definition includes instruments that are likely alternative market sources of short-term funds for most discount window borrowers.</w:t>
      </w:r>
      <w:r w:rsidRPr="000D7C1E">
        <w:rPr>
          <w:b/>
          <w:bCs/>
        </w:rPr>
        <w:t xml:space="preserve"> </w:t>
      </w:r>
    </w:p>
    <w:p w:rsidR="003C0E8E" w:rsidRDefault="003C0E8E" w:rsidP="003C0E8E">
      <w:pPr>
        <w:widowControl/>
        <w:tabs>
          <w:tab w:val="left" w:pos="360"/>
        </w:tabs>
        <w:rPr>
          <w:b/>
          <w:bCs/>
        </w:rPr>
      </w:pPr>
    </w:p>
    <w:p w:rsidR="003C0E8E" w:rsidRPr="000D7C1E" w:rsidRDefault="003C0E8E" w:rsidP="003C0E8E">
      <w:pPr>
        <w:widowControl/>
        <w:tabs>
          <w:tab w:val="left" w:pos="360"/>
        </w:tabs>
        <w:rPr>
          <w:b/>
          <w:bCs/>
        </w:rPr>
      </w:pPr>
    </w:p>
    <w:p w:rsidR="003C0E8E" w:rsidRPr="000D7C1E" w:rsidRDefault="003C0E8E" w:rsidP="003C0E8E">
      <w:pPr>
        <w:widowControl/>
        <w:tabs>
          <w:tab w:val="left" w:pos="360"/>
        </w:tabs>
        <w:rPr>
          <w:b/>
          <w:bCs/>
        </w:rPr>
      </w:pPr>
      <w:r w:rsidRPr="000D7C1E">
        <w:rPr>
          <w:b/>
          <w:bCs/>
        </w:rPr>
        <w:t>Table 2:  Definitions of Securities, Loans, Assets, and Deposits on the FR 2046</w:t>
      </w:r>
    </w:p>
    <w:tbl>
      <w:tblPr>
        <w:tblW w:w="8010" w:type="dxa"/>
        <w:tblInd w:w="30" w:type="dxa"/>
        <w:tblLayout w:type="fixed"/>
        <w:tblCellMar>
          <w:left w:w="120" w:type="dxa"/>
          <w:right w:w="120" w:type="dxa"/>
        </w:tblCellMar>
        <w:tblLook w:val="0000" w:firstRow="0" w:lastRow="0" w:firstColumn="0" w:lastColumn="0" w:noHBand="0" w:noVBand="0"/>
      </w:tblPr>
      <w:tblGrid>
        <w:gridCol w:w="990"/>
        <w:gridCol w:w="1530"/>
        <w:gridCol w:w="1530"/>
        <w:gridCol w:w="2430"/>
        <w:gridCol w:w="1530"/>
      </w:tblGrid>
      <w:tr w:rsidR="003C0E8E" w:rsidRPr="000D7C1E" w:rsidTr="003C0E8E">
        <w:trPr>
          <w:tblHeader/>
        </w:trPr>
        <w:tc>
          <w:tcPr>
            <w:tcW w:w="990" w:type="dxa"/>
            <w:vMerge w:val="restart"/>
            <w:tcBorders>
              <w:top w:val="single" w:sz="7" w:space="0" w:color="000000"/>
              <w:left w:val="single" w:sz="7" w:space="0" w:color="000000"/>
              <w:bottom w:val="nil"/>
              <w:right w:val="single" w:sz="7" w:space="0" w:color="000000"/>
            </w:tcBorders>
            <w:vAlign w:val="center"/>
          </w:tcPr>
          <w:p w:rsidR="003C0E8E" w:rsidRPr="000D7C1E" w:rsidRDefault="003C0E8E" w:rsidP="003C0E8E">
            <w:pPr>
              <w:spacing w:line="120" w:lineRule="exact"/>
              <w:ind w:left="-45" w:firstLine="15"/>
              <w:rPr>
                <w:sz w:val="18"/>
                <w:szCs w:val="18"/>
              </w:rPr>
            </w:pPr>
          </w:p>
          <w:p w:rsidR="003C0E8E" w:rsidRPr="000D7C1E" w:rsidRDefault="003C0E8E" w:rsidP="003C0E8E">
            <w:pPr>
              <w:keepNext/>
              <w:keepLines/>
              <w:widowControl/>
              <w:tabs>
                <w:tab w:val="left" w:pos="240"/>
              </w:tabs>
              <w:spacing w:after="58"/>
              <w:ind w:left="-45" w:firstLine="15"/>
              <w:rPr>
                <w:b/>
                <w:bCs/>
                <w:sz w:val="18"/>
                <w:szCs w:val="18"/>
              </w:rPr>
            </w:pPr>
            <w:r w:rsidRPr="000D7C1E">
              <w:rPr>
                <w:b/>
                <w:bCs/>
                <w:sz w:val="18"/>
                <w:szCs w:val="18"/>
              </w:rPr>
              <w:t>FR 2046 data item</w:t>
            </w:r>
          </w:p>
        </w:tc>
        <w:tc>
          <w:tcPr>
            <w:tcW w:w="3060" w:type="dxa"/>
            <w:gridSpan w:val="2"/>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rPr>
                <w:b/>
                <w:bCs/>
                <w:sz w:val="18"/>
                <w:szCs w:val="18"/>
              </w:rPr>
            </w:pPr>
          </w:p>
          <w:p w:rsidR="003C0E8E" w:rsidRPr="000D7C1E" w:rsidRDefault="003C0E8E" w:rsidP="003C0E8E">
            <w:pPr>
              <w:keepNext/>
              <w:keepLines/>
              <w:widowControl/>
              <w:tabs>
                <w:tab w:val="left" w:pos="240"/>
              </w:tabs>
              <w:spacing w:after="58"/>
              <w:jc w:val="center"/>
              <w:rPr>
                <w:b/>
                <w:bCs/>
                <w:sz w:val="18"/>
                <w:szCs w:val="18"/>
              </w:rPr>
            </w:pPr>
            <w:r w:rsidRPr="000D7C1E">
              <w:rPr>
                <w:b/>
                <w:bCs/>
                <w:sz w:val="18"/>
                <w:szCs w:val="18"/>
              </w:rPr>
              <w:t>U.S. commercial banks and others:</w:t>
            </w:r>
          </w:p>
        </w:tc>
        <w:tc>
          <w:tcPr>
            <w:tcW w:w="24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spacing w:after="58"/>
              <w:rPr>
                <w:b/>
                <w:bCs/>
                <w:sz w:val="18"/>
                <w:szCs w:val="18"/>
              </w:rPr>
            </w:pPr>
            <w:r w:rsidRPr="000D7C1E">
              <w:rPr>
                <w:b/>
                <w:bCs/>
                <w:sz w:val="18"/>
                <w:szCs w:val="18"/>
              </w:rPr>
              <w:t>U.S. branches and agencies of foreign banks:</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spacing w:after="58"/>
              <w:rPr>
                <w:b/>
                <w:bCs/>
                <w:sz w:val="18"/>
                <w:szCs w:val="18"/>
              </w:rPr>
            </w:pPr>
            <w:r w:rsidRPr="000D7C1E">
              <w:rPr>
                <w:b/>
                <w:bCs/>
                <w:sz w:val="18"/>
                <w:szCs w:val="18"/>
              </w:rPr>
              <w:t>Credit unions:</w:t>
            </w:r>
          </w:p>
        </w:tc>
      </w:tr>
      <w:tr w:rsidR="003C0E8E" w:rsidRPr="000D7C1E" w:rsidTr="003C0E8E">
        <w:trPr>
          <w:tblHeader/>
        </w:trPr>
        <w:tc>
          <w:tcPr>
            <w:tcW w:w="990" w:type="dxa"/>
            <w:vMerge/>
            <w:tcBorders>
              <w:top w:val="nil"/>
              <w:left w:val="single" w:sz="7" w:space="0" w:color="000000"/>
              <w:bottom w:val="double" w:sz="7" w:space="0" w:color="000000"/>
              <w:right w:val="single" w:sz="7" w:space="0" w:color="000000"/>
            </w:tcBorders>
            <w:vAlign w:val="center"/>
          </w:tcPr>
          <w:p w:rsidR="003C0E8E" w:rsidRPr="000D7C1E" w:rsidRDefault="003C0E8E" w:rsidP="003C0E8E">
            <w:pPr>
              <w:keepNext/>
              <w:keepLines/>
              <w:widowControl/>
              <w:tabs>
                <w:tab w:val="left" w:pos="240"/>
              </w:tabs>
              <w:spacing w:after="58"/>
              <w:ind w:left="-45" w:firstLine="15"/>
              <w:rPr>
                <w:b/>
                <w:bCs/>
                <w:sz w:val="18"/>
                <w:szCs w:val="18"/>
              </w:rPr>
            </w:pPr>
          </w:p>
        </w:tc>
        <w:tc>
          <w:tcPr>
            <w:tcW w:w="1530" w:type="dxa"/>
            <w:tcBorders>
              <w:top w:val="single" w:sz="7" w:space="0" w:color="000000"/>
              <w:left w:val="single" w:sz="7" w:space="0" w:color="000000"/>
              <w:bottom w:val="doub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spacing w:after="58"/>
              <w:rPr>
                <w:b/>
                <w:bCs/>
                <w:sz w:val="18"/>
                <w:szCs w:val="18"/>
              </w:rPr>
            </w:pPr>
            <w:r w:rsidRPr="000D7C1E">
              <w:rPr>
                <w:b/>
                <w:bCs/>
                <w:sz w:val="18"/>
                <w:szCs w:val="18"/>
              </w:rPr>
              <w:t xml:space="preserve"> FFIEC 031</w:t>
            </w:r>
          </w:p>
        </w:tc>
        <w:tc>
          <w:tcPr>
            <w:tcW w:w="1530" w:type="dxa"/>
            <w:tcBorders>
              <w:top w:val="single" w:sz="7" w:space="0" w:color="000000"/>
              <w:left w:val="single" w:sz="7" w:space="0" w:color="000000"/>
              <w:bottom w:val="doub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spacing w:after="58"/>
              <w:rPr>
                <w:b/>
                <w:bCs/>
                <w:sz w:val="18"/>
                <w:szCs w:val="18"/>
              </w:rPr>
            </w:pPr>
            <w:r w:rsidRPr="000D7C1E">
              <w:rPr>
                <w:b/>
                <w:bCs/>
                <w:sz w:val="18"/>
                <w:szCs w:val="18"/>
              </w:rPr>
              <w:t xml:space="preserve"> FFIEC 041 </w:t>
            </w:r>
          </w:p>
        </w:tc>
        <w:tc>
          <w:tcPr>
            <w:tcW w:w="2430" w:type="dxa"/>
            <w:tcBorders>
              <w:top w:val="single" w:sz="7" w:space="0" w:color="000000"/>
              <w:left w:val="single" w:sz="7" w:space="0" w:color="000000"/>
              <w:bottom w:val="doub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spacing w:after="58"/>
              <w:rPr>
                <w:b/>
                <w:bCs/>
                <w:sz w:val="18"/>
                <w:szCs w:val="18"/>
              </w:rPr>
            </w:pPr>
            <w:r w:rsidRPr="000D7C1E">
              <w:rPr>
                <w:b/>
                <w:bCs/>
                <w:sz w:val="18"/>
                <w:szCs w:val="18"/>
              </w:rPr>
              <w:t>FFIEC 002</w:t>
            </w:r>
            <w:r w:rsidRPr="000D7C1E">
              <w:rPr>
                <w:rStyle w:val="FootnoteReference"/>
                <w:b/>
                <w:bCs/>
                <w:sz w:val="18"/>
                <w:szCs w:val="18"/>
                <w:vertAlign w:val="superscript"/>
              </w:rPr>
              <w:footnoteReference w:id="6"/>
            </w:r>
          </w:p>
        </w:tc>
        <w:tc>
          <w:tcPr>
            <w:tcW w:w="1530" w:type="dxa"/>
            <w:tcBorders>
              <w:top w:val="single" w:sz="7" w:space="0" w:color="000000"/>
              <w:left w:val="single" w:sz="7" w:space="0" w:color="000000"/>
              <w:bottom w:val="double" w:sz="7" w:space="0" w:color="000000"/>
              <w:right w:val="single" w:sz="7" w:space="0" w:color="000000"/>
            </w:tcBorders>
          </w:tcPr>
          <w:p w:rsidR="003C0E8E" w:rsidRPr="000D7C1E" w:rsidRDefault="003C0E8E" w:rsidP="003C0E8E">
            <w:pPr>
              <w:spacing w:line="120" w:lineRule="exact"/>
              <w:rPr>
                <w:b/>
                <w:bCs/>
                <w:sz w:val="18"/>
                <w:szCs w:val="18"/>
              </w:rPr>
            </w:pPr>
          </w:p>
          <w:p w:rsidR="003C0E8E" w:rsidRPr="000D7C1E" w:rsidRDefault="003C0E8E" w:rsidP="003C0E8E">
            <w:pPr>
              <w:keepNext/>
              <w:keepLines/>
              <w:widowControl/>
              <w:tabs>
                <w:tab w:val="left" w:pos="240"/>
              </w:tabs>
              <w:spacing w:after="58"/>
              <w:rPr>
                <w:b/>
                <w:bCs/>
                <w:sz w:val="18"/>
                <w:szCs w:val="18"/>
              </w:rPr>
            </w:pPr>
            <w:r w:rsidRPr="000D7C1E">
              <w:rPr>
                <w:b/>
                <w:bCs/>
                <w:sz w:val="18"/>
                <w:szCs w:val="18"/>
              </w:rPr>
              <w:t>NCUA 5300</w:t>
            </w:r>
          </w:p>
        </w:tc>
      </w:tr>
      <w:tr w:rsidR="003C0E8E" w:rsidRPr="000D7C1E" w:rsidTr="003C0E8E">
        <w:tc>
          <w:tcPr>
            <w:tcW w:w="99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45" w:firstLine="15"/>
              <w:rPr>
                <w:b/>
                <w:bCs/>
                <w:sz w:val="18"/>
                <w:szCs w:val="18"/>
              </w:rPr>
            </w:pPr>
          </w:p>
          <w:p w:rsidR="003C0E8E" w:rsidRPr="000D7C1E" w:rsidRDefault="003C0E8E" w:rsidP="003C0E8E">
            <w:pPr>
              <w:keepNext/>
              <w:keepLines/>
              <w:widowControl/>
              <w:tabs>
                <w:tab w:val="left" w:pos="240"/>
              </w:tabs>
              <w:ind w:left="-45" w:firstLine="15"/>
              <w:rPr>
                <w:b/>
                <w:sz w:val="18"/>
                <w:szCs w:val="18"/>
              </w:rPr>
            </w:pPr>
            <w:r w:rsidRPr="000D7C1E">
              <w:rPr>
                <w:b/>
                <w:sz w:val="18"/>
                <w:szCs w:val="18"/>
              </w:rPr>
              <w:t>Total</w:t>
            </w:r>
          </w:p>
          <w:p w:rsidR="003C0E8E" w:rsidRPr="000D7C1E" w:rsidRDefault="003C0E8E" w:rsidP="003C0E8E">
            <w:pPr>
              <w:keepNext/>
              <w:keepLines/>
              <w:widowControl/>
              <w:tabs>
                <w:tab w:val="left" w:pos="240"/>
              </w:tabs>
              <w:spacing w:after="58"/>
              <w:ind w:left="-45" w:firstLine="15"/>
              <w:rPr>
                <w:b/>
                <w:sz w:val="18"/>
                <w:szCs w:val="18"/>
              </w:rPr>
            </w:pPr>
            <w:r w:rsidRPr="000D7C1E">
              <w:rPr>
                <w:b/>
                <w:sz w:val="18"/>
                <w:szCs w:val="18"/>
              </w:rPr>
              <w:t>securities</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60"/>
              <w:rPr>
                <w:sz w:val="18"/>
                <w:szCs w:val="18"/>
              </w:rPr>
            </w:pPr>
          </w:p>
          <w:p w:rsidR="003C0E8E" w:rsidRPr="000D7C1E" w:rsidRDefault="003C0E8E" w:rsidP="003C0E8E">
            <w:pPr>
              <w:keepNext/>
              <w:keepLines/>
              <w:widowControl/>
              <w:tabs>
                <w:tab w:val="left" w:pos="240"/>
              </w:tabs>
              <w:ind w:left="60" w:hanging="60"/>
              <w:rPr>
                <w:sz w:val="18"/>
                <w:szCs w:val="18"/>
              </w:rPr>
            </w:pPr>
            <w:r w:rsidRPr="000D7C1E">
              <w:rPr>
                <w:sz w:val="18"/>
                <w:szCs w:val="18"/>
              </w:rPr>
              <w:t>Schedule RC  Balance Sheet, Domestic office portion of:</w:t>
            </w:r>
          </w:p>
          <w:p w:rsidR="003C0E8E" w:rsidRPr="000D7C1E" w:rsidRDefault="003C0E8E" w:rsidP="003C0E8E">
            <w:pPr>
              <w:keepNext/>
              <w:keepLines/>
              <w:widowControl/>
              <w:tabs>
                <w:tab w:val="left" w:pos="240"/>
              </w:tabs>
              <w:ind w:left="60" w:hanging="60"/>
              <w:rPr>
                <w:sz w:val="18"/>
                <w:szCs w:val="18"/>
              </w:rPr>
            </w:pPr>
            <w:r w:rsidRPr="000D7C1E">
              <w:rPr>
                <w:sz w:val="18"/>
                <w:szCs w:val="18"/>
              </w:rPr>
              <w:t>+</w:t>
            </w:r>
            <w:r w:rsidRPr="000D7C1E">
              <w:rPr>
                <w:sz w:val="18"/>
                <w:szCs w:val="18"/>
              </w:rPr>
              <w:tab/>
              <w:t>Held-to-maturity securi</w:t>
            </w:r>
            <w:r w:rsidRPr="000D7C1E">
              <w:rPr>
                <w:sz w:val="18"/>
                <w:szCs w:val="18"/>
              </w:rPr>
              <w:softHyphen/>
              <w:t>ties, item 2.a</w:t>
            </w:r>
          </w:p>
          <w:p w:rsidR="003C0E8E" w:rsidRPr="000D7C1E" w:rsidRDefault="003C0E8E" w:rsidP="003C0E8E">
            <w:pPr>
              <w:keepNext/>
              <w:keepLines/>
              <w:widowControl/>
              <w:tabs>
                <w:tab w:val="left" w:pos="240"/>
              </w:tabs>
              <w:ind w:left="60" w:hanging="60"/>
              <w:rPr>
                <w:sz w:val="18"/>
                <w:szCs w:val="18"/>
              </w:rPr>
            </w:pPr>
            <w:r w:rsidRPr="000D7C1E">
              <w:rPr>
                <w:sz w:val="18"/>
                <w:szCs w:val="18"/>
              </w:rPr>
              <w:t>+</w:t>
            </w:r>
            <w:r w:rsidRPr="000D7C1E">
              <w:rPr>
                <w:sz w:val="18"/>
                <w:szCs w:val="18"/>
              </w:rPr>
              <w:tab/>
              <w:t>Available-for-sale securi</w:t>
            </w:r>
            <w:r w:rsidRPr="000D7C1E">
              <w:rPr>
                <w:sz w:val="18"/>
                <w:szCs w:val="18"/>
              </w:rPr>
              <w:softHyphen/>
              <w:t xml:space="preserve">ties, item 2.b </w:t>
            </w:r>
          </w:p>
          <w:p w:rsidR="003C0E8E" w:rsidRPr="000D7C1E" w:rsidRDefault="003C0E8E" w:rsidP="003C0E8E">
            <w:pPr>
              <w:keepNext/>
              <w:keepLines/>
              <w:widowControl/>
              <w:tabs>
                <w:tab w:val="left" w:pos="240"/>
              </w:tabs>
              <w:spacing w:after="58"/>
              <w:ind w:left="60" w:hanging="60"/>
              <w:rPr>
                <w:sz w:val="18"/>
                <w:szCs w:val="18"/>
              </w:rPr>
            </w:pPr>
            <w:r w:rsidRPr="000D7C1E">
              <w:rPr>
                <w:sz w:val="18"/>
                <w:szCs w:val="18"/>
              </w:rPr>
              <w:t>+</w:t>
            </w:r>
            <w:r w:rsidRPr="000D7C1E">
              <w:rPr>
                <w:sz w:val="18"/>
                <w:szCs w:val="18"/>
              </w:rPr>
              <w:tab/>
              <w:t>Trading assets, item 5</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60"/>
              <w:rPr>
                <w:sz w:val="18"/>
                <w:szCs w:val="18"/>
              </w:rPr>
            </w:pPr>
          </w:p>
          <w:p w:rsidR="003C0E8E" w:rsidRPr="000D7C1E" w:rsidRDefault="003C0E8E" w:rsidP="003C0E8E">
            <w:pPr>
              <w:keepNext/>
              <w:keepLines/>
              <w:widowControl/>
              <w:tabs>
                <w:tab w:val="left" w:pos="-2640"/>
                <w:tab w:val="left" w:pos="-1560"/>
                <w:tab w:val="left" w:pos="240"/>
              </w:tabs>
              <w:ind w:left="60" w:hanging="60"/>
              <w:rPr>
                <w:sz w:val="18"/>
                <w:szCs w:val="18"/>
              </w:rPr>
            </w:pPr>
            <w:r w:rsidRPr="000D7C1E">
              <w:rPr>
                <w:sz w:val="18"/>
                <w:szCs w:val="18"/>
              </w:rPr>
              <w:t>Schedule RC Balance Sheet</w:t>
            </w:r>
          </w:p>
          <w:p w:rsidR="003C0E8E" w:rsidRPr="000D7C1E" w:rsidRDefault="003C0E8E" w:rsidP="003C0E8E">
            <w:pPr>
              <w:keepNext/>
              <w:keepLines/>
              <w:widowControl/>
              <w:tabs>
                <w:tab w:val="left" w:pos="-2640"/>
                <w:tab w:val="left" w:pos="-1560"/>
                <w:tab w:val="left" w:pos="240"/>
              </w:tabs>
              <w:ind w:left="60" w:hanging="60"/>
              <w:rPr>
                <w:sz w:val="18"/>
                <w:szCs w:val="18"/>
              </w:rPr>
            </w:pPr>
            <w:r w:rsidRPr="000D7C1E">
              <w:rPr>
                <w:sz w:val="18"/>
                <w:szCs w:val="18"/>
              </w:rPr>
              <w:t>+</w:t>
            </w:r>
            <w:r w:rsidRPr="000D7C1E">
              <w:rPr>
                <w:sz w:val="18"/>
                <w:szCs w:val="18"/>
              </w:rPr>
              <w:tab/>
              <w:t>Held-to-maturity securi</w:t>
            </w:r>
            <w:r w:rsidRPr="000D7C1E">
              <w:rPr>
                <w:sz w:val="18"/>
                <w:szCs w:val="18"/>
              </w:rPr>
              <w:softHyphen/>
              <w:t>ties, item 2.a</w:t>
            </w:r>
          </w:p>
          <w:p w:rsidR="003C0E8E" w:rsidRPr="000D7C1E" w:rsidRDefault="003C0E8E" w:rsidP="003C0E8E">
            <w:pPr>
              <w:keepNext/>
              <w:keepLines/>
              <w:widowControl/>
              <w:tabs>
                <w:tab w:val="left" w:pos="-2640"/>
                <w:tab w:val="left" w:pos="-1560"/>
                <w:tab w:val="left" w:pos="240"/>
              </w:tabs>
              <w:ind w:left="60" w:hanging="60"/>
              <w:rPr>
                <w:sz w:val="18"/>
                <w:szCs w:val="18"/>
              </w:rPr>
            </w:pPr>
            <w:r w:rsidRPr="000D7C1E">
              <w:rPr>
                <w:sz w:val="18"/>
                <w:szCs w:val="18"/>
              </w:rPr>
              <w:t>+</w:t>
            </w:r>
            <w:r w:rsidRPr="000D7C1E">
              <w:rPr>
                <w:sz w:val="18"/>
                <w:szCs w:val="18"/>
              </w:rPr>
              <w:tab/>
              <w:t>Available-for-sale securi</w:t>
            </w:r>
            <w:r w:rsidRPr="000D7C1E">
              <w:rPr>
                <w:sz w:val="18"/>
                <w:szCs w:val="18"/>
              </w:rPr>
              <w:softHyphen/>
              <w:t xml:space="preserve">ties, item 2.b </w:t>
            </w:r>
          </w:p>
          <w:p w:rsidR="003C0E8E" w:rsidRPr="000D7C1E" w:rsidRDefault="003C0E8E" w:rsidP="003C0E8E">
            <w:pPr>
              <w:keepNext/>
              <w:keepLines/>
              <w:widowControl/>
              <w:tabs>
                <w:tab w:val="left" w:pos="-2640"/>
                <w:tab w:val="left" w:pos="-1560"/>
                <w:tab w:val="left" w:pos="240"/>
              </w:tabs>
              <w:ind w:left="60" w:hanging="60"/>
              <w:rPr>
                <w:sz w:val="18"/>
                <w:szCs w:val="18"/>
              </w:rPr>
            </w:pPr>
            <w:r w:rsidRPr="000D7C1E">
              <w:rPr>
                <w:sz w:val="18"/>
                <w:szCs w:val="18"/>
              </w:rPr>
              <w:t>+</w:t>
            </w:r>
            <w:r w:rsidRPr="000D7C1E">
              <w:rPr>
                <w:sz w:val="18"/>
                <w:szCs w:val="18"/>
              </w:rPr>
              <w:tab/>
              <w:t xml:space="preserve">Trading assets, item 5 </w:t>
            </w:r>
          </w:p>
          <w:p w:rsidR="003C0E8E" w:rsidRPr="000D7C1E" w:rsidRDefault="003C0E8E" w:rsidP="003C0E8E">
            <w:pPr>
              <w:keepNext/>
              <w:keepLines/>
              <w:widowControl/>
              <w:tabs>
                <w:tab w:val="left" w:pos="-2640"/>
                <w:tab w:val="left" w:pos="-1560"/>
                <w:tab w:val="left" w:pos="240"/>
              </w:tabs>
              <w:spacing w:after="58"/>
              <w:ind w:left="60" w:hanging="60"/>
              <w:rPr>
                <w:sz w:val="18"/>
                <w:szCs w:val="18"/>
              </w:rPr>
            </w:pPr>
          </w:p>
        </w:tc>
        <w:tc>
          <w:tcPr>
            <w:tcW w:w="24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tabs>
                <w:tab w:val="left" w:pos="150"/>
              </w:tabs>
              <w:spacing w:line="120" w:lineRule="exact"/>
              <w:ind w:left="60" w:hanging="90"/>
              <w:rPr>
                <w:sz w:val="18"/>
                <w:szCs w:val="18"/>
              </w:rPr>
            </w:pPr>
          </w:p>
          <w:p w:rsidR="003C0E8E" w:rsidRPr="000D7C1E" w:rsidRDefault="003C0E8E" w:rsidP="003C0E8E">
            <w:pPr>
              <w:keepNext/>
              <w:keepLines/>
              <w:widowControl/>
              <w:tabs>
                <w:tab w:val="left" w:pos="-2640"/>
                <w:tab w:val="left" w:pos="-1560"/>
                <w:tab w:val="left" w:pos="150"/>
              </w:tabs>
              <w:ind w:left="60" w:hanging="90"/>
              <w:rPr>
                <w:sz w:val="18"/>
                <w:szCs w:val="18"/>
              </w:rPr>
            </w:pPr>
            <w:r w:rsidRPr="000D7C1E">
              <w:rPr>
                <w:sz w:val="18"/>
                <w:szCs w:val="18"/>
              </w:rPr>
              <w:t xml:space="preserve">Schedule RAL Assets and Liabilities </w:t>
            </w:r>
          </w:p>
          <w:p w:rsidR="003C0E8E" w:rsidRPr="000D7C1E" w:rsidRDefault="003C0E8E" w:rsidP="003C0E8E">
            <w:pPr>
              <w:keepNext/>
              <w:keepLines/>
              <w:widowControl/>
              <w:tabs>
                <w:tab w:val="left" w:pos="-2640"/>
                <w:tab w:val="left" w:pos="-1560"/>
                <w:tab w:val="left" w:pos="150"/>
              </w:tabs>
              <w:ind w:left="60" w:hanging="90"/>
              <w:rPr>
                <w:sz w:val="18"/>
                <w:szCs w:val="18"/>
              </w:rPr>
            </w:pPr>
            <w:r w:rsidRPr="000D7C1E">
              <w:rPr>
                <w:sz w:val="18"/>
                <w:szCs w:val="18"/>
              </w:rPr>
              <w:t>+</w:t>
            </w:r>
            <w:r w:rsidRPr="000D7C1E">
              <w:rPr>
                <w:sz w:val="18"/>
                <w:szCs w:val="18"/>
              </w:rPr>
              <w:tab/>
              <w:t>U.S. Treasury securities, item 1.b(1)</w:t>
            </w:r>
          </w:p>
          <w:p w:rsidR="003C0E8E" w:rsidRPr="000D7C1E" w:rsidRDefault="003C0E8E" w:rsidP="003C0E8E">
            <w:pPr>
              <w:keepNext/>
              <w:keepLines/>
              <w:widowControl/>
              <w:tabs>
                <w:tab w:val="left" w:pos="-2640"/>
                <w:tab w:val="left" w:pos="-1560"/>
                <w:tab w:val="left" w:pos="150"/>
              </w:tabs>
              <w:ind w:left="60" w:hanging="90"/>
              <w:rPr>
                <w:sz w:val="18"/>
                <w:szCs w:val="18"/>
              </w:rPr>
            </w:pPr>
            <w:r w:rsidRPr="000D7C1E">
              <w:rPr>
                <w:sz w:val="18"/>
                <w:szCs w:val="18"/>
              </w:rPr>
              <w:t>+</w:t>
            </w:r>
            <w:r w:rsidRPr="000D7C1E">
              <w:rPr>
                <w:sz w:val="18"/>
                <w:szCs w:val="18"/>
              </w:rPr>
              <w:tab/>
              <w:t>U.S. government agency obligations, item 1.b(2)</w:t>
            </w:r>
          </w:p>
          <w:p w:rsidR="003C0E8E" w:rsidRPr="000D7C1E" w:rsidRDefault="003C0E8E" w:rsidP="003C0E8E">
            <w:pPr>
              <w:keepNext/>
              <w:keepLines/>
              <w:widowControl/>
              <w:tabs>
                <w:tab w:val="left" w:pos="-2640"/>
                <w:tab w:val="left" w:pos="-1560"/>
                <w:tab w:val="left" w:pos="150"/>
              </w:tabs>
              <w:ind w:left="60" w:hanging="90"/>
              <w:rPr>
                <w:sz w:val="18"/>
                <w:szCs w:val="18"/>
              </w:rPr>
            </w:pPr>
            <w:r w:rsidRPr="000D7C1E">
              <w:rPr>
                <w:sz w:val="18"/>
                <w:szCs w:val="18"/>
              </w:rPr>
              <w:t>+</w:t>
            </w:r>
            <w:r w:rsidRPr="000D7C1E">
              <w:rPr>
                <w:sz w:val="18"/>
                <w:szCs w:val="18"/>
              </w:rPr>
              <w:tab/>
              <w:t>Securities of foreign gov</w:t>
            </w:r>
            <w:r w:rsidRPr="000D7C1E">
              <w:rPr>
                <w:sz w:val="18"/>
                <w:szCs w:val="18"/>
              </w:rPr>
              <w:softHyphen/>
              <w:t>ernments and official insti</w:t>
            </w:r>
            <w:r w:rsidRPr="000D7C1E">
              <w:rPr>
                <w:sz w:val="18"/>
                <w:szCs w:val="18"/>
              </w:rPr>
              <w:softHyphen/>
              <w:t>tutions, item 1.c(1), Col. A minus Col. B</w:t>
            </w:r>
          </w:p>
          <w:p w:rsidR="003C0E8E" w:rsidRPr="000D7C1E" w:rsidRDefault="003C0E8E" w:rsidP="003C0E8E">
            <w:pPr>
              <w:keepNext/>
              <w:keepLines/>
              <w:widowControl/>
              <w:tabs>
                <w:tab w:val="left" w:pos="-2640"/>
                <w:tab w:val="left" w:pos="-1560"/>
                <w:tab w:val="left" w:pos="150"/>
              </w:tabs>
              <w:ind w:left="60" w:hanging="90"/>
              <w:rPr>
                <w:sz w:val="18"/>
                <w:szCs w:val="18"/>
              </w:rPr>
            </w:pPr>
            <w:r w:rsidRPr="000D7C1E">
              <w:rPr>
                <w:sz w:val="18"/>
                <w:szCs w:val="18"/>
              </w:rPr>
              <w:t>+</w:t>
            </w:r>
            <w:r w:rsidRPr="000D7C1E">
              <w:rPr>
                <w:sz w:val="18"/>
                <w:szCs w:val="18"/>
              </w:rPr>
              <w:tab/>
              <w:t xml:space="preserve">Mortgage-backed securities </w:t>
            </w:r>
            <w:bookmarkStart w:id="1" w:name="OLE_LINK4"/>
            <w:r w:rsidRPr="000D7C1E">
              <w:rPr>
                <w:sz w:val="18"/>
                <w:szCs w:val="18"/>
              </w:rPr>
              <w:t xml:space="preserve">issued or guaranteed by U.S. Govt. agencies, </w:t>
            </w:r>
            <w:bookmarkEnd w:id="1"/>
            <w:r w:rsidRPr="000D7C1E">
              <w:rPr>
                <w:sz w:val="18"/>
                <w:szCs w:val="18"/>
              </w:rPr>
              <w:t>item 1.c(2)a, Col. A minus Col. B</w:t>
            </w:r>
          </w:p>
          <w:p w:rsidR="003C0E8E" w:rsidRPr="000D7C1E" w:rsidRDefault="003C0E8E" w:rsidP="003C0E8E">
            <w:pPr>
              <w:widowControl/>
              <w:tabs>
                <w:tab w:val="left" w:pos="150"/>
              </w:tabs>
              <w:ind w:left="60" w:hanging="90"/>
              <w:rPr>
                <w:sz w:val="18"/>
                <w:szCs w:val="18"/>
              </w:rPr>
            </w:pPr>
            <w:r w:rsidRPr="000D7C1E">
              <w:rPr>
                <w:sz w:val="18"/>
                <w:szCs w:val="18"/>
              </w:rPr>
              <w:t>+</w:t>
            </w:r>
            <w:r w:rsidRPr="000D7C1E">
              <w:rPr>
                <w:sz w:val="18"/>
                <w:szCs w:val="18"/>
              </w:rPr>
              <w:tab/>
              <w:t xml:space="preserve">Other </w:t>
            </w:r>
            <w:bookmarkStart w:id="2" w:name="OLE_LINK5"/>
            <w:r w:rsidRPr="000D7C1E">
              <w:rPr>
                <w:sz w:val="18"/>
                <w:szCs w:val="18"/>
              </w:rPr>
              <w:t xml:space="preserve">mortgage-backed securities, </w:t>
            </w:r>
            <w:bookmarkEnd w:id="2"/>
            <w:r w:rsidRPr="000D7C1E">
              <w:rPr>
                <w:sz w:val="18"/>
                <w:szCs w:val="18"/>
              </w:rPr>
              <w:t>item 1.c(2)b, Col. A minus Col. B</w:t>
            </w:r>
          </w:p>
          <w:p w:rsidR="003C0E8E" w:rsidRPr="000D7C1E" w:rsidRDefault="003C0E8E" w:rsidP="003C0E8E">
            <w:pPr>
              <w:widowControl/>
              <w:tabs>
                <w:tab w:val="left" w:pos="150"/>
              </w:tabs>
              <w:ind w:left="60" w:hanging="90"/>
              <w:rPr>
                <w:sz w:val="18"/>
                <w:szCs w:val="18"/>
              </w:rPr>
            </w:pPr>
            <w:r w:rsidRPr="000D7C1E">
              <w:rPr>
                <w:sz w:val="18"/>
                <w:szCs w:val="18"/>
              </w:rPr>
              <w:t xml:space="preserve">+ </w:t>
            </w:r>
            <w:r w:rsidRPr="000D7C1E">
              <w:rPr>
                <w:sz w:val="18"/>
                <w:szCs w:val="18"/>
              </w:rPr>
              <w:tab/>
            </w:r>
            <w:bookmarkStart w:id="3" w:name="OLE_LINK6"/>
            <w:r w:rsidRPr="000D7C1E">
              <w:rPr>
                <w:sz w:val="18"/>
                <w:szCs w:val="18"/>
              </w:rPr>
              <w:t>Other asset-backed securities</w:t>
            </w:r>
            <w:bookmarkEnd w:id="3"/>
            <w:r w:rsidRPr="000D7C1E">
              <w:rPr>
                <w:sz w:val="18"/>
                <w:szCs w:val="18"/>
              </w:rPr>
              <w:t>, Item 1.c(3), Column A minus Column B</w:t>
            </w:r>
          </w:p>
          <w:p w:rsidR="003C0E8E" w:rsidRPr="000D7C1E" w:rsidRDefault="003C0E8E" w:rsidP="003C0E8E">
            <w:pPr>
              <w:widowControl/>
              <w:tabs>
                <w:tab w:val="left" w:pos="150"/>
              </w:tabs>
              <w:ind w:left="60" w:hanging="90"/>
              <w:rPr>
                <w:sz w:val="18"/>
                <w:szCs w:val="18"/>
              </w:rPr>
            </w:pPr>
            <w:r w:rsidRPr="000D7C1E">
              <w:rPr>
                <w:sz w:val="18"/>
                <w:szCs w:val="18"/>
              </w:rPr>
              <w:t xml:space="preserve">+ </w:t>
            </w:r>
            <w:r w:rsidRPr="000D7C1E">
              <w:rPr>
                <w:sz w:val="18"/>
                <w:szCs w:val="18"/>
              </w:rPr>
              <w:tab/>
              <w:t>All other bonds, notes, debentures, and corporate stock (including state and local securities), Item 1.c(4), Column A minus Column B</w:t>
            </w:r>
          </w:p>
          <w:p w:rsidR="003C0E8E" w:rsidRPr="000D7C1E" w:rsidRDefault="003C0E8E" w:rsidP="003C0E8E">
            <w:pPr>
              <w:keepNext/>
              <w:keepLines/>
              <w:widowControl/>
              <w:tabs>
                <w:tab w:val="left" w:pos="-2640"/>
                <w:tab w:val="left" w:pos="-1560"/>
                <w:tab w:val="left" w:pos="150"/>
              </w:tabs>
              <w:ind w:left="60" w:hanging="90"/>
              <w:rPr>
                <w:sz w:val="18"/>
                <w:szCs w:val="18"/>
              </w:rPr>
            </w:pPr>
            <w:r w:rsidRPr="000D7C1E">
              <w:rPr>
                <w:sz w:val="18"/>
                <w:szCs w:val="18"/>
              </w:rPr>
              <w:t>+</w:t>
            </w:r>
            <w:r w:rsidRPr="000D7C1E">
              <w:rPr>
                <w:sz w:val="18"/>
                <w:szCs w:val="18"/>
              </w:rPr>
              <w:tab/>
              <w:t>Trading assets, U.S. Treasury and Agency securities, item 1.f(1), Col. A minus Col. B</w:t>
            </w:r>
          </w:p>
          <w:p w:rsidR="003C0E8E" w:rsidRDefault="003C0E8E" w:rsidP="003C0E8E">
            <w:pPr>
              <w:keepNext/>
              <w:keepLines/>
              <w:widowControl/>
              <w:tabs>
                <w:tab w:val="left" w:pos="-2640"/>
                <w:tab w:val="left" w:pos="-1560"/>
                <w:tab w:val="left" w:pos="150"/>
              </w:tabs>
              <w:spacing w:after="58"/>
              <w:ind w:left="60" w:hanging="90"/>
              <w:rPr>
                <w:sz w:val="18"/>
                <w:szCs w:val="18"/>
              </w:rPr>
            </w:pPr>
          </w:p>
          <w:p w:rsidR="003C0E8E" w:rsidRDefault="003C0E8E" w:rsidP="003C0E8E">
            <w:pPr>
              <w:keepNext/>
              <w:keepLines/>
              <w:widowControl/>
              <w:tabs>
                <w:tab w:val="left" w:pos="-2640"/>
                <w:tab w:val="left" w:pos="-1560"/>
                <w:tab w:val="left" w:pos="150"/>
              </w:tabs>
              <w:spacing w:after="58"/>
              <w:ind w:left="60" w:hanging="90"/>
              <w:rPr>
                <w:sz w:val="18"/>
                <w:szCs w:val="18"/>
              </w:rPr>
            </w:pPr>
            <w:bookmarkStart w:id="4" w:name="OLE_LINK8"/>
            <w:r w:rsidRPr="000D7C1E">
              <w:rPr>
                <w:sz w:val="18"/>
                <w:szCs w:val="18"/>
              </w:rPr>
              <w:t>+</w:t>
            </w:r>
            <w:r w:rsidRPr="000D7C1E">
              <w:rPr>
                <w:sz w:val="18"/>
                <w:szCs w:val="18"/>
              </w:rPr>
              <w:tab/>
            </w:r>
            <w:r>
              <w:rPr>
                <w:sz w:val="18"/>
                <w:szCs w:val="18"/>
              </w:rPr>
              <w:t xml:space="preserve">Trading assets: Mortgage-backed </w:t>
            </w:r>
            <w:r w:rsidRPr="000D7C1E">
              <w:rPr>
                <w:sz w:val="18"/>
                <w:szCs w:val="18"/>
              </w:rPr>
              <w:t>issued or gu</w:t>
            </w:r>
            <w:r>
              <w:rPr>
                <w:sz w:val="18"/>
                <w:szCs w:val="18"/>
              </w:rPr>
              <w:t>aranteed by U.S. Govt. agencies</w:t>
            </w:r>
            <w:r w:rsidRPr="000D7C1E">
              <w:rPr>
                <w:sz w:val="18"/>
                <w:szCs w:val="18"/>
              </w:rPr>
              <w:t>, item 1.f(2)</w:t>
            </w:r>
            <w:r>
              <w:rPr>
                <w:sz w:val="18"/>
                <w:szCs w:val="18"/>
              </w:rPr>
              <w:t>a</w:t>
            </w:r>
            <w:r w:rsidRPr="000D7C1E">
              <w:rPr>
                <w:sz w:val="18"/>
                <w:szCs w:val="18"/>
              </w:rPr>
              <w:t>, Col. A minus Col. B</w:t>
            </w:r>
          </w:p>
          <w:p w:rsidR="003C0E8E" w:rsidRDefault="003C0E8E" w:rsidP="003C0E8E">
            <w:pPr>
              <w:keepNext/>
              <w:keepLines/>
              <w:widowControl/>
              <w:tabs>
                <w:tab w:val="left" w:pos="-2640"/>
                <w:tab w:val="left" w:pos="-1560"/>
                <w:tab w:val="left" w:pos="150"/>
              </w:tabs>
              <w:spacing w:after="58"/>
              <w:ind w:left="60" w:hanging="90"/>
              <w:rPr>
                <w:sz w:val="18"/>
                <w:szCs w:val="18"/>
              </w:rPr>
            </w:pPr>
            <w:r w:rsidRPr="000D7C1E">
              <w:rPr>
                <w:sz w:val="18"/>
                <w:szCs w:val="18"/>
              </w:rPr>
              <w:t>+</w:t>
            </w:r>
            <w:r w:rsidRPr="000D7C1E">
              <w:rPr>
                <w:sz w:val="18"/>
                <w:szCs w:val="18"/>
              </w:rPr>
              <w:tab/>
            </w:r>
            <w:r>
              <w:rPr>
                <w:sz w:val="18"/>
                <w:szCs w:val="18"/>
              </w:rPr>
              <w:t xml:space="preserve">Trading assets: Other </w:t>
            </w:r>
            <w:r w:rsidRPr="000D7C1E">
              <w:rPr>
                <w:sz w:val="18"/>
                <w:szCs w:val="18"/>
              </w:rPr>
              <w:t>mortgage-backed securities, item 1.f(2)</w:t>
            </w:r>
            <w:r>
              <w:rPr>
                <w:sz w:val="18"/>
                <w:szCs w:val="18"/>
              </w:rPr>
              <w:t>b</w:t>
            </w:r>
            <w:r w:rsidRPr="000D7C1E">
              <w:rPr>
                <w:sz w:val="18"/>
                <w:szCs w:val="18"/>
              </w:rPr>
              <w:t>, Col. A minus Col. B</w:t>
            </w:r>
          </w:p>
          <w:p w:rsidR="003C0E8E" w:rsidRDefault="003C0E8E" w:rsidP="003C0E8E">
            <w:pPr>
              <w:keepNext/>
              <w:keepLines/>
              <w:widowControl/>
              <w:tabs>
                <w:tab w:val="left" w:pos="-2640"/>
                <w:tab w:val="left" w:pos="-1560"/>
                <w:tab w:val="left" w:pos="150"/>
              </w:tabs>
              <w:spacing w:after="58"/>
              <w:ind w:left="60" w:hanging="90"/>
              <w:rPr>
                <w:sz w:val="18"/>
                <w:szCs w:val="18"/>
              </w:rPr>
            </w:pPr>
            <w:r>
              <w:rPr>
                <w:sz w:val="18"/>
                <w:szCs w:val="18"/>
              </w:rPr>
              <w:t>+</w:t>
            </w:r>
            <w:r>
              <w:rPr>
                <w:sz w:val="18"/>
                <w:szCs w:val="18"/>
              </w:rPr>
              <w:tab/>
              <w:t>T</w:t>
            </w:r>
            <w:r w:rsidRPr="000D7C1E">
              <w:rPr>
                <w:sz w:val="18"/>
                <w:szCs w:val="18"/>
              </w:rPr>
              <w:t>rading assets</w:t>
            </w:r>
            <w:r>
              <w:rPr>
                <w:sz w:val="18"/>
                <w:szCs w:val="18"/>
              </w:rPr>
              <w:t xml:space="preserve">: </w:t>
            </w:r>
            <w:r w:rsidRPr="000D7C1E">
              <w:rPr>
                <w:sz w:val="18"/>
                <w:szCs w:val="18"/>
              </w:rPr>
              <w:t>Other asset-backed securities</w:t>
            </w:r>
            <w:r>
              <w:rPr>
                <w:sz w:val="18"/>
                <w:szCs w:val="18"/>
              </w:rPr>
              <w:t>, item 1.f(3</w:t>
            </w:r>
            <w:r w:rsidRPr="000D7C1E">
              <w:rPr>
                <w:sz w:val="18"/>
                <w:szCs w:val="18"/>
              </w:rPr>
              <w:t>), Col. A minus Col. B</w:t>
            </w:r>
          </w:p>
          <w:p w:rsidR="003C0E8E" w:rsidRDefault="003C0E8E" w:rsidP="003C0E8E">
            <w:pPr>
              <w:keepNext/>
              <w:keepLines/>
              <w:widowControl/>
              <w:tabs>
                <w:tab w:val="left" w:pos="-2640"/>
                <w:tab w:val="left" w:pos="-1560"/>
                <w:tab w:val="left" w:pos="150"/>
              </w:tabs>
              <w:spacing w:after="58"/>
              <w:ind w:left="60" w:hanging="90"/>
              <w:rPr>
                <w:sz w:val="18"/>
                <w:szCs w:val="18"/>
              </w:rPr>
            </w:pPr>
            <w:r w:rsidRPr="000D7C1E">
              <w:rPr>
                <w:sz w:val="18"/>
                <w:szCs w:val="18"/>
              </w:rPr>
              <w:t>+</w:t>
            </w:r>
            <w:r w:rsidRPr="000D7C1E">
              <w:rPr>
                <w:sz w:val="18"/>
                <w:szCs w:val="18"/>
              </w:rPr>
              <w:tab/>
            </w:r>
            <w:r>
              <w:rPr>
                <w:sz w:val="18"/>
                <w:szCs w:val="18"/>
              </w:rPr>
              <w:t>T</w:t>
            </w:r>
            <w:r w:rsidRPr="000D7C1E">
              <w:rPr>
                <w:sz w:val="18"/>
                <w:szCs w:val="18"/>
              </w:rPr>
              <w:t>rading assets</w:t>
            </w:r>
            <w:r>
              <w:rPr>
                <w:sz w:val="18"/>
                <w:szCs w:val="18"/>
              </w:rPr>
              <w:t>: Other securities , item 1.f(4</w:t>
            </w:r>
            <w:r w:rsidRPr="000D7C1E">
              <w:rPr>
                <w:sz w:val="18"/>
                <w:szCs w:val="18"/>
              </w:rPr>
              <w:t>), Col. A minus Col. B</w:t>
            </w:r>
          </w:p>
          <w:p w:rsidR="003C0E8E" w:rsidRPr="000D7C1E" w:rsidRDefault="003C0E8E" w:rsidP="003C0E8E">
            <w:pPr>
              <w:keepNext/>
              <w:keepLines/>
              <w:widowControl/>
              <w:tabs>
                <w:tab w:val="left" w:pos="-2640"/>
                <w:tab w:val="left" w:pos="-1560"/>
                <w:tab w:val="left" w:pos="150"/>
              </w:tabs>
              <w:spacing w:after="58"/>
              <w:ind w:left="60" w:hanging="90"/>
              <w:rPr>
                <w:sz w:val="18"/>
                <w:szCs w:val="18"/>
              </w:rPr>
            </w:pPr>
            <w:r>
              <w:rPr>
                <w:sz w:val="18"/>
                <w:szCs w:val="18"/>
              </w:rPr>
              <w:t>+</w:t>
            </w:r>
            <w:r>
              <w:rPr>
                <w:sz w:val="18"/>
                <w:szCs w:val="18"/>
              </w:rPr>
              <w:tab/>
              <w:t>T</w:t>
            </w:r>
            <w:r w:rsidRPr="000D7C1E">
              <w:rPr>
                <w:sz w:val="18"/>
                <w:szCs w:val="18"/>
              </w:rPr>
              <w:t>rading assets</w:t>
            </w:r>
            <w:r>
              <w:rPr>
                <w:sz w:val="18"/>
                <w:szCs w:val="18"/>
              </w:rPr>
              <w:t xml:space="preserve">: Other </w:t>
            </w:r>
            <w:r>
              <w:rPr>
                <w:sz w:val="18"/>
                <w:szCs w:val="18"/>
              </w:rPr>
              <w:lastRenderedPageBreak/>
              <w:t>trading assets, item 1.f(5</w:t>
            </w:r>
            <w:r w:rsidRPr="000D7C1E">
              <w:rPr>
                <w:sz w:val="18"/>
                <w:szCs w:val="18"/>
              </w:rPr>
              <w:t>), Col. A minus Col. B</w:t>
            </w:r>
            <w:bookmarkEnd w:id="4"/>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tabs>
                <w:tab w:val="left" w:pos="150"/>
              </w:tabs>
              <w:spacing w:line="120" w:lineRule="exact"/>
              <w:ind w:left="-30"/>
              <w:rPr>
                <w:sz w:val="18"/>
                <w:szCs w:val="18"/>
              </w:rPr>
            </w:pPr>
          </w:p>
          <w:p w:rsidR="003C0E8E" w:rsidRPr="000D7C1E" w:rsidRDefault="003C0E8E" w:rsidP="003C0E8E">
            <w:pPr>
              <w:keepNext/>
              <w:keepLines/>
              <w:widowControl/>
              <w:tabs>
                <w:tab w:val="left" w:pos="2400"/>
                <w:tab w:val="left" w:pos="7830"/>
              </w:tabs>
              <w:ind w:hanging="30"/>
              <w:rPr>
                <w:sz w:val="18"/>
                <w:szCs w:val="18"/>
              </w:rPr>
            </w:pPr>
            <w:r w:rsidRPr="000D7C1E">
              <w:rPr>
                <w:sz w:val="18"/>
                <w:szCs w:val="18"/>
              </w:rPr>
              <w:t>Statement of Financial Condition, Assets, Investments:</w:t>
            </w:r>
          </w:p>
          <w:p w:rsidR="003C0E8E" w:rsidRPr="000D7C1E" w:rsidRDefault="003C0E8E" w:rsidP="003C0E8E">
            <w:pPr>
              <w:keepNext/>
              <w:keepLines/>
              <w:widowControl/>
              <w:tabs>
                <w:tab w:val="left" w:pos="150"/>
                <w:tab w:val="left" w:pos="222"/>
                <w:tab w:val="left" w:pos="7830"/>
              </w:tabs>
              <w:spacing w:after="58"/>
              <w:ind w:left="-30"/>
              <w:rPr>
                <w:sz w:val="18"/>
                <w:szCs w:val="18"/>
              </w:rPr>
            </w:pPr>
            <w:r w:rsidRPr="000D7C1E">
              <w:rPr>
                <w:sz w:val="18"/>
                <w:szCs w:val="18"/>
              </w:rPr>
              <w:t>+Trading securities, item 4, column E</w:t>
            </w:r>
          </w:p>
          <w:p w:rsidR="003C0E8E" w:rsidRPr="000D7C1E" w:rsidRDefault="003C0E8E" w:rsidP="003C0E8E">
            <w:pPr>
              <w:keepNext/>
              <w:keepLines/>
              <w:widowControl/>
              <w:tabs>
                <w:tab w:val="left" w:pos="150"/>
                <w:tab w:val="left" w:pos="222"/>
                <w:tab w:val="left" w:pos="7830"/>
              </w:tabs>
              <w:ind w:left="-30"/>
              <w:rPr>
                <w:sz w:val="18"/>
                <w:szCs w:val="18"/>
              </w:rPr>
            </w:pPr>
            <w:r w:rsidRPr="000D7C1E">
              <w:rPr>
                <w:sz w:val="18"/>
                <w:szCs w:val="18"/>
              </w:rPr>
              <w:t>+Available for sale securities, item 5, column E</w:t>
            </w:r>
          </w:p>
          <w:p w:rsidR="003C0E8E" w:rsidRPr="000D7C1E" w:rsidRDefault="003C0E8E" w:rsidP="003C0E8E">
            <w:pPr>
              <w:keepNext/>
              <w:keepLines/>
              <w:widowControl/>
              <w:tabs>
                <w:tab w:val="left" w:pos="150"/>
                <w:tab w:val="left" w:pos="222"/>
                <w:tab w:val="left" w:pos="7830"/>
              </w:tabs>
              <w:ind w:hanging="30"/>
              <w:rPr>
                <w:sz w:val="18"/>
                <w:szCs w:val="18"/>
              </w:rPr>
            </w:pPr>
            <w:r w:rsidRPr="000D7C1E">
              <w:rPr>
                <w:sz w:val="18"/>
                <w:szCs w:val="18"/>
              </w:rPr>
              <w:t>+Held-to-maturity securities, item 6, column E</w:t>
            </w:r>
          </w:p>
          <w:p w:rsidR="003C0E8E" w:rsidRPr="000D7C1E" w:rsidRDefault="003C0E8E" w:rsidP="003C0E8E">
            <w:pPr>
              <w:keepNext/>
              <w:keepLines/>
              <w:widowControl/>
              <w:tabs>
                <w:tab w:val="left" w:pos="150"/>
                <w:tab w:val="left" w:pos="222"/>
                <w:tab w:val="left" w:pos="7830"/>
              </w:tabs>
              <w:spacing w:after="58"/>
              <w:ind w:left="-30"/>
              <w:rPr>
                <w:sz w:val="18"/>
                <w:szCs w:val="18"/>
              </w:rPr>
            </w:pPr>
          </w:p>
        </w:tc>
      </w:tr>
      <w:tr w:rsidR="003C0E8E" w:rsidRPr="000D7C1E" w:rsidTr="003C0E8E">
        <w:tc>
          <w:tcPr>
            <w:tcW w:w="99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45" w:firstLine="15"/>
              <w:rPr>
                <w:b/>
                <w:sz w:val="18"/>
                <w:szCs w:val="18"/>
              </w:rPr>
            </w:pPr>
          </w:p>
          <w:p w:rsidR="003C0E8E" w:rsidRPr="000D7C1E" w:rsidRDefault="003C0E8E" w:rsidP="003C0E8E">
            <w:pPr>
              <w:keepNext/>
              <w:keepLines/>
              <w:widowControl/>
              <w:tabs>
                <w:tab w:val="left" w:pos="222"/>
                <w:tab w:val="left" w:pos="7830"/>
              </w:tabs>
              <w:spacing w:after="58"/>
              <w:ind w:left="-45" w:firstLine="15"/>
              <w:rPr>
                <w:b/>
                <w:sz w:val="18"/>
                <w:szCs w:val="18"/>
              </w:rPr>
            </w:pPr>
            <w:r w:rsidRPr="000D7C1E">
              <w:rPr>
                <w:b/>
                <w:sz w:val="18"/>
                <w:szCs w:val="18"/>
              </w:rPr>
              <w:t>Total loans</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60"/>
              <w:rPr>
                <w:sz w:val="18"/>
                <w:szCs w:val="18"/>
              </w:rPr>
            </w:pPr>
          </w:p>
          <w:p w:rsidR="003C0E8E" w:rsidRPr="000D7C1E" w:rsidRDefault="003C0E8E" w:rsidP="003C0E8E">
            <w:pPr>
              <w:keepNext/>
              <w:keepLines/>
              <w:widowControl/>
              <w:tabs>
                <w:tab w:val="left" w:pos="222"/>
                <w:tab w:val="left" w:pos="7830"/>
              </w:tabs>
              <w:ind w:left="60" w:hanging="60"/>
              <w:rPr>
                <w:sz w:val="18"/>
                <w:szCs w:val="18"/>
              </w:rPr>
            </w:pPr>
            <w:r w:rsidRPr="000D7C1E">
              <w:rPr>
                <w:sz w:val="18"/>
                <w:szCs w:val="18"/>
              </w:rPr>
              <w:t>Schedule RC-C</w:t>
            </w:r>
            <w:r>
              <w:rPr>
                <w:sz w:val="18"/>
                <w:szCs w:val="18"/>
              </w:rPr>
              <w:t xml:space="preserve"> </w:t>
            </w:r>
            <w:r w:rsidRPr="000D7C1E">
              <w:rPr>
                <w:sz w:val="18"/>
                <w:szCs w:val="18"/>
              </w:rPr>
              <w:t>Loans and Lease Financing Receivables, Part I. Total loans and leases, net of unearned income,</w:t>
            </w:r>
          </w:p>
          <w:p w:rsidR="003C0E8E" w:rsidRPr="000D7C1E" w:rsidRDefault="003C0E8E" w:rsidP="003C0E8E">
            <w:pPr>
              <w:keepNext/>
              <w:keepLines/>
              <w:widowControl/>
              <w:tabs>
                <w:tab w:val="left" w:pos="222"/>
                <w:tab w:val="left" w:pos="7830"/>
              </w:tabs>
              <w:spacing w:after="58"/>
              <w:ind w:left="60" w:hanging="60"/>
              <w:rPr>
                <w:sz w:val="18"/>
                <w:szCs w:val="18"/>
              </w:rPr>
            </w:pPr>
            <w:r w:rsidRPr="000D7C1E">
              <w:rPr>
                <w:sz w:val="18"/>
                <w:szCs w:val="18"/>
              </w:rPr>
              <w:t>Column B, item 12</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60"/>
              <w:rPr>
                <w:sz w:val="18"/>
                <w:szCs w:val="18"/>
              </w:rPr>
            </w:pPr>
          </w:p>
          <w:p w:rsidR="003C0E8E" w:rsidRPr="000D7C1E" w:rsidRDefault="003C0E8E" w:rsidP="003C0E8E">
            <w:pPr>
              <w:keepNext/>
              <w:keepLines/>
              <w:widowControl/>
              <w:tabs>
                <w:tab w:val="left" w:pos="222"/>
                <w:tab w:val="left" w:pos="7830"/>
              </w:tabs>
              <w:spacing w:after="58"/>
              <w:rPr>
                <w:sz w:val="18"/>
                <w:szCs w:val="18"/>
              </w:rPr>
            </w:pPr>
            <w:r w:rsidRPr="000D7C1E">
              <w:rPr>
                <w:sz w:val="18"/>
                <w:szCs w:val="18"/>
              </w:rPr>
              <w:t>Schedule RC-C Loans and Lease Financing Receivables, Part I. Total loans and leases, net of unearned income,  Column B, item 12</w:t>
            </w:r>
          </w:p>
        </w:tc>
        <w:tc>
          <w:tcPr>
            <w:tcW w:w="24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90"/>
              <w:rPr>
                <w:sz w:val="18"/>
                <w:szCs w:val="18"/>
              </w:rPr>
            </w:pPr>
          </w:p>
          <w:p w:rsidR="003C0E8E" w:rsidRPr="000D7C1E" w:rsidRDefault="003C0E8E" w:rsidP="003C0E8E">
            <w:pPr>
              <w:keepNext/>
              <w:keepLines/>
              <w:widowControl/>
              <w:tabs>
                <w:tab w:val="left" w:pos="222"/>
                <w:tab w:val="left" w:pos="7830"/>
              </w:tabs>
              <w:spacing w:after="58"/>
              <w:ind w:left="60" w:hanging="90"/>
              <w:rPr>
                <w:sz w:val="18"/>
                <w:szCs w:val="18"/>
              </w:rPr>
            </w:pPr>
            <w:r w:rsidRPr="000D7C1E">
              <w:rPr>
                <w:sz w:val="18"/>
                <w:szCs w:val="18"/>
              </w:rPr>
              <w:t>Schedule RAL Assets and Liabilities, Loans and leases, net of unearned income, item 1.e, Col. A minus Col. B</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sz w:val="18"/>
                <w:szCs w:val="18"/>
              </w:rPr>
            </w:pPr>
          </w:p>
          <w:p w:rsidR="003C0E8E" w:rsidRPr="000D7C1E" w:rsidRDefault="003C0E8E" w:rsidP="003C0E8E">
            <w:pPr>
              <w:keepNext/>
              <w:keepLines/>
              <w:widowControl/>
              <w:tabs>
                <w:tab w:val="left" w:pos="222"/>
                <w:tab w:val="left" w:pos="7830"/>
              </w:tabs>
              <w:spacing w:after="58"/>
              <w:rPr>
                <w:sz w:val="18"/>
                <w:szCs w:val="18"/>
              </w:rPr>
            </w:pPr>
            <w:r w:rsidRPr="000D7C1E">
              <w:rPr>
                <w:sz w:val="18"/>
                <w:szCs w:val="18"/>
              </w:rPr>
              <w:t>Statement of Financial Condition, Assets, item 23, amount</w:t>
            </w:r>
          </w:p>
        </w:tc>
      </w:tr>
      <w:tr w:rsidR="003C0E8E" w:rsidRPr="000D7C1E" w:rsidTr="003C0E8E">
        <w:tc>
          <w:tcPr>
            <w:tcW w:w="99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45" w:firstLine="15"/>
              <w:rPr>
                <w:b/>
                <w:sz w:val="18"/>
                <w:szCs w:val="18"/>
              </w:rPr>
            </w:pPr>
          </w:p>
          <w:p w:rsidR="003C0E8E" w:rsidRPr="000D7C1E" w:rsidRDefault="003C0E8E" w:rsidP="003C0E8E">
            <w:pPr>
              <w:keepNext/>
              <w:keepLines/>
              <w:widowControl/>
              <w:tabs>
                <w:tab w:val="left" w:pos="222"/>
                <w:tab w:val="left" w:pos="7830"/>
              </w:tabs>
              <w:ind w:left="-45" w:firstLine="15"/>
              <w:rPr>
                <w:b/>
                <w:sz w:val="18"/>
                <w:szCs w:val="18"/>
              </w:rPr>
            </w:pPr>
            <w:r w:rsidRPr="000D7C1E">
              <w:rPr>
                <w:b/>
                <w:sz w:val="18"/>
                <w:szCs w:val="18"/>
              </w:rPr>
              <w:t>Total</w:t>
            </w:r>
          </w:p>
          <w:p w:rsidR="003C0E8E" w:rsidRPr="000D7C1E" w:rsidRDefault="003C0E8E" w:rsidP="003C0E8E">
            <w:pPr>
              <w:keepNext/>
              <w:keepLines/>
              <w:widowControl/>
              <w:tabs>
                <w:tab w:val="left" w:pos="222"/>
                <w:tab w:val="left" w:pos="7830"/>
              </w:tabs>
              <w:spacing w:after="58"/>
              <w:ind w:left="-45" w:firstLine="15"/>
              <w:rPr>
                <w:b/>
                <w:sz w:val="18"/>
                <w:szCs w:val="18"/>
              </w:rPr>
            </w:pPr>
            <w:r w:rsidRPr="000D7C1E">
              <w:rPr>
                <w:b/>
                <w:sz w:val="18"/>
                <w:szCs w:val="18"/>
              </w:rPr>
              <w:t>assets</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60"/>
              <w:rPr>
                <w:sz w:val="18"/>
                <w:szCs w:val="18"/>
              </w:rPr>
            </w:pPr>
          </w:p>
          <w:p w:rsidR="003C0E8E" w:rsidRPr="000D7C1E" w:rsidRDefault="003C0E8E" w:rsidP="003C0E8E">
            <w:pPr>
              <w:keepNext/>
              <w:keepLines/>
              <w:widowControl/>
              <w:tabs>
                <w:tab w:val="left" w:pos="150"/>
                <w:tab w:val="left" w:pos="7830"/>
              </w:tabs>
              <w:ind w:left="60" w:hanging="60"/>
              <w:rPr>
                <w:sz w:val="18"/>
                <w:szCs w:val="18"/>
              </w:rPr>
            </w:pPr>
            <w:r w:rsidRPr="000D7C1E">
              <w:rPr>
                <w:sz w:val="18"/>
                <w:szCs w:val="18"/>
              </w:rPr>
              <w:t>Schedule RC-H Selected Bal</w:t>
            </w:r>
            <w:r w:rsidRPr="000D7C1E">
              <w:rPr>
                <w:sz w:val="18"/>
                <w:szCs w:val="18"/>
              </w:rPr>
              <w:softHyphen/>
              <w:t>ance Sheet Items for Do</w:t>
            </w:r>
            <w:r w:rsidRPr="000D7C1E">
              <w:rPr>
                <w:sz w:val="18"/>
                <w:szCs w:val="18"/>
              </w:rPr>
              <w:softHyphen/>
              <w:t>mestic Offices</w:t>
            </w:r>
          </w:p>
          <w:p w:rsidR="003C0E8E" w:rsidRPr="000D7C1E" w:rsidRDefault="003C0E8E" w:rsidP="003C0E8E">
            <w:pPr>
              <w:keepNext/>
              <w:keepLines/>
              <w:widowControl/>
              <w:tabs>
                <w:tab w:val="left" w:pos="150"/>
                <w:tab w:val="left" w:pos="7830"/>
              </w:tabs>
              <w:ind w:left="60" w:hanging="60"/>
              <w:rPr>
                <w:sz w:val="18"/>
                <w:szCs w:val="18"/>
              </w:rPr>
            </w:pPr>
            <w:r w:rsidRPr="000D7C1E">
              <w:rPr>
                <w:sz w:val="18"/>
                <w:szCs w:val="18"/>
              </w:rPr>
              <w:t>+</w:t>
            </w:r>
            <w:r w:rsidRPr="000D7C1E">
              <w:rPr>
                <w:sz w:val="18"/>
                <w:szCs w:val="18"/>
              </w:rPr>
              <w:tab/>
              <w:t xml:space="preserve">Net due </w:t>
            </w:r>
            <w:r w:rsidRPr="000D7C1E">
              <w:rPr>
                <w:i/>
                <w:iCs/>
                <w:sz w:val="18"/>
                <w:szCs w:val="18"/>
              </w:rPr>
              <w:t>from</w:t>
            </w:r>
            <w:r w:rsidRPr="000D7C1E">
              <w:rPr>
                <w:sz w:val="18"/>
                <w:szCs w:val="18"/>
              </w:rPr>
              <w:t xml:space="preserve"> own foreign offices, Edge and agree</w:t>
            </w:r>
            <w:r w:rsidRPr="000D7C1E">
              <w:rPr>
                <w:sz w:val="18"/>
                <w:szCs w:val="18"/>
              </w:rPr>
              <w:softHyphen/>
              <w:t>ment subsidiaries, and IBFs, item 6</w:t>
            </w:r>
          </w:p>
          <w:p w:rsidR="003C0E8E" w:rsidRPr="000D7C1E" w:rsidRDefault="003C0E8E" w:rsidP="003C0E8E">
            <w:pPr>
              <w:keepNext/>
              <w:keepLines/>
              <w:widowControl/>
              <w:tabs>
                <w:tab w:val="left" w:pos="150"/>
                <w:tab w:val="left" w:pos="7830"/>
              </w:tabs>
              <w:spacing w:after="58"/>
              <w:ind w:left="60" w:hanging="60"/>
              <w:rPr>
                <w:sz w:val="18"/>
                <w:szCs w:val="18"/>
              </w:rPr>
            </w:pPr>
            <w:r w:rsidRPr="000D7C1E">
              <w:rPr>
                <w:sz w:val="18"/>
                <w:szCs w:val="18"/>
              </w:rPr>
              <w:t>+</w:t>
            </w:r>
            <w:r w:rsidRPr="000D7C1E">
              <w:rPr>
                <w:sz w:val="18"/>
                <w:szCs w:val="18"/>
              </w:rPr>
              <w:tab/>
              <w:t>Total assets (excludes net due from own foreign of</w:t>
            </w:r>
            <w:r w:rsidRPr="000D7C1E">
              <w:rPr>
                <w:sz w:val="18"/>
                <w:szCs w:val="18"/>
              </w:rPr>
              <w:softHyphen/>
              <w:t>fices, Edge and agreement subsidiaries, and IBFs), item 8</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sz w:val="18"/>
                <w:szCs w:val="18"/>
              </w:rPr>
            </w:pPr>
          </w:p>
          <w:p w:rsidR="003C0E8E" w:rsidRPr="000D7C1E" w:rsidRDefault="003C0E8E" w:rsidP="003C0E8E">
            <w:pPr>
              <w:keepNext/>
              <w:keepLines/>
              <w:widowControl/>
              <w:tabs>
                <w:tab w:val="left" w:pos="222"/>
                <w:tab w:val="left" w:pos="7830"/>
              </w:tabs>
              <w:spacing w:after="58"/>
              <w:rPr>
                <w:sz w:val="18"/>
                <w:szCs w:val="18"/>
              </w:rPr>
            </w:pPr>
            <w:r w:rsidRPr="000D7C1E">
              <w:rPr>
                <w:sz w:val="18"/>
                <w:szCs w:val="18"/>
              </w:rPr>
              <w:t xml:space="preserve">Schedule RC Balance Sheet, item 12 </w:t>
            </w:r>
          </w:p>
        </w:tc>
        <w:tc>
          <w:tcPr>
            <w:tcW w:w="24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90"/>
              <w:rPr>
                <w:sz w:val="18"/>
                <w:szCs w:val="18"/>
              </w:rPr>
            </w:pPr>
          </w:p>
          <w:p w:rsidR="003C0E8E" w:rsidRPr="000D7C1E" w:rsidRDefault="003C0E8E" w:rsidP="003C0E8E">
            <w:pPr>
              <w:keepNext/>
              <w:keepLines/>
              <w:widowControl/>
              <w:tabs>
                <w:tab w:val="left" w:pos="222"/>
                <w:tab w:val="left" w:pos="7830"/>
              </w:tabs>
              <w:spacing w:after="58"/>
              <w:ind w:left="60" w:hanging="90"/>
              <w:rPr>
                <w:sz w:val="18"/>
                <w:szCs w:val="18"/>
              </w:rPr>
            </w:pPr>
            <w:r w:rsidRPr="000D7C1E">
              <w:rPr>
                <w:sz w:val="18"/>
                <w:szCs w:val="18"/>
              </w:rPr>
              <w:t>Schedule RAL Assets and Liabilities, item 3, Col. A mi</w:t>
            </w:r>
            <w:r w:rsidRPr="000D7C1E">
              <w:rPr>
                <w:sz w:val="18"/>
                <w:szCs w:val="18"/>
              </w:rPr>
              <w:softHyphen/>
              <w:t>nus Col. B</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sz w:val="18"/>
                <w:szCs w:val="18"/>
              </w:rPr>
            </w:pPr>
          </w:p>
          <w:p w:rsidR="003C0E8E" w:rsidRPr="000D7C1E" w:rsidRDefault="003C0E8E" w:rsidP="003C0E8E">
            <w:pPr>
              <w:keepNext/>
              <w:keepLines/>
              <w:widowControl/>
              <w:tabs>
                <w:tab w:val="left" w:pos="222"/>
                <w:tab w:val="left" w:pos="7830"/>
              </w:tabs>
              <w:rPr>
                <w:sz w:val="18"/>
                <w:szCs w:val="18"/>
              </w:rPr>
            </w:pPr>
            <w:r w:rsidRPr="000D7C1E">
              <w:rPr>
                <w:sz w:val="18"/>
                <w:szCs w:val="18"/>
              </w:rPr>
              <w:t xml:space="preserve">Statement of </w:t>
            </w:r>
          </w:p>
          <w:p w:rsidR="003C0E8E" w:rsidRPr="000D7C1E" w:rsidRDefault="003C0E8E" w:rsidP="003C0E8E">
            <w:pPr>
              <w:keepNext/>
              <w:keepLines/>
              <w:widowControl/>
              <w:tabs>
                <w:tab w:val="left" w:pos="222"/>
                <w:tab w:val="left" w:pos="7830"/>
              </w:tabs>
              <w:spacing w:after="58"/>
              <w:rPr>
                <w:sz w:val="18"/>
                <w:szCs w:val="18"/>
              </w:rPr>
            </w:pPr>
            <w:r w:rsidRPr="000D7C1E">
              <w:rPr>
                <w:sz w:val="18"/>
                <w:szCs w:val="18"/>
              </w:rPr>
              <w:t>Financial Condition, item 31</w:t>
            </w:r>
          </w:p>
        </w:tc>
      </w:tr>
      <w:tr w:rsidR="003C0E8E" w:rsidRPr="000D7C1E" w:rsidTr="003C0E8E">
        <w:tc>
          <w:tcPr>
            <w:tcW w:w="99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45" w:firstLine="15"/>
              <w:rPr>
                <w:b/>
                <w:sz w:val="18"/>
                <w:szCs w:val="18"/>
              </w:rPr>
            </w:pPr>
          </w:p>
          <w:p w:rsidR="003C0E8E" w:rsidRPr="000D7C1E" w:rsidRDefault="003C0E8E" w:rsidP="003C0E8E">
            <w:pPr>
              <w:keepNext/>
              <w:keepLines/>
              <w:widowControl/>
              <w:tabs>
                <w:tab w:val="left" w:pos="222"/>
                <w:tab w:val="left" w:pos="7830"/>
              </w:tabs>
              <w:ind w:left="-45" w:firstLine="15"/>
              <w:rPr>
                <w:b/>
                <w:sz w:val="18"/>
                <w:szCs w:val="18"/>
              </w:rPr>
            </w:pPr>
            <w:r w:rsidRPr="000D7C1E">
              <w:rPr>
                <w:b/>
                <w:sz w:val="18"/>
                <w:szCs w:val="18"/>
              </w:rPr>
              <w:t xml:space="preserve">Total </w:t>
            </w:r>
          </w:p>
          <w:p w:rsidR="003C0E8E" w:rsidRPr="000D7C1E" w:rsidRDefault="003C0E8E" w:rsidP="003C0E8E">
            <w:pPr>
              <w:keepNext/>
              <w:keepLines/>
              <w:widowControl/>
              <w:tabs>
                <w:tab w:val="left" w:pos="222"/>
                <w:tab w:val="left" w:pos="7830"/>
              </w:tabs>
              <w:spacing w:after="58"/>
              <w:ind w:left="-45" w:firstLine="15"/>
              <w:rPr>
                <w:b/>
                <w:sz w:val="18"/>
                <w:szCs w:val="18"/>
              </w:rPr>
            </w:pPr>
            <w:r w:rsidRPr="000D7C1E">
              <w:rPr>
                <w:b/>
                <w:sz w:val="18"/>
                <w:szCs w:val="18"/>
              </w:rPr>
              <w:t>deposits</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60"/>
              <w:rPr>
                <w:sz w:val="18"/>
                <w:szCs w:val="18"/>
              </w:rPr>
            </w:pPr>
          </w:p>
          <w:p w:rsidR="003C0E8E" w:rsidRPr="000D7C1E" w:rsidRDefault="003C0E8E" w:rsidP="003C0E8E">
            <w:pPr>
              <w:keepNext/>
              <w:keepLines/>
              <w:widowControl/>
              <w:tabs>
                <w:tab w:val="left" w:pos="222"/>
                <w:tab w:val="left" w:pos="7830"/>
              </w:tabs>
              <w:spacing w:after="58"/>
              <w:ind w:left="60" w:hanging="60"/>
              <w:rPr>
                <w:sz w:val="18"/>
                <w:szCs w:val="18"/>
              </w:rPr>
            </w:pPr>
            <w:r w:rsidRPr="000D7C1E">
              <w:rPr>
                <w:sz w:val="18"/>
                <w:szCs w:val="18"/>
              </w:rPr>
              <w:t>Schedule RC Balance Sheet, Deposits in domestic offices, item 13.a</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sz w:val="18"/>
                <w:szCs w:val="18"/>
              </w:rPr>
            </w:pPr>
          </w:p>
          <w:p w:rsidR="003C0E8E" w:rsidRPr="000D7C1E" w:rsidRDefault="003C0E8E" w:rsidP="003C0E8E">
            <w:pPr>
              <w:keepNext/>
              <w:keepLines/>
              <w:widowControl/>
              <w:tabs>
                <w:tab w:val="left" w:pos="222"/>
                <w:tab w:val="left" w:pos="7830"/>
              </w:tabs>
              <w:spacing w:after="58"/>
              <w:rPr>
                <w:sz w:val="18"/>
                <w:szCs w:val="18"/>
              </w:rPr>
            </w:pPr>
            <w:r w:rsidRPr="000D7C1E">
              <w:rPr>
                <w:sz w:val="18"/>
                <w:szCs w:val="18"/>
              </w:rPr>
              <w:t>Schedule RC Balance Sheet, Deposits in domestic offices, item 13.a</w:t>
            </w:r>
          </w:p>
        </w:tc>
        <w:tc>
          <w:tcPr>
            <w:tcW w:w="24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ind w:left="60" w:hanging="90"/>
              <w:rPr>
                <w:sz w:val="18"/>
                <w:szCs w:val="18"/>
              </w:rPr>
            </w:pPr>
          </w:p>
          <w:p w:rsidR="003C0E8E" w:rsidRPr="000D7C1E" w:rsidRDefault="003C0E8E" w:rsidP="003C0E8E">
            <w:pPr>
              <w:keepNext/>
              <w:keepLines/>
              <w:widowControl/>
              <w:tabs>
                <w:tab w:val="left" w:pos="222"/>
                <w:tab w:val="left" w:pos="7830"/>
              </w:tabs>
              <w:spacing w:after="58"/>
              <w:ind w:left="60" w:hanging="90"/>
              <w:rPr>
                <w:sz w:val="18"/>
                <w:szCs w:val="18"/>
              </w:rPr>
            </w:pPr>
            <w:r w:rsidRPr="000D7C1E">
              <w:rPr>
                <w:sz w:val="18"/>
                <w:szCs w:val="18"/>
              </w:rPr>
              <w:t>Schedule RAL Assets and Liabilities, Total deposits and credit balances, item 4.a, Col. A minus Col. B</w:t>
            </w:r>
          </w:p>
        </w:tc>
        <w:tc>
          <w:tcPr>
            <w:tcW w:w="1530" w:type="dxa"/>
            <w:tcBorders>
              <w:top w:val="single" w:sz="7" w:space="0" w:color="000000"/>
              <w:left w:val="single" w:sz="7" w:space="0" w:color="000000"/>
              <w:bottom w:val="single" w:sz="7" w:space="0" w:color="000000"/>
              <w:right w:val="single" w:sz="7" w:space="0" w:color="000000"/>
            </w:tcBorders>
          </w:tcPr>
          <w:p w:rsidR="003C0E8E" w:rsidRPr="000D7C1E" w:rsidRDefault="003C0E8E" w:rsidP="003C0E8E">
            <w:pPr>
              <w:spacing w:line="120" w:lineRule="exact"/>
              <w:rPr>
                <w:sz w:val="18"/>
                <w:szCs w:val="18"/>
              </w:rPr>
            </w:pPr>
          </w:p>
          <w:p w:rsidR="003C0E8E" w:rsidRPr="000D7C1E" w:rsidRDefault="003C0E8E" w:rsidP="003C0E8E">
            <w:pPr>
              <w:keepLines/>
              <w:widowControl/>
              <w:tabs>
                <w:tab w:val="left" w:pos="222"/>
                <w:tab w:val="left" w:pos="7830"/>
              </w:tabs>
              <w:spacing w:after="58"/>
              <w:rPr>
                <w:sz w:val="18"/>
                <w:szCs w:val="18"/>
              </w:rPr>
            </w:pPr>
            <w:r w:rsidRPr="000D7C1E">
              <w:rPr>
                <w:sz w:val="18"/>
                <w:szCs w:val="18"/>
              </w:rPr>
              <w:t>Statement of Financial Condition, Shares/Deposits, Total shares and deposits, item 17, column C</w:t>
            </w:r>
          </w:p>
        </w:tc>
      </w:tr>
    </w:tbl>
    <w:p w:rsidR="003C0E8E" w:rsidRPr="000D7C1E" w:rsidRDefault="003C0E8E" w:rsidP="003C0E8E"/>
    <w:p w:rsidR="003C0E8E" w:rsidRPr="000D7C1E" w:rsidRDefault="003C0E8E" w:rsidP="003C0E8E">
      <w:pPr>
        <w:widowControl/>
        <w:tabs>
          <w:tab w:val="left" w:pos="360"/>
        </w:tabs>
      </w:pPr>
      <w:r w:rsidRPr="000D7C1E">
        <w:rPr>
          <w:b/>
          <w:bCs/>
        </w:rPr>
        <w:tab/>
        <w:t>Reporting Panel</w:t>
      </w:r>
    </w:p>
    <w:p w:rsidR="003C0E8E" w:rsidRPr="000D7C1E" w:rsidRDefault="003C0E8E" w:rsidP="003C0E8E">
      <w:pPr>
        <w:widowControl/>
        <w:tabs>
          <w:tab w:val="left" w:pos="360"/>
        </w:tabs>
      </w:pPr>
    </w:p>
    <w:p w:rsidR="003C0E8E" w:rsidRDefault="003C0E8E" w:rsidP="003C0E8E">
      <w:pPr>
        <w:widowControl/>
        <w:tabs>
          <w:tab w:val="left" w:pos="360"/>
        </w:tabs>
        <w:ind w:right="-90" w:firstLine="360"/>
      </w:pPr>
      <w:r w:rsidRPr="000D7C1E">
        <w:t xml:space="preserve">The reporting panel for the FR 2046 changes from week to week.  Any depository institution that maintains </w:t>
      </w:r>
      <w:proofErr w:type="spellStart"/>
      <w:r w:rsidRPr="000D7C1E">
        <w:t>reservable</w:t>
      </w:r>
      <w:proofErr w:type="spellEnd"/>
      <w:r w:rsidRPr="000D7C1E">
        <w:t xml:space="preserve"> deposits is eligible to borrow at the discount window.  Approximately 14,500 depositories are eligible to borrow at the discount window including domestic commercial banks, savings banks, savings and loan associations, credit unions, U.S. branches and agencies of foreign banks, and others.  </w:t>
      </w:r>
      <w:r>
        <w:t xml:space="preserve">However, in </w:t>
      </w:r>
      <w:r w:rsidRPr="000D7C1E">
        <w:t xml:space="preserve">any given week only a relatively small number of depositories turn to the discount window. </w:t>
      </w:r>
    </w:p>
    <w:p w:rsidR="003C0E8E" w:rsidRDefault="003C0E8E" w:rsidP="003C0E8E">
      <w:pPr>
        <w:widowControl/>
        <w:tabs>
          <w:tab w:val="left" w:pos="360"/>
        </w:tabs>
        <w:ind w:right="-90" w:firstLine="360"/>
      </w:pPr>
      <w:r w:rsidRPr="000D7C1E">
        <w:t xml:space="preserve"> </w:t>
      </w:r>
    </w:p>
    <w:p w:rsidR="003C0E8E" w:rsidRPr="000D7C1E" w:rsidRDefault="003C0E8E" w:rsidP="003C0E8E">
      <w:pPr>
        <w:widowControl/>
        <w:tabs>
          <w:tab w:val="left" w:pos="360"/>
        </w:tabs>
        <w:ind w:right="-90" w:firstLine="360"/>
      </w:pPr>
      <w:r w:rsidRPr="000D7C1E">
        <w:t>As noted above, the FR 2046 is usually not collected from primary credit borrowers</w:t>
      </w:r>
      <w:r>
        <w:t xml:space="preserve">, </w:t>
      </w:r>
      <w:r w:rsidRPr="000D7C1E">
        <w:t xml:space="preserve">and </w:t>
      </w:r>
      <w:r>
        <w:t xml:space="preserve">it </w:t>
      </w:r>
      <w:r w:rsidRPr="000D7C1E">
        <w:t xml:space="preserve">is not routinely collected from secondary credit borrowers if necessary information is available from </w:t>
      </w:r>
      <w:r w:rsidRPr="000D7C1E">
        <w:lastRenderedPageBreak/>
        <w:t>other sources.</w:t>
      </w:r>
      <w:r w:rsidRPr="007E6A60">
        <w:rPr>
          <w:rStyle w:val="FootnoteReference"/>
          <w:vertAlign w:val="superscript"/>
        </w:rPr>
        <w:footnoteReference w:id="7"/>
      </w:r>
      <w:r w:rsidRPr="000D7C1E">
        <w:t xml:space="preserve">  </w:t>
      </w:r>
      <w:r>
        <w:t xml:space="preserve">The reporting panel consists almost entirely of institutions that borrow seasonal credit.  </w:t>
      </w:r>
      <w:r w:rsidRPr="000D7C1E" w:rsidDel="007E6A60">
        <w:t>The number of seasonal credit borrowers in any given week varies considerably over the year and is generally less than 300, even during peak borrowing months, and in the past several years has been much lower than that.</w:t>
      </w:r>
      <w:r w:rsidRPr="000D7C1E">
        <w:t xml:space="preserve">  </w:t>
      </w:r>
    </w:p>
    <w:p w:rsidR="003C0E8E" w:rsidRPr="000D7C1E" w:rsidRDefault="003C0E8E" w:rsidP="003C0E8E">
      <w:pPr>
        <w:widowControl/>
        <w:tabs>
          <w:tab w:val="left" w:pos="360"/>
        </w:tabs>
        <w:ind w:right="-90"/>
        <w:rPr>
          <w:b/>
          <w:bCs/>
        </w:rPr>
      </w:pPr>
      <w:r w:rsidRPr="000D7C1E">
        <w:rPr>
          <w:b/>
          <w:bCs/>
        </w:rPr>
        <w:tab/>
      </w:r>
    </w:p>
    <w:p w:rsidR="003C0E8E" w:rsidRPr="000D7C1E" w:rsidRDefault="003C0E8E" w:rsidP="003C0E8E">
      <w:pPr>
        <w:widowControl/>
        <w:tabs>
          <w:tab w:val="left" w:pos="360"/>
        </w:tabs>
        <w:ind w:right="-90" w:firstLine="360"/>
      </w:pPr>
      <w:r w:rsidRPr="000D7C1E">
        <w:rPr>
          <w:b/>
          <w:bCs/>
        </w:rPr>
        <w:t>Frequency</w:t>
      </w:r>
    </w:p>
    <w:p w:rsidR="003C0E8E" w:rsidRPr="000D7C1E" w:rsidRDefault="003C0E8E" w:rsidP="003C0E8E">
      <w:pPr>
        <w:widowControl/>
        <w:tabs>
          <w:tab w:val="left" w:pos="360"/>
        </w:tabs>
        <w:ind w:right="-90"/>
      </w:pPr>
    </w:p>
    <w:p w:rsidR="003C0E8E" w:rsidRPr="000D7C1E" w:rsidRDefault="003C0E8E" w:rsidP="003C0E8E">
      <w:pPr>
        <w:widowControl/>
        <w:tabs>
          <w:tab w:val="left" w:pos="360"/>
        </w:tabs>
        <w:ind w:right="-90" w:firstLine="360"/>
      </w:pPr>
      <w:r w:rsidRPr="000D7C1E">
        <w:t xml:space="preserve">The FR 2046 collects data for any two-week reporting period ending on Wednesday in which borrowing was outstanding on one or more days.  The data are typically collected after the fact in one-week increments.  For example, if an institution borrows on each day of a two-week reporting period, </w:t>
      </w:r>
      <w:r>
        <w:t xml:space="preserve">the Federal Reserve </w:t>
      </w:r>
      <w:r w:rsidRPr="000D7C1E">
        <w:t>collect</w:t>
      </w:r>
      <w:r>
        <w:t>s</w:t>
      </w:r>
      <w:r w:rsidRPr="000D7C1E">
        <w:t xml:space="preserve"> FR 2046 data twice:  once to obtain data for the first week of the reporting period and a second time to obtain data for the second week of the reporting period.  If an institution borrowed only during the first week of the maintenance period (or only during the second week), FR 2046 data are still collected for both weeks of that maintenance period.  </w:t>
      </w:r>
      <w:r>
        <w:t xml:space="preserve">The Federal Reserve </w:t>
      </w:r>
      <w:r w:rsidRPr="000D7C1E">
        <w:t>indicate</w:t>
      </w:r>
      <w:r>
        <w:t>s</w:t>
      </w:r>
      <w:r w:rsidRPr="000D7C1E">
        <w:t xml:space="preserve"> the dates for which FR 2046 data are required.  For a weekly FR 2900 respondent, this period coincides with its reserve maintenance period.</w:t>
      </w:r>
    </w:p>
    <w:p w:rsidR="003C0E8E" w:rsidRPr="000D7C1E" w:rsidRDefault="003C0E8E" w:rsidP="003C0E8E">
      <w:pPr>
        <w:widowControl/>
        <w:tabs>
          <w:tab w:val="left" w:pos="360"/>
        </w:tabs>
        <w:ind w:right="-90" w:firstLine="360"/>
      </w:pPr>
    </w:p>
    <w:p w:rsidR="003C0E8E" w:rsidRPr="000D7C1E" w:rsidRDefault="003C0E8E" w:rsidP="003C0E8E">
      <w:pPr>
        <w:widowControl/>
        <w:tabs>
          <w:tab w:val="left" w:pos="360"/>
        </w:tabs>
        <w:ind w:right="-90" w:firstLine="360"/>
      </w:pPr>
      <w:r w:rsidRPr="000D7C1E">
        <w:t xml:space="preserve">For primary and secondary borrowers, the FR 2046 collects daily (business day) data.  For seasonal credit borrowers, the FR 2046 collects weekly (Wednesday) data.  </w:t>
      </w:r>
      <w:r>
        <w:t xml:space="preserve">The Federal Reserve </w:t>
      </w:r>
      <w:r w:rsidRPr="000D7C1E">
        <w:t>may collect daily data from seasonal borrowers in questionable financial condition.</w:t>
      </w:r>
    </w:p>
    <w:p w:rsidR="003C0E8E" w:rsidRPr="000D7C1E" w:rsidRDefault="003C0E8E" w:rsidP="003C0E8E">
      <w:pPr>
        <w:widowControl/>
        <w:tabs>
          <w:tab w:val="left" w:pos="360"/>
        </w:tabs>
        <w:ind w:right="-90"/>
      </w:pPr>
    </w:p>
    <w:p w:rsidR="003C0E8E" w:rsidRPr="000D7C1E" w:rsidRDefault="003C0E8E" w:rsidP="003C0E8E">
      <w:pPr>
        <w:widowControl/>
        <w:tabs>
          <w:tab w:val="left" w:pos="360"/>
        </w:tabs>
        <w:ind w:right="-90"/>
      </w:pPr>
      <w:r w:rsidRPr="000D7C1E">
        <w:rPr>
          <w:b/>
          <w:bCs/>
        </w:rPr>
        <w:t>Time Schedule for Information Collection</w:t>
      </w:r>
    </w:p>
    <w:p w:rsidR="003C0E8E" w:rsidRPr="000D7C1E" w:rsidRDefault="003C0E8E" w:rsidP="003C0E8E">
      <w:pPr>
        <w:widowControl/>
        <w:tabs>
          <w:tab w:val="left" w:pos="360"/>
        </w:tabs>
        <w:ind w:right="-90"/>
      </w:pPr>
    </w:p>
    <w:p w:rsidR="003C0E8E" w:rsidRPr="000D7C1E" w:rsidRDefault="003C0E8E" w:rsidP="003C0E8E">
      <w:pPr>
        <w:widowControl/>
        <w:tabs>
          <w:tab w:val="left" w:pos="360"/>
        </w:tabs>
        <w:ind w:right="-90" w:firstLine="360"/>
      </w:pPr>
      <w:r w:rsidRPr="000D7C1E">
        <w:t xml:space="preserve">Depository institutions are required to file the FR 2046 by the Wednesday following the end of the reporting week.  Generally, </w:t>
      </w:r>
      <w:r>
        <w:t xml:space="preserve">the Federal Reserve </w:t>
      </w:r>
      <w:r w:rsidRPr="000D7C1E">
        <w:t>receive</w:t>
      </w:r>
      <w:r>
        <w:t>s</w:t>
      </w:r>
      <w:r w:rsidRPr="000D7C1E">
        <w:t xml:space="preserve"> the data via mail or fax to the discount window or statistics department. </w:t>
      </w:r>
    </w:p>
    <w:p w:rsidR="003C0E8E" w:rsidRPr="000D7C1E" w:rsidRDefault="003C0E8E" w:rsidP="003C0E8E">
      <w:pPr>
        <w:widowControl/>
        <w:tabs>
          <w:tab w:val="left" w:pos="360"/>
        </w:tabs>
        <w:ind w:right="-90" w:firstLine="360"/>
      </w:pPr>
    </w:p>
    <w:p w:rsidR="003C0E8E" w:rsidRPr="000D7C1E" w:rsidRDefault="003C0E8E" w:rsidP="003C0E8E">
      <w:pPr>
        <w:widowControl/>
        <w:tabs>
          <w:tab w:val="left" w:pos="360"/>
        </w:tabs>
      </w:pPr>
      <w:r w:rsidRPr="000D7C1E">
        <w:rPr>
          <w:b/>
          <w:bCs/>
        </w:rPr>
        <w:t>Sensitive Questions</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rsidRPr="000D7C1E">
        <w:t>This collection of information contains no questions of a sensitive nature, as defined by OMB guidelines.</w:t>
      </w:r>
    </w:p>
    <w:p w:rsidR="003C0E8E" w:rsidRPr="000D7C1E" w:rsidRDefault="003C0E8E" w:rsidP="003C0E8E">
      <w:pPr>
        <w:keepNext/>
        <w:keepLines/>
        <w:widowControl/>
        <w:tabs>
          <w:tab w:val="left" w:pos="360"/>
        </w:tabs>
        <w:rPr>
          <w:b/>
          <w:bCs/>
        </w:rPr>
      </w:pPr>
    </w:p>
    <w:p w:rsidR="003C0E8E" w:rsidRPr="000D7C1E" w:rsidRDefault="003C0E8E" w:rsidP="003C0E8E">
      <w:pPr>
        <w:keepNext/>
        <w:keepLines/>
        <w:widowControl/>
        <w:tabs>
          <w:tab w:val="left" w:pos="360"/>
        </w:tabs>
      </w:pPr>
      <w:r w:rsidRPr="000D7C1E">
        <w:rPr>
          <w:b/>
          <w:bCs/>
        </w:rPr>
        <w:t xml:space="preserve">Consultation </w:t>
      </w:r>
      <w:proofErr w:type="gramStart"/>
      <w:r w:rsidRPr="000D7C1E">
        <w:rPr>
          <w:b/>
          <w:bCs/>
        </w:rPr>
        <w:t>Outside</w:t>
      </w:r>
      <w:proofErr w:type="gramEnd"/>
      <w:r w:rsidRPr="000D7C1E">
        <w:rPr>
          <w:b/>
          <w:bCs/>
        </w:rPr>
        <w:t xml:space="preserve"> the Agency</w:t>
      </w:r>
    </w:p>
    <w:p w:rsidR="003C0E8E" w:rsidRPr="000D7C1E" w:rsidRDefault="003C0E8E" w:rsidP="003C0E8E">
      <w:pPr>
        <w:keepNext/>
        <w:keepLines/>
        <w:widowControl/>
        <w:tabs>
          <w:tab w:val="left" w:pos="360"/>
        </w:tabs>
      </w:pPr>
    </w:p>
    <w:p w:rsidR="00406C13" w:rsidRDefault="00406C13" w:rsidP="00406C13">
      <w:pPr>
        <w:widowControl/>
        <w:autoSpaceDE/>
        <w:autoSpaceDN/>
        <w:adjustRightInd/>
        <w:ind w:firstLine="720"/>
        <w:rPr>
          <w:b/>
          <w:bCs/>
        </w:rPr>
      </w:pPr>
      <w:r w:rsidRPr="00B5353C">
        <w:rPr>
          <w:color w:val="000000"/>
        </w:rPr>
        <w:t xml:space="preserve">On </w:t>
      </w:r>
      <w:r>
        <w:rPr>
          <w:color w:val="000000"/>
        </w:rPr>
        <w:t>May 16, 2013</w:t>
      </w:r>
      <w:r w:rsidRPr="00B5353C">
        <w:rPr>
          <w:color w:val="000000"/>
        </w:rPr>
        <w:t xml:space="preserve">, the </w:t>
      </w:r>
      <w:r>
        <w:rPr>
          <w:color w:val="000000"/>
        </w:rPr>
        <w:t xml:space="preserve">Federal Reserve </w:t>
      </w:r>
      <w:r w:rsidRPr="00B5353C">
        <w:rPr>
          <w:color w:val="000000"/>
        </w:rPr>
        <w:t xml:space="preserve">published </w:t>
      </w:r>
      <w:r>
        <w:rPr>
          <w:color w:val="000000"/>
        </w:rPr>
        <w:t>a notice in the</w:t>
      </w:r>
      <w:r w:rsidRPr="00B5353C">
        <w:t xml:space="preserve"> </w:t>
      </w:r>
      <w:r w:rsidRPr="00B5353C">
        <w:rPr>
          <w:i/>
        </w:rPr>
        <w:t>Federal Register</w:t>
      </w:r>
      <w:r w:rsidRPr="00B5353C">
        <w:t xml:space="preserve"> </w:t>
      </w:r>
      <w:r>
        <w:t>(78</w:t>
      </w:r>
      <w:r w:rsidRPr="00B5353C">
        <w:t xml:space="preserve"> FR </w:t>
      </w:r>
      <w:r>
        <w:t>28846</w:t>
      </w:r>
      <w:r w:rsidRPr="00B5353C">
        <w:t>) seek</w:t>
      </w:r>
      <w:r>
        <w:t>ing</w:t>
      </w:r>
      <w:r w:rsidRPr="00B5353C">
        <w:t xml:space="preserve"> public comment</w:t>
      </w:r>
      <w:r>
        <w:t xml:space="preserve"> for 60 days on the extension, with minor revision, of the </w:t>
      </w:r>
      <w:r w:rsidRPr="00BE4CB6">
        <w:t>Report of Selected Balance Sheet Items for Discount Window Borrowers</w:t>
      </w:r>
      <w:r w:rsidRPr="00B5353C">
        <w:rPr>
          <w:color w:val="000000"/>
        </w:rPr>
        <w:t xml:space="preserve">.  </w:t>
      </w:r>
      <w:r w:rsidRPr="00B5353C">
        <w:t>The commen</w:t>
      </w:r>
      <w:r>
        <w:t>t period for this notice expire</w:t>
      </w:r>
      <w:r w:rsidR="001A3119">
        <w:t>d</w:t>
      </w:r>
      <w:r w:rsidRPr="00B5353C">
        <w:t xml:space="preserve"> on </w:t>
      </w:r>
      <w:r>
        <w:t>July 15</w:t>
      </w:r>
      <w:r w:rsidRPr="00B5353C">
        <w:t>, 20</w:t>
      </w:r>
      <w:r>
        <w:t>13</w:t>
      </w:r>
      <w:r w:rsidRPr="00B5353C">
        <w:t>.</w:t>
      </w:r>
      <w:r>
        <w:t xml:space="preserve">  </w:t>
      </w:r>
      <w:r w:rsidR="001A3119">
        <w:t xml:space="preserve">The Federal Reserve did not receive any comments.  The revision will be implemented as proposed.  On July </w:t>
      </w:r>
      <w:r w:rsidR="00FC796D">
        <w:t>25</w:t>
      </w:r>
      <w:r w:rsidR="001A3119">
        <w:t xml:space="preserve">, 2013, the Federal Reserve published a final notice in the </w:t>
      </w:r>
      <w:r w:rsidR="001A3119" w:rsidRPr="001A3119">
        <w:rPr>
          <w:i/>
        </w:rPr>
        <w:t>Federal Register</w:t>
      </w:r>
      <w:r w:rsidR="001A3119">
        <w:t xml:space="preserve"> (78 FR </w:t>
      </w:r>
      <w:r w:rsidR="00FC796D">
        <w:t>44952</w:t>
      </w:r>
      <w:r w:rsidR="001A3119">
        <w:t>).</w:t>
      </w:r>
    </w:p>
    <w:p w:rsidR="003C0E8E" w:rsidRPr="000D7C1E" w:rsidRDefault="003C0E8E" w:rsidP="003C0E8E">
      <w:pPr>
        <w:widowControl/>
        <w:tabs>
          <w:tab w:val="left" w:pos="360"/>
        </w:tabs>
        <w:ind w:right="-90"/>
      </w:pPr>
    </w:p>
    <w:p w:rsidR="003C0E8E" w:rsidRPr="000D7C1E" w:rsidRDefault="0067467D" w:rsidP="006E75CD">
      <w:pPr>
        <w:widowControl/>
        <w:autoSpaceDE/>
        <w:autoSpaceDN/>
        <w:adjustRightInd/>
      </w:pPr>
      <w:r>
        <w:rPr>
          <w:b/>
          <w:bCs/>
        </w:rPr>
        <w:br w:type="page"/>
      </w:r>
      <w:r w:rsidR="003C0E8E" w:rsidRPr="000D7C1E">
        <w:rPr>
          <w:b/>
          <w:bCs/>
        </w:rPr>
        <w:lastRenderedPageBreak/>
        <w:t>Legal Status</w:t>
      </w:r>
    </w:p>
    <w:p w:rsidR="003C0E8E" w:rsidRPr="000D7C1E" w:rsidRDefault="003C0E8E" w:rsidP="003C0E8E">
      <w:pPr>
        <w:widowControl/>
        <w:tabs>
          <w:tab w:val="left" w:pos="360"/>
        </w:tabs>
        <w:ind w:right="-90"/>
      </w:pPr>
    </w:p>
    <w:p w:rsidR="003C0E8E" w:rsidRDefault="003C0E8E" w:rsidP="003C0E8E">
      <w:pPr>
        <w:widowControl/>
        <w:tabs>
          <w:tab w:val="left" w:pos="360"/>
        </w:tabs>
        <w:ind w:right="-90" w:firstLine="360"/>
      </w:pPr>
      <w:r w:rsidRPr="000D7C1E">
        <w:t>The Board's Legal Division has determined that sections 10B and 19(b</w:t>
      </w:r>
      <w:proofErr w:type="gramStart"/>
      <w:r w:rsidRPr="000D7C1E">
        <w:t>)(</w:t>
      </w:r>
      <w:proofErr w:type="gramEnd"/>
      <w:r w:rsidRPr="000D7C1E">
        <w:t>7) of the Federal Reserve Act (12 U.S.C. §§ 347b and 461(b)(7)) authorize the Board to require this report when institutions request discount window borrowing; that is, it is required to obtain a benefit because an entity may be required to file the form in order to use the Federal Reserve’s discount window.  Individual respondent data are regarded as confidential under the Freedom of Information Act (5 U.S.C. §552(b</w:t>
      </w:r>
      <w:proofErr w:type="gramStart"/>
      <w:r w:rsidRPr="000D7C1E">
        <w:t>)(</w:t>
      </w:r>
      <w:proofErr w:type="gramEnd"/>
      <w:r w:rsidRPr="000D7C1E">
        <w:t xml:space="preserve">4)).  </w:t>
      </w:r>
    </w:p>
    <w:p w:rsidR="003C0E8E" w:rsidRPr="000D7C1E" w:rsidRDefault="003C0E8E" w:rsidP="003C0E8E">
      <w:pPr>
        <w:widowControl/>
        <w:tabs>
          <w:tab w:val="left" w:pos="360"/>
        </w:tabs>
        <w:ind w:right="-90" w:firstLine="360"/>
        <w:rPr>
          <w:b/>
          <w:bCs/>
        </w:rPr>
      </w:pPr>
    </w:p>
    <w:p w:rsidR="003C0E8E" w:rsidRPr="000D7C1E" w:rsidRDefault="003C0E8E" w:rsidP="003C0E8E">
      <w:pPr>
        <w:widowControl/>
        <w:tabs>
          <w:tab w:val="left" w:pos="360"/>
        </w:tabs>
      </w:pPr>
      <w:r w:rsidRPr="000D7C1E">
        <w:rPr>
          <w:b/>
          <w:bCs/>
        </w:rPr>
        <w:t>Estimates of Respondent Burden</w:t>
      </w:r>
    </w:p>
    <w:p w:rsidR="003C0E8E" w:rsidRPr="000D7C1E" w:rsidRDefault="003C0E8E" w:rsidP="003C0E8E">
      <w:pPr>
        <w:widowControl/>
        <w:tabs>
          <w:tab w:val="left" w:pos="360"/>
        </w:tabs>
      </w:pPr>
    </w:p>
    <w:p w:rsidR="003C0E8E" w:rsidRPr="000D7C1E" w:rsidRDefault="003C0E8E" w:rsidP="003C0E8E">
      <w:pPr>
        <w:widowControl/>
        <w:tabs>
          <w:tab w:val="right" w:pos="9450"/>
        </w:tabs>
        <w:ind w:firstLine="360"/>
      </w:pPr>
      <w:r w:rsidRPr="000D7C1E">
        <w:t xml:space="preserve">The annual reporting burden of the FR 2046 is estimated to be 229 hours, as shown in the following table.  Because the report is event-generated, it is not possible to predict exactly how many reports will be filed in a given year.  </w:t>
      </w:r>
      <w:r>
        <w:t xml:space="preserve">As a result, the estimate of respondent burden is based on recent historical discount window borrowing frequencies.  </w:t>
      </w:r>
      <w:r w:rsidRPr="000D7C1E">
        <w:t>As noted above, the FR 2046 data usually are not collected from primary credit borrowers</w:t>
      </w:r>
      <w:r>
        <w:t>,</w:t>
      </w:r>
      <w:r w:rsidRPr="000D7C1E">
        <w:t xml:space="preserve"> and are not routinely collected from secondary credit borrowers if necessary information is available from other sources.  Therefore, only a nominal burden is expected for these programs.  The estimated number of respondents and annual frequency for the seasonal credit program is based on borrowing activity in 2010 through 2012.  The estimated average hours per response of 0.75 hours for primary and secondary borrowers is attributed to the collection of daily data.  The estimated average hours per response of 0.25 hours for seasonal credit borrowers is attributed to the collection of weekly (Wednesday) data.  </w:t>
      </w:r>
      <w:r w:rsidR="003C1EC7">
        <w:t>The Federal Reserve</w:t>
      </w:r>
      <w:r w:rsidRPr="000D7C1E">
        <w:t xml:space="preserve"> estimates the proposed revisions would have a negligible effect on the total burden.  </w:t>
      </w:r>
      <w:r w:rsidRPr="000D7C1E">
        <w:rPr>
          <w:bCs/>
        </w:rPr>
        <w:t>This reporting</w:t>
      </w:r>
      <w:r w:rsidRPr="000D7C1E">
        <w:rPr>
          <w:bCs/>
          <w:color w:val="000000"/>
        </w:rPr>
        <w:t xml:space="preserve"> requirement represents less than 1 percent of total Federal Reserve System paperwork burden.</w:t>
      </w:r>
      <w:r w:rsidRPr="000D7C1E">
        <w:tab/>
      </w:r>
    </w:p>
    <w:p w:rsidR="003C0E8E" w:rsidRPr="000D7C1E" w:rsidRDefault="003C0E8E" w:rsidP="003C0E8E">
      <w:pPr>
        <w:widowControl/>
        <w:tabs>
          <w:tab w:val="left" w:pos="360"/>
        </w:tabs>
      </w:pPr>
    </w:p>
    <w:tbl>
      <w:tblPr>
        <w:tblW w:w="0" w:type="auto"/>
        <w:tblInd w:w="120" w:type="dxa"/>
        <w:tblLayout w:type="fixed"/>
        <w:tblCellMar>
          <w:left w:w="120" w:type="dxa"/>
          <w:right w:w="120" w:type="dxa"/>
        </w:tblCellMar>
        <w:tblLook w:val="0000" w:firstRow="0" w:lastRow="0" w:firstColumn="0" w:lastColumn="0" w:noHBand="0" w:noVBand="0"/>
      </w:tblPr>
      <w:tblGrid>
        <w:gridCol w:w="2250"/>
        <w:gridCol w:w="1440"/>
        <w:gridCol w:w="1620"/>
        <w:gridCol w:w="2070"/>
        <w:gridCol w:w="1980"/>
      </w:tblGrid>
      <w:tr w:rsidR="003C0E8E" w:rsidRPr="000D7C1E" w:rsidTr="003C0E8E">
        <w:tc>
          <w:tcPr>
            <w:tcW w:w="2250" w:type="dxa"/>
            <w:tcBorders>
              <w:top w:val="single" w:sz="7" w:space="0" w:color="000000"/>
              <w:left w:val="nil"/>
              <w:bottom w:val="nil"/>
              <w:right w:val="nil"/>
            </w:tcBorders>
            <w:vAlign w:val="center"/>
          </w:tcPr>
          <w:p w:rsidR="003C0E8E" w:rsidRPr="000D7C1E" w:rsidRDefault="003C0E8E" w:rsidP="003C0E8E">
            <w:pPr>
              <w:widowControl/>
              <w:tabs>
                <w:tab w:val="left" w:pos="360"/>
              </w:tabs>
              <w:spacing w:after="58"/>
              <w:rPr>
                <w:i/>
                <w:iCs/>
              </w:rPr>
            </w:pPr>
            <w:r w:rsidRPr="000D7C1E">
              <w:rPr>
                <w:i/>
                <w:iCs/>
              </w:rPr>
              <w:t>Type of credit</w:t>
            </w:r>
          </w:p>
        </w:tc>
        <w:tc>
          <w:tcPr>
            <w:tcW w:w="1440" w:type="dxa"/>
            <w:tcBorders>
              <w:top w:val="single" w:sz="7" w:space="0" w:color="000000"/>
              <w:left w:val="nil"/>
              <w:bottom w:val="nil"/>
              <w:right w:val="nil"/>
            </w:tcBorders>
            <w:vAlign w:val="center"/>
          </w:tcPr>
          <w:p w:rsidR="003C0E8E" w:rsidRPr="000D7C1E" w:rsidRDefault="003C0E8E" w:rsidP="003C0E8E">
            <w:pPr>
              <w:widowControl/>
              <w:tabs>
                <w:tab w:val="left" w:pos="360"/>
              </w:tabs>
              <w:jc w:val="center"/>
              <w:rPr>
                <w:i/>
                <w:iCs/>
              </w:rPr>
            </w:pPr>
            <w:r w:rsidRPr="000D7C1E">
              <w:rPr>
                <w:i/>
                <w:iCs/>
              </w:rPr>
              <w:t>Estimated</w:t>
            </w:r>
          </w:p>
          <w:p w:rsidR="003C0E8E" w:rsidRPr="000D7C1E" w:rsidRDefault="003C0E8E" w:rsidP="003C0E8E">
            <w:pPr>
              <w:widowControl/>
              <w:tabs>
                <w:tab w:val="left" w:pos="360"/>
              </w:tabs>
              <w:jc w:val="center"/>
              <w:rPr>
                <w:i/>
                <w:iCs/>
              </w:rPr>
            </w:pPr>
            <w:r w:rsidRPr="000D7C1E">
              <w:rPr>
                <w:i/>
                <w:iCs/>
              </w:rPr>
              <w:t>number of</w:t>
            </w:r>
          </w:p>
          <w:p w:rsidR="003C0E8E" w:rsidRPr="000D7C1E" w:rsidRDefault="003C0E8E" w:rsidP="003C0E8E">
            <w:pPr>
              <w:widowControl/>
              <w:tabs>
                <w:tab w:val="left" w:pos="360"/>
              </w:tabs>
              <w:spacing w:after="58"/>
              <w:jc w:val="center"/>
              <w:rPr>
                <w:i/>
                <w:iCs/>
              </w:rPr>
            </w:pPr>
            <w:r w:rsidRPr="000D7C1E">
              <w:rPr>
                <w:i/>
                <w:iCs/>
              </w:rPr>
              <w:t>respondents</w:t>
            </w:r>
          </w:p>
        </w:tc>
        <w:tc>
          <w:tcPr>
            <w:tcW w:w="1620" w:type="dxa"/>
            <w:tcBorders>
              <w:top w:val="single" w:sz="7" w:space="0" w:color="000000"/>
              <w:left w:val="nil"/>
              <w:bottom w:val="nil"/>
              <w:right w:val="nil"/>
            </w:tcBorders>
            <w:vAlign w:val="center"/>
          </w:tcPr>
          <w:p w:rsidR="003C0E8E" w:rsidRPr="000D7C1E" w:rsidRDefault="003C0E8E" w:rsidP="003C0E8E">
            <w:pPr>
              <w:widowControl/>
              <w:tabs>
                <w:tab w:val="left" w:pos="360"/>
              </w:tabs>
              <w:spacing w:after="58"/>
              <w:jc w:val="center"/>
              <w:rPr>
                <w:i/>
                <w:iCs/>
              </w:rPr>
            </w:pPr>
            <w:r w:rsidRPr="000D7C1E">
              <w:rPr>
                <w:i/>
                <w:iCs/>
              </w:rPr>
              <w:t>Estimated annual</w:t>
            </w:r>
          </w:p>
          <w:p w:rsidR="003C0E8E" w:rsidRPr="000D7C1E" w:rsidRDefault="003C0E8E" w:rsidP="003C0E8E">
            <w:pPr>
              <w:widowControl/>
              <w:tabs>
                <w:tab w:val="left" w:pos="360"/>
              </w:tabs>
              <w:spacing w:after="58"/>
              <w:jc w:val="center"/>
              <w:rPr>
                <w:i/>
                <w:iCs/>
              </w:rPr>
            </w:pPr>
            <w:r w:rsidRPr="000D7C1E">
              <w:rPr>
                <w:i/>
                <w:iCs/>
              </w:rPr>
              <w:t>frequency</w:t>
            </w:r>
          </w:p>
        </w:tc>
        <w:tc>
          <w:tcPr>
            <w:tcW w:w="2070" w:type="dxa"/>
            <w:tcBorders>
              <w:top w:val="single" w:sz="7" w:space="0" w:color="000000"/>
              <w:left w:val="nil"/>
              <w:bottom w:val="nil"/>
              <w:right w:val="nil"/>
            </w:tcBorders>
            <w:vAlign w:val="center"/>
          </w:tcPr>
          <w:p w:rsidR="003C0E8E" w:rsidRPr="000D7C1E" w:rsidRDefault="003C0E8E" w:rsidP="003C0E8E">
            <w:pPr>
              <w:widowControl/>
              <w:tabs>
                <w:tab w:val="left" w:pos="360"/>
              </w:tabs>
              <w:jc w:val="center"/>
              <w:rPr>
                <w:i/>
                <w:iCs/>
              </w:rPr>
            </w:pPr>
            <w:r w:rsidRPr="000D7C1E">
              <w:rPr>
                <w:i/>
                <w:iCs/>
              </w:rPr>
              <w:t>Estimated</w:t>
            </w:r>
          </w:p>
          <w:p w:rsidR="003C0E8E" w:rsidRPr="000D7C1E" w:rsidRDefault="003C0E8E" w:rsidP="003C0E8E">
            <w:pPr>
              <w:widowControl/>
              <w:tabs>
                <w:tab w:val="left" w:pos="360"/>
              </w:tabs>
              <w:spacing w:after="58"/>
              <w:jc w:val="center"/>
              <w:rPr>
                <w:i/>
                <w:iCs/>
              </w:rPr>
            </w:pPr>
            <w:r w:rsidRPr="000D7C1E">
              <w:rPr>
                <w:i/>
                <w:iCs/>
              </w:rPr>
              <w:t>average hours</w:t>
            </w:r>
          </w:p>
          <w:p w:rsidR="003C0E8E" w:rsidRPr="000D7C1E" w:rsidRDefault="003C0E8E" w:rsidP="003C0E8E">
            <w:pPr>
              <w:widowControl/>
              <w:tabs>
                <w:tab w:val="left" w:pos="360"/>
              </w:tabs>
              <w:spacing w:after="58"/>
              <w:jc w:val="center"/>
              <w:rPr>
                <w:i/>
                <w:iCs/>
              </w:rPr>
            </w:pPr>
            <w:r w:rsidRPr="000D7C1E">
              <w:rPr>
                <w:i/>
                <w:iCs/>
              </w:rPr>
              <w:t xml:space="preserve"> per response</w:t>
            </w:r>
          </w:p>
        </w:tc>
        <w:tc>
          <w:tcPr>
            <w:tcW w:w="1980" w:type="dxa"/>
            <w:tcBorders>
              <w:top w:val="single" w:sz="7" w:space="0" w:color="000000"/>
              <w:left w:val="nil"/>
              <w:bottom w:val="nil"/>
              <w:right w:val="nil"/>
            </w:tcBorders>
            <w:vAlign w:val="center"/>
          </w:tcPr>
          <w:p w:rsidR="003C0E8E" w:rsidRPr="000D7C1E" w:rsidRDefault="003C0E8E" w:rsidP="003C0E8E">
            <w:pPr>
              <w:widowControl/>
              <w:tabs>
                <w:tab w:val="left" w:pos="360"/>
              </w:tabs>
              <w:jc w:val="center"/>
              <w:rPr>
                <w:i/>
                <w:iCs/>
              </w:rPr>
            </w:pPr>
            <w:r w:rsidRPr="000D7C1E">
              <w:rPr>
                <w:i/>
                <w:iCs/>
              </w:rPr>
              <w:t>Estimated</w:t>
            </w:r>
          </w:p>
          <w:p w:rsidR="003C0E8E" w:rsidRPr="000D7C1E" w:rsidRDefault="003C0E8E" w:rsidP="003C0E8E">
            <w:pPr>
              <w:widowControl/>
              <w:tabs>
                <w:tab w:val="left" w:pos="360"/>
              </w:tabs>
              <w:spacing w:after="58"/>
              <w:jc w:val="center"/>
              <w:rPr>
                <w:i/>
                <w:iCs/>
              </w:rPr>
            </w:pPr>
            <w:r w:rsidRPr="000D7C1E">
              <w:rPr>
                <w:i/>
                <w:iCs/>
              </w:rPr>
              <w:t xml:space="preserve">annual </w:t>
            </w:r>
          </w:p>
          <w:p w:rsidR="003C0E8E" w:rsidRPr="000D7C1E" w:rsidRDefault="003C0E8E" w:rsidP="003C0E8E">
            <w:pPr>
              <w:widowControl/>
              <w:tabs>
                <w:tab w:val="left" w:pos="360"/>
              </w:tabs>
              <w:spacing w:after="58"/>
              <w:jc w:val="center"/>
              <w:rPr>
                <w:i/>
                <w:iCs/>
              </w:rPr>
            </w:pPr>
            <w:r w:rsidRPr="000D7C1E">
              <w:rPr>
                <w:i/>
                <w:iCs/>
              </w:rPr>
              <w:t>bur</w:t>
            </w:r>
            <w:r w:rsidRPr="000D7C1E">
              <w:rPr>
                <w:i/>
                <w:iCs/>
              </w:rPr>
              <w:softHyphen/>
              <w:t>den hours</w:t>
            </w:r>
          </w:p>
        </w:tc>
      </w:tr>
      <w:tr w:rsidR="003C0E8E" w:rsidRPr="000D7C1E" w:rsidTr="003C0E8E">
        <w:tc>
          <w:tcPr>
            <w:tcW w:w="2250" w:type="dxa"/>
            <w:tcBorders>
              <w:top w:val="nil"/>
              <w:left w:val="nil"/>
              <w:bottom w:val="nil"/>
              <w:right w:val="nil"/>
            </w:tcBorders>
          </w:tcPr>
          <w:p w:rsidR="003C0E8E" w:rsidRPr="000D7C1E" w:rsidRDefault="003C0E8E" w:rsidP="003C0E8E">
            <w:pPr>
              <w:spacing w:line="120" w:lineRule="exact"/>
              <w:rPr>
                <w:i/>
                <w:iCs/>
              </w:rPr>
            </w:pPr>
          </w:p>
          <w:p w:rsidR="003C0E8E" w:rsidRPr="000D7C1E" w:rsidRDefault="003C0E8E" w:rsidP="003C0E8E">
            <w:pPr>
              <w:widowControl/>
              <w:tabs>
                <w:tab w:val="left" w:pos="360"/>
              </w:tabs>
              <w:rPr>
                <w:bCs/>
              </w:rPr>
            </w:pPr>
            <w:r w:rsidRPr="000D7C1E">
              <w:rPr>
                <w:bCs/>
              </w:rPr>
              <w:t xml:space="preserve">Primary and </w:t>
            </w:r>
          </w:p>
          <w:p w:rsidR="003C0E8E" w:rsidRPr="000D7C1E" w:rsidRDefault="003C0E8E" w:rsidP="003C0E8E">
            <w:pPr>
              <w:widowControl/>
              <w:tabs>
                <w:tab w:val="left" w:pos="360"/>
              </w:tabs>
              <w:spacing w:after="58"/>
            </w:pPr>
            <w:r w:rsidRPr="000D7C1E">
              <w:rPr>
                <w:bCs/>
              </w:rPr>
              <w:t>Secondary Credit</w:t>
            </w:r>
          </w:p>
        </w:tc>
        <w:tc>
          <w:tcPr>
            <w:tcW w:w="1440" w:type="dxa"/>
            <w:tcBorders>
              <w:top w:val="nil"/>
              <w:left w:val="nil"/>
              <w:bottom w:val="nil"/>
              <w:right w:val="nil"/>
            </w:tcBorders>
            <w:vAlign w:val="center"/>
          </w:tcPr>
          <w:p w:rsidR="003C0E8E" w:rsidRPr="000D7C1E" w:rsidRDefault="003C0E8E" w:rsidP="003C0E8E">
            <w:pPr>
              <w:widowControl/>
              <w:tabs>
                <w:tab w:val="left" w:pos="360"/>
              </w:tabs>
              <w:spacing w:after="58"/>
              <w:jc w:val="center"/>
              <w:rPr>
                <w:highlight w:val="yellow"/>
              </w:rPr>
            </w:pPr>
            <w:r w:rsidRPr="000D7C1E">
              <w:t>1</w:t>
            </w:r>
          </w:p>
        </w:tc>
        <w:tc>
          <w:tcPr>
            <w:tcW w:w="1620" w:type="dxa"/>
            <w:tcBorders>
              <w:top w:val="nil"/>
              <w:left w:val="nil"/>
              <w:bottom w:val="nil"/>
              <w:right w:val="nil"/>
            </w:tcBorders>
            <w:vAlign w:val="center"/>
          </w:tcPr>
          <w:p w:rsidR="003C0E8E" w:rsidRPr="000D7C1E" w:rsidRDefault="003C0E8E" w:rsidP="003C0E8E">
            <w:pPr>
              <w:widowControl/>
              <w:tabs>
                <w:tab w:val="left" w:pos="360"/>
              </w:tabs>
              <w:spacing w:after="58"/>
              <w:jc w:val="center"/>
              <w:rPr>
                <w:highlight w:val="yellow"/>
              </w:rPr>
            </w:pPr>
            <w:r w:rsidRPr="000D7C1E">
              <w:t xml:space="preserve">  1</w:t>
            </w:r>
          </w:p>
        </w:tc>
        <w:tc>
          <w:tcPr>
            <w:tcW w:w="2070" w:type="dxa"/>
            <w:tcBorders>
              <w:top w:val="nil"/>
              <w:left w:val="nil"/>
              <w:bottom w:val="nil"/>
              <w:right w:val="nil"/>
            </w:tcBorders>
            <w:vAlign w:val="center"/>
          </w:tcPr>
          <w:p w:rsidR="003C0E8E" w:rsidRPr="000D7C1E" w:rsidRDefault="003C0E8E" w:rsidP="003C0E8E">
            <w:pPr>
              <w:widowControl/>
              <w:tabs>
                <w:tab w:val="left" w:pos="360"/>
                <w:tab w:val="center" w:pos="915"/>
                <w:tab w:val="right" w:pos="1830"/>
              </w:tabs>
              <w:spacing w:after="58"/>
              <w:jc w:val="center"/>
              <w:rPr>
                <w:highlight w:val="yellow"/>
              </w:rPr>
            </w:pPr>
            <w:r w:rsidRPr="000D7C1E">
              <w:t>0.75</w:t>
            </w:r>
          </w:p>
        </w:tc>
        <w:tc>
          <w:tcPr>
            <w:tcW w:w="1980" w:type="dxa"/>
            <w:tcBorders>
              <w:top w:val="nil"/>
              <w:left w:val="nil"/>
              <w:bottom w:val="nil"/>
              <w:right w:val="nil"/>
            </w:tcBorders>
            <w:vAlign w:val="center"/>
          </w:tcPr>
          <w:p w:rsidR="003C0E8E" w:rsidRPr="000D7C1E" w:rsidRDefault="003C0E8E" w:rsidP="003C0E8E">
            <w:pPr>
              <w:widowControl/>
              <w:tabs>
                <w:tab w:val="left" w:pos="252"/>
                <w:tab w:val="left" w:pos="360"/>
                <w:tab w:val="right" w:pos="1470"/>
              </w:tabs>
              <w:spacing w:after="58"/>
              <w:jc w:val="center"/>
              <w:rPr>
                <w:highlight w:val="yellow"/>
              </w:rPr>
            </w:pPr>
            <w:r w:rsidRPr="000D7C1E">
              <w:t xml:space="preserve">   1</w:t>
            </w:r>
          </w:p>
        </w:tc>
      </w:tr>
      <w:tr w:rsidR="003C0E8E" w:rsidRPr="000D7C1E" w:rsidTr="003C0E8E">
        <w:tc>
          <w:tcPr>
            <w:tcW w:w="2250" w:type="dxa"/>
            <w:tcBorders>
              <w:top w:val="nil"/>
              <w:left w:val="nil"/>
              <w:bottom w:val="nil"/>
              <w:right w:val="nil"/>
            </w:tcBorders>
          </w:tcPr>
          <w:p w:rsidR="003C0E8E" w:rsidRPr="000D7C1E" w:rsidRDefault="003C0E8E" w:rsidP="003C0E8E">
            <w:pPr>
              <w:spacing w:line="120" w:lineRule="exact"/>
            </w:pPr>
          </w:p>
          <w:p w:rsidR="003C0E8E" w:rsidRPr="000D7C1E" w:rsidRDefault="003C0E8E" w:rsidP="003C0E8E">
            <w:pPr>
              <w:widowControl/>
              <w:tabs>
                <w:tab w:val="left" w:pos="360"/>
              </w:tabs>
              <w:spacing w:after="58"/>
            </w:pPr>
            <w:r w:rsidRPr="000D7C1E">
              <w:t>Seasonal Credit</w:t>
            </w:r>
          </w:p>
        </w:tc>
        <w:tc>
          <w:tcPr>
            <w:tcW w:w="1440" w:type="dxa"/>
            <w:tcBorders>
              <w:top w:val="nil"/>
              <w:left w:val="nil"/>
              <w:bottom w:val="nil"/>
              <w:right w:val="nil"/>
            </w:tcBorders>
            <w:vAlign w:val="bottom"/>
          </w:tcPr>
          <w:p w:rsidR="003C0E8E" w:rsidRPr="000D7C1E" w:rsidRDefault="003C0E8E" w:rsidP="003C0E8E">
            <w:pPr>
              <w:widowControl/>
              <w:tabs>
                <w:tab w:val="left" w:pos="360"/>
              </w:tabs>
              <w:spacing w:after="58"/>
              <w:jc w:val="center"/>
              <w:rPr>
                <w:u w:val="single"/>
              </w:rPr>
            </w:pPr>
            <w:r w:rsidRPr="000D7C1E">
              <w:rPr>
                <w:u w:val="single"/>
              </w:rPr>
              <w:t>70</w:t>
            </w:r>
          </w:p>
        </w:tc>
        <w:tc>
          <w:tcPr>
            <w:tcW w:w="1620" w:type="dxa"/>
            <w:tcBorders>
              <w:top w:val="nil"/>
              <w:left w:val="nil"/>
              <w:bottom w:val="nil"/>
              <w:right w:val="nil"/>
            </w:tcBorders>
          </w:tcPr>
          <w:p w:rsidR="003C0E8E" w:rsidRPr="000D7C1E" w:rsidRDefault="003C0E8E" w:rsidP="003C0E8E">
            <w:pPr>
              <w:spacing w:line="120" w:lineRule="exact"/>
              <w:rPr>
                <w:highlight w:val="yellow"/>
              </w:rPr>
            </w:pPr>
          </w:p>
          <w:p w:rsidR="003C0E8E" w:rsidRPr="000D7C1E" w:rsidRDefault="003C0E8E" w:rsidP="003C0E8E">
            <w:pPr>
              <w:widowControl/>
              <w:tabs>
                <w:tab w:val="left" w:pos="360"/>
              </w:tabs>
              <w:spacing w:after="58"/>
              <w:jc w:val="center"/>
              <w:rPr>
                <w:highlight w:val="yellow"/>
              </w:rPr>
            </w:pPr>
            <w:r w:rsidRPr="000D7C1E">
              <w:t>13</w:t>
            </w:r>
          </w:p>
        </w:tc>
        <w:tc>
          <w:tcPr>
            <w:tcW w:w="2070" w:type="dxa"/>
            <w:tcBorders>
              <w:top w:val="nil"/>
              <w:left w:val="nil"/>
              <w:bottom w:val="nil"/>
              <w:right w:val="nil"/>
            </w:tcBorders>
          </w:tcPr>
          <w:p w:rsidR="003C0E8E" w:rsidRPr="000D7C1E" w:rsidRDefault="003C0E8E" w:rsidP="003C0E8E">
            <w:pPr>
              <w:spacing w:line="120" w:lineRule="exact"/>
            </w:pPr>
          </w:p>
          <w:p w:rsidR="003C0E8E" w:rsidRPr="000D7C1E" w:rsidRDefault="003C0E8E" w:rsidP="003C0E8E">
            <w:pPr>
              <w:widowControl/>
              <w:tabs>
                <w:tab w:val="left" w:pos="360"/>
                <w:tab w:val="left" w:pos="432"/>
                <w:tab w:val="right" w:pos="1830"/>
              </w:tabs>
              <w:spacing w:after="58"/>
              <w:jc w:val="center"/>
            </w:pPr>
            <w:r w:rsidRPr="000D7C1E">
              <w:t>0.25</w:t>
            </w:r>
          </w:p>
        </w:tc>
        <w:tc>
          <w:tcPr>
            <w:tcW w:w="1980" w:type="dxa"/>
            <w:tcBorders>
              <w:top w:val="nil"/>
              <w:left w:val="nil"/>
              <w:bottom w:val="nil"/>
              <w:right w:val="nil"/>
            </w:tcBorders>
          </w:tcPr>
          <w:p w:rsidR="003C0E8E" w:rsidRPr="000D7C1E" w:rsidRDefault="003C0E8E" w:rsidP="003C0E8E">
            <w:pPr>
              <w:spacing w:line="120" w:lineRule="exact"/>
            </w:pPr>
          </w:p>
          <w:p w:rsidR="003C0E8E" w:rsidRPr="000D7C1E" w:rsidRDefault="003C0E8E" w:rsidP="003C0E8E">
            <w:pPr>
              <w:widowControl/>
              <w:tabs>
                <w:tab w:val="left" w:pos="360"/>
                <w:tab w:val="center" w:pos="735"/>
                <w:tab w:val="right" w:pos="1470"/>
              </w:tabs>
              <w:spacing w:after="58"/>
              <w:jc w:val="center"/>
              <w:rPr>
                <w:u w:val="single"/>
              </w:rPr>
            </w:pPr>
            <w:r w:rsidRPr="000D7C1E">
              <w:rPr>
                <w:u w:val="single"/>
              </w:rPr>
              <w:t>228</w:t>
            </w:r>
          </w:p>
        </w:tc>
      </w:tr>
      <w:tr w:rsidR="003C0E8E" w:rsidRPr="000D7C1E" w:rsidTr="003C0E8E">
        <w:tc>
          <w:tcPr>
            <w:tcW w:w="2250" w:type="dxa"/>
            <w:tcBorders>
              <w:top w:val="nil"/>
              <w:left w:val="nil"/>
              <w:bottom w:val="single" w:sz="7" w:space="0" w:color="000000"/>
              <w:right w:val="nil"/>
            </w:tcBorders>
          </w:tcPr>
          <w:p w:rsidR="003C0E8E" w:rsidRPr="000D7C1E" w:rsidRDefault="003C0E8E" w:rsidP="003C0E8E">
            <w:pPr>
              <w:spacing w:line="120" w:lineRule="exact"/>
            </w:pPr>
          </w:p>
          <w:p w:rsidR="003C0E8E" w:rsidRPr="000D7C1E" w:rsidRDefault="003C0E8E" w:rsidP="003C0E8E">
            <w:pPr>
              <w:widowControl/>
              <w:tabs>
                <w:tab w:val="left" w:pos="360"/>
              </w:tabs>
              <w:spacing w:after="58"/>
              <w:jc w:val="right"/>
            </w:pPr>
            <w:r w:rsidRPr="000D7C1E">
              <w:rPr>
                <w:i/>
                <w:iCs/>
              </w:rPr>
              <w:t>Total</w:t>
            </w:r>
          </w:p>
        </w:tc>
        <w:tc>
          <w:tcPr>
            <w:tcW w:w="1440" w:type="dxa"/>
            <w:tcBorders>
              <w:top w:val="nil"/>
              <w:left w:val="nil"/>
              <w:bottom w:val="single" w:sz="7" w:space="0" w:color="000000"/>
              <w:right w:val="nil"/>
            </w:tcBorders>
            <w:vAlign w:val="center"/>
          </w:tcPr>
          <w:p w:rsidR="003C0E8E" w:rsidRPr="000D7C1E" w:rsidRDefault="003C0E8E" w:rsidP="003C0E8E">
            <w:pPr>
              <w:spacing w:line="120" w:lineRule="exact"/>
              <w:rPr>
                <w:highlight w:val="yellow"/>
              </w:rPr>
            </w:pPr>
          </w:p>
          <w:p w:rsidR="003C0E8E" w:rsidRPr="000D7C1E" w:rsidRDefault="003C0E8E" w:rsidP="003C0E8E">
            <w:pPr>
              <w:widowControl/>
              <w:tabs>
                <w:tab w:val="left" w:pos="360"/>
              </w:tabs>
              <w:spacing w:after="58"/>
              <w:jc w:val="center"/>
              <w:rPr>
                <w:highlight w:val="yellow"/>
              </w:rPr>
            </w:pPr>
            <w:r w:rsidRPr="000D7C1E">
              <w:t>71</w:t>
            </w:r>
          </w:p>
        </w:tc>
        <w:tc>
          <w:tcPr>
            <w:tcW w:w="1620" w:type="dxa"/>
            <w:tcBorders>
              <w:top w:val="nil"/>
              <w:left w:val="nil"/>
              <w:bottom w:val="single" w:sz="7" w:space="0" w:color="000000"/>
              <w:right w:val="nil"/>
            </w:tcBorders>
          </w:tcPr>
          <w:p w:rsidR="003C0E8E" w:rsidRPr="000D7C1E" w:rsidRDefault="003C0E8E" w:rsidP="003C0E8E">
            <w:pPr>
              <w:spacing w:line="120" w:lineRule="exact"/>
              <w:rPr>
                <w:highlight w:val="yellow"/>
              </w:rPr>
            </w:pPr>
          </w:p>
          <w:p w:rsidR="003C0E8E" w:rsidRPr="000D7C1E" w:rsidRDefault="003C0E8E" w:rsidP="003C0E8E">
            <w:pPr>
              <w:widowControl/>
              <w:tabs>
                <w:tab w:val="left" w:pos="360"/>
              </w:tabs>
              <w:spacing w:after="58"/>
              <w:jc w:val="right"/>
              <w:rPr>
                <w:highlight w:val="yellow"/>
              </w:rPr>
            </w:pPr>
          </w:p>
        </w:tc>
        <w:tc>
          <w:tcPr>
            <w:tcW w:w="2070" w:type="dxa"/>
            <w:tcBorders>
              <w:top w:val="nil"/>
              <w:left w:val="nil"/>
              <w:bottom w:val="single" w:sz="7" w:space="0" w:color="000000"/>
              <w:right w:val="nil"/>
            </w:tcBorders>
          </w:tcPr>
          <w:p w:rsidR="003C0E8E" w:rsidRPr="000D7C1E" w:rsidRDefault="003C0E8E" w:rsidP="003C0E8E">
            <w:pPr>
              <w:spacing w:line="120" w:lineRule="exact"/>
              <w:rPr>
                <w:highlight w:val="yellow"/>
              </w:rPr>
            </w:pPr>
          </w:p>
          <w:p w:rsidR="003C0E8E" w:rsidRPr="000D7C1E" w:rsidRDefault="003C0E8E" w:rsidP="003C0E8E">
            <w:pPr>
              <w:widowControl/>
              <w:tabs>
                <w:tab w:val="left" w:pos="360"/>
              </w:tabs>
              <w:spacing w:after="58"/>
              <w:jc w:val="right"/>
              <w:rPr>
                <w:highlight w:val="yellow"/>
              </w:rPr>
            </w:pPr>
          </w:p>
        </w:tc>
        <w:tc>
          <w:tcPr>
            <w:tcW w:w="1980" w:type="dxa"/>
            <w:tcBorders>
              <w:top w:val="nil"/>
              <w:left w:val="nil"/>
              <w:bottom w:val="single" w:sz="7" w:space="0" w:color="000000"/>
              <w:right w:val="nil"/>
            </w:tcBorders>
            <w:vAlign w:val="center"/>
          </w:tcPr>
          <w:p w:rsidR="003C0E8E" w:rsidRPr="000D7C1E" w:rsidRDefault="003C0E8E" w:rsidP="003C0E8E">
            <w:pPr>
              <w:widowControl/>
              <w:tabs>
                <w:tab w:val="left" w:pos="360"/>
                <w:tab w:val="center" w:pos="735"/>
                <w:tab w:val="right" w:pos="1470"/>
              </w:tabs>
              <w:spacing w:after="58"/>
              <w:jc w:val="center"/>
            </w:pPr>
            <w:r w:rsidRPr="000D7C1E">
              <w:t>229</w:t>
            </w:r>
          </w:p>
        </w:tc>
      </w:tr>
    </w:tbl>
    <w:p w:rsidR="003C0E8E" w:rsidRPr="000D7C1E" w:rsidRDefault="003C0E8E" w:rsidP="003C0E8E">
      <w:pPr>
        <w:pStyle w:val="BodyTextIndent"/>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both"/>
      </w:pPr>
    </w:p>
    <w:p w:rsidR="003C0E8E" w:rsidRPr="000D7C1E" w:rsidRDefault="003C0E8E" w:rsidP="003C0E8E">
      <w:pPr>
        <w:pStyle w:val="BodyTextIndent"/>
        <w:tabs>
          <w:tab w:val="clear" w:pos="-1440"/>
          <w:tab w:val="clear" w:pos="-720"/>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jc w:val="both"/>
        <w:rPr>
          <w:vertAlign w:val="superscript"/>
        </w:rPr>
      </w:pPr>
      <w:r w:rsidRPr="000D7C1E">
        <w:t>The annual cost to the public of this report is estimated to be $</w:t>
      </w:r>
      <w:r w:rsidR="003C1EC7">
        <w:t>11</w:t>
      </w:r>
      <w:r w:rsidRPr="000D7C1E">
        <w:t>,</w:t>
      </w:r>
      <w:r w:rsidR="003C1EC7">
        <w:t>427</w:t>
      </w:r>
      <w:r w:rsidRPr="000D7C1E">
        <w:t>.</w:t>
      </w:r>
      <w:r w:rsidR="003C1EC7" w:rsidRPr="003C1EC7">
        <w:rPr>
          <w:rStyle w:val="FootnoteReference"/>
          <w:vertAlign w:val="superscript"/>
        </w:rPr>
        <w:footnoteReference w:id="8"/>
      </w:r>
    </w:p>
    <w:p w:rsidR="003C0E8E" w:rsidRPr="000D7C1E" w:rsidRDefault="003C0E8E" w:rsidP="003C0E8E">
      <w:pPr>
        <w:widowControl/>
        <w:autoSpaceDE/>
        <w:autoSpaceDN/>
        <w:adjustRightInd/>
        <w:rPr>
          <w:b/>
          <w:bCs/>
        </w:rPr>
      </w:pPr>
    </w:p>
    <w:p w:rsidR="0067467D" w:rsidRDefault="0067467D">
      <w:pPr>
        <w:widowControl/>
        <w:autoSpaceDE/>
        <w:autoSpaceDN/>
        <w:adjustRightInd/>
        <w:rPr>
          <w:b/>
          <w:bCs/>
        </w:rPr>
      </w:pPr>
      <w:r>
        <w:rPr>
          <w:b/>
          <w:bCs/>
        </w:rPr>
        <w:br w:type="page"/>
      </w:r>
    </w:p>
    <w:p w:rsidR="003C0E8E" w:rsidRPr="000D7C1E" w:rsidRDefault="003C0E8E" w:rsidP="003C0E8E">
      <w:pPr>
        <w:widowControl/>
        <w:tabs>
          <w:tab w:val="left" w:pos="360"/>
        </w:tabs>
      </w:pPr>
      <w:r w:rsidRPr="000D7C1E">
        <w:rPr>
          <w:b/>
          <w:bCs/>
        </w:rPr>
        <w:lastRenderedPageBreak/>
        <w:t>Estimate of Cost to the Federal Reserve System</w:t>
      </w:r>
    </w:p>
    <w:p w:rsidR="003C0E8E" w:rsidRPr="000D7C1E" w:rsidRDefault="003C0E8E" w:rsidP="003C0E8E">
      <w:pPr>
        <w:widowControl/>
        <w:tabs>
          <w:tab w:val="left" w:pos="360"/>
        </w:tabs>
      </w:pPr>
    </w:p>
    <w:p w:rsidR="003C0E8E" w:rsidRPr="000D7C1E" w:rsidRDefault="003C0E8E" w:rsidP="003C0E8E">
      <w:pPr>
        <w:widowControl/>
        <w:tabs>
          <w:tab w:val="left" w:pos="360"/>
        </w:tabs>
        <w:ind w:firstLine="360"/>
      </w:pPr>
      <w:r w:rsidRPr="000D7C1E">
        <w:t xml:space="preserve">The ongoing annual cost of the FR 2046 is estimated to be $62,067.  The data are not subject to extensive editing or other manipulation and are not submitted to the Board of Governors.  </w:t>
      </w:r>
    </w:p>
    <w:p w:rsidR="003C0E8E" w:rsidRPr="000D7C1E" w:rsidRDefault="003C0E8E" w:rsidP="003C0E8E">
      <w:pPr>
        <w:widowControl/>
        <w:tabs>
          <w:tab w:val="left" w:pos="360"/>
        </w:tabs>
        <w:ind w:firstLine="360"/>
      </w:pPr>
    </w:p>
    <w:p w:rsidR="00E95416" w:rsidRPr="00E66F99" w:rsidRDefault="00E95416" w:rsidP="003C0E8E">
      <w:pPr>
        <w:widowControl/>
        <w:tabs>
          <w:tab w:val="left" w:pos="360"/>
        </w:tabs>
        <w:ind w:firstLine="360"/>
      </w:pPr>
    </w:p>
    <w:sectPr w:rsidR="00E95416" w:rsidRPr="00E66F99" w:rsidSect="003C0E8E">
      <w:headerReference w:type="default" r:id="rId9"/>
      <w:pgSz w:w="12240" w:h="15840"/>
      <w:pgMar w:top="1080" w:right="1440" w:bottom="1170" w:left="1440" w:header="1080" w:footer="10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13" w:rsidRDefault="00406C13" w:rsidP="007A2FF4">
      <w:r>
        <w:separator/>
      </w:r>
    </w:p>
  </w:endnote>
  <w:endnote w:type="continuationSeparator" w:id="0">
    <w:p w:rsidR="00406C13" w:rsidRDefault="00406C13" w:rsidP="007A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13" w:rsidRDefault="00406C13" w:rsidP="007A2FF4">
      <w:r>
        <w:separator/>
      </w:r>
    </w:p>
  </w:footnote>
  <w:footnote w:type="continuationSeparator" w:id="0">
    <w:p w:rsidR="00406C13" w:rsidRDefault="00406C13" w:rsidP="007A2FF4">
      <w:r>
        <w:continuationSeparator/>
      </w:r>
    </w:p>
  </w:footnote>
  <w:footnote w:id="1">
    <w:p w:rsidR="00406C13" w:rsidRDefault="00406C13" w:rsidP="003C0E8E">
      <w:pPr>
        <w:pStyle w:val="FootnoteText"/>
      </w:pPr>
      <w:r w:rsidRPr="00326F39">
        <w:rPr>
          <w:rStyle w:val="FootnoteReference"/>
          <w:vertAlign w:val="superscript"/>
        </w:rPr>
        <w:footnoteRef/>
      </w:r>
      <w:r>
        <w:t xml:space="preserve"> Regulation A also defines “Emergency credit for others”—under which in</w:t>
      </w:r>
      <w:r w:rsidRPr="00291AA1">
        <w:t xml:space="preserve"> unusual and exi</w:t>
      </w:r>
      <w:r>
        <w:t xml:space="preserve">gent circumstances, credit </w:t>
      </w:r>
      <w:r w:rsidRPr="00291AA1">
        <w:t xml:space="preserve">may </w:t>
      </w:r>
      <w:r>
        <w:t xml:space="preserve">be </w:t>
      </w:r>
      <w:r w:rsidRPr="00291AA1">
        <w:t>extend</w:t>
      </w:r>
      <w:r>
        <w:t>ed</w:t>
      </w:r>
      <w:r w:rsidRPr="00291AA1">
        <w:t xml:space="preserve"> to an individual, partnership, or corporation that is not a depository institution</w:t>
      </w:r>
      <w:r>
        <w:t xml:space="preserve">—and a temporary Term Auction Facility (TAF)--in which </w:t>
      </w:r>
      <w:r w:rsidRPr="00291AA1">
        <w:t>depository institution</w:t>
      </w:r>
      <w:r>
        <w:t>s</w:t>
      </w:r>
      <w:r w:rsidRPr="00291AA1">
        <w:t xml:space="preserve"> obtain </w:t>
      </w:r>
      <w:r>
        <w:t xml:space="preserve">discount window loans </w:t>
      </w:r>
      <w:r w:rsidRPr="00291AA1">
        <w:t>at an interest rate that is determined as the result of an auction.</w:t>
      </w:r>
      <w:r>
        <w:t xml:space="preserve">  Borrowers of emergency credit for others and TAF credit are not required to file the FR 2046.</w:t>
      </w:r>
    </w:p>
  </w:footnote>
  <w:footnote w:id="2">
    <w:p w:rsidR="00406C13" w:rsidRDefault="00406C13" w:rsidP="003C0E8E">
      <w:pPr>
        <w:pStyle w:val="FootnoteText"/>
      </w:pPr>
      <w:r w:rsidRPr="00326F39">
        <w:rPr>
          <w:rStyle w:val="FootnoteReference"/>
          <w:vertAlign w:val="superscript"/>
        </w:rPr>
        <w:footnoteRef/>
      </w:r>
      <w:r>
        <w:t xml:space="preserve"> S-Letter 2487, March 1985.</w:t>
      </w:r>
    </w:p>
  </w:footnote>
  <w:footnote w:id="3">
    <w:p w:rsidR="00406C13" w:rsidRDefault="00406C13" w:rsidP="003C0E8E">
      <w:pPr>
        <w:pStyle w:val="FootnoteText"/>
      </w:pPr>
      <w:r w:rsidRPr="00326F39">
        <w:rPr>
          <w:rStyle w:val="FootnoteReference"/>
          <w:vertAlign w:val="superscript"/>
        </w:rPr>
        <w:footnoteRef/>
      </w:r>
      <w:r>
        <w:t xml:space="preserve"> This subcommittee is now known as SCRM (Subcommittee on Credit Risk Management).  </w:t>
      </w:r>
      <w:r>
        <w:rPr>
          <w:rFonts w:ascii="Times" w:hAnsi="Times" w:cs="Times"/>
        </w:rPr>
        <w:t>SCRM is a subcommittee of the Conference of Presidents' Committee on Credit and Risk Management.</w:t>
      </w:r>
    </w:p>
  </w:footnote>
  <w:footnote w:id="4">
    <w:p w:rsidR="00406C13" w:rsidRDefault="00406C13" w:rsidP="003C0E8E">
      <w:pPr>
        <w:pStyle w:val="FootnoteText"/>
      </w:pPr>
      <w:r w:rsidRPr="00326F39">
        <w:rPr>
          <w:rStyle w:val="FootnoteReference"/>
          <w:vertAlign w:val="superscript"/>
        </w:rPr>
        <w:footnoteRef/>
      </w:r>
      <w:r>
        <w:t xml:space="preserve"> </w:t>
      </w:r>
      <w:r>
        <w:rPr>
          <w:rFonts w:ascii="Times" w:hAnsi="Times" w:cs="Times"/>
        </w:rPr>
        <w:t xml:space="preserve">The FR 2644 and the FR 2900 employ somewhat different concepts of total deposits.  Either concept is adequate for the purpose of monitoring discount window borrowers.  </w:t>
      </w:r>
    </w:p>
  </w:footnote>
  <w:footnote w:id="5">
    <w:p w:rsidR="00406C13" w:rsidRDefault="00406C13" w:rsidP="003C0E8E">
      <w:pPr>
        <w:pStyle w:val="FootnoteText"/>
      </w:pPr>
      <w:r w:rsidRPr="00326F39">
        <w:rPr>
          <w:rStyle w:val="FootnoteReference"/>
          <w:vertAlign w:val="superscript"/>
        </w:rPr>
        <w:footnoteRef/>
      </w:r>
      <w:r>
        <w:t xml:space="preserve"> </w:t>
      </w:r>
      <w:r>
        <w:rPr>
          <w:rFonts w:ascii="Times" w:hAnsi="Times" w:cs="Times"/>
        </w:rPr>
        <w:t>For U.S. branches and agencies of foreign banks that file a consolidated condition report, it is likely that discount officers would request FR 2046 data for the particular branch that borrows.</w:t>
      </w:r>
    </w:p>
  </w:footnote>
  <w:footnote w:id="6">
    <w:p w:rsidR="00406C13" w:rsidRDefault="00406C13" w:rsidP="003C0E8E">
      <w:pPr>
        <w:pStyle w:val="FootnoteText"/>
      </w:pPr>
      <w:r w:rsidRPr="00326F39">
        <w:rPr>
          <w:rStyle w:val="FootnoteReference"/>
          <w:vertAlign w:val="superscript"/>
        </w:rPr>
        <w:footnoteRef/>
      </w:r>
      <w:r>
        <w:t xml:space="preserve"> </w:t>
      </w:r>
      <w:r w:rsidRPr="00102BF8">
        <w:rPr>
          <w:rFonts w:ascii="Times" w:hAnsi="Times" w:cs="Times"/>
        </w:rPr>
        <w:t xml:space="preserve">Excluding transactions of the reporting </w:t>
      </w:r>
      <w:proofErr w:type="gramStart"/>
      <w:r w:rsidRPr="00102BF8">
        <w:rPr>
          <w:rFonts w:ascii="Times" w:hAnsi="Times" w:cs="Times"/>
        </w:rPr>
        <w:t>institution's</w:t>
      </w:r>
      <w:proofErr w:type="gramEnd"/>
      <w:r w:rsidRPr="00102BF8">
        <w:rPr>
          <w:rFonts w:ascii="Times" w:hAnsi="Times" w:cs="Times"/>
        </w:rPr>
        <w:t xml:space="preserve"> own International Banking Facilities (IBFs) with nonrelated parties and related depository institutions</w:t>
      </w:r>
      <w:r>
        <w:rPr>
          <w:rFonts w:ascii="Times" w:hAnsi="Times" w:cs="Times"/>
        </w:rPr>
        <w:t>.</w:t>
      </w:r>
    </w:p>
  </w:footnote>
  <w:footnote w:id="7">
    <w:p w:rsidR="00406C13" w:rsidRDefault="00406C13" w:rsidP="003C0E8E">
      <w:pPr>
        <w:pStyle w:val="FootnoteText"/>
      </w:pPr>
      <w:r w:rsidRPr="007E6A60">
        <w:rPr>
          <w:rStyle w:val="FootnoteReference"/>
          <w:vertAlign w:val="superscript"/>
        </w:rPr>
        <w:footnoteRef/>
      </w:r>
      <w:r w:rsidRPr="007E6A60">
        <w:rPr>
          <w:vertAlign w:val="superscript"/>
        </w:rPr>
        <w:t xml:space="preserve"> </w:t>
      </w:r>
      <w:r w:rsidRPr="007E6A60">
        <w:t xml:space="preserve">From 2010 to 2012 the weekly number of primary credit borrowers ranged from 11 to 123, and the weekly number of secondary credit borrowers ranged from </w:t>
      </w:r>
      <w:r>
        <w:t>0</w:t>
      </w:r>
      <w:r w:rsidRPr="007E6A60">
        <w:t xml:space="preserve"> to </w:t>
      </w:r>
      <w:r>
        <w:t>9</w:t>
      </w:r>
      <w:r w:rsidRPr="007E6A60">
        <w:t>.</w:t>
      </w:r>
    </w:p>
  </w:footnote>
  <w:footnote w:id="8">
    <w:p w:rsidR="003C1EC7" w:rsidRDefault="003C1EC7">
      <w:pPr>
        <w:pStyle w:val="FootnoteText"/>
      </w:pPr>
      <w:r w:rsidRPr="003C1EC7">
        <w:rPr>
          <w:rStyle w:val="FootnoteReference"/>
          <w:vertAlign w:val="superscript"/>
        </w:rPr>
        <w:footnoteRef/>
      </w:r>
      <w:r>
        <w:t xml:space="preserve"> </w:t>
      </w:r>
      <w:r w:rsidRPr="003C1EC7">
        <w:t xml:space="preserve">Total cost to the public was estimated using the following formula: percent of staff time, multiplied by annual burden hours, multiplied by hourly rate (30% Office &amp; Administrative Support at $18, 45% Financial Managers at $59, 15% Lawyers at $63, and 10% Chief Executives </w:t>
      </w:r>
      <w:bookmarkStart w:id="5" w:name="_GoBack"/>
      <w:bookmarkEnd w:id="5"/>
      <w:r w:rsidRPr="003C1EC7">
        <w:t>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13" w:rsidRDefault="00406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519B"/>
    <w:multiLevelType w:val="hybridMultilevel"/>
    <w:tmpl w:val="E780A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9750856"/>
    <w:multiLevelType w:val="hybridMultilevel"/>
    <w:tmpl w:val="1AF6B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461803"/>
    <w:multiLevelType w:val="hybridMultilevel"/>
    <w:tmpl w:val="936C1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011E4D"/>
    <w:rsid w:val="00003415"/>
    <w:rsid w:val="0000517C"/>
    <w:rsid w:val="00011E4D"/>
    <w:rsid w:val="00017E6B"/>
    <w:rsid w:val="00030D0B"/>
    <w:rsid w:val="00042DA4"/>
    <w:rsid w:val="00065DD7"/>
    <w:rsid w:val="00065EF7"/>
    <w:rsid w:val="0009763B"/>
    <w:rsid w:val="000D0B4B"/>
    <w:rsid w:val="000E2FE4"/>
    <w:rsid w:val="000F28D0"/>
    <w:rsid w:val="00102BF8"/>
    <w:rsid w:val="0011351A"/>
    <w:rsid w:val="00140E90"/>
    <w:rsid w:val="00174F25"/>
    <w:rsid w:val="001A3119"/>
    <w:rsid w:val="001D23EE"/>
    <w:rsid w:val="001D3134"/>
    <w:rsid w:val="001E1F57"/>
    <w:rsid w:val="001E3FB3"/>
    <w:rsid w:val="00222251"/>
    <w:rsid w:val="00250AB6"/>
    <w:rsid w:val="00261C11"/>
    <w:rsid w:val="00263D74"/>
    <w:rsid w:val="0026739E"/>
    <w:rsid w:val="0029083F"/>
    <w:rsid w:val="002930C3"/>
    <w:rsid w:val="002B7273"/>
    <w:rsid w:val="002C4B98"/>
    <w:rsid w:val="002D51DE"/>
    <w:rsid w:val="002E143F"/>
    <w:rsid w:val="002E5F2F"/>
    <w:rsid w:val="002F2CFA"/>
    <w:rsid w:val="003076BC"/>
    <w:rsid w:val="003173E7"/>
    <w:rsid w:val="00367F7C"/>
    <w:rsid w:val="00371790"/>
    <w:rsid w:val="003745F4"/>
    <w:rsid w:val="0038091A"/>
    <w:rsid w:val="003C0E8E"/>
    <w:rsid w:val="003C1EC7"/>
    <w:rsid w:val="003C3A93"/>
    <w:rsid w:val="003D7D05"/>
    <w:rsid w:val="00406C13"/>
    <w:rsid w:val="00407E22"/>
    <w:rsid w:val="00412A49"/>
    <w:rsid w:val="00444600"/>
    <w:rsid w:val="004478E2"/>
    <w:rsid w:val="00454CEE"/>
    <w:rsid w:val="00474427"/>
    <w:rsid w:val="00482AFE"/>
    <w:rsid w:val="00483528"/>
    <w:rsid w:val="004C205D"/>
    <w:rsid w:val="004E1521"/>
    <w:rsid w:val="004F1228"/>
    <w:rsid w:val="004F345F"/>
    <w:rsid w:val="004F5808"/>
    <w:rsid w:val="00513909"/>
    <w:rsid w:val="0053703F"/>
    <w:rsid w:val="005408DA"/>
    <w:rsid w:val="0056059E"/>
    <w:rsid w:val="005E4D50"/>
    <w:rsid w:val="00605C72"/>
    <w:rsid w:val="00613300"/>
    <w:rsid w:val="00617F90"/>
    <w:rsid w:val="006228C0"/>
    <w:rsid w:val="00623B4D"/>
    <w:rsid w:val="00634875"/>
    <w:rsid w:val="006354FC"/>
    <w:rsid w:val="0063711D"/>
    <w:rsid w:val="006713E0"/>
    <w:rsid w:val="006745F7"/>
    <w:rsid w:val="0067467D"/>
    <w:rsid w:val="00692021"/>
    <w:rsid w:val="006E0CF3"/>
    <w:rsid w:val="006E30A9"/>
    <w:rsid w:val="006E75CD"/>
    <w:rsid w:val="006F2572"/>
    <w:rsid w:val="006F368A"/>
    <w:rsid w:val="0070478E"/>
    <w:rsid w:val="007108D7"/>
    <w:rsid w:val="00721FE3"/>
    <w:rsid w:val="007341E2"/>
    <w:rsid w:val="00745C7D"/>
    <w:rsid w:val="00747CE6"/>
    <w:rsid w:val="007604E8"/>
    <w:rsid w:val="007737B6"/>
    <w:rsid w:val="007911DA"/>
    <w:rsid w:val="007A2FF4"/>
    <w:rsid w:val="007C0D2D"/>
    <w:rsid w:val="007F5F6D"/>
    <w:rsid w:val="00812300"/>
    <w:rsid w:val="008153D4"/>
    <w:rsid w:val="00822230"/>
    <w:rsid w:val="00862087"/>
    <w:rsid w:val="00870E49"/>
    <w:rsid w:val="0089430F"/>
    <w:rsid w:val="008B1BA0"/>
    <w:rsid w:val="008B3B43"/>
    <w:rsid w:val="008B5BB1"/>
    <w:rsid w:val="008F7776"/>
    <w:rsid w:val="00911DE9"/>
    <w:rsid w:val="00917F80"/>
    <w:rsid w:val="00932C77"/>
    <w:rsid w:val="00941F7B"/>
    <w:rsid w:val="00991E36"/>
    <w:rsid w:val="009A3A9F"/>
    <w:rsid w:val="009B4053"/>
    <w:rsid w:val="009C017C"/>
    <w:rsid w:val="009D04AD"/>
    <w:rsid w:val="009D3C93"/>
    <w:rsid w:val="009E48AB"/>
    <w:rsid w:val="00A00608"/>
    <w:rsid w:val="00A2783D"/>
    <w:rsid w:val="00A6566A"/>
    <w:rsid w:val="00A7539C"/>
    <w:rsid w:val="00A82E05"/>
    <w:rsid w:val="00AE69E4"/>
    <w:rsid w:val="00B22D9A"/>
    <w:rsid w:val="00B25AD5"/>
    <w:rsid w:val="00B33401"/>
    <w:rsid w:val="00B449CB"/>
    <w:rsid w:val="00B63091"/>
    <w:rsid w:val="00B74C55"/>
    <w:rsid w:val="00BB0DC6"/>
    <w:rsid w:val="00BB3A47"/>
    <w:rsid w:val="00C16F9A"/>
    <w:rsid w:val="00C43CFD"/>
    <w:rsid w:val="00C456A1"/>
    <w:rsid w:val="00CA5D66"/>
    <w:rsid w:val="00CD44E3"/>
    <w:rsid w:val="00CE031E"/>
    <w:rsid w:val="00CE1136"/>
    <w:rsid w:val="00D0000F"/>
    <w:rsid w:val="00D003D4"/>
    <w:rsid w:val="00D0745D"/>
    <w:rsid w:val="00D30F72"/>
    <w:rsid w:val="00D36B0F"/>
    <w:rsid w:val="00D5505C"/>
    <w:rsid w:val="00D55D88"/>
    <w:rsid w:val="00D76B3A"/>
    <w:rsid w:val="00D927EA"/>
    <w:rsid w:val="00DD3999"/>
    <w:rsid w:val="00DF4C2E"/>
    <w:rsid w:val="00E049EF"/>
    <w:rsid w:val="00E66F99"/>
    <w:rsid w:val="00E95416"/>
    <w:rsid w:val="00EA2EB3"/>
    <w:rsid w:val="00ED1344"/>
    <w:rsid w:val="00F01E82"/>
    <w:rsid w:val="00F25989"/>
    <w:rsid w:val="00F4164B"/>
    <w:rsid w:val="00F50CC5"/>
    <w:rsid w:val="00FA48F6"/>
    <w:rsid w:val="00FC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091A"/>
  </w:style>
  <w:style w:type="paragraph" w:styleId="Header">
    <w:name w:val="header"/>
    <w:basedOn w:val="Normal"/>
    <w:link w:val="HeaderChar"/>
    <w:uiPriority w:val="99"/>
    <w:rsid w:val="00617F90"/>
    <w:pPr>
      <w:tabs>
        <w:tab w:val="center" w:pos="4320"/>
        <w:tab w:val="right" w:pos="8640"/>
      </w:tabs>
    </w:pPr>
  </w:style>
  <w:style w:type="paragraph" w:styleId="Footer">
    <w:name w:val="footer"/>
    <w:basedOn w:val="Normal"/>
    <w:link w:val="FooterChar"/>
    <w:uiPriority w:val="99"/>
    <w:rsid w:val="00617F90"/>
    <w:pPr>
      <w:tabs>
        <w:tab w:val="center" w:pos="4320"/>
        <w:tab w:val="right" w:pos="8640"/>
      </w:tabs>
    </w:pPr>
  </w:style>
  <w:style w:type="paragraph" w:styleId="FootnoteText">
    <w:name w:val="footnote text"/>
    <w:basedOn w:val="Normal"/>
    <w:semiHidden/>
    <w:rsid w:val="004C205D"/>
    <w:rPr>
      <w:sz w:val="20"/>
      <w:szCs w:val="20"/>
    </w:rPr>
  </w:style>
  <w:style w:type="character" w:styleId="PageNumber">
    <w:name w:val="page number"/>
    <w:basedOn w:val="DefaultParagraphFont"/>
    <w:rsid w:val="00102BF8"/>
  </w:style>
  <w:style w:type="paragraph" w:styleId="BodyTextIndent">
    <w:name w:val="Body Text Indent"/>
    <w:basedOn w:val="Normal"/>
    <w:rsid w:val="009A3A9F"/>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ListParagraph">
    <w:name w:val="List Paragraph"/>
    <w:basedOn w:val="Normal"/>
    <w:uiPriority w:val="34"/>
    <w:qFormat/>
    <w:rsid w:val="007A2FF4"/>
    <w:pPr>
      <w:ind w:left="720"/>
      <w:contextualSpacing/>
    </w:pPr>
  </w:style>
  <w:style w:type="character" w:customStyle="1" w:styleId="HeaderChar">
    <w:name w:val="Header Char"/>
    <w:basedOn w:val="DefaultParagraphFont"/>
    <w:link w:val="Header"/>
    <w:uiPriority w:val="99"/>
    <w:rsid w:val="007A2FF4"/>
    <w:rPr>
      <w:sz w:val="24"/>
      <w:szCs w:val="24"/>
    </w:rPr>
  </w:style>
  <w:style w:type="character" w:customStyle="1" w:styleId="FooterChar">
    <w:name w:val="Footer Char"/>
    <w:basedOn w:val="DefaultParagraphFont"/>
    <w:link w:val="Footer"/>
    <w:uiPriority w:val="99"/>
    <w:rsid w:val="007A2FF4"/>
    <w:rPr>
      <w:sz w:val="24"/>
      <w:szCs w:val="24"/>
    </w:rPr>
  </w:style>
  <w:style w:type="character" w:styleId="Emphasis">
    <w:name w:val="Emphasis"/>
    <w:basedOn w:val="DefaultParagraphFont"/>
    <w:uiPriority w:val="20"/>
    <w:qFormat/>
    <w:rsid w:val="003C0E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5714-E645-415B-B0B6-B30E0F58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ED8BC466.dotm</Template>
  <TotalTime>392</TotalTime>
  <Pages>10</Pages>
  <Words>3661</Words>
  <Characters>19992</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Federal Reserve Board</Company>
  <LinksUpToDate>false</LinksUpToDate>
  <CharactersWithSpaces>23606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m1lsk01</dc:creator>
  <cp:keywords/>
  <dc:description/>
  <cp:lastModifiedBy>Scott W. Farmer</cp:lastModifiedBy>
  <cp:revision>18</cp:revision>
  <cp:lastPrinted>2013-05-17T17:18:00Z</cp:lastPrinted>
  <dcterms:created xsi:type="dcterms:W3CDTF">2010-03-25T15:25:00Z</dcterms:created>
  <dcterms:modified xsi:type="dcterms:W3CDTF">2013-08-26T14:47:00Z</dcterms:modified>
</cp:coreProperties>
</file>