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314" w:rsidRDefault="000E6314" w:rsidP="00662FA7">
      <w:pPr>
        <w:spacing w:after="0" w:line="240" w:lineRule="auto"/>
        <w:jc w:val="center"/>
        <w:rPr>
          <w:rFonts w:eastAsia="Times New Roman" w:cs="Times New Roman"/>
          <w:b/>
          <w:bCs/>
          <w:szCs w:val="24"/>
        </w:rPr>
      </w:pPr>
      <w:r>
        <w:rPr>
          <w:rFonts w:eastAsia="Times New Roman" w:cs="Times New Roman"/>
          <w:b/>
          <w:bCs/>
          <w:szCs w:val="24"/>
        </w:rPr>
        <w:t>SUPPORTING STATEMENT</w:t>
      </w:r>
    </w:p>
    <w:p w:rsidR="000E6314" w:rsidRDefault="000E6314" w:rsidP="00662FA7">
      <w:pPr>
        <w:spacing w:line="240" w:lineRule="auto"/>
        <w:jc w:val="center"/>
        <w:rPr>
          <w:rFonts w:eastAsia="Times New Roman" w:cs="Times New Roman"/>
          <w:b/>
          <w:bCs/>
          <w:szCs w:val="24"/>
        </w:rPr>
      </w:pPr>
      <w:r w:rsidRPr="0040411D">
        <w:rPr>
          <w:rFonts w:eastAsia="Times New Roman" w:cs="Times New Roman"/>
          <w:b/>
          <w:bCs/>
          <w:szCs w:val="24"/>
        </w:rPr>
        <w:t>for the Paperwork Reduction Act Infor</w:t>
      </w:r>
      <w:r>
        <w:rPr>
          <w:rFonts w:eastAsia="Times New Roman" w:cs="Times New Roman"/>
          <w:b/>
          <w:bCs/>
          <w:szCs w:val="24"/>
        </w:rPr>
        <w:t>mation Collection Submission</w:t>
      </w:r>
    </w:p>
    <w:p w:rsidR="000E6314" w:rsidRPr="00E46A20" w:rsidRDefault="000E6314" w:rsidP="00662FA7">
      <w:pPr>
        <w:spacing w:line="240" w:lineRule="auto"/>
        <w:jc w:val="center"/>
        <w:rPr>
          <w:rFonts w:eastAsia="Times New Roman" w:cs="Times New Roman"/>
          <w:b/>
          <w:bCs/>
          <w:szCs w:val="24"/>
        </w:rPr>
      </w:pPr>
      <w:r>
        <w:rPr>
          <w:rFonts w:eastAsia="Times New Roman" w:cs="Times New Roman"/>
          <w:b/>
          <w:bCs/>
          <w:szCs w:val="24"/>
        </w:rPr>
        <w:t xml:space="preserve">Rule 18a-4 – </w:t>
      </w:r>
      <w:r w:rsidRPr="00DC28A0">
        <w:rPr>
          <w:rFonts w:cs="Times New Roman"/>
          <w:b/>
          <w:szCs w:val="24"/>
        </w:rPr>
        <w:t>Segregation requirements for security-based swap dealers and major security-based swap participants</w:t>
      </w:r>
      <w:r>
        <w:rPr>
          <w:rFonts w:cs="Times New Roman"/>
          <w:b/>
          <w:szCs w:val="24"/>
        </w:rPr>
        <w:t>.</w:t>
      </w:r>
    </w:p>
    <w:p w:rsidR="000E6314" w:rsidRPr="00F10FF8" w:rsidRDefault="000E6314" w:rsidP="00662FA7">
      <w:pPr>
        <w:pStyle w:val="Heading1"/>
        <w:tabs>
          <w:tab w:val="left" w:pos="720"/>
        </w:tabs>
        <w:rPr>
          <w:rFonts w:ascii="Times New Roman Bold" w:hAnsi="Times New Roman Bold"/>
          <w:caps/>
        </w:rPr>
      </w:pPr>
      <w:r w:rsidRPr="00271482">
        <w:rPr>
          <w:bCs w:val="0"/>
        </w:rPr>
        <w:t>A.</w:t>
      </w:r>
      <w:r w:rsidRPr="00271482">
        <w:tab/>
      </w:r>
      <w:r w:rsidRPr="00F10FF8">
        <w:rPr>
          <w:rFonts w:ascii="Times New Roman Bold" w:hAnsi="Times New Roman Bold"/>
          <w:caps/>
        </w:rPr>
        <w:t>Justification</w:t>
      </w:r>
    </w:p>
    <w:p w:rsidR="000E6314" w:rsidRDefault="000E6314" w:rsidP="00662FA7">
      <w:pPr>
        <w:pStyle w:val="Heading2"/>
        <w:spacing w:line="240" w:lineRule="auto"/>
      </w:pPr>
      <w:r>
        <w:tab/>
        <w:t>1.</w:t>
      </w:r>
      <w:r>
        <w:tab/>
        <w:t>Necessity of Information Collection</w:t>
      </w:r>
    </w:p>
    <w:p w:rsidR="00044C2D" w:rsidRDefault="004333D3" w:rsidP="00662FA7">
      <w:pPr>
        <w:spacing w:line="240" w:lineRule="auto"/>
      </w:pPr>
      <w:r>
        <w:tab/>
        <w:t>In accordance with Section 763 of the Dodd-Frank Wall Street Reform and Consumer Protection Act of 2010 (</w:t>
      </w:r>
      <w:r w:rsidR="00662FA7">
        <w:t xml:space="preserve">the </w:t>
      </w:r>
      <w:r>
        <w:t xml:space="preserve">“Dodd-Frank Act”), the </w:t>
      </w:r>
      <w:r w:rsidR="00662FA7">
        <w:t xml:space="preserve">Securities and Exchange </w:t>
      </w:r>
      <w:r>
        <w:t xml:space="preserve">Commission </w:t>
      </w:r>
      <w:r w:rsidR="00FA43F5">
        <w:t xml:space="preserve">(the “Commission”) </w:t>
      </w:r>
      <w:r w:rsidR="00C07CFB">
        <w:t>has proposed</w:t>
      </w:r>
      <w:r>
        <w:t xml:space="preserve"> new Rule 18a-4 to set forth segregation requirements for security-based swap dealers (“SBSDs”) and major security-based swap participants (“MSBSPs”).</w:t>
      </w:r>
      <w:r w:rsidR="00662FA7">
        <w:rPr>
          <w:rStyle w:val="FootnoteReference"/>
        </w:rPr>
        <w:footnoteReference w:id="1"/>
      </w:r>
      <w:r>
        <w:t xml:space="preserve">  The rule </w:t>
      </w:r>
      <w:r w:rsidR="00662FA7">
        <w:t>would establish</w:t>
      </w:r>
      <w:r>
        <w:t xml:space="preserve"> a number of new collection of information requirements.</w:t>
      </w:r>
      <w:r w:rsidR="008F538D">
        <w:t xml:space="preserve">  </w:t>
      </w:r>
      <w:r w:rsidR="008F538D">
        <w:rPr>
          <w:rFonts w:cs="Times New Roman"/>
          <w:szCs w:val="24"/>
        </w:rPr>
        <w:t>The Commission staff estimates that there will be a total of 55 respondents subject at least in part to these new requirements.</w:t>
      </w:r>
    </w:p>
    <w:p w:rsidR="004333D3" w:rsidRDefault="00F97252" w:rsidP="00662FA7">
      <w:pPr>
        <w:spacing w:line="240" w:lineRule="auto"/>
      </w:pPr>
      <w:r>
        <w:tab/>
      </w:r>
      <w:r w:rsidR="008A4B7C">
        <w:t xml:space="preserve">Proposed </w:t>
      </w:r>
      <w:r>
        <w:t xml:space="preserve">Rule 18a-4 </w:t>
      </w:r>
      <w:r w:rsidR="008A4B7C">
        <w:t>would establish segregation requirements for cleared and non-cleared security-based swap transactions, which would apply to all SBSDs (</w:t>
      </w:r>
      <w:r w:rsidR="008A4B7C">
        <w:rPr>
          <w:u w:val="single"/>
        </w:rPr>
        <w:t>i.e.</w:t>
      </w:r>
      <w:r w:rsidR="008A4B7C">
        <w:t>, they would apply to bank SBSDs, nonbank stand-alone SBSDs, and broker-dealer SBSDs), as well as notification requirements for SBSDs and MSBSPs</w:t>
      </w:r>
      <w:r>
        <w:t>.</w:t>
      </w:r>
      <w:r w:rsidR="006C1BE6">
        <w:t xml:space="preserve">  Th</w:t>
      </w:r>
      <w:r w:rsidR="00CA35D3">
        <w:t>e rule</w:t>
      </w:r>
      <w:r w:rsidR="006C1BE6">
        <w:t xml:space="preserve"> </w:t>
      </w:r>
      <w:r w:rsidR="00FA43F5">
        <w:t xml:space="preserve">would </w:t>
      </w:r>
      <w:r w:rsidR="006C1BE6">
        <w:t xml:space="preserve">require SBSDs to open and maintain special accounts </w:t>
      </w:r>
      <w:r w:rsidR="0082652B">
        <w:t>with banks and obtain written acknowledgements from, and enter into written contracts with, the banks</w:t>
      </w:r>
      <w:r w:rsidR="006C1BE6">
        <w:t xml:space="preserve">.  SBSDs </w:t>
      </w:r>
      <w:r w:rsidR="0082652B">
        <w:t xml:space="preserve">would also be required to at all times maintain in a special account, through deposits into the account, cash and/or qualified securities in amounts computed in accordance with the formula set forth in Exhibit A to proposed Rule 18a-4.  </w:t>
      </w:r>
      <w:r w:rsidR="004B20E0">
        <w:t>The rule would also require that the computations necessary to determine the amount required to be maintained in the special bank account must be made on a daily basis.</w:t>
      </w:r>
      <w:r>
        <w:t xml:space="preserve">  In addition</w:t>
      </w:r>
      <w:r w:rsidR="00EA4218">
        <w:t xml:space="preserve">, the rule </w:t>
      </w:r>
      <w:r w:rsidR="004B20E0">
        <w:t xml:space="preserve">would require that both SBSDs and MSBSPs provide notice to a counterparty pursuant to Section 3E(f) of the </w:t>
      </w:r>
      <w:r w:rsidR="00662FA7">
        <w:t xml:space="preserve">Securities </w:t>
      </w:r>
      <w:r w:rsidR="004B20E0">
        <w:t xml:space="preserve">Exchange Act </w:t>
      </w:r>
      <w:r w:rsidR="00662FA7">
        <w:t xml:space="preserve">of 1934 (“Exchange Act”) </w:t>
      </w:r>
      <w:r w:rsidR="004B20E0">
        <w:t>prior to the execution of the first non-cleared security-based swap transaction with the counterparty occurring</w:t>
      </w:r>
      <w:r w:rsidR="00662FA7">
        <w:t xml:space="preserve"> </w:t>
      </w:r>
      <w:r w:rsidR="004B20E0">
        <w:t>after th</w:t>
      </w:r>
      <w:r w:rsidR="00662FA7">
        <w:t>e</w:t>
      </w:r>
      <w:r w:rsidR="004B20E0">
        <w:t xml:space="preserve"> effective date of the proposed rule.</w:t>
      </w:r>
      <w:r w:rsidR="00EA4218">
        <w:t xml:space="preserve">  Finally, the rule </w:t>
      </w:r>
      <w:r w:rsidR="00662FA7">
        <w:t>would require</w:t>
      </w:r>
      <w:r w:rsidR="00EA4218">
        <w:t xml:space="preserve"> SBSDs </w:t>
      </w:r>
      <w:r w:rsidR="004B20E0">
        <w:t>to obtain</w:t>
      </w:r>
      <w:r w:rsidR="00EA4218">
        <w:t xml:space="preserve"> agreements </w:t>
      </w:r>
      <w:r w:rsidR="004B20E0">
        <w:t xml:space="preserve">from counterparties that do not choose to require segregation of funds or other property pursuant to Section 3E(f) of the Exchange Act or paragraph </w:t>
      </w:r>
      <w:r w:rsidR="00662FA7">
        <w:t>(</w:t>
      </w:r>
      <w:r w:rsidR="004B20E0">
        <w:t>c</w:t>
      </w:r>
      <w:r w:rsidR="00662FA7">
        <w:t>)</w:t>
      </w:r>
      <w:r w:rsidR="004B20E0">
        <w:t>(3) of proposed Rule 18a-4 in which the counterparty agrees to subordinate all of its claims against the SBSD to the claims of security-based swap customers of the SBSD.</w:t>
      </w:r>
    </w:p>
    <w:p w:rsidR="000E4F71" w:rsidRDefault="000E4F71" w:rsidP="00662FA7">
      <w:pPr>
        <w:pStyle w:val="Heading2"/>
        <w:spacing w:line="240" w:lineRule="auto"/>
      </w:pPr>
      <w:r>
        <w:tab/>
        <w:t>2.</w:t>
      </w:r>
      <w:r>
        <w:tab/>
        <w:t>Purpose and Use of the Information Collection</w:t>
      </w:r>
    </w:p>
    <w:p w:rsidR="000E4F71" w:rsidRDefault="000E4F71" w:rsidP="00662FA7">
      <w:pPr>
        <w:spacing w:line="240" w:lineRule="auto"/>
      </w:pPr>
      <w:r>
        <w:tab/>
        <w:t xml:space="preserve">Information collections under </w:t>
      </w:r>
      <w:r w:rsidR="00662FA7">
        <w:t>Rule 18a-4 would be integral parts of</w:t>
      </w:r>
      <w:r>
        <w:t xml:space="preserve"> the Commission’s financial responsibility program for SBSDs and MSBSPs.  The program is designed </w:t>
      </w:r>
      <w:r w:rsidR="00192FC3">
        <w:t xml:space="preserve">in part </w:t>
      </w:r>
      <w:r>
        <w:t>to ensure that SBSDs safely custody the assets of their customers such that those assets are readily available for distribution in the event the SBSD becomes insolvent.</w:t>
      </w:r>
      <w:r w:rsidR="00BC7DC4">
        <w:t xml:space="preserve">  The program also </w:t>
      </w:r>
      <w:r w:rsidR="00662FA7">
        <w:t xml:space="preserve">would </w:t>
      </w:r>
      <w:r w:rsidR="00BC7DC4">
        <w:lastRenderedPageBreak/>
        <w:t>ensure that counterparties are made aware of the nature of their exposure to SBSDs and MSBSPs prior to executing security-based swap trades.</w:t>
      </w:r>
    </w:p>
    <w:p w:rsidR="00BC7DC4" w:rsidRDefault="00BC7DC4" w:rsidP="00662FA7">
      <w:pPr>
        <w:pStyle w:val="Heading2"/>
        <w:spacing w:line="240" w:lineRule="auto"/>
      </w:pPr>
      <w:r>
        <w:tab/>
        <w:t>3.</w:t>
      </w:r>
      <w:r>
        <w:tab/>
        <w:t>Consideration Given to Information Technology</w:t>
      </w:r>
    </w:p>
    <w:p w:rsidR="00BC7DC4" w:rsidRDefault="00662FA7" w:rsidP="00662FA7">
      <w:pPr>
        <w:spacing w:line="240" w:lineRule="auto"/>
      </w:pPr>
      <w:r>
        <w:tab/>
        <w:t xml:space="preserve">The information collections would </w:t>
      </w:r>
      <w:r w:rsidR="00BC7DC4">
        <w:t>not require that respondents use any specific information technology system either to prepare or submit information collections under Rule 18a-4.</w:t>
      </w:r>
    </w:p>
    <w:p w:rsidR="00BC7DC4" w:rsidRDefault="00BC7DC4" w:rsidP="00662FA7">
      <w:pPr>
        <w:pStyle w:val="Heading2"/>
        <w:spacing w:line="240" w:lineRule="auto"/>
      </w:pPr>
      <w:r>
        <w:tab/>
        <w:t>4.</w:t>
      </w:r>
      <w:r>
        <w:tab/>
        <w:t>Duplication</w:t>
      </w:r>
    </w:p>
    <w:p w:rsidR="00BC7DC4" w:rsidRDefault="00BC7DC4" w:rsidP="00662FA7">
      <w:pPr>
        <w:spacing w:line="240" w:lineRule="auto"/>
      </w:pPr>
      <w:r>
        <w:tab/>
      </w:r>
      <w:r w:rsidR="008F538D">
        <w:t>We are not aware of that this information collection duplicates any existing information collection.</w:t>
      </w:r>
      <w:r>
        <w:t xml:space="preserve"> </w:t>
      </w:r>
    </w:p>
    <w:p w:rsidR="00BC7DC4" w:rsidRDefault="00BC7DC4" w:rsidP="00662FA7">
      <w:pPr>
        <w:pStyle w:val="Heading2"/>
        <w:spacing w:line="240" w:lineRule="auto"/>
      </w:pPr>
      <w:r>
        <w:tab/>
        <w:t>5.</w:t>
      </w:r>
      <w:r>
        <w:tab/>
        <w:t>Effect on Small Entities</w:t>
      </w:r>
    </w:p>
    <w:p w:rsidR="00BC7DC4" w:rsidRDefault="00BC7DC4" w:rsidP="00662FA7">
      <w:pPr>
        <w:spacing w:line="240" w:lineRule="auto"/>
      </w:pPr>
      <w:r>
        <w:tab/>
        <w:t>The information collecti</w:t>
      </w:r>
      <w:r w:rsidR="00662FA7">
        <w:t>ons required under Rule 18a-4 would</w:t>
      </w:r>
      <w:r>
        <w:t xml:space="preserve"> not place burdens on small entities.  The information collections are relevant only to market participants whose security-based swap market activity exceeds certain thresholds of notional amounts so as to trigger registration requirements with the Commission, such that small market participants are exempted.</w:t>
      </w:r>
    </w:p>
    <w:p w:rsidR="00BC7DC4" w:rsidRDefault="00BC7DC4" w:rsidP="00662FA7">
      <w:pPr>
        <w:pStyle w:val="Heading2"/>
        <w:spacing w:line="240" w:lineRule="auto"/>
      </w:pPr>
      <w:r>
        <w:tab/>
        <w:t>6.</w:t>
      </w:r>
      <w:r>
        <w:tab/>
        <w:t>Consequences of Not Conducting Collection</w:t>
      </w:r>
    </w:p>
    <w:p w:rsidR="00BC7DC4" w:rsidRDefault="00BC7DC4" w:rsidP="00662FA7">
      <w:pPr>
        <w:spacing w:line="240" w:lineRule="auto"/>
      </w:pPr>
      <w:r>
        <w:tab/>
        <w:t>If the required information collections were not conducted or were conducted less frequently, the protection afforded to counterparties and the U.S. financial and banking system would be diminished.</w:t>
      </w:r>
    </w:p>
    <w:p w:rsidR="00BC7DC4" w:rsidRDefault="00BC7DC4" w:rsidP="00662FA7">
      <w:pPr>
        <w:pStyle w:val="Heading2"/>
        <w:spacing w:line="240" w:lineRule="auto"/>
      </w:pPr>
      <w:r>
        <w:tab/>
        <w:t>7.</w:t>
      </w:r>
      <w:r>
        <w:tab/>
        <w:t>Inconsistencies with Guidelines in 5 CFR 1320.5(d)(2)</w:t>
      </w:r>
    </w:p>
    <w:p w:rsidR="00BC7DC4" w:rsidRDefault="00BC7DC4" w:rsidP="00662FA7">
      <w:pPr>
        <w:spacing w:line="240" w:lineRule="auto"/>
      </w:pPr>
      <w:r>
        <w:tab/>
        <w:t>There are no special circumstances.  This collection is consistent with the guidelines in 5 CFR 1320.5(d)(2).</w:t>
      </w:r>
    </w:p>
    <w:p w:rsidR="00BC7DC4" w:rsidRDefault="00BC7DC4" w:rsidP="00662FA7">
      <w:pPr>
        <w:pStyle w:val="Heading2"/>
        <w:spacing w:line="240" w:lineRule="auto"/>
      </w:pPr>
      <w:r>
        <w:tab/>
        <w:t>8.</w:t>
      </w:r>
      <w:r>
        <w:tab/>
        <w:t>Consultations Outside the Agency</w:t>
      </w:r>
    </w:p>
    <w:p w:rsidR="00BC7DC4" w:rsidRDefault="00BC7DC4" w:rsidP="00662FA7">
      <w:pPr>
        <w:spacing w:line="240" w:lineRule="auto"/>
      </w:pPr>
      <w:r>
        <w:tab/>
        <w:t>The Commission has issued a release soliciting comment on the new “collection of information” requirements and associated paperwork burdens.</w:t>
      </w:r>
      <w:r w:rsidR="00662FA7">
        <w:rPr>
          <w:rStyle w:val="FootnoteReference"/>
        </w:rPr>
        <w:footnoteReference w:id="2"/>
      </w:r>
      <w:r>
        <w:t xml:space="preserve">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w:t>
      </w:r>
      <w:r w:rsidR="00662FA7">
        <w:t>,</w:t>
      </w:r>
      <w:r>
        <w:t xml:space="preserve"> and informal exchanges.  Any comments received on this proposed rulemaking will be posted on the Commission’s public website, and made available through </w:t>
      </w:r>
      <w:r w:rsidR="00D27A69" w:rsidRPr="00D27A69">
        <w:t>http://www.sec.gov/comments/s7-08-12/s70812.shtml</w:t>
      </w:r>
      <w:r>
        <w:t>.  The Commission will consider all comments received prior to publishing the final rule, and will explain in any adopting release how the final rule responds to such comments, in accordance with 5 C.F.R. 1320.11(f).</w:t>
      </w:r>
    </w:p>
    <w:p w:rsidR="00BC7DC4" w:rsidRDefault="00BC7DC4" w:rsidP="00662FA7">
      <w:pPr>
        <w:pStyle w:val="Heading2"/>
        <w:spacing w:line="240" w:lineRule="auto"/>
      </w:pPr>
      <w:r>
        <w:lastRenderedPageBreak/>
        <w:tab/>
        <w:t>9.</w:t>
      </w:r>
      <w:r>
        <w:tab/>
        <w:t>Payment or Gift</w:t>
      </w:r>
    </w:p>
    <w:p w:rsidR="00BC7DC4" w:rsidRDefault="00662FA7" w:rsidP="00662FA7">
      <w:pPr>
        <w:spacing w:line="240" w:lineRule="auto"/>
      </w:pPr>
      <w:r>
        <w:tab/>
        <w:t>No payment or gift would be</w:t>
      </w:r>
      <w:r w:rsidR="00BC7DC4">
        <w:t xml:space="preserve"> provided to respondents.</w:t>
      </w:r>
    </w:p>
    <w:p w:rsidR="00BC7DC4" w:rsidRDefault="00BC7DC4" w:rsidP="00662FA7">
      <w:pPr>
        <w:pStyle w:val="Heading2"/>
        <w:spacing w:line="240" w:lineRule="auto"/>
      </w:pPr>
      <w:r>
        <w:tab/>
        <w:t>10.</w:t>
      </w:r>
      <w:r>
        <w:tab/>
        <w:t>Confidentiality</w:t>
      </w:r>
    </w:p>
    <w:p w:rsidR="00BC7DC4" w:rsidRDefault="00BC7DC4" w:rsidP="00662FA7">
      <w:pPr>
        <w:spacing w:line="240" w:lineRule="auto"/>
      </w:pPr>
      <w:r>
        <w:tab/>
        <w:t xml:space="preserve">The information collected by the Commission under Rule </w:t>
      </w:r>
      <w:r w:rsidR="006C1BE6">
        <w:t xml:space="preserve">18a-4 </w:t>
      </w:r>
      <w:r w:rsidR="00662FA7">
        <w:t>would be</w:t>
      </w:r>
      <w:r>
        <w:t xml:space="preserve"> kept confidential to the extent permitted by the Freedom of Information Act (5 U.S.C. § 552 </w:t>
      </w:r>
      <w:r>
        <w:rPr>
          <w:i/>
        </w:rPr>
        <w:t>et seq.</w:t>
      </w:r>
      <w:r>
        <w:t>).</w:t>
      </w:r>
    </w:p>
    <w:p w:rsidR="00BC7DC4" w:rsidRDefault="00BC7DC4" w:rsidP="00662FA7">
      <w:pPr>
        <w:pStyle w:val="Heading2"/>
        <w:spacing w:line="240" w:lineRule="auto"/>
      </w:pPr>
      <w:r>
        <w:tab/>
        <w:t>11.</w:t>
      </w:r>
      <w:r>
        <w:tab/>
        <w:t>Sensitive Questions</w:t>
      </w:r>
    </w:p>
    <w:p w:rsidR="00BC7DC4" w:rsidRDefault="00BC7DC4" w:rsidP="00662FA7">
      <w:pPr>
        <w:spacing w:line="240" w:lineRule="auto"/>
      </w:pPr>
      <w:r>
        <w:tab/>
        <w:t>No info</w:t>
      </w:r>
      <w:r w:rsidR="00662FA7">
        <w:t>rmation of a sensitive nature would be</w:t>
      </w:r>
      <w:r>
        <w:t xml:space="preserve"> required.</w:t>
      </w:r>
    </w:p>
    <w:p w:rsidR="006C1BE6" w:rsidRDefault="006C1BE6" w:rsidP="00662FA7">
      <w:pPr>
        <w:pStyle w:val="Heading2"/>
        <w:spacing w:line="240" w:lineRule="auto"/>
      </w:pPr>
      <w:r>
        <w:tab/>
        <w:t>12.</w:t>
      </w:r>
      <w:r>
        <w:tab/>
        <w:t>Burden of Information Collection</w:t>
      </w:r>
    </w:p>
    <w:p w:rsidR="004D724E" w:rsidRDefault="004D724E" w:rsidP="00662FA7">
      <w:pPr>
        <w:spacing w:line="240" w:lineRule="auto"/>
      </w:pPr>
      <w:r>
        <w:tab/>
        <w:t>The staff estimates that Rule 18a-4 will require in total, on an industry wide basis, (1) a one-time burden of 50,250 recordkeeping hours and 509,167 disclosure hours, and (2) an annual burden of 101,170 recordkeeping hours and 1,833 disclosure hours.</w:t>
      </w:r>
    </w:p>
    <w:p w:rsidR="00435044" w:rsidRPr="00FA5337" w:rsidRDefault="00435044" w:rsidP="00662FA7">
      <w:pPr>
        <w:spacing w:line="240" w:lineRule="auto"/>
        <w:rPr>
          <w:u w:val="single"/>
        </w:rPr>
      </w:pPr>
      <w:r>
        <w:tab/>
      </w:r>
      <w:r w:rsidR="00FA5337">
        <w:rPr>
          <w:u w:val="single"/>
        </w:rPr>
        <w:t>Special Accounts</w:t>
      </w:r>
    </w:p>
    <w:p w:rsidR="003F6C9E" w:rsidRDefault="006C1BE6" w:rsidP="00662FA7">
      <w:pPr>
        <w:spacing w:line="240" w:lineRule="auto"/>
      </w:pPr>
      <w:r>
        <w:tab/>
      </w:r>
      <w:r w:rsidR="00297151">
        <w:t xml:space="preserve">Rule 18a-4 </w:t>
      </w:r>
      <w:r w:rsidR="00662FA7">
        <w:t xml:space="preserve">would </w:t>
      </w:r>
      <w:r w:rsidR="00297151">
        <w:t>require SBSDs to establish certain special accounts with banks and obtain written acknowledgements from, and enter written agreements with, those banks.  These special accounts incl</w:t>
      </w:r>
      <w:r w:rsidR="00C81717">
        <w:t>9</w:t>
      </w:r>
      <w:r w:rsidR="00297151">
        <w:t xml:space="preserve">ude qualified clearing agency accounts, qualified SBSD accounts, and special accounts for the exclusive benefit of security-based swap customers (collectively, the “special accounts”).  </w:t>
      </w:r>
      <w:r w:rsidR="005B14D7">
        <w:t xml:space="preserve">The staff estimates that there will be 50 registered SBSDs that would have to open </w:t>
      </w:r>
      <w:r w:rsidR="00CE01BD">
        <w:t xml:space="preserve">on average 6 </w:t>
      </w:r>
      <w:r w:rsidR="005B14D7">
        <w:t xml:space="preserve">special accounts.  </w:t>
      </w:r>
      <w:r w:rsidR="00297151">
        <w:t xml:space="preserve">Based on the Commission staff’s experience with similar requirements under Rule 15c3-3, the staff estimates that each SBSD would spend approximately 30 hours drafting and obtaining the written acknowledgement and agreement for each account.  </w:t>
      </w:r>
      <w:r w:rsidR="003F6C9E">
        <w:t xml:space="preserve">This </w:t>
      </w:r>
      <w:r w:rsidR="00662FA7">
        <w:t xml:space="preserve">would </w:t>
      </w:r>
      <w:r w:rsidR="003F6C9E">
        <w:t xml:space="preserve">result in a one-time industry-wide hours burden of 9,000 </w:t>
      </w:r>
      <w:r w:rsidR="00435044">
        <w:t xml:space="preserve">recordkeeping </w:t>
      </w:r>
      <w:r w:rsidR="003F6C9E">
        <w:t>hours.</w:t>
      </w:r>
      <w:r w:rsidR="003F6C9E">
        <w:rPr>
          <w:rStyle w:val="FootnoteReference"/>
        </w:rPr>
        <w:footnoteReference w:id="3"/>
      </w:r>
    </w:p>
    <w:p w:rsidR="00FA5337" w:rsidRDefault="003F6C9E">
      <w:pPr>
        <w:spacing w:line="240" w:lineRule="auto"/>
      </w:pPr>
      <w:r>
        <w:tab/>
      </w:r>
      <w:r w:rsidR="00297151">
        <w:t>The staff also estimates that 25% of all SBSDs</w:t>
      </w:r>
      <w:r w:rsidR="005B14D7">
        <w:t xml:space="preserve"> (or 13 SBSDs)</w:t>
      </w:r>
      <w:r w:rsidR="00297151">
        <w:t xml:space="preserve"> would, in any given year, establish a new account for each type of special account</w:t>
      </w:r>
      <w:r w:rsidR="00CE01BD">
        <w:t xml:space="preserve"> totaling 3 special accounts a year (and it takes 30 hours to draft and obtain the written acknowledgment and agreement for each account)</w:t>
      </w:r>
      <w:r w:rsidR="00297151">
        <w:t xml:space="preserve"> because, for example, they change</w:t>
      </w:r>
      <w:r w:rsidR="00CE01BD">
        <w:t>d</w:t>
      </w:r>
      <w:r w:rsidR="00297151">
        <w:t xml:space="preserve"> their banking relationships.  </w:t>
      </w:r>
      <w:r w:rsidR="005B14D7">
        <w:t xml:space="preserve">This </w:t>
      </w:r>
      <w:r w:rsidR="00662FA7">
        <w:t xml:space="preserve">would </w:t>
      </w:r>
      <w:r w:rsidR="005B14D7">
        <w:t xml:space="preserve">result in an annual industry-wide hours burden of 1,170 </w:t>
      </w:r>
      <w:r w:rsidR="00435044">
        <w:t xml:space="preserve">recordkeeping </w:t>
      </w:r>
      <w:r w:rsidR="005B14D7">
        <w:t>hours.</w:t>
      </w:r>
      <w:r w:rsidR="005B14D7">
        <w:rPr>
          <w:rStyle w:val="FootnoteReference"/>
        </w:rPr>
        <w:footnoteReference w:id="4"/>
      </w:r>
    </w:p>
    <w:p w:rsidR="00FA5337" w:rsidRPr="00FA5337" w:rsidRDefault="00FA5337" w:rsidP="00662FA7">
      <w:pPr>
        <w:spacing w:line="240" w:lineRule="auto"/>
        <w:rPr>
          <w:u w:val="single"/>
        </w:rPr>
      </w:pPr>
      <w:r>
        <w:tab/>
      </w:r>
      <w:r>
        <w:rPr>
          <w:u w:val="single"/>
        </w:rPr>
        <w:t>Customer Reserve Computation</w:t>
      </w:r>
    </w:p>
    <w:p w:rsidR="00FA5337" w:rsidRDefault="005B14D7">
      <w:pPr>
        <w:spacing w:line="240" w:lineRule="auto"/>
      </w:pPr>
      <w:r>
        <w:tab/>
        <w:t>Rule 18a-4 requires SBSDs to perform daily computations</w:t>
      </w:r>
      <w:r w:rsidR="00C76D4E">
        <w:t xml:space="preserve"> of the customer reserve amount, and ensure that the relevant special accounts hold sufficient cash and/or qualified securities to meet that amount.  Based on the staff’s experience with similar computations performed by broker-dealers under Rule 15c3-3, the staff est</w:t>
      </w:r>
      <w:r w:rsidR="00662FA7">
        <w:t>imates that SBSDs would spend on</w:t>
      </w:r>
      <w:r w:rsidR="00C76D4E">
        <w:t xml:space="preserve"> </w:t>
      </w:r>
      <w:r w:rsidR="00C76D4E">
        <w:lastRenderedPageBreak/>
        <w:t xml:space="preserve">average 2.5 hours </w:t>
      </w:r>
      <w:r w:rsidR="00905991">
        <w:t xml:space="preserve">per business day </w:t>
      </w:r>
      <w:r w:rsidR="00C76D4E">
        <w:t xml:space="preserve">for each computation.  This </w:t>
      </w:r>
      <w:r w:rsidR="00662FA7">
        <w:t xml:space="preserve">would </w:t>
      </w:r>
      <w:r w:rsidR="00C76D4E">
        <w:t xml:space="preserve">result in </w:t>
      </w:r>
      <w:r w:rsidR="00905991">
        <w:t xml:space="preserve">a burden of 625 recordkeeping hours per SBSD and </w:t>
      </w:r>
      <w:r w:rsidR="00C76D4E">
        <w:t xml:space="preserve">an annual industry-wide hours burden of 31,250 </w:t>
      </w:r>
      <w:r w:rsidR="00507A3F">
        <w:t xml:space="preserve">recordkeeping </w:t>
      </w:r>
      <w:r w:rsidR="00C76D4E">
        <w:t>hours.</w:t>
      </w:r>
      <w:r w:rsidR="00C76D4E">
        <w:rPr>
          <w:rStyle w:val="FootnoteReference"/>
        </w:rPr>
        <w:footnoteReference w:id="5"/>
      </w:r>
    </w:p>
    <w:p w:rsidR="00FA5337" w:rsidRPr="00FA5337" w:rsidRDefault="00FA5337" w:rsidP="00662FA7">
      <w:pPr>
        <w:spacing w:line="240" w:lineRule="auto"/>
        <w:rPr>
          <w:u w:val="single"/>
        </w:rPr>
      </w:pPr>
      <w:r>
        <w:tab/>
      </w:r>
      <w:r>
        <w:rPr>
          <w:u w:val="single"/>
        </w:rPr>
        <w:t>Counterparty Notice</w:t>
      </w:r>
    </w:p>
    <w:p w:rsidR="00C76D4E" w:rsidRDefault="00C76D4E" w:rsidP="00662FA7">
      <w:pPr>
        <w:spacing w:line="240" w:lineRule="auto"/>
      </w:pPr>
      <w:r>
        <w:tab/>
        <w:t>Both SBSDs and MSBSPs are required under Rule 18a-4 to give</w:t>
      </w:r>
      <w:r w:rsidR="007216DA">
        <w:t xml:space="preserve"> counterparties notice that they may elect segregation of their collateral, as required </w:t>
      </w:r>
      <w:r w:rsidR="000E61C8">
        <w:t>by</w:t>
      </w:r>
      <w:r w:rsidR="007216DA">
        <w:t xml:space="preserve"> the </w:t>
      </w:r>
      <w:r w:rsidR="000E61C8">
        <w:t>Dodd-Frank Act</w:t>
      </w:r>
      <w:r w:rsidR="007216DA">
        <w:t>.</w:t>
      </w:r>
      <w:r w:rsidR="000E61C8">
        <w:t xml:space="preserve">  This notice is</w:t>
      </w:r>
      <w:r w:rsidR="00662FA7">
        <w:t xml:space="preserve"> to be</w:t>
      </w:r>
      <w:r w:rsidR="000E61C8">
        <w:t xml:space="preserve"> given once, prior to the</w:t>
      </w:r>
      <w:r w:rsidR="00662FA7">
        <w:t xml:space="preserve"> counterparty’s</w:t>
      </w:r>
      <w:r w:rsidR="000E61C8">
        <w:t xml:space="preserve"> first trade</w:t>
      </w:r>
      <w:r w:rsidR="00662FA7">
        <w:t xml:space="preserve"> with the SBSD or MSBSP</w:t>
      </w:r>
      <w:r w:rsidR="000E61C8">
        <w:t xml:space="preserve">.  </w:t>
      </w:r>
      <w:r w:rsidR="001F1CD6">
        <w:t>All SBSDs and MSBSPs are subject to this requirement, and the staff estimates that the</w:t>
      </w:r>
      <w:r w:rsidR="00662FA7">
        <w:t>re will be 55 such firms.</w:t>
      </w:r>
      <w:r w:rsidR="000E61C8">
        <w:t xml:space="preserve">  The staff estimates that these firms would have an average of 1,000 counterparties to which </w:t>
      </w:r>
      <w:r w:rsidR="00662FA7">
        <w:t>they would have to send notices</w:t>
      </w:r>
      <w:r w:rsidR="000E61C8">
        <w:t>, spending an average of ten minutes per counterparty.  This</w:t>
      </w:r>
      <w:r w:rsidR="00662FA7">
        <w:t xml:space="preserve"> would</w:t>
      </w:r>
      <w:r w:rsidR="000E61C8">
        <w:t xml:space="preserve"> result in a one-time industry-wide </w:t>
      </w:r>
      <w:r w:rsidR="001F1CD6">
        <w:t xml:space="preserve">internal </w:t>
      </w:r>
      <w:r w:rsidR="00B95083">
        <w:t>hours burden of 9,16</w:t>
      </w:r>
      <w:r w:rsidR="000E61C8">
        <w:t>7</w:t>
      </w:r>
      <w:r w:rsidR="00E16A72">
        <w:t xml:space="preserve"> third party</w:t>
      </w:r>
      <w:r w:rsidR="000E61C8">
        <w:t xml:space="preserve"> </w:t>
      </w:r>
      <w:r w:rsidR="00507A3F">
        <w:t xml:space="preserve">disclosure </w:t>
      </w:r>
      <w:r w:rsidR="000E61C8">
        <w:t>hours.</w:t>
      </w:r>
      <w:r w:rsidR="000E61C8">
        <w:rPr>
          <w:rStyle w:val="FootnoteReference"/>
        </w:rPr>
        <w:footnoteReference w:id="6"/>
      </w:r>
    </w:p>
    <w:p w:rsidR="00507A3F" w:rsidRDefault="000E61C8">
      <w:pPr>
        <w:spacing w:line="240" w:lineRule="auto"/>
      </w:pPr>
      <w:r>
        <w:tab/>
        <w:t xml:space="preserve">The staff estimates that, on average, SBSDs and MSBSPs would initiate security-based swap trading with 200 new counterparties per year.  This </w:t>
      </w:r>
      <w:r w:rsidR="00662FA7">
        <w:t xml:space="preserve">would </w:t>
      </w:r>
      <w:r>
        <w:t xml:space="preserve">result in an annual industry-wide hours burden of 1,833 </w:t>
      </w:r>
      <w:r w:rsidR="00E16A72">
        <w:t xml:space="preserve">third party </w:t>
      </w:r>
      <w:r w:rsidR="00507A3F">
        <w:t xml:space="preserve">disclosure </w:t>
      </w:r>
      <w:r>
        <w:t>hours.</w:t>
      </w:r>
      <w:r>
        <w:rPr>
          <w:rStyle w:val="FootnoteReference"/>
        </w:rPr>
        <w:footnoteReference w:id="7"/>
      </w:r>
    </w:p>
    <w:p w:rsidR="00FA5337" w:rsidRPr="00FA5337" w:rsidRDefault="00FA5337" w:rsidP="00662FA7">
      <w:pPr>
        <w:spacing w:line="240" w:lineRule="auto"/>
        <w:rPr>
          <w:u w:val="single"/>
        </w:rPr>
      </w:pPr>
      <w:r>
        <w:tab/>
      </w:r>
      <w:r>
        <w:rPr>
          <w:u w:val="single"/>
        </w:rPr>
        <w:t>Subordination Agreements</w:t>
      </w:r>
    </w:p>
    <w:p w:rsidR="0008529D" w:rsidRDefault="0008529D" w:rsidP="00662FA7">
      <w:pPr>
        <w:spacing w:line="240" w:lineRule="auto"/>
      </w:pPr>
      <w:r>
        <w:tab/>
        <w:t xml:space="preserve">Rule 18a-4 </w:t>
      </w:r>
      <w:r w:rsidR="00C018F4">
        <w:t xml:space="preserve">would </w:t>
      </w:r>
      <w:r>
        <w:t xml:space="preserve">require that SBSDs </w:t>
      </w:r>
      <w:r w:rsidR="00AE26F0">
        <w:t xml:space="preserve">obtain subordination agreements from counterparties that elect to either require individual segregation with a third-party or waive segregation.  The staff estimates that an SBSD would spend on average 200 hours internally to draft and prepare standard subordination agreements, resulting in a one-time industry-wide internal hours burden of 10,000 </w:t>
      </w:r>
      <w:r w:rsidR="0018386B">
        <w:t xml:space="preserve">recordkeeping </w:t>
      </w:r>
      <w:r w:rsidR="00AE26F0">
        <w:t>hours.</w:t>
      </w:r>
      <w:r w:rsidR="00AE26F0">
        <w:rPr>
          <w:rStyle w:val="FootnoteReference"/>
        </w:rPr>
        <w:footnoteReference w:id="8"/>
      </w:r>
      <w:r w:rsidR="00AE26F0">
        <w:t xml:space="preserve">  </w:t>
      </w:r>
    </w:p>
    <w:p w:rsidR="00895FFA" w:rsidRDefault="00895FFA" w:rsidP="00662FA7">
      <w:pPr>
        <w:spacing w:line="240" w:lineRule="auto"/>
      </w:pPr>
      <w:r>
        <w:tab/>
        <w:t>As discussed above, the staff estimates that SBSDs would on average have approximately 1,000 counterparties at any given time.  The staff further estimates that half of these counterparties would either elect individual segregation or waive segregation altogether.</w:t>
      </w:r>
      <w:r w:rsidR="002548C5">
        <w:t xml:space="preserve">  The</w:t>
      </w:r>
      <w:r w:rsidR="00C018F4">
        <w:t xml:space="preserve"> staff estimates that SBSDs would</w:t>
      </w:r>
      <w:r w:rsidR="002548C5">
        <w:t xml:space="preserve"> spend an average of 20 hours per counterparty to enter into a written subordination agreement,</w:t>
      </w:r>
      <w:r w:rsidR="00E16A72">
        <w:rPr>
          <w:rStyle w:val="FootnoteReference"/>
        </w:rPr>
        <w:footnoteReference w:id="9"/>
      </w:r>
      <w:r w:rsidR="002548C5">
        <w:t xml:space="preserve"> resulting in a one-time industry-wide hours burden of 500,000 </w:t>
      </w:r>
      <w:r w:rsidR="00E16A72">
        <w:t xml:space="preserve">third-party </w:t>
      </w:r>
      <w:r w:rsidR="0018386B">
        <w:t xml:space="preserve">disclosure </w:t>
      </w:r>
      <w:r w:rsidR="002548C5">
        <w:t>hours.</w:t>
      </w:r>
      <w:r w:rsidR="002548C5">
        <w:rPr>
          <w:rStyle w:val="FootnoteReference"/>
        </w:rPr>
        <w:footnoteReference w:id="10"/>
      </w:r>
    </w:p>
    <w:p w:rsidR="00B74228" w:rsidRDefault="00C46535">
      <w:pPr>
        <w:spacing w:line="240" w:lineRule="auto"/>
      </w:pPr>
      <w:r>
        <w:lastRenderedPageBreak/>
        <w:tab/>
        <w:t>The staff also estimates that half of the estimated 200 new counterparties SBSDs are expected to add per year will either elect individual segregation or waive segregation altogether.  This</w:t>
      </w:r>
      <w:r w:rsidR="00C018F4">
        <w:t xml:space="preserve"> would</w:t>
      </w:r>
      <w:r>
        <w:t xml:space="preserve"> result in an annual industry-wide hours burden of 100,000 </w:t>
      </w:r>
      <w:r w:rsidR="00E16A72">
        <w:t xml:space="preserve">third-party </w:t>
      </w:r>
      <w:r w:rsidR="0018386B">
        <w:t xml:space="preserve">disclosure </w:t>
      </w:r>
      <w:r>
        <w:t>hours</w:t>
      </w:r>
      <w:r w:rsidR="00905991">
        <w:t xml:space="preserve"> and 2000 hours per SBSD</w:t>
      </w:r>
      <w:r>
        <w:t>.</w:t>
      </w:r>
      <w:r>
        <w:rPr>
          <w:rStyle w:val="FootnoteReference"/>
        </w:rPr>
        <w:footnoteReference w:id="11"/>
      </w:r>
    </w:p>
    <w:p w:rsidR="00C46535" w:rsidRDefault="00C46535" w:rsidP="00662FA7">
      <w:pPr>
        <w:pStyle w:val="Heading2"/>
        <w:spacing w:line="240" w:lineRule="auto"/>
      </w:pPr>
      <w:r>
        <w:tab/>
        <w:t>13.</w:t>
      </w:r>
      <w:r>
        <w:tab/>
        <w:t>Costs to Respondents</w:t>
      </w:r>
    </w:p>
    <w:p w:rsidR="0018386B" w:rsidRDefault="0018386B" w:rsidP="00662FA7">
      <w:pPr>
        <w:spacing w:line="240" w:lineRule="auto"/>
      </w:pPr>
      <w:r>
        <w:tab/>
        <w:t xml:space="preserve">The staff estimates that </w:t>
      </w:r>
      <w:r w:rsidR="005D4F6F">
        <w:t>SBSD</w:t>
      </w:r>
      <w:r w:rsidR="00C018F4">
        <w:t xml:space="preserve">s </w:t>
      </w:r>
      <w:r w:rsidR="008F538D">
        <w:t xml:space="preserve">and MSBSPs </w:t>
      </w:r>
      <w:r w:rsidR="00C018F4">
        <w:t xml:space="preserve">will </w:t>
      </w:r>
      <w:r>
        <w:t>engage outside counsel for 10 hours to draf</w:t>
      </w:r>
      <w:r w:rsidR="005D4F6F">
        <w:t>t and review the template counterparty notice regarding segregation</w:t>
      </w:r>
      <w:r>
        <w:t>, resulting in a one-time industry-wide external hours burden of 550 hours.</w:t>
      </w:r>
      <w:r>
        <w:rPr>
          <w:rStyle w:val="FootnoteReference"/>
        </w:rPr>
        <w:footnoteReference w:id="12"/>
      </w:r>
      <w:r>
        <w:t xml:space="preserve">  The staff predicts that firms will hire an outside counsel to draft the notice, at a cost $400 per hour</w:t>
      </w:r>
      <w:r w:rsidR="002D0679">
        <w:t xml:space="preserve"> resulting in an industry-wide one-time third party disclose cost of $220,000</w:t>
      </w:r>
      <w:r>
        <w:t>.</w:t>
      </w:r>
      <w:r w:rsidR="005D4F6F">
        <w:t xml:space="preserve">  This results in a one-time industry-wide external</w:t>
      </w:r>
      <w:r w:rsidR="00BA55E8">
        <w:t xml:space="preserve"> </w:t>
      </w:r>
      <w:r w:rsidR="002D0679">
        <w:t xml:space="preserve">third party </w:t>
      </w:r>
      <w:r w:rsidR="00BA55E8">
        <w:t>disclosure</w:t>
      </w:r>
      <w:r w:rsidR="005D4F6F">
        <w:t xml:space="preserve"> cost of $73,333, annualized over 3 years.</w:t>
      </w:r>
      <w:r w:rsidR="005D4F6F">
        <w:rPr>
          <w:rStyle w:val="FootnoteReference"/>
        </w:rPr>
        <w:footnoteReference w:id="13"/>
      </w:r>
    </w:p>
    <w:p w:rsidR="00BF2722" w:rsidRDefault="00BF2722" w:rsidP="00662FA7">
      <w:pPr>
        <w:spacing w:line="240" w:lineRule="auto"/>
      </w:pPr>
      <w:r>
        <w:tab/>
      </w:r>
      <w:r w:rsidR="0018386B">
        <w:t xml:space="preserve">The staff also estimates that SBSDs are likely to hire an outside </w:t>
      </w:r>
      <w:r w:rsidR="005D4F6F">
        <w:t xml:space="preserve">counsel </w:t>
      </w:r>
      <w:r w:rsidR="0018386B">
        <w:t xml:space="preserve">to review the </w:t>
      </w:r>
      <w:r w:rsidR="005D4F6F">
        <w:t xml:space="preserve">template </w:t>
      </w:r>
      <w:r w:rsidR="0018386B">
        <w:t xml:space="preserve">subordination agreement, requiring on average </w:t>
      </w:r>
      <w:r w:rsidR="005D4F6F">
        <w:t xml:space="preserve">a total of </w:t>
      </w:r>
      <w:r w:rsidR="0018386B">
        <w:t>20 hours</w:t>
      </w:r>
      <w:r w:rsidR="005D4F6F">
        <w:t xml:space="preserve">, or </w:t>
      </w:r>
      <w:r w:rsidR="0018386B">
        <w:t>a one-time industry-wide external hours burden of 1,000 hours.</w:t>
      </w:r>
      <w:r w:rsidR="005D4F6F">
        <w:rPr>
          <w:rStyle w:val="FootnoteReference"/>
        </w:rPr>
        <w:footnoteReference w:id="14"/>
      </w:r>
      <w:r w:rsidR="005D4F6F">
        <w:t xml:space="preserve">  This results in a one-time industry-wide external </w:t>
      </w:r>
      <w:r w:rsidR="00BA55E8">
        <w:t xml:space="preserve">recordkeeping </w:t>
      </w:r>
      <w:r w:rsidR="005D4F6F">
        <w:t>cost of $</w:t>
      </w:r>
      <w:r w:rsidR="00D52C6F">
        <w:t>133,333, annualized over 3 years</w:t>
      </w:r>
      <w:r w:rsidR="005D4F6F">
        <w:t>.</w:t>
      </w:r>
      <w:r w:rsidR="005D4F6F">
        <w:rPr>
          <w:rStyle w:val="FootnoteReference"/>
        </w:rPr>
        <w:footnoteReference w:id="15"/>
      </w:r>
    </w:p>
    <w:p w:rsidR="002979C7" w:rsidRDefault="002979C7" w:rsidP="00662FA7">
      <w:pPr>
        <w:pStyle w:val="Heading2"/>
        <w:spacing w:line="240" w:lineRule="auto"/>
      </w:pPr>
      <w:r>
        <w:tab/>
        <w:t>14.</w:t>
      </w:r>
      <w:r>
        <w:tab/>
        <w:t>Cost to Federal Government</w:t>
      </w:r>
    </w:p>
    <w:p w:rsidR="00841309" w:rsidRDefault="002979C7" w:rsidP="00662FA7">
      <w:pPr>
        <w:spacing w:line="240" w:lineRule="auto"/>
      </w:pPr>
      <w:r>
        <w:tab/>
      </w:r>
      <w:r w:rsidR="008F538D">
        <w:t>The staff does not anticipate this information collection to impose additional costs to the Federal Government.</w:t>
      </w:r>
    </w:p>
    <w:p w:rsidR="002979C7" w:rsidRDefault="002979C7" w:rsidP="00662FA7">
      <w:pPr>
        <w:pStyle w:val="Heading2"/>
        <w:spacing w:line="240" w:lineRule="auto"/>
      </w:pPr>
      <w:r>
        <w:tab/>
        <w:t>15.</w:t>
      </w:r>
      <w:r>
        <w:tab/>
        <w:t>Changes in Burden</w:t>
      </w:r>
    </w:p>
    <w:p w:rsidR="002979C7" w:rsidRPr="00893E43" w:rsidRDefault="002979C7" w:rsidP="00662FA7">
      <w:pPr>
        <w:spacing w:line="240" w:lineRule="auto"/>
      </w:pPr>
      <w:r>
        <w:tab/>
        <w:t>Not applicable.  The information collection is related to a new rule.</w:t>
      </w:r>
    </w:p>
    <w:p w:rsidR="002979C7" w:rsidRDefault="002979C7" w:rsidP="00662FA7">
      <w:pPr>
        <w:pStyle w:val="Heading2"/>
        <w:spacing w:line="240" w:lineRule="auto"/>
      </w:pPr>
      <w:r>
        <w:tab/>
        <w:t>16.</w:t>
      </w:r>
      <w:r>
        <w:tab/>
        <w:t>Information Collected Planned for Statistical Purposes</w:t>
      </w:r>
    </w:p>
    <w:p w:rsidR="002979C7" w:rsidRPr="006B3BF2" w:rsidRDefault="002979C7" w:rsidP="00662FA7">
      <w:pPr>
        <w:spacing w:line="240" w:lineRule="auto"/>
      </w:pPr>
      <w:r>
        <w:rPr>
          <w:szCs w:val="24"/>
        </w:rPr>
        <w:tab/>
        <w:t>Not applicable.  The information collection is not used for statistical purposes.</w:t>
      </w:r>
    </w:p>
    <w:p w:rsidR="002979C7" w:rsidRDefault="002979C7" w:rsidP="00662FA7">
      <w:pPr>
        <w:pStyle w:val="Heading2"/>
        <w:spacing w:line="240" w:lineRule="auto"/>
      </w:pPr>
      <w:r>
        <w:tab/>
        <w:t>17.</w:t>
      </w:r>
      <w:r>
        <w:tab/>
        <w:t>Display of OMB Approval Date</w:t>
      </w:r>
    </w:p>
    <w:p w:rsidR="002979C7" w:rsidRPr="006B3BF2" w:rsidRDefault="002979C7" w:rsidP="00662FA7">
      <w:pPr>
        <w:spacing w:line="240" w:lineRule="auto"/>
      </w:pPr>
      <w:r>
        <w:rPr>
          <w:szCs w:val="24"/>
        </w:rPr>
        <w:tab/>
        <w:t xml:space="preserve">Not applicable.  The Commission is not seeking approval to </w:t>
      </w:r>
      <w:r w:rsidR="00D27A69">
        <w:rPr>
          <w:szCs w:val="24"/>
        </w:rPr>
        <w:t>omit the OMB expiration date.</w:t>
      </w:r>
      <w:bookmarkStart w:id="0" w:name="_GoBack"/>
      <w:bookmarkEnd w:id="0"/>
    </w:p>
    <w:p w:rsidR="002979C7" w:rsidRDefault="002979C7" w:rsidP="00662FA7">
      <w:pPr>
        <w:pStyle w:val="Heading2"/>
        <w:spacing w:line="240" w:lineRule="auto"/>
      </w:pPr>
      <w:r>
        <w:lastRenderedPageBreak/>
        <w:tab/>
        <w:t>18.</w:t>
      </w:r>
      <w:r>
        <w:tab/>
        <w:t>Exceptions to Certification</w:t>
      </w:r>
    </w:p>
    <w:p w:rsidR="002979C7" w:rsidRPr="006B3BF2" w:rsidRDefault="002979C7" w:rsidP="00662FA7">
      <w:pPr>
        <w:spacing w:line="240" w:lineRule="auto"/>
      </w:pPr>
      <w:r>
        <w:rPr>
          <w:szCs w:val="24"/>
        </w:rPr>
        <w:tab/>
        <w:t>Not applicable.  This collection complies with the requirements in 5 CFR 1320.9.</w:t>
      </w:r>
    </w:p>
    <w:p w:rsidR="002979C7" w:rsidRPr="00EE5F8E" w:rsidRDefault="002979C7" w:rsidP="00662FA7">
      <w:pPr>
        <w:pStyle w:val="Heading1"/>
      </w:pPr>
      <w:r>
        <w:t>B.</w:t>
      </w:r>
      <w:r>
        <w:tab/>
      </w:r>
      <w:r w:rsidRPr="00F10FF8">
        <w:rPr>
          <w:rFonts w:ascii="Times New Roman Bold" w:hAnsi="Times New Roman Bold"/>
          <w:caps/>
        </w:rPr>
        <w:t>COLLECTIONS of Information Employing Statistical Methods</w:t>
      </w:r>
    </w:p>
    <w:p w:rsidR="002979C7" w:rsidRDefault="002979C7" w:rsidP="00662FA7">
      <w:pPr>
        <w:keepNext/>
        <w:keepLines/>
        <w:tabs>
          <w:tab w:val="left" w:pos="-720"/>
        </w:tabs>
        <w:suppressAutoHyphens/>
        <w:spacing w:line="240" w:lineRule="auto"/>
        <w:ind w:firstLine="720"/>
        <w:rPr>
          <w:szCs w:val="24"/>
        </w:rPr>
      </w:pPr>
      <w:r>
        <w:rPr>
          <w:szCs w:val="24"/>
        </w:rPr>
        <w:t>Not applicable.  This collection does not employ statistical methods.</w:t>
      </w:r>
    </w:p>
    <w:p w:rsidR="002979C7" w:rsidRDefault="002979C7" w:rsidP="00662FA7">
      <w:pPr>
        <w:spacing w:line="240" w:lineRule="auto"/>
      </w:pPr>
    </w:p>
    <w:sectPr w:rsidR="002979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47A" w:rsidRDefault="005F047A" w:rsidP="003F6C9E">
      <w:pPr>
        <w:spacing w:after="0" w:line="240" w:lineRule="auto"/>
      </w:pPr>
      <w:r>
        <w:separator/>
      </w:r>
    </w:p>
  </w:endnote>
  <w:endnote w:type="continuationSeparator" w:id="0">
    <w:p w:rsidR="005F047A" w:rsidRDefault="005F047A" w:rsidP="003F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495164"/>
      <w:docPartObj>
        <w:docPartGallery w:val="Page Numbers (Bottom of Page)"/>
        <w:docPartUnique/>
      </w:docPartObj>
    </w:sdtPr>
    <w:sdtEndPr>
      <w:rPr>
        <w:noProof/>
      </w:rPr>
    </w:sdtEndPr>
    <w:sdtContent>
      <w:p w:rsidR="00EA75CE" w:rsidRDefault="00EA75C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A75CE" w:rsidRDefault="00EA7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47A" w:rsidRDefault="005F047A" w:rsidP="003F6C9E">
      <w:pPr>
        <w:spacing w:after="0" w:line="240" w:lineRule="auto"/>
      </w:pPr>
      <w:r>
        <w:separator/>
      </w:r>
    </w:p>
  </w:footnote>
  <w:footnote w:type="continuationSeparator" w:id="0">
    <w:p w:rsidR="005F047A" w:rsidRDefault="005F047A" w:rsidP="003F6C9E">
      <w:pPr>
        <w:spacing w:after="0" w:line="240" w:lineRule="auto"/>
      </w:pPr>
      <w:r>
        <w:continuationSeparator/>
      </w:r>
    </w:p>
  </w:footnote>
  <w:footnote w:id="1">
    <w:p w:rsidR="00662FA7" w:rsidRDefault="00662FA7" w:rsidP="00662FA7">
      <w:pPr>
        <w:pStyle w:val="FootnoteText"/>
        <w:spacing w:after="120"/>
        <w:ind w:left="720" w:hanging="720"/>
      </w:pPr>
      <w:r>
        <w:rPr>
          <w:rStyle w:val="FootnoteReference"/>
        </w:rPr>
        <w:footnoteRef/>
      </w:r>
      <w:r>
        <w:t xml:space="preserve"> </w:t>
      </w:r>
      <w:r>
        <w:tab/>
      </w:r>
      <w:r>
        <w:rPr>
          <w:u w:val="single"/>
        </w:rPr>
        <w:t>See</w:t>
      </w:r>
      <w:r>
        <w:t xml:space="preserve"> </w:t>
      </w:r>
      <w:r>
        <w:rPr>
          <w:u w:val="single"/>
        </w:rPr>
        <w:t>Capital, Margin, and Segregation Requirements for Security-Based Swap Dealers and Major Security-Based Swap Participants and Capital Requirements for Broker-</w:t>
      </w:r>
      <w:r w:rsidRPr="004F3682">
        <w:rPr>
          <w:u w:val="single"/>
        </w:rPr>
        <w:t>Dealers</w:t>
      </w:r>
      <w:r>
        <w:t xml:space="preserve">, </w:t>
      </w:r>
      <w:r w:rsidRPr="004F3682">
        <w:t>Exchange</w:t>
      </w:r>
      <w:r>
        <w:t xml:space="preserve"> Act Release No. 68071 (Oct. 18, 2012), 77 FR 70213 (Nov. 23, 2012).</w:t>
      </w:r>
    </w:p>
  </w:footnote>
  <w:footnote w:id="2">
    <w:p w:rsidR="00662FA7" w:rsidRDefault="00662FA7">
      <w:pPr>
        <w:pStyle w:val="FootnoteText"/>
      </w:pPr>
      <w:r>
        <w:rPr>
          <w:rStyle w:val="FootnoteReference"/>
        </w:rPr>
        <w:footnoteRef/>
      </w:r>
      <w:r>
        <w:t xml:space="preserve"> </w:t>
      </w:r>
      <w:r>
        <w:tab/>
      </w:r>
      <w:r w:rsidRPr="00662FA7">
        <w:rPr>
          <w:u w:val="single"/>
        </w:rPr>
        <w:t>Id.</w:t>
      </w:r>
    </w:p>
  </w:footnote>
  <w:footnote w:id="3">
    <w:p w:rsidR="005D4F6F" w:rsidRDefault="005D4F6F" w:rsidP="00662FA7">
      <w:pPr>
        <w:pStyle w:val="FootnoteText"/>
        <w:spacing w:after="120"/>
      </w:pPr>
      <w:r>
        <w:rPr>
          <w:rStyle w:val="FootnoteReference"/>
        </w:rPr>
        <w:footnoteRef/>
      </w:r>
      <w:r>
        <w:t xml:space="preserve"> </w:t>
      </w:r>
      <w:r>
        <w:tab/>
        <w:t>50 SBSDs x 6 special accounts x 30 hrs = 9,000 hrs.</w:t>
      </w:r>
      <w:r w:rsidR="00CE01BD">
        <w:t xml:space="preserve">  This amount annualized is 3000 recordkeeping hours per year</w:t>
      </w:r>
      <w:r w:rsidR="00905991">
        <w:t xml:space="preserve"> and 60 hours per SBSD per year (6 special accounts x 30 hours/3 years).</w:t>
      </w:r>
      <w:r w:rsidR="00E16A72">
        <w:t xml:space="preserve">  </w:t>
      </w:r>
    </w:p>
  </w:footnote>
  <w:footnote w:id="4">
    <w:p w:rsidR="005D4F6F" w:rsidRDefault="005D4F6F" w:rsidP="00662FA7">
      <w:pPr>
        <w:pStyle w:val="FootnoteText"/>
        <w:spacing w:after="120"/>
      </w:pPr>
      <w:r>
        <w:rPr>
          <w:rStyle w:val="FootnoteReference"/>
        </w:rPr>
        <w:footnoteRef/>
      </w:r>
      <w:r>
        <w:t xml:space="preserve"> </w:t>
      </w:r>
      <w:r>
        <w:tab/>
        <w:t>13 SBSDs x 3 special accounts x 30 hrs = 1,170 hrs.</w:t>
      </w:r>
      <w:r w:rsidR="00905991">
        <w:t xml:space="preserve">  Annualized each SBSD would spend 90 hours (3 special accounts x 30 hours).</w:t>
      </w:r>
      <w:r w:rsidR="00E16A72">
        <w:t xml:space="preserve">  This on average results in .78 accounts per SBSD and 23.4 hours per SBSD annually.</w:t>
      </w:r>
    </w:p>
  </w:footnote>
  <w:footnote w:id="5">
    <w:p w:rsidR="005D4F6F" w:rsidRDefault="005D4F6F" w:rsidP="00662FA7">
      <w:pPr>
        <w:pStyle w:val="FootnoteText"/>
        <w:spacing w:after="120"/>
      </w:pPr>
      <w:r>
        <w:rPr>
          <w:rStyle w:val="FootnoteReference"/>
        </w:rPr>
        <w:footnoteRef/>
      </w:r>
      <w:r>
        <w:t xml:space="preserve"> </w:t>
      </w:r>
      <w:r>
        <w:tab/>
        <w:t>50 SBSDx x 250 business days/year x 2.5 hrs/day = 31,250 hrs/year.</w:t>
      </w:r>
    </w:p>
  </w:footnote>
  <w:footnote w:id="6">
    <w:p w:rsidR="005D4F6F" w:rsidRDefault="005D4F6F" w:rsidP="00662FA7">
      <w:pPr>
        <w:pStyle w:val="FootnoteText"/>
        <w:spacing w:after="120"/>
      </w:pPr>
      <w:r>
        <w:rPr>
          <w:rStyle w:val="FootnoteReference"/>
        </w:rPr>
        <w:footnoteRef/>
      </w:r>
      <w:r>
        <w:t xml:space="preserve"> </w:t>
      </w:r>
      <w:r>
        <w:tab/>
        <w:t>55 firms x 1,000 counterparties x 1/6 hr = 9,167 hrs.</w:t>
      </w:r>
      <w:r w:rsidR="00CE01BD">
        <w:t xml:space="preserve">  </w:t>
      </w:r>
      <w:r w:rsidR="00905991">
        <w:t>Each firm has a one-time internal hours burden of 166.66 hours.  This amount annualized is 55.55 hours and an annualized total industry-wide recordkeeping burden of 3056 hours.</w:t>
      </w:r>
      <w:r w:rsidR="00E16A72">
        <w:t xml:space="preserve">  For purposes </w:t>
      </w:r>
      <w:r w:rsidR="00F60ACE">
        <w:t xml:space="preserve">of </w:t>
      </w:r>
      <w:r w:rsidR="00E16A72">
        <w:t>calculating the</w:t>
      </w:r>
      <w:r w:rsidR="00EA67BA">
        <w:t xml:space="preserve"> annual</w:t>
      </w:r>
      <w:r w:rsidR="00E16A72">
        <w:t xml:space="preserve"> burden, each respondent would have to give notice to 533.33 </w:t>
      </w:r>
      <w:r w:rsidR="00EA67BA">
        <w:t xml:space="preserve">counterparties </w:t>
      </w:r>
      <w:r w:rsidR="00E16A72">
        <w:t xml:space="preserve">(1000 counterparties averaged over three years (333.33) + 200 </w:t>
      </w:r>
      <w:r w:rsidR="00EA67BA">
        <w:t xml:space="preserve">new </w:t>
      </w:r>
      <w:r w:rsidR="00E16A72">
        <w:t xml:space="preserve">counterparties </w:t>
      </w:r>
      <w:r w:rsidR="00EA67BA">
        <w:t>each</w:t>
      </w:r>
      <w:r w:rsidR="00E16A72">
        <w:t xml:space="preserve"> year).</w:t>
      </w:r>
    </w:p>
  </w:footnote>
  <w:footnote w:id="7">
    <w:p w:rsidR="005D4F6F" w:rsidRDefault="005D4F6F" w:rsidP="00662FA7">
      <w:pPr>
        <w:pStyle w:val="FootnoteText"/>
        <w:spacing w:after="120"/>
      </w:pPr>
      <w:r>
        <w:rPr>
          <w:rStyle w:val="FootnoteReference"/>
        </w:rPr>
        <w:footnoteRef/>
      </w:r>
      <w:r>
        <w:t xml:space="preserve"> </w:t>
      </w:r>
      <w:r>
        <w:tab/>
        <w:t>55 firms x 200 counterparties x 1/6 hr = 1,833 hrs.</w:t>
      </w:r>
    </w:p>
  </w:footnote>
  <w:footnote w:id="8">
    <w:p w:rsidR="005D4F6F" w:rsidRDefault="005D4F6F" w:rsidP="00662FA7">
      <w:pPr>
        <w:pStyle w:val="FootnoteText"/>
        <w:spacing w:after="120"/>
      </w:pPr>
      <w:r>
        <w:rPr>
          <w:rStyle w:val="FootnoteReference"/>
        </w:rPr>
        <w:footnoteRef/>
      </w:r>
      <w:r>
        <w:t xml:space="preserve"> </w:t>
      </w:r>
      <w:r>
        <w:tab/>
        <w:t>50 SBSDs x 200 hrs = 1,000 hrs.</w:t>
      </w:r>
      <w:r w:rsidR="00905991">
        <w:t xml:space="preserve">  This one-time burden annualized is 66.66 hours per firm and 3333.33 hours industry0wide.  </w:t>
      </w:r>
    </w:p>
  </w:footnote>
  <w:footnote w:id="9">
    <w:p w:rsidR="00E16A72" w:rsidRDefault="00E16A72">
      <w:pPr>
        <w:pStyle w:val="FootnoteText"/>
      </w:pPr>
      <w:r>
        <w:rPr>
          <w:rStyle w:val="FootnoteReference"/>
        </w:rPr>
        <w:footnoteRef/>
      </w:r>
      <w:r>
        <w:t xml:space="preserve"> </w:t>
      </w:r>
      <w:r>
        <w:tab/>
        <w:t>For purposes of calculating the annual burden, this would average out to 10 hours per counterparty.</w:t>
      </w:r>
    </w:p>
    <w:p w:rsidR="00E16A72" w:rsidRDefault="00E16A72">
      <w:pPr>
        <w:pStyle w:val="FootnoteText"/>
      </w:pPr>
    </w:p>
  </w:footnote>
  <w:footnote w:id="10">
    <w:p w:rsidR="005D4F6F" w:rsidRDefault="005D4F6F" w:rsidP="00662FA7">
      <w:pPr>
        <w:pStyle w:val="FootnoteText"/>
        <w:spacing w:after="120"/>
      </w:pPr>
      <w:r>
        <w:rPr>
          <w:rStyle w:val="FootnoteReference"/>
        </w:rPr>
        <w:footnoteRef/>
      </w:r>
      <w:r>
        <w:t xml:space="preserve"> </w:t>
      </w:r>
      <w:r>
        <w:tab/>
        <w:t>50 SBSDs x 20 hrs x 500 counterparties = 500,000 hrs.</w:t>
      </w:r>
      <w:r w:rsidR="00E16A72">
        <w:t xml:space="preserve">  This amount annualized is 166,666.67 hours per year.</w:t>
      </w:r>
    </w:p>
  </w:footnote>
  <w:footnote w:id="11">
    <w:p w:rsidR="005D4F6F" w:rsidRDefault="005D4F6F" w:rsidP="00662FA7">
      <w:pPr>
        <w:pStyle w:val="FootnoteText"/>
        <w:spacing w:after="120"/>
      </w:pPr>
      <w:r>
        <w:rPr>
          <w:rStyle w:val="FootnoteReference"/>
        </w:rPr>
        <w:footnoteRef/>
      </w:r>
      <w:r>
        <w:t xml:space="preserve"> </w:t>
      </w:r>
      <w:r>
        <w:tab/>
        <w:t>50 SBSDx x 20 hrs x 100 counterparties = 100,000 hrs.</w:t>
      </w:r>
      <w:r w:rsidR="00905991">
        <w:t xml:space="preserve">  The annual industry-wide burden is 166,666.66 hours and the annual burden per respondent is 3333.33.</w:t>
      </w:r>
    </w:p>
  </w:footnote>
  <w:footnote w:id="12">
    <w:p w:rsidR="005D4F6F" w:rsidRDefault="005D4F6F" w:rsidP="00662FA7">
      <w:pPr>
        <w:pStyle w:val="FootnoteText"/>
        <w:spacing w:after="120"/>
      </w:pPr>
      <w:r>
        <w:rPr>
          <w:rStyle w:val="FootnoteReference"/>
        </w:rPr>
        <w:footnoteRef/>
      </w:r>
      <w:r>
        <w:t xml:space="preserve"> </w:t>
      </w:r>
      <w:r>
        <w:tab/>
        <w:t>55 firms x 10 hrs = 550 hrs.</w:t>
      </w:r>
    </w:p>
  </w:footnote>
  <w:footnote w:id="13">
    <w:p w:rsidR="005D4F6F" w:rsidRDefault="005D4F6F" w:rsidP="00662FA7">
      <w:pPr>
        <w:pStyle w:val="FootnoteText"/>
        <w:spacing w:after="120"/>
      </w:pPr>
      <w:r>
        <w:rPr>
          <w:rStyle w:val="FootnoteReference"/>
        </w:rPr>
        <w:footnoteRef/>
      </w:r>
      <w:r>
        <w:t xml:space="preserve"> </w:t>
      </w:r>
      <w:r>
        <w:tab/>
        <w:t>550 hrs x $400/hr / 3 years = $73,333.</w:t>
      </w:r>
      <w:r w:rsidR="00905991">
        <w:t xml:space="preserve">  The cost per SBSD annualized is $1333.33.</w:t>
      </w:r>
    </w:p>
  </w:footnote>
  <w:footnote w:id="14">
    <w:p w:rsidR="005D4F6F" w:rsidRDefault="005D4F6F" w:rsidP="00662FA7">
      <w:pPr>
        <w:pStyle w:val="FootnoteText"/>
        <w:spacing w:after="120"/>
      </w:pPr>
      <w:r>
        <w:rPr>
          <w:rStyle w:val="FootnoteReference"/>
        </w:rPr>
        <w:footnoteRef/>
      </w:r>
      <w:r>
        <w:t xml:space="preserve"> </w:t>
      </w:r>
      <w:r>
        <w:tab/>
        <w:t>50 SBSDs x 20 hrs = 1,000 hrs</w:t>
      </w:r>
    </w:p>
  </w:footnote>
  <w:footnote w:id="15">
    <w:p w:rsidR="005D4F6F" w:rsidRDefault="005D4F6F" w:rsidP="00662FA7">
      <w:pPr>
        <w:pStyle w:val="FootnoteText"/>
        <w:spacing w:after="120"/>
      </w:pPr>
      <w:r>
        <w:rPr>
          <w:rStyle w:val="FootnoteReference"/>
        </w:rPr>
        <w:footnoteRef/>
      </w:r>
      <w:r>
        <w:t xml:space="preserve"> </w:t>
      </w:r>
      <w:r>
        <w:tab/>
        <w:t>1,000 hrs x $400/hr</w:t>
      </w:r>
      <w:r w:rsidR="00D52C6F">
        <w:t xml:space="preserve"> / 3 years</w:t>
      </w:r>
      <w:r>
        <w:t xml:space="preserve"> = $</w:t>
      </w:r>
      <w:r w:rsidR="00D52C6F">
        <w:t>133,333</w:t>
      </w:r>
      <w:r>
        <w:t>.</w:t>
      </w:r>
      <w:r w:rsidR="00905991">
        <w:t xml:space="preserve">  This also results in a one-time cost of $8000 per SBSD, which results in an annual cost of $2666.66.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14"/>
    <w:rsid w:val="00014E66"/>
    <w:rsid w:val="00024058"/>
    <w:rsid w:val="000243C4"/>
    <w:rsid w:val="00044C2D"/>
    <w:rsid w:val="00075313"/>
    <w:rsid w:val="0008529D"/>
    <w:rsid w:val="0008661F"/>
    <w:rsid w:val="000A69B7"/>
    <w:rsid w:val="000C184F"/>
    <w:rsid w:val="000C349B"/>
    <w:rsid w:val="000E4F71"/>
    <w:rsid w:val="000E61C8"/>
    <w:rsid w:val="000E6314"/>
    <w:rsid w:val="0010689C"/>
    <w:rsid w:val="00124888"/>
    <w:rsid w:val="001332E7"/>
    <w:rsid w:val="00143565"/>
    <w:rsid w:val="00157590"/>
    <w:rsid w:val="0018386B"/>
    <w:rsid w:val="0018567F"/>
    <w:rsid w:val="00192FC3"/>
    <w:rsid w:val="001C2FAD"/>
    <w:rsid w:val="001D3360"/>
    <w:rsid w:val="001D4654"/>
    <w:rsid w:val="001E5513"/>
    <w:rsid w:val="001E641E"/>
    <w:rsid w:val="001F1CD6"/>
    <w:rsid w:val="001F2AEF"/>
    <w:rsid w:val="00223BA4"/>
    <w:rsid w:val="002548C5"/>
    <w:rsid w:val="00280AF8"/>
    <w:rsid w:val="00297151"/>
    <w:rsid w:val="002979C7"/>
    <w:rsid w:val="002B4F54"/>
    <w:rsid w:val="002C36EC"/>
    <w:rsid w:val="002D0679"/>
    <w:rsid w:val="002D6418"/>
    <w:rsid w:val="0030148B"/>
    <w:rsid w:val="00302306"/>
    <w:rsid w:val="00305E15"/>
    <w:rsid w:val="003520A0"/>
    <w:rsid w:val="003C740F"/>
    <w:rsid w:val="003F6C9E"/>
    <w:rsid w:val="004037D0"/>
    <w:rsid w:val="004122F7"/>
    <w:rsid w:val="00415FB5"/>
    <w:rsid w:val="00421245"/>
    <w:rsid w:val="0043062A"/>
    <w:rsid w:val="004333D3"/>
    <w:rsid w:val="00435044"/>
    <w:rsid w:val="00465B8C"/>
    <w:rsid w:val="00471A20"/>
    <w:rsid w:val="004B20E0"/>
    <w:rsid w:val="004B7752"/>
    <w:rsid w:val="004D724E"/>
    <w:rsid w:val="004E39CF"/>
    <w:rsid w:val="004F49D8"/>
    <w:rsid w:val="00507A3F"/>
    <w:rsid w:val="005B14D7"/>
    <w:rsid w:val="005D4F6F"/>
    <w:rsid w:val="005F047A"/>
    <w:rsid w:val="006021A8"/>
    <w:rsid w:val="00624CCC"/>
    <w:rsid w:val="00652C3B"/>
    <w:rsid w:val="00662FA7"/>
    <w:rsid w:val="00683451"/>
    <w:rsid w:val="00686CB9"/>
    <w:rsid w:val="00690345"/>
    <w:rsid w:val="006C1BE6"/>
    <w:rsid w:val="006F373A"/>
    <w:rsid w:val="007158D4"/>
    <w:rsid w:val="007216DA"/>
    <w:rsid w:val="0072277B"/>
    <w:rsid w:val="00734189"/>
    <w:rsid w:val="00751730"/>
    <w:rsid w:val="00761F75"/>
    <w:rsid w:val="00767A4C"/>
    <w:rsid w:val="00783C9F"/>
    <w:rsid w:val="007A0AE9"/>
    <w:rsid w:val="007E0AB3"/>
    <w:rsid w:val="0082652B"/>
    <w:rsid w:val="00831293"/>
    <w:rsid w:val="008400B0"/>
    <w:rsid w:val="00841309"/>
    <w:rsid w:val="00880427"/>
    <w:rsid w:val="00895FFA"/>
    <w:rsid w:val="008A4B7C"/>
    <w:rsid w:val="008C007D"/>
    <w:rsid w:val="008C174F"/>
    <w:rsid w:val="008D2909"/>
    <w:rsid w:val="008E430E"/>
    <w:rsid w:val="008F538D"/>
    <w:rsid w:val="00900200"/>
    <w:rsid w:val="00900AD3"/>
    <w:rsid w:val="00905991"/>
    <w:rsid w:val="009356E5"/>
    <w:rsid w:val="009645B0"/>
    <w:rsid w:val="00966633"/>
    <w:rsid w:val="009752FD"/>
    <w:rsid w:val="009C43D1"/>
    <w:rsid w:val="009D19C2"/>
    <w:rsid w:val="009D278A"/>
    <w:rsid w:val="00A05049"/>
    <w:rsid w:val="00A13E57"/>
    <w:rsid w:val="00A1600C"/>
    <w:rsid w:val="00A371E0"/>
    <w:rsid w:val="00A41CF0"/>
    <w:rsid w:val="00AE26F0"/>
    <w:rsid w:val="00B034D3"/>
    <w:rsid w:val="00B52997"/>
    <w:rsid w:val="00B74228"/>
    <w:rsid w:val="00B933E9"/>
    <w:rsid w:val="00B95083"/>
    <w:rsid w:val="00B9714E"/>
    <w:rsid w:val="00BA55E8"/>
    <w:rsid w:val="00BC7DC4"/>
    <w:rsid w:val="00BF2722"/>
    <w:rsid w:val="00C018F4"/>
    <w:rsid w:val="00C02379"/>
    <w:rsid w:val="00C07CFB"/>
    <w:rsid w:val="00C138FD"/>
    <w:rsid w:val="00C46535"/>
    <w:rsid w:val="00C4787C"/>
    <w:rsid w:val="00C57F3C"/>
    <w:rsid w:val="00C62B08"/>
    <w:rsid w:val="00C65814"/>
    <w:rsid w:val="00C76D4E"/>
    <w:rsid w:val="00C77646"/>
    <w:rsid w:val="00C8054E"/>
    <w:rsid w:val="00C81717"/>
    <w:rsid w:val="00C94AEC"/>
    <w:rsid w:val="00C97428"/>
    <w:rsid w:val="00CA35D3"/>
    <w:rsid w:val="00CD4F7D"/>
    <w:rsid w:val="00CE01BD"/>
    <w:rsid w:val="00D27A69"/>
    <w:rsid w:val="00D52C6F"/>
    <w:rsid w:val="00D76F3F"/>
    <w:rsid w:val="00D872FB"/>
    <w:rsid w:val="00DC5813"/>
    <w:rsid w:val="00DE6E50"/>
    <w:rsid w:val="00E16A72"/>
    <w:rsid w:val="00E20537"/>
    <w:rsid w:val="00E967E7"/>
    <w:rsid w:val="00EA4218"/>
    <w:rsid w:val="00EA67BA"/>
    <w:rsid w:val="00EA75CE"/>
    <w:rsid w:val="00EF0BAD"/>
    <w:rsid w:val="00F028F8"/>
    <w:rsid w:val="00F60ACE"/>
    <w:rsid w:val="00F615BF"/>
    <w:rsid w:val="00F67870"/>
    <w:rsid w:val="00F70143"/>
    <w:rsid w:val="00F70497"/>
    <w:rsid w:val="00F97252"/>
    <w:rsid w:val="00FA43F5"/>
    <w:rsid w:val="00FA5337"/>
    <w:rsid w:val="00FE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14"/>
    <w:pPr>
      <w:spacing w:after="240"/>
    </w:pPr>
    <w:rPr>
      <w:rFonts w:ascii="Times New Roman" w:hAnsi="Times New Roman"/>
      <w:sz w:val="24"/>
    </w:rPr>
  </w:style>
  <w:style w:type="paragraph" w:styleId="Heading1">
    <w:name w:val="heading 1"/>
    <w:basedOn w:val="Normal"/>
    <w:next w:val="Normal"/>
    <w:link w:val="Heading1Char"/>
    <w:uiPriority w:val="9"/>
    <w:qFormat/>
    <w:rsid w:val="000E6314"/>
    <w:pPr>
      <w:keepNext/>
      <w:keepLines/>
      <w:spacing w:line="24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E6314"/>
    <w:pPr>
      <w:keepNext/>
      <w:keepLines/>
      <w:ind w:right="7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31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E6314"/>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BC7DC4"/>
    <w:rPr>
      <w:color w:val="0000FF" w:themeColor="hyperlink"/>
      <w:u w:val="single"/>
    </w:rPr>
  </w:style>
  <w:style w:type="paragraph" w:styleId="FootnoteText">
    <w:name w:val="footnote text"/>
    <w:basedOn w:val="Normal"/>
    <w:link w:val="FootnoteTextChar"/>
    <w:uiPriority w:val="99"/>
    <w:semiHidden/>
    <w:unhideWhenUsed/>
    <w:rsid w:val="003F6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C9E"/>
    <w:rPr>
      <w:rFonts w:ascii="Times New Roman" w:hAnsi="Times New Roman"/>
      <w:sz w:val="20"/>
      <w:szCs w:val="20"/>
    </w:rPr>
  </w:style>
  <w:style w:type="character" w:styleId="FootnoteReference">
    <w:name w:val="footnote reference"/>
    <w:basedOn w:val="DefaultParagraphFont"/>
    <w:uiPriority w:val="99"/>
    <w:semiHidden/>
    <w:unhideWhenUsed/>
    <w:rsid w:val="003F6C9E"/>
    <w:rPr>
      <w:vertAlign w:val="superscript"/>
    </w:rPr>
  </w:style>
  <w:style w:type="paragraph" w:styleId="BalloonText">
    <w:name w:val="Balloon Text"/>
    <w:basedOn w:val="Normal"/>
    <w:link w:val="BalloonTextChar"/>
    <w:uiPriority w:val="99"/>
    <w:semiHidden/>
    <w:unhideWhenUsed/>
    <w:rsid w:val="004D7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24E"/>
    <w:rPr>
      <w:rFonts w:ascii="Tahoma" w:hAnsi="Tahoma" w:cs="Tahoma"/>
      <w:sz w:val="16"/>
      <w:szCs w:val="16"/>
    </w:rPr>
  </w:style>
  <w:style w:type="character" w:styleId="CommentReference">
    <w:name w:val="annotation reference"/>
    <w:basedOn w:val="DefaultParagraphFont"/>
    <w:uiPriority w:val="99"/>
    <w:semiHidden/>
    <w:unhideWhenUsed/>
    <w:rsid w:val="006021A8"/>
    <w:rPr>
      <w:sz w:val="16"/>
      <w:szCs w:val="16"/>
    </w:rPr>
  </w:style>
  <w:style w:type="paragraph" w:styleId="CommentText">
    <w:name w:val="annotation text"/>
    <w:basedOn w:val="Normal"/>
    <w:link w:val="CommentTextChar"/>
    <w:uiPriority w:val="99"/>
    <w:semiHidden/>
    <w:unhideWhenUsed/>
    <w:rsid w:val="006021A8"/>
    <w:pPr>
      <w:spacing w:line="240" w:lineRule="auto"/>
    </w:pPr>
    <w:rPr>
      <w:sz w:val="20"/>
      <w:szCs w:val="20"/>
    </w:rPr>
  </w:style>
  <w:style w:type="character" w:customStyle="1" w:styleId="CommentTextChar">
    <w:name w:val="Comment Text Char"/>
    <w:basedOn w:val="DefaultParagraphFont"/>
    <w:link w:val="CommentText"/>
    <w:uiPriority w:val="99"/>
    <w:semiHidden/>
    <w:rsid w:val="006021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021A8"/>
    <w:rPr>
      <w:b/>
      <w:bCs/>
    </w:rPr>
  </w:style>
  <w:style w:type="character" w:customStyle="1" w:styleId="CommentSubjectChar">
    <w:name w:val="Comment Subject Char"/>
    <w:basedOn w:val="CommentTextChar"/>
    <w:link w:val="CommentSubject"/>
    <w:uiPriority w:val="99"/>
    <w:semiHidden/>
    <w:rsid w:val="006021A8"/>
    <w:rPr>
      <w:rFonts w:ascii="Times New Roman" w:hAnsi="Times New Roman"/>
      <w:b/>
      <w:bCs/>
      <w:sz w:val="20"/>
      <w:szCs w:val="20"/>
    </w:rPr>
  </w:style>
  <w:style w:type="paragraph" w:styleId="Header">
    <w:name w:val="header"/>
    <w:basedOn w:val="Normal"/>
    <w:link w:val="HeaderChar"/>
    <w:uiPriority w:val="99"/>
    <w:unhideWhenUsed/>
    <w:rsid w:val="00EA7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CE"/>
    <w:rPr>
      <w:rFonts w:ascii="Times New Roman" w:hAnsi="Times New Roman"/>
      <w:sz w:val="24"/>
    </w:rPr>
  </w:style>
  <w:style w:type="paragraph" w:styleId="Footer">
    <w:name w:val="footer"/>
    <w:basedOn w:val="Normal"/>
    <w:link w:val="FooterChar"/>
    <w:uiPriority w:val="99"/>
    <w:unhideWhenUsed/>
    <w:rsid w:val="00EA7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C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14"/>
    <w:pPr>
      <w:spacing w:after="240"/>
    </w:pPr>
    <w:rPr>
      <w:rFonts w:ascii="Times New Roman" w:hAnsi="Times New Roman"/>
      <w:sz w:val="24"/>
    </w:rPr>
  </w:style>
  <w:style w:type="paragraph" w:styleId="Heading1">
    <w:name w:val="heading 1"/>
    <w:basedOn w:val="Normal"/>
    <w:next w:val="Normal"/>
    <w:link w:val="Heading1Char"/>
    <w:uiPriority w:val="9"/>
    <w:qFormat/>
    <w:rsid w:val="000E6314"/>
    <w:pPr>
      <w:keepNext/>
      <w:keepLines/>
      <w:spacing w:line="24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E6314"/>
    <w:pPr>
      <w:keepNext/>
      <w:keepLines/>
      <w:ind w:right="7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31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E6314"/>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BC7DC4"/>
    <w:rPr>
      <w:color w:val="0000FF" w:themeColor="hyperlink"/>
      <w:u w:val="single"/>
    </w:rPr>
  </w:style>
  <w:style w:type="paragraph" w:styleId="FootnoteText">
    <w:name w:val="footnote text"/>
    <w:basedOn w:val="Normal"/>
    <w:link w:val="FootnoteTextChar"/>
    <w:uiPriority w:val="99"/>
    <w:semiHidden/>
    <w:unhideWhenUsed/>
    <w:rsid w:val="003F6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C9E"/>
    <w:rPr>
      <w:rFonts w:ascii="Times New Roman" w:hAnsi="Times New Roman"/>
      <w:sz w:val="20"/>
      <w:szCs w:val="20"/>
    </w:rPr>
  </w:style>
  <w:style w:type="character" w:styleId="FootnoteReference">
    <w:name w:val="footnote reference"/>
    <w:basedOn w:val="DefaultParagraphFont"/>
    <w:uiPriority w:val="99"/>
    <w:semiHidden/>
    <w:unhideWhenUsed/>
    <w:rsid w:val="003F6C9E"/>
    <w:rPr>
      <w:vertAlign w:val="superscript"/>
    </w:rPr>
  </w:style>
  <w:style w:type="paragraph" w:styleId="BalloonText">
    <w:name w:val="Balloon Text"/>
    <w:basedOn w:val="Normal"/>
    <w:link w:val="BalloonTextChar"/>
    <w:uiPriority w:val="99"/>
    <w:semiHidden/>
    <w:unhideWhenUsed/>
    <w:rsid w:val="004D7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24E"/>
    <w:rPr>
      <w:rFonts w:ascii="Tahoma" w:hAnsi="Tahoma" w:cs="Tahoma"/>
      <w:sz w:val="16"/>
      <w:szCs w:val="16"/>
    </w:rPr>
  </w:style>
  <w:style w:type="character" w:styleId="CommentReference">
    <w:name w:val="annotation reference"/>
    <w:basedOn w:val="DefaultParagraphFont"/>
    <w:uiPriority w:val="99"/>
    <w:semiHidden/>
    <w:unhideWhenUsed/>
    <w:rsid w:val="006021A8"/>
    <w:rPr>
      <w:sz w:val="16"/>
      <w:szCs w:val="16"/>
    </w:rPr>
  </w:style>
  <w:style w:type="paragraph" w:styleId="CommentText">
    <w:name w:val="annotation text"/>
    <w:basedOn w:val="Normal"/>
    <w:link w:val="CommentTextChar"/>
    <w:uiPriority w:val="99"/>
    <w:semiHidden/>
    <w:unhideWhenUsed/>
    <w:rsid w:val="006021A8"/>
    <w:pPr>
      <w:spacing w:line="240" w:lineRule="auto"/>
    </w:pPr>
    <w:rPr>
      <w:sz w:val="20"/>
      <w:szCs w:val="20"/>
    </w:rPr>
  </w:style>
  <w:style w:type="character" w:customStyle="1" w:styleId="CommentTextChar">
    <w:name w:val="Comment Text Char"/>
    <w:basedOn w:val="DefaultParagraphFont"/>
    <w:link w:val="CommentText"/>
    <w:uiPriority w:val="99"/>
    <w:semiHidden/>
    <w:rsid w:val="006021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021A8"/>
    <w:rPr>
      <w:b/>
      <w:bCs/>
    </w:rPr>
  </w:style>
  <w:style w:type="character" w:customStyle="1" w:styleId="CommentSubjectChar">
    <w:name w:val="Comment Subject Char"/>
    <w:basedOn w:val="CommentTextChar"/>
    <w:link w:val="CommentSubject"/>
    <w:uiPriority w:val="99"/>
    <w:semiHidden/>
    <w:rsid w:val="006021A8"/>
    <w:rPr>
      <w:rFonts w:ascii="Times New Roman" w:hAnsi="Times New Roman"/>
      <w:b/>
      <w:bCs/>
      <w:sz w:val="20"/>
      <w:szCs w:val="20"/>
    </w:rPr>
  </w:style>
  <w:style w:type="paragraph" w:styleId="Header">
    <w:name w:val="header"/>
    <w:basedOn w:val="Normal"/>
    <w:link w:val="HeaderChar"/>
    <w:uiPriority w:val="99"/>
    <w:unhideWhenUsed/>
    <w:rsid w:val="00EA7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CE"/>
    <w:rPr>
      <w:rFonts w:ascii="Times New Roman" w:hAnsi="Times New Roman"/>
      <w:sz w:val="24"/>
    </w:rPr>
  </w:style>
  <w:style w:type="paragraph" w:styleId="Footer">
    <w:name w:val="footer"/>
    <w:basedOn w:val="Normal"/>
    <w:link w:val="FooterChar"/>
    <w:uiPriority w:val="99"/>
    <w:unhideWhenUsed/>
    <w:rsid w:val="00EA7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BB317-90BA-4851-945D-53AF572D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 Teen</dc:creator>
  <cp:lastModifiedBy>Huth, Marie-Louise</cp:lastModifiedBy>
  <cp:revision>5</cp:revision>
  <cp:lastPrinted>2013-04-11T22:36:00Z</cp:lastPrinted>
  <dcterms:created xsi:type="dcterms:W3CDTF">2013-04-30T15:12:00Z</dcterms:created>
  <dcterms:modified xsi:type="dcterms:W3CDTF">2013-05-09T15:33:00Z</dcterms:modified>
</cp:coreProperties>
</file>