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82" w:rsidRDefault="00A57482" w:rsidP="00910477">
      <w:pPr>
        <w:spacing w:after="0" w:line="240" w:lineRule="auto"/>
        <w:jc w:val="center"/>
        <w:rPr>
          <w:rFonts w:eastAsia="Times New Roman" w:cs="Times New Roman"/>
          <w:b/>
          <w:bCs/>
          <w:szCs w:val="24"/>
        </w:rPr>
      </w:pPr>
      <w:r>
        <w:rPr>
          <w:rFonts w:eastAsia="Times New Roman" w:cs="Times New Roman"/>
          <w:b/>
          <w:bCs/>
          <w:szCs w:val="24"/>
        </w:rPr>
        <w:t>SUPPORTING STATEMENT</w:t>
      </w:r>
    </w:p>
    <w:p w:rsidR="00A57482" w:rsidRDefault="00A57482" w:rsidP="00910477">
      <w:pPr>
        <w:spacing w:line="240" w:lineRule="auto"/>
        <w:jc w:val="center"/>
        <w:rPr>
          <w:rFonts w:eastAsia="Times New Roman" w:cs="Times New Roman"/>
          <w:b/>
          <w:bCs/>
          <w:szCs w:val="24"/>
        </w:rPr>
      </w:pPr>
      <w:proofErr w:type="gramStart"/>
      <w:r w:rsidRPr="0040411D">
        <w:rPr>
          <w:rFonts w:eastAsia="Times New Roman" w:cs="Times New Roman"/>
          <w:b/>
          <w:bCs/>
          <w:szCs w:val="24"/>
        </w:rPr>
        <w:t>for</w:t>
      </w:r>
      <w:proofErr w:type="gramEnd"/>
      <w:r w:rsidRPr="0040411D">
        <w:rPr>
          <w:rFonts w:eastAsia="Times New Roman" w:cs="Times New Roman"/>
          <w:b/>
          <w:bCs/>
          <w:szCs w:val="24"/>
        </w:rPr>
        <w:t xml:space="preserve"> the Paperwork Reduction Act Infor</w:t>
      </w:r>
      <w:r>
        <w:rPr>
          <w:rFonts w:eastAsia="Times New Roman" w:cs="Times New Roman"/>
          <w:b/>
          <w:bCs/>
          <w:szCs w:val="24"/>
        </w:rPr>
        <w:t>mation Collection Submission</w:t>
      </w:r>
    </w:p>
    <w:p w:rsidR="00E46A20" w:rsidRPr="00E46A20" w:rsidRDefault="00A57482" w:rsidP="00910477">
      <w:pPr>
        <w:spacing w:line="240" w:lineRule="auto"/>
        <w:jc w:val="center"/>
        <w:rPr>
          <w:rFonts w:eastAsia="Times New Roman" w:cs="Times New Roman"/>
          <w:b/>
          <w:bCs/>
          <w:szCs w:val="24"/>
        </w:rPr>
      </w:pPr>
      <w:r>
        <w:rPr>
          <w:rFonts w:eastAsia="Times New Roman" w:cs="Times New Roman"/>
          <w:b/>
          <w:bCs/>
          <w:szCs w:val="24"/>
        </w:rPr>
        <w:t xml:space="preserve">Rule </w:t>
      </w:r>
      <w:r w:rsidR="00D26ADE">
        <w:rPr>
          <w:rFonts w:eastAsia="Times New Roman" w:cs="Times New Roman"/>
          <w:b/>
          <w:bCs/>
          <w:szCs w:val="24"/>
        </w:rPr>
        <w:t xml:space="preserve">18a-1 </w:t>
      </w:r>
      <w:r>
        <w:rPr>
          <w:rFonts w:eastAsia="Times New Roman" w:cs="Times New Roman"/>
          <w:b/>
          <w:bCs/>
          <w:szCs w:val="24"/>
        </w:rPr>
        <w:t xml:space="preserve">– Net </w:t>
      </w:r>
      <w:r w:rsidR="00910477">
        <w:rPr>
          <w:rFonts w:eastAsia="Times New Roman" w:cs="Times New Roman"/>
          <w:b/>
          <w:bCs/>
          <w:szCs w:val="24"/>
        </w:rPr>
        <w:t>c</w:t>
      </w:r>
      <w:r>
        <w:rPr>
          <w:rFonts w:eastAsia="Times New Roman" w:cs="Times New Roman"/>
          <w:b/>
          <w:bCs/>
          <w:szCs w:val="24"/>
        </w:rPr>
        <w:t xml:space="preserve">apital </w:t>
      </w:r>
      <w:r w:rsidR="00910477">
        <w:rPr>
          <w:rFonts w:eastAsia="Times New Roman" w:cs="Times New Roman"/>
          <w:b/>
          <w:bCs/>
          <w:szCs w:val="24"/>
        </w:rPr>
        <w:t>r</w:t>
      </w:r>
      <w:r>
        <w:rPr>
          <w:rFonts w:eastAsia="Times New Roman" w:cs="Times New Roman"/>
          <w:b/>
          <w:bCs/>
          <w:szCs w:val="24"/>
        </w:rPr>
        <w:t xml:space="preserve">equirements </w:t>
      </w:r>
      <w:r w:rsidR="00910477">
        <w:rPr>
          <w:rFonts w:eastAsia="Times New Roman" w:cs="Times New Roman"/>
          <w:b/>
          <w:bCs/>
          <w:szCs w:val="24"/>
        </w:rPr>
        <w:t>f</w:t>
      </w:r>
      <w:r>
        <w:rPr>
          <w:rFonts w:eastAsia="Times New Roman" w:cs="Times New Roman"/>
          <w:b/>
          <w:bCs/>
          <w:szCs w:val="24"/>
        </w:rPr>
        <w:t xml:space="preserve">or </w:t>
      </w:r>
      <w:r w:rsidR="00910477">
        <w:rPr>
          <w:rFonts w:eastAsia="Times New Roman" w:cs="Times New Roman"/>
          <w:b/>
          <w:bCs/>
          <w:szCs w:val="24"/>
        </w:rPr>
        <w:t>s</w:t>
      </w:r>
      <w:r w:rsidR="000275AB">
        <w:rPr>
          <w:rFonts w:eastAsia="Times New Roman" w:cs="Times New Roman"/>
          <w:b/>
          <w:bCs/>
          <w:szCs w:val="24"/>
        </w:rPr>
        <w:t>ecurity-</w:t>
      </w:r>
      <w:r w:rsidR="00910477">
        <w:rPr>
          <w:rFonts w:eastAsia="Times New Roman" w:cs="Times New Roman"/>
          <w:b/>
          <w:bCs/>
          <w:szCs w:val="24"/>
        </w:rPr>
        <w:t>b</w:t>
      </w:r>
      <w:r w:rsidR="000275AB">
        <w:rPr>
          <w:rFonts w:eastAsia="Times New Roman" w:cs="Times New Roman"/>
          <w:b/>
          <w:bCs/>
          <w:szCs w:val="24"/>
        </w:rPr>
        <w:t xml:space="preserve">ased </w:t>
      </w:r>
      <w:r w:rsidR="00910477">
        <w:rPr>
          <w:rFonts w:eastAsia="Times New Roman" w:cs="Times New Roman"/>
          <w:b/>
          <w:bCs/>
          <w:szCs w:val="24"/>
        </w:rPr>
        <w:t>s</w:t>
      </w:r>
      <w:r w:rsidR="000275AB">
        <w:rPr>
          <w:rFonts w:eastAsia="Times New Roman" w:cs="Times New Roman"/>
          <w:b/>
          <w:bCs/>
          <w:szCs w:val="24"/>
        </w:rPr>
        <w:t xml:space="preserve">wap </w:t>
      </w:r>
      <w:r w:rsidR="00910477">
        <w:rPr>
          <w:rFonts w:eastAsia="Times New Roman" w:cs="Times New Roman"/>
          <w:b/>
          <w:bCs/>
          <w:szCs w:val="24"/>
        </w:rPr>
        <w:t>d</w:t>
      </w:r>
      <w:r w:rsidR="000275AB">
        <w:rPr>
          <w:rFonts w:eastAsia="Times New Roman" w:cs="Times New Roman"/>
          <w:b/>
          <w:bCs/>
          <w:szCs w:val="24"/>
        </w:rPr>
        <w:t xml:space="preserve">ealers </w:t>
      </w:r>
      <w:r w:rsidR="00910477">
        <w:rPr>
          <w:rFonts w:eastAsia="Times New Roman" w:cs="Times New Roman"/>
          <w:b/>
          <w:bCs/>
          <w:szCs w:val="24"/>
        </w:rPr>
        <w:t>f</w:t>
      </w:r>
      <w:r w:rsidR="000275AB">
        <w:rPr>
          <w:rFonts w:eastAsia="Times New Roman" w:cs="Times New Roman"/>
          <w:b/>
          <w:bCs/>
          <w:szCs w:val="24"/>
        </w:rPr>
        <w:t xml:space="preserve">or </w:t>
      </w:r>
      <w:r w:rsidR="00910477">
        <w:rPr>
          <w:rFonts w:eastAsia="Times New Roman" w:cs="Times New Roman"/>
          <w:b/>
          <w:bCs/>
          <w:szCs w:val="24"/>
        </w:rPr>
        <w:t>w</w:t>
      </w:r>
      <w:r w:rsidR="000275AB">
        <w:rPr>
          <w:rFonts w:eastAsia="Times New Roman" w:cs="Times New Roman"/>
          <w:b/>
          <w:bCs/>
          <w:szCs w:val="24"/>
        </w:rPr>
        <w:t xml:space="preserve">hich </w:t>
      </w:r>
      <w:r w:rsidR="00910477">
        <w:rPr>
          <w:rFonts w:eastAsia="Times New Roman" w:cs="Times New Roman"/>
          <w:b/>
          <w:bCs/>
          <w:szCs w:val="24"/>
        </w:rPr>
        <w:t>t</w:t>
      </w:r>
      <w:r w:rsidR="000275AB">
        <w:rPr>
          <w:rFonts w:eastAsia="Times New Roman" w:cs="Times New Roman"/>
          <w:b/>
          <w:bCs/>
          <w:szCs w:val="24"/>
        </w:rPr>
        <w:t xml:space="preserve">here </w:t>
      </w:r>
      <w:r w:rsidR="00910477">
        <w:rPr>
          <w:rFonts w:eastAsia="Times New Roman" w:cs="Times New Roman"/>
          <w:b/>
          <w:bCs/>
          <w:szCs w:val="24"/>
        </w:rPr>
        <w:t>i</w:t>
      </w:r>
      <w:r w:rsidR="000275AB">
        <w:rPr>
          <w:rFonts w:eastAsia="Times New Roman" w:cs="Times New Roman"/>
          <w:b/>
          <w:bCs/>
          <w:szCs w:val="24"/>
        </w:rPr>
        <w:t xml:space="preserve">s </w:t>
      </w:r>
      <w:r w:rsidR="00910477">
        <w:rPr>
          <w:rFonts w:eastAsia="Times New Roman" w:cs="Times New Roman"/>
          <w:b/>
          <w:bCs/>
          <w:szCs w:val="24"/>
        </w:rPr>
        <w:t>n</w:t>
      </w:r>
      <w:r w:rsidR="000275AB">
        <w:rPr>
          <w:rFonts w:eastAsia="Times New Roman" w:cs="Times New Roman"/>
          <w:b/>
          <w:bCs/>
          <w:szCs w:val="24"/>
        </w:rPr>
        <w:t xml:space="preserve">ot a </w:t>
      </w:r>
      <w:r w:rsidR="00910477">
        <w:rPr>
          <w:rFonts w:eastAsia="Times New Roman" w:cs="Times New Roman"/>
          <w:b/>
          <w:bCs/>
          <w:szCs w:val="24"/>
        </w:rPr>
        <w:t>p</w:t>
      </w:r>
      <w:r w:rsidR="000275AB">
        <w:rPr>
          <w:rFonts w:eastAsia="Times New Roman" w:cs="Times New Roman"/>
          <w:b/>
          <w:bCs/>
          <w:szCs w:val="24"/>
        </w:rPr>
        <w:t xml:space="preserve">rudential </w:t>
      </w:r>
      <w:r w:rsidR="00910477">
        <w:rPr>
          <w:rFonts w:eastAsia="Times New Roman" w:cs="Times New Roman"/>
          <w:b/>
          <w:bCs/>
          <w:szCs w:val="24"/>
        </w:rPr>
        <w:t>r</w:t>
      </w:r>
      <w:r w:rsidR="000275AB">
        <w:rPr>
          <w:rFonts w:eastAsia="Times New Roman" w:cs="Times New Roman"/>
          <w:b/>
          <w:bCs/>
          <w:szCs w:val="24"/>
        </w:rPr>
        <w:t>egulator</w:t>
      </w:r>
    </w:p>
    <w:p w:rsidR="00A57482" w:rsidRPr="00F10FF8" w:rsidRDefault="00271482" w:rsidP="00910477">
      <w:pPr>
        <w:pStyle w:val="Heading1"/>
        <w:tabs>
          <w:tab w:val="left" w:pos="720"/>
        </w:tabs>
        <w:rPr>
          <w:rFonts w:ascii="Times New Roman Bold" w:hAnsi="Times New Roman Bold"/>
          <w:caps/>
        </w:rPr>
      </w:pPr>
      <w:r w:rsidRPr="00271482">
        <w:rPr>
          <w:bCs w:val="0"/>
        </w:rPr>
        <w:t>A.</w:t>
      </w:r>
      <w:r w:rsidRPr="00271482">
        <w:tab/>
      </w:r>
      <w:r w:rsidR="00A57482" w:rsidRPr="00F10FF8">
        <w:rPr>
          <w:rFonts w:ascii="Times New Roman Bold" w:hAnsi="Times New Roman Bold"/>
          <w:caps/>
        </w:rPr>
        <w:t>Justification</w:t>
      </w:r>
    </w:p>
    <w:p w:rsidR="00271482" w:rsidRDefault="00271482" w:rsidP="00910477">
      <w:pPr>
        <w:pStyle w:val="Heading2"/>
        <w:spacing w:line="240" w:lineRule="auto"/>
      </w:pPr>
      <w:r>
        <w:tab/>
        <w:t>1.</w:t>
      </w:r>
      <w:r>
        <w:tab/>
        <w:t>Necessity of Information Collection</w:t>
      </w:r>
    </w:p>
    <w:p w:rsidR="00981998" w:rsidRDefault="000641ED" w:rsidP="00910477">
      <w:pPr>
        <w:spacing w:line="240" w:lineRule="auto"/>
        <w:rPr>
          <w:rFonts w:cs="Times New Roman"/>
          <w:szCs w:val="24"/>
        </w:rPr>
      </w:pPr>
      <w:r>
        <w:rPr>
          <w:rFonts w:cs="Times New Roman"/>
          <w:szCs w:val="24"/>
        </w:rPr>
        <w:tab/>
      </w:r>
      <w:r w:rsidR="001C225C">
        <w:rPr>
          <w:rFonts w:cs="Times New Roman"/>
          <w:szCs w:val="24"/>
        </w:rPr>
        <w:t>In accordance with Section 764 of the Dodd-Frank Wall Street Reform and Consumer Protection Act of 2010 (</w:t>
      </w:r>
      <w:r w:rsidR="001F0BA2">
        <w:rPr>
          <w:rFonts w:cs="Times New Roman"/>
          <w:szCs w:val="24"/>
        </w:rPr>
        <w:t xml:space="preserve">the </w:t>
      </w:r>
      <w:r w:rsidR="001C225C">
        <w:rPr>
          <w:rFonts w:cs="Times New Roman"/>
          <w:szCs w:val="24"/>
        </w:rPr>
        <w:t>“Dodd-Frank Act”</w:t>
      </w:r>
      <w:r w:rsidR="00E46A20">
        <w:rPr>
          <w:rFonts w:cs="Times New Roman"/>
          <w:szCs w:val="24"/>
        </w:rPr>
        <w:t xml:space="preserve">), the </w:t>
      </w:r>
      <w:r w:rsidR="001F0BA2">
        <w:rPr>
          <w:rFonts w:cs="Times New Roman"/>
          <w:szCs w:val="24"/>
        </w:rPr>
        <w:t xml:space="preserve">Securities and Exchange </w:t>
      </w:r>
      <w:r w:rsidR="00E46A20">
        <w:rPr>
          <w:rFonts w:cs="Times New Roman"/>
          <w:szCs w:val="24"/>
        </w:rPr>
        <w:t>Commission</w:t>
      </w:r>
      <w:r w:rsidR="001F0BA2">
        <w:rPr>
          <w:rFonts w:cs="Times New Roman"/>
          <w:szCs w:val="24"/>
        </w:rPr>
        <w:t xml:space="preserve"> (the “Commission”)</w:t>
      </w:r>
      <w:r w:rsidR="00E46A20">
        <w:rPr>
          <w:rFonts w:cs="Times New Roman"/>
          <w:szCs w:val="24"/>
        </w:rPr>
        <w:t xml:space="preserve"> </w:t>
      </w:r>
      <w:r w:rsidR="00B92120">
        <w:rPr>
          <w:rFonts w:cs="Times New Roman"/>
          <w:szCs w:val="24"/>
        </w:rPr>
        <w:t>has proposed</w:t>
      </w:r>
      <w:r w:rsidR="00FE67CD">
        <w:rPr>
          <w:rFonts w:cs="Times New Roman"/>
          <w:szCs w:val="24"/>
        </w:rPr>
        <w:t xml:space="preserve"> new </w:t>
      </w:r>
      <w:r w:rsidR="00E46A20">
        <w:rPr>
          <w:rFonts w:cs="Times New Roman"/>
          <w:szCs w:val="24"/>
        </w:rPr>
        <w:t xml:space="preserve">Rule </w:t>
      </w:r>
      <w:r w:rsidR="00FE67CD">
        <w:rPr>
          <w:rFonts w:cs="Times New Roman"/>
          <w:szCs w:val="24"/>
        </w:rPr>
        <w:t>18a</w:t>
      </w:r>
      <w:r w:rsidR="00E46A20">
        <w:rPr>
          <w:rFonts w:cs="Times New Roman"/>
          <w:szCs w:val="24"/>
        </w:rPr>
        <w:t>-1 to set forth net capital requirements for</w:t>
      </w:r>
      <w:r w:rsidR="000275AB">
        <w:rPr>
          <w:rFonts w:cs="Times New Roman"/>
          <w:szCs w:val="24"/>
        </w:rPr>
        <w:t xml:space="preserve"> nonbank</w:t>
      </w:r>
      <w:r w:rsidR="00E46A20">
        <w:rPr>
          <w:rFonts w:cs="Times New Roman"/>
          <w:szCs w:val="24"/>
        </w:rPr>
        <w:t xml:space="preserve"> </w:t>
      </w:r>
      <w:r w:rsidR="00FE67CD">
        <w:rPr>
          <w:rFonts w:cs="Times New Roman"/>
          <w:szCs w:val="24"/>
        </w:rPr>
        <w:t>security-based swap dealers that are not also broker-dealers registered with the Commission (“stand-alone SBSDs”).</w:t>
      </w:r>
      <w:r w:rsidR="001F0BA2">
        <w:rPr>
          <w:rStyle w:val="FootnoteReference"/>
          <w:rFonts w:cs="Times New Roman"/>
          <w:szCs w:val="24"/>
        </w:rPr>
        <w:footnoteReference w:id="1"/>
      </w:r>
      <w:r w:rsidR="00E15403">
        <w:rPr>
          <w:rFonts w:cs="Times New Roman"/>
          <w:szCs w:val="24"/>
        </w:rPr>
        <w:t xml:space="preserve">  The </w:t>
      </w:r>
      <w:r w:rsidR="000275AB">
        <w:rPr>
          <w:rFonts w:cs="Times New Roman"/>
          <w:szCs w:val="24"/>
        </w:rPr>
        <w:t>rule</w:t>
      </w:r>
      <w:r w:rsidR="00E15403">
        <w:rPr>
          <w:rFonts w:cs="Times New Roman"/>
          <w:szCs w:val="24"/>
        </w:rPr>
        <w:t xml:space="preserve"> establish</w:t>
      </w:r>
      <w:r w:rsidR="000275AB">
        <w:rPr>
          <w:rFonts w:cs="Times New Roman"/>
          <w:szCs w:val="24"/>
        </w:rPr>
        <w:t>es</w:t>
      </w:r>
      <w:r w:rsidR="00E15403">
        <w:rPr>
          <w:rFonts w:cs="Times New Roman"/>
          <w:szCs w:val="24"/>
        </w:rPr>
        <w:t xml:space="preserve"> a number of new </w:t>
      </w:r>
      <w:proofErr w:type="gramStart"/>
      <w:r w:rsidR="00E15403">
        <w:rPr>
          <w:rFonts w:cs="Times New Roman"/>
          <w:szCs w:val="24"/>
        </w:rPr>
        <w:t>collection</w:t>
      </w:r>
      <w:proofErr w:type="gramEnd"/>
      <w:r w:rsidR="00E15403">
        <w:rPr>
          <w:rFonts w:cs="Times New Roman"/>
          <w:szCs w:val="24"/>
        </w:rPr>
        <w:t xml:space="preserve"> of information requirements.</w:t>
      </w:r>
      <w:r w:rsidR="003E401B">
        <w:rPr>
          <w:rFonts w:cs="Times New Roman"/>
          <w:szCs w:val="24"/>
        </w:rPr>
        <w:t xml:space="preserve">  The Commission staff estimates that there will be a total of 9 </w:t>
      </w:r>
      <w:proofErr w:type="gramStart"/>
      <w:r w:rsidR="003E401B">
        <w:rPr>
          <w:rFonts w:cs="Times New Roman"/>
          <w:szCs w:val="24"/>
        </w:rPr>
        <w:t>respondents</w:t>
      </w:r>
      <w:proofErr w:type="gramEnd"/>
      <w:r w:rsidR="003E401B">
        <w:rPr>
          <w:rFonts w:cs="Times New Roman"/>
          <w:szCs w:val="24"/>
        </w:rPr>
        <w:t xml:space="preserve"> subject at least in part to these new requirements.</w:t>
      </w:r>
    </w:p>
    <w:p w:rsidR="00FE67CD" w:rsidRDefault="000641ED" w:rsidP="00910477">
      <w:pPr>
        <w:spacing w:line="240" w:lineRule="auto"/>
        <w:rPr>
          <w:rFonts w:cs="Times New Roman"/>
          <w:szCs w:val="24"/>
        </w:rPr>
      </w:pPr>
      <w:r>
        <w:rPr>
          <w:rFonts w:cs="Times New Roman"/>
          <w:szCs w:val="24"/>
        </w:rPr>
        <w:tab/>
      </w:r>
      <w:r w:rsidR="007B1D65">
        <w:rPr>
          <w:rFonts w:cs="Times New Roman"/>
          <w:szCs w:val="24"/>
        </w:rPr>
        <w:t xml:space="preserve">First, </w:t>
      </w:r>
      <w:r w:rsidR="001F0BA2">
        <w:rPr>
          <w:rFonts w:cs="Times New Roman"/>
          <w:szCs w:val="24"/>
        </w:rPr>
        <w:t xml:space="preserve">under </w:t>
      </w:r>
      <w:r w:rsidR="00FE67CD">
        <w:rPr>
          <w:rFonts w:cs="Times New Roman"/>
          <w:szCs w:val="24"/>
        </w:rPr>
        <w:t>Rule 18a-1</w:t>
      </w:r>
      <w:r w:rsidR="00B92120">
        <w:rPr>
          <w:rFonts w:cs="Times New Roman"/>
          <w:szCs w:val="24"/>
        </w:rPr>
        <w:t xml:space="preserve">, a </w:t>
      </w:r>
      <w:r w:rsidR="00FE67CD">
        <w:rPr>
          <w:rFonts w:cs="Times New Roman"/>
          <w:szCs w:val="24"/>
        </w:rPr>
        <w:t xml:space="preserve">stand-alone SBSD </w:t>
      </w:r>
      <w:r w:rsidR="00B92120">
        <w:rPr>
          <w:rFonts w:cs="Times New Roman"/>
          <w:szCs w:val="24"/>
        </w:rPr>
        <w:t xml:space="preserve">would need to </w:t>
      </w:r>
      <w:r w:rsidR="00FE67CD">
        <w:rPr>
          <w:rFonts w:cs="Times New Roman"/>
          <w:szCs w:val="24"/>
        </w:rPr>
        <w:t xml:space="preserve">apply to the Commission to be authorized to use internal models to compute net capital.  As part of the application process, a stand-alone SBSD would </w:t>
      </w:r>
      <w:r w:rsidR="00FE67CD" w:rsidRPr="00FE67CD">
        <w:rPr>
          <w:rFonts w:cs="Times New Roman"/>
          <w:szCs w:val="24"/>
        </w:rPr>
        <w:t xml:space="preserve">be required to provide the Commission staff with, among other things:  (1) a comprehensive description of the firm’s internal risk management control system; (2) a description of the </w:t>
      </w:r>
      <w:r w:rsidR="00FE67CD">
        <w:rPr>
          <w:rFonts w:cs="Times New Roman"/>
          <w:szCs w:val="24"/>
        </w:rPr>
        <w:t>value-at-risk (“</w:t>
      </w:r>
      <w:proofErr w:type="spellStart"/>
      <w:r w:rsidR="00FE67CD" w:rsidRPr="00FE67CD">
        <w:rPr>
          <w:rFonts w:cs="Times New Roman"/>
          <w:szCs w:val="24"/>
        </w:rPr>
        <w:t>VaR</w:t>
      </w:r>
      <w:proofErr w:type="spellEnd"/>
      <w:r w:rsidR="00FE67CD">
        <w:rPr>
          <w:rFonts w:cs="Times New Roman"/>
          <w:szCs w:val="24"/>
        </w:rPr>
        <w:t>”)</w:t>
      </w:r>
      <w:r w:rsidR="00FE67CD" w:rsidRPr="00FE67CD">
        <w:rPr>
          <w:rFonts w:cs="Times New Roman"/>
          <w:szCs w:val="24"/>
        </w:rPr>
        <w:t xml:space="preserve"> models the firm will use to price positions and compute deductions for market risk; (3) a description of the firm’s internal risk management controls over the </w:t>
      </w:r>
      <w:proofErr w:type="spellStart"/>
      <w:r w:rsidR="00FE67CD" w:rsidRPr="00FE67CD">
        <w:rPr>
          <w:rFonts w:cs="Times New Roman"/>
          <w:szCs w:val="24"/>
        </w:rPr>
        <w:t>VaR</w:t>
      </w:r>
      <w:proofErr w:type="spellEnd"/>
      <w:r w:rsidR="00FE67CD" w:rsidRPr="00FE67CD">
        <w:rPr>
          <w:rFonts w:cs="Times New Roman"/>
          <w:szCs w:val="24"/>
        </w:rPr>
        <w:t xml:space="preserve"> models, including a description of each category of person who may input data into the models; and (4) a description of the back-testing procedures that that firm will use to review the accuracy of the </w:t>
      </w:r>
      <w:proofErr w:type="spellStart"/>
      <w:r w:rsidR="00FE67CD" w:rsidRPr="00FE67CD">
        <w:rPr>
          <w:rFonts w:cs="Times New Roman"/>
          <w:szCs w:val="24"/>
        </w:rPr>
        <w:t>VaR</w:t>
      </w:r>
      <w:proofErr w:type="spellEnd"/>
      <w:r w:rsidR="00FE67CD" w:rsidRPr="00FE67CD">
        <w:rPr>
          <w:rFonts w:cs="Times New Roman"/>
          <w:szCs w:val="24"/>
        </w:rPr>
        <w:t xml:space="preserve"> models.   In addition, under Rule 18a-1, a stand-alone SBSD authorized to use internal models would review and update the models it uses to compute market and credit risk, as well as </w:t>
      </w:r>
      <w:proofErr w:type="spellStart"/>
      <w:r w:rsidR="00FE67CD" w:rsidRPr="00FE67CD">
        <w:rPr>
          <w:rFonts w:cs="Times New Roman"/>
          <w:szCs w:val="24"/>
        </w:rPr>
        <w:t>backtest</w:t>
      </w:r>
      <w:proofErr w:type="spellEnd"/>
      <w:r w:rsidR="00FE67CD" w:rsidRPr="00FE67CD">
        <w:rPr>
          <w:rFonts w:cs="Times New Roman"/>
          <w:szCs w:val="24"/>
        </w:rPr>
        <w:t xml:space="preserve"> the models.</w:t>
      </w:r>
    </w:p>
    <w:p w:rsidR="00E46A20" w:rsidRDefault="000275AB" w:rsidP="00910477">
      <w:pPr>
        <w:spacing w:line="240" w:lineRule="auto"/>
        <w:rPr>
          <w:rFonts w:cs="Times New Roman"/>
          <w:szCs w:val="24"/>
        </w:rPr>
      </w:pPr>
      <w:r>
        <w:rPr>
          <w:rFonts w:cs="Times New Roman"/>
          <w:szCs w:val="24"/>
        </w:rPr>
        <w:tab/>
      </w:r>
      <w:r w:rsidR="00373C6D">
        <w:rPr>
          <w:rFonts w:cs="Times New Roman"/>
          <w:szCs w:val="24"/>
        </w:rPr>
        <w:t>Second,</w:t>
      </w:r>
      <w:r w:rsidR="00B92120">
        <w:rPr>
          <w:rFonts w:cs="Times New Roman"/>
          <w:szCs w:val="24"/>
        </w:rPr>
        <w:t xml:space="preserve"> under </w:t>
      </w:r>
      <w:r w:rsidR="00E46A20">
        <w:rPr>
          <w:rFonts w:cs="Times New Roman"/>
          <w:szCs w:val="24"/>
        </w:rPr>
        <w:t>Rule 1</w:t>
      </w:r>
      <w:r w:rsidR="00FE67CD">
        <w:rPr>
          <w:rFonts w:cs="Times New Roman"/>
          <w:szCs w:val="24"/>
        </w:rPr>
        <w:t>8a</w:t>
      </w:r>
      <w:r w:rsidR="00E46A20">
        <w:rPr>
          <w:rFonts w:cs="Times New Roman"/>
          <w:szCs w:val="24"/>
        </w:rPr>
        <w:t>-1</w:t>
      </w:r>
      <w:r w:rsidR="00B92120">
        <w:rPr>
          <w:rFonts w:cs="Times New Roman"/>
          <w:szCs w:val="24"/>
        </w:rPr>
        <w:t>,</w:t>
      </w:r>
      <w:r w:rsidR="00E46A20">
        <w:rPr>
          <w:rFonts w:cs="Times New Roman"/>
          <w:szCs w:val="24"/>
        </w:rPr>
        <w:t xml:space="preserve"> </w:t>
      </w:r>
      <w:r>
        <w:rPr>
          <w:rFonts w:cs="Times New Roman"/>
          <w:szCs w:val="24"/>
        </w:rPr>
        <w:t xml:space="preserve">stand-alone </w:t>
      </w:r>
      <w:r w:rsidR="00373C6D">
        <w:rPr>
          <w:rFonts w:cs="Times New Roman"/>
          <w:szCs w:val="24"/>
        </w:rPr>
        <w:t>SBSD</w:t>
      </w:r>
      <w:r w:rsidR="001C4B7D">
        <w:rPr>
          <w:rFonts w:cs="Times New Roman"/>
          <w:szCs w:val="24"/>
        </w:rPr>
        <w:t>s</w:t>
      </w:r>
      <w:r w:rsidR="00E46A20">
        <w:rPr>
          <w:rFonts w:cs="Times New Roman"/>
          <w:szCs w:val="24"/>
        </w:rPr>
        <w:t xml:space="preserve"> approved to use models </w:t>
      </w:r>
      <w:r w:rsidR="00B92120">
        <w:rPr>
          <w:rFonts w:cs="Times New Roman"/>
          <w:szCs w:val="24"/>
        </w:rPr>
        <w:t xml:space="preserve">to compute deductions for market and credit risk would be required to </w:t>
      </w:r>
      <w:r w:rsidR="00B60A81">
        <w:rPr>
          <w:rFonts w:cs="Times New Roman"/>
          <w:szCs w:val="24"/>
        </w:rPr>
        <w:t xml:space="preserve">perform </w:t>
      </w:r>
      <w:r w:rsidR="00B92120">
        <w:rPr>
          <w:rFonts w:cs="Times New Roman"/>
          <w:szCs w:val="24"/>
        </w:rPr>
        <w:t xml:space="preserve">a </w:t>
      </w:r>
      <w:r w:rsidR="00981998">
        <w:rPr>
          <w:rFonts w:cs="Times New Roman"/>
          <w:szCs w:val="24"/>
        </w:rPr>
        <w:t>liquidity stress test</w:t>
      </w:r>
      <w:r w:rsidR="00B92120">
        <w:rPr>
          <w:rFonts w:cs="Times New Roman"/>
          <w:szCs w:val="24"/>
        </w:rPr>
        <w:t xml:space="preserve"> at least monthly and, based on the results of that </w:t>
      </w:r>
      <w:r w:rsidR="001F0BA2">
        <w:rPr>
          <w:rFonts w:cs="Times New Roman"/>
          <w:szCs w:val="24"/>
        </w:rPr>
        <w:t>t</w:t>
      </w:r>
      <w:r w:rsidR="00B92120">
        <w:rPr>
          <w:rFonts w:cs="Times New Roman"/>
          <w:szCs w:val="24"/>
        </w:rPr>
        <w:t>est, maintain liquidity reserves to address funding needs</w:t>
      </w:r>
      <w:r w:rsidR="00981998">
        <w:rPr>
          <w:rFonts w:cs="Times New Roman"/>
          <w:szCs w:val="24"/>
        </w:rPr>
        <w:t xml:space="preserve">.  </w:t>
      </w:r>
      <w:r w:rsidR="006D054D">
        <w:rPr>
          <w:rFonts w:cs="Times New Roman"/>
          <w:szCs w:val="24"/>
        </w:rPr>
        <w:t>T</w:t>
      </w:r>
      <w:r w:rsidR="00981998">
        <w:rPr>
          <w:rFonts w:cs="Times New Roman"/>
          <w:szCs w:val="24"/>
        </w:rPr>
        <w:t xml:space="preserve">he result of the test </w:t>
      </w:r>
      <w:r w:rsidR="001F0BA2">
        <w:rPr>
          <w:rFonts w:cs="Times New Roman"/>
          <w:szCs w:val="24"/>
        </w:rPr>
        <w:t xml:space="preserve">would need </w:t>
      </w:r>
      <w:r w:rsidR="00981998">
        <w:rPr>
          <w:rFonts w:cs="Times New Roman"/>
          <w:szCs w:val="24"/>
        </w:rPr>
        <w:t>t</w:t>
      </w:r>
      <w:r w:rsidR="001F0BA2">
        <w:rPr>
          <w:rFonts w:cs="Times New Roman"/>
          <w:szCs w:val="24"/>
        </w:rPr>
        <w:t>o</w:t>
      </w:r>
      <w:r w:rsidR="00981998">
        <w:rPr>
          <w:rFonts w:cs="Times New Roman"/>
          <w:szCs w:val="24"/>
        </w:rPr>
        <w:t xml:space="preserve"> be provided within 10 business days to senior management that has the responsibility to oversee risk mana</w:t>
      </w:r>
      <w:r w:rsidR="00B60A81">
        <w:rPr>
          <w:rFonts w:cs="Times New Roman"/>
          <w:szCs w:val="24"/>
        </w:rPr>
        <w:t xml:space="preserve">gement of the </w:t>
      </w:r>
      <w:r w:rsidR="00373C6D">
        <w:rPr>
          <w:rFonts w:cs="Times New Roman"/>
          <w:szCs w:val="24"/>
        </w:rPr>
        <w:t>stand-alone SBSD</w:t>
      </w:r>
      <w:r w:rsidR="006D054D">
        <w:rPr>
          <w:rFonts w:cs="Times New Roman"/>
          <w:szCs w:val="24"/>
        </w:rPr>
        <w:t>.</w:t>
      </w:r>
      <w:r w:rsidR="00B60A81">
        <w:rPr>
          <w:rFonts w:cs="Times New Roman"/>
          <w:szCs w:val="24"/>
        </w:rPr>
        <w:t xml:space="preserve"> </w:t>
      </w:r>
      <w:r w:rsidR="006D054D">
        <w:rPr>
          <w:rFonts w:cs="Times New Roman"/>
          <w:szCs w:val="24"/>
        </w:rPr>
        <w:t xml:space="preserve"> </w:t>
      </w:r>
      <w:r w:rsidR="008F6E56">
        <w:rPr>
          <w:rFonts w:cs="Times New Roman"/>
          <w:szCs w:val="24"/>
        </w:rPr>
        <w:t>The assumptions underlying the liquidity stress test must be reviewed at least quarterly by senior management that has responsibility to oversee risk management at the stand-alone SBSD and at least annually by senior management of the stand-alone SBSD.  In addition, if such stand-alone SBSD is part of a larger consolidated entity using liquidity tests, the stand-alone SBSD must justify and document any differences between the assumptions used in their liquidity stress tests from those used in stress tests of the consolidated entity.  Furthermore, the s</w:t>
      </w:r>
      <w:r w:rsidR="00373C6D">
        <w:rPr>
          <w:rFonts w:cs="Times New Roman"/>
          <w:szCs w:val="24"/>
        </w:rPr>
        <w:t>tand</w:t>
      </w:r>
      <w:r w:rsidR="006D054D">
        <w:rPr>
          <w:rFonts w:cs="Times New Roman"/>
          <w:szCs w:val="24"/>
        </w:rPr>
        <w:t>-</w:t>
      </w:r>
      <w:r w:rsidR="00373C6D">
        <w:rPr>
          <w:rFonts w:cs="Times New Roman"/>
          <w:szCs w:val="24"/>
        </w:rPr>
        <w:t>alone SBSD</w:t>
      </w:r>
      <w:r w:rsidR="00076E90">
        <w:rPr>
          <w:rFonts w:cs="Times New Roman"/>
          <w:szCs w:val="24"/>
        </w:rPr>
        <w:t xml:space="preserve"> </w:t>
      </w:r>
      <w:r w:rsidR="008F6E56">
        <w:rPr>
          <w:rFonts w:cs="Times New Roman"/>
          <w:szCs w:val="24"/>
        </w:rPr>
        <w:t>would</w:t>
      </w:r>
      <w:r w:rsidR="00076E90">
        <w:rPr>
          <w:rFonts w:cs="Times New Roman"/>
          <w:szCs w:val="24"/>
        </w:rPr>
        <w:t xml:space="preserve"> </w:t>
      </w:r>
      <w:r w:rsidR="008F6E56">
        <w:rPr>
          <w:rFonts w:cs="Times New Roman"/>
          <w:szCs w:val="24"/>
        </w:rPr>
        <w:t xml:space="preserve">be required to establish a </w:t>
      </w:r>
      <w:r w:rsidR="00076E90">
        <w:rPr>
          <w:rFonts w:cs="Times New Roman"/>
          <w:szCs w:val="24"/>
        </w:rPr>
        <w:t>written contingen</w:t>
      </w:r>
      <w:r w:rsidR="001F0BA2">
        <w:rPr>
          <w:rFonts w:cs="Times New Roman"/>
          <w:szCs w:val="24"/>
        </w:rPr>
        <w:t>cy</w:t>
      </w:r>
      <w:r w:rsidR="00076E90">
        <w:rPr>
          <w:rFonts w:cs="Times New Roman"/>
          <w:szCs w:val="24"/>
        </w:rPr>
        <w:t xml:space="preserve"> funding plan</w:t>
      </w:r>
      <w:r w:rsidR="008F6E56">
        <w:rPr>
          <w:rFonts w:cs="Times New Roman"/>
          <w:szCs w:val="24"/>
        </w:rPr>
        <w:t>.  The plan would need to</w:t>
      </w:r>
      <w:r w:rsidR="00076E90">
        <w:rPr>
          <w:rFonts w:cs="Times New Roman"/>
          <w:szCs w:val="24"/>
        </w:rPr>
        <w:t xml:space="preserve"> address </w:t>
      </w:r>
      <w:r w:rsidR="008F6E56">
        <w:rPr>
          <w:rFonts w:cs="Times New Roman"/>
          <w:szCs w:val="24"/>
        </w:rPr>
        <w:t xml:space="preserve">the </w:t>
      </w:r>
      <w:r w:rsidR="00076E90">
        <w:rPr>
          <w:rFonts w:cs="Times New Roman"/>
          <w:szCs w:val="24"/>
        </w:rPr>
        <w:t xml:space="preserve">policies and </w:t>
      </w:r>
      <w:r w:rsidR="008F6E56">
        <w:rPr>
          <w:rFonts w:cs="Times New Roman"/>
          <w:szCs w:val="24"/>
        </w:rPr>
        <w:t xml:space="preserve">roles and responsibilities of relevant </w:t>
      </w:r>
      <w:r w:rsidR="00076E90">
        <w:rPr>
          <w:rFonts w:cs="Times New Roman"/>
          <w:szCs w:val="24"/>
        </w:rPr>
        <w:t xml:space="preserve">personnel for meeting </w:t>
      </w:r>
      <w:r w:rsidR="00995157">
        <w:rPr>
          <w:rFonts w:cs="Times New Roman"/>
          <w:szCs w:val="24"/>
        </w:rPr>
        <w:t xml:space="preserve">its liquidity </w:t>
      </w:r>
      <w:r w:rsidR="00995157">
        <w:rPr>
          <w:rFonts w:cs="Times New Roman"/>
          <w:szCs w:val="24"/>
        </w:rPr>
        <w:lastRenderedPageBreak/>
        <w:t>needs</w:t>
      </w:r>
      <w:r w:rsidR="008F6E56">
        <w:rPr>
          <w:rFonts w:cs="Times New Roman"/>
          <w:szCs w:val="24"/>
        </w:rPr>
        <w:t xml:space="preserve"> of the firm</w:t>
      </w:r>
      <w:r w:rsidR="00995157">
        <w:rPr>
          <w:rFonts w:cs="Times New Roman"/>
          <w:szCs w:val="24"/>
        </w:rPr>
        <w:t xml:space="preserve"> and communications </w:t>
      </w:r>
      <w:r w:rsidR="008F6E56">
        <w:rPr>
          <w:rFonts w:cs="Times New Roman"/>
          <w:szCs w:val="24"/>
        </w:rPr>
        <w:t xml:space="preserve">with the public and other market participants </w:t>
      </w:r>
      <w:r w:rsidR="00B60A81">
        <w:rPr>
          <w:rFonts w:cs="Times New Roman"/>
          <w:szCs w:val="24"/>
        </w:rPr>
        <w:t>during a liquidity stre</w:t>
      </w:r>
      <w:r w:rsidR="001C4B7D">
        <w:rPr>
          <w:rFonts w:cs="Times New Roman"/>
          <w:szCs w:val="24"/>
        </w:rPr>
        <w:t>ss event</w:t>
      </w:r>
      <w:r w:rsidR="006D054D">
        <w:rPr>
          <w:rFonts w:cs="Times New Roman"/>
          <w:szCs w:val="24"/>
        </w:rPr>
        <w:t>.</w:t>
      </w:r>
    </w:p>
    <w:p w:rsidR="000641ED" w:rsidRDefault="000641ED" w:rsidP="00910477">
      <w:pPr>
        <w:spacing w:line="240" w:lineRule="auto"/>
        <w:rPr>
          <w:rFonts w:cs="Times New Roman"/>
          <w:szCs w:val="24"/>
        </w:rPr>
      </w:pPr>
      <w:r>
        <w:rPr>
          <w:rFonts w:cs="Times New Roman"/>
          <w:szCs w:val="24"/>
        </w:rPr>
        <w:tab/>
      </w:r>
      <w:r w:rsidR="00373C6D">
        <w:rPr>
          <w:rFonts w:cs="Times New Roman"/>
          <w:szCs w:val="24"/>
        </w:rPr>
        <w:t>Thir</w:t>
      </w:r>
      <w:r w:rsidR="007B1D65">
        <w:rPr>
          <w:rFonts w:cs="Times New Roman"/>
          <w:szCs w:val="24"/>
        </w:rPr>
        <w:t xml:space="preserve">d, </w:t>
      </w:r>
      <w:r w:rsidR="009C3E75">
        <w:rPr>
          <w:rFonts w:cs="Times New Roman"/>
          <w:szCs w:val="24"/>
        </w:rPr>
        <w:t xml:space="preserve">under </w:t>
      </w:r>
      <w:r>
        <w:rPr>
          <w:rFonts w:cs="Times New Roman"/>
          <w:szCs w:val="24"/>
        </w:rPr>
        <w:t xml:space="preserve">Rule </w:t>
      </w:r>
      <w:r w:rsidR="00373C6D">
        <w:rPr>
          <w:rFonts w:cs="Times New Roman"/>
          <w:szCs w:val="24"/>
        </w:rPr>
        <w:t>18a</w:t>
      </w:r>
      <w:r>
        <w:rPr>
          <w:rFonts w:cs="Times New Roman"/>
          <w:szCs w:val="24"/>
        </w:rPr>
        <w:t>-1</w:t>
      </w:r>
      <w:r w:rsidR="009C3E75">
        <w:rPr>
          <w:rFonts w:cs="Times New Roman"/>
          <w:szCs w:val="24"/>
        </w:rPr>
        <w:t>,</w:t>
      </w:r>
      <w:r>
        <w:rPr>
          <w:rFonts w:cs="Times New Roman"/>
          <w:szCs w:val="24"/>
        </w:rPr>
        <w:t xml:space="preserve"> </w:t>
      </w:r>
      <w:r w:rsidR="00373C6D">
        <w:rPr>
          <w:rFonts w:cs="Times New Roman"/>
          <w:szCs w:val="24"/>
        </w:rPr>
        <w:t>stand-alone</w:t>
      </w:r>
      <w:r>
        <w:rPr>
          <w:rFonts w:cs="Times New Roman"/>
          <w:szCs w:val="24"/>
        </w:rPr>
        <w:t xml:space="preserve"> SBSDs </w:t>
      </w:r>
      <w:r w:rsidR="009C3E75">
        <w:rPr>
          <w:rFonts w:cs="Times New Roman"/>
          <w:szCs w:val="24"/>
        </w:rPr>
        <w:t xml:space="preserve">would be required </w:t>
      </w:r>
      <w:r>
        <w:rPr>
          <w:rFonts w:cs="Times New Roman"/>
          <w:szCs w:val="24"/>
        </w:rPr>
        <w:t xml:space="preserve">to </w:t>
      </w:r>
      <w:r w:rsidR="00E15403">
        <w:rPr>
          <w:rFonts w:cs="Times New Roman"/>
          <w:szCs w:val="24"/>
        </w:rPr>
        <w:t xml:space="preserve">comply with certain requirements of Rule 15c3-4 </w:t>
      </w:r>
      <w:proofErr w:type="gramStart"/>
      <w:r w:rsidR="00E15403">
        <w:rPr>
          <w:rFonts w:cs="Times New Roman"/>
          <w:szCs w:val="24"/>
        </w:rPr>
        <w:t>(17 CFR 240.15c3-4)</w:t>
      </w:r>
      <w:proofErr w:type="gramEnd"/>
      <w:r w:rsidR="00E15403">
        <w:rPr>
          <w:rFonts w:cs="Times New Roman"/>
          <w:szCs w:val="24"/>
        </w:rPr>
        <w:t xml:space="preserve"> (OMB Control Number </w:t>
      </w:r>
      <w:r w:rsidR="001F0BA2">
        <w:rPr>
          <w:rFonts w:cs="Times New Roman"/>
          <w:szCs w:val="24"/>
        </w:rPr>
        <w:t>3235</w:t>
      </w:r>
      <w:r w:rsidR="00E15403">
        <w:rPr>
          <w:rFonts w:cs="Times New Roman"/>
          <w:szCs w:val="24"/>
        </w:rPr>
        <w:t>-</w:t>
      </w:r>
      <w:r w:rsidR="001F0BA2">
        <w:rPr>
          <w:rFonts w:cs="Times New Roman"/>
          <w:szCs w:val="24"/>
        </w:rPr>
        <w:t>0497</w:t>
      </w:r>
      <w:r w:rsidR="00E15403">
        <w:rPr>
          <w:rFonts w:cs="Times New Roman"/>
          <w:szCs w:val="24"/>
        </w:rPr>
        <w:t xml:space="preserve">).  </w:t>
      </w:r>
      <w:r w:rsidR="00076E90">
        <w:rPr>
          <w:rFonts w:cs="Times New Roman"/>
          <w:szCs w:val="24"/>
        </w:rPr>
        <w:t xml:space="preserve">Rule 15c3-4 </w:t>
      </w:r>
      <w:r w:rsidR="009C3E75">
        <w:rPr>
          <w:rFonts w:cs="Times New Roman"/>
          <w:szCs w:val="24"/>
        </w:rPr>
        <w:t xml:space="preserve">requires OTC derivatives dealers and firms subject to its provisions to </w:t>
      </w:r>
      <w:r w:rsidR="00E15403">
        <w:rPr>
          <w:rFonts w:cs="Times New Roman"/>
          <w:szCs w:val="24"/>
        </w:rPr>
        <w:t>establish, document, and maintain a system of internal risk management controls to assist the firm in managing the risks associated with business activities, including market, credit, leverage, liquidity, legal</w:t>
      </w:r>
      <w:r w:rsidR="001F0BA2">
        <w:rPr>
          <w:rFonts w:cs="Times New Roman"/>
          <w:szCs w:val="24"/>
        </w:rPr>
        <w:t>,</w:t>
      </w:r>
      <w:r w:rsidR="00E15403">
        <w:rPr>
          <w:rFonts w:cs="Times New Roman"/>
          <w:szCs w:val="24"/>
        </w:rPr>
        <w:t xml:space="preserve"> and operational risks.</w:t>
      </w:r>
    </w:p>
    <w:p w:rsidR="001F0BA2" w:rsidRDefault="007B1D65" w:rsidP="00910477">
      <w:pPr>
        <w:spacing w:line="240" w:lineRule="auto"/>
        <w:rPr>
          <w:rFonts w:cs="Times New Roman"/>
          <w:szCs w:val="24"/>
        </w:rPr>
      </w:pPr>
      <w:r>
        <w:rPr>
          <w:rFonts w:cs="Times New Roman"/>
          <w:szCs w:val="24"/>
        </w:rPr>
        <w:tab/>
      </w:r>
      <w:r w:rsidR="00373C6D">
        <w:rPr>
          <w:rFonts w:cs="Times New Roman"/>
          <w:szCs w:val="24"/>
        </w:rPr>
        <w:t>Fourth</w:t>
      </w:r>
      <w:r>
        <w:rPr>
          <w:rFonts w:cs="Times New Roman"/>
          <w:szCs w:val="24"/>
        </w:rPr>
        <w:t xml:space="preserve">, </w:t>
      </w:r>
      <w:r w:rsidR="001F0BA2">
        <w:rPr>
          <w:rFonts w:cs="Times New Roman"/>
          <w:szCs w:val="24"/>
        </w:rPr>
        <w:t>for purposes of calculating “haircuts” on credit default swaps, Rule 18a-1 would require stand-alone SBSDs that are not using internal models to use a</w:t>
      </w:r>
      <w:r w:rsidR="009C3E75">
        <w:rPr>
          <w:rFonts w:cs="Times New Roman"/>
          <w:szCs w:val="24"/>
        </w:rPr>
        <w:t>n industry sector classification system that is documented and reasonable in terms of grouping types of companies with similar business acti</w:t>
      </w:r>
      <w:r w:rsidR="001F0BA2">
        <w:rPr>
          <w:rFonts w:cs="Times New Roman"/>
          <w:szCs w:val="24"/>
        </w:rPr>
        <w:t>vities and risk characteristics</w:t>
      </w:r>
      <w:r w:rsidR="009C3E75">
        <w:rPr>
          <w:rFonts w:cs="Times New Roman"/>
          <w:szCs w:val="24"/>
        </w:rPr>
        <w:t>.</w:t>
      </w:r>
    </w:p>
    <w:p w:rsidR="00373C6D" w:rsidRDefault="00373C6D" w:rsidP="001F0BA2">
      <w:pPr>
        <w:spacing w:line="240" w:lineRule="auto"/>
        <w:ind w:firstLine="720"/>
        <w:rPr>
          <w:rFonts w:cs="Times New Roman"/>
          <w:szCs w:val="24"/>
        </w:rPr>
      </w:pPr>
      <w:r>
        <w:rPr>
          <w:rFonts w:cs="Times New Roman"/>
          <w:szCs w:val="24"/>
        </w:rPr>
        <w:t xml:space="preserve">Fifth, </w:t>
      </w:r>
      <w:r w:rsidR="009C3E75">
        <w:rPr>
          <w:rFonts w:cs="Times New Roman"/>
          <w:szCs w:val="24"/>
        </w:rPr>
        <w:t xml:space="preserve">under </w:t>
      </w:r>
      <w:r>
        <w:rPr>
          <w:rFonts w:cs="Times New Roman"/>
          <w:szCs w:val="24"/>
        </w:rPr>
        <w:t>Rule 18a-1</w:t>
      </w:r>
      <w:r w:rsidR="009C3E75">
        <w:rPr>
          <w:rFonts w:cs="Times New Roman"/>
          <w:szCs w:val="24"/>
        </w:rPr>
        <w:t>,</w:t>
      </w:r>
      <w:r>
        <w:rPr>
          <w:rFonts w:cs="Times New Roman"/>
          <w:szCs w:val="24"/>
        </w:rPr>
        <w:t xml:space="preserve"> stand-alone SBSDs </w:t>
      </w:r>
      <w:r w:rsidR="009C3E75">
        <w:rPr>
          <w:rFonts w:cs="Times New Roman"/>
          <w:szCs w:val="24"/>
        </w:rPr>
        <w:t xml:space="preserve">would be required </w:t>
      </w:r>
      <w:r>
        <w:rPr>
          <w:rFonts w:cs="Times New Roman"/>
          <w:szCs w:val="24"/>
        </w:rPr>
        <w:t>to provide the Commission with certain written notices with respect to equity withdrawals.</w:t>
      </w:r>
    </w:p>
    <w:p w:rsidR="00373C6D" w:rsidRDefault="00373C6D" w:rsidP="00910477">
      <w:pPr>
        <w:spacing w:line="240" w:lineRule="auto"/>
        <w:rPr>
          <w:rFonts w:cs="Times New Roman"/>
          <w:szCs w:val="24"/>
        </w:rPr>
      </w:pPr>
      <w:r>
        <w:rPr>
          <w:rFonts w:cs="Times New Roman"/>
          <w:szCs w:val="24"/>
        </w:rPr>
        <w:tab/>
        <w:t xml:space="preserve">Finally, </w:t>
      </w:r>
      <w:r w:rsidR="009C3E75">
        <w:rPr>
          <w:rFonts w:cs="Times New Roman"/>
          <w:szCs w:val="24"/>
        </w:rPr>
        <w:t xml:space="preserve">under </w:t>
      </w:r>
      <w:r>
        <w:rPr>
          <w:rFonts w:cs="Times New Roman"/>
          <w:szCs w:val="24"/>
        </w:rPr>
        <w:t xml:space="preserve">Rule </w:t>
      </w:r>
      <w:r w:rsidRPr="00344CB9">
        <w:rPr>
          <w:rFonts w:cs="Times New Roman"/>
          <w:bCs/>
          <w:color w:val="000000"/>
          <w:szCs w:val="24"/>
        </w:rPr>
        <w:t>18a-1</w:t>
      </w:r>
      <w:r w:rsidR="009C3E75">
        <w:rPr>
          <w:rFonts w:cs="Times New Roman"/>
          <w:bCs/>
          <w:color w:val="000000"/>
          <w:szCs w:val="24"/>
        </w:rPr>
        <w:t>,</w:t>
      </w:r>
      <w:r>
        <w:rPr>
          <w:rFonts w:cs="Times New Roman"/>
          <w:bCs/>
          <w:color w:val="000000"/>
          <w:szCs w:val="24"/>
        </w:rPr>
        <w:t xml:space="preserve"> </w:t>
      </w:r>
      <w:r w:rsidRPr="00344CB9">
        <w:rPr>
          <w:rFonts w:cs="Times New Roman"/>
          <w:bCs/>
          <w:color w:val="000000"/>
          <w:szCs w:val="24"/>
        </w:rPr>
        <w:t>stand-alone SBSD</w:t>
      </w:r>
      <w:r>
        <w:rPr>
          <w:rFonts w:cs="Times New Roman"/>
          <w:bCs/>
          <w:color w:val="000000"/>
          <w:szCs w:val="24"/>
        </w:rPr>
        <w:t xml:space="preserve">s </w:t>
      </w:r>
      <w:r w:rsidR="009C3E75">
        <w:rPr>
          <w:rFonts w:cs="Times New Roman"/>
          <w:bCs/>
          <w:color w:val="000000"/>
          <w:szCs w:val="24"/>
        </w:rPr>
        <w:t xml:space="preserve">would be required </w:t>
      </w:r>
      <w:r w:rsidRPr="00344CB9">
        <w:rPr>
          <w:rFonts w:cs="Times New Roman"/>
          <w:bCs/>
          <w:color w:val="000000"/>
          <w:szCs w:val="24"/>
        </w:rPr>
        <w:t xml:space="preserve">to file </w:t>
      </w:r>
      <w:r>
        <w:rPr>
          <w:rFonts w:cs="Times New Roman"/>
          <w:bCs/>
          <w:color w:val="000000"/>
          <w:szCs w:val="24"/>
        </w:rPr>
        <w:t xml:space="preserve">with the Commission </w:t>
      </w:r>
      <w:r w:rsidRPr="00344CB9">
        <w:rPr>
          <w:rFonts w:cs="Times New Roman"/>
          <w:bCs/>
          <w:color w:val="000000"/>
          <w:szCs w:val="24"/>
        </w:rPr>
        <w:t xml:space="preserve">two copies of any proposed subordinated loan agreement (including nonconforming subordinated loan agreements) at least 30 days prior to the proposed execution date of the agreement. </w:t>
      </w:r>
      <w:r>
        <w:rPr>
          <w:rFonts w:cs="Times New Roman"/>
          <w:bCs/>
          <w:color w:val="000000"/>
          <w:szCs w:val="24"/>
        </w:rPr>
        <w:t xml:space="preserve"> The rule would also require an SBSD to file with the Commission a statement setting forth the name and address of the lender, the business relationship of the lender to the SBSD, and whether the SBSD carried an account for the lender effecting transactions in security-based swaps at or about the time the proposed agreement was filed.</w:t>
      </w:r>
    </w:p>
    <w:p w:rsidR="00767EA7" w:rsidRDefault="00767EA7" w:rsidP="00910477">
      <w:pPr>
        <w:pStyle w:val="Heading2"/>
        <w:spacing w:line="240" w:lineRule="auto"/>
      </w:pPr>
      <w:r>
        <w:tab/>
        <w:t>2.</w:t>
      </w:r>
      <w:r>
        <w:tab/>
        <w:t>Purpose and Use of the Information Collection</w:t>
      </w:r>
    </w:p>
    <w:p w:rsidR="00995157" w:rsidRDefault="00995157" w:rsidP="00910477">
      <w:pPr>
        <w:spacing w:line="240" w:lineRule="auto"/>
      </w:pPr>
      <w:r>
        <w:tab/>
      </w:r>
      <w:r w:rsidR="009C3E75">
        <w:t>The requirements in</w:t>
      </w:r>
      <w:r>
        <w:t xml:space="preserve"> Rule 1</w:t>
      </w:r>
      <w:r w:rsidR="00373C6D">
        <w:t>8a</w:t>
      </w:r>
      <w:r>
        <w:t xml:space="preserve">-1 </w:t>
      </w:r>
      <w:r w:rsidR="001F0BA2">
        <w:t>would be</w:t>
      </w:r>
      <w:r>
        <w:t xml:space="preserve"> </w:t>
      </w:r>
      <w:r w:rsidR="009C3E75">
        <w:t xml:space="preserve">an </w:t>
      </w:r>
      <w:r>
        <w:t xml:space="preserve">integral part of the Commission’s financial responsibility program for </w:t>
      </w:r>
      <w:r w:rsidR="009C3E75">
        <w:t xml:space="preserve">stand-alone </w:t>
      </w:r>
      <w:r>
        <w:t xml:space="preserve">SBSDs.  The program is designed to ensure that </w:t>
      </w:r>
      <w:r w:rsidR="009C3E75">
        <w:t xml:space="preserve">stand-alone </w:t>
      </w:r>
      <w:r>
        <w:t xml:space="preserve">SBSDs maintain sufficient liquidity at all times to meet all </w:t>
      </w:r>
      <w:r w:rsidR="009C3E75">
        <w:t xml:space="preserve">unsubordinated obligations </w:t>
      </w:r>
      <w:r>
        <w:t>of their customer</w:t>
      </w:r>
      <w:r w:rsidR="009C3E75">
        <w:t>s</w:t>
      </w:r>
      <w:r>
        <w:t xml:space="preserve"> and counterpart</w:t>
      </w:r>
      <w:r w:rsidR="009C3E75">
        <w:t>ies</w:t>
      </w:r>
      <w:r>
        <w:t xml:space="preserve"> and, </w:t>
      </w:r>
      <w:r w:rsidR="00134396">
        <w:t xml:space="preserve">should a </w:t>
      </w:r>
      <w:r w:rsidR="00373C6D">
        <w:t xml:space="preserve">nonbank </w:t>
      </w:r>
      <w:r w:rsidR="00134396">
        <w:t>SBSD fail</w:t>
      </w:r>
      <w:r>
        <w:t xml:space="preserve">, </w:t>
      </w:r>
      <w:r w:rsidR="00134396">
        <w:t xml:space="preserve">that </w:t>
      </w:r>
      <w:r>
        <w:t xml:space="preserve">there are sufficient </w:t>
      </w:r>
      <w:r w:rsidR="009C3E75">
        <w:t xml:space="preserve">resources </w:t>
      </w:r>
      <w:r>
        <w:t xml:space="preserve">for an orderly liquidation.  These information collections facilitate the monitoring of the financial condition of </w:t>
      </w:r>
      <w:r w:rsidR="00373C6D">
        <w:t>nonbank</w:t>
      </w:r>
      <w:r>
        <w:t xml:space="preserve"> SBSDs by the Commission.</w:t>
      </w:r>
    </w:p>
    <w:p w:rsidR="00767EA7" w:rsidRDefault="00995157" w:rsidP="00910477">
      <w:pPr>
        <w:spacing w:line="240" w:lineRule="auto"/>
      </w:pPr>
      <w:r>
        <w:tab/>
        <w:t xml:space="preserve">Furthermore, the </w:t>
      </w:r>
      <w:r w:rsidR="00733DF8">
        <w:t xml:space="preserve">program is designed to protect the financial stability of the U.S. financial and banking system from the failure of a given </w:t>
      </w:r>
      <w:r w:rsidR="009C3E75">
        <w:t xml:space="preserve">stand-alone </w:t>
      </w:r>
      <w:r w:rsidR="00733DF8">
        <w:t xml:space="preserve">SBSD.  The information collections under Rule </w:t>
      </w:r>
      <w:r w:rsidR="001463D7">
        <w:t>18a</w:t>
      </w:r>
      <w:r w:rsidR="00733DF8">
        <w:t xml:space="preserve">-1 provide the Commission with visibility </w:t>
      </w:r>
      <w:r w:rsidR="009C3E75">
        <w:t xml:space="preserve">into </w:t>
      </w:r>
      <w:r w:rsidR="00733DF8">
        <w:t xml:space="preserve">the liquidity and market risk profiles of </w:t>
      </w:r>
      <w:r w:rsidR="009C3E75">
        <w:t xml:space="preserve">stand-alone </w:t>
      </w:r>
      <w:r w:rsidR="00733DF8">
        <w:t xml:space="preserve">SBSDs, as well as meaningful </w:t>
      </w:r>
      <w:r w:rsidR="00E82337">
        <w:t>plans on</w:t>
      </w:r>
      <w:r w:rsidR="00733DF8">
        <w:t xml:space="preserve"> how </w:t>
      </w:r>
      <w:r w:rsidR="009C3E75">
        <w:t xml:space="preserve">stand-alone </w:t>
      </w:r>
      <w:r w:rsidR="00733DF8">
        <w:t xml:space="preserve">SBSDs </w:t>
      </w:r>
      <w:r w:rsidR="00E82337">
        <w:t>intend to manage</w:t>
      </w:r>
      <w:r w:rsidR="00733DF8">
        <w:t xml:space="preserve"> liquidity </w:t>
      </w:r>
      <w:r w:rsidR="009C3E75">
        <w:t xml:space="preserve">stresses </w:t>
      </w:r>
      <w:r w:rsidR="00733DF8">
        <w:t xml:space="preserve">and </w:t>
      </w:r>
      <w:r w:rsidR="009C3E75">
        <w:t>other risks</w:t>
      </w:r>
      <w:r w:rsidR="00733DF8">
        <w:t>.</w:t>
      </w:r>
    </w:p>
    <w:p w:rsidR="00E82337" w:rsidRDefault="00134396" w:rsidP="00910477">
      <w:pPr>
        <w:pStyle w:val="Heading2"/>
        <w:spacing w:line="240" w:lineRule="auto"/>
      </w:pPr>
      <w:r>
        <w:tab/>
        <w:t>3.</w:t>
      </w:r>
      <w:r>
        <w:tab/>
        <w:t>Consideration Given to Information Technology</w:t>
      </w:r>
    </w:p>
    <w:p w:rsidR="00134396" w:rsidRDefault="00B60A81" w:rsidP="00910477">
      <w:pPr>
        <w:spacing w:line="240" w:lineRule="auto"/>
      </w:pPr>
      <w:r>
        <w:tab/>
        <w:t>Th</w:t>
      </w:r>
      <w:r w:rsidR="00AD1C76">
        <w:t xml:space="preserve">e information collections </w:t>
      </w:r>
      <w:r w:rsidR="001F0BA2">
        <w:t>would</w:t>
      </w:r>
      <w:r w:rsidR="00AD1C76">
        <w:t xml:space="preserve"> not require that </w:t>
      </w:r>
      <w:r w:rsidR="00675B05">
        <w:t>respondent</w:t>
      </w:r>
      <w:r w:rsidR="00555F8F">
        <w:t>s use any specific</w:t>
      </w:r>
      <w:r w:rsidR="00AD1C76">
        <w:t xml:space="preserve"> information technology system.  </w:t>
      </w:r>
      <w:r w:rsidR="00555F8F">
        <w:t>The other information collections involve written</w:t>
      </w:r>
      <w:r w:rsidR="001463D7">
        <w:t xml:space="preserve"> notices, agreements,</w:t>
      </w:r>
      <w:r w:rsidR="00555F8F">
        <w:t xml:space="preserve"> plans</w:t>
      </w:r>
      <w:r w:rsidR="001463D7">
        <w:t>,</w:t>
      </w:r>
      <w:r w:rsidR="00555F8F">
        <w:t xml:space="preserve"> and procedures, and </w:t>
      </w:r>
      <w:r w:rsidR="001C4B7D">
        <w:t xml:space="preserve">would not benefit from </w:t>
      </w:r>
      <w:r w:rsidR="00555F8F">
        <w:t>specialized information technology.</w:t>
      </w:r>
    </w:p>
    <w:p w:rsidR="00555F8F" w:rsidRDefault="00555F8F" w:rsidP="00910477">
      <w:pPr>
        <w:pStyle w:val="Heading2"/>
        <w:spacing w:line="240" w:lineRule="auto"/>
      </w:pPr>
      <w:r>
        <w:lastRenderedPageBreak/>
        <w:tab/>
        <w:t>4.</w:t>
      </w:r>
      <w:r>
        <w:tab/>
        <w:t>Duplication</w:t>
      </w:r>
    </w:p>
    <w:p w:rsidR="00555F8F" w:rsidRDefault="00555F8F" w:rsidP="00910477">
      <w:pPr>
        <w:spacing w:line="240" w:lineRule="auto"/>
      </w:pPr>
      <w:r>
        <w:tab/>
      </w:r>
      <w:r w:rsidR="009B373B">
        <w:t xml:space="preserve">We are not aware </w:t>
      </w:r>
      <w:r w:rsidR="003E401B">
        <w:t>that this information collection duplicates any existing information collection.</w:t>
      </w:r>
    </w:p>
    <w:p w:rsidR="009B373B" w:rsidRDefault="009B373B" w:rsidP="00910477">
      <w:pPr>
        <w:pStyle w:val="Heading2"/>
        <w:spacing w:line="240" w:lineRule="auto"/>
      </w:pPr>
      <w:r>
        <w:tab/>
        <w:t>5.</w:t>
      </w:r>
      <w:r>
        <w:tab/>
        <w:t>Effect on Small Entities</w:t>
      </w:r>
    </w:p>
    <w:p w:rsidR="009B373B" w:rsidRDefault="009B373B" w:rsidP="00910477">
      <w:pPr>
        <w:spacing w:line="240" w:lineRule="auto"/>
      </w:pPr>
      <w:r>
        <w:tab/>
        <w:t>The information collections required under Rule 1</w:t>
      </w:r>
      <w:r w:rsidR="001463D7">
        <w:t>8a</w:t>
      </w:r>
      <w:r w:rsidR="001F0BA2">
        <w:t>-1 would</w:t>
      </w:r>
      <w:r>
        <w:t xml:space="preserve"> not place burdens on small entities.  The </w:t>
      </w:r>
      <w:r w:rsidR="009C3E75">
        <w:t>stand-alone SBSDs subject to the rule are not expected to be small entities</w:t>
      </w:r>
      <w:r w:rsidR="001D546A">
        <w:t>.</w:t>
      </w:r>
    </w:p>
    <w:p w:rsidR="001D546A" w:rsidRDefault="001D546A" w:rsidP="00910477">
      <w:pPr>
        <w:pStyle w:val="Heading2"/>
        <w:spacing w:line="240" w:lineRule="auto"/>
      </w:pPr>
      <w:r>
        <w:tab/>
        <w:t>6.</w:t>
      </w:r>
      <w:r>
        <w:tab/>
        <w:t>Consequences of Not Conducting Collection</w:t>
      </w:r>
    </w:p>
    <w:p w:rsidR="001D546A" w:rsidRDefault="001D546A" w:rsidP="00910477">
      <w:pPr>
        <w:spacing w:line="240" w:lineRule="auto"/>
      </w:pPr>
      <w:r>
        <w:tab/>
        <w:t>If the required information collections were not conducted or were conducted less frequently, the protection afforded to investors and the U.S. financial and banking system would be diminished.</w:t>
      </w:r>
    </w:p>
    <w:p w:rsidR="001D546A" w:rsidRDefault="00B226EA" w:rsidP="00910477">
      <w:pPr>
        <w:pStyle w:val="Heading2"/>
        <w:spacing w:line="240" w:lineRule="auto"/>
      </w:pPr>
      <w:r>
        <w:tab/>
        <w:t>7.</w:t>
      </w:r>
      <w:r>
        <w:tab/>
        <w:t>Inconsistencies with Guidelines in 5 CFR 1320.5(d</w:t>
      </w:r>
      <w:proofErr w:type="gramStart"/>
      <w:r>
        <w:t>)(</w:t>
      </w:r>
      <w:proofErr w:type="gramEnd"/>
      <w:r>
        <w:t>2)</w:t>
      </w:r>
    </w:p>
    <w:p w:rsidR="00B226EA" w:rsidRDefault="00B226EA" w:rsidP="00910477">
      <w:pPr>
        <w:spacing w:line="240" w:lineRule="auto"/>
      </w:pPr>
      <w:r>
        <w:tab/>
        <w:t>There are no special circumstances.  This collection is consistent with the guidelines in 5 CFR 1320.5(d</w:t>
      </w:r>
      <w:proofErr w:type="gramStart"/>
      <w:r>
        <w:t>)(</w:t>
      </w:r>
      <w:proofErr w:type="gramEnd"/>
      <w:r>
        <w:t>2).</w:t>
      </w:r>
    </w:p>
    <w:p w:rsidR="00B226EA" w:rsidRDefault="00B226EA" w:rsidP="00910477">
      <w:pPr>
        <w:pStyle w:val="Heading2"/>
        <w:spacing w:line="240" w:lineRule="auto"/>
      </w:pPr>
      <w:r>
        <w:tab/>
        <w:t>8.</w:t>
      </w:r>
      <w:r>
        <w:tab/>
        <w:t xml:space="preserve">Consultations </w:t>
      </w:r>
      <w:proofErr w:type="gramStart"/>
      <w:r>
        <w:t>Outside</w:t>
      </w:r>
      <w:proofErr w:type="gramEnd"/>
      <w:r>
        <w:t xml:space="preserve"> the Agency</w:t>
      </w:r>
    </w:p>
    <w:p w:rsidR="00B226EA" w:rsidRDefault="00B226EA" w:rsidP="00910477">
      <w:pPr>
        <w:spacing w:line="240" w:lineRule="auto"/>
      </w:pPr>
      <w:r>
        <w:tab/>
        <w:t>The Commission has issued a release soliciting comment on the new “collection of information” requirements and associated paperwork burdens.</w:t>
      </w:r>
      <w:r w:rsidR="001F0BA2">
        <w:rPr>
          <w:rStyle w:val="FootnoteReference"/>
        </w:rPr>
        <w:footnoteReference w:id="2"/>
      </w:r>
      <w:r>
        <w:t xml:space="preserve">  A copy of the release is attached.  Comments on Commission releases are generally received from registrants, investors, and other market participants.  In addition, the Commission and staff participate </w:t>
      </w:r>
      <w:r w:rsidR="00580FDC">
        <w:t>in ongoing dialogue with representatives of various market participants through public conferences, meetings</w:t>
      </w:r>
      <w:r w:rsidR="001F0BA2">
        <w:t>,</w:t>
      </w:r>
      <w:r w:rsidR="00580FDC">
        <w:t xml:space="preserve"> and informal exchanges.  Any comments received on this proposed rulemaking will be posted on the Commission’s public website, and made available through </w:t>
      </w:r>
      <w:hyperlink r:id="rId9" w:history="1">
        <w:r w:rsidR="001527D7" w:rsidRPr="00F2033F">
          <w:rPr>
            <w:rStyle w:val="Hyperlink"/>
          </w:rPr>
          <w:t xml:space="preserve">http://www.sec.gov/comments/s7-08-12/s70812.shtml.  </w:t>
        </w:r>
      </w:hyperlink>
      <w:r w:rsidR="00580FDC">
        <w:t>The Commission will consider all comments received prior to publishing the final rule, and will explain in any adopting release how the final rule responds to such comments, in accordance with 5 C.F.R. 1320.11(f).</w:t>
      </w:r>
    </w:p>
    <w:p w:rsidR="00580FDC" w:rsidRDefault="00580FDC" w:rsidP="00910477">
      <w:pPr>
        <w:pStyle w:val="Heading2"/>
        <w:spacing w:line="240" w:lineRule="auto"/>
      </w:pPr>
      <w:r>
        <w:tab/>
        <w:t>9.</w:t>
      </w:r>
      <w:r>
        <w:tab/>
        <w:t>Payment or Gift</w:t>
      </w:r>
    </w:p>
    <w:p w:rsidR="00580FDC" w:rsidRDefault="00580FDC" w:rsidP="00910477">
      <w:pPr>
        <w:spacing w:line="240" w:lineRule="auto"/>
      </w:pPr>
      <w:r>
        <w:tab/>
        <w:t>No payment or gift is provided to respondents.</w:t>
      </w:r>
    </w:p>
    <w:p w:rsidR="00580FDC" w:rsidRDefault="00580FDC" w:rsidP="00910477">
      <w:pPr>
        <w:pStyle w:val="Heading2"/>
        <w:spacing w:line="240" w:lineRule="auto"/>
      </w:pPr>
      <w:r>
        <w:tab/>
        <w:t>10.</w:t>
      </w:r>
      <w:r>
        <w:tab/>
        <w:t>Confidentiality</w:t>
      </w:r>
    </w:p>
    <w:p w:rsidR="00580FDC" w:rsidRDefault="00580FDC" w:rsidP="00910477">
      <w:pPr>
        <w:spacing w:line="240" w:lineRule="auto"/>
      </w:pPr>
      <w:r>
        <w:tab/>
        <w:t>The information collected by the Commission under Rule 1</w:t>
      </w:r>
      <w:r w:rsidR="00E23891">
        <w:t>8a</w:t>
      </w:r>
      <w:r w:rsidR="001F0BA2">
        <w:t xml:space="preserve">-1 would be </w:t>
      </w:r>
      <w:r>
        <w:t xml:space="preserve">kept confidential to the extent permitted by the Freedom of Information Act (5 U.S.C. § 552 </w:t>
      </w:r>
      <w:r>
        <w:rPr>
          <w:i/>
        </w:rPr>
        <w:t>et seq.</w:t>
      </w:r>
      <w:r>
        <w:t>).</w:t>
      </w:r>
    </w:p>
    <w:p w:rsidR="00580FDC" w:rsidRDefault="00580FDC" w:rsidP="00910477">
      <w:pPr>
        <w:pStyle w:val="Heading2"/>
        <w:spacing w:line="240" w:lineRule="auto"/>
      </w:pPr>
      <w:r>
        <w:tab/>
        <w:t>11.</w:t>
      </w:r>
      <w:r>
        <w:tab/>
        <w:t>Sensitive Questions</w:t>
      </w:r>
    </w:p>
    <w:p w:rsidR="00580FDC" w:rsidRDefault="00580FDC" w:rsidP="00910477">
      <w:pPr>
        <w:spacing w:line="240" w:lineRule="auto"/>
      </w:pPr>
      <w:r>
        <w:tab/>
        <w:t>No information of a sensitive nature is required.</w:t>
      </w:r>
    </w:p>
    <w:p w:rsidR="00580FDC" w:rsidRDefault="00580FDC" w:rsidP="00910477">
      <w:pPr>
        <w:pStyle w:val="Heading2"/>
        <w:spacing w:line="240" w:lineRule="auto"/>
      </w:pPr>
      <w:r>
        <w:lastRenderedPageBreak/>
        <w:tab/>
        <w:t>12.</w:t>
      </w:r>
      <w:r>
        <w:tab/>
        <w:t>Burden of Information Collection</w:t>
      </w:r>
    </w:p>
    <w:p w:rsidR="00AF247C" w:rsidRDefault="00AF247C" w:rsidP="00910477">
      <w:pPr>
        <w:spacing w:line="240" w:lineRule="auto"/>
      </w:pPr>
      <w:r>
        <w:tab/>
      </w:r>
      <w:r w:rsidRPr="00C41F5E">
        <w:t>The staff estimates that the Rule 18a-1 will require in total, on an industry-wide basis, (1) a one-time burden of 23,700 recordkeeping hours and 180 reporting hours, and (2) an annual burden of 33,933 recordkeeping hours and 94.5 reporting hours.</w:t>
      </w:r>
    </w:p>
    <w:p w:rsidR="009301AB" w:rsidRPr="009301AB" w:rsidRDefault="009301AB" w:rsidP="00910477">
      <w:pPr>
        <w:spacing w:line="240" w:lineRule="auto"/>
        <w:rPr>
          <w:u w:val="single"/>
        </w:rPr>
      </w:pPr>
      <w:r>
        <w:tab/>
      </w:r>
      <w:proofErr w:type="spellStart"/>
      <w:r>
        <w:rPr>
          <w:u w:val="single"/>
        </w:rPr>
        <w:t>VaR</w:t>
      </w:r>
      <w:proofErr w:type="spellEnd"/>
      <w:r>
        <w:rPr>
          <w:u w:val="single"/>
        </w:rPr>
        <w:t xml:space="preserve"> Models</w:t>
      </w:r>
    </w:p>
    <w:p w:rsidR="00012B49" w:rsidRDefault="00B90E80" w:rsidP="00910477">
      <w:pPr>
        <w:spacing w:line="240" w:lineRule="auto"/>
      </w:pPr>
      <w:r>
        <w:tab/>
      </w:r>
      <w:r w:rsidR="0055388E">
        <w:t>The staff estimates that 6 s</w:t>
      </w:r>
      <w:r w:rsidR="00012B49">
        <w:t xml:space="preserve">tand-alone SBSDs </w:t>
      </w:r>
      <w:r w:rsidR="00223168">
        <w:t xml:space="preserve">that </w:t>
      </w:r>
      <w:r w:rsidR="00012B49">
        <w:t xml:space="preserve">elect to use internal models to compute net capital must first </w:t>
      </w:r>
      <w:r w:rsidR="00BA55F1">
        <w:t>have</w:t>
      </w:r>
      <w:r w:rsidR="00012B49">
        <w:t xml:space="preserve"> an internal </w:t>
      </w:r>
      <w:proofErr w:type="spellStart"/>
      <w:r w:rsidR="00012B49">
        <w:t>VaR</w:t>
      </w:r>
      <w:proofErr w:type="spellEnd"/>
      <w:r w:rsidR="00012B49">
        <w:t xml:space="preserve"> model and submit </w:t>
      </w:r>
      <w:r w:rsidR="00BA55F1">
        <w:t>information relating to the</w:t>
      </w:r>
      <w:r w:rsidR="00012B49">
        <w:t xml:space="preserve"> model along with its application to the Commission pursu</w:t>
      </w:r>
      <w:r w:rsidR="00BA55F1">
        <w:t>ant to Rule 18a-1.  Based on</w:t>
      </w:r>
      <w:r w:rsidR="00012B49">
        <w:t xml:space="preserve"> past experience with broker-dealers that applied to use internal models under Rule 15c3-1 and related Appendix E, the Commission staff estimates that stand-alone SBSDs would spend approximate</w:t>
      </w:r>
      <w:r w:rsidR="00EA4723">
        <w:t>ly</w:t>
      </w:r>
      <w:r w:rsidR="00012B49">
        <w:t xml:space="preserve"> </w:t>
      </w:r>
      <w:r w:rsidR="00B87A62">
        <w:t>750</w:t>
      </w:r>
      <w:r w:rsidR="00012B49">
        <w:t xml:space="preserve"> hours </w:t>
      </w:r>
      <w:r w:rsidR="007713A6">
        <w:t xml:space="preserve">to </w:t>
      </w:r>
      <w:r w:rsidR="00012B49">
        <w:t>create its model and risk control systems, as well as compiling its application for approval to use the model</w:t>
      </w:r>
      <w:r w:rsidR="0055388E">
        <w:t>.  The staff estimates that 90% of the hours will be spent developing the model and the remaining 10% will be spent providing information about the model to the Commission</w:t>
      </w:r>
      <w:r w:rsidR="00223168">
        <w:t xml:space="preserve"> resulting </w:t>
      </w:r>
      <w:r w:rsidR="00012B49">
        <w:t xml:space="preserve">in a one-time industry-wide hours burden of </w:t>
      </w:r>
      <w:r w:rsidR="0055388E">
        <w:t xml:space="preserve">675 </w:t>
      </w:r>
      <w:r w:rsidR="004E3872">
        <w:t xml:space="preserve">recordkeeping and </w:t>
      </w:r>
      <w:r w:rsidR="0055388E">
        <w:t>75</w:t>
      </w:r>
      <w:r w:rsidR="00B87A62">
        <w:t xml:space="preserve"> </w:t>
      </w:r>
      <w:r w:rsidR="00D23E67">
        <w:t xml:space="preserve">reporting </w:t>
      </w:r>
      <w:r w:rsidR="00012B49">
        <w:t>hours</w:t>
      </w:r>
      <w:r w:rsidR="0055388E">
        <w:t xml:space="preserve"> </w:t>
      </w:r>
      <w:r w:rsidR="00223168">
        <w:t>stand-alone SBSD.</w:t>
      </w:r>
      <w:r w:rsidR="00012B49">
        <w:rPr>
          <w:rStyle w:val="FootnoteReference"/>
        </w:rPr>
        <w:footnoteReference w:id="3"/>
      </w:r>
    </w:p>
    <w:p w:rsidR="00D23E67" w:rsidRDefault="00D73339">
      <w:pPr>
        <w:spacing w:line="240" w:lineRule="auto"/>
      </w:pPr>
      <w:r>
        <w:tab/>
        <w:t xml:space="preserve">The staff estimates that these firms would then spend </w:t>
      </w:r>
      <w:r w:rsidR="00B87A62">
        <w:t>4,200</w:t>
      </w:r>
      <w:r>
        <w:t xml:space="preserve"> hours per year reviewing and updating its </w:t>
      </w:r>
      <w:proofErr w:type="spellStart"/>
      <w:r>
        <w:t>VaR</w:t>
      </w:r>
      <w:proofErr w:type="spellEnd"/>
      <w:r>
        <w:t xml:space="preserve"> models, and also </w:t>
      </w:r>
      <w:r w:rsidR="00B87A62">
        <w:t xml:space="preserve">480 </w:t>
      </w:r>
      <w:r>
        <w:t xml:space="preserve">hours per year </w:t>
      </w:r>
      <w:proofErr w:type="spellStart"/>
      <w:r>
        <w:t>backtesting</w:t>
      </w:r>
      <w:proofErr w:type="spellEnd"/>
      <w:r>
        <w:t xml:space="preserve"> those models against available data.  That results in a total annual industry-wide </w:t>
      </w:r>
      <w:proofErr w:type="gramStart"/>
      <w:r>
        <w:t>hours</w:t>
      </w:r>
      <w:proofErr w:type="gramEnd"/>
      <w:r>
        <w:t xml:space="preserve"> burden of </w:t>
      </w:r>
      <w:r w:rsidR="00B87A62">
        <w:t>28,080</w:t>
      </w:r>
      <w:r>
        <w:t xml:space="preserve"> </w:t>
      </w:r>
      <w:r w:rsidR="004E3872">
        <w:t xml:space="preserve">recordkeeping </w:t>
      </w:r>
      <w:r>
        <w:t>hours.</w:t>
      </w:r>
      <w:r w:rsidR="00C41F5E">
        <w:rPr>
          <w:rStyle w:val="FootnoteReference"/>
        </w:rPr>
        <w:footnoteReference w:id="4"/>
      </w:r>
      <w:r w:rsidR="00D23E67">
        <w:tab/>
      </w:r>
    </w:p>
    <w:p w:rsidR="009301AB" w:rsidRPr="009301AB" w:rsidRDefault="009301AB" w:rsidP="00910477">
      <w:pPr>
        <w:spacing w:line="240" w:lineRule="auto"/>
        <w:rPr>
          <w:u w:val="single"/>
        </w:rPr>
      </w:pPr>
      <w:r>
        <w:tab/>
      </w:r>
      <w:r>
        <w:rPr>
          <w:u w:val="single"/>
        </w:rPr>
        <w:t>Liquidity Stress Testing</w:t>
      </w:r>
    </w:p>
    <w:p w:rsidR="00106A33" w:rsidRPr="00106A33" w:rsidRDefault="009301AB" w:rsidP="00910477">
      <w:pPr>
        <w:spacing w:line="240" w:lineRule="auto"/>
        <w:rPr>
          <w:rFonts w:cs="Times New Roman"/>
          <w:bCs/>
          <w:color w:val="000000"/>
          <w:szCs w:val="24"/>
        </w:rPr>
      </w:pPr>
      <w:r>
        <w:tab/>
      </w:r>
      <w:r w:rsidR="00B90E80">
        <w:t xml:space="preserve">With respect to information collections relating to liquidity stress tests, the </w:t>
      </w:r>
      <w:r w:rsidR="00B16CE1">
        <w:t xml:space="preserve">staff </w:t>
      </w:r>
      <w:r w:rsidR="00B90E80">
        <w:t xml:space="preserve">estimates that </w:t>
      </w:r>
      <w:r w:rsidR="009C4F0A" w:rsidRPr="009C4F0A">
        <w:t xml:space="preserve">the proposed requirements resulting from these provisions would result in a one-time burden to stand-alone SBSDs </w:t>
      </w:r>
      <w:r w:rsidR="00DD5459">
        <w:t xml:space="preserve">approved to use internal models </w:t>
      </w:r>
      <w:r w:rsidR="009C4F0A" w:rsidRPr="009C4F0A">
        <w:t>as they would need to develop models for the liquidity stress test, document the results of the test to provide to senior management, document differences in the assumptions used in the liquidity stress test of the firm from those used in a consolidated entity of which the firm is a part, and develop a written contingency funding plan.</w:t>
      </w:r>
      <w:r w:rsidR="009C4F0A" w:rsidRPr="009C4F0A">
        <w:rPr>
          <w:rFonts w:cs="Times New Roman"/>
          <w:bCs/>
          <w:color w:val="000000"/>
          <w:szCs w:val="24"/>
        </w:rPr>
        <w:t xml:space="preserve"> </w:t>
      </w:r>
      <w:r w:rsidR="009C4F0A">
        <w:rPr>
          <w:rFonts w:cs="Times New Roman"/>
          <w:bCs/>
          <w:color w:val="000000"/>
          <w:szCs w:val="24"/>
        </w:rPr>
        <w:t xml:space="preserve"> </w:t>
      </w:r>
      <w:r w:rsidR="009C4F0A" w:rsidRPr="00344CB9">
        <w:rPr>
          <w:rFonts w:cs="Times New Roman"/>
          <w:bCs/>
          <w:color w:val="000000"/>
          <w:szCs w:val="24"/>
        </w:rPr>
        <w:t xml:space="preserve">Based on </w:t>
      </w:r>
      <w:r w:rsidR="009C4F0A">
        <w:rPr>
          <w:rFonts w:cs="Times New Roman"/>
          <w:bCs/>
          <w:color w:val="000000"/>
          <w:szCs w:val="24"/>
        </w:rPr>
        <w:t>experience supervising</w:t>
      </w:r>
      <w:r w:rsidR="009C4F0A" w:rsidRPr="00344CB9">
        <w:rPr>
          <w:rFonts w:cs="Times New Roman"/>
          <w:bCs/>
          <w:color w:val="000000"/>
          <w:szCs w:val="24"/>
        </w:rPr>
        <w:t xml:space="preserve"> ANC broker-dealers, the Commission </w:t>
      </w:r>
      <w:r w:rsidR="009C4F0A">
        <w:rPr>
          <w:rFonts w:cs="Times New Roman"/>
          <w:bCs/>
          <w:color w:val="000000"/>
          <w:szCs w:val="24"/>
        </w:rPr>
        <w:t xml:space="preserve">staff </w:t>
      </w:r>
      <w:r w:rsidR="009C4F0A" w:rsidRPr="00344CB9">
        <w:rPr>
          <w:rFonts w:cs="Times New Roman"/>
          <w:bCs/>
          <w:color w:val="000000"/>
          <w:szCs w:val="24"/>
        </w:rPr>
        <w:t xml:space="preserve">estimates that the </w:t>
      </w:r>
      <w:r w:rsidR="008C1549">
        <w:rPr>
          <w:rFonts w:cs="Times New Roman"/>
          <w:bCs/>
          <w:color w:val="000000"/>
          <w:szCs w:val="24"/>
        </w:rPr>
        <w:t xml:space="preserve">estimated 6 stand-alone SBSDs to be approved </w:t>
      </w:r>
      <w:r w:rsidR="00DD5459">
        <w:rPr>
          <w:rFonts w:cs="Times New Roman"/>
          <w:bCs/>
          <w:color w:val="000000"/>
          <w:szCs w:val="24"/>
        </w:rPr>
        <w:t>to use</w:t>
      </w:r>
      <w:r w:rsidR="008C1549">
        <w:rPr>
          <w:rFonts w:cs="Times New Roman"/>
          <w:bCs/>
          <w:color w:val="000000"/>
          <w:szCs w:val="24"/>
        </w:rPr>
        <w:t xml:space="preserve"> internal models </w:t>
      </w:r>
      <w:r w:rsidR="009C4F0A" w:rsidRPr="00344CB9">
        <w:rPr>
          <w:rFonts w:cs="Times New Roman"/>
          <w:bCs/>
          <w:color w:val="000000"/>
          <w:szCs w:val="24"/>
        </w:rPr>
        <w:t xml:space="preserve">would spend an average of approximately 200 hours to comply with these requirements, resulting in an industry-wide one-time </w:t>
      </w:r>
      <w:r w:rsidR="009C4F0A">
        <w:rPr>
          <w:rFonts w:cs="Times New Roman"/>
          <w:bCs/>
          <w:color w:val="000000"/>
          <w:szCs w:val="24"/>
        </w:rPr>
        <w:t xml:space="preserve">internal </w:t>
      </w:r>
      <w:proofErr w:type="gramStart"/>
      <w:r w:rsidR="009C4F0A" w:rsidRPr="00344CB9">
        <w:rPr>
          <w:rFonts w:cs="Times New Roman"/>
          <w:bCs/>
          <w:color w:val="000000"/>
          <w:szCs w:val="24"/>
        </w:rPr>
        <w:t>hour</w:t>
      </w:r>
      <w:r w:rsidR="00A5383E">
        <w:rPr>
          <w:rFonts w:cs="Times New Roman"/>
          <w:bCs/>
          <w:color w:val="000000"/>
          <w:szCs w:val="24"/>
        </w:rPr>
        <w:t>s</w:t>
      </w:r>
      <w:proofErr w:type="gramEnd"/>
      <w:r w:rsidR="009C4F0A" w:rsidRPr="00344CB9">
        <w:rPr>
          <w:rFonts w:cs="Times New Roman"/>
          <w:bCs/>
          <w:color w:val="000000"/>
          <w:szCs w:val="24"/>
        </w:rPr>
        <w:t xml:space="preserve"> burden of approximately </w:t>
      </w:r>
      <w:r w:rsidR="008C1549">
        <w:rPr>
          <w:rFonts w:cs="Times New Roman"/>
          <w:bCs/>
          <w:color w:val="000000"/>
          <w:szCs w:val="24"/>
        </w:rPr>
        <w:t>1</w:t>
      </w:r>
      <w:r w:rsidR="009C4F0A">
        <w:rPr>
          <w:rFonts w:cs="Times New Roman"/>
          <w:bCs/>
          <w:color w:val="000000"/>
          <w:szCs w:val="24"/>
        </w:rPr>
        <w:t>,</w:t>
      </w:r>
      <w:r w:rsidR="008C1549">
        <w:rPr>
          <w:rFonts w:cs="Times New Roman"/>
          <w:bCs/>
          <w:color w:val="000000"/>
          <w:szCs w:val="24"/>
        </w:rPr>
        <w:t>2</w:t>
      </w:r>
      <w:r w:rsidR="009C4F0A" w:rsidRPr="00344CB9">
        <w:rPr>
          <w:rFonts w:cs="Times New Roman"/>
          <w:bCs/>
          <w:color w:val="000000"/>
          <w:szCs w:val="24"/>
        </w:rPr>
        <w:t xml:space="preserve">00 </w:t>
      </w:r>
      <w:r w:rsidR="003A449B">
        <w:rPr>
          <w:rFonts w:cs="Times New Roman"/>
          <w:bCs/>
          <w:color w:val="000000"/>
          <w:szCs w:val="24"/>
        </w:rPr>
        <w:t xml:space="preserve">recordkeeping </w:t>
      </w:r>
      <w:r w:rsidR="009C4F0A" w:rsidRPr="00344CB9">
        <w:rPr>
          <w:rFonts w:cs="Times New Roman"/>
          <w:bCs/>
          <w:color w:val="000000"/>
          <w:szCs w:val="24"/>
        </w:rPr>
        <w:t>hours.</w:t>
      </w:r>
      <w:r w:rsidR="009C4F0A" w:rsidRPr="00344CB9">
        <w:rPr>
          <w:rFonts w:cs="Times New Roman"/>
          <w:bCs/>
          <w:color w:val="000000"/>
          <w:szCs w:val="24"/>
          <w:vertAlign w:val="superscript"/>
        </w:rPr>
        <w:footnoteReference w:id="5"/>
      </w:r>
      <w:r w:rsidR="00BA55F1">
        <w:rPr>
          <w:rFonts w:cs="Times New Roman"/>
          <w:bCs/>
          <w:color w:val="000000"/>
          <w:szCs w:val="24"/>
        </w:rPr>
        <w:t xml:space="preserve">  T</w:t>
      </w:r>
      <w:r w:rsidR="00106A33">
        <w:rPr>
          <w:rFonts w:cs="Times New Roman"/>
          <w:bCs/>
          <w:color w:val="000000"/>
          <w:szCs w:val="24"/>
        </w:rPr>
        <w:t>he Commission s</w:t>
      </w:r>
      <w:r w:rsidR="008C1549">
        <w:rPr>
          <w:rFonts w:cs="Times New Roman"/>
          <w:bCs/>
          <w:color w:val="000000"/>
          <w:szCs w:val="24"/>
        </w:rPr>
        <w:t xml:space="preserve">taff further estimates that these 6 stand-alone SBSDs </w:t>
      </w:r>
      <w:r w:rsidR="00106A33">
        <w:rPr>
          <w:rFonts w:cs="Times New Roman"/>
          <w:bCs/>
          <w:color w:val="000000"/>
          <w:szCs w:val="24"/>
        </w:rPr>
        <w:t>would spend an average of approximately 50 hours per month reviewing and testing its liquidity test</w:t>
      </w:r>
      <w:r w:rsidR="00BA55F1">
        <w:rPr>
          <w:rFonts w:cs="Times New Roman"/>
          <w:bCs/>
          <w:color w:val="000000"/>
          <w:szCs w:val="24"/>
        </w:rPr>
        <w:t xml:space="preserve">ing and reviewing its </w:t>
      </w:r>
      <w:r w:rsidR="00BA55F1">
        <w:rPr>
          <w:rFonts w:cs="Times New Roman"/>
          <w:bCs/>
          <w:color w:val="000000"/>
          <w:szCs w:val="24"/>
        </w:rPr>
        <w:lastRenderedPageBreak/>
        <w:t>contingency</w:t>
      </w:r>
      <w:r w:rsidR="00106A33">
        <w:rPr>
          <w:rFonts w:cs="Times New Roman"/>
          <w:bCs/>
          <w:color w:val="000000"/>
          <w:szCs w:val="24"/>
        </w:rPr>
        <w:t xml:space="preserve"> funding plan, resulting in </w:t>
      </w:r>
      <w:r w:rsidR="00F33573">
        <w:rPr>
          <w:rFonts w:cs="Times New Roman"/>
          <w:bCs/>
          <w:color w:val="000000"/>
          <w:szCs w:val="24"/>
        </w:rPr>
        <w:t xml:space="preserve">a burden of 600 recordkeeping hours per stand-alone SBSD and </w:t>
      </w:r>
      <w:r w:rsidR="00106A33">
        <w:rPr>
          <w:rFonts w:cs="Times New Roman"/>
          <w:bCs/>
          <w:color w:val="000000"/>
          <w:szCs w:val="24"/>
        </w:rPr>
        <w:t>an annual industry-wide</w:t>
      </w:r>
      <w:r w:rsidR="008C1549">
        <w:rPr>
          <w:rFonts w:cs="Times New Roman"/>
          <w:bCs/>
          <w:color w:val="000000"/>
          <w:szCs w:val="24"/>
        </w:rPr>
        <w:t xml:space="preserve"> hours burden of approximately 3</w:t>
      </w:r>
      <w:r w:rsidR="00106A33">
        <w:rPr>
          <w:rFonts w:cs="Times New Roman"/>
          <w:bCs/>
          <w:color w:val="000000"/>
          <w:szCs w:val="24"/>
        </w:rPr>
        <w:t>,</w:t>
      </w:r>
      <w:r w:rsidR="008C1549">
        <w:rPr>
          <w:rFonts w:cs="Times New Roman"/>
          <w:bCs/>
          <w:color w:val="000000"/>
          <w:szCs w:val="24"/>
        </w:rPr>
        <w:t>6</w:t>
      </w:r>
      <w:r w:rsidR="00106A33">
        <w:rPr>
          <w:rFonts w:cs="Times New Roman"/>
          <w:bCs/>
          <w:color w:val="000000"/>
          <w:szCs w:val="24"/>
        </w:rPr>
        <w:t xml:space="preserve">00 </w:t>
      </w:r>
      <w:r w:rsidR="003A449B">
        <w:rPr>
          <w:rFonts w:cs="Times New Roman"/>
          <w:bCs/>
          <w:color w:val="000000"/>
          <w:szCs w:val="24"/>
        </w:rPr>
        <w:t xml:space="preserve">recordkeeping </w:t>
      </w:r>
      <w:r w:rsidR="00106A33">
        <w:rPr>
          <w:rFonts w:cs="Times New Roman"/>
          <w:bCs/>
          <w:color w:val="000000"/>
          <w:szCs w:val="24"/>
        </w:rPr>
        <w:t>hours.</w:t>
      </w:r>
      <w:r w:rsidR="00106A33">
        <w:rPr>
          <w:rStyle w:val="FootnoteReference"/>
          <w:rFonts w:cs="Times New Roman"/>
          <w:bCs/>
          <w:color w:val="000000"/>
          <w:szCs w:val="24"/>
        </w:rPr>
        <w:footnoteReference w:id="6"/>
      </w:r>
    </w:p>
    <w:p w:rsidR="009301AB" w:rsidRPr="009301AB" w:rsidRDefault="00AB7265" w:rsidP="00910477">
      <w:pPr>
        <w:spacing w:line="240" w:lineRule="auto"/>
        <w:rPr>
          <w:u w:val="single"/>
        </w:rPr>
      </w:pPr>
      <w:r>
        <w:tab/>
      </w:r>
      <w:r w:rsidR="009301AB">
        <w:rPr>
          <w:u w:val="single"/>
        </w:rPr>
        <w:t>Risk Management Control System</w:t>
      </w:r>
    </w:p>
    <w:p w:rsidR="003A449B" w:rsidRDefault="009301AB">
      <w:pPr>
        <w:spacing w:line="240" w:lineRule="auto"/>
      </w:pPr>
      <w:r>
        <w:tab/>
      </w:r>
      <w:r w:rsidR="00AB7265">
        <w:t>Rule 1</w:t>
      </w:r>
      <w:r w:rsidR="00A06471">
        <w:t>8a</w:t>
      </w:r>
      <w:r w:rsidR="00AB7265">
        <w:t xml:space="preserve">-1 </w:t>
      </w:r>
      <w:r w:rsidR="00BA55F1">
        <w:t xml:space="preserve">would </w:t>
      </w:r>
      <w:r w:rsidR="00AB7265">
        <w:t xml:space="preserve">require that all registered </w:t>
      </w:r>
      <w:r w:rsidR="00674D6C">
        <w:t xml:space="preserve">nonbank </w:t>
      </w:r>
      <w:r w:rsidR="00AB7265">
        <w:t xml:space="preserve">SBSDs comply with Rule 15c3-4.  Currently, there are </w:t>
      </w:r>
      <w:r w:rsidR="00A06471">
        <w:t xml:space="preserve">9 firms expected </w:t>
      </w:r>
      <w:r w:rsidR="00AB7265">
        <w:t xml:space="preserve">to register as </w:t>
      </w:r>
      <w:r w:rsidR="00A06471">
        <w:t xml:space="preserve">stand-alone </w:t>
      </w:r>
      <w:r w:rsidR="00AB7265">
        <w:t>SBSDs.  The Commission staff</w:t>
      </w:r>
      <w:r w:rsidR="00BA55F1">
        <w:t xml:space="preserve"> estimates that these firms would</w:t>
      </w:r>
      <w:r w:rsidR="00AB7265">
        <w:t xml:space="preserve"> bear a one-time burden of 2,000 hours to initially set up risk management control system</w:t>
      </w:r>
      <w:r w:rsidR="00BA55F1">
        <w:t>s</w:t>
      </w:r>
      <w:r w:rsidR="00AB7265">
        <w:t>,</w:t>
      </w:r>
      <w:r w:rsidR="005849D7">
        <w:rPr>
          <w:rStyle w:val="FootnoteReference"/>
        </w:rPr>
        <w:footnoteReference w:id="7"/>
      </w:r>
      <w:r w:rsidR="00AB7265">
        <w:t xml:space="preserve"> and an annual burden of 250 hours per year.</w:t>
      </w:r>
      <w:r w:rsidR="00AB7265">
        <w:rPr>
          <w:rStyle w:val="FootnoteReference"/>
        </w:rPr>
        <w:footnoteReference w:id="8"/>
      </w:r>
      <w:r w:rsidR="000B4BA0">
        <w:t xml:space="preserve">  This </w:t>
      </w:r>
      <w:r w:rsidR="00BA55F1">
        <w:t xml:space="preserve">would </w:t>
      </w:r>
      <w:r w:rsidR="000B4BA0">
        <w:t xml:space="preserve">result in an estimated industry-wide one-time internal </w:t>
      </w:r>
      <w:proofErr w:type="gramStart"/>
      <w:r w:rsidR="000B4BA0">
        <w:t>hours</w:t>
      </w:r>
      <w:proofErr w:type="gramEnd"/>
      <w:r w:rsidR="000B4BA0">
        <w:t xml:space="preserve"> burden of approximately 1</w:t>
      </w:r>
      <w:r w:rsidR="00A06471">
        <w:t>8</w:t>
      </w:r>
      <w:r w:rsidR="000B4BA0">
        <w:t xml:space="preserve">,000 </w:t>
      </w:r>
      <w:r w:rsidR="003A449B">
        <w:t xml:space="preserve">recordkeeping </w:t>
      </w:r>
      <w:r w:rsidR="000B4BA0">
        <w:t>hours,</w:t>
      </w:r>
      <w:r w:rsidR="000B4BA0">
        <w:rPr>
          <w:rStyle w:val="FootnoteReference"/>
        </w:rPr>
        <w:footnoteReference w:id="9"/>
      </w:r>
      <w:r w:rsidR="000B4BA0">
        <w:t xml:space="preserve"> and an estimate</w:t>
      </w:r>
      <w:r w:rsidR="002F6B59">
        <w:t>d</w:t>
      </w:r>
      <w:r w:rsidR="000B4BA0">
        <w:t xml:space="preserve"> industry-wide annual internal hours burden of approximately </w:t>
      </w:r>
      <w:r w:rsidR="00A06471">
        <w:t>2</w:t>
      </w:r>
      <w:r w:rsidR="000B4BA0">
        <w:t>,</w:t>
      </w:r>
      <w:r w:rsidR="00A06471">
        <w:t>25</w:t>
      </w:r>
      <w:r w:rsidR="000B4BA0">
        <w:t xml:space="preserve">0 </w:t>
      </w:r>
      <w:r w:rsidR="003A449B">
        <w:t xml:space="preserve">recordkeeping </w:t>
      </w:r>
      <w:r w:rsidR="000B4BA0">
        <w:t>hours per year.</w:t>
      </w:r>
      <w:r w:rsidR="000B4BA0">
        <w:rPr>
          <w:rStyle w:val="FootnoteReference"/>
        </w:rPr>
        <w:footnoteReference w:id="10"/>
      </w:r>
    </w:p>
    <w:p w:rsidR="009301AB" w:rsidRPr="009301AB" w:rsidRDefault="009301AB" w:rsidP="00910477">
      <w:pPr>
        <w:spacing w:line="240" w:lineRule="auto"/>
        <w:rPr>
          <w:u w:val="single"/>
        </w:rPr>
      </w:pPr>
      <w:r>
        <w:tab/>
      </w:r>
      <w:r>
        <w:rPr>
          <w:u w:val="single"/>
        </w:rPr>
        <w:t>Industry Sector Classification</w:t>
      </w:r>
    </w:p>
    <w:p w:rsidR="000B4BA0" w:rsidRDefault="000B4BA0" w:rsidP="00910477">
      <w:pPr>
        <w:spacing w:line="240" w:lineRule="auto"/>
      </w:pPr>
      <w:r>
        <w:tab/>
      </w:r>
      <w:r w:rsidR="00D73339">
        <w:t xml:space="preserve">With </w:t>
      </w:r>
      <w:r>
        <w:t xml:space="preserve">respect to documenting an industry sector classification system with respect to credit default swap haircuts, the Commission staff expects that </w:t>
      </w:r>
      <w:r w:rsidR="00674D6C">
        <w:t>3 stand-alone SBSD</w:t>
      </w:r>
      <w:r>
        <w:t>s would have to bear internal hours burdens.  The Commission staff also expects these firms to utilize third party systems off the shelf because of reduced costs.  This results in a</w:t>
      </w:r>
      <w:r w:rsidR="002F6B59">
        <w:t xml:space="preserve">n estimated industry-wide annual internal hour burden of approximately </w:t>
      </w:r>
      <w:r w:rsidR="00674D6C">
        <w:t>3</w:t>
      </w:r>
      <w:r w:rsidR="002F6B59">
        <w:t xml:space="preserve"> </w:t>
      </w:r>
      <w:r w:rsidR="00631520">
        <w:t xml:space="preserve">recordkeeping </w:t>
      </w:r>
      <w:r w:rsidR="002F6B59">
        <w:t>hours per year.</w:t>
      </w:r>
      <w:r w:rsidR="002F6B59">
        <w:rPr>
          <w:rStyle w:val="FootnoteReference"/>
        </w:rPr>
        <w:footnoteReference w:id="11"/>
      </w:r>
    </w:p>
    <w:p w:rsidR="009301AB" w:rsidRPr="009301AB" w:rsidRDefault="009301AB" w:rsidP="00910477">
      <w:pPr>
        <w:spacing w:line="240" w:lineRule="auto"/>
        <w:rPr>
          <w:u w:val="single"/>
        </w:rPr>
      </w:pPr>
      <w:r>
        <w:tab/>
      </w:r>
      <w:r>
        <w:rPr>
          <w:u w:val="single"/>
        </w:rPr>
        <w:t>Commission Notices</w:t>
      </w:r>
    </w:p>
    <w:p w:rsidR="00D73339" w:rsidRDefault="00D73339" w:rsidP="00910477">
      <w:pPr>
        <w:spacing w:line="240" w:lineRule="auto"/>
      </w:pPr>
      <w:r>
        <w:tab/>
      </w:r>
      <w:r w:rsidR="00BB30B4">
        <w:t>Rule 18a-1 requires that stand-alo</w:t>
      </w:r>
      <w:r w:rsidR="00C278C0">
        <w:t>ne SBSDs file written notices with</w:t>
      </w:r>
      <w:r w:rsidR="00BB30B4">
        <w:t xml:space="preserve"> the Commission when </w:t>
      </w:r>
      <w:r w:rsidR="00C278C0">
        <w:t>certain amounts of equity are</w:t>
      </w:r>
      <w:r w:rsidR="00BB30B4">
        <w:t xml:space="preserve"> withdrawn from the firm.  Based on </w:t>
      </w:r>
      <w:r w:rsidR="00BA0DBE">
        <w:t>the staff’s experience with similar withdrawal notices filed by broker-dealers under Rule 15c3-1, the staff estimates that the 9 stand-alone SBSDs will file an average</w:t>
      </w:r>
      <w:r w:rsidR="00C278C0">
        <w:t xml:space="preserve"> of 2 notices per year.  It would</w:t>
      </w:r>
      <w:r w:rsidR="00BA0DBE">
        <w:t xml:space="preserve"> require an estimated 30 minutes to file these notices, for an annual industry-wide </w:t>
      </w:r>
      <w:proofErr w:type="gramStart"/>
      <w:r w:rsidR="00BA0DBE">
        <w:t>hours</w:t>
      </w:r>
      <w:proofErr w:type="gramEnd"/>
      <w:r w:rsidR="00BA0DBE">
        <w:t xml:space="preserve"> burden of 4.5 </w:t>
      </w:r>
      <w:r w:rsidR="006E71F2">
        <w:t xml:space="preserve">reporting </w:t>
      </w:r>
      <w:r w:rsidR="00BA0DBE">
        <w:t>hours.</w:t>
      </w:r>
      <w:r w:rsidR="00BA0DBE">
        <w:rPr>
          <w:rStyle w:val="FootnoteReference"/>
        </w:rPr>
        <w:footnoteReference w:id="12"/>
      </w:r>
    </w:p>
    <w:p w:rsidR="006E71F2" w:rsidRDefault="00BA0DBE">
      <w:pPr>
        <w:spacing w:line="240" w:lineRule="auto"/>
      </w:pPr>
      <w:r>
        <w:tab/>
        <w:t xml:space="preserve">Rule 18a-1 requires stand-alone SBSDs to file subordinated loan agreements with the Commission.  The staff estimates that each firm will </w:t>
      </w:r>
      <w:r w:rsidR="00993C14">
        <w:t xml:space="preserve">spend 20 hours updating its agreement </w:t>
      </w:r>
      <w:r w:rsidR="00993C14">
        <w:lastRenderedPageBreak/>
        <w:t xml:space="preserve">templates, resulting in a one-time industry-wide </w:t>
      </w:r>
      <w:proofErr w:type="gramStart"/>
      <w:r w:rsidR="00993C14">
        <w:t>hours</w:t>
      </w:r>
      <w:proofErr w:type="gramEnd"/>
      <w:r w:rsidR="00993C14">
        <w:t xml:space="preserve"> burden of 180</w:t>
      </w:r>
      <w:r w:rsidR="006E71F2">
        <w:t xml:space="preserve"> reporting</w:t>
      </w:r>
      <w:r w:rsidR="00993C14">
        <w:t xml:space="preserve"> hours.</w:t>
      </w:r>
      <w:r w:rsidR="00993C14">
        <w:rPr>
          <w:rStyle w:val="FootnoteReference"/>
        </w:rPr>
        <w:footnoteReference w:id="13"/>
      </w:r>
      <w:r w:rsidR="006E71F2">
        <w:t xml:space="preserve">  B</w:t>
      </w:r>
      <w:r w:rsidR="00734139">
        <w:t>ased on its experience with broker-dealers submitting such loan agreements under a similar requirement under Rule 15c3-1, the staff estimates that each firm will file 1</w:t>
      </w:r>
      <w:r w:rsidR="006E71F2">
        <w:t xml:space="preserve"> </w:t>
      </w:r>
      <w:r w:rsidR="006B4C0F">
        <w:t xml:space="preserve">subordinated loan agreement per year and that it would take approximately 10 hours to prepare and file the agreement, resulting in an annual industry-wide </w:t>
      </w:r>
      <w:proofErr w:type="gramStart"/>
      <w:r w:rsidR="006B4C0F">
        <w:t>hours</w:t>
      </w:r>
      <w:proofErr w:type="gramEnd"/>
      <w:r w:rsidR="006B4C0F">
        <w:t xml:space="preserve"> burden of 90 </w:t>
      </w:r>
      <w:r w:rsidR="006E71F2">
        <w:t xml:space="preserve">reporting </w:t>
      </w:r>
      <w:r w:rsidR="006B4C0F">
        <w:t>hours.</w:t>
      </w:r>
      <w:r w:rsidR="006B4C0F">
        <w:rPr>
          <w:rStyle w:val="FootnoteReference"/>
        </w:rPr>
        <w:footnoteReference w:id="14"/>
      </w:r>
    </w:p>
    <w:p w:rsidR="007D50A5" w:rsidRDefault="007D50A5" w:rsidP="00910477">
      <w:pPr>
        <w:pStyle w:val="Heading2"/>
        <w:spacing w:line="240" w:lineRule="auto"/>
      </w:pPr>
      <w:r>
        <w:tab/>
        <w:t>13.</w:t>
      </w:r>
      <w:r>
        <w:tab/>
        <w:t>Costs to Respondents</w:t>
      </w:r>
    </w:p>
    <w:p w:rsidR="00DF75E2" w:rsidRDefault="00782B96" w:rsidP="00910477">
      <w:pPr>
        <w:spacing w:line="240" w:lineRule="auto"/>
      </w:pPr>
      <w:r>
        <w:tab/>
      </w:r>
      <w:r w:rsidR="00DE520A">
        <w:t xml:space="preserve">With respect to the </w:t>
      </w:r>
      <w:r w:rsidR="003E401B">
        <w:t xml:space="preserve">external costs for respondents </w:t>
      </w:r>
      <w:r w:rsidR="00DE520A">
        <w:t xml:space="preserve">associated with developing </w:t>
      </w:r>
      <w:proofErr w:type="spellStart"/>
      <w:r w:rsidR="00DE520A">
        <w:t>VaR</w:t>
      </w:r>
      <w:proofErr w:type="spellEnd"/>
      <w:r w:rsidR="00DE520A">
        <w:t xml:space="preserve"> models and applying to the Commission for approval to use them, the staff estimates </w:t>
      </w:r>
      <w:proofErr w:type="gramStart"/>
      <w:r w:rsidR="00DE520A">
        <w:t>that</w:t>
      </w:r>
      <w:r w:rsidR="004968DC">
        <w:t>,</w:t>
      </w:r>
      <w:proofErr w:type="gramEnd"/>
      <w:r w:rsidR="00DE520A">
        <w:t xml:space="preserve"> based </w:t>
      </w:r>
      <w:r w:rsidR="004968DC">
        <w:t>up</w:t>
      </w:r>
      <w:r w:rsidR="00DE520A">
        <w:t xml:space="preserve">on previous experience with broker-dealers that developed internal models, </w:t>
      </w:r>
      <w:r>
        <w:t>2</w:t>
      </w:r>
      <w:r w:rsidR="00DE520A">
        <w:t xml:space="preserve">5% of these tasks would be handled by outside consultants.  </w:t>
      </w:r>
      <w:r w:rsidR="00A77407">
        <w:t xml:space="preserve">This results in 250 hours per respondent.  </w:t>
      </w:r>
      <w:r w:rsidR="00DE520A">
        <w:t>The outside consultants are estimate</w:t>
      </w:r>
      <w:r w:rsidR="003A4E53">
        <w:t>d</w:t>
      </w:r>
      <w:r w:rsidR="00DE520A">
        <w:t xml:space="preserve"> to charge at a rate of $400 per hour.  This</w:t>
      </w:r>
      <w:r w:rsidR="00C278C0">
        <w:t xml:space="preserve"> would</w:t>
      </w:r>
      <w:r w:rsidR="00DE520A">
        <w:t xml:space="preserve"> result in a one-time industry-wide </w:t>
      </w:r>
      <w:r w:rsidR="003E401B">
        <w:t xml:space="preserve">external </w:t>
      </w:r>
      <w:r w:rsidR="00A77407">
        <w:t xml:space="preserve">recordkeeping </w:t>
      </w:r>
      <w:r w:rsidR="00DE520A">
        <w:t>cost of $</w:t>
      </w:r>
      <w:r w:rsidR="00A77407">
        <w:t>100,000 per respondent.</w:t>
      </w:r>
      <w:r w:rsidR="00DE520A">
        <w:rPr>
          <w:rStyle w:val="FootnoteReference"/>
        </w:rPr>
        <w:footnoteReference w:id="15"/>
      </w:r>
    </w:p>
    <w:p w:rsidR="003A4E53" w:rsidRDefault="003A4E53" w:rsidP="00910477">
      <w:pPr>
        <w:spacing w:line="240" w:lineRule="auto"/>
      </w:pPr>
      <w:r>
        <w:tab/>
        <w:t>With respect to the</w:t>
      </w:r>
      <w:r w:rsidR="004968DC">
        <w:t xml:space="preserve"> external </w:t>
      </w:r>
      <w:r>
        <w:t xml:space="preserve">costs associated with reviewing, </w:t>
      </w:r>
      <w:proofErr w:type="spellStart"/>
      <w:r>
        <w:t>backtesting</w:t>
      </w:r>
      <w:proofErr w:type="spellEnd"/>
      <w:r>
        <w:t xml:space="preserve">, and updating </w:t>
      </w:r>
      <w:proofErr w:type="spellStart"/>
      <w:r>
        <w:t>VaR</w:t>
      </w:r>
      <w:proofErr w:type="spellEnd"/>
      <w:r>
        <w:t xml:space="preserve"> models, the staff estimates </w:t>
      </w:r>
      <w:proofErr w:type="gramStart"/>
      <w:r>
        <w:t>that,</w:t>
      </w:r>
      <w:proofErr w:type="gramEnd"/>
      <w:r>
        <w:t xml:space="preserve"> based on previous experience with broker-dealers that developed internal models, 25% of these tasks would be handled by outside consultants.  The outside consultants are estimated to charge at a rate of $400 per hour</w:t>
      </w:r>
      <w:r w:rsidR="00A77407">
        <w:t xml:space="preserve"> resulting in a recordkeeping cost of $624,000 per respondent</w:t>
      </w:r>
      <w:r>
        <w:t xml:space="preserve">.  This </w:t>
      </w:r>
      <w:r w:rsidR="00C278C0">
        <w:t xml:space="preserve">would </w:t>
      </w:r>
      <w:r>
        <w:t>result in an</w:t>
      </w:r>
      <w:r w:rsidR="00AD03B6">
        <w:t xml:space="preserve"> annual industry-wide </w:t>
      </w:r>
      <w:r w:rsidR="004968DC">
        <w:t xml:space="preserve">external </w:t>
      </w:r>
      <w:r w:rsidR="00AD03B6">
        <w:t>cost of $3,744,000</w:t>
      </w:r>
      <w:r>
        <w:t>.</w:t>
      </w:r>
      <w:r w:rsidR="002A42F0">
        <w:rPr>
          <w:rStyle w:val="FootnoteReference"/>
        </w:rPr>
        <w:footnoteReference w:id="16"/>
      </w:r>
    </w:p>
    <w:p w:rsidR="00782B96" w:rsidRDefault="00782B96" w:rsidP="00910477">
      <w:pPr>
        <w:spacing w:line="240" w:lineRule="auto"/>
      </w:pPr>
      <w:r>
        <w:tab/>
      </w:r>
      <w:r>
        <w:rPr>
          <w:rFonts w:cs="Times New Roman"/>
          <w:bCs/>
          <w:color w:val="000000"/>
          <w:szCs w:val="24"/>
        </w:rPr>
        <w:t xml:space="preserve">Nonbank SBSDs may need to incur start-up information technology </w:t>
      </w:r>
      <w:r w:rsidR="004968DC">
        <w:rPr>
          <w:rFonts w:cs="Times New Roman"/>
          <w:bCs/>
          <w:color w:val="000000"/>
          <w:szCs w:val="24"/>
        </w:rPr>
        <w:t xml:space="preserve">external </w:t>
      </w:r>
      <w:r>
        <w:rPr>
          <w:rFonts w:cs="Times New Roman"/>
          <w:bCs/>
          <w:color w:val="000000"/>
          <w:szCs w:val="24"/>
        </w:rPr>
        <w:t xml:space="preserve">costs with respect to setting up a risk control management system.  </w:t>
      </w:r>
      <w:r>
        <w:rPr>
          <w:rFonts w:eastAsia="Times New Roman" w:cs="Times New Roman"/>
          <w:szCs w:val="24"/>
        </w:rPr>
        <w:t xml:space="preserve">Based on the estimates for similar collections of information, </w:t>
      </w:r>
      <w:r w:rsidRPr="00E10D1E">
        <w:rPr>
          <w:rFonts w:eastAsia="Times New Roman" w:cs="Times New Roman"/>
          <w:szCs w:val="24"/>
        </w:rPr>
        <w:t xml:space="preserve">it </w:t>
      </w:r>
      <w:r>
        <w:rPr>
          <w:rFonts w:eastAsia="Times New Roman" w:cs="Times New Roman"/>
          <w:szCs w:val="24"/>
        </w:rPr>
        <w:t>is expected that</w:t>
      </w:r>
      <w:r w:rsidRPr="00E10D1E">
        <w:rPr>
          <w:rFonts w:eastAsia="Times New Roman" w:cs="Times New Roman"/>
          <w:szCs w:val="24"/>
        </w:rPr>
        <w:t xml:space="preserve"> a </w:t>
      </w:r>
      <w:r>
        <w:rPr>
          <w:rFonts w:eastAsia="Times New Roman" w:cs="Times New Roman"/>
          <w:szCs w:val="24"/>
        </w:rPr>
        <w:t>nonbank SBSDs</w:t>
      </w:r>
      <w:r w:rsidRPr="00E10D1E">
        <w:rPr>
          <w:rFonts w:eastAsia="Times New Roman" w:cs="Times New Roman"/>
          <w:szCs w:val="24"/>
        </w:rPr>
        <w:t xml:space="preserve"> </w:t>
      </w:r>
      <w:r>
        <w:rPr>
          <w:rFonts w:eastAsia="Times New Roman" w:cs="Times New Roman"/>
          <w:szCs w:val="24"/>
        </w:rPr>
        <w:t xml:space="preserve">would incur </w:t>
      </w:r>
      <w:r w:rsidRPr="00E10D1E">
        <w:rPr>
          <w:rFonts w:eastAsia="Times New Roman" w:cs="Times New Roman"/>
          <w:szCs w:val="24"/>
        </w:rPr>
        <w:t>an average of approximately $</w:t>
      </w:r>
      <w:r>
        <w:rPr>
          <w:rFonts w:eastAsia="Times New Roman" w:cs="Times New Roman"/>
          <w:szCs w:val="24"/>
        </w:rPr>
        <w:t xml:space="preserve">16,000 for initial hardware and software expenses, while the average ongoing cost would be approximately $20,500 per nonbank SBSD.  This </w:t>
      </w:r>
      <w:r w:rsidR="00C278C0">
        <w:rPr>
          <w:rFonts w:eastAsia="Times New Roman" w:cs="Times New Roman"/>
          <w:szCs w:val="24"/>
        </w:rPr>
        <w:t xml:space="preserve">would </w:t>
      </w:r>
      <w:r>
        <w:rPr>
          <w:rFonts w:eastAsia="Times New Roman" w:cs="Times New Roman"/>
          <w:szCs w:val="24"/>
        </w:rPr>
        <w:t>result in a one-time industry-wide</w:t>
      </w:r>
      <w:r w:rsidR="004968DC">
        <w:rPr>
          <w:rFonts w:eastAsia="Times New Roman" w:cs="Times New Roman"/>
          <w:szCs w:val="24"/>
        </w:rPr>
        <w:t xml:space="preserve"> external</w:t>
      </w:r>
      <w:r>
        <w:rPr>
          <w:rFonts w:eastAsia="Times New Roman" w:cs="Times New Roman"/>
          <w:szCs w:val="24"/>
        </w:rPr>
        <w:t xml:space="preserve"> cost of $</w:t>
      </w:r>
      <w:r w:rsidR="00AD03B6">
        <w:rPr>
          <w:rFonts w:eastAsia="Times New Roman" w:cs="Times New Roman"/>
          <w:szCs w:val="24"/>
        </w:rPr>
        <w:t>48</w:t>
      </w:r>
      <w:r w:rsidR="002815FC">
        <w:rPr>
          <w:rFonts w:eastAsia="Times New Roman" w:cs="Times New Roman"/>
          <w:szCs w:val="24"/>
        </w:rPr>
        <w:t>,000</w:t>
      </w:r>
      <w:r>
        <w:rPr>
          <w:rFonts w:eastAsia="Times New Roman" w:cs="Times New Roman"/>
          <w:szCs w:val="24"/>
        </w:rPr>
        <w:t xml:space="preserve"> annualized over three years</w:t>
      </w:r>
      <w:r w:rsidR="002815FC">
        <w:rPr>
          <w:rFonts w:eastAsia="Times New Roman" w:cs="Times New Roman"/>
          <w:szCs w:val="24"/>
        </w:rPr>
        <w:t>,</w:t>
      </w:r>
      <w:r>
        <w:rPr>
          <w:rStyle w:val="FootnoteReference"/>
          <w:rFonts w:eastAsia="Times New Roman" w:cs="Times New Roman"/>
          <w:szCs w:val="24"/>
        </w:rPr>
        <w:footnoteReference w:id="17"/>
      </w:r>
      <w:r>
        <w:rPr>
          <w:rFonts w:eastAsia="Times New Roman" w:cs="Times New Roman"/>
          <w:szCs w:val="24"/>
        </w:rPr>
        <w:t xml:space="preserve"> and </w:t>
      </w:r>
      <w:r w:rsidR="002815FC">
        <w:rPr>
          <w:rFonts w:eastAsia="Times New Roman" w:cs="Times New Roman"/>
          <w:szCs w:val="24"/>
        </w:rPr>
        <w:t xml:space="preserve">an </w:t>
      </w:r>
      <w:r>
        <w:rPr>
          <w:rFonts w:eastAsia="Times New Roman" w:cs="Times New Roman"/>
          <w:szCs w:val="24"/>
        </w:rPr>
        <w:t xml:space="preserve">ongoing </w:t>
      </w:r>
      <w:r w:rsidR="002815FC">
        <w:rPr>
          <w:rFonts w:eastAsia="Times New Roman" w:cs="Times New Roman"/>
          <w:szCs w:val="24"/>
        </w:rPr>
        <w:t xml:space="preserve">industry-wide </w:t>
      </w:r>
      <w:r w:rsidR="004968DC">
        <w:rPr>
          <w:rFonts w:eastAsia="Times New Roman" w:cs="Times New Roman"/>
          <w:szCs w:val="24"/>
        </w:rPr>
        <w:t xml:space="preserve">external </w:t>
      </w:r>
      <w:r>
        <w:rPr>
          <w:rFonts w:eastAsia="Times New Roman" w:cs="Times New Roman"/>
          <w:szCs w:val="24"/>
        </w:rPr>
        <w:t>cost of $</w:t>
      </w:r>
      <w:r w:rsidR="00AD03B6">
        <w:rPr>
          <w:rFonts w:eastAsia="Times New Roman" w:cs="Times New Roman"/>
          <w:szCs w:val="24"/>
        </w:rPr>
        <w:t>184</w:t>
      </w:r>
      <w:r>
        <w:rPr>
          <w:rFonts w:eastAsia="Times New Roman" w:cs="Times New Roman"/>
          <w:szCs w:val="24"/>
        </w:rPr>
        <w:t>,500 per year</w:t>
      </w:r>
      <w:r w:rsidRPr="00E10D1E">
        <w:rPr>
          <w:rFonts w:eastAsia="Times New Roman" w:cs="Times New Roman"/>
          <w:szCs w:val="24"/>
        </w:rPr>
        <w:t>.</w:t>
      </w:r>
      <w:r w:rsidR="002815FC">
        <w:rPr>
          <w:rStyle w:val="FootnoteReference"/>
          <w:rFonts w:eastAsia="Times New Roman" w:cs="Times New Roman"/>
          <w:szCs w:val="24"/>
        </w:rPr>
        <w:footnoteReference w:id="18"/>
      </w:r>
    </w:p>
    <w:p w:rsidR="00644CEA" w:rsidRDefault="00644CEA" w:rsidP="00910477">
      <w:pPr>
        <w:pStyle w:val="Heading2"/>
        <w:spacing w:line="240" w:lineRule="auto"/>
      </w:pPr>
      <w:r>
        <w:tab/>
        <w:t>14.</w:t>
      </w:r>
      <w:r>
        <w:tab/>
        <w:t>Cost to Federal Government</w:t>
      </w:r>
    </w:p>
    <w:p w:rsidR="009A654B" w:rsidRDefault="009A654B" w:rsidP="00910477">
      <w:pPr>
        <w:spacing w:line="240" w:lineRule="auto"/>
      </w:pPr>
      <w:r>
        <w:tab/>
      </w:r>
      <w:r w:rsidR="003E401B">
        <w:t>The staff does not anticipate this information collection to impose additional costs to the Federal Government.</w:t>
      </w:r>
    </w:p>
    <w:p w:rsidR="007A631E" w:rsidRDefault="007A631E" w:rsidP="00910477">
      <w:pPr>
        <w:pStyle w:val="Heading2"/>
        <w:spacing w:line="240" w:lineRule="auto"/>
      </w:pPr>
      <w:r>
        <w:lastRenderedPageBreak/>
        <w:tab/>
        <w:t>15.</w:t>
      </w:r>
      <w:r>
        <w:tab/>
        <w:t>Changes in Burden</w:t>
      </w:r>
    </w:p>
    <w:p w:rsidR="00893E43" w:rsidRPr="00893E43" w:rsidRDefault="00893E43" w:rsidP="00910477">
      <w:pPr>
        <w:spacing w:line="240" w:lineRule="auto"/>
      </w:pPr>
      <w:r>
        <w:tab/>
        <w:t>Not applicable.  The information collection is related to a new rule.</w:t>
      </w:r>
    </w:p>
    <w:p w:rsidR="007A631E" w:rsidRDefault="007A631E" w:rsidP="00910477">
      <w:pPr>
        <w:pStyle w:val="Heading2"/>
        <w:spacing w:line="240" w:lineRule="auto"/>
      </w:pPr>
      <w:r>
        <w:tab/>
        <w:t>16.</w:t>
      </w:r>
      <w:r>
        <w:tab/>
        <w:t>Information Collected Planned for Statistical Purposes</w:t>
      </w:r>
    </w:p>
    <w:p w:rsidR="006B3BF2" w:rsidRPr="006B3BF2" w:rsidRDefault="006B3BF2" w:rsidP="00910477">
      <w:pPr>
        <w:spacing w:line="240" w:lineRule="auto"/>
      </w:pPr>
      <w:r>
        <w:rPr>
          <w:szCs w:val="24"/>
        </w:rPr>
        <w:tab/>
        <w:t>Not applicable</w:t>
      </w:r>
      <w:r w:rsidR="00C278C0">
        <w:rPr>
          <w:szCs w:val="24"/>
        </w:rPr>
        <w:t>.  The information collection would</w:t>
      </w:r>
      <w:r>
        <w:rPr>
          <w:szCs w:val="24"/>
        </w:rPr>
        <w:t xml:space="preserve"> not </w:t>
      </w:r>
      <w:r w:rsidR="00C278C0">
        <w:rPr>
          <w:szCs w:val="24"/>
        </w:rPr>
        <w:t xml:space="preserve">be </w:t>
      </w:r>
      <w:r>
        <w:rPr>
          <w:szCs w:val="24"/>
        </w:rPr>
        <w:t>used for statistical purposes.</w:t>
      </w:r>
    </w:p>
    <w:p w:rsidR="00F10FF8" w:rsidRDefault="00F10FF8" w:rsidP="00910477">
      <w:pPr>
        <w:pStyle w:val="Heading2"/>
        <w:spacing w:line="240" w:lineRule="auto"/>
      </w:pPr>
      <w:r>
        <w:tab/>
        <w:t>17.</w:t>
      </w:r>
      <w:r>
        <w:tab/>
        <w:t>Display of OMB Approval Date</w:t>
      </w:r>
    </w:p>
    <w:p w:rsidR="006B3BF2" w:rsidRPr="006B3BF2" w:rsidRDefault="006B3BF2" w:rsidP="00910477">
      <w:pPr>
        <w:spacing w:line="240" w:lineRule="auto"/>
      </w:pPr>
      <w:r>
        <w:rPr>
          <w:szCs w:val="24"/>
        </w:rPr>
        <w:tab/>
        <w:t xml:space="preserve">Not applicable.  The Commission is not seeking approval to </w:t>
      </w:r>
      <w:r w:rsidR="003F281C">
        <w:rPr>
          <w:szCs w:val="24"/>
        </w:rPr>
        <w:t xml:space="preserve">omit the OMB expiration date.  </w:t>
      </w:r>
      <w:bookmarkStart w:id="0" w:name="_GoBack"/>
      <w:bookmarkEnd w:id="0"/>
    </w:p>
    <w:p w:rsidR="00F10FF8" w:rsidRDefault="00F10FF8" w:rsidP="00910477">
      <w:pPr>
        <w:pStyle w:val="Heading2"/>
        <w:spacing w:line="240" w:lineRule="auto"/>
      </w:pPr>
      <w:r>
        <w:tab/>
        <w:t>18.</w:t>
      </w:r>
      <w:r>
        <w:tab/>
        <w:t>Exceptions to Certification</w:t>
      </w:r>
    </w:p>
    <w:p w:rsidR="006B3BF2" w:rsidRPr="006B3BF2" w:rsidRDefault="006B3BF2" w:rsidP="00910477">
      <w:pPr>
        <w:spacing w:line="240" w:lineRule="auto"/>
      </w:pPr>
      <w:r>
        <w:rPr>
          <w:szCs w:val="24"/>
        </w:rPr>
        <w:tab/>
        <w:t>Not applicable.  This collection complies with the requirements in 5 CFR 1320.9.</w:t>
      </w:r>
    </w:p>
    <w:p w:rsidR="00F10FF8" w:rsidRPr="00EE5F8E" w:rsidRDefault="00F10FF8" w:rsidP="00910477">
      <w:pPr>
        <w:pStyle w:val="Heading1"/>
      </w:pPr>
      <w:r>
        <w:t>B.</w:t>
      </w:r>
      <w:r>
        <w:tab/>
      </w:r>
      <w:r w:rsidRPr="00F10FF8">
        <w:rPr>
          <w:rFonts w:ascii="Times New Roman Bold" w:hAnsi="Times New Roman Bold"/>
          <w:caps/>
        </w:rPr>
        <w:t>COLLECTIONS of Information Employing Statistical Methods</w:t>
      </w:r>
    </w:p>
    <w:p w:rsidR="00F10FF8" w:rsidRDefault="00F10FF8" w:rsidP="00910477">
      <w:pPr>
        <w:keepNext/>
        <w:keepLines/>
        <w:tabs>
          <w:tab w:val="left" w:pos="-720"/>
        </w:tabs>
        <w:suppressAutoHyphens/>
        <w:spacing w:line="240" w:lineRule="auto"/>
        <w:ind w:firstLine="720"/>
        <w:rPr>
          <w:szCs w:val="24"/>
        </w:rPr>
      </w:pPr>
      <w:r>
        <w:rPr>
          <w:szCs w:val="24"/>
        </w:rPr>
        <w:t xml:space="preserve">Not applicable.  This collection </w:t>
      </w:r>
      <w:r w:rsidR="00C278C0">
        <w:rPr>
          <w:szCs w:val="24"/>
        </w:rPr>
        <w:t>would</w:t>
      </w:r>
      <w:r>
        <w:rPr>
          <w:szCs w:val="24"/>
        </w:rPr>
        <w:t xml:space="preserve"> not employ statistical methods.</w:t>
      </w:r>
    </w:p>
    <w:p w:rsidR="00F10FF8" w:rsidRPr="00F10FF8" w:rsidRDefault="00F10FF8" w:rsidP="00910477">
      <w:pPr>
        <w:keepNext/>
        <w:keepLines/>
        <w:tabs>
          <w:tab w:val="left" w:pos="-720"/>
        </w:tabs>
        <w:suppressAutoHyphens/>
        <w:spacing w:line="240" w:lineRule="auto"/>
        <w:ind w:firstLine="720"/>
        <w:rPr>
          <w:szCs w:val="24"/>
        </w:rPr>
      </w:pPr>
    </w:p>
    <w:sectPr w:rsidR="00F10FF8" w:rsidRPr="00F10F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53" w:rsidRDefault="003A4E53" w:rsidP="00A57482">
      <w:pPr>
        <w:spacing w:after="0" w:line="240" w:lineRule="auto"/>
      </w:pPr>
      <w:r>
        <w:separator/>
      </w:r>
    </w:p>
  </w:endnote>
  <w:endnote w:type="continuationSeparator" w:id="0">
    <w:p w:rsidR="003A4E53" w:rsidRDefault="003A4E53" w:rsidP="00A5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667347"/>
      <w:docPartObj>
        <w:docPartGallery w:val="Page Numbers (Bottom of Page)"/>
        <w:docPartUnique/>
      </w:docPartObj>
    </w:sdtPr>
    <w:sdtEndPr>
      <w:rPr>
        <w:noProof/>
      </w:rPr>
    </w:sdtEndPr>
    <w:sdtContent>
      <w:p w:rsidR="00F33573" w:rsidRDefault="00F33573">
        <w:pPr>
          <w:pStyle w:val="Footer"/>
          <w:jc w:val="center"/>
        </w:pPr>
        <w:r>
          <w:fldChar w:fldCharType="begin"/>
        </w:r>
        <w:r>
          <w:instrText xml:space="preserve"> PAGE   \* MERGEFORMAT </w:instrText>
        </w:r>
        <w:r>
          <w:fldChar w:fldCharType="separate"/>
        </w:r>
        <w:r w:rsidR="001527D7">
          <w:rPr>
            <w:noProof/>
          </w:rPr>
          <w:t>1</w:t>
        </w:r>
        <w:r>
          <w:rPr>
            <w:noProof/>
          </w:rPr>
          <w:fldChar w:fldCharType="end"/>
        </w:r>
      </w:p>
    </w:sdtContent>
  </w:sdt>
  <w:p w:rsidR="00F33573" w:rsidRDefault="00F33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53" w:rsidRDefault="003A4E53" w:rsidP="00A57482">
      <w:pPr>
        <w:spacing w:after="0" w:line="240" w:lineRule="auto"/>
      </w:pPr>
      <w:r>
        <w:separator/>
      </w:r>
    </w:p>
  </w:footnote>
  <w:footnote w:type="continuationSeparator" w:id="0">
    <w:p w:rsidR="003A4E53" w:rsidRDefault="003A4E53" w:rsidP="00A57482">
      <w:pPr>
        <w:spacing w:after="0" w:line="240" w:lineRule="auto"/>
      </w:pPr>
      <w:r>
        <w:continuationSeparator/>
      </w:r>
    </w:p>
  </w:footnote>
  <w:footnote w:id="1">
    <w:p w:rsidR="001F0BA2" w:rsidRDefault="001F0BA2" w:rsidP="001F0BA2">
      <w:pPr>
        <w:pStyle w:val="FootnoteText"/>
        <w:spacing w:after="120"/>
        <w:ind w:left="720" w:hanging="720"/>
      </w:pPr>
      <w:r>
        <w:rPr>
          <w:rStyle w:val="FootnoteReference"/>
        </w:rPr>
        <w:footnoteRef/>
      </w:r>
      <w:r>
        <w:t xml:space="preserve"> </w:t>
      </w:r>
      <w:r>
        <w:tab/>
      </w:r>
      <w:r>
        <w:rPr>
          <w:u w:val="single"/>
        </w:rPr>
        <w:t>See</w:t>
      </w:r>
      <w:r>
        <w:t xml:space="preserve"> </w:t>
      </w:r>
      <w:r>
        <w:rPr>
          <w:u w:val="single"/>
        </w:rPr>
        <w:t>Capital, Margin, and Segregation Requirements for Security-Based Swap Dealers and Major Security-Based Swap Participants and Capital Requirements for Broker-</w:t>
      </w:r>
      <w:r w:rsidRPr="004F3682">
        <w:rPr>
          <w:u w:val="single"/>
        </w:rPr>
        <w:t>Dealers</w:t>
      </w:r>
      <w:r>
        <w:t xml:space="preserve">, </w:t>
      </w:r>
      <w:r w:rsidRPr="004F3682">
        <w:t>Exchange</w:t>
      </w:r>
      <w:r>
        <w:t xml:space="preserve"> Act Release No. 68071 (Oct. 18, 2012), 77 FR 70213 (Nov. 23, 2012).</w:t>
      </w:r>
    </w:p>
  </w:footnote>
  <w:footnote w:id="2">
    <w:p w:rsidR="001F0BA2" w:rsidRDefault="001F0BA2" w:rsidP="001F0BA2">
      <w:pPr>
        <w:pStyle w:val="FootnoteText"/>
        <w:spacing w:after="120"/>
      </w:pPr>
      <w:r>
        <w:rPr>
          <w:rStyle w:val="FootnoteReference"/>
        </w:rPr>
        <w:footnoteRef/>
      </w:r>
      <w:r>
        <w:t xml:space="preserve"> </w:t>
      </w:r>
      <w:r>
        <w:tab/>
      </w:r>
      <w:r w:rsidRPr="001F0BA2">
        <w:rPr>
          <w:u w:val="single"/>
        </w:rPr>
        <w:t>Id.</w:t>
      </w:r>
    </w:p>
  </w:footnote>
  <w:footnote w:id="3">
    <w:p w:rsidR="003A4E53" w:rsidRDefault="003A4E53" w:rsidP="001F0BA2">
      <w:pPr>
        <w:pStyle w:val="FootnoteText"/>
        <w:spacing w:after="120"/>
        <w:ind w:left="720" w:hanging="720"/>
      </w:pPr>
      <w:r>
        <w:rPr>
          <w:rStyle w:val="FootnoteReference"/>
        </w:rPr>
        <w:footnoteRef/>
      </w:r>
      <w:r>
        <w:t xml:space="preserve"> </w:t>
      </w:r>
      <w:r>
        <w:tab/>
      </w:r>
      <w:r w:rsidR="00A77407">
        <w:t>These one</w:t>
      </w:r>
      <w:r w:rsidR="00223168">
        <w:t>-</w:t>
      </w:r>
      <w:r w:rsidR="00A77407">
        <w:t>time costs are annualized over three years resulting in 225 recordkeeping and 25 reporting hours per respondent.</w:t>
      </w:r>
    </w:p>
  </w:footnote>
  <w:footnote w:id="4">
    <w:p w:rsidR="00C41F5E" w:rsidRDefault="00C41F5E">
      <w:pPr>
        <w:pStyle w:val="FootnoteText"/>
      </w:pPr>
      <w:r>
        <w:rPr>
          <w:rStyle w:val="FootnoteReference"/>
        </w:rPr>
        <w:footnoteRef/>
      </w:r>
      <w:r>
        <w:t xml:space="preserve"> </w:t>
      </w:r>
      <w:r>
        <w:tab/>
        <w:t>Accordingly, the total annualized industry-wide reporting burden is 150 hours per year (75 one-time reporting hours annualized over three years x 6 stand-alone SBSDs) and recordkeeping burden is 29,430 hours ((675 one-time hours annualized over 3 years + 4,200 hours + 480 hours) x 6 stand-alone SBSDs).</w:t>
      </w:r>
    </w:p>
    <w:p w:rsidR="00C41F5E" w:rsidRDefault="00C41F5E">
      <w:pPr>
        <w:pStyle w:val="FootnoteText"/>
      </w:pPr>
    </w:p>
  </w:footnote>
  <w:footnote w:id="5">
    <w:p w:rsidR="003A4E53" w:rsidRPr="002B23EA" w:rsidRDefault="003A4E53" w:rsidP="001F0BA2">
      <w:pPr>
        <w:pStyle w:val="FootnoteText"/>
        <w:spacing w:after="120"/>
        <w:ind w:left="720" w:hanging="720"/>
      </w:pPr>
      <w:r w:rsidRPr="002B23EA">
        <w:rPr>
          <w:rStyle w:val="FootnoteReference"/>
        </w:rPr>
        <w:footnoteRef/>
      </w:r>
      <w:r w:rsidRPr="002B23EA">
        <w:t xml:space="preserve"> </w:t>
      </w:r>
      <w:r w:rsidRPr="002B23EA">
        <w:tab/>
      </w:r>
      <w:proofErr w:type="gramStart"/>
      <w:r>
        <w:t>6 stand-alone SBSDs using models</w:t>
      </w:r>
      <w:r w:rsidRPr="002B23EA">
        <w:t xml:space="preserve"> x 200 hours = </w:t>
      </w:r>
      <w:r>
        <w:t>1,2</w:t>
      </w:r>
      <w:r w:rsidRPr="002B23EA">
        <w:t>00 hours.</w:t>
      </w:r>
      <w:proofErr w:type="gramEnd"/>
      <w:r>
        <w:t xml:space="preserve">  </w:t>
      </w:r>
      <w:r w:rsidR="00F33573">
        <w:t>This number annualized over 3 years is 66.67 hours per stand-alone SBSD.</w:t>
      </w:r>
    </w:p>
  </w:footnote>
  <w:footnote w:id="6">
    <w:p w:rsidR="003A4E53" w:rsidRDefault="003A4E53" w:rsidP="005227AE">
      <w:pPr>
        <w:pStyle w:val="FootnoteText"/>
        <w:spacing w:after="120"/>
        <w:ind w:left="720" w:hanging="720"/>
      </w:pPr>
      <w:r>
        <w:rPr>
          <w:rStyle w:val="FootnoteReference"/>
        </w:rPr>
        <w:footnoteRef/>
      </w:r>
      <w:r>
        <w:t xml:space="preserve"> </w:t>
      </w:r>
      <w:r>
        <w:tab/>
      </w:r>
      <w:proofErr w:type="gramStart"/>
      <w:r>
        <w:t>6 stand-alone SBSDs using models x 50 hours/month x 12 months = 3,600 hours.</w:t>
      </w:r>
      <w:proofErr w:type="gramEnd"/>
      <w:r w:rsidR="00C41F5E">
        <w:t xml:space="preserve">  The total annualized recordkeeping burden is 4,000 hours (200 hours annualized over 3 years x 6 standalone SBSDs + 3,600 hours).</w:t>
      </w:r>
    </w:p>
  </w:footnote>
  <w:footnote w:id="7">
    <w:p w:rsidR="005849D7" w:rsidRDefault="005849D7" w:rsidP="00223168">
      <w:pPr>
        <w:pStyle w:val="FootnoteText"/>
        <w:ind w:left="720" w:hanging="720"/>
      </w:pPr>
      <w:r>
        <w:rPr>
          <w:rStyle w:val="FootnoteReference"/>
        </w:rPr>
        <w:footnoteRef/>
      </w:r>
      <w:r>
        <w:t xml:space="preserve"> </w:t>
      </w:r>
      <w:r>
        <w:tab/>
        <w:t>This amount will be annualized over three years, which results an annual burden of 666.66 recordkeeping hours.</w:t>
      </w:r>
    </w:p>
    <w:p w:rsidR="00223168" w:rsidRDefault="00223168" w:rsidP="00223168">
      <w:pPr>
        <w:pStyle w:val="FootnoteText"/>
        <w:ind w:left="720" w:hanging="720"/>
      </w:pPr>
    </w:p>
  </w:footnote>
  <w:footnote w:id="8">
    <w:p w:rsidR="003A4E53" w:rsidRPr="00AB7265" w:rsidRDefault="003A4E53" w:rsidP="001F0BA2">
      <w:pPr>
        <w:pStyle w:val="FootnoteText"/>
        <w:spacing w:after="120"/>
        <w:ind w:left="720" w:hanging="720"/>
      </w:pPr>
      <w:r>
        <w:rPr>
          <w:rStyle w:val="FootnoteReference"/>
        </w:rPr>
        <w:footnoteRef/>
      </w:r>
      <w:r>
        <w:t xml:space="preserve"> </w:t>
      </w:r>
      <w:r>
        <w:tab/>
        <w:t xml:space="preserve">The one-time estimate of 2,000 hours and the annual estimate of 250 hours </w:t>
      </w:r>
      <w:proofErr w:type="gramStart"/>
      <w:r>
        <w:t>is</w:t>
      </w:r>
      <w:proofErr w:type="gramEnd"/>
      <w:r>
        <w:t xml:space="preserve"> based on the estimates for OTC derivatives dealer burdens to implement the same controls under Rule 15c3-1.  </w:t>
      </w:r>
      <w:r>
        <w:rPr>
          <w:u w:val="single"/>
        </w:rPr>
        <w:t>See</w:t>
      </w:r>
      <w:r>
        <w:t xml:space="preserve"> </w:t>
      </w:r>
      <w:r>
        <w:rPr>
          <w:u w:val="single"/>
        </w:rPr>
        <w:t>OTC Derivatives Dealers</w:t>
      </w:r>
      <w:r>
        <w:t>, 62 FR 67940.</w:t>
      </w:r>
    </w:p>
  </w:footnote>
  <w:footnote w:id="9">
    <w:p w:rsidR="003A4E53" w:rsidRDefault="003A4E53" w:rsidP="001F0BA2">
      <w:pPr>
        <w:pStyle w:val="FootnoteText"/>
        <w:spacing w:after="120"/>
      </w:pPr>
      <w:r>
        <w:rPr>
          <w:rStyle w:val="FootnoteReference"/>
        </w:rPr>
        <w:footnoteRef/>
      </w:r>
      <w:r>
        <w:t xml:space="preserve"> </w:t>
      </w:r>
      <w:r>
        <w:tab/>
      </w:r>
      <w:proofErr w:type="gramStart"/>
      <w:r>
        <w:t>9 stand-alone SBSDs x 2,000 hours = 18,000 hours.</w:t>
      </w:r>
      <w:proofErr w:type="gramEnd"/>
    </w:p>
  </w:footnote>
  <w:footnote w:id="10">
    <w:p w:rsidR="003A4E53" w:rsidRDefault="003A4E53" w:rsidP="005227AE">
      <w:pPr>
        <w:pStyle w:val="FootnoteText"/>
        <w:spacing w:after="120"/>
        <w:ind w:left="720" w:hanging="720"/>
      </w:pPr>
      <w:r>
        <w:rPr>
          <w:rStyle w:val="FootnoteReference"/>
        </w:rPr>
        <w:footnoteRef/>
      </w:r>
      <w:r>
        <w:t xml:space="preserve"> </w:t>
      </w:r>
      <w:r>
        <w:tab/>
      </w:r>
      <w:proofErr w:type="gramStart"/>
      <w:r>
        <w:t>9 stand-alone SBSDs x 250 hours/year = 2,250 hours/year.</w:t>
      </w:r>
      <w:proofErr w:type="gramEnd"/>
      <w:r w:rsidR="002A42F0">
        <w:t xml:space="preserve">  The total annualized recordkeeping burden is 8,250 hours (18,000 one-time hours annualized over 3 years + 2,250 hours).</w:t>
      </w:r>
    </w:p>
  </w:footnote>
  <w:footnote w:id="11">
    <w:p w:rsidR="003A4E53" w:rsidRDefault="003A4E53" w:rsidP="001F0BA2">
      <w:pPr>
        <w:pStyle w:val="FootnoteText"/>
        <w:spacing w:after="120"/>
      </w:pPr>
      <w:r>
        <w:rPr>
          <w:rStyle w:val="FootnoteReference"/>
        </w:rPr>
        <w:footnoteRef/>
      </w:r>
      <w:r>
        <w:t xml:space="preserve"> </w:t>
      </w:r>
      <w:r>
        <w:tab/>
      </w:r>
      <w:proofErr w:type="gramStart"/>
      <w:r>
        <w:t>3 non-model stand-alone SBSDs x 1 hour/year = 6 hours/year.</w:t>
      </w:r>
      <w:proofErr w:type="gramEnd"/>
    </w:p>
  </w:footnote>
  <w:footnote w:id="12">
    <w:p w:rsidR="003A4E53" w:rsidRDefault="003A4E53" w:rsidP="001F0BA2">
      <w:pPr>
        <w:pStyle w:val="FootnoteText"/>
        <w:spacing w:after="120"/>
      </w:pPr>
      <w:r>
        <w:rPr>
          <w:rStyle w:val="FootnoteReference"/>
        </w:rPr>
        <w:footnoteRef/>
      </w:r>
      <w:r>
        <w:t xml:space="preserve"> </w:t>
      </w:r>
      <w:r>
        <w:tab/>
      </w:r>
      <w:proofErr w:type="gramStart"/>
      <w:r>
        <w:t>9 stand-alone SBSDs x 30 minutes/year = 4.5 hours/year.</w:t>
      </w:r>
      <w:proofErr w:type="gramEnd"/>
    </w:p>
  </w:footnote>
  <w:footnote w:id="13">
    <w:p w:rsidR="003A4E53" w:rsidRDefault="003A4E53" w:rsidP="001F0BA2">
      <w:pPr>
        <w:pStyle w:val="FootnoteText"/>
        <w:spacing w:after="120"/>
      </w:pPr>
      <w:r>
        <w:rPr>
          <w:rStyle w:val="FootnoteReference"/>
        </w:rPr>
        <w:footnoteRef/>
      </w:r>
      <w:r>
        <w:t xml:space="preserve"> </w:t>
      </w:r>
      <w:r>
        <w:tab/>
      </w:r>
      <w:proofErr w:type="gramStart"/>
      <w:r>
        <w:t>9 stand-alone SBSDs x 20 hours = 180 hours.</w:t>
      </w:r>
      <w:proofErr w:type="gramEnd"/>
      <w:r w:rsidR="005849D7">
        <w:t xml:space="preserve">  This amount annualized is </w:t>
      </w:r>
      <w:r w:rsidR="00FB13FA">
        <w:t>6.66 hours per respondent.</w:t>
      </w:r>
    </w:p>
  </w:footnote>
  <w:footnote w:id="14">
    <w:p w:rsidR="003A4E53" w:rsidRDefault="003A4E53" w:rsidP="005227AE">
      <w:pPr>
        <w:pStyle w:val="FootnoteText"/>
        <w:spacing w:after="120"/>
        <w:ind w:left="720" w:hanging="720"/>
      </w:pPr>
      <w:r>
        <w:rPr>
          <w:rStyle w:val="FootnoteReference"/>
        </w:rPr>
        <w:footnoteRef/>
      </w:r>
      <w:r>
        <w:t xml:space="preserve"> </w:t>
      </w:r>
      <w:r>
        <w:tab/>
      </w:r>
      <w:proofErr w:type="gramStart"/>
      <w:r>
        <w:t>9 stand-alone SBSDs x 10 hours/year = 90 hours/year.</w:t>
      </w:r>
      <w:proofErr w:type="gramEnd"/>
      <w:r w:rsidR="002A42F0">
        <w:t xml:space="preserve">  The total annualized industry-wide hour reporting burden is 154.5 hours (4.5 hours + (180 hours annualized over 3 years) + 90 hours).</w:t>
      </w:r>
    </w:p>
  </w:footnote>
  <w:footnote w:id="15">
    <w:p w:rsidR="003A4E53" w:rsidRDefault="003A4E53" w:rsidP="001F0BA2">
      <w:pPr>
        <w:pStyle w:val="FootnoteText"/>
        <w:spacing w:after="120"/>
        <w:ind w:left="720" w:hanging="720"/>
      </w:pPr>
      <w:r>
        <w:rPr>
          <w:rStyle w:val="FootnoteReference"/>
        </w:rPr>
        <w:footnoteRef/>
      </w:r>
      <w:r>
        <w:t xml:space="preserve"> </w:t>
      </w:r>
      <w:r>
        <w:tab/>
      </w:r>
      <w:r w:rsidR="00A77407">
        <w:t>This amount annualized over three years is $33,333.33 per respondent.</w:t>
      </w:r>
    </w:p>
  </w:footnote>
  <w:footnote w:id="16">
    <w:p w:rsidR="002A42F0" w:rsidRDefault="002A42F0" w:rsidP="005227AE">
      <w:pPr>
        <w:pStyle w:val="FootnoteText"/>
        <w:ind w:left="720" w:hanging="720"/>
      </w:pPr>
      <w:r>
        <w:rPr>
          <w:rStyle w:val="FootnoteReference"/>
        </w:rPr>
        <w:footnoteRef/>
      </w:r>
      <w:r>
        <w:t xml:space="preserve"> </w:t>
      </w:r>
      <w:r>
        <w:tab/>
        <w:t>The total annualized industry-wide recordkeeping cost is $3,944,900 (6 stand-alone SBSDs x ($100,000 annualized over 3 years + $624,000).</w:t>
      </w:r>
    </w:p>
    <w:p w:rsidR="002A42F0" w:rsidRDefault="002A42F0">
      <w:pPr>
        <w:pStyle w:val="FootnoteText"/>
      </w:pPr>
    </w:p>
  </w:footnote>
  <w:footnote w:id="17">
    <w:p w:rsidR="003A4E53" w:rsidRDefault="003A4E53" w:rsidP="001F0BA2">
      <w:pPr>
        <w:pStyle w:val="FootnoteText"/>
        <w:spacing w:after="120"/>
      </w:pPr>
      <w:r>
        <w:rPr>
          <w:rStyle w:val="FootnoteReference"/>
        </w:rPr>
        <w:footnoteRef/>
      </w:r>
      <w:r>
        <w:t xml:space="preserve"> </w:t>
      </w:r>
      <w:r>
        <w:tab/>
      </w:r>
      <w:r w:rsidR="00AD03B6">
        <w:t>9</w:t>
      </w:r>
      <w:r>
        <w:t xml:space="preserve"> nonbank SBSDs x $16,000 / 3 years = $</w:t>
      </w:r>
      <w:r w:rsidR="00AD03B6">
        <w:t>48</w:t>
      </w:r>
      <w:r>
        <w:t>,000.</w:t>
      </w:r>
    </w:p>
  </w:footnote>
  <w:footnote w:id="18">
    <w:p w:rsidR="003A4E53" w:rsidRDefault="003A4E53" w:rsidP="005227AE">
      <w:pPr>
        <w:pStyle w:val="FootnoteText"/>
        <w:spacing w:after="120"/>
        <w:ind w:left="720" w:hanging="720"/>
      </w:pPr>
      <w:r>
        <w:rPr>
          <w:rStyle w:val="FootnoteReference"/>
        </w:rPr>
        <w:footnoteRef/>
      </w:r>
      <w:r>
        <w:t xml:space="preserve"> </w:t>
      </w:r>
      <w:r>
        <w:tab/>
      </w:r>
      <w:r w:rsidR="00AD03B6">
        <w:t>9</w:t>
      </w:r>
      <w:r>
        <w:t xml:space="preserve"> nonbank SBSDs x $20,500/year = $</w:t>
      </w:r>
      <w:r w:rsidR="00AD03B6">
        <w:t>184,500</w:t>
      </w:r>
      <w:r>
        <w:t>.</w:t>
      </w:r>
      <w:r w:rsidR="002A42F0">
        <w:t xml:space="preserve">  The total annualized industry-wide recordkeeping cost is $232,500 (9 nonbank SBSDs x ($16,000 annualized over 3 years +$20,500).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3467D90"/>
    <w:multiLevelType w:val="hybridMultilevel"/>
    <w:tmpl w:val="DE4A4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0B5E94"/>
    <w:multiLevelType w:val="hybridMultilevel"/>
    <w:tmpl w:val="4BFEC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1D"/>
    <w:rsid w:val="00003846"/>
    <w:rsid w:val="00006F5A"/>
    <w:rsid w:val="00012B49"/>
    <w:rsid w:val="00024058"/>
    <w:rsid w:val="000243C4"/>
    <w:rsid w:val="000275AB"/>
    <w:rsid w:val="00044C2D"/>
    <w:rsid w:val="000462D6"/>
    <w:rsid w:val="000641ED"/>
    <w:rsid w:val="00075313"/>
    <w:rsid w:val="00076E90"/>
    <w:rsid w:val="0008661F"/>
    <w:rsid w:val="000A69B7"/>
    <w:rsid w:val="000B4BA0"/>
    <w:rsid w:val="000C184F"/>
    <w:rsid w:val="000C349B"/>
    <w:rsid w:val="0010689C"/>
    <w:rsid w:val="00106A33"/>
    <w:rsid w:val="00124888"/>
    <w:rsid w:val="001332E7"/>
    <w:rsid w:val="00134396"/>
    <w:rsid w:val="00143565"/>
    <w:rsid w:val="001463D7"/>
    <w:rsid w:val="00151C33"/>
    <w:rsid w:val="001527D7"/>
    <w:rsid w:val="001759CA"/>
    <w:rsid w:val="0018567F"/>
    <w:rsid w:val="001A6BD5"/>
    <w:rsid w:val="001C225C"/>
    <w:rsid w:val="001C2FAD"/>
    <w:rsid w:val="001C4B7D"/>
    <w:rsid w:val="001D3360"/>
    <w:rsid w:val="001D4654"/>
    <w:rsid w:val="001D546A"/>
    <w:rsid w:val="001E5513"/>
    <w:rsid w:val="001E641E"/>
    <w:rsid w:val="001F0BA2"/>
    <w:rsid w:val="001F2AEF"/>
    <w:rsid w:val="00223168"/>
    <w:rsid w:val="00223BA4"/>
    <w:rsid w:val="00243BC0"/>
    <w:rsid w:val="00271482"/>
    <w:rsid w:val="00280AF8"/>
    <w:rsid w:val="002815FC"/>
    <w:rsid w:val="002973A4"/>
    <w:rsid w:val="002A42F0"/>
    <w:rsid w:val="002B4F54"/>
    <w:rsid w:val="002C36EC"/>
    <w:rsid w:val="002D6418"/>
    <w:rsid w:val="002F6B59"/>
    <w:rsid w:val="0030148B"/>
    <w:rsid w:val="00302306"/>
    <w:rsid w:val="00304AE2"/>
    <w:rsid w:val="00305E15"/>
    <w:rsid w:val="003520A0"/>
    <w:rsid w:val="003555C8"/>
    <w:rsid w:val="00373C6D"/>
    <w:rsid w:val="003A449B"/>
    <w:rsid w:val="003A4E53"/>
    <w:rsid w:val="003C740F"/>
    <w:rsid w:val="003E401B"/>
    <w:rsid w:val="003E6B60"/>
    <w:rsid w:val="003F281C"/>
    <w:rsid w:val="004037D0"/>
    <w:rsid w:val="0040411D"/>
    <w:rsid w:val="004122F7"/>
    <w:rsid w:val="00415FB5"/>
    <w:rsid w:val="00421245"/>
    <w:rsid w:val="0043062A"/>
    <w:rsid w:val="00465B8C"/>
    <w:rsid w:val="00471A20"/>
    <w:rsid w:val="00491FA0"/>
    <w:rsid w:val="004968DC"/>
    <w:rsid w:val="004B7752"/>
    <w:rsid w:val="004E3872"/>
    <w:rsid w:val="004E39CF"/>
    <w:rsid w:val="004E567E"/>
    <w:rsid w:val="005227AE"/>
    <w:rsid w:val="0055388E"/>
    <w:rsid w:val="005544C9"/>
    <w:rsid w:val="00555F8F"/>
    <w:rsid w:val="00580FDC"/>
    <w:rsid w:val="005849D7"/>
    <w:rsid w:val="00624CCC"/>
    <w:rsid w:val="00631520"/>
    <w:rsid w:val="00644CEA"/>
    <w:rsid w:val="00652C3B"/>
    <w:rsid w:val="00655DB3"/>
    <w:rsid w:val="00674D6C"/>
    <w:rsid w:val="00675B05"/>
    <w:rsid w:val="00683451"/>
    <w:rsid w:val="00686CB9"/>
    <w:rsid w:val="00690345"/>
    <w:rsid w:val="006B3BF2"/>
    <w:rsid w:val="006B4C0F"/>
    <w:rsid w:val="006D054D"/>
    <w:rsid w:val="006E71F2"/>
    <w:rsid w:val="006E78F4"/>
    <w:rsid w:val="006F373A"/>
    <w:rsid w:val="006F4165"/>
    <w:rsid w:val="007009BB"/>
    <w:rsid w:val="00712085"/>
    <w:rsid w:val="007158D4"/>
    <w:rsid w:val="00716C7D"/>
    <w:rsid w:val="0072277B"/>
    <w:rsid w:val="00733DF8"/>
    <w:rsid w:val="00734139"/>
    <w:rsid w:val="00734189"/>
    <w:rsid w:val="00751730"/>
    <w:rsid w:val="00761F75"/>
    <w:rsid w:val="007666AC"/>
    <w:rsid w:val="00767A4C"/>
    <w:rsid w:val="00767EA7"/>
    <w:rsid w:val="007713A6"/>
    <w:rsid w:val="00782B96"/>
    <w:rsid w:val="00783C9F"/>
    <w:rsid w:val="007A631E"/>
    <w:rsid w:val="007B1D65"/>
    <w:rsid w:val="007D50A5"/>
    <w:rsid w:val="007E0AB3"/>
    <w:rsid w:val="00831293"/>
    <w:rsid w:val="008400B0"/>
    <w:rsid w:val="00880427"/>
    <w:rsid w:val="00893E43"/>
    <w:rsid w:val="008C1549"/>
    <w:rsid w:val="008C174F"/>
    <w:rsid w:val="008D2909"/>
    <w:rsid w:val="008E430E"/>
    <w:rsid w:val="008F6E56"/>
    <w:rsid w:val="00900200"/>
    <w:rsid w:val="00900AD3"/>
    <w:rsid w:val="00910477"/>
    <w:rsid w:val="009301AB"/>
    <w:rsid w:val="009356E5"/>
    <w:rsid w:val="009645B0"/>
    <w:rsid w:val="00966633"/>
    <w:rsid w:val="009752FD"/>
    <w:rsid w:val="00977B4A"/>
    <w:rsid w:val="00981998"/>
    <w:rsid w:val="00993C14"/>
    <w:rsid w:val="00995157"/>
    <w:rsid w:val="009A654B"/>
    <w:rsid w:val="009B373B"/>
    <w:rsid w:val="009C3E75"/>
    <w:rsid w:val="009C43D1"/>
    <w:rsid w:val="009C4F0A"/>
    <w:rsid w:val="009D19C2"/>
    <w:rsid w:val="009D278A"/>
    <w:rsid w:val="009F1029"/>
    <w:rsid w:val="00A05049"/>
    <w:rsid w:val="00A06471"/>
    <w:rsid w:val="00A1600C"/>
    <w:rsid w:val="00A371E0"/>
    <w:rsid w:val="00A5383E"/>
    <w:rsid w:val="00A57482"/>
    <w:rsid w:val="00A70EF7"/>
    <w:rsid w:val="00A73E8B"/>
    <w:rsid w:val="00A77407"/>
    <w:rsid w:val="00AA0CEB"/>
    <w:rsid w:val="00AB7265"/>
    <w:rsid w:val="00AD03B6"/>
    <w:rsid w:val="00AD1C76"/>
    <w:rsid w:val="00AF247C"/>
    <w:rsid w:val="00B034D3"/>
    <w:rsid w:val="00B16CE1"/>
    <w:rsid w:val="00B226EA"/>
    <w:rsid w:val="00B37552"/>
    <w:rsid w:val="00B443B6"/>
    <w:rsid w:val="00B60A81"/>
    <w:rsid w:val="00B87A62"/>
    <w:rsid w:val="00B90E80"/>
    <w:rsid w:val="00B92120"/>
    <w:rsid w:val="00B933E9"/>
    <w:rsid w:val="00BA0DBE"/>
    <w:rsid w:val="00BA55F1"/>
    <w:rsid w:val="00BB30B4"/>
    <w:rsid w:val="00BC4CFF"/>
    <w:rsid w:val="00C02379"/>
    <w:rsid w:val="00C138FD"/>
    <w:rsid w:val="00C278C0"/>
    <w:rsid w:val="00C41F5E"/>
    <w:rsid w:val="00C4787C"/>
    <w:rsid w:val="00C57F3C"/>
    <w:rsid w:val="00C62B08"/>
    <w:rsid w:val="00C65814"/>
    <w:rsid w:val="00C77646"/>
    <w:rsid w:val="00C8054E"/>
    <w:rsid w:val="00C94AEC"/>
    <w:rsid w:val="00CD4F7D"/>
    <w:rsid w:val="00CE2E79"/>
    <w:rsid w:val="00CF46F0"/>
    <w:rsid w:val="00D23E67"/>
    <w:rsid w:val="00D26ADE"/>
    <w:rsid w:val="00D348B8"/>
    <w:rsid w:val="00D73339"/>
    <w:rsid w:val="00D76F3F"/>
    <w:rsid w:val="00D872FB"/>
    <w:rsid w:val="00DC5813"/>
    <w:rsid w:val="00DD5459"/>
    <w:rsid w:val="00DE520A"/>
    <w:rsid w:val="00DE6E50"/>
    <w:rsid w:val="00DF75E2"/>
    <w:rsid w:val="00E10F1A"/>
    <w:rsid w:val="00E15403"/>
    <w:rsid w:val="00E20537"/>
    <w:rsid w:val="00E23891"/>
    <w:rsid w:val="00E278EE"/>
    <w:rsid w:val="00E46A20"/>
    <w:rsid w:val="00E82337"/>
    <w:rsid w:val="00E967E7"/>
    <w:rsid w:val="00EA4723"/>
    <w:rsid w:val="00EC0E46"/>
    <w:rsid w:val="00EF0BAD"/>
    <w:rsid w:val="00EF592B"/>
    <w:rsid w:val="00F10FF8"/>
    <w:rsid w:val="00F33573"/>
    <w:rsid w:val="00F615BF"/>
    <w:rsid w:val="00F65CF1"/>
    <w:rsid w:val="00F70143"/>
    <w:rsid w:val="00F70497"/>
    <w:rsid w:val="00FB13FA"/>
    <w:rsid w:val="00FE2EDA"/>
    <w:rsid w:val="00F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98"/>
    <w:pPr>
      <w:spacing w:after="240"/>
    </w:pPr>
    <w:rPr>
      <w:rFonts w:ascii="Times New Roman" w:hAnsi="Times New Roman"/>
      <w:sz w:val="24"/>
    </w:rPr>
  </w:style>
  <w:style w:type="paragraph" w:styleId="Heading1">
    <w:name w:val="heading 1"/>
    <w:basedOn w:val="Normal"/>
    <w:next w:val="Normal"/>
    <w:link w:val="Heading1Char"/>
    <w:uiPriority w:val="9"/>
    <w:qFormat/>
    <w:rsid w:val="00271482"/>
    <w:pPr>
      <w:keepNext/>
      <w:keepLines/>
      <w:spacing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71482"/>
    <w:pPr>
      <w:keepNext/>
      <w:keepLines/>
      <w:ind w:right="7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A57482"/>
    <w:pPr>
      <w:spacing w:after="0" w:line="240" w:lineRule="auto"/>
    </w:pPr>
    <w:rPr>
      <w:rFonts w:eastAsia="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A57482"/>
    <w:rPr>
      <w:rFonts w:ascii="Times New Roman" w:eastAsia="Times New Roman" w:hAnsi="Times New Roman" w:cs="Times New Roman"/>
      <w:sz w:val="20"/>
      <w:szCs w:val="20"/>
    </w:rPr>
  </w:style>
  <w:style w:type="character" w:styleId="FootnoteReference">
    <w:name w:val="footnote reference"/>
    <w:aliases w:val="Style 19,Style 16,fr,Style 35"/>
    <w:basedOn w:val="DefaultParagraphFont"/>
    <w:uiPriority w:val="99"/>
    <w:rsid w:val="00A57482"/>
    <w:rPr>
      <w:vertAlign w:val="superscript"/>
    </w:rPr>
  </w:style>
  <w:style w:type="character" w:customStyle="1" w:styleId="Heading1Char">
    <w:name w:val="Heading 1 Char"/>
    <w:basedOn w:val="DefaultParagraphFont"/>
    <w:link w:val="Heading1"/>
    <w:uiPriority w:val="9"/>
    <w:rsid w:val="0027148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71482"/>
    <w:rPr>
      <w:rFonts w:ascii="Times New Roman" w:eastAsiaTheme="majorEastAsia" w:hAnsi="Times New Roman" w:cstheme="majorBidi"/>
      <w:b/>
      <w:bCs/>
      <w:szCs w:val="26"/>
    </w:rPr>
  </w:style>
  <w:style w:type="character" w:styleId="Hyperlink">
    <w:name w:val="Hyperlink"/>
    <w:basedOn w:val="DefaultParagraphFont"/>
    <w:uiPriority w:val="99"/>
    <w:unhideWhenUsed/>
    <w:rsid w:val="00580FDC"/>
    <w:rPr>
      <w:color w:val="0000FF" w:themeColor="hyperlink"/>
      <w:u w:val="single"/>
    </w:rPr>
  </w:style>
  <w:style w:type="paragraph" w:styleId="BalloonText">
    <w:name w:val="Balloon Text"/>
    <w:basedOn w:val="Normal"/>
    <w:link w:val="BalloonTextChar"/>
    <w:uiPriority w:val="99"/>
    <w:semiHidden/>
    <w:unhideWhenUsed/>
    <w:rsid w:val="008F6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E56"/>
    <w:rPr>
      <w:rFonts w:ascii="Tahoma" w:hAnsi="Tahoma" w:cs="Tahoma"/>
      <w:sz w:val="16"/>
      <w:szCs w:val="16"/>
    </w:rPr>
  </w:style>
  <w:style w:type="character" w:styleId="CommentReference">
    <w:name w:val="annotation reference"/>
    <w:basedOn w:val="DefaultParagraphFont"/>
    <w:uiPriority w:val="99"/>
    <w:semiHidden/>
    <w:unhideWhenUsed/>
    <w:rsid w:val="00A77407"/>
    <w:rPr>
      <w:sz w:val="16"/>
      <w:szCs w:val="16"/>
    </w:rPr>
  </w:style>
  <w:style w:type="paragraph" w:styleId="CommentText">
    <w:name w:val="annotation text"/>
    <w:basedOn w:val="Normal"/>
    <w:link w:val="CommentTextChar"/>
    <w:uiPriority w:val="99"/>
    <w:semiHidden/>
    <w:unhideWhenUsed/>
    <w:rsid w:val="00A77407"/>
    <w:pPr>
      <w:spacing w:line="240" w:lineRule="auto"/>
    </w:pPr>
    <w:rPr>
      <w:sz w:val="20"/>
      <w:szCs w:val="20"/>
    </w:rPr>
  </w:style>
  <w:style w:type="character" w:customStyle="1" w:styleId="CommentTextChar">
    <w:name w:val="Comment Text Char"/>
    <w:basedOn w:val="DefaultParagraphFont"/>
    <w:link w:val="CommentText"/>
    <w:uiPriority w:val="99"/>
    <w:semiHidden/>
    <w:rsid w:val="00A774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7407"/>
    <w:rPr>
      <w:b/>
      <w:bCs/>
    </w:rPr>
  </w:style>
  <w:style w:type="character" w:customStyle="1" w:styleId="CommentSubjectChar">
    <w:name w:val="Comment Subject Char"/>
    <w:basedOn w:val="CommentTextChar"/>
    <w:link w:val="CommentSubject"/>
    <w:uiPriority w:val="99"/>
    <w:semiHidden/>
    <w:rsid w:val="00A77407"/>
    <w:rPr>
      <w:rFonts w:ascii="Times New Roman" w:hAnsi="Times New Roman"/>
      <w:b/>
      <w:bCs/>
      <w:sz w:val="20"/>
      <w:szCs w:val="20"/>
    </w:rPr>
  </w:style>
  <w:style w:type="paragraph" w:styleId="Header">
    <w:name w:val="header"/>
    <w:basedOn w:val="Normal"/>
    <w:link w:val="HeaderChar"/>
    <w:uiPriority w:val="99"/>
    <w:unhideWhenUsed/>
    <w:rsid w:val="00F33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573"/>
    <w:rPr>
      <w:rFonts w:ascii="Times New Roman" w:hAnsi="Times New Roman"/>
      <w:sz w:val="24"/>
    </w:rPr>
  </w:style>
  <w:style w:type="paragraph" w:styleId="Footer">
    <w:name w:val="footer"/>
    <w:basedOn w:val="Normal"/>
    <w:link w:val="FooterChar"/>
    <w:uiPriority w:val="99"/>
    <w:unhideWhenUsed/>
    <w:rsid w:val="00F33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57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98"/>
    <w:pPr>
      <w:spacing w:after="240"/>
    </w:pPr>
    <w:rPr>
      <w:rFonts w:ascii="Times New Roman" w:hAnsi="Times New Roman"/>
      <w:sz w:val="24"/>
    </w:rPr>
  </w:style>
  <w:style w:type="paragraph" w:styleId="Heading1">
    <w:name w:val="heading 1"/>
    <w:basedOn w:val="Normal"/>
    <w:next w:val="Normal"/>
    <w:link w:val="Heading1Char"/>
    <w:uiPriority w:val="9"/>
    <w:qFormat/>
    <w:rsid w:val="00271482"/>
    <w:pPr>
      <w:keepNext/>
      <w:keepLines/>
      <w:spacing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71482"/>
    <w:pPr>
      <w:keepNext/>
      <w:keepLines/>
      <w:ind w:right="7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A57482"/>
    <w:pPr>
      <w:spacing w:after="0" w:line="240" w:lineRule="auto"/>
    </w:pPr>
    <w:rPr>
      <w:rFonts w:eastAsia="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A57482"/>
    <w:rPr>
      <w:rFonts w:ascii="Times New Roman" w:eastAsia="Times New Roman" w:hAnsi="Times New Roman" w:cs="Times New Roman"/>
      <w:sz w:val="20"/>
      <w:szCs w:val="20"/>
    </w:rPr>
  </w:style>
  <w:style w:type="character" w:styleId="FootnoteReference">
    <w:name w:val="footnote reference"/>
    <w:aliases w:val="Style 19,Style 16,fr,Style 35"/>
    <w:basedOn w:val="DefaultParagraphFont"/>
    <w:uiPriority w:val="99"/>
    <w:rsid w:val="00A57482"/>
    <w:rPr>
      <w:vertAlign w:val="superscript"/>
    </w:rPr>
  </w:style>
  <w:style w:type="character" w:customStyle="1" w:styleId="Heading1Char">
    <w:name w:val="Heading 1 Char"/>
    <w:basedOn w:val="DefaultParagraphFont"/>
    <w:link w:val="Heading1"/>
    <w:uiPriority w:val="9"/>
    <w:rsid w:val="0027148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71482"/>
    <w:rPr>
      <w:rFonts w:ascii="Times New Roman" w:eastAsiaTheme="majorEastAsia" w:hAnsi="Times New Roman" w:cstheme="majorBidi"/>
      <w:b/>
      <w:bCs/>
      <w:szCs w:val="26"/>
    </w:rPr>
  </w:style>
  <w:style w:type="character" w:styleId="Hyperlink">
    <w:name w:val="Hyperlink"/>
    <w:basedOn w:val="DefaultParagraphFont"/>
    <w:uiPriority w:val="99"/>
    <w:unhideWhenUsed/>
    <w:rsid w:val="00580FDC"/>
    <w:rPr>
      <w:color w:val="0000FF" w:themeColor="hyperlink"/>
      <w:u w:val="single"/>
    </w:rPr>
  </w:style>
  <w:style w:type="paragraph" w:styleId="BalloonText">
    <w:name w:val="Balloon Text"/>
    <w:basedOn w:val="Normal"/>
    <w:link w:val="BalloonTextChar"/>
    <w:uiPriority w:val="99"/>
    <w:semiHidden/>
    <w:unhideWhenUsed/>
    <w:rsid w:val="008F6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E56"/>
    <w:rPr>
      <w:rFonts w:ascii="Tahoma" w:hAnsi="Tahoma" w:cs="Tahoma"/>
      <w:sz w:val="16"/>
      <w:szCs w:val="16"/>
    </w:rPr>
  </w:style>
  <w:style w:type="character" w:styleId="CommentReference">
    <w:name w:val="annotation reference"/>
    <w:basedOn w:val="DefaultParagraphFont"/>
    <w:uiPriority w:val="99"/>
    <w:semiHidden/>
    <w:unhideWhenUsed/>
    <w:rsid w:val="00A77407"/>
    <w:rPr>
      <w:sz w:val="16"/>
      <w:szCs w:val="16"/>
    </w:rPr>
  </w:style>
  <w:style w:type="paragraph" w:styleId="CommentText">
    <w:name w:val="annotation text"/>
    <w:basedOn w:val="Normal"/>
    <w:link w:val="CommentTextChar"/>
    <w:uiPriority w:val="99"/>
    <w:semiHidden/>
    <w:unhideWhenUsed/>
    <w:rsid w:val="00A77407"/>
    <w:pPr>
      <w:spacing w:line="240" w:lineRule="auto"/>
    </w:pPr>
    <w:rPr>
      <w:sz w:val="20"/>
      <w:szCs w:val="20"/>
    </w:rPr>
  </w:style>
  <w:style w:type="character" w:customStyle="1" w:styleId="CommentTextChar">
    <w:name w:val="Comment Text Char"/>
    <w:basedOn w:val="DefaultParagraphFont"/>
    <w:link w:val="CommentText"/>
    <w:uiPriority w:val="99"/>
    <w:semiHidden/>
    <w:rsid w:val="00A774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7407"/>
    <w:rPr>
      <w:b/>
      <w:bCs/>
    </w:rPr>
  </w:style>
  <w:style w:type="character" w:customStyle="1" w:styleId="CommentSubjectChar">
    <w:name w:val="Comment Subject Char"/>
    <w:basedOn w:val="CommentTextChar"/>
    <w:link w:val="CommentSubject"/>
    <w:uiPriority w:val="99"/>
    <w:semiHidden/>
    <w:rsid w:val="00A77407"/>
    <w:rPr>
      <w:rFonts w:ascii="Times New Roman" w:hAnsi="Times New Roman"/>
      <w:b/>
      <w:bCs/>
      <w:sz w:val="20"/>
      <w:szCs w:val="20"/>
    </w:rPr>
  </w:style>
  <w:style w:type="paragraph" w:styleId="Header">
    <w:name w:val="header"/>
    <w:basedOn w:val="Normal"/>
    <w:link w:val="HeaderChar"/>
    <w:uiPriority w:val="99"/>
    <w:unhideWhenUsed/>
    <w:rsid w:val="00F33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573"/>
    <w:rPr>
      <w:rFonts w:ascii="Times New Roman" w:hAnsi="Times New Roman"/>
      <w:sz w:val="24"/>
    </w:rPr>
  </w:style>
  <w:style w:type="paragraph" w:styleId="Footer">
    <w:name w:val="footer"/>
    <w:basedOn w:val="Normal"/>
    <w:link w:val="FooterChar"/>
    <w:uiPriority w:val="99"/>
    <w:unhideWhenUsed/>
    <w:rsid w:val="00F33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57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ec.gov/comments/s7-08-12/s70812.s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BEB7-6932-465A-9D02-DBBD0F54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 Teen</dc:creator>
  <cp:lastModifiedBy>Huth, Marie-Louise</cp:lastModifiedBy>
  <cp:revision>4</cp:revision>
  <cp:lastPrinted>2013-04-26T17:50:00Z</cp:lastPrinted>
  <dcterms:created xsi:type="dcterms:W3CDTF">2013-05-01T18:50:00Z</dcterms:created>
  <dcterms:modified xsi:type="dcterms:W3CDTF">2013-05-09T15:35:00Z</dcterms:modified>
</cp:coreProperties>
</file>