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730" w:rsidRPr="002C6B36" w:rsidRDefault="00F0420B" w:rsidP="00FE36A9">
      <w:pPr>
        <w:jc w:val="center"/>
      </w:pPr>
      <w:bookmarkStart w:id="0" w:name="OLE_LINK1"/>
      <w:bookmarkStart w:id="1" w:name="OLE_LINK2"/>
      <w:bookmarkStart w:id="2" w:name="_GoBack"/>
      <w:bookmarkEnd w:id="2"/>
      <w:r w:rsidRPr="002C6B36">
        <w:t>Supporting Statement A</w:t>
      </w:r>
    </w:p>
    <w:p w:rsidR="00F0420B" w:rsidRPr="002C6B36" w:rsidRDefault="00F0420B" w:rsidP="00FE36A9">
      <w:pPr>
        <w:jc w:val="center"/>
      </w:pPr>
      <w:proofErr w:type="gramStart"/>
      <w:r w:rsidRPr="002C6B36">
        <w:t>for</w:t>
      </w:r>
      <w:proofErr w:type="gramEnd"/>
    </w:p>
    <w:p w:rsidR="00F0420B" w:rsidRPr="002C6B36" w:rsidRDefault="00467730" w:rsidP="00FE36A9">
      <w:pPr>
        <w:jc w:val="center"/>
      </w:pPr>
      <w:r w:rsidRPr="002C6B36">
        <w:t>Office of Inspector General Review of Awardee Implementation of NSF’s Requirement for a Responsible Conduct of Research Program</w:t>
      </w:r>
    </w:p>
    <w:p w:rsidR="00F0420B" w:rsidRDefault="00F0420B" w:rsidP="00F52B95"/>
    <w:p w:rsidR="00F0420B" w:rsidRPr="002C6B36" w:rsidRDefault="00F0420B" w:rsidP="00F52B95">
      <w:r w:rsidRPr="002C6B36">
        <w:t xml:space="preserve">Name: </w:t>
      </w:r>
      <w:r w:rsidR="00AB012F" w:rsidRPr="002C6B36">
        <w:t xml:space="preserve">Dr. </w:t>
      </w:r>
      <w:r w:rsidR="00467730" w:rsidRPr="002C6B36">
        <w:t>Aaron Manka</w:t>
      </w:r>
    </w:p>
    <w:p w:rsidR="00F0420B" w:rsidRPr="002C6B36" w:rsidRDefault="00F0420B" w:rsidP="00FE36A9">
      <w:pPr>
        <w:ind w:left="720" w:firstLine="0"/>
      </w:pPr>
      <w:r w:rsidRPr="002C6B36">
        <w:t>Address:</w:t>
      </w:r>
      <w:r w:rsidR="002F6F4B" w:rsidRPr="002C6B36">
        <w:t xml:space="preserve"> </w:t>
      </w:r>
      <w:r w:rsidR="00467730" w:rsidRPr="002C6B36">
        <w:t xml:space="preserve">Office of Inspector General, </w:t>
      </w:r>
      <w:r w:rsidR="00AB012F" w:rsidRPr="002C6B36">
        <w:t xml:space="preserve">National Science Foundation, </w:t>
      </w:r>
      <w:r w:rsidR="00467730" w:rsidRPr="002C6B36">
        <w:t xml:space="preserve">Suite II-705, </w:t>
      </w:r>
      <w:r w:rsidR="00FE36A9">
        <w:t xml:space="preserve">   </w:t>
      </w:r>
      <w:r w:rsidR="00AB012F" w:rsidRPr="002C6B36">
        <w:t>4201 Wilson Blvd, Arlington, VA, 22230</w:t>
      </w:r>
    </w:p>
    <w:p w:rsidR="00467730" w:rsidRPr="002C6B36" w:rsidRDefault="00467730" w:rsidP="00F52B95">
      <w:r w:rsidRPr="002C6B36">
        <w:t>Email: amanka@nsf.gov</w:t>
      </w:r>
    </w:p>
    <w:p w:rsidR="00F0420B" w:rsidRPr="002C6B36" w:rsidRDefault="00F0420B" w:rsidP="00F52B95">
      <w:r w:rsidRPr="002C6B36">
        <w:t>Telephone:</w:t>
      </w:r>
      <w:r w:rsidR="002F6F4B" w:rsidRPr="002C6B36">
        <w:t xml:space="preserve"> </w:t>
      </w:r>
      <w:r w:rsidR="00AB012F" w:rsidRPr="002C6B36">
        <w:t>703-292-</w:t>
      </w:r>
      <w:r w:rsidR="00467730" w:rsidRPr="002C6B36">
        <w:t>5002</w:t>
      </w:r>
    </w:p>
    <w:p w:rsidR="00F0420B" w:rsidRDefault="00F0420B" w:rsidP="00FE36A9">
      <w:r w:rsidRPr="002C6B36">
        <w:t>Fax:</w:t>
      </w:r>
      <w:r w:rsidR="00467730" w:rsidRPr="002C6B36">
        <w:t xml:space="preserve"> 703-282-9159</w:t>
      </w:r>
    </w:p>
    <w:p w:rsidR="000C326C" w:rsidRDefault="000C326C">
      <w:pPr>
        <w:widowControl/>
        <w:spacing w:after="0"/>
        <w:ind w:firstLine="0"/>
      </w:pPr>
      <w:r>
        <w:br w:type="page"/>
      </w:r>
    </w:p>
    <w:sdt>
      <w:sdtPr>
        <w:rPr>
          <w:rFonts w:ascii="Century Schoolbook" w:eastAsia="Times New Roman" w:hAnsi="Century Schoolbook" w:cs="Times New Roman"/>
          <w:b w:val="0"/>
          <w:bCs w:val="0"/>
          <w:snapToGrid w:val="0"/>
          <w:color w:val="auto"/>
          <w:szCs w:val="20"/>
        </w:rPr>
        <w:id w:val="34760985"/>
        <w:docPartObj>
          <w:docPartGallery w:val="Table of Contents"/>
          <w:docPartUnique/>
        </w:docPartObj>
      </w:sdtPr>
      <w:sdtEndPr/>
      <w:sdtContent>
        <w:p w:rsidR="00D37944" w:rsidRPr="002C6B36" w:rsidRDefault="00D37944" w:rsidP="00F52B95">
          <w:pPr>
            <w:pStyle w:val="TOCHeading"/>
          </w:pPr>
          <w:r w:rsidRPr="002C6B36">
            <w:t>Contents</w:t>
          </w:r>
        </w:p>
        <w:p w:rsidR="002C6B36" w:rsidRPr="002C6B36" w:rsidRDefault="00BC17D7" w:rsidP="002C6B36">
          <w:pPr>
            <w:pStyle w:val="TOC1"/>
            <w:spacing w:before="0" w:after="0" w:line="240" w:lineRule="auto"/>
            <w:rPr>
              <w:rFonts w:ascii="Century Schoolbook" w:eastAsiaTheme="minorEastAsia" w:hAnsi="Century Schoolbook" w:cstheme="minorBidi"/>
              <w:b w:val="0"/>
              <w:caps w:val="0"/>
            </w:rPr>
          </w:pPr>
          <w:r w:rsidRPr="002C6B36">
            <w:rPr>
              <w:rFonts w:ascii="Century Schoolbook" w:hAnsi="Century Schoolbook"/>
            </w:rPr>
            <w:fldChar w:fldCharType="begin"/>
          </w:r>
          <w:r w:rsidR="00D37944" w:rsidRPr="002C6B36">
            <w:rPr>
              <w:rFonts w:ascii="Century Schoolbook" w:hAnsi="Century Schoolbook"/>
            </w:rPr>
            <w:instrText xml:space="preserve"> TOC \o "1-3" \h \z \u </w:instrText>
          </w:r>
          <w:r w:rsidRPr="002C6B36">
            <w:rPr>
              <w:rFonts w:ascii="Century Schoolbook" w:hAnsi="Century Schoolbook"/>
            </w:rPr>
            <w:fldChar w:fldCharType="separate"/>
          </w:r>
          <w:hyperlink w:anchor="_Toc336433222" w:history="1">
            <w:r w:rsidR="002C6B36" w:rsidRPr="002C6B36">
              <w:rPr>
                <w:rStyle w:val="Hyperlink"/>
                <w:rFonts w:ascii="Century Schoolbook" w:hAnsi="Century Schoolbook"/>
              </w:rPr>
              <w:t>A.1. Circumstances Making the Collection of Information Necessary</w:t>
            </w:r>
            <w:r w:rsidR="002C6B36" w:rsidRPr="002C6B36">
              <w:rPr>
                <w:rFonts w:ascii="Century Schoolbook" w:hAnsi="Century Schoolbook"/>
                <w:webHidden/>
              </w:rPr>
              <w:tab/>
            </w:r>
            <w:r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_Toc336433222 \h </w:instrText>
            </w:r>
            <w:r w:rsidRPr="002C6B36">
              <w:rPr>
                <w:rFonts w:ascii="Century Schoolbook" w:hAnsi="Century Schoolbook"/>
                <w:webHidden/>
              </w:rPr>
            </w:r>
            <w:r w:rsidRPr="002C6B36">
              <w:rPr>
                <w:rFonts w:ascii="Century Schoolbook" w:hAnsi="Century Schoolbook"/>
                <w:webHidden/>
              </w:rPr>
              <w:fldChar w:fldCharType="separate"/>
            </w:r>
            <w:r w:rsidR="00307CA7">
              <w:rPr>
                <w:rFonts w:ascii="Century Schoolbook" w:hAnsi="Century Schoolbook"/>
                <w:webHidden/>
              </w:rPr>
              <w:t>3</w:t>
            </w:r>
            <w:r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23" w:history="1">
            <w:r w:rsidR="002C6B36" w:rsidRPr="002C6B36">
              <w:rPr>
                <w:rStyle w:val="Hyperlink"/>
                <w:rFonts w:ascii="Century Schoolbook" w:hAnsi="Century Schoolbook"/>
              </w:rPr>
              <w:t>A.2. Purpose and Use of the Information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_Toc336433223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3</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24" w:history="1">
            <w:r w:rsidR="002C6B36" w:rsidRPr="002C6B36">
              <w:rPr>
                <w:rStyle w:val="Hyperlink"/>
                <w:rFonts w:ascii="Century Schoolbook" w:hAnsi="Century Schoolbook"/>
              </w:rPr>
              <w:t>A.3. Use of Automation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_Toc336433224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3</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25" w:history="1">
            <w:r w:rsidR="002C6B36" w:rsidRPr="002C6B36">
              <w:rPr>
                <w:rStyle w:val="Hyperlink"/>
                <w:rFonts w:ascii="Century Schoolbook" w:hAnsi="Century Schoolbook"/>
              </w:rPr>
              <w:t>A.4. Efforts to Identify Duplication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_Toc336433225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4</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26" w:history="1">
            <w:r w:rsidR="002C6B36" w:rsidRPr="002C6B36">
              <w:rPr>
                <w:rStyle w:val="Hyperlink"/>
                <w:rFonts w:ascii="Century Schoolbook" w:hAnsi="Century Schoolbook"/>
              </w:rPr>
              <w:t>A.5 Impact on Small Businesses or Other Small Entities</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_Toc336433226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4</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27" w:history="1">
            <w:r w:rsidR="002C6B36" w:rsidRPr="002C6B36">
              <w:rPr>
                <w:rStyle w:val="Hyperlink"/>
                <w:rFonts w:ascii="Century Schoolbook" w:hAnsi="Century Schoolbook"/>
              </w:rPr>
              <w:t>A.6. Consequences of Less Frequent Collection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_Toc336433227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4</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28" w:history="1">
            <w:r w:rsidR="002C6B36" w:rsidRPr="002C6B36">
              <w:rPr>
                <w:rStyle w:val="Hyperlink"/>
                <w:rFonts w:ascii="Century Schoolbook" w:hAnsi="Century Schoolbook"/>
              </w:rPr>
              <w:t>A.7. Special Circumstances for Collection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_Toc336433228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4</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29" w:history="1">
            <w:r w:rsidR="002C6B36" w:rsidRPr="002C6B36">
              <w:rPr>
                <w:rStyle w:val="Hyperlink"/>
                <w:rFonts w:ascii="Century Schoolbook" w:hAnsi="Century Schoolbook"/>
              </w:rPr>
              <w:t>A.8. Federal Register Notice and Outside Consultation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_Toc336433229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4</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0" w:history="1">
            <w:r w:rsidR="002C6B36" w:rsidRPr="002C6B36">
              <w:rPr>
                <w:rStyle w:val="Hyperlink"/>
                <w:rFonts w:ascii="Century Schoolbook" w:hAnsi="Century Schoolbook"/>
              </w:rPr>
              <w:t>A.9. Gifts or Remuneration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_Toc336433230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4</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1" w:history="1">
            <w:r w:rsidR="002C6B36" w:rsidRPr="002C6B36">
              <w:rPr>
                <w:rStyle w:val="Hyperlink"/>
                <w:rFonts w:ascii="Century Schoolbook" w:hAnsi="Century Schoolbook"/>
              </w:rPr>
              <w:t>A.10. Confidentiality Provided to Respondents</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_Toc336433231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4</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2" w:history="1">
            <w:r w:rsidR="002C6B36" w:rsidRPr="002C6B36">
              <w:rPr>
                <w:rStyle w:val="Hyperlink"/>
                <w:rFonts w:ascii="Century Schoolbook" w:hAnsi="Century Schoolbook"/>
              </w:rPr>
              <w:t>A.11. Questions of a Sensitive Nature</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_Toc336433232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5</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3" w:history="1">
            <w:r w:rsidR="002C6B36" w:rsidRPr="002C6B36">
              <w:rPr>
                <w:rStyle w:val="Hyperlink"/>
                <w:rFonts w:ascii="Century Schoolbook" w:hAnsi="Century Schoolbook"/>
              </w:rPr>
              <w:t>A.12. Estimates of Burden and Annualized Costs to Respondents</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_Toc336433233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5</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4" w:history="1">
            <w:r w:rsidR="002C6B36" w:rsidRPr="002C6B36">
              <w:rPr>
                <w:rStyle w:val="Hyperlink"/>
                <w:rFonts w:ascii="Century Schoolbook" w:hAnsi="Century Schoolbook"/>
              </w:rPr>
              <w:t>A.13. Capital/Startup Cost</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_Toc336433234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6</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5" w:history="1">
            <w:r w:rsidR="002C6B36" w:rsidRPr="002C6B36">
              <w:rPr>
                <w:rStyle w:val="Hyperlink"/>
                <w:rFonts w:ascii="Century Schoolbook" w:hAnsi="Century Schoolbook"/>
              </w:rPr>
              <w:t>A.14. Annualized Cost to the Federal Government</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_Toc336433235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6</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6" w:history="1">
            <w:r w:rsidR="002C6B36" w:rsidRPr="002C6B36">
              <w:rPr>
                <w:rStyle w:val="Hyperlink"/>
                <w:rFonts w:ascii="Century Schoolbook" w:hAnsi="Century Schoolbook"/>
              </w:rPr>
              <w:t>A.15. Changes in Burden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_Toc336433236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7</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7" w:history="1">
            <w:r w:rsidR="002C6B36" w:rsidRPr="002C6B36">
              <w:rPr>
                <w:rStyle w:val="Hyperlink"/>
                <w:rFonts w:ascii="Century Schoolbook" w:hAnsi="Century Schoolbook"/>
              </w:rPr>
              <w:t>A.16. Publication of Collection</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_Toc336433237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7</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8" w:history="1">
            <w:r w:rsidR="002C6B36" w:rsidRPr="002C6B36">
              <w:rPr>
                <w:rStyle w:val="Hyperlink"/>
                <w:rFonts w:ascii="Century Schoolbook" w:hAnsi="Century Schoolbook"/>
              </w:rPr>
              <w:t>A.17. Display of OMB Expiration Date</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_Toc336433238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8</w:t>
            </w:r>
            <w:r w:rsidR="00BC17D7" w:rsidRPr="002C6B36">
              <w:rPr>
                <w:rFonts w:ascii="Century Schoolbook" w:hAnsi="Century Schoolbook"/>
                <w:webHidden/>
              </w:rPr>
              <w:fldChar w:fldCharType="end"/>
            </w:r>
          </w:hyperlink>
        </w:p>
        <w:p w:rsidR="002C6B36" w:rsidRPr="002C6B36" w:rsidRDefault="00884BF3" w:rsidP="002C6B36">
          <w:pPr>
            <w:pStyle w:val="TOC1"/>
            <w:spacing w:before="0" w:after="0" w:line="240" w:lineRule="auto"/>
            <w:rPr>
              <w:rFonts w:ascii="Century Schoolbook" w:eastAsiaTheme="minorEastAsia" w:hAnsi="Century Schoolbook" w:cstheme="minorBidi"/>
              <w:b w:val="0"/>
              <w:caps w:val="0"/>
            </w:rPr>
          </w:pPr>
          <w:hyperlink w:anchor="_Toc336433239" w:history="1">
            <w:r w:rsidR="002C6B36" w:rsidRPr="002C6B36">
              <w:rPr>
                <w:rStyle w:val="Hyperlink"/>
                <w:rFonts w:ascii="Century Schoolbook" w:hAnsi="Century Schoolbook"/>
              </w:rPr>
              <w:t>A.18. Exceptions to Certification Statement (19) on OMB 83-1</w:t>
            </w:r>
            <w:r w:rsidR="002C6B36" w:rsidRPr="002C6B36">
              <w:rPr>
                <w:rFonts w:ascii="Century Schoolbook" w:hAnsi="Century Schoolbook"/>
                <w:webHidden/>
              </w:rPr>
              <w:tab/>
            </w:r>
            <w:r w:rsidR="00BC17D7" w:rsidRPr="002C6B36">
              <w:rPr>
                <w:rFonts w:ascii="Century Schoolbook" w:hAnsi="Century Schoolbook"/>
                <w:webHidden/>
              </w:rPr>
              <w:fldChar w:fldCharType="begin"/>
            </w:r>
            <w:r w:rsidR="002C6B36" w:rsidRPr="002C6B36">
              <w:rPr>
                <w:rFonts w:ascii="Century Schoolbook" w:hAnsi="Century Schoolbook"/>
                <w:webHidden/>
              </w:rPr>
              <w:instrText xml:space="preserve"> PAGEREF _Toc336433239 \h </w:instrText>
            </w:r>
            <w:r w:rsidR="00BC17D7" w:rsidRPr="002C6B36">
              <w:rPr>
                <w:rFonts w:ascii="Century Schoolbook" w:hAnsi="Century Schoolbook"/>
                <w:webHidden/>
              </w:rPr>
            </w:r>
            <w:r w:rsidR="00BC17D7" w:rsidRPr="002C6B36">
              <w:rPr>
                <w:rFonts w:ascii="Century Schoolbook" w:hAnsi="Century Schoolbook"/>
                <w:webHidden/>
              </w:rPr>
              <w:fldChar w:fldCharType="separate"/>
            </w:r>
            <w:r w:rsidR="00307CA7">
              <w:rPr>
                <w:rFonts w:ascii="Century Schoolbook" w:hAnsi="Century Schoolbook"/>
                <w:webHidden/>
              </w:rPr>
              <w:t>8</w:t>
            </w:r>
            <w:r w:rsidR="00BC17D7" w:rsidRPr="002C6B36">
              <w:rPr>
                <w:rFonts w:ascii="Century Schoolbook" w:hAnsi="Century Schoolbook"/>
                <w:webHidden/>
              </w:rPr>
              <w:fldChar w:fldCharType="end"/>
            </w:r>
          </w:hyperlink>
        </w:p>
        <w:p w:rsidR="00D37944" w:rsidRPr="002C6B36" w:rsidRDefault="00BC17D7" w:rsidP="00F52B95">
          <w:r w:rsidRPr="002C6B36">
            <w:fldChar w:fldCharType="end"/>
          </w:r>
        </w:p>
      </w:sdtContent>
    </w:sdt>
    <w:p w:rsidR="00D37944" w:rsidRPr="002C6B36" w:rsidRDefault="00D37944" w:rsidP="00F52B95">
      <w:pPr>
        <w:rPr>
          <w:noProof/>
        </w:rPr>
      </w:pPr>
      <w:r w:rsidRPr="002C6B36">
        <w:rPr>
          <w:noProof/>
        </w:rPr>
        <w:br w:type="page"/>
      </w:r>
    </w:p>
    <w:p w:rsidR="00A536C7" w:rsidRPr="002C6B36" w:rsidRDefault="008F082E" w:rsidP="00F52B95">
      <w:pPr>
        <w:pStyle w:val="Heading1"/>
      </w:pPr>
      <w:bookmarkStart w:id="3" w:name="_Toc336433222"/>
      <w:bookmarkEnd w:id="0"/>
      <w:bookmarkEnd w:id="1"/>
      <w:r w:rsidRPr="002C6B36">
        <w:lastRenderedPageBreak/>
        <w:t>A.</w:t>
      </w:r>
      <w:r w:rsidR="00A536C7" w:rsidRPr="002C6B36">
        <w:t>1. Circumstances Making the Collection of Information Necessary</w:t>
      </w:r>
      <w:bookmarkEnd w:id="3"/>
      <w:r w:rsidR="00A536C7" w:rsidRPr="002C6B36">
        <w:t xml:space="preserve"> </w:t>
      </w:r>
    </w:p>
    <w:p w:rsidR="00E3096A" w:rsidRPr="002C6B36" w:rsidRDefault="00BE319A" w:rsidP="000C549B">
      <w:pPr>
        <w:jc w:val="both"/>
        <w:rPr>
          <w:rFonts w:cs="Courier New"/>
        </w:rPr>
      </w:pPr>
      <w:r w:rsidRPr="002C6B36">
        <w:t xml:space="preserve">The </w:t>
      </w:r>
      <w:r w:rsidR="00D64CBF" w:rsidRPr="002C6B36">
        <w:t xml:space="preserve">America COMPETES Act section 7009 </w:t>
      </w:r>
      <w:r w:rsidR="00486228">
        <w:t>(</w:t>
      </w:r>
      <w:r w:rsidR="00D64CBF" w:rsidRPr="002C6B36">
        <w:t xml:space="preserve">codified at 42 U.S.C. § 1862o-1) required the National Science Foundation to ensure </w:t>
      </w:r>
      <w:r w:rsidR="00E3096A" w:rsidRPr="002C6B36">
        <w:rPr>
          <w:rFonts w:cs="Courier New"/>
        </w:rPr>
        <w:t>that “each institution that applies for financial assistance from the Foundation for science and engineering research or education describe in its grant proposal a plan to provide appropriate training and oversight in the responsible and ethical conduct of research....”  NSF’s implementation of this requirement is described in the NSF Proposal and Award Policies and Procedures Guide, Part II - Award and Administration Guide, Chapter IV, Part B and is available at nsf.gov/pubs/</w:t>
      </w:r>
      <w:proofErr w:type="spellStart"/>
      <w:r w:rsidR="00E3096A" w:rsidRPr="002C6B36">
        <w:rPr>
          <w:rFonts w:cs="Courier New"/>
        </w:rPr>
        <w:t>policydocs</w:t>
      </w:r>
      <w:proofErr w:type="spellEnd"/>
      <w:r w:rsidR="00E3096A" w:rsidRPr="002C6B36">
        <w:rPr>
          <w:rFonts w:cs="Courier New"/>
        </w:rPr>
        <w:t>/</w:t>
      </w:r>
      <w:proofErr w:type="spellStart"/>
      <w:r w:rsidR="00E3096A" w:rsidRPr="002C6B36">
        <w:rPr>
          <w:rFonts w:cs="Courier New"/>
        </w:rPr>
        <w:t>pappguide</w:t>
      </w:r>
      <w:proofErr w:type="spellEnd"/>
      <w:r w:rsidR="00E3096A" w:rsidRPr="002C6B36">
        <w:rPr>
          <w:rFonts w:cs="Courier New"/>
        </w:rPr>
        <w:t>/nsf11001/aag_4.jsp#IVB.</w:t>
      </w:r>
    </w:p>
    <w:p w:rsidR="00E3096A" w:rsidRPr="002C6B36" w:rsidRDefault="00E3096A" w:rsidP="000C549B">
      <w:pPr>
        <w:jc w:val="both"/>
      </w:pPr>
      <w:r w:rsidRPr="002C6B36">
        <w:t xml:space="preserve">This information collection is necessary for review of institutional compliance with the responsible conduct of research </w:t>
      </w:r>
      <w:r w:rsidR="00115AA3">
        <w:t>(</w:t>
      </w:r>
      <w:r w:rsidR="00F10272">
        <w:t>“</w:t>
      </w:r>
      <w:r w:rsidR="00115AA3">
        <w:t>RCR</w:t>
      </w:r>
      <w:r w:rsidR="00F10272">
        <w:t>”</w:t>
      </w:r>
      <w:r w:rsidR="00115AA3">
        <w:t xml:space="preserve">) </w:t>
      </w:r>
      <w:r w:rsidRPr="002C6B36">
        <w:t xml:space="preserve">requirement. </w:t>
      </w:r>
      <w:r w:rsidR="00134303" w:rsidRPr="002C6B36">
        <w:t xml:space="preserve"> </w:t>
      </w:r>
      <w:r w:rsidRPr="002C6B36">
        <w:t xml:space="preserve">NSF OIG will use the data collected to inform the Foundation and Congress whether current responsible conduct of research programs comply with </w:t>
      </w:r>
      <w:r w:rsidR="002C6B36">
        <w:t xml:space="preserve">the COMPETES Act and </w:t>
      </w:r>
      <w:r w:rsidRPr="002C6B36">
        <w:t>NSF’s requirement</w:t>
      </w:r>
      <w:r w:rsidR="003B41B7">
        <w:t>,</w:t>
      </w:r>
      <w:r w:rsidR="002C6B36">
        <w:t xml:space="preserve"> </w:t>
      </w:r>
      <w:r w:rsidRPr="002C6B36">
        <w:t xml:space="preserve">and to make recommendations to </w:t>
      </w:r>
      <w:r w:rsidR="00ED2852">
        <w:t xml:space="preserve">NSF to </w:t>
      </w:r>
      <w:r w:rsidRPr="002C6B36">
        <w:t xml:space="preserve">strengthen these programs if necessary. </w:t>
      </w:r>
      <w:r w:rsidR="00134303" w:rsidRPr="002C6B36">
        <w:t xml:space="preserve"> </w:t>
      </w:r>
      <w:r w:rsidR="00ED2852">
        <w:t>In particular, there is a similar requirement by the National Institutes of Health for awardees to have an RCR training program</w:t>
      </w:r>
      <w:r w:rsidR="00563B34">
        <w:t xml:space="preserve">, </w:t>
      </w:r>
      <w:r w:rsidR="00ED2852">
        <w:t xml:space="preserve">and </w:t>
      </w:r>
      <w:r w:rsidR="00563B34">
        <w:t xml:space="preserve">the </w:t>
      </w:r>
      <w:r w:rsidR="00ED2852">
        <w:t>approach</w:t>
      </w:r>
      <w:r w:rsidR="00563B34">
        <w:t xml:space="preserve"> i</w:t>
      </w:r>
      <w:r w:rsidR="00ED2852">
        <w:t xml:space="preserve">s </w:t>
      </w:r>
      <w:r w:rsidR="00563B34">
        <w:t xml:space="preserve">quite </w:t>
      </w:r>
      <w:r w:rsidR="00ED2852">
        <w:t>different</w:t>
      </w:r>
      <w:r w:rsidR="00563B34">
        <w:t xml:space="preserve"> from NSF’s</w:t>
      </w:r>
      <w:r w:rsidR="00E112C2">
        <w:t xml:space="preserve">.  It would be useful for NSF to know whether there are elements of NIH’s RCR implementation that NSF should consider implementing as well.  </w:t>
      </w:r>
      <w:r w:rsidRPr="002C6B36">
        <w:t xml:space="preserve">The results of the information collection </w:t>
      </w:r>
      <w:r w:rsidR="00134303" w:rsidRPr="002C6B36">
        <w:t xml:space="preserve">will </w:t>
      </w:r>
      <w:r w:rsidR="00C7199F">
        <w:t xml:space="preserve">also </w:t>
      </w:r>
      <w:r w:rsidRPr="002C6B36">
        <w:t>assist NSF OIG in developing a</w:t>
      </w:r>
      <w:r w:rsidR="00C7199F">
        <w:t>n RCR</w:t>
      </w:r>
      <w:r w:rsidRPr="002C6B36">
        <w:t xml:space="preserve"> oversight plan.</w:t>
      </w:r>
      <w:r w:rsidR="00ED2852">
        <w:t xml:space="preserve">  </w:t>
      </w:r>
    </w:p>
    <w:p w:rsidR="00A536C7" w:rsidRPr="002C6B36" w:rsidRDefault="00467730" w:rsidP="00F52B95">
      <w:pPr>
        <w:pStyle w:val="Heading1"/>
      </w:pPr>
      <w:bookmarkStart w:id="4" w:name="_Toc336433223"/>
      <w:r w:rsidRPr="002C6B36">
        <w:t xml:space="preserve">A.2. </w:t>
      </w:r>
      <w:r w:rsidR="00A536C7" w:rsidRPr="002C6B36">
        <w:t>Purpose and Use of the Information</w:t>
      </w:r>
      <w:bookmarkEnd w:id="4"/>
      <w:r w:rsidR="00A536C7" w:rsidRPr="002C6B36">
        <w:t xml:space="preserve"> </w:t>
      </w:r>
    </w:p>
    <w:p w:rsidR="000C549B" w:rsidRPr="000C549B" w:rsidRDefault="000E74BA" w:rsidP="000C549B">
      <w:pPr>
        <w:jc w:val="both"/>
        <w:rPr>
          <w:rFonts w:cs="Courier New"/>
          <w:szCs w:val="24"/>
        </w:rPr>
      </w:pPr>
      <w:r w:rsidRPr="002C6B36">
        <w:t xml:space="preserve">The purpose of the proposed information collection </w:t>
      </w:r>
      <w:r w:rsidR="000C549B" w:rsidRPr="000C549B">
        <w:rPr>
          <w:rFonts w:cs="Courier New"/>
          <w:szCs w:val="24"/>
        </w:rPr>
        <w:t xml:space="preserve">will primarily address how awardees have implemented NSF’s </w:t>
      </w:r>
      <w:r w:rsidR="00C7199F">
        <w:rPr>
          <w:rFonts w:cs="Courier New"/>
          <w:szCs w:val="24"/>
        </w:rPr>
        <w:t xml:space="preserve">RCR </w:t>
      </w:r>
      <w:r w:rsidR="000C549B" w:rsidRPr="000C549B">
        <w:rPr>
          <w:rFonts w:cs="Courier New"/>
          <w:szCs w:val="24"/>
        </w:rPr>
        <w:t>requirement by interviewing three groups of people</w:t>
      </w:r>
      <w:r w:rsidR="000C549B">
        <w:rPr>
          <w:rFonts w:cs="Courier New"/>
          <w:szCs w:val="24"/>
        </w:rPr>
        <w:t xml:space="preserve"> at NSF awardees</w:t>
      </w:r>
      <w:r w:rsidR="000C549B" w:rsidRPr="000C549B">
        <w:rPr>
          <w:rFonts w:cs="Courier New"/>
          <w:szCs w:val="24"/>
        </w:rPr>
        <w:t xml:space="preserve">: 1) upper-level administrators (e.g., Vice Presidents or Vice Provosts), </w:t>
      </w:r>
      <w:r w:rsidR="006E4AE9">
        <w:rPr>
          <w:rFonts w:cs="Courier New"/>
          <w:szCs w:val="24"/>
        </w:rPr>
        <w:t xml:space="preserve">2) </w:t>
      </w:r>
      <w:r w:rsidR="000C549B" w:rsidRPr="000C549B">
        <w:rPr>
          <w:rFonts w:cs="Courier New"/>
          <w:szCs w:val="24"/>
        </w:rPr>
        <w:t xml:space="preserve">program administrators (e.g., Research Integrity Officers or Compliance Officers), and </w:t>
      </w:r>
      <w:r w:rsidR="006E4AE9">
        <w:rPr>
          <w:rFonts w:cs="Courier New"/>
          <w:szCs w:val="24"/>
        </w:rPr>
        <w:t xml:space="preserve">3) </w:t>
      </w:r>
      <w:r w:rsidR="000C549B" w:rsidRPr="000C549B">
        <w:rPr>
          <w:rFonts w:cs="Courier New"/>
          <w:szCs w:val="24"/>
        </w:rPr>
        <w:t>trainees who have participated in the program (undergraduate students, graduate students</w:t>
      </w:r>
      <w:r w:rsidR="00C7199F">
        <w:rPr>
          <w:rFonts w:cs="Courier New"/>
          <w:szCs w:val="24"/>
        </w:rPr>
        <w:t>,</w:t>
      </w:r>
      <w:r w:rsidR="000C549B" w:rsidRPr="000C549B">
        <w:rPr>
          <w:rFonts w:cs="Courier New"/>
          <w:szCs w:val="24"/>
        </w:rPr>
        <w:t xml:space="preserve"> and postdoctoral researchers).  From the upper-level administrators, we will request information that will allow us to assess the institution’s commitment to the program, including resources (both financial and staff), and how the expectations for the program are communicated to faculty and students.  We will request from the program administrators information such as course structure and content, participation requirements and options, compliance tracking, faculty participation, resource allocation, and oversight.  From the course participants, we will request information about their experiences in the courses with regard to format, duration, content, and the benefits and drawbacks of taking an RCR course. </w:t>
      </w:r>
      <w:r w:rsidR="000C549B">
        <w:rPr>
          <w:rFonts w:cs="Courier New"/>
          <w:szCs w:val="24"/>
        </w:rPr>
        <w:t xml:space="preserve"> </w:t>
      </w:r>
      <w:r w:rsidR="000C549B" w:rsidRPr="000C549B">
        <w:rPr>
          <w:rFonts w:cs="Courier New"/>
          <w:szCs w:val="24"/>
        </w:rPr>
        <w:t xml:space="preserve">The information collection will be conducted through video-conferencing between NSF OIG and </w:t>
      </w:r>
      <w:r w:rsidR="00095045">
        <w:rPr>
          <w:rFonts w:cs="Courier New"/>
          <w:szCs w:val="24"/>
        </w:rPr>
        <w:t>awardee</w:t>
      </w:r>
      <w:r w:rsidR="000C549B" w:rsidRPr="000C549B">
        <w:rPr>
          <w:rFonts w:cs="Courier New"/>
          <w:szCs w:val="24"/>
        </w:rPr>
        <w:t xml:space="preserve"> participants.</w:t>
      </w:r>
    </w:p>
    <w:p w:rsidR="004A20D2" w:rsidRPr="000C549B" w:rsidRDefault="000C549B" w:rsidP="000C549B">
      <w:pPr>
        <w:jc w:val="both"/>
      </w:pPr>
      <w:r w:rsidRPr="000C549B">
        <w:rPr>
          <w:rFonts w:cs="Courier New"/>
          <w:szCs w:val="24"/>
        </w:rPr>
        <w:t xml:space="preserve">This information </w:t>
      </w:r>
      <w:r w:rsidR="00095045">
        <w:rPr>
          <w:rFonts w:cs="Courier New"/>
          <w:szCs w:val="24"/>
        </w:rPr>
        <w:t>will be used</w:t>
      </w:r>
      <w:r w:rsidRPr="000C549B">
        <w:rPr>
          <w:rFonts w:cs="Courier New"/>
          <w:szCs w:val="24"/>
        </w:rPr>
        <w:t xml:space="preserve"> for NSF OIG’s effective oversight of NSF programs and operations by reviewing </w:t>
      </w:r>
      <w:r w:rsidR="00095045">
        <w:rPr>
          <w:rFonts w:cs="Courier New"/>
          <w:szCs w:val="24"/>
        </w:rPr>
        <w:t xml:space="preserve">awardees’ </w:t>
      </w:r>
      <w:r w:rsidRPr="000C549B">
        <w:rPr>
          <w:rFonts w:cs="Courier New"/>
          <w:szCs w:val="24"/>
        </w:rPr>
        <w:t xml:space="preserve">compliance with the </w:t>
      </w:r>
      <w:r w:rsidR="006C0A96">
        <w:rPr>
          <w:rFonts w:cs="Courier New"/>
          <w:szCs w:val="24"/>
        </w:rPr>
        <w:t>RCR</w:t>
      </w:r>
      <w:r w:rsidRPr="000C549B">
        <w:rPr>
          <w:rFonts w:cs="Courier New"/>
          <w:szCs w:val="24"/>
        </w:rPr>
        <w:t xml:space="preserve"> requirements of the America COMPETES Act and NSF’s Proposal and Award Policies and Procedures Guide.</w:t>
      </w:r>
      <w:r>
        <w:rPr>
          <w:rFonts w:cs="Courier New"/>
          <w:szCs w:val="24"/>
        </w:rPr>
        <w:t xml:space="preserve">  </w:t>
      </w:r>
      <w:r w:rsidRPr="000C549B">
        <w:rPr>
          <w:rFonts w:cs="Courier New"/>
          <w:szCs w:val="24"/>
        </w:rPr>
        <w:t>This collection will be used for accountability and evaluation purposes and to inform NSF</w:t>
      </w:r>
      <w:r>
        <w:rPr>
          <w:rFonts w:cs="Courier New"/>
          <w:szCs w:val="24"/>
        </w:rPr>
        <w:t xml:space="preserve"> and Congress</w:t>
      </w:r>
      <w:r w:rsidRPr="000C549B">
        <w:rPr>
          <w:rFonts w:cs="Courier New"/>
          <w:szCs w:val="24"/>
        </w:rPr>
        <w:t xml:space="preserve"> on the outcome of the information collection.</w:t>
      </w:r>
    </w:p>
    <w:p w:rsidR="00184C67" w:rsidRPr="002C6B36" w:rsidRDefault="00A536C7" w:rsidP="00F52B95">
      <w:pPr>
        <w:pStyle w:val="Heading1"/>
      </w:pPr>
      <w:bookmarkStart w:id="5" w:name="_Toc336433224"/>
      <w:r w:rsidRPr="002C6B36">
        <w:lastRenderedPageBreak/>
        <w:t xml:space="preserve">A.3. Use of </w:t>
      </w:r>
      <w:r w:rsidR="000F0C17" w:rsidRPr="002C6B36">
        <w:t>Automation</w:t>
      </w:r>
      <w:bookmarkEnd w:id="5"/>
    </w:p>
    <w:p w:rsidR="00DE26D8" w:rsidRPr="002C6B36" w:rsidRDefault="003B7595" w:rsidP="000C549B">
      <w:pPr>
        <w:jc w:val="both"/>
      </w:pPr>
      <w:r w:rsidRPr="002C6B36">
        <w:t xml:space="preserve">New data collection for the purpose of the evaluation will consist of </w:t>
      </w:r>
      <w:r w:rsidR="00513B87">
        <w:t xml:space="preserve">requested information relevant to the RCR program followed by </w:t>
      </w:r>
      <w:r w:rsidR="000C549B">
        <w:t>video/</w:t>
      </w:r>
      <w:r w:rsidRPr="002C6B36">
        <w:t xml:space="preserve">telephone interviews with selected </w:t>
      </w:r>
      <w:r w:rsidR="000C549B">
        <w:t>academic administrators and students</w:t>
      </w:r>
      <w:r w:rsidR="00DE26D8" w:rsidRPr="002C6B36">
        <w:t>.</w:t>
      </w:r>
      <w:r w:rsidRPr="002C6B36">
        <w:t xml:space="preserve"> </w:t>
      </w:r>
      <w:r w:rsidR="000C549B">
        <w:t xml:space="preserve"> </w:t>
      </w:r>
      <w:r w:rsidRPr="002C6B36">
        <w:t xml:space="preserve">The survey will be administered using appropriate information technology. </w:t>
      </w:r>
      <w:r w:rsidR="000C549B">
        <w:t xml:space="preserve"> </w:t>
      </w:r>
      <w:r w:rsidRPr="002C6B36">
        <w:t xml:space="preserve">The detailed and </w:t>
      </w:r>
      <w:r w:rsidR="0081376E" w:rsidRPr="002C6B36">
        <w:t>context-</w:t>
      </w:r>
      <w:r w:rsidRPr="002C6B36">
        <w:t xml:space="preserve">specific nature of the information to be collected via interviews precludes </w:t>
      </w:r>
      <w:r w:rsidR="0081376E" w:rsidRPr="002C6B36">
        <w:t xml:space="preserve">use of </w:t>
      </w:r>
      <w:r w:rsidR="000C549B">
        <w:t>automation</w:t>
      </w:r>
      <w:r w:rsidR="0081376E" w:rsidRPr="002C6B36">
        <w:t>, but interviewers will be respectful of the burden on their subjects and will keep the interviews as short as possible.</w:t>
      </w:r>
    </w:p>
    <w:p w:rsidR="00A536C7" w:rsidRPr="002C6B36" w:rsidRDefault="00A536C7" w:rsidP="00F52B95">
      <w:pPr>
        <w:pStyle w:val="Heading1"/>
      </w:pPr>
      <w:bookmarkStart w:id="6" w:name="_Toc336433225"/>
      <w:r w:rsidRPr="002C6B36">
        <w:t>A.4</w:t>
      </w:r>
      <w:r w:rsidR="009D2146" w:rsidRPr="002C6B36">
        <w:t>. Efforts</w:t>
      </w:r>
      <w:r w:rsidRPr="002C6B36">
        <w:t xml:space="preserve"> to Identify Duplication</w:t>
      </w:r>
      <w:bookmarkEnd w:id="6"/>
    </w:p>
    <w:p w:rsidR="00513B87" w:rsidRDefault="00651131" w:rsidP="00513B87">
      <w:pPr>
        <w:jc w:val="both"/>
      </w:pPr>
      <w:r w:rsidRPr="002C6B36">
        <w:t xml:space="preserve">Every effort </w:t>
      </w:r>
      <w:r w:rsidR="00513B87">
        <w:t>will be</w:t>
      </w:r>
      <w:r w:rsidRPr="002C6B36">
        <w:t xml:space="preserve"> made to identify information </w:t>
      </w:r>
      <w:r w:rsidR="0081376E" w:rsidRPr="002C6B36">
        <w:t xml:space="preserve">relevant to the program </w:t>
      </w:r>
      <w:r w:rsidRPr="002C6B36">
        <w:t xml:space="preserve">that can be collected </w:t>
      </w:r>
      <w:r w:rsidR="0081376E" w:rsidRPr="002C6B36">
        <w:t xml:space="preserve">from existing sources </w:t>
      </w:r>
      <w:r w:rsidR="0080358F">
        <w:t>prior to</w:t>
      </w:r>
      <w:r w:rsidRPr="002C6B36">
        <w:t xml:space="preserve"> the </w:t>
      </w:r>
      <w:r w:rsidR="0081376E" w:rsidRPr="002C6B36">
        <w:t xml:space="preserve">interview </w:t>
      </w:r>
      <w:r w:rsidR="00513B87">
        <w:t xml:space="preserve">of </w:t>
      </w:r>
      <w:r w:rsidRPr="002C6B36">
        <w:t xml:space="preserve">respondents. </w:t>
      </w:r>
      <w:r w:rsidR="00513B87">
        <w:t xml:space="preserve"> </w:t>
      </w:r>
      <w:r w:rsidR="0080358F">
        <w:t xml:space="preserve">Before </w:t>
      </w:r>
      <w:r w:rsidR="00513B87">
        <w:t>scheduling interviews</w:t>
      </w:r>
      <w:r w:rsidR="0080358F">
        <w:t xml:space="preserve"> with respondents</w:t>
      </w:r>
      <w:r w:rsidR="00513B87">
        <w:t xml:space="preserve">, </w:t>
      </w:r>
      <w:r w:rsidR="00162AF3">
        <w:t>we will review the awardees’</w:t>
      </w:r>
      <w:r w:rsidR="0080358F">
        <w:t xml:space="preserve"> (respondents’)</w:t>
      </w:r>
      <w:r w:rsidR="00162AF3">
        <w:t xml:space="preserve"> webpages for information relevant to its RCR </w:t>
      </w:r>
      <w:r w:rsidR="0080358F">
        <w:t xml:space="preserve">program; we will then </w:t>
      </w:r>
      <w:r w:rsidR="00162AF3">
        <w:t xml:space="preserve">request </w:t>
      </w:r>
      <w:r w:rsidR="0080358F">
        <w:t xml:space="preserve">only the </w:t>
      </w:r>
      <w:r w:rsidR="00162AF3">
        <w:t xml:space="preserve">programmatic information not present on the webpages.  Information </w:t>
      </w:r>
      <w:r w:rsidR="0080358F">
        <w:t>collected</w:t>
      </w:r>
      <w:r w:rsidR="00162AF3">
        <w:t xml:space="preserve"> from these existing sources will not be duplicated during the interviews.</w:t>
      </w:r>
    </w:p>
    <w:p w:rsidR="000E74BA" w:rsidRPr="002C6B36" w:rsidRDefault="009D2146" w:rsidP="00F52B95">
      <w:pPr>
        <w:pStyle w:val="Heading1"/>
      </w:pPr>
      <w:bookmarkStart w:id="7" w:name="_Toc336433226"/>
      <w:r w:rsidRPr="002C6B36">
        <w:t>A.5 Impact</w:t>
      </w:r>
      <w:r w:rsidR="00A536C7" w:rsidRPr="002C6B36">
        <w:t xml:space="preserve"> on Small Businesses or Other Small Entities</w:t>
      </w:r>
      <w:bookmarkEnd w:id="7"/>
    </w:p>
    <w:p w:rsidR="00CA7A44" w:rsidRPr="002C6B36" w:rsidRDefault="00CA7A44" w:rsidP="00F52B95">
      <w:r w:rsidRPr="002C6B36">
        <w:t>No small businesses will be involved in this study.</w:t>
      </w:r>
    </w:p>
    <w:p w:rsidR="00A536C7" w:rsidRPr="002C6B36" w:rsidRDefault="00A536C7" w:rsidP="00F52B95">
      <w:pPr>
        <w:pStyle w:val="Heading1"/>
      </w:pPr>
      <w:bookmarkStart w:id="8" w:name="_Toc336433227"/>
      <w:r w:rsidRPr="002C6B36">
        <w:t>A.6</w:t>
      </w:r>
      <w:r w:rsidR="009D2146" w:rsidRPr="002C6B36">
        <w:t>. Consequences</w:t>
      </w:r>
      <w:r w:rsidRPr="002C6B36">
        <w:t xml:space="preserve"> of Less Frequent </w:t>
      </w:r>
      <w:r w:rsidR="000F0C17" w:rsidRPr="002C6B36">
        <w:t>Collection</w:t>
      </w:r>
      <w:bookmarkEnd w:id="8"/>
    </w:p>
    <w:p w:rsidR="00DA4831" w:rsidRPr="002C6B36" w:rsidRDefault="00FD5FB7" w:rsidP="003F1AC3">
      <w:pPr>
        <w:jc w:val="both"/>
      </w:pPr>
      <w:r>
        <w:t xml:space="preserve">This will be an ongoing </w:t>
      </w:r>
      <w:r w:rsidR="00DA4831" w:rsidRPr="002C6B36">
        <w:t>data collection</w:t>
      </w:r>
      <w:r w:rsidR="0080358F">
        <w:t xml:space="preserve"> in which respondents</w:t>
      </w:r>
      <w:r w:rsidR="00DA4831" w:rsidRPr="002C6B36">
        <w:t xml:space="preserve"> will be asked to </w:t>
      </w:r>
      <w:r w:rsidR="0080358F">
        <w:t xml:space="preserve">provide specific documentation and </w:t>
      </w:r>
      <w:r w:rsidR="00DA4831" w:rsidRPr="002C6B36">
        <w:t xml:space="preserve">participate in a single </w:t>
      </w:r>
      <w:r w:rsidR="0080358F">
        <w:t>video/</w:t>
      </w:r>
      <w:r w:rsidR="00DA4831" w:rsidRPr="002C6B36">
        <w:t xml:space="preserve">telephone interview. </w:t>
      </w:r>
      <w:r w:rsidR="0080358F">
        <w:t xml:space="preserve"> We anticipate collecting data from different </w:t>
      </w:r>
      <w:r w:rsidR="00F9240D">
        <w:t xml:space="preserve">respondents </w:t>
      </w:r>
      <w:r w:rsidR="0080358F">
        <w:t xml:space="preserve">approximately </w:t>
      </w:r>
      <w:r w:rsidR="00F9240D">
        <w:t xml:space="preserve">once per week.  If we collect data less frequently, it will extend the duration of our effort as we are looking to collect information from approximately 100 awardees. </w:t>
      </w:r>
    </w:p>
    <w:p w:rsidR="00A536C7" w:rsidRPr="002C6B36" w:rsidRDefault="00A536C7" w:rsidP="00F52B95">
      <w:pPr>
        <w:pStyle w:val="Heading1"/>
      </w:pPr>
      <w:bookmarkStart w:id="9" w:name="_Toc336433228"/>
      <w:r w:rsidRPr="002C6B36">
        <w:t>A.7</w:t>
      </w:r>
      <w:r w:rsidR="009D2146" w:rsidRPr="002C6B36">
        <w:t>. Special</w:t>
      </w:r>
      <w:r w:rsidRPr="002C6B36">
        <w:t xml:space="preserve"> Circumstances </w:t>
      </w:r>
      <w:r w:rsidR="000F0C17" w:rsidRPr="002C6B36">
        <w:t>for Collection</w:t>
      </w:r>
      <w:bookmarkEnd w:id="9"/>
      <w:r w:rsidRPr="002C6B36">
        <w:t xml:space="preserve"> </w:t>
      </w:r>
    </w:p>
    <w:p w:rsidR="00CA7A44" w:rsidRPr="002C6B36" w:rsidRDefault="008B7581" w:rsidP="00F52B95">
      <w:pPr>
        <w:rPr>
          <w:position w:val="-7"/>
        </w:rPr>
      </w:pPr>
      <w:r w:rsidRPr="002C6B36">
        <w:t xml:space="preserve">The proposed data collection </w:t>
      </w:r>
      <w:r w:rsidR="00CA7A44" w:rsidRPr="002C6B36">
        <w:t>fully complies with all guidelines of 5 C</w:t>
      </w:r>
      <w:r w:rsidR="00506C8A">
        <w:t>.</w:t>
      </w:r>
      <w:r w:rsidR="00CA7A44" w:rsidRPr="002C6B36">
        <w:t>F</w:t>
      </w:r>
      <w:r w:rsidR="00506C8A">
        <w:t>.</w:t>
      </w:r>
      <w:r w:rsidR="00CA7A44" w:rsidRPr="002C6B36">
        <w:t>R</w:t>
      </w:r>
      <w:r w:rsidR="00506C8A">
        <w:t>.</w:t>
      </w:r>
      <w:r w:rsidR="00CA7A44" w:rsidRPr="002C6B36">
        <w:t xml:space="preserve"> </w:t>
      </w:r>
      <w:r w:rsidR="00506C8A">
        <w:t>§ </w:t>
      </w:r>
      <w:r w:rsidR="00CA7A44" w:rsidRPr="002C6B36">
        <w:t>1320.5.</w:t>
      </w:r>
    </w:p>
    <w:p w:rsidR="00A536C7" w:rsidRPr="002C6B36" w:rsidRDefault="00A536C7" w:rsidP="00F52B95">
      <w:pPr>
        <w:pStyle w:val="Heading1"/>
      </w:pPr>
      <w:bookmarkStart w:id="10" w:name="_Toc336433229"/>
      <w:r w:rsidRPr="002C6B36">
        <w:t>A.8</w:t>
      </w:r>
      <w:r w:rsidR="009D2146" w:rsidRPr="002C6B36">
        <w:t>. Federal Register</w:t>
      </w:r>
      <w:r w:rsidRPr="002C6B36">
        <w:t xml:space="preserve"> Notice and Outside </w:t>
      </w:r>
      <w:r w:rsidR="000F0C17" w:rsidRPr="002C6B36">
        <w:t>Consultation</w:t>
      </w:r>
      <w:bookmarkEnd w:id="10"/>
    </w:p>
    <w:p w:rsidR="00907D8E" w:rsidRDefault="00777C4E" w:rsidP="00B27F95">
      <w:pPr>
        <w:jc w:val="both"/>
      </w:pPr>
      <w:r w:rsidRPr="002C6B36">
        <w:t>As required by 5 C</w:t>
      </w:r>
      <w:r w:rsidR="00506C8A">
        <w:t>.</w:t>
      </w:r>
      <w:r w:rsidRPr="002C6B36">
        <w:t>F</w:t>
      </w:r>
      <w:r w:rsidR="00506C8A">
        <w:t>.</w:t>
      </w:r>
      <w:r w:rsidRPr="002C6B36">
        <w:t>R</w:t>
      </w:r>
      <w:r w:rsidR="00506C8A">
        <w:t>.</w:t>
      </w:r>
      <w:r w:rsidRPr="002C6B36">
        <w:t xml:space="preserve"> </w:t>
      </w:r>
      <w:r w:rsidR="00506C8A">
        <w:t>§ </w:t>
      </w:r>
      <w:r w:rsidRPr="002C6B36">
        <w:t>1320.8(d), comments on the information colle</w:t>
      </w:r>
      <w:r w:rsidR="00F7745B" w:rsidRPr="002C6B36">
        <w:t xml:space="preserve">ction activities as part of this study </w:t>
      </w:r>
      <w:r w:rsidRPr="002C6B36">
        <w:t xml:space="preserve">were solicited through publication of </w:t>
      </w:r>
      <w:r w:rsidR="00F7745B" w:rsidRPr="002C6B36">
        <w:t>a</w:t>
      </w:r>
      <w:r w:rsidRPr="002C6B36">
        <w:t xml:space="preserve"> 60 Day Notice in the Federal Register on</w:t>
      </w:r>
      <w:r w:rsidRPr="00C8469D">
        <w:t xml:space="preserve"> </w:t>
      </w:r>
      <w:r w:rsidR="00C8469D">
        <w:t>September 14</w:t>
      </w:r>
      <w:r w:rsidR="00BC7298" w:rsidRPr="00C8469D">
        <w:t>, 201</w:t>
      </w:r>
      <w:r w:rsidR="00C8469D">
        <w:t>2</w:t>
      </w:r>
      <w:r w:rsidR="00BC7298" w:rsidRPr="00C8469D">
        <w:t>,</w:t>
      </w:r>
      <w:r w:rsidR="00AC02F5" w:rsidRPr="00C8469D">
        <w:t xml:space="preserve"> at 7</w:t>
      </w:r>
      <w:r w:rsidR="00C8469D">
        <w:t>7</w:t>
      </w:r>
      <w:r w:rsidR="00AC02F5" w:rsidRPr="00C8469D">
        <w:t xml:space="preserve"> FR </w:t>
      </w:r>
      <w:r w:rsidR="00C8469D">
        <w:t>5687</w:t>
      </w:r>
      <w:r w:rsidR="00AC02F5" w:rsidRPr="00C8469D">
        <w:t>6</w:t>
      </w:r>
      <w:r w:rsidR="00AC02F5" w:rsidRPr="00FA6A33">
        <w:t xml:space="preserve">. </w:t>
      </w:r>
      <w:r w:rsidR="00835E75" w:rsidRPr="002C6B36">
        <w:t xml:space="preserve"> </w:t>
      </w:r>
      <w:r w:rsidR="00907D8E">
        <w:t xml:space="preserve">We received three comments, to which we here respond.  </w:t>
      </w:r>
    </w:p>
    <w:p w:rsidR="00900933" w:rsidRDefault="00900933" w:rsidP="00465E6C">
      <w:pPr>
        <w:ind w:firstLine="0"/>
        <w:jc w:val="center"/>
        <w:rPr>
          <w:rFonts w:cstheme="minorBidi"/>
          <w:szCs w:val="24"/>
        </w:rPr>
      </w:pPr>
      <w:r>
        <w:rPr>
          <w:rFonts w:cstheme="minorBidi"/>
          <w:szCs w:val="24"/>
        </w:rPr>
        <w:t>Commenter 1</w:t>
      </w:r>
    </w:p>
    <w:p w:rsidR="00907D8E" w:rsidRPr="00B96F86" w:rsidRDefault="00907D8E" w:rsidP="003F1AC3">
      <w:pPr>
        <w:jc w:val="both"/>
        <w:rPr>
          <w:rFonts w:cstheme="minorBidi"/>
          <w:szCs w:val="24"/>
        </w:rPr>
      </w:pPr>
      <w:r>
        <w:rPr>
          <w:rFonts w:cstheme="minorBidi"/>
          <w:szCs w:val="24"/>
        </w:rPr>
        <w:t xml:space="preserve">We agreed with one commenter’s </w:t>
      </w:r>
      <w:r w:rsidRPr="00B96F86">
        <w:rPr>
          <w:rFonts w:cstheme="minorBidi"/>
          <w:szCs w:val="24"/>
        </w:rPr>
        <w:t xml:space="preserve">conclusion </w:t>
      </w:r>
      <w:r>
        <w:rPr>
          <w:rFonts w:cstheme="minorBidi"/>
          <w:szCs w:val="24"/>
        </w:rPr>
        <w:t>that</w:t>
      </w:r>
      <w:r w:rsidRPr="00B96F86">
        <w:rPr>
          <w:rFonts w:cstheme="minorBidi"/>
          <w:szCs w:val="24"/>
        </w:rPr>
        <w:t xml:space="preserve"> a) the information is necessary and will have practical use; and b) our estimated burden on respondents appears appropriate.  In c), </w:t>
      </w:r>
      <w:r>
        <w:rPr>
          <w:rFonts w:cstheme="minorBidi"/>
          <w:szCs w:val="24"/>
        </w:rPr>
        <w:t>the commenter</w:t>
      </w:r>
      <w:r w:rsidRPr="00B96F86">
        <w:rPr>
          <w:rFonts w:cstheme="minorBidi"/>
          <w:szCs w:val="24"/>
        </w:rPr>
        <w:t xml:space="preserve"> raise</w:t>
      </w:r>
      <w:r>
        <w:rPr>
          <w:rFonts w:cstheme="minorBidi"/>
          <w:szCs w:val="24"/>
        </w:rPr>
        <w:t>d</w:t>
      </w:r>
      <w:r w:rsidRPr="00B96F86">
        <w:rPr>
          <w:rFonts w:cstheme="minorBidi"/>
          <w:szCs w:val="24"/>
        </w:rPr>
        <w:t xml:space="preserve"> two points, and one more in d) which we address </w:t>
      </w:r>
      <w:r>
        <w:rPr>
          <w:rFonts w:cstheme="minorBidi"/>
          <w:szCs w:val="24"/>
        </w:rPr>
        <w:t>here</w:t>
      </w:r>
      <w:r w:rsidRPr="00B96F86">
        <w:rPr>
          <w:rFonts w:cstheme="minorBidi"/>
          <w:szCs w:val="24"/>
        </w:rPr>
        <w:t>.</w:t>
      </w:r>
    </w:p>
    <w:p w:rsidR="00907D8E" w:rsidRPr="00B96F86" w:rsidRDefault="00907D8E" w:rsidP="003F1AC3">
      <w:pPr>
        <w:jc w:val="both"/>
        <w:rPr>
          <w:rFonts w:cstheme="minorBidi"/>
          <w:szCs w:val="24"/>
        </w:rPr>
      </w:pPr>
      <w:r w:rsidRPr="00B96F86">
        <w:rPr>
          <w:rFonts w:cstheme="minorBidi"/>
          <w:szCs w:val="24"/>
        </w:rPr>
        <w:t xml:space="preserve">The first point of c) is about our non-inclusion of the actual course instructor in our survey.  We did not specifically include interviews with instructors for two reasons.  The </w:t>
      </w:r>
      <w:r w:rsidRPr="00B96F86">
        <w:rPr>
          <w:rFonts w:cstheme="minorBidi"/>
          <w:szCs w:val="24"/>
        </w:rPr>
        <w:lastRenderedPageBreak/>
        <w:t>first is that NSF does not require grantees to provide RCR instruction through a live person—NSF concluded it was acceptable for grantees to direct participants to a website for online RCR education.  Thus, there may not be an RCR instructor with whom we could speak.  The second reason is that, based on our limited experience with grantees in which live RCR instruction is offered, the RCR administrator is also involved in that instruction, so the administrator will also have that perspective in those instances.  Finally, we want to limit the burden this survey imposes on awardee institutions.</w:t>
      </w:r>
    </w:p>
    <w:p w:rsidR="00907D8E" w:rsidRPr="00B96F86" w:rsidRDefault="00907D8E" w:rsidP="003F1AC3">
      <w:pPr>
        <w:jc w:val="both"/>
        <w:rPr>
          <w:rFonts w:cstheme="minorBidi"/>
          <w:szCs w:val="24"/>
        </w:rPr>
      </w:pPr>
      <w:r w:rsidRPr="00B96F86">
        <w:rPr>
          <w:rFonts w:cstheme="minorBidi"/>
          <w:szCs w:val="24"/>
        </w:rPr>
        <w:t>The second point in c) is that our minimum number of participants of the RCR training (three—one undergraduate, one graduate, one post-doc) seems too low to provide a representative sample.  We will ask grantees to make available as many students as practical, but since NSF requires grantees to provide RCR training only to students directly supported (paid) from NSF grants, we recognize that for many grantees, this may mean that few NSF participants exist.  Of course, if a grantee provides RCR education to a broader range of students/post-docs/faculty than the minimal requirements of NSF, we expect to be able to draw from a larger pool of participants.  Indeed, this is one of our questions for the RCR Administrator.</w:t>
      </w:r>
    </w:p>
    <w:p w:rsidR="00907D8E" w:rsidRDefault="00465E6C" w:rsidP="003F1AC3">
      <w:pPr>
        <w:jc w:val="both"/>
        <w:rPr>
          <w:rFonts w:cstheme="minorBidi"/>
          <w:szCs w:val="24"/>
        </w:rPr>
      </w:pPr>
      <w:r>
        <w:rPr>
          <w:rFonts w:cstheme="minorBidi"/>
          <w:szCs w:val="24"/>
        </w:rPr>
        <w:t>The</w:t>
      </w:r>
      <w:r w:rsidR="00907D8E" w:rsidRPr="00B96F86">
        <w:rPr>
          <w:rFonts w:cstheme="minorBidi"/>
          <w:szCs w:val="24"/>
        </w:rPr>
        <w:t xml:space="preserve"> comment in d) about</w:t>
      </w:r>
      <w:r w:rsidR="00907D8E" w:rsidRPr="00B96F86">
        <w:rPr>
          <w:rFonts w:cs="Calibri-Light"/>
          <w:szCs w:val="24"/>
        </w:rPr>
        <w:t xml:space="preserve"> </w:t>
      </w:r>
      <w:r w:rsidR="00907D8E">
        <w:rPr>
          <w:rFonts w:cs="Calibri-Light"/>
          <w:szCs w:val="24"/>
        </w:rPr>
        <w:t>t</w:t>
      </w:r>
      <w:r w:rsidR="00907D8E" w:rsidRPr="00B96F86">
        <w:rPr>
          <w:rFonts w:cs="Calibri-Light"/>
          <w:szCs w:val="24"/>
        </w:rPr>
        <w:t>he most significant way to reduce the burden on respondents would be to give clear and timely guidance on what does and does not constitute ‘adequate’ training</w:t>
      </w:r>
      <w:r w:rsidR="00907D8E" w:rsidRPr="00B96F86">
        <w:rPr>
          <w:rFonts w:cstheme="minorBidi"/>
          <w:szCs w:val="24"/>
        </w:rPr>
        <w:t xml:space="preserve"> goes to one of the points of doing this survey.  NSF has not specified what constitutes ‘adequate’ RCR training.  We are assessing how grantees have implemented NSF’s requirement, how many of them would welcome further specificity in NSF’s requirement, and how many would not—and why or why not.  As we note, one likely outcome of our effort would be recommendations back to NSF for improving its RCR program, and, depending on the response data, this could be one of those recommendations.</w:t>
      </w:r>
    </w:p>
    <w:p w:rsidR="00900933" w:rsidRDefault="00900933" w:rsidP="00900933">
      <w:pPr>
        <w:ind w:firstLine="0"/>
        <w:jc w:val="center"/>
        <w:rPr>
          <w:rFonts w:cstheme="minorBidi"/>
          <w:szCs w:val="24"/>
        </w:rPr>
      </w:pPr>
      <w:r>
        <w:rPr>
          <w:rFonts w:cstheme="minorBidi"/>
          <w:szCs w:val="24"/>
        </w:rPr>
        <w:t>Commenter 2</w:t>
      </w:r>
    </w:p>
    <w:p w:rsidR="00900933" w:rsidRDefault="00900933" w:rsidP="003F1AC3">
      <w:pPr>
        <w:pStyle w:val="NoSpacing"/>
        <w:spacing w:after="120"/>
        <w:ind w:firstLine="720"/>
        <w:jc w:val="both"/>
        <w:rPr>
          <w:rFonts w:ascii="Century Schoolbook" w:hAnsi="Century Schoolbook" w:cs="Times New Roman"/>
          <w:sz w:val="24"/>
          <w:szCs w:val="24"/>
        </w:rPr>
      </w:pPr>
      <w:r>
        <w:rPr>
          <w:rFonts w:ascii="Century Schoolbook" w:hAnsi="Century Schoolbook" w:cs="Times New Roman"/>
          <w:sz w:val="24"/>
          <w:szCs w:val="24"/>
        </w:rPr>
        <w:t xml:space="preserve">Commenter 2 expressed </w:t>
      </w:r>
      <w:r w:rsidRPr="008D5074">
        <w:rPr>
          <w:rFonts w:ascii="Century Schoolbook" w:hAnsi="Century Schoolbook" w:cs="Times New Roman"/>
          <w:sz w:val="24"/>
          <w:szCs w:val="24"/>
        </w:rPr>
        <w:t xml:space="preserve">concern that our RCR program data collection strategy “exceeds what is necessary to evaluate recipient’s compliance with NSF’s policy” and “creates an unnecessary and excessive burden on the respondents” and that the interviews “are </w:t>
      </w:r>
      <w:proofErr w:type="gramStart"/>
      <w:r w:rsidRPr="008D5074">
        <w:rPr>
          <w:rFonts w:ascii="Century Schoolbook" w:hAnsi="Century Schoolbook" w:cs="Times New Roman"/>
          <w:sz w:val="24"/>
          <w:szCs w:val="24"/>
        </w:rPr>
        <w:t>not necessary nor</w:t>
      </w:r>
      <w:proofErr w:type="gramEnd"/>
      <w:r w:rsidRPr="008D5074">
        <w:rPr>
          <w:rFonts w:ascii="Century Schoolbook" w:hAnsi="Century Schoolbook" w:cs="Times New Roman"/>
          <w:sz w:val="24"/>
          <w:szCs w:val="24"/>
        </w:rPr>
        <w:t xml:space="preserve"> useful”.  We </w:t>
      </w:r>
      <w:r>
        <w:rPr>
          <w:rFonts w:ascii="Century Schoolbook" w:hAnsi="Century Schoolbook" w:cs="Times New Roman"/>
          <w:sz w:val="24"/>
          <w:szCs w:val="24"/>
        </w:rPr>
        <w:t>prepared our approach after interviewing</w:t>
      </w:r>
      <w:r w:rsidRPr="008D5074">
        <w:rPr>
          <w:rFonts w:ascii="Century Schoolbook" w:hAnsi="Century Schoolbook" w:cs="Times New Roman"/>
          <w:sz w:val="24"/>
          <w:szCs w:val="24"/>
        </w:rPr>
        <w:t xml:space="preserve"> experts in RCR training </w:t>
      </w:r>
      <w:r>
        <w:rPr>
          <w:rFonts w:ascii="Century Schoolbook" w:hAnsi="Century Schoolbook" w:cs="Times New Roman"/>
          <w:sz w:val="24"/>
          <w:szCs w:val="24"/>
        </w:rPr>
        <w:t xml:space="preserve">and then </w:t>
      </w:r>
      <w:r w:rsidRPr="008D5074">
        <w:rPr>
          <w:rFonts w:ascii="Century Schoolbook" w:hAnsi="Century Schoolbook" w:cs="Times New Roman"/>
          <w:sz w:val="24"/>
          <w:szCs w:val="24"/>
        </w:rPr>
        <w:t>conducted a trial run of the oversight program</w:t>
      </w:r>
      <w:r>
        <w:rPr>
          <w:rFonts w:ascii="Century Schoolbook" w:hAnsi="Century Schoolbook" w:cs="Times New Roman"/>
          <w:sz w:val="24"/>
          <w:szCs w:val="24"/>
        </w:rPr>
        <w:t xml:space="preserve"> at a university with multiple, decentralized RCR programs</w:t>
      </w:r>
      <w:r w:rsidRPr="008D5074">
        <w:rPr>
          <w:rFonts w:ascii="Century Schoolbook" w:hAnsi="Century Schoolbook" w:cs="Times New Roman"/>
          <w:sz w:val="24"/>
          <w:szCs w:val="24"/>
        </w:rPr>
        <w:t>.  Using a draft questionnaire, respondents provide</w:t>
      </w:r>
      <w:r>
        <w:rPr>
          <w:rFonts w:ascii="Century Schoolbook" w:hAnsi="Century Schoolbook" w:cs="Times New Roman"/>
          <w:sz w:val="24"/>
          <w:szCs w:val="24"/>
        </w:rPr>
        <w:t>d</w:t>
      </w:r>
      <w:r w:rsidRPr="008D5074">
        <w:rPr>
          <w:rFonts w:ascii="Century Schoolbook" w:hAnsi="Century Schoolbook" w:cs="Times New Roman"/>
          <w:sz w:val="24"/>
          <w:szCs w:val="24"/>
        </w:rPr>
        <w:t xml:space="preserve"> answers and promptly offered both positive and negative feedback about their own RCR training experiences.  </w:t>
      </w:r>
      <w:r>
        <w:rPr>
          <w:rFonts w:ascii="Century Schoolbook" w:hAnsi="Century Schoolbook" w:cs="Times New Roman"/>
          <w:sz w:val="24"/>
          <w:szCs w:val="24"/>
        </w:rPr>
        <w:t xml:space="preserve">Indeed, they expressed to us a desire to have additional discussions beyond the interviews, which we accommodated.  </w:t>
      </w:r>
      <w:r w:rsidRPr="008D5074">
        <w:rPr>
          <w:rFonts w:ascii="Century Schoolbook" w:hAnsi="Century Schoolbook" w:cs="Times New Roman"/>
          <w:sz w:val="24"/>
          <w:szCs w:val="24"/>
        </w:rPr>
        <w:t>Our interviews and questions were necessary and essential to determine compliance with NSF’s RCR policy</w:t>
      </w:r>
      <w:r>
        <w:rPr>
          <w:rFonts w:ascii="Century Schoolbook" w:hAnsi="Century Schoolbook" w:cs="Times New Roman"/>
          <w:sz w:val="24"/>
          <w:szCs w:val="24"/>
        </w:rPr>
        <w:t>, to allow us to address the impact of NSF’s requirement on the university, and to determine whether a recommendation to adjust the policy might be warranted.  Thus,</w:t>
      </w:r>
      <w:r w:rsidRPr="008D5074">
        <w:rPr>
          <w:rFonts w:ascii="Century Schoolbook" w:hAnsi="Century Schoolbook" w:cs="Times New Roman"/>
          <w:sz w:val="24"/>
          <w:szCs w:val="24"/>
        </w:rPr>
        <w:t xml:space="preserve"> </w:t>
      </w:r>
      <w:r>
        <w:rPr>
          <w:rFonts w:ascii="Century Schoolbook" w:hAnsi="Century Schoolbook" w:cs="Times New Roman"/>
          <w:sz w:val="24"/>
          <w:szCs w:val="24"/>
        </w:rPr>
        <w:t>y</w:t>
      </w:r>
      <w:r w:rsidRPr="008D5074">
        <w:rPr>
          <w:rFonts w:ascii="Century Schoolbook" w:hAnsi="Century Schoolbook" w:cs="Times New Roman"/>
          <w:sz w:val="24"/>
          <w:szCs w:val="24"/>
        </w:rPr>
        <w:t xml:space="preserve">our phrase “unnecessary and excessive burden” is quite opposite of our actual experiences </w:t>
      </w:r>
      <w:r>
        <w:rPr>
          <w:rFonts w:ascii="Century Schoolbook" w:hAnsi="Century Schoolbook" w:cs="Times New Roman"/>
          <w:sz w:val="24"/>
          <w:szCs w:val="24"/>
        </w:rPr>
        <w:t>while interacting</w:t>
      </w:r>
      <w:r w:rsidRPr="008D5074">
        <w:rPr>
          <w:rFonts w:ascii="Century Schoolbook" w:hAnsi="Century Schoolbook" w:cs="Times New Roman"/>
          <w:sz w:val="24"/>
          <w:szCs w:val="24"/>
        </w:rPr>
        <w:t xml:space="preserve"> with upper-level administrators, RCR administrators</w:t>
      </w:r>
      <w:r>
        <w:rPr>
          <w:rFonts w:ascii="Century Schoolbook" w:hAnsi="Century Schoolbook" w:cs="Times New Roman"/>
          <w:sz w:val="24"/>
          <w:szCs w:val="24"/>
        </w:rPr>
        <w:t>,</w:t>
      </w:r>
      <w:r w:rsidRPr="008D5074">
        <w:rPr>
          <w:rFonts w:ascii="Century Schoolbook" w:hAnsi="Century Schoolbook" w:cs="Times New Roman"/>
          <w:sz w:val="24"/>
          <w:szCs w:val="24"/>
        </w:rPr>
        <w:t xml:space="preserve"> and RCR course participants</w:t>
      </w:r>
      <w:r>
        <w:rPr>
          <w:rFonts w:ascii="Century Schoolbook" w:hAnsi="Century Schoolbook" w:cs="Times New Roman"/>
          <w:sz w:val="24"/>
          <w:szCs w:val="24"/>
        </w:rPr>
        <w:t xml:space="preserve">. </w:t>
      </w:r>
    </w:p>
    <w:p w:rsidR="00900933" w:rsidRDefault="00900933" w:rsidP="003F1AC3">
      <w:pPr>
        <w:pStyle w:val="NoSpacing"/>
        <w:spacing w:after="120"/>
        <w:ind w:firstLine="720"/>
        <w:jc w:val="both"/>
        <w:rPr>
          <w:rFonts w:ascii="Century Schoolbook" w:hAnsi="Century Schoolbook" w:cs="Times New Roman"/>
          <w:sz w:val="24"/>
          <w:szCs w:val="24"/>
        </w:rPr>
      </w:pPr>
      <w:r w:rsidRPr="008D5074">
        <w:rPr>
          <w:rFonts w:ascii="Century Schoolbook" w:hAnsi="Century Schoolbook" w:cs="Times New Roman"/>
          <w:sz w:val="24"/>
          <w:szCs w:val="24"/>
        </w:rPr>
        <w:t xml:space="preserve">Another point raised was that the RCR policy “does not require institutions to demonstrate a commitment particularly through separately allocated resources – </w:t>
      </w:r>
      <w:r w:rsidRPr="008D5074">
        <w:rPr>
          <w:rFonts w:ascii="Century Schoolbook" w:hAnsi="Century Schoolbook" w:cs="Times New Roman"/>
          <w:sz w:val="24"/>
          <w:szCs w:val="24"/>
        </w:rPr>
        <w:lastRenderedPageBreak/>
        <w:t>financial and/or personnel – to the program”.  However, there is a requirement to allocate personnel.  As indicated in the NSF Proposal and Award Policies and Procedures Guide</w:t>
      </w:r>
      <w:r w:rsidR="00297411">
        <w:rPr>
          <w:rFonts w:ascii="Century Schoolbook" w:hAnsi="Century Schoolbook" w:cs="Times New Roman"/>
          <w:sz w:val="24"/>
          <w:szCs w:val="24"/>
        </w:rPr>
        <w:t>,</w:t>
      </w:r>
      <w:r w:rsidRPr="008D5074">
        <w:rPr>
          <w:rFonts w:ascii="Century Schoolbook" w:hAnsi="Century Schoolbook" w:cs="Times New Roman"/>
          <w:sz w:val="24"/>
          <w:szCs w:val="24"/>
        </w:rPr>
        <w:t xml:space="preserve"> “An institution must designate one or more persons to oversee compliance with the RCR training requirement”.</w:t>
      </w:r>
      <w:r w:rsidR="00297411" w:rsidRPr="008D5074">
        <w:rPr>
          <w:rStyle w:val="FootnoteReference"/>
          <w:rFonts w:ascii="Century Schoolbook" w:hAnsi="Century Schoolbook"/>
          <w:sz w:val="24"/>
          <w:szCs w:val="24"/>
        </w:rPr>
        <w:footnoteReference w:id="1"/>
      </w:r>
      <w:r w:rsidRPr="008D5074">
        <w:rPr>
          <w:rFonts w:ascii="Century Schoolbook" w:hAnsi="Century Schoolbook" w:cs="Times New Roman"/>
          <w:sz w:val="24"/>
          <w:szCs w:val="24"/>
        </w:rPr>
        <w:t xml:space="preserve">  As indicated in </w:t>
      </w:r>
      <w:r>
        <w:rPr>
          <w:rFonts w:ascii="Century Schoolbook" w:hAnsi="Century Schoolbook" w:cs="Times New Roman"/>
          <w:sz w:val="24"/>
          <w:szCs w:val="24"/>
        </w:rPr>
        <w:t xml:space="preserve">our </w:t>
      </w:r>
      <w:r w:rsidRPr="008D5074">
        <w:rPr>
          <w:rFonts w:ascii="Century Schoolbook" w:hAnsi="Century Schoolbook" w:cs="Times New Roman"/>
          <w:sz w:val="24"/>
          <w:szCs w:val="24"/>
        </w:rPr>
        <w:t xml:space="preserve">Federal Register Notice </w:t>
      </w:r>
      <w:r>
        <w:rPr>
          <w:rFonts w:ascii="Century Schoolbook" w:hAnsi="Century Schoolbook" w:cs="Times New Roman"/>
          <w:sz w:val="24"/>
          <w:szCs w:val="24"/>
        </w:rPr>
        <w:t>for this review</w:t>
      </w:r>
      <w:r w:rsidRPr="008D5074">
        <w:rPr>
          <w:rFonts w:ascii="Century Schoolbook" w:hAnsi="Century Schoolbook" w:cs="Times New Roman"/>
          <w:sz w:val="24"/>
          <w:szCs w:val="24"/>
        </w:rPr>
        <w:t>, for evaluation purposes we are interested how the institution’s financial and staff resources are both utilized to main</w:t>
      </w:r>
      <w:r>
        <w:rPr>
          <w:rFonts w:ascii="Century Schoolbook" w:hAnsi="Century Schoolbook" w:cs="Times New Roman"/>
          <w:sz w:val="24"/>
          <w:szCs w:val="24"/>
        </w:rPr>
        <w:t>tain the RCR training program.</w:t>
      </w:r>
    </w:p>
    <w:p w:rsidR="00900933" w:rsidRDefault="00297411" w:rsidP="003F1AC3">
      <w:pPr>
        <w:pStyle w:val="NoSpacing"/>
        <w:spacing w:after="120"/>
        <w:ind w:firstLine="720"/>
        <w:jc w:val="both"/>
        <w:rPr>
          <w:rFonts w:ascii="Century Schoolbook" w:hAnsi="Century Schoolbook" w:cs="Times New Roman"/>
          <w:sz w:val="24"/>
          <w:szCs w:val="24"/>
        </w:rPr>
      </w:pPr>
      <w:r>
        <w:rPr>
          <w:rFonts w:ascii="Century Schoolbook" w:hAnsi="Century Schoolbook" w:cs="Times New Roman"/>
          <w:sz w:val="24"/>
          <w:szCs w:val="24"/>
        </w:rPr>
        <w:t>There wa</w:t>
      </w:r>
      <w:r w:rsidR="00900933" w:rsidRPr="008D5074">
        <w:rPr>
          <w:rFonts w:ascii="Century Schoolbook" w:hAnsi="Century Schoolbook" w:cs="Times New Roman"/>
          <w:sz w:val="24"/>
          <w:szCs w:val="24"/>
        </w:rPr>
        <w:t>s also an overall concern that the length of time estimated for interviews is not enough.  As indicated above, our interview times are based from our previous experience</w:t>
      </w:r>
      <w:r w:rsidR="00900933">
        <w:rPr>
          <w:rFonts w:ascii="Century Schoolbook" w:hAnsi="Century Schoolbook" w:cs="Times New Roman"/>
          <w:sz w:val="24"/>
          <w:szCs w:val="24"/>
        </w:rPr>
        <w:t>s and are used as an estimate</w:t>
      </w:r>
      <w:r w:rsidR="00900933" w:rsidRPr="008D5074">
        <w:rPr>
          <w:rFonts w:ascii="Century Schoolbook" w:hAnsi="Century Schoolbook" w:cs="Times New Roman"/>
          <w:sz w:val="24"/>
          <w:szCs w:val="24"/>
        </w:rPr>
        <w:t xml:space="preserve">, not as an absolute fixed factor.  We expect that interview duration would vary for some institutions based on the size of their RCR program and total number of participants.  Individual institutions can have a wide variety in the number of trainees who are supported by NSF.  </w:t>
      </w:r>
      <w:r w:rsidR="00900933">
        <w:rPr>
          <w:rFonts w:ascii="Century Schoolbook" w:hAnsi="Century Schoolbook" w:cs="Times New Roman"/>
          <w:sz w:val="24"/>
          <w:szCs w:val="24"/>
        </w:rPr>
        <w:t>Our estimated interview times are in line with the actual length of the interviews conducted in our trial run.</w:t>
      </w:r>
    </w:p>
    <w:p w:rsidR="00900933" w:rsidRPr="008D5074" w:rsidRDefault="00297411" w:rsidP="003F1AC3">
      <w:pPr>
        <w:pStyle w:val="NoSpacing"/>
        <w:spacing w:after="120"/>
        <w:ind w:firstLine="720"/>
        <w:jc w:val="both"/>
        <w:rPr>
          <w:rFonts w:ascii="Century Schoolbook" w:hAnsi="Century Schoolbook" w:cs="Times New Roman"/>
          <w:sz w:val="24"/>
          <w:szCs w:val="24"/>
        </w:rPr>
      </w:pPr>
      <w:r>
        <w:rPr>
          <w:rFonts w:ascii="Century Schoolbook" w:hAnsi="Century Schoolbook" w:cs="Times New Roman"/>
          <w:sz w:val="24"/>
          <w:szCs w:val="24"/>
        </w:rPr>
        <w:t>Commenter 2’s</w:t>
      </w:r>
      <w:r w:rsidR="00900933">
        <w:rPr>
          <w:rFonts w:ascii="Century Schoolbook" w:hAnsi="Century Schoolbook" w:cs="Times New Roman"/>
          <w:sz w:val="24"/>
          <w:szCs w:val="24"/>
        </w:rPr>
        <w:t xml:space="preserve"> statement </w:t>
      </w:r>
      <w:r w:rsidR="00900933" w:rsidRPr="008D5074">
        <w:rPr>
          <w:rFonts w:ascii="Century Schoolbook" w:hAnsi="Century Schoolbook" w:cs="Times New Roman"/>
          <w:sz w:val="24"/>
          <w:szCs w:val="24"/>
        </w:rPr>
        <w:t xml:space="preserve">that the “NSF OIG lacks the breadth of expertise needed to reasonably assess the effectiveness of individual institutional programs” </w:t>
      </w:r>
      <w:r w:rsidR="00900933">
        <w:rPr>
          <w:rFonts w:ascii="Century Schoolbook" w:hAnsi="Century Schoolbook" w:cs="Times New Roman"/>
          <w:sz w:val="24"/>
          <w:szCs w:val="24"/>
        </w:rPr>
        <w:t>misses the mark of our intent</w:t>
      </w:r>
      <w:r w:rsidR="00900933" w:rsidRPr="008D5074">
        <w:rPr>
          <w:rFonts w:ascii="Century Schoolbook" w:hAnsi="Century Schoolbook" w:cs="Times New Roman"/>
          <w:sz w:val="24"/>
          <w:szCs w:val="24"/>
        </w:rPr>
        <w:t xml:space="preserve">.  </w:t>
      </w:r>
      <w:r w:rsidR="00900933">
        <w:rPr>
          <w:rFonts w:ascii="Century Schoolbook" w:hAnsi="Century Schoolbook" w:cs="Times New Roman"/>
          <w:sz w:val="24"/>
          <w:szCs w:val="24"/>
        </w:rPr>
        <w:t xml:space="preserve">Our goal is not to evaluate the effectiveness of individual institutional RCR programs, but rather to evaluate an institution’s methods for implementing its RCR program in response to NSF’s requirement.  As </w:t>
      </w:r>
      <w:r>
        <w:rPr>
          <w:rFonts w:ascii="Century Schoolbook" w:hAnsi="Century Schoolbook" w:cs="Times New Roman"/>
          <w:sz w:val="24"/>
          <w:szCs w:val="24"/>
        </w:rPr>
        <w:t>Commenter 2</w:t>
      </w:r>
      <w:r w:rsidR="00900933" w:rsidRPr="008D5074">
        <w:rPr>
          <w:rFonts w:ascii="Century Schoolbook" w:hAnsi="Century Schoolbook" w:cs="Times New Roman"/>
          <w:sz w:val="24"/>
          <w:szCs w:val="24"/>
        </w:rPr>
        <w:t xml:space="preserve"> stated</w:t>
      </w:r>
      <w:r w:rsidR="00900933">
        <w:rPr>
          <w:rFonts w:ascii="Century Schoolbook" w:hAnsi="Century Schoolbook" w:cs="Times New Roman"/>
          <w:sz w:val="24"/>
          <w:szCs w:val="24"/>
        </w:rPr>
        <w:t>,</w:t>
      </w:r>
      <w:r w:rsidR="00900933" w:rsidRPr="008D5074">
        <w:rPr>
          <w:rFonts w:ascii="Century Schoolbook" w:hAnsi="Century Schoolbook" w:cs="Times New Roman"/>
          <w:sz w:val="24"/>
          <w:szCs w:val="24"/>
        </w:rPr>
        <w:t xml:space="preserve"> “There is not a required course content or structure nor a requirement that faculty participate in the training activities”.  Institutions can freely develop their RCR training plans</w:t>
      </w:r>
      <w:r w:rsidR="00900933">
        <w:rPr>
          <w:rFonts w:ascii="Century Schoolbook" w:hAnsi="Century Schoolbook" w:cs="Times New Roman"/>
          <w:sz w:val="24"/>
          <w:szCs w:val="24"/>
        </w:rPr>
        <w:t>,</w:t>
      </w:r>
      <w:r w:rsidR="00900933" w:rsidRPr="008D5074">
        <w:rPr>
          <w:rFonts w:ascii="Century Schoolbook" w:hAnsi="Century Schoolbook" w:cs="Times New Roman"/>
          <w:sz w:val="24"/>
          <w:szCs w:val="24"/>
        </w:rPr>
        <w:t xml:space="preserve"> and</w:t>
      </w:r>
      <w:r w:rsidR="00900933">
        <w:rPr>
          <w:rFonts w:ascii="Century Schoolbook" w:hAnsi="Century Schoolbook" w:cs="Times New Roman"/>
          <w:sz w:val="24"/>
          <w:szCs w:val="24"/>
        </w:rPr>
        <w:t>,</w:t>
      </w:r>
      <w:r w:rsidR="00900933" w:rsidRPr="008D5074">
        <w:rPr>
          <w:rFonts w:ascii="Century Schoolbook" w:hAnsi="Century Schoolbook" w:cs="Times New Roman"/>
          <w:sz w:val="24"/>
          <w:szCs w:val="24"/>
        </w:rPr>
        <w:t xml:space="preserve"> as stated in </w:t>
      </w:r>
      <w:r w:rsidR="00900933">
        <w:rPr>
          <w:rFonts w:ascii="Century Schoolbook" w:hAnsi="Century Schoolbook" w:cs="Times New Roman"/>
          <w:sz w:val="24"/>
          <w:szCs w:val="24"/>
        </w:rPr>
        <w:t xml:space="preserve">our </w:t>
      </w:r>
      <w:r w:rsidR="00900933" w:rsidRPr="008D5074">
        <w:rPr>
          <w:rFonts w:ascii="Century Schoolbook" w:hAnsi="Century Schoolbook" w:cs="Times New Roman"/>
          <w:sz w:val="24"/>
          <w:szCs w:val="24"/>
        </w:rPr>
        <w:t xml:space="preserve">Notice, we seek to collect such information for evaluation purposes. </w:t>
      </w:r>
      <w:r w:rsidR="00900933">
        <w:rPr>
          <w:rFonts w:ascii="Century Schoolbook" w:hAnsi="Century Schoolbook" w:cs="Times New Roman"/>
          <w:sz w:val="24"/>
          <w:szCs w:val="24"/>
        </w:rPr>
        <w:t xml:space="preserve"> Our staff has several scientists who have the requisite experience to complete such an evaluation.  </w:t>
      </w:r>
    </w:p>
    <w:p w:rsidR="00900933" w:rsidRPr="008D5074" w:rsidRDefault="00900933" w:rsidP="003F1AC3">
      <w:pPr>
        <w:pStyle w:val="NoSpacing"/>
        <w:spacing w:after="120"/>
        <w:ind w:firstLine="720"/>
        <w:jc w:val="both"/>
        <w:rPr>
          <w:rFonts w:ascii="Century Schoolbook" w:hAnsi="Century Schoolbook" w:cs="Times New Roman"/>
          <w:sz w:val="24"/>
          <w:szCs w:val="24"/>
        </w:rPr>
      </w:pPr>
      <w:r w:rsidRPr="008D5074">
        <w:rPr>
          <w:rFonts w:ascii="Century Schoolbook" w:hAnsi="Century Schoolbook" w:cs="Times New Roman"/>
          <w:sz w:val="24"/>
          <w:szCs w:val="24"/>
        </w:rPr>
        <w:t>We agree</w:t>
      </w:r>
      <w:r w:rsidR="00297411">
        <w:rPr>
          <w:rFonts w:ascii="Century Schoolbook" w:hAnsi="Century Schoolbook" w:cs="Times New Roman"/>
          <w:sz w:val="24"/>
          <w:szCs w:val="24"/>
        </w:rPr>
        <w:t xml:space="preserve"> with Commenter 2</w:t>
      </w:r>
      <w:r w:rsidRPr="008D5074">
        <w:rPr>
          <w:rFonts w:ascii="Century Schoolbook" w:hAnsi="Century Schoolbook" w:cs="Times New Roman"/>
          <w:sz w:val="24"/>
          <w:szCs w:val="24"/>
        </w:rPr>
        <w:t xml:space="preserve"> that receipt of an institution’s plan for RCR training would be a valuable endeavor</w:t>
      </w:r>
      <w:r>
        <w:rPr>
          <w:rFonts w:ascii="Century Schoolbook" w:hAnsi="Century Schoolbook" w:cs="Times New Roman"/>
          <w:sz w:val="24"/>
          <w:szCs w:val="24"/>
        </w:rPr>
        <w:t>, and w</w:t>
      </w:r>
      <w:r w:rsidRPr="008D5074">
        <w:rPr>
          <w:rFonts w:ascii="Century Schoolbook" w:hAnsi="Century Schoolbook" w:cs="Times New Roman"/>
          <w:sz w:val="24"/>
          <w:szCs w:val="24"/>
        </w:rPr>
        <w:t>e w</w:t>
      </w:r>
      <w:r>
        <w:rPr>
          <w:rFonts w:ascii="Century Schoolbook" w:hAnsi="Century Schoolbook" w:cs="Times New Roman"/>
          <w:sz w:val="24"/>
          <w:szCs w:val="24"/>
        </w:rPr>
        <w:t>ill</w:t>
      </w:r>
      <w:r w:rsidRPr="008D5074">
        <w:rPr>
          <w:rFonts w:ascii="Century Schoolbook" w:hAnsi="Century Schoolbook" w:cs="Times New Roman"/>
          <w:sz w:val="24"/>
          <w:szCs w:val="24"/>
        </w:rPr>
        <w:t xml:space="preserve"> obtain such institutional plans as part of our assessment.  </w:t>
      </w:r>
    </w:p>
    <w:p w:rsidR="00900933" w:rsidRDefault="00900933" w:rsidP="00465E6C">
      <w:pPr>
        <w:ind w:firstLine="0"/>
        <w:jc w:val="center"/>
        <w:rPr>
          <w:rFonts w:cstheme="minorBidi"/>
          <w:szCs w:val="24"/>
        </w:rPr>
      </w:pPr>
      <w:r>
        <w:rPr>
          <w:rFonts w:cstheme="minorBidi"/>
          <w:szCs w:val="24"/>
        </w:rPr>
        <w:t>Commenter 3</w:t>
      </w:r>
    </w:p>
    <w:p w:rsidR="00900933" w:rsidRDefault="00900933" w:rsidP="003F1AC3">
      <w:pPr>
        <w:pStyle w:val="NoSpacing"/>
        <w:numPr>
          <w:ilvl w:val="0"/>
          <w:numId w:val="7"/>
        </w:numPr>
        <w:spacing w:after="120"/>
        <w:ind w:left="360"/>
        <w:jc w:val="both"/>
        <w:rPr>
          <w:rFonts w:ascii="Century Schoolbook" w:hAnsi="Century Schoolbook" w:cs="Times New Roman"/>
          <w:sz w:val="24"/>
          <w:szCs w:val="24"/>
        </w:rPr>
      </w:pPr>
      <w:r w:rsidRPr="0052660D">
        <w:rPr>
          <w:rFonts w:ascii="Century Schoolbook" w:hAnsi="Century Schoolbook" w:cs="Times New Roman"/>
          <w:sz w:val="24"/>
          <w:szCs w:val="24"/>
        </w:rPr>
        <w:t>We agree</w:t>
      </w:r>
      <w:r w:rsidR="00297411">
        <w:rPr>
          <w:rFonts w:ascii="Century Schoolbook" w:hAnsi="Century Schoolbook" w:cs="Times New Roman"/>
          <w:sz w:val="24"/>
          <w:szCs w:val="24"/>
        </w:rPr>
        <w:t xml:space="preserve"> with Commenter 3</w:t>
      </w:r>
      <w:r w:rsidRPr="0052660D">
        <w:rPr>
          <w:rFonts w:ascii="Century Schoolbook" w:hAnsi="Century Schoolbook" w:cs="Times New Roman"/>
          <w:sz w:val="24"/>
          <w:szCs w:val="24"/>
        </w:rPr>
        <w:t xml:space="preserve"> that receipt of an institution’s plan for RCR training would be a valuable endeavor</w:t>
      </w:r>
      <w:r>
        <w:rPr>
          <w:rFonts w:ascii="Century Schoolbook" w:hAnsi="Century Schoolbook" w:cs="Times New Roman"/>
          <w:sz w:val="24"/>
          <w:szCs w:val="24"/>
        </w:rPr>
        <w:t>, and w</w:t>
      </w:r>
      <w:r w:rsidRPr="0052660D">
        <w:rPr>
          <w:rFonts w:ascii="Century Schoolbook" w:hAnsi="Century Schoolbook" w:cs="Times New Roman"/>
          <w:sz w:val="24"/>
          <w:szCs w:val="24"/>
        </w:rPr>
        <w:t>e w</w:t>
      </w:r>
      <w:r>
        <w:rPr>
          <w:rFonts w:ascii="Century Schoolbook" w:hAnsi="Century Schoolbook" w:cs="Times New Roman"/>
          <w:sz w:val="24"/>
          <w:szCs w:val="24"/>
        </w:rPr>
        <w:t>ill</w:t>
      </w:r>
      <w:r w:rsidRPr="0052660D">
        <w:rPr>
          <w:rFonts w:ascii="Century Schoolbook" w:hAnsi="Century Schoolbook" w:cs="Times New Roman"/>
          <w:sz w:val="24"/>
          <w:szCs w:val="24"/>
        </w:rPr>
        <w:t xml:space="preserve"> obtain such institutional plans as part of our assessment.  We prepared our approach after interviewing experts in RCR training and then conduct</w:t>
      </w:r>
      <w:r>
        <w:rPr>
          <w:rFonts w:ascii="Century Schoolbook" w:hAnsi="Century Schoolbook" w:cs="Times New Roman"/>
          <w:sz w:val="24"/>
          <w:szCs w:val="24"/>
        </w:rPr>
        <w:t>ing</w:t>
      </w:r>
      <w:r w:rsidRPr="0052660D">
        <w:rPr>
          <w:rFonts w:ascii="Century Schoolbook" w:hAnsi="Century Schoolbook" w:cs="Times New Roman"/>
          <w:sz w:val="24"/>
          <w:szCs w:val="24"/>
        </w:rPr>
        <w:t xml:space="preserve"> a trial run of the oversight program at a university</w:t>
      </w:r>
      <w:r>
        <w:rPr>
          <w:rFonts w:ascii="Century Schoolbook" w:hAnsi="Century Schoolbook" w:cs="Times New Roman"/>
          <w:sz w:val="24"/>
          <w:szCs w:val="24"/>
        </w:rPr>
        <w:t xml:space="preserve"> </w:t>
      </w:r>
      <w:r w:rsidRPr="002E2467">
        <w:rPr>
          <w:rFonts w:ascii="Century Schoolbook" w:hAnsi="Century Schoolbook" w:cs="Times New Roman"/>
          <w:sz w:val="24"/>
          <w:szCs w:val="24"/>
        </w:rPr>
        <w:t>with multiple, decentralized RCR programs</w:t>
      </w:r>
      <w:r w:rsidRPr="0052660D">
        <w:rPr>
          <w:rFonts w:ascii="Century Schoolbook" w:hAnsi="Century Schoolbook" w:cs="Times New Roman"/>
          <w:sz w:val="24"/>
          <w:szCs w:val="24"/>
        </w:rPr>
        <w:t xml:space="preserve">.  Using a draft questionnaire, respondents provided answers and promptly offered both positive and negative feedback about their own RCR training experiences.  </w:t>
      </w:r>
      <w:r w:rsidRPr="008D5074">
        <w:rPr>
          <w:rFonts w:ascii="Century Schoolbook" w:hAnsi="Century Schoolbook" w:cs="Times New Roman"/>
          <w:sz w:val="24"/>
          <w:szCs w:val="24"/>
        </w:rPr>
        <w:t>Our interviews and questions were necessary and essential to determine compliance with NSF’s RCR policy</w:t>
      </w:r>
      <w:r>
        <w:rPr>
          <w:rFonts w:ascii="Century Schoolbook" w:hAnsi="Century Schoolbook" w:cs="Times New Roman"/>
          <w:sz w:val="24"/>
          <w:szCs w:val="24"/>
        </w:rPr>
        <w:t>, to allow us to address the impact of NSF’s requirement on the university, and to determine whether a recommendation to adjust the po</w:t>
      </w:r>
      <w:r w:rsidR="006C6F71">
        <w:rPr>
          <w:rFonts w:ascii="Century Schoolbook" w:hAnsi="Century Schoolbook" w:cs="Times New Roman"/>
          <w:sz w:val="24"/>
          <w:szCs w:val="24"/>
        </w:rPr>
        <w:t>licy might be warranted.</w:t>
      </w:r>
    </w:p>
    <w:p w:rsidR="00900933" w:rsidRPr="0052660D" w:rsidRDefault="003B6ED0" w:rsidP="003F1AC3">
      <w:pPr>
        <w:pStyle w:val="NoSpacing"/>
        <w:spacing w:after="120"/>
        <w:ind w:left="360"/>
        <w:jc w:val="both"/>
        <w:rPr>
          <w:rFonts w:ascii="Century Schoolbook" w:hAnsi="Century Schoolbook" w:cs="Times New Roman"/>
          <w:sz w:val="24"/>
          <w:szCs w:val="24"/>
        </w:rPr>
      </w:pPr>
      <w:r>
        <w:rPr>
          <w:rFonts w:ascii="Century Schoolbook" w:hAnsi="Century Schoolbook" w:cs="Times New Roman"/>
          <w:sz w:val="24"/>
          <w:szCs w:val="24"/>
        </w:rPr>
        <w:t>This commenter</w:t>
      </w:r>
      <w:r w:rsidR="00900933">
        <w:rPr>
          <w:rFonts w:ascii="Century Schoolbook" w:hAnsi="Century Schoolbook" w:cs="Times New Roman"/>
          <w:sz w:val="24"/>
          <w:szCs w:val="24"/>
        </w:rPr>
        <w:t xml:space="preserve"> suggest</w:t>
      </w:r>
      <w:r>
        <w:rPr>
          <w:rFonts w:ascii="Century Schoolbook" w:hAnsi="Century Schoolbook" w:cs="Times New Roman"/>
          <w:sz w:val="24"/>
          <w:szCs w:val="24"/>
        </w:rPr>
        <w:t>ed</w:t>
      </w:r>
      <w:r w:rsidR="00900933">
        <w:rPr>
          <w:rFonts w:ascii="Century Schoolbook" w:hAnsi="Century Schoolbook" w:cs="Times New Roman"/>
          <w:sz w:val="24"/>
          <w:szCs w:val="24"/>
        </w:rPr>
        <w:t xml:space="preserve"> we use an electronic survey rather than conducting interviews to gather information.  During our trial run, we specifically asked the </w:t>
      </w:r>
      <w:r w:rsidR="00900933">
        <w:rPr>
          <w:rFonts w:ascii="Century Schoolbook" w:hAnsi="Century Schoolbook" w:cs="Times New Roman"/>
          <w:sz w:val="24"/>
          <w:szCs w:val="24"/>
        </w:rPr>
        <w:lastRenderedPageBreak/>
        <w:t>participants how their responses would differ if they received and answered the same questionnaire electronically vs. in an interview.  While a couple of interviewees noted it would be more convenient logistically to complete an electronic questionnaire at their leisure, all interviewees preferred an interview format for a more fruitful discussion.</w:t>
      </w:r>
    </w:p>
    <w:p w:rsidR="00900933" w:rsidRPr="008D5074" w:rsidRDefault="00297411" w:rsidP="003F1AC3">
      <w:pPr>
        <w:pStyle w:val="NoSpacing"/>
        <w:numPr>
          <w:ilvl w:val="0"/>
          <w:numId w:val="7"/>
        </w:numPr>
        <w:spacing w:after="120"/>
        <w:ind w:left="360"/>
        <w:jc w:val="both"/>
        <w:rPr>
          <w:rFonts w:ascii="Century Schoolbook" w:hAnsi="Century Schoolbook" w:cs="Times New Roman"/>
          <w:sz w:val="24"/>
          <w:szCs w:val="24"/>
        </w:rPr>
      </w:pPr>
      <w:r>
        <w:rPr>
          <w:rFonts w:ascii="Century Schoolbook" w:hAnsi="Century Schoolbook" w:cs="Times New Roman"/>
          <w:sz w:val="24"/>
          <w:szCs w:val="24"/>
        </w:rPr>
        <w:t>Commenter 3</w:t>
      </w:r>
      <w:r w:rsidR="00900933">
        <w:rPr>
          <w:rFonts w:ascii="Century Schoolbook" w:hAnsi="Century Schoolbook" w:cs="Times New Roman"/>
          <w:sz w:val="24"/>
          <w:szCs w:val="24"/>
        </w:rPr>
        <w:t xml:space="preserve"> suggest</w:t>
      </w:r>
      <w:r>
        <w:rPr>
          <w:rFonts w:ascii="Century Schoolbook" w:hAnsi="Century Schoolbook" w:cs="Times New Roman"/>
          <w:sz w:val="24"/>
          <w:szCs w:val="24"/>
        </w:rPr>
        <w:t>ed</w:t>
      </w:r>
      <w:r w:rsidR="00900933">
        <w:rPr>
          <w:rFonts w:ascii="Century Schoolbook" w:hAnsi="Century Schoolbook" w:cs="Times New Roman"/>
          <w:sz w:val="24"/>
          <w:szCs w:val="24"/>
        </w:rPr>
        <w:t xml:space="preserve"> our list of interviewees is incomplete because we exclude faculty.  </w:t>
      </w:r>
      <w:r w:rsidR="00900933" w:rsidRPr="008D5074">
        <w:rPr>
          <w:rFonts w:ascii="Century Schoolbook" w:hAnsi="Century Schoolbook" w:cs="Times New Roman"/>
          <w:sz w:val="24"/>
          <w:szCs w:val="24"/>
        </w:rPr>
        <w:t xml:space="preserve">We do not specifically exclude faculty as we found that faculty members </w:t>
      </w:r>
      <w:r w:rsidR="00900933">
        <w:rPr>
          <w:rFonts w:ascii="Century Schoolbook" w:hAnsi="Century Schoolbook" w:cs="Times New Roman"/>
          <w:sz w:val="24"/>
          <w:szCs w:val="24"/>
        </w:rPr>
        <w:t>are often</w:t>
      </w:r>
      <w:r w:rsidR="00900933" w:rsidRPr="008D5074">
        <w:rPr>
          <w:rFonts w:ascii="Century Schoolbook" w:hAnsi="Century Schoolbook" w:cs="Times New Roman"/>
          <w:sz w:val="24"/>
          <w:szCs w:val="24"/>
        </w:rPr>
        <w:t xml:space="preserve"> the RCR program administrators and/or RCR course </w:t>
      </w:r>
      <w:r w:rsidR="00900933">
        <w:rPr>
          <w:rFonts w:ascii="Century Schoolbook" w:hAnsi="Century Schoolbook" w:cs="Times New Roman"/>
          <w:sz w:val="24"/>
          <w:szCs w:val="24"/>
        </w:rPr>
        <w:t>instructors</w:t>
      </w:r>
      <w:r w:rsidR="00900933" w:rsidRPr="008D5074">
        <w:rPr>
          <w:rFonts w:ascii="Century Schoolbook" w:hAnsi="Century Schoolbook" w:cs="Times New Roman"/>
          <w:sz w:val="24"/>
          <w:szCs w:val="24"/>
        </w:rPr>
        <w:t xml:space="preserve">.  Furthermore, we plan to ask RCR program administrators </w:t>
      </w:r>
      <w:r w:rsidR="00900933">
        <w:rPr>
          <w:rFonts w:ascii="Century Schoolbook" w:hAnsi="Century Schoolbook" w:cs="Times New Roman"/>
          <w:sz w:val="24"/>
          <w:szCs w:val="24"/>
        </w:rPr>
        <w:t xml:space="preserve">for </w:t>
      </w:r>
      <w:r w:rsidR="00900933" w:rsidRPr="008D5074">
        <w:rPr>
          <w:rFonts w:ascii="Century Schoolbook" w:hAnsi="Century Schoolbook" w:cs="Times New Roman"/>
          <w:sz w:val="24"/>
          <w:szCs w:val="24"/>
        </w:rPr>
        <w:t>information on faculty involvement.  We realize faculty mentoring could be an integrated part of a RCR program</w:t>
      </w:r>
      <w:r w:rsidR="006C6F71">
        <w:rPr>
          <w:rFonts w:ascii="Century Schoolbook" w:hAnsi="Century Schoolbook" w:cs="Times New Roman"/>
          <w:sz w:val="24"/>
          <w:szCs w:val="24"/>
        </w:rPr>
        <w:t>,</w:t>
      </w:r>
      <w:r w:rsidR="00900933" w:rsidRPr="008D5074">
        <w:rPr>
          <w:rFonts w:ascii="Century Schoolbook" w:hAnsi="Century Schoolbook" w:cs="Times New Roman"/>
          <w:sz w:val="24"/>
          <w:szCs w:val="24"/>
        </w:rPr>
        <w:t xml:space="preserve"> as we </w:t>
      </w:r>
      <w:r w:rsidR="006C6F71">
        <w:rPr>
          <w:rFonts w:ascii="Century Schoolbook" w:hAnsi="Century Schoolbook" w:cs="Times New Roman"/>
          <w:sz w:val="24"/>
          <w:szCs w:val="24"/>
        </w:rPr>
        <w:t>recognize</w:t>
      </w:r>
      <w:r w:rsidR="00900933" w:rsidRPr="008D5074">
        <w:rPr>
          <w:rFonts w:ascii="Century Schoolbook" w:hAnsi="Century Schoolbook" w:cs="Times New Roman"/>
          <w:sz w:val="24"/>
          <w:szCs w:val="24"/>
        </w:rPr>
        <w:t xml:space="preserve"> that institutions have varying RCR training programs that are suited to their specific research disciplines or type of institution. </w:t>
      </w:r>
    </w:p>
    <w:p w:rsidR="00900933" w:rsidRDefault="00297411" w:rsidP="003C3624">
      <w:pPr>
        <w:ind w:firstLine="360"/>
        <w:jc w:val="both"/>
        <w:rPr>
          <w:szCs w:val="24"/>
        </w:rPr>
      </w:pPr>
      <w:r>
        <w:rPr>
          <w:szCs w:val="24"/>
        </w:rPr>
        <w:t>Commenter 3</w:t>
      </w:r>
      <w:r w:rsidR="00900933" w:rsidRPr="00BA65B9">
        <w:rPr>
          <w:szCs w:val="24"/>
        </w:rPr>
        <w:t xml:space="preserve"> believe</w:t>
      </w:r>
      <w:r>
        <w:rPr>
          <w:szCs w:val="24"/>
        </w:rPr>
        <w:t>d</w:t>
      </w:r>
      <w:r w:rsidR="00900933" w:rsidRPr="00BA65B9">
        <w:rPr>
          <w:szCs w:val="24"/>
        </w:rPr>
        <w:t xml:space="preserve"> we underestimated the time burden on institutions due to systematic auditing and self-assessment.  We are not conducting an audit, nor do we require a university to conduct an audit or self-assessment either prior</w:t>
      </w:r>
      <w:r>
        <w:rPr>
          <w:szCs w:val="24"/>
        </w:rPr>
        <w:t>,</w:t>
      </w:r>
      <w:r w:rsidR="00900933" w:rsidRPr="00BA65B9">
        <w:rPr>
          <w:szCs w:val="24"/>
        </w:rPr>
        <w:t xml:space="preserve"> or subsequent</w:t>
      </w:r>
      <w:r>
        <w:rPr>
          <w:szCs w:val="24"/>
        </w:rPr>
        <w:t>,</w:t>
      </w:r>
      <w:r w:rsidR="00900933" w:rsidRPr="00BA65B9">
        <w:rPr>
          <w:szCs w:val="24"/>
        </w:rPr>
        <w:t xml:space="preserve"> to our information gathering.  Our interview times are based from our previous experiences and are used as an estimate, not as an absolute fixed factor.  We expect that interview duration would vary for some institutions based on the size of their RCR program and total number of participants.  Individual institutions can have a wide variety in the number of trainees who are supported by NSF.  </w:t>
      </w:r>
      <w:r w:rsidR="00900933" w:rsidRPr="00FE3BA3">
        <w:rPr>
          <w:szCs w:val="24"/>
        </w:rPr>
        <w:t xml:space="preserve">Our estimated interview times are in line </w:t>
      </w:r>
      <w:r w:rsidR="00900933">
        <w:rPr>
          <w:szCs w:val="24"/>
        </w:rPr>
        <w:t xml:space="preserve">with </w:t>
      </w:r>
      <w:r w:rsidR="00900933" w:rsidRPr="00FE3BA3">
        <w:rPr>
          <w:szCs w:val="24"/>
        </w:rPr>
        <w:t>the actual length of the interviews conducted in our trial run</w:t>
      </w:r>
      <w:r w:rsidR="00900933" w:rsidRPr="00BA65B9">
        <w:rPr>
          <w:szCs w:val="24"/>
        </w:rPr>
        <w:t>.</w:t>
      </w:r>
    </w:p>
    <w:p w:rsidR="003C3624" w:rsidRDefault="003C3624" w:rsidP="003C3624">
      <w:pPr>
        <w:jc w:val="both"/>
        <w:rPr>
          <w:rFonts w:cstheme="minorBidi"/>
          <w:szCs w:val="24"/>
        </w:rPr>
      </w:pPr>
      <w:r>
        <w:rPr>
          <w:szCs w:val="24"/>
        </w:rPr>
        <w:t>After consideration of the comment, we are moving forward with our submission to OMB.</w:t>
      </w:r>
    </w:p>
    <w:p w:rsidR="003C3624" w:rsidRPr="003C3624" w:rsidRDefault="00297411" w:rsidP="003C3624">
      <w:pPr>
        <w:jc w:val="both"/>
      </w:pPr>
      <w:r>
        <w:t>Regarding outside consultation, i</w:t>
      </w:r>
      <w:r w:rsidR="00F9240D">
        <w:t xml:space="preserve">n the course of designing our questionnaire, we consulted </w:t>
      </w:r>
      <w:r w:rsidR="003906F0" w:rsidRPr="002C6B36">
        <w:t>outside</w:t>
      </w:r>
      <w:r>
        <w:t>,</w:t>
      </w:r>
      <w:r w:rsidR="003906F0" w:rsidRPr="002C6B36">
        <w:t xml:space="preserve"> technical expertise </w:t>
      </w:r>
      <w:r w:rsidR="00F9240D">
        <w:t>from several RCR experts at universities and a professional society representing universities with an interest in RCR education</w:t>
      </w:r>
      <w:r w:rsidR="003906F0" w:rsidRPr="002C6B36">
        <w:t>.</w:t>
      </w:r>
      <w:r w:rsidR="00F9240D">
        <w:t xml:space="preserve">  </w:t>
      </w:r>
    </w:p>
    <w:p w:rsidR="00A536C7" w:rsidRPr="002C6B36" w:rsidRDefault="00A536C7" w:rsidP="00F52B95">
      <w:pPr>
        <w:pStyle w:val="Heading1"/>
      </w:pPr>
      <w:bookmarkStart w:id="11" w:name="_Toc336433230"/>
      <w:r w:rsidRPr="002C6B36">
        <w:t>A.9</w:t>
      </w:r>
      <w:r w:rsidR="009D2146" w:rsidRPr="002C6B36">
        <w:t xml:space="preserve">. </w:t>
      </w:r>
      <w:r w:rsidRPr="002C6B36">
        <w:t>Gift</w:t>
      </w:r>
      <w:r w:rsidR="000F0C17" w:rsidRPr="002C6B36">
        <w:t>s or Remuneration</w:t>
      </w:r>
      <w:bookmarkEnd w:id="11"/>
    </w:p>
    <w:p w:rsidR="00777C4E" w:rsidRPr="002C6B36" w:rsidRDefault="00777C4E" w:rsidP="00F52B95">
      <w:r w:rsidRPr="002C6B36">
        <w:t>No payment or gift will be made to respondents as a part of this study.</w:t>
      </w:r>
      <w:r w:rsidRPr="002C6B36" w:rsidDel="00777C4E">
        <w:t xml:space="preserve"> </w:t>
      </w:r>
    </w:p>
    <w:p w:rsidR="00A536C7" w:rsidRPr="002C6B36" w:rsidRDefault="00A536C7" w:rsidP="00F52B95">
      <w:pPr>
        <w:pStyle w:val="Heading1"/>
      </w:pPr>
      <w:bookmarkStart w:id="12" w:name="_Toc336433231"/>
      <w:r w:rsidRPr="002C6B36">
        <w:t xml:space="preserve">A.10. </w:t>
      </w:r>
      <w:r w:rsidR="00A02DBC" w:rsidRPr="002C6B36">
        <w:t>Confidentiality Provided to Respondents</w:t>
      </w:r>
      <w:bookmarkEnd w:id="12"/>
    </w:p>
    <w:p w:rsidR="002C6B36" w:rsidRDefault="00EB67F3" w:rsidP="00576E66">
      <w:pPr>
        <w:jc w:val="both"/>
        <w:rPr>
          <w:i/>
        </w:rPr>
      </w:pPr>
      <w:r>
        <w:t>Prior to our video/telephone i</w:t>
      </w:r>
      <w:r w:rsidR="00F9240D">
        <w:t>nterview</w:t>
      </w:r>
      <w:r>
        <w:t>,</w:t>
      </w:r>
      <w:r w:rsidR="00F9240D">
        <w:t xml:space="preserve"> respondents</w:t>
      </w:r>
      <w:r w:rsidR="00BB14E1" w:rsidRPr="002C6B36">
        <w:t xml:space="preserve"> will </w:t>
      </w:r>
      <w:r w:rsidR="0047437E">
        <w:t xml:space="preserve">be informed </w:t>
      </w:r>
      <w:r>
        <w:t>that no individuals will be identified in our report</w:t>
      </w:r>
      <w:r w:rsidR="00CF4BCF" w:rsidRPr="002C6B36">
        <w:t>.</w:t>
      </w:r>
      <w:r>
        <w:t xml:space="preserve"> </w:t>
      </w:r>
      <w:r w:rsidR="00CF4BCF" w:rsidRPr="002C6B36">
        <w:t xml:space="preserve"> </w:t>
      </w:r>
      <w:r w:rsidR="008B7581" w:rsidRPr="002C6B36">
        <w:t>Participants</w:t>
      </w:r>
      <w:r w:rsidR="00BB14E1" w:rsidRPr="002C6B36">
        <w:t xml:space="preserve"> will be informed that </w:t>
      </w:r>
      <w:r w:rsidR="00B92A68" w:rsidRPr="002C6B36">
        <w:t xml:space="preserve">the information they provide will </w:t>
      </w:r>
      <w:r w:rsidR="00CF4BCF" w:rsidRPr="002C6B36">
        <w:t>be kept confidential</w:t>
      </w:r>
      <w:r>
        <w:t>,</w:t>
      </w:r>
      <w:r w:rsidR="00B92A68" w:rsidRPr="002C6B36">
        <w:t xml:space="preserve"> except as required by law</w:t>
      </w:r>
      <w:r>
        <w:t>;</w:t>
      </w:r>
      <w:r w:rsidR="00853AC0" w:rsidRPr="002C6B36">
        <w:t xml:space="preserve"> data collected from them will be reported in an aggregate form</w:t>
      </w:r>
      <w:r>
        <w:t>;</w:t>
      </w:r>
      <w:r w:rsidR="00B92A68" w:rsidRPr="002C6B36">
        <w:t xml:space="preserve"> </w:t>
      </w:r>
      <w:r w:rsidR="00BB14E1" w:rsidRPr="002C6B36">
        <w:t xml:space="preserve">and their participation is completely voluntary. </w:t>
      </w:r>
    </w:p>
    <w:p w:rsidR="00A536C7" w:rsidRPr="002C6B36" w:rsidRDefault="00A536C7" w:rsidP="00F52B95">
      <w:pPr>
        <w:pStyle w:val="Heading1"/>
      </w:pPr>
      <w:bookmarkStart w:id="13" w:name="_Toc336433232"/>
      <w:r w:rsidRPr="002C6B36">
        <w:t>A.11</w:t>
      </w:r>
      <w:r w:rsidR="009D2146" w:rsidRPr="002C6B36">
        <w:t xml:space="preserve">. </w:t>
      </w:r>
      <w:r w:rsidRPr="002C6B36">
        <w:t xml:space="preserve">Questions </w:t>
      </w:r>
      <w:r w:rsidR="000F0C17" w:rsidRPr="002C6B36">
        <w:t>of a Sensitive Nature</w:t>
      </w:r>
      <w:bookmarkEnd w:id="13"/>
    </w:p>
    <w:p w:rsidR="00C80D5D" w:rsidRPr="002C6B36" w:rsidRDefault="00870F45" w:rsidP="00EA53BA">
      <w:pPr>
        <w:jc w:val="both"/>
      </w:pPr>
      <w:r>
        <w:t>T</w:t>
      </w:r>
      <w:r w:rsidR="00937333" w:rsidRPr="002C6B36">
        <w:t>he interview</w:t>
      </w:r>
      <w:r>
        <w:t xml:space="preserve"> questionnaire does not</w:t>
      </w:r>
      <w:r w:rsidR="00937333" w:rsidRPr="002C6B36">
        <w:t xml:space="preserve"> contain</w:t>
      </w:r>
      <w:r w:rsidR="00B92A68" w:rsidRPr="002C6B36">
        <w:t xml:space="preserve"> </w:t>
      </w:r>
      <w:r w:rsidR="00A536C7" w:rsidRPr="002C6B36">
        <w:t xml:space="preserve">questions of a sensitive nature. </w:t>
      </w:r>
      <w:r>
        <w:t xml:space="preserve"> </w:t>
      </w:r>
      <w:r w:rsidR="00D177B5" w:rsidRPr="002C6B36">
        <w:t>Personally Identifiable Information gather</w:t>
      </w:r>
      <w:r w:rsidR="00C80D5D" w:rsidRPr="002C6B36">
        <w:t>ed</w:t>
      </w:r>
      <w:r w:rsidR="00D177B5" w:rsidRPr="002C6B36">
        <w:t xml:space="preserve"> as part of this study will be limited to the names of </w:t>
      </w:r>
      <w:r w:rsidR="00347A64" w:rsidRPr="002C6B36">
        <w:t>respondents</w:t>
      </w:r>
      <w:r w:rsidR="00347A64">
        <w:t xml:space="preserve"> as represented by upper-level administration—we will not seek the names of student respondents</w:t>
      </w:r>
      <w:r w:rsidR="00D177B5" w:rsidRPr="002C6B36">
        <w:t>.</w:t>
      </w:r>
      <w:r>
        <w:t xml:space="preserve"> </w:t>
      </w:r>
      <w:r w:rsidR="00D177B5" w:rsidRPr="002C6B36">
        <w:t xml:space="preserve"> </w:t>
      </w:r>
      <w:r w:rsidR="00C80D5D" w:rsidRPr="002C6B36">
        <w:t>R</w:t>
      </w:r>
      <w:r w:rsidR="00D177B5" w:rsidRPr="002C6B36">
        <w:t xml:space="preserve">ecords of individual responses (in the form of interview </w:t>
      </w:r>
      <w:r w:rsidR="00D177B5" w:rsidRPr="002C6B36">
        <w:lastRenderedPageBreak/>
        <w:t xml:space="preserve">notes) will be maintained </w:t>
      </w:r>
      <w:r w:rsidR="00FD4385">
        <w:t>in the OIG’s confidential files</w:t>
      </w:r>
      <w:r w:rsidR="00347A64">
        <w:t xml:space="preserve"> and</w:t>
      </w:r>
      <w:r w:rsidR="00347A64" w:rsidRPr="00347A64">
        <w:t xml:space="preserve"> </w:t>
      </w:r>
      <w:r w:rsidR="00347A64" w:rsidRPr="002C6B36">
        <w:t>will be kept confidentia</w:t>
      </w:r>
      <w:r w:rsidR="00347A64">
        <w:t>l to the extent allowed by law.</w:t>
      </w:r>
    </w:p>
    <w:p w:rsidR="005C3661" w:rsidRPr="002C6B36" w:rsidRDefault="005C3661" w:rsidP="00EA53BA">
      <w:pPr>
        <w:jc w:val="both"/>
      </w:pPr>
      <w:r w:rsidRPr="002C6B36">
        <w:t>As described in A.10, s</w:t>
      </w:r>
      <w:r w:rsidR="00190FDB" w:rsidRPr="002C6B36">
        <w:t xml:space="preserve">urvey participants will </w:t>
      </w:r>
      <w:r w:rsidR="00FD4385">
        <w:t xml:space="preserve">be told of the general nature of our questions </w:t>
      </w:r>
      <w:r w:rsidR="00190FDB" w:rsidRPr="002C6B36">
        <w:t>prior to participation, and interview respondents will</w:t>
      </w:r>
      <w:r w:rsidR="00FD4385">
        <w:t xml:space="preserve"> have the option of not participating</w:t>
      </w:r>
      <w:r w:rsidR="00190FDB" w:rsidRPr="002C6B36">
        <w:t>.</w:t>
      </w:r>
      <w:r w:rsidRPr="002C6B36">
        <w:t xml:space="preserve"> </w:t>
      </w:r>
      <w:r w:rsidR="00870F45">
        <w:t xml:space="preserve"> </w:t>
      </w:r>
      <w:r w:rsidR="00347A64">
        <w:t xml:space="preserve">Additionally, even after agreeing to participate, respondents may choose not to answer any particular question. </w:t>
      </w:r>
    </w:p>
    <w:p w:rsidR="00A536C7" w:rsidRPr="002C6B36" w:rsidRDefault="00A536C7" w:rsidP="00F52B95">
      <w:pPr>
        <w:pStyle w:val="Heading1"/>
      </w:pPr>
      <w:bookmarkStart w:id="14" w:name="_Toc336433233"/>
      <w:r w:rsidRPr="002C6B36">
        <w:t>A.12</w:t>
      </w:r>
      <w:r w:rsidR="009D2146" w:rsidRPr="002C6B36">
        <w:t>. Estimates</w:t>
      </w:r>
      <w:r w:rsidRPr="002C6B36">
        <w:t xml:space="preserve"> of Burden </w:t>
      </w:r>
      <w:r w:rsidR="000F0C17" w:rsidRPr="002C6B36">
        <w:t>and</w:t>
      </w:r>
      <w:r w:rsidRPr="002C6B36">
        <w:t xml:space="preserve"> Annualized Costs</w:t>
      </w:r>
      <w:r w:rsidR="000F0C17" w:rsidRPr="002C6B36">
        <w:t xml:space="preserve"> to Respondents</w:t>
      </w:r>
      <w:bookmarkEnd w:id="14"/>
    </w:p>
    <w:p w:rsidR="00DB44C6" w:rsidRDefault="00A81373" w:rsidP="00AD19DA">
      <w:pPr>
        <w:jc w:val="both"/>
      </w:pPr>
      <w:r w:rsidRPr="002C6B36">
        <w:t xml:space="preserve">As summarized in Table </w:t>
      </w:r>
      <w:r w:rsidR="00226FC1" w:rsidRPr="002C6B36">
        <w:t>A.12.</w:t>
      </w:r>
      <w:r w:rsidRPr="002C6B36">
        <w:t>1</w:t>
      </w:r>
      <w:r w:rsidR="0021028E" w:rsidRPr="002C6B36">
        <w:t>, t</w:t>
      </w:r>
      <w:r w:rsidR="00E6199B" w:rsidRPr="002C6B36">
        <w:t xml:space="preserve">he estimated number of </w:t>
      </w:r>
      <w:r w:rsidR="00EA53BA">
        <w:t>awardees from which we will collect information</w:t>
      </w:r>
      <w:r w:rsidR="00E6199B" w:rsidRPr="002C6B36">
        <w:t xml:space="preserve"> </w:t>
      </w:r>
      <w:r w:rsidR="005C3661" w:rsidRPr="002C6B36">
        <w:t xml:space="preserve">will be </w:t>
      </w:r>
      <w:r w:rsidR="0084230F" w:rsidRPr="002C6B36">
        <w:t>1</w:t>
      </w:r>
      <w:r w:rsidR="00EA53BA">
        <w:t>00</w:t>
      </w:r>
      <w:r w:rsidR="0084230F" w:rsidRPr="002C6B36">
        <w:t xml:space="preserve"> (</w:t>
      </w:r>
      <w:r w:rsidR="00395F45">
        <w:t>with a minimum</w:t>
      </w:r>
      <w:r w:rsidR="0084230F" w:rsidRPr="002C6B36">
        <w:t xml:space="preserve"> </w:t>
      </w:r>
      <w:r w:rsidR="00EB1778">
        <w:t>93</w:t>
      </w:r>
      <w:r w:rsidR="0084230F" w:rsidRPr="002C6B36">
        <w:t>% survey response rate</w:t>
      </w:r>
      <w:r w:rsidR="00395F45">
        <w:rPr>
          <w:rStyle w:val="FootnoteReference"/>
        </w:rPr>
        <w:footnoteReference w:id="2"/>
      </w:r>
      <w:r w:rsidR="0084230F" w:rsidRPr="002C6B36">
        <w:t>)</w:t>
      </w:r>
      <w:r w:rsidR="00115AA3">
        <w:t xml:space="preserve"> over 2 years, or 50 awardees per year</w:t>
      </w:r>
      <w:r w:rsidRPr="002C6B36">
        <w:t>.</w:t>
      </w:r>
      <w:r w:rsidR="00EA53BA">
        <w:t xml:space="preserve"> </w:t>
      </w:r>
      <w:r w:rsidRPr="002C6B36">
        <w:t xml:space="preserve"> </w:t>
      </w:r>
      <w:r w:rsidR="00DB44C6">
        <w:t xml:space="preserve">As noted above (A.4), to reduce duplicate information, we will first look for information posted on </w:t>
      </w:r>
      <w:r w:rsidR="00160577">
        <w:t>awardees’</w:t>
      </w:r>
      <w:r w:rsidR="00DB44C6">
        <w:t xml:space="preserve"> webpages.  If the requested information is not posted, we will request it prior to conducting any interviews.  Since </w:t>
      </w:r>
      <w:r w:rsidR="00FA6A33">
        <w:t xml:space="preserve">awardees are already required by NSF to track </w:t>
      </w:r>
      <w:r w:rsidR="00DB44C6">
        <w:t>most of this information, we estimate its production should take no more than</w:t>
      </w:r>
      <w:r w:rsidR="00D21F68">
        <w:t xml:space="preserve"> </w:t>
      </w:r>
      <w:r w:rsidR="00F8377C">
        <w:t>0.5 hours</w:t>
      </w:r>
      <w:r w:rsidR="00D21F68">
        <w:t xml:space="preserve">; making the scheduling arrangements could take another </w:t>
      </w:r>
      <w:r w:rsidR="00F8377C" w:rsidRPr="00F8377C">
        <w:t>0.5 hours</w:t>
      </w:r>
      <w:r w:rsidR="00D21F68">
        <w:t>.</w:t>
      </w:r>
      <w:r w:rsidR="00D21F68" w:rsidRPr="00D21F68">
        <w:t xml:space="preserve"> </w:t>
      </w:r>
      <w:r w:rsidR="00D21F68">
        <w:t xml:space="preserve"> Thus, the total administrative</w:t>
      </w:r>
      <w:r w:rsidR="00096C06">
        <w:t xml:space="preserve"> </w:t>
      </w:r>
      <w:r w:rsidR="00D21F68">
        <w:t>time burden is approximately one hour.</w:t>
      </w:r>
    </w:p>
    <w:p w:rsidR="000C326C" w:rsidRDefault="00E6199B" w:rsidP="003F1AC3">
      <w:pPr>
        <w:jc w:val="both"/>
      </w:pPr>
      <w:r w:rsidRPr="002C6B36">
        <w:t xml:space="preserve">The </w:t>
      </w:r>
      <w:r w:rsidR="00A81373" w:rsidRPr="00AD19DA">
        <w:t>expected</w:t>
      </w:r>
      <w:r w:rsidRPr="00AD19DA">
        <w:t xml:space="preserve"> burden </w:t>
      </w:r>
      <w:r w:rsidR="005C3661" w:rsidRPr="00AD19DA">
        <w:t xml:space="preserve">for interview participants </w:t>
      </w:r>
      <w:r w:rsidR="00A81373" w:rsidRPr="00AD19DA">
        <w:t xml:space="preserve">will </w:t>
      </w:r>
      <w:r w:rsidR="00AD19DA" w:rsidRPr="00AD19DA">
        <w:t xml:space="preserve">vary depending on the respondent’s roll in the awardee’s RCR program.  </w:t>
      </w:r>
      <w:r w:rsidR="002B68B1">
        <w:t>We estimate</w:t>
      </w:r>
      <w:r w:rsidR="00AD19DA" w:rsidRPr="00AD19DA">
        <w:t xml:space="preserve"> the </w:t>
      </w:r>
      <w:r w:rsidR="002B68B1">
        <w:t xml:space="preserve">interview </w:t>
      </w:r>
      <w:r w:rsidR="00AD19DA" w:rsidRPr="00AD19DA">
        <w:t xml:space="preserve">time </w:t>
      </w:r>
      <w:r w:rsidR="002B68B1">
        <w:t>with a</w:t>
      </w:r>
      <w:r w:rsidR="00AD19DA" w:rsidRPr="00AD19DA">
        <w:t xml:space="preserve"> </w:t>
      </w:r>
      <w:r w:rsidR="00AD19DA">
        <w:t>senior-</w:t>
      </w:r>
      <w:r w:rsidR="00AD19DA" w:rsidRPr="00AD19DA">
        <w:t xml:space="preserve">level administrator </w:t>
      </w:r>
      <w:r w:rsidR="002B68B1">
        <w:t>to</w:t>
      </w:r>
      <w:r w:rsidR="00AD19DA" w:rsidRPr="00AD19DA">
        <w:t xml:space="preserve"> be approximately</w:t>
      </w:r>
      <w:r w:rsidR="001D2871">
        <w:t xml:space="preserve"> </w:t>
      </w:r>
      <w:r w:rsidR="00F8377C" w:rsidRPr="00F8377C">
        <w:t>0.5 hours</w:t>
      </w:r>
      <w:r w:rsidR="00AD19DA" w:rsidRPr="00AD19DA">
        <w:t xml:space="preserve">, </w:t>
      </w:r>
      <w:r w:rsidR="002B68B1">
        <w:t>with the</w:t>
      </w:r>
      <w:r w:rsidR="00AD19DA" w:rsidRPr="00AD19DA">
        <w:t xml:space="preserve"> </w:t>
      </w:r>
      <w:r w:rsidR="00DB44C6">
        <w:t>RCR program administrator</w:t>
      </w:r>
      <w:r w:rsidR="00AD19DA" w:rsidRPr="00AD19DA">
        <w:t xml:space="preserve"> approximately 1.5 </w:t>
      </w:r>
      <w:proofErr w:type="gramStart"/>
      <w:r w:rsidR="00AD19DA" w:rsidRPr="00AD19DA">
        <w:t>hours,</w:t>
      </w:r>
      <w:proofErr w:type="gramEnd"/>
      <w:r w:rsidR="00AD19DA" w:rsidRPr="00AD19DA">
        <w:t xml:space="preserve"> and </w:t>
      </w:r>
      <w:r w:rsidR="002B68B1">
        <w:t>with</w:t>
      </w:r>
      <w:r w:rsidR="00AD19DA" w:rsidRPr="00AD19DA">
        <w:t xml:space="preserve"> students and postdocs approximately 1 hour each</w:t>
      </w:r>
      <w:r w:rsidR="002B68B1">
        <w:t xml:space="preserve"> in a group setting</w:t>
      </w:r>
      <w:r w:rsidR="00AD19DA" w:rsidRPr="00AD19DA">
        <w:t>.</w:t>
      </w:r>
      <w:r w:rsidR="00AD19DA">
        <w:t xml:space="preserve">  </w:t>
      </w:r>
      <w:r w:rsidR="00115AA3">
        <w:t>We estimate</w:t>
      </w:r>
      <w:r w:rsidR="00AD19DA" w:rsidRPr="00AD19DA">
        <w:t xml:space="preserve"> each </w:t>
      </w:r>
      <w:r w:rsidR="00DB44C6">
        <w:t>awardee</w:t>
      </w:r>
      <w:r w:rsidR="002B68B1">
        <w:t xml:space="preserve"> will require </w:t>
      </w:r>
      <w:r w:rsidR="000C326C">
        <w:t>3</w:t>
      </w:r>
      <w:r w:rsidR="00AD19DA" w:rsidRPr="00AD19DA">
        <w:t xml:space="preserve"> hours to compl</w:t>
      </w:r>
      <w:r w:rsidR="00115AA3">
        <w:t xml:space="preserve">ete </w:t>
      </w:r>
      <w:r w:rsidR="002B68B1">
        <w:t xml:space="preserve">interviews, so </w:t>
      </w:r>
      <w:r w:rsidR="000C326C">
        <w:t>4</w:t>
      </w:r>
      <w:r w:rsidR="002B68B1">
        <w:t xml:space="preserve"> hours for </w:t>
      </w:r>
      <w:r w:rsidR="00115AA3">
        <w:t xml:space="preserve">the </w:t>
      </w:r>
      <w:r w:rsidR="002B68B1">
        <w:t>total</w:t>
      </w:r>
      <w:r w:rsidR="00264A50">
        <w:t xml:space="preserve"> effort</w:t>
      </w:r>
      <w:r w:rsidR="00115AA3">
        <w:t>.  Thu</w:t>
      </w:r>
      <w:r w:rsidR="002B68B1">
        <w:t>s, to collect information from 5</w:t>
      </w:r>
      <w:r w:rsidR="00115AA3">
        <w:t xml:space="preserve">0 awardees, we estimate the </w:t>
      </w:r>
      <w:r w:rsidR="00AD19DA" w:rsidRPr="00AD19DA">
        <w:t xml:space="preserve">total time burden </w:t>
      </w:r>
      <w:r w:rsidR="00115AA3">
        <w:t>a</w:t>
      </w:r>
      <w:r w:rsidR="00EF5605">
        <w:t xml:space="preserve">s </w:t>
      </w:r>
      <w:r w:rsidR="00115AA3">
        <w:t>2</w:t>
      </w:r>
      <w:r w:rsidR="00FC4F95">
        <w:t>00</w:t>
      </w:r>
      <w:r w:rsidR="00AD19DA" w:rsidRPr="00AD19DA">
        <w:t xml:space="preserve"> hour</w:t>
      </w:r>
      <w:r w:rsidR="00EF5605">
        <w:t xml:space="preserve">s per year </w:t>
      </w:r>
      <w:r w:rsidR="00115AA3">
        <w:t>(</w:t>
      </w:r>
      <w:r w:rsidR="00FC4F95">
        <w:t>4</w:t>
      </w:r>
      <w:r w:rsidR="00115AA3">
        <w:t xml:space="preserve"> h</w:t>
      </w:r>
      <w:r w:rsidR="00861E7D">
        <w:t>ou</w:t>
      </w:r>
      <w:r w:rsidR="00115AA3">
        <w:t xml:space="preserve">rs/awardee </w:t>
      </w:r>
      <w:r w:rsidR="00861E7D">
        <w:t>×</w:t>
      </w:r>
      <w:r w:rsidR="00115AA3">
        <w:t xml:space="preserve"> 50 awardees/year).</w:t>
      </w:r>
    </w:p>
    <w:p w:rsidR="00D177B5" w:rsidRPr="001103F0" w:rsidRDefault="00212DDA" w:rsidP="003F1AC3">
      <w:pPr>
        <w:jc w:val="both"/>
      </w:pPr>
      <w:r>
        <w:t>O</w:t>
      </w:r>
      <w:r w:rsidR="00DA17C9">
        <w:t xml:space="preserve">ur estimate of the cost to respondents </w:t>
      </w:r>
      <w:r w:rsidR="00AD4CB2">
        <w:t xml:space="preserve">is represented in Table A.12.  </w:t>
      </w:r>
      <w:r w:rsidR="003F642F">
        <w:t xml:space="preserve">We anticipate a </w:t>
      </w:r>
      <w:r w:rsidR="000C326C">
        <w:t>p</w:t>
      </w:r>
      <w:r w:rsidR="003F642F" w:rsidRPr="003F642F">
        <w:t xml:space="preserve">re-interview information request </w:t>
      </w:r>
      <w:r w:rsidR="003F642F">
        <w:t>to be handled by a</w:t>
      </w:r>
      <w:r w:rsidR="00141ADE">
        <w:t>n</w:t>
      </w:r>
      <w:r w:rsidR="003F642F">
        <w:t xml:space="preserve"> administrator such as an Administrative Spec</w:t>
      </w:r>
      <w:r w:rsidR="003F642F" w:rsidRPr="003F1AC3">
        <w:t>i</w:t>
      </w:r>
      <w:r w:rsidR="003F642F">
        <w:t>alist, with an average salary of $</w:t>
      </w:r>
      <w:r w:rsidR="00A25291">
        <w:t>45,000</w:t>
      </w:r>
      <w:r w:rsidR="003F642F">
        <w:t>.</w:t>
      </w:r>
      <w:r w:rsidR="003F642F">
        <w:rPr>
          <w:rStyle w:val="FootnoteReference"/>
          <w:szCs w:val="24"/>
        </w:rPr>
        <w:footnoteReference w:id="3"/>
      </w:r>
      <w:r w:rsidR="003F642F">
        <w:t xml:space="preserve"> </w:t>
      </w:r>
      <w:r w:rsidR="000C326C">
        <w:t xml:space="preserve"> </w:t>
      </w:r>
      <w:r w:rsidR="00DD74C1">
        <w:rPr>
          <w:rFonts w:cs="Arial"/>
          <w:color w:val="000000"/>
          <w:shd w:val="clear" w:color="auto" w:fill="FFFFFF"/>
        </w:rPr>
        <w:t xml:space="preserve">The average salary for a </w:t>
      </w:r>
      <w:r w:rsidR="0037612B">
        <w:rPr>
          <w:rFonts w:cs="Arial"/>
          <w:color w:val="000000"/>
          <w:shd w:val="clear" w:color="auto" w:fill="FFFFFF"/>
        </w:rPr>
        <w:t>Vice Chancellor/Vice President is $</w:t>
      </w:r>
      <w:r w:rsidR="00B23949">
        <w:rPr>
          <w:rFonts w:cs="Arial"/>
          <w:color w:val="000000"/>
          <w:shd w:val="clear" w:color="auto" w:fill="FFFFFF"/>
        </w:rPr>
        <w:t>190.000</w:t>
      </w:r>
      <w:r w:rsidR="00B23949">
        <w:rPr>
          <w:rStyle w:val="FootnoteReference"/>
          <w:szCs w:val="24"/>
        </w:rPr>
        <w:footnoteReference w:id="4"/>
      </w:r>
      <w:r w:rsidR="00CE2BD5">
        <w:rPr>
          <w:rFonts w:cs="Arial"/>
          <w:color w:val="000000"/>
          <w:shd w:val="clear" w:color="auto" w:fill="FFFFFF"/>
        </w:rPr>
        <w:t>;</w:t>
      </w:r>
      <w:r w:rsidR="00B23949">
        <w:rPr>
          <w:rFonts w:cs="Arial"/>
          <w:color w:val="000000"/>
          <w:shd w:val="clear" w:color="auto" w:fill="FFFFFF"/>
        </w:rPr>
        <w:t xml:space="preserve"> we estimate the average salary for</w:t>
      </w:r>
      <w:r w:rsidR="00B23949" w:rsidRPr="00B23949">
        <w:rPr>
          <w:rFonts w:cs="Arial"/>
          <w:color w:val="000000"/>
          <w:shd w:val="clear" w:color="auto" w:fill="FFFFFF"/>
        </w:rPr>
        <w:t xml:space="preserve"> </w:t>
      </w:r>
      <w:r w:rsidR="00B23949">
        <w:rPr>
          <w:rFonts w:cs="Arial"/>
          <w:color w:val="000000"/>
          <w:shd w:val="clear" w:color="auto" w:fill="FFFFFF"/>
        </w:rPr>
        <w:t xml:space="preserve">an RCR Administrator is </w:t>
      </w:r>
      <w:r w:rsidR="00B23949">
        <w:t>$126,621</w:t>
      </w:r>
      <w:r w:rsidR="00B23949">
        <w:rPr>
          <w:rStyle w:val="FootnoteReference"/>
          <w:szCs w:val="24"/>
        </w:rPr>
        <w:footnoteReference w:id="5"/>
      </w:r>
      <w:r w:rsidR="00CE2BD5">
        <w:t>; t</w:t>
      </w:r>
      <w:r w:rsidR="00B23949">
        <w:t xml:space="preserve">he average salary for a post-doctoral research </w:t>
      </w:r>
      <w:r w:rsidR="00CE2BD5">
        <w:t xml:space="preserve">associate </w:t>
      </w:r>
      <w:r w:rsidR="00B23949">
        <w:t xml:space="preserve">is </w:t>
      </w:r>
      <w:r w:rsidR="00B23949">
        <w:rPr>
          <w:rFonts w:cs="Arial"/>
          <w:color w:val="000000"/>
          <w:shd w:val="clear" w:color="auto" w:fill="FFFFFF"/>
        </w:rPr>
        <w:t>$</w:t>
      </w:r>
      <w:r w:rsidR="00CE2BD5">
        <w:rPr>
          <w:rFonts w:cs="Arial"/>
          <w:color w:val="000000"/>
          <w:shd w:val="clear" w:color="auto" w:fill="FFFFFF"/>
        </w:rPr>
        <w:t>4</w:t>
      </w:r>
      <w:r w:rsidR="00B23949">
        <w:rPr>
          <w:rFonts w:cs="Arial"/>
          <w:color w:val="000000"/>
          <w:shd w:val="clear" w:color="auto" w:fill="FFFFFF"/>
        </w:rPr>
        <w:t>7</w:t>
      </w:r>
      <w:r w:rsidR="00CE2BD5">
        <w:rPr>
          <w:rFonts w:cs="Arial"/>
          <w:color w:val="000000"/>
          <w:shd w:val="clear" w:color="auto" w:fill="FFFFFF"/>
        </w:rPr>
        <w:t>,602</w:t>
      </w:r>
      <w:r w:rsidR="00CE2BD5" w:rsidRPr="001103F0">
        <w:rPr>
          <w:rStyle w:val="Footnote"/>
          <w:sz w:val="24"/>
          <w:szCs w:val="24"/>
          <w:vertAlign w:val="superscript"/>
        </w:rPr>
        <w:footnoteReference w:id="6"/>
      </w:r>
      <w:r w:rsidR="00CE2BD5">
        <w:rPr>
          <w:rFonts w:cs="Arial"/>
          <w:color w:val="000000"/>
          <w:shd w:val="clear" w:color="auto" w:fill="FFFFFF"/>
        </w:rPr>
        <w:t>; t</w:t>
      </w:r>
      <w:r>
        <w:rPr>
          <w:rFonts w:cs="Arial"/>
          <w:color w:val="000000"/>
          <w:shd w:val="clear" w:color="auto" w:fill="FFFFFF"/>
        </w:rPr>
        <w:t>he average</w:t>
      </w:r>
      <w:r w:rsidR="008F26FB">
        <w:rPr>
          <w:rFonts w:cs="Arial"/>
          <w:color w:val="000000"/>
          <w:shd w:val="clear" w:color="auto" w:fill="FFFFFF"/>
        </w:rPr>
        <w:t xml:space="preserve"> </w:t>
      </w:r>
      <w:r>
        <w:rPr>
          <w:rFonts w:cs="Arial"/>
          <w:color w:val="000000"/>
          <w:shd w:val="clear" w:color="auto" w:fill="FFFFFF"/>
        </w:rPr>
        <w:t>salary for</w:t>
      </w:r>
      <w:r w:rsidR="00DD74C1" w:rsidRPr="00E43132">
        <w:rPr>
          <w:rFonts w:cs="Arial"/>
          <w:color w:val="000000"/>
          <w:shd w:val="clear" w:color="auto" w:fill="FFFFFF"/>
        </w:rPr>
        <w:t xml:space="preserve"> a graduate research assistant is $</w:t>
      </w:r>
      <w:r w:rsidR="00801E95">
        <w:rPr>
          <w:rFonts w:cs="Arial"/>
          <w:color w:val="000000"/>
          <w:shd w:val="clear" w:color="auto" w:fill="FFFFFF"/>
        </w:rPr>
        <w:t>24</w:t>
      </w:r>
      <w:r w:rsidR="00964D47">
        <w:rPr>
          <w:rFonts w:cs="Arial"/>
          <w:color w:val="000000"/>
          <w:shd w:val="clear" w:color="auto" w:fill="FFFFFF"/>
        </w:rPr>
        <w:t>,</w:t>
      </w:r>
      <w:r w:rsidR="00801E95">
        <w:rPr>
          <w:rFonts w:cs="Arial"/>
          <w:color w:val="000000"/>
          <w:shd w:val="clear" w:color="auto" w:fill="FFFFFF"/>
        </w:rPr>
        <w:t>465</w:t>
      </w:r>
      <w:r w:rsidR="00964D47" w:rsidRPr="001103F0">
        <w:rPr>
          <w:rStyle w:val="Footnote"/>
          <w:sz w:val="24"/>
          <w:vertAlign w:val="superscript"/>
        </w:rPr>
        <w:footnoteReference w:id="7"/>
      </w:r>
      <w:r w:rsidR="0007748E">
        <w:rPr>
          <w:rFonts w:cs="Arial"/>
          <w:color w:val="000000"/>
          <w:shd w:val="clear" w:color="auto" w:fill="FFFFFF"/>
        </w:rPr>
        <w:t xml:space="preserve">; and </w:t>
      </w:r>
      <w:r w:rsidR="0007748E">
        <w:rPr>
          <w:rFonts w:cs="Arial"/>
          <w:color w:val="000000"/>
          <w:shd w:val="clear" w:color="auto" w:fill="FFFFFF"/>
        </w:rPr>
        <w:lastRenderedPageBreak/>
        <w:t>undergraduate students are generally unpaid.</w:t>
      </w:r>
      <w:r w:rsidR="001103F0">
        <w:t xml:space="preserve">  </w:t>
      </w:r>
      <w:r w:rsidR="00F41BBB">
        <w:t xml:space="preserve">The corresponding </w:t>
      </w:r>
      <w:r w:rsidR="00A25291">
        <w:t xml:space="preserve">average hourly </w:t>
      </w:r>
      <w:r w:rsidR="00A3786D">
        <w:t>salaries</w:t>
      </w:r>
      <w:r w:rsidR="001103F0">
        <w:rPr>
          <w:rStyle w:val="FootnoteReference"/>
        </w:rPr>
        <w:footnoteReference w:id="8"/>
      </w:r>
      <w:r w:rsidR="00A25291">
        <w:t xml:space="preserve"> </w:t>
      </w:r>
      <w:r w:rsidR="00F41BBB">
        <w:t>are</w:t>
      </w:r>
      <w:r w:rsidR="00A25291">
        <w:t xml:space="preserve"> $21.63 for Administrative Specialists, </w:t>
      </w:r>
      <w:r w:rsidR="005F5DFA" w:rsidRPr="002C6B36">
        <w:t>$</w:t>
      </w:r>
      <w:r w:rsidR="00F41BBB">
        <w:t>91.35</w:t>
      </w:r>
      <w:r w:rsidR="005F5DFA" w:rsidRPr="002C6B36">
        <w:t xml:space="preserve"> </w:t>
      </w:r>
      <w:r w:rsidR="003F642F">
        <w:t>for Senior-level administrators, $</w:t>
      </w:r>
      <w:r w:rsidR="00F41BBB">
        <w:t>60.88</w:t>
      </w:r>
      <w:r w:rsidR="003F642F">
        <w:t xml:space="preserve"> for RCR administrators, </w:t>
      </w:r>
      <w:proofErr w:type="gramStart"/>
      <w:r w:rsidR="00547C55">
        <w:t>$</w:t>
      </w:r>
      <w:proofErr w:type="gramEnd"/>
      <w:r w:rsidR="00547C55">
        <w:t>22.89</w:t>
      </w:r>
      <w:r w:rsidR="003F642F">
        <w:t xml:space="preserve"> for postdocs</w:t>
      </w:r>
      <w:r w:rsidR="0084230F" w:rsidRPr="002C6B36">
        <w:t xml:space="preserve">, </w:t>
      </w:r>
      <w:r w:rsidR="00F41BBB">
        <w:t>and $</w:t>
      </w:r>
      <w:r w:rsidR="00547C55">
        <w:t>11.76</w:t>
      </w:r>
      <w:r w:rsidR="00F41BBB">
        <w:t xml:space="preserve"> for graduate students.  T</w:t>
      </w:r>
      <w:r w:rsidR="00E6199B" w:rsidRPr="002C6B36">
        <w:t>h</w:t>
      </w:r>
      <w:r w:rsidR="00547C55">
        <w:t xml:space="preserve">us, as shown in Table </w:t>
      </w:r>
      <w:r w:rsidR="0015408F">
        <w:t xml:space="preserve">A.12 </w:t>
      </w:r>
      <w:r w:rsidR="00547C55">
        <w:t>below, th</w:t>
      </w:r>
      <w:r w:rsidR="00E6199B" w:rsidRPr="002C6B36">
        <w:t xml:space="preserve">e </w:t>
      </w:r>
      <w:r w:rsidR="00B13F54">
        <w:t>annual</w:t>
      </w:r>
      <w:r w:rsidR="0084230F" w:rsidRPr="002C6B36">
        <w:t xml:space="preserve"> </w:t>
      </w:r>
      <w:r w:rsidR="00E6199B" w:rsidRPr="002C6B36">
        <w:t xml:space="preserve">cost to </w:t>
      </w:r>
      <w:r w:rsidR="004378F9">
        <w:t>each respondent</w:t>
      </w:r>
      <w:r w:rsidR="00E6199B" w:rsidRPr="002C6B36">
        <w:t xml:space="preserve"> is estimated </w:t>
      </w:r>
      <w:r w:rsidR="00A25291">
        <w:t xml:space="preserve">to be </w:t>
      </w:r>
      <w:r w:rsidR="00E6199B" w:rsidRPr="002C6B36">
        <w:t xml:space="preserve">at </w:t>
      </w:r>
      <w:r w:rsidR="00A25291">
        <w:t xml:space="preserve">least </w:t>
      </w:r>
      <w:r w:rsidR="00EE0DAA" w:rsidRPr="002C6B36">
        <w:rPr>
          <w:snapToGrid/>
          <w:color w:val="000000"/>
        </w:rPr>
        <w:t>$</w:t>
      </w:r>
      <w:r w:rsidR="007C4FC8">
        <w:rPr>
          <w:snapToGrid/>
          <w:color w:val="000000"/>
        </w:rPr>
        <w:t xml:space="preserve">193.28, with the minimum representing only one graduate student and </w:t>
      </w:r>
      <w:r w:rsidR="004378F9">
        <w:rPr>
          <w:snapToGrid/>
          <w:color w:val="000000"/>
        </w:rPr>
        <w:t xml:space="preserve">one </w:t>
      </w:r>
      <w:r w:rsidR="007C4FC8">
        <w:rPr>
          <w:snapToGrid/>
          <w:color w:val="000000"/>
        </w:rPr>
        <w:t>postdoc participating in the interview</w:t>
      </w:r>
      <w:r w:rsidR="00115AA3">
        <w:t>.</w:t>
      </w:r>
      <w:r w:rsidR="004378F9">
        <w:t xml:space="preserve">  </w:t>
      </w:r>
    </w:p>
    <w:p w:rsidR="00E32D43" w:rsidRDefault="0021028E" w:rsidP="002A4B76">
      <w:pPr>
        <w:keepNext/>
        <w:ind w:firstLine="0"/>
        <w:jc w:val="center"/>
      </w:pPr>
      <w:r w:rsidRPr="002C6B36">
        <w:t>Table</w:t>
      </w:r>
      <w:r w:rsidR="005F5DFA" w:rsidRPr="002C6B36">
        <w:t xml:space="preserve"> </w:t>
      </w:r>
      <w:r w:rsidR="00226FC1" w:rsidRPr="002C6B36">
        <w:t>A.12.</w:t>
      </w:r>
      <w:r w:rsidR="0084230F" w:rsidRPr="002C6B36">
        <w:t xml:space="preserve"> </w:t>
      </w:r>
      <w:r w:rsidR="00E6199B" w:rsidRPr="002C6B36">
        <w:t>Annualized Estimate of Burden</w:t>
      </w:r>
      <w:r w:rsidR="00E32D43">
        <w:t xml:space="preserve"> per awardee</w:t>
      </w:r>
    </w:p>
    <w:tbl>
      <w:tblPr>
        <w:tblStyle w:val="TableGrid"/>
        <w:tblW w:w="0" w:type="auto"/>
        <w:jc w:val="center"/>
        <w:tblLook w:val="04A0" w:firstRow="1" w:lastRow="0" w:firstColumn="1" w:lastColumn="0" w:noHBand="0" w:noVBand="1"/>
      </w:tblPr>
      <w:tblGrid>
        <w:gridCol w:w="1692"/>
        <w:gridCol w:w="1692"/>
        <w:gridCol w:w="1692"/>
        <w:gridCol w:w="1692"/>
        <w:gridCol w:w="1692"/>
      </w:tblGrid>
      <w:tr w:rsidR="00E32D43" w:rsidRPr="00F8377C" w:rsidTr="002A4B76">
        <w:trPr>
          <w:jc w:val="center"/>
        </w:trPr>
        <w:tc>
          <w:tcPr>
            <w:tcW w:w="1692" w:type="dxa"/>
            <w:vAlign w:val="center"/>
          </w:tcPr>
          <w:p w:rsidR="00E32D43" w:rsidRPr="00F8377C" w:rsidRDefault="00E32D43" w:rsidP="00F52B95">
            <w:pPr>
              <w:ind w:firstLine="0"/>
              <w:rPr>
                <w:sz w:val="20"/>
              </w:rPr>
            </w:pPr>
          </w:p>
        </w:tc>
        <w:tc>
          <w:tcPr>
            <w:tcW w:w="1692" w:type="dxa"/>
            <w:vAlign w:val="center"/>
          </w:tcPr>
          <w:p w:rsidR="00E32D43" w:rsidRPr="002A4B76" w:rsidRDefault="00E32D43" w:rsidP="00F52B95">
            <w:pPr>
              <w:ind w:firstLine="0"/>
              <w:rPr>
                <w:sz w:val="20"/>
              </w:rPr>
            </w:pPr>
            <w:r w:rsidRPr="0007748E">
              <w:rPr>
                <w:sz w:val="20"/>
              </w:rPr>
              <w:t>No. of Respondents</w:t>
            </w:r>
          </w:p>
        </w:tc>
        <w:tc>
          <w:tcPr>
            <w:tcW w:w="1692" w:type="dxa"/>
            <w:vAlign w:val="center"/>
          </w:tcPr>
          <w:p w:rsidR="00E32D43" w:rsidRPr="00563B34" w:rsidRDefault="00E32D43" w:rsidP="00264A50">
            <w:pPr>
              <w:ind w:firstLine="0"/>
              <w:rPr>
                <w:sz w:val="20"/>
              </w:rPr>
            </w:pPr>
            <w:r w:rsidRPr="00F8377C">
              <w:rPr>
                <w:sz w:val="20"/>
              </w:rPr>
              <w:t xml:space="preserve">Est. </w:t>
            </w:r>
            <w:r w:rsidR="00264A50" w:rsidRPr="00F8377C">
              <w:rPr>
                <w:sz w:val="20"/>
              </w:rPr>
              <w:t>person</w:t>
            </w:r>
            <w:r w:rsidR="00264A50" w:rsidRPr="00563B34">
              <w:rPr>
                <w:sz w:val="20"/>
              </w:rPr>
              <w:t>-</w:t>
            </w:r>
            <w:r w:rsidRPr="00F8377C">
              <w:rPr>
                <w:sz w:val="20"/>
              </w:rPr>
              <w:t>hours</w:t>
            </w:r>
          </w:p>
        </w:tc>
        <w:tc>
          <w:tcPr>
            <w:tcW w:w="1692" w:type="dxa"/>
            <w:vAlign w:val="center"/>
          </w:tcPr>
          <w:p w:rsidR="00E32D43" w:rsidRPr="00F8377C" w:rsidRDefault="00E32D43" w:rsidP="00F52B95">
            <w:pPr>
              <w:ind w:firstLine="0"/>
              <w:rPr>
                <w:sz w:val="20"/>
              </w:rPr>
            </w:pPr>
            <w:r w:rsidRPr="00F8377C">
              <w:rPr>
                <w:sz w:val="20"/>
              </w:rPr>
              <w:t>Est. hourly wage</w:t>
            </w:r>
          </w:p>
        </w:tc>
        <w:tc>
          <w:tcPr>
            <w:tcW w:w="1692" w:type="dxa"/>
            <w:vAlign w:val="center"/>
          </w:tcPr>
          <w:p w:rsidR="00E32D43" w:rsidRPr="00F8377C" w:rsidRDefault="00E32D43" w:rsidP="00F52B95">
            <w:pPr>
              <w:ind w:firstLine="0"/>
              <w:rPr>
                <w:sz w:val="20"/>
              </w:rPr>
            </w:pPr>
            <w:r w:rsidRPr="00F8377C">
              <w:rPr>
                <w:sz w:val="20"/>
              </w:rPr>
              <w:t>Est. annual cost to awardee</w:t>
            </w:r>
          </w:p>
        </w:tc>
      </w:tr>
      <w:tr w:rsidR="00DB44C6" w:rsidRPr="00F8377C" w:rsidTr="002A4B76">
        <w:trPr>
          <w:jc w:val="center"/>
        </w:trPr>
        <w:tc>
          <w:tcPr>
            <w:tcW w:w="1692" w:type="dxa"/>
            <w:vAlign w:val="center"/>
          </w:tcPr>
          <w:p w:rsidR="00DB44C6" w:rsidRPr="00B7659F" w:rsidRDefault="00DB44C6" w:rsidP="00F52B95">
            <w:pPr>
              <w:ind w:firstLine="0"/>
              <w:rPr>
                <w:sz w:val="20"/>
              </w:rPr>
            </w:pPr>
            <w:r w:rsidRPr="00F8377C">
              <w:rPr>
                <w:sz w:val="20"/>
              </w:rPr>
              <w:t>P</w:t>
            </w:r>
            <w:r w:rsidRPr="00D446A6">
              <w:rPr>
                <w:sz w:val="20"/>
              </w:rPr>
              <w:t>re-interview information request</w:t>
            </w:r>
          </w:p>
        </w:tc>
        <w:tc>
          <w:tcPr>
            <w:tcW w:w="1692" w:type="dxa"/>
            <w:vAlign w:val="center"/>
          </w:tcPr>
          <w:p w:rsidR="00DB44C6" w:rsidRPr="00F8377C" w:rsidRDefault="00DB44C6" w:rsidP="00DB44C6">
            <w:pPr>
              <w:ind w:firstLine="0"/>
              <w:jc w:val="center"/>
              <w:rPr>
                <w:sz w:val="20"/>
              </w:rPr>
            </w:pPr>
            <w:r w:rsidRPr="00B7659F">
              <w:rPr>
                <w:sz w:val="20"/>
              </w:rPr>
              <w:t>1</w:t>
            </w:r>
          </w:p>
        </w:tc>
        <w:tc>
          <w:tcPr>
            <w:tcW w:w="1692" w:type="dxa"/>
            <w:vAlign w:val="center"/>
          </w:tcPr>
          <w:p w:rsidR="00DB44C6" w:rsidRPr="00563B34" w:rsidRDefault="00DB44C6" w:rsidP="00DB44C6">
            <w:pPr>
              <w:ind w:firstLine="0"/>
              <w:jc w:val="center"/>
              <w:rPr>
                <w:sz w:val="20"/>
              </w:rPr>
            </w:pPr>
            <w:r w:rsidRPr="00F8377C">
              <w:rPr>
                <w:sz w:val="20"/>
              </w:rPr>
              <w:t>1</w:t>
            </w:r>
          </w:p>
        </w:tc>
        <w:tc>
          <w:tcPr>
            <w:tcW w:w="1692" w:type="dxa"/>
            <w:vAlign w:val="center"/>
          </w:tcPr>
          <w:p w:rsidR="00DB44C6" w:rsidRPr="00F8377C" w:rsidRDefault="00A25291" w:rsidP="00DB44C6">
            <w:pPr>
              <w:ind w:firstLine="0"/>
              <w:jc w:val="center"/>
              <w:rPr>
                <w:sz w:val="20"/>
              </w:rPr>
            </w:pPr>
            <w:r w:rsidRPr="00F8377C">
              <w:rPr>
                <w:sz w:val="20"/>
              </w:rPr>
              <w:t>$21.63</w:t>
            </w:r>
          </w:p>
        </w:tc>
        <w:tc>
          <w:tcPr>
            <w:tcW w:w="1692" w:type="dxa"/>
            <w:vAlign w:val="center"/>
          </w:tcPr>
          <w:p w:rsidR="00DB44C6" w:rsidRPr="00F8377C" w:rsidRDefault="00A25291" w:rsidP="00DB44C6">
            <w:pPr>
              <w:ind w:firstLine="0"/>
              <w:jc w:val="center"/>
              <w:rPr>
                <w:sz w:val="20"/>
              </w:rPr>
            </w:pPr>
            <w:r w:rsidRPr="00F8377C">
              <w:rPr>
                <w:sz w:val="20"/>
              </w:rPr>
              <w:t>$21.63</w:t>
            </w:r>
          </w:p>
        </w:tc>
      </w:tr>
      <w:tr w:rsidR="00E32D43" w:rsidRPr="00F8377C" w:rsidTr="002A4B76">
        <w:trPr>
          <w:jc w:val="center"/>
        </w:trPr>
        <w:tc>
          <w:tcPr>
            <w:tcW w:w="1692" w:type="dxa"/>
            <w:vAlign w:val="center"/>
          </w:tcPr>
          <w:p w:rsidR="00E32D43" w:rsidRPr="002A4B76" w:rsidRDefault="00E32D43" w:rsidP="00F52B95">
            <w:pPr>
              <w:ind w:firstLine="0"/>
              <w:rPr>
                <w:sz w:val="20"/>
              </w:rPr>
            </w:pPr>
            <w:r w:rsidRPr="00F8377C">
              <w:rPr>
                <w:sz w:val="20"/>
              </w:rPr>
              <w:t>S</w:t>
            </w:r>
            <w:r w:rsidRPr="00D446A6">
              <w:rPr>
                <w:sz w:val="20"/>
              </w:rPr>
              <w:t>enior-level administrator</w:t>
            </w:r>
          </w:p>
        </w:tc>
        <w:tc>
          <w:tcPr>
            <w:tcW w:w="1692" w:type="dxa"/>
            <w:vAlign w:val="center"/>
          </w:tcPr>
          <w:p w:rsidR="00E32D43" w:rsidRPr="002A4B76" w:rsidRDefault="00E32D43" w:rsidP="00E32D43">
            <w:pPr>
              <w:ind w:firstLine="0"/>
              <w:jc w:val="center"/>
              <w:rPr>
                <w:sz w:val="20"/>
              </w:rPr>
            </w:pPr>
            <w:r w:rsidRPr="002A4B76">
              <w:rPr>
                <w:sz w:val="20"/>
              </w:rPr>
              <w:t>1</w:t>
            </w:r>
          </w:p>
        </w:tc>
        <w:tc>
          <w:tcPr>
            <w:tcW w:w="1692" w:type="dxa"/>
            <w:vAlign w:val="center"/>
          </w:tcPr>
          <w:p w:rsidR="00E32D43" w:rsidRPr="002A4B76" w:rsidRDefault="00E32D43" w:rsidP="00E32D43">
            <w:pPr>
              <w:ind w:firstLine="0"/>
              <w:jc w:val="center"/>
              <w:rPr>
                <w:sz w:val="20"/>
              </w:rPr>
            </w:pPr>
            <w:r w:rsidRPr="002A4B76">
              <w:rPr>
                <w:sz w:val="20"/>
              </w:rPr>
              <w:t>0.5</w:t>
            </w:r>
          </w:p>
        </w:tc>
        <w:tc>
          <w:tcPr>
            <w:tcW w:w="1692" w:type="dxa"/>
            <w:vAlign w:val="center"/>
          </w:tcPr>
          <w:p w:rsidR="00E32D43" w:rsidRPr="002A4B76" w:rsidRDefault="00212DDA" w:rsidP="00547C55">
            <w:pPr>
              <w:ind w:firstLine="0"/>
              <w:jc w:val="center"/>
              <w:rPr>
                <w:sz w:val="20"/>
              </w:rPr>
            </w:pPr>
            <w:r w:rsidRPr="002A4B76">
              <w:rPr>
                <w:sz w:val="20"/>
              </w:rPr>
              <w:t>$</w:t>
            </w:r>
            <w:r w:rsidR="00547C55" w:rsidRPr="002A4B76">
              <w:rPr>
                <w:sz w:val="20"/>
              </w:rPr>
              <w:t>91.35</w:t>
            </w:r>
          </w:p>
        </w:tc>
        <w:tc>
          <w:tcPr>
            <w:tcW w:w="1692" w:type="dxa"/>
            <w:vAlign w:val="center"/>
          </w:tcPr>
          <w:p w:rsidR="00E32D43" w:rsidRPr="002A4B76" w:rsidRDefault="00A25291" w:rsidP="00547C55">
            <w:pPr>
              <w:ind w:firstLine="0"/>
              <w:jc w:val="center"/>
              <w:rPr>
                <w:sz w:val="20"/>
              </w:rPr>
            </w:pPr>
            <w:r w:rsidRPr="002A4B76">
              <w:rPr>
                <w:sz w:val="20"/>
              </w:rPr>
              <w:t>$</w:t>
            </w:r>
            <w:r w:rsidR="00547C55" w:rsidRPr="002A4B76">
              <w:rPr>
                <w:sz w:val="20"/>
              </w:rPr>
              <w:t>45.68</w:t>
            </w:r>
          </w:p>
        </w:tc>
      </w:tr>
      <w:tr w:rsidR="00E32D43" w:rsidRPr="00F8377C" w:rsidTr="002A4B76">
        <w:trPr>
          <w:jc w:val="center"/>
        </w:trPr>
        <w:tc>
          <w:tcPr>
            <w:tcW w:w="1692" w:type="dxa"/>
            <w:vAlign w:val="center"/>
          </w:tcPr>
          <w:p w:rsidR="00E32D43" w:rsidRPr="002A4B76" w:rsidRDefault="00E32D43" w:rsidP="00F52B95">
            <w:pPr>
              <w:ind w:firstLine="0"/>
              <w:rPr>
                <w:sz w:val="20"/>
              </w:rPr>
            </w:pPr>
            <w:r w:rsidRPr="00F8377C">
              <w:rPr>
                <w:sz w:val="20"/>
              </w:rPr>
              <w:t>R</w:t>
            </w:r>
            <w:r w:rsidRPr="00D446A6">
              <w:rPr>
                <w:sz w:val="20"/>
              </w:rPr>
              <w:t>CR administrator</w:t>
            </w:r>
          </w:p>
        </w:tc>
        <w:tc>
          <w:tcPr>
            <w:tcW w:w="1692" w:type="dxa"/>
            <w:vAlign w:val="center"/>
          </w:tcPr>
          <w:p w:rsidR="00E32D43" w:rsidRPr="002A4B76" w:rsidRDefault="00E32D43" w:rsidP="00E32D43">
            <w:pPr>
              <w:ind w:firstLine="0"/>
              <w:jc w:val="center"/>
              <w:rPr>
                <w:sz w:val="20"/>
              </w:rPr>
            </w:pPr>
            <w:r w:rsidRPr="002A4B76">
              <w:rPr>
                <w:sz w:val="20"/>
              </w:rPr>
              <w:t>1</w:t>
            </w:r>
          </w:p>
        </w:tc>
        <w:tc>
          <w:tcPr>
            <w:tcW w:w="1692" w:type="dxa"/>
            <w:vAlign w:val="center"/>
          </w:tcPr>
          <w:p w:rsidR="00E32D43" w:rsidRPr="002A4B76" w:rsidRDefault="00E32D43" w:rsidP="00E32D43">
            <w:pPr>
              <w:ind w:firstLine="0"/>
              <w:jc w:val="center"/>
              <w:rPr>
                <w:sz w:val="20"/>
              </w:rPr>
            </w:pPr>
            <w:r w:rsidRPr="002A4B76">
              <w:rPr>
                <w:sz w:val="20"/>
              </w:rPr>
              <w:t>1.5</w:t>
            </w:r>
          </w:p>
        </w:tc>
        <w:tc>
          <w:tcPr>
            <w:tcW w:w="1692" w:type="dxa"/>
            <w:vAlign w:val="center"/>
          </w:tcPr>
          <w:p w:rsidR="00E32D43" w:rsidRPr="002A4B76" w:rsidRDefault="003F642F" w:rsidP="00547C55">
            <w:pPr>
              <w:ind w:firstLine="0"/>
              <w:jc w:val="center"/>
              <w:rPr>
                <w:sz w:val="20"/>
              </w:rPr>
            </w:pPr>
            <w:r w:rsidRPr="002A4B76">
              <w:rPr>
                <w:sz w:val="20"/>
              </w:rPr>
              <w:t>$</w:t>
            </w:r>
            <w:r w:rsidR="00547C55" w:rsidRPr="002A4B76">
              <w:rPr>
                <w:sz w:val="20"/>
              </w:rPr>
              <w:t>60.88</w:t>
            </w:r>
          </w:p>
        </w:tc>
        <w:tc>
          <w:tcPr>
            <w:tcW w:w="1692" w:type="dxa"/>
            <w:vAlign w:val="center"/>
          </w:tcPr>
          <w:p w:rsidR="00E32D43" w:rsidRPr="002A4B76" w:rsidRDefault="00A25291" w:rsidP="00547C55">
            <w:pPr>
              <w:ind w:firstLine="0"/>
              <w:jc w:val="center"/>
              <w:rPr>
                <w:sz w:val="20"/>
              </w:rPr>
            </w:pPr>
            <w:r w:rsidRPr="002A4B76">
              <w:rPr>
                <w:sz w:val="20"/>
              </w:rPr>
              <w:t>$</w:t>
            </w:r>
            <w:r w:rsidR="00547C55" w:rsidRPr="002A4B76">
              <w:rPr>
                <w:sz w:val="20"/>
              </w:rPr>
              <w:t>91.32</w:t>
            </w:r>
          </w:p>
        </w:tc>
      </w:tr>
      <w:tr w:rsidR="00E32D43" w:rsidRPr="00F8377C" w:rsidTr="002A4B76">
        <w:trPr>
          <w:jc w:val="center"/>
        </w:trPr>
        <w:tc>
          <w:tcPr>
            <w:tcW w:w="1692" w:type="dxa"/>
            <w:vAlign w:val="center"/>
          </w:tcPr>
          <w:p w:rsidR="00E32D43" w:rsidRPr="00B7659F" w:rsidRDefault="00E32D43" w:rsidP="00F52B95">
            <w:pPr>
              <w:ind w:firstLine="0"/>
              <w:rPr>
                <w:sz w:val="20"/>
              </w:rPr>
            </w:pPr>
            <w:r w:rsidRPr="00F8377C">
              <w:rPr>
                <w:sz w:val="20"/>
              </w:rPr>
              <w:t>S</w:t>
            </w:r>
            <w:r w:rsidRPr="00D446A6">
              <w:rPr>
                <w:sz w:val="20"/>
              </w:rPr>
              <w:t>tudents</w:t>
            </w:r>
            <w:r w:rsidR="00D446A6" w:rsidRPr="001103F0">
              <w:rPr>
                <w:rStyle w:val="Footnote"/>
                <w:sz w:val="24"/>
                <w:szCs w:val="24"/>
                <w:vertAlign w:val="superscript"/>
              </w:rPr>
              <w:footnoteReference w:id="9"/>
            </w:r>
            <w:r w:rsidRPr="00D446A6">
              <w:rPr>
                <w:sz w:val="20"/>
              </w:rPr>
              <w:t xml:space="preserve"> and postdocs</w:t>
            </w:r>
          </w:p>
        </w:tc>
        <w:tc>
          <w:tcPr>
            <w:tcW w:w="1692" w:type="dxa"/>
            <w:vAlign w:val="center"/>
          </w:tcPr>
          <w:p w:rsidR="00E32D43" w:rsidRPr="002A4B76" w:rsidRDefault="004B664D" w:rsidP="004B664D">
            <w:pPr>
              <w:ind w:firstLine="0"/>
              <w:jc w:val="center"/>
              <w:rPr>
                <w:sz w:val="20"/>
              </w:rPr>
            </w:pPr>
            <w:r w:rsidRPr="002A4B76">
              <w:rPr>
                <w:sz w:val="20"/>
              </w:rPr>
              <w:t>≥</w:t>
            </w:r>
            <w:r w:rsidR="00E32D43" w:rsidRPr="002A4B76">
              <w:rPr>
                <w:sz w:val="20"/>
              </w:rPr>
              <w:t>3</w:t>
            </w:r>
          </w:p>
        </w:tc>
        <w:tc>
          <w:tcPr>
            <w:tcW w:w="1692" w:type="dxa"/>
            <w:vAlign w:val="center"/>
          </w:tcPr>
          <w:p w:rsidR="00E32D43" w:rsidRPr="002A4B76" w:rsidRDefault="004B664D" w:rsidP="00264A50">
            <w:pPr>
              <w:ind w:firstLine="0"/>
              <w:jc w:val="center"/>
              <w:rPr>
                <w:sz w:val="20"/>
              </w:rPr>
            </w:pPr>
            <w:r w:rsidRPr="002A4B76">
              <w:rPr>
                <w:sz w:val="20"/>
              </w:rPr>
              <w:t>≥</w:t>
            </w:r>
            <w:r w:rsidR="0015408F" w:rsidRPr="002A4B76">
              <w:rPr>
                <w:sz w:val="20"/>
              </w:rPr>
              <w:t>3</w:t>
            </w:r>
          </w:p>
        </w:tc>
        <w:tc>
          <w:tcPr>
            <w:tcW w:w="1692" w:type="dxa"/>
            <w:vAlign w:val="center"/>
          </w:tcPr>
          <w:p w:rsidR="00E32D43" w:rsidRPr="002A4B76" w:rsidRDefault="00212DDA">
            <w:pPr>
              <w:ind w:firstLine="0"/>
              <w:jc w:val="center"/>
              <w:rPr>
                <w:sz w:val="20"/>
              </w:rPr>
            </w:pPr>
            <w:r w:rsidRPr="002A4B76">
              <w:rPr>
                <w:sz w:val="20"/>
              </w:rPr>
              <w:t>$11.</w:t>
            </w:r>
            <w:r w:rsidR="00547C55" w:rsidRPr="002A4B76">
              <w:rPr>
                <w:sz w:val="20"/>
              </w:rPr>
              <w:t>76 + $22.89</w:t>
            </w:r>
          </w:p>
        </w:tc>
        <w:tc>
          <w:tcPr>
            <w:tcW w:w="1692" w:type="dxa"/>
            <w:vAlign w:val="center"/>
          </w:tcPr>
          <w:p w:rsidR="00E32D43" w:rsidRPr="002A4B76" w:rsidRDefault="004B664D" w:rsidP="00547C55">
            <w:pPr>
              <w:ind w:firstLine="0"/>
              <w:jc w:val="center"/>
              <w:rPr>
                <w:sz w:val="20"/>
              </w:rPr>
            </w:pPr>
            <w:r w:rsidRPr="002A4B76">
              <w:rPr>
                <w:sz w:val="20"/>
              </w:rPr>
              <w:t>≥</w:t>
            </w:r>
            <w:r w:rsidR="00A25291" w:rsidRPr="002A4B76">
              <w:rPr>
                <w:sz w:val="20"/>
              </w:rPr>
              <w:t>$34.</w:t>
            </w:r>
            <w:r w:rsidR="00547C55" w:rsidRPr="002A4B76">
              <w:rPr>
                <w:sz w:val="20"/>
              </w:rPr>
              <w:t>65</w:t>
            </w:r>
          </w:p>
        </w:tc>
      </w:tr>
      <w:tr w:rsidR="00E32D43" w:rsidRPr="00F8377C" w:rsidTr="002A4B76">
        <w:trPr>
          <w:jc w:val="center"/>
        </w:trPr>
        <w:tc>
          <w:tcPr>
            <w:tcW w:w="1692" w:type="dxa"/>
            <w:vAlign w:val="center"/>
          </w:tcPr>
          <w:p w:rsidR="00E32D43" w:rsidRPr="00B7659F" w:rsidRDefault="00E32D43" w:rsidP="00F52B95">
            <w:pPr>
              <w:ind w:firstLine="0"/>
              <w:rPr>
                <w:sz w:val="20"/>
              </w:rPr>
            </w:pPr>
            <w:r w:rsidRPr="00F8377C">
              <w:rPr>
                <w:sz w:val="20"/>
              </w:rPr>
              <w:t>Total</w:t>
            </w:r>
            <w:r w:rsidR="00115AA3" w:rsidRPr="00F8377C">
              <w:rPr>
                <w:sz w:val="20"/>
              </w:rPr>
              <w:t xml:space="preserve"> per</w:t>
            </w:r>
            <w:r w:rsidR="00115AA3" w:rsidRPr="00B7659F">
              <w:rPr>
                <w:sz w:val="20"/>
              </w:rPr>
              <w:t xml:space="preserve"> award</w:t>
            </w:r>
            <w:r w:rsidR="00115AA3" w:rsidRPr="00D446A6">
              <w:rPr>
                <w:sz w:val="20"/>
              </w:rPr>
              <w:t>ee</w:t>
            </w:r>
          </w:p>
        </w:tc>
        <w:tc>
          <w:tcPr>
            <w:tcW w:w="1692" w:type="dxa"/>
            <w:vAlign w:val="center"/>
          </w:tcPr>
          <w:p w:rsidR="00E32D43" w:rsidRPr="002A4B76" w:rsidRDefault="004B664D" w:rsidP="00E32D43">
            <w:pPr>
              <w:pStyle w:val="ListParagraph"/>
              <w:ind w:firstLine="0"/>
              <w:rPr>
                <w:rFonts w:ascii="Century Schoolbook" w:hAnsi="Century Schoolbook"/>
                <w:sz w:val="20"/>
                <w:szCs w:val="20"/>
              </w:rPr>
            </w:pPr>
            <w:r w:rsidRPr="002A4B76">
              <w:rPr>
                <w:sz w:val="20"/>
                <w:szCs w:val="20"/>
              </w:rPr>
              <w:t>≥</w:t>
            </w:r>
            <w:r w:rsidR="00B13F54" w:rsidRPr="002A4B76">
              <w:rPr>
                <w:rFonts w:ascii="Century Schoolbook" w:hAnsi="Century Schoolbook"/>
                <w:sz w:val="20"/>
                <w:szCs w:val="20"/>
              </w:rPr>
              <w:t>6</w:t>
            </w:r>
          </w:p>
        </w:tc>
        <w:tc>
          <w:tcPr>
            <w:tcW w:w="1692" w:type="dxa"/>
            <w:vAlign w:val="center"/>
          </w:tcPr>
          <w:p w:rsidR="00E32D43" w:rsidRPr="002A4B76" w:rsidRDefault="004B664D" w:rsidP="00A06B4C">
            <w:pPr>
              <w:ind w:firstLine="0"/>
              <w:jc w:val="center"/>
              <w:rPr>
                <w:sz w:val="20"/>
              </w:rPr>
            </w:pPr>
            <w:r w:rsidRPr="002A4B76">
              <w:rPr>
                <w:sz w:val="20"/>
              </w:rPr>
              <w:t>≥</w:t>
            </w:r>
            <w:r w:rsidR="00A06B4C" w:rsidRPr="002A4B76">
              <w:rPr>
                <w:sz w:val="20"/>
              </w:rPr>
              <w:t>6</w:t>
            </w:r>
          </w:p>
        </w:tc>
        <w:tc>
          <w:tcPr>
            <w:tcW w:w="1692" w:type="dxa"/>
            <w:vAlign w:val="center"/>
          </w:tcPr>
          <w:p w:rsidR="00E32D43" w:rsidRPr="002A4B76" w:rsidRDefault="00E32D43" w:rsidP="00E32D43">
            <w:pPr>
              <w:ind w:firstLine="0"/>
              <w:jc w:val="center"/>
              <w:rPr>
                <w:sz w:val="20"/>
              </w:rPr>
            </w:pPr>
          </w:p>
        </w:tc>
        <w:tc>
          <w:tcPr>
            <w:tcW w:w="1692" w:type="dxa"/>
            <w:vAlign w:val="center"/>
          </w:tcPr>
          <w:p w:rsidR="00E32D43" w:rsidRPr="002A4B76" w:rsidRDefault="004B664D" w:rsidP="00547C55">
            <w:pPr>
              <w:ind w:firstLine="0"/>
              <w:jc w:val="center"/>
              <w:rPr>
                <w:sz w:val="20"/>
              </w:rPr>
            </w:pPr>
            <w:r w:rsidRPr="002A4B76">
              <w:rPr>
                <w:sz w:val="20"/>
              </w:rPr>
              <w:t>≥</w:t>
            </w:r>
            <w:r w:rsidR="00E32D43" w:rsidRPr="002A4B76">
              <w:rPr>
                <w:sz w:val="20"/>
              </w:rPr>
              <w:t>$</w:t>
            </w:r>
            <w:r w:rsidR="00547C55" w:rsidRPr="002A4B76">
              <w:rPr>
                <w:sz w:val="20"/>
              </w:rPr>
              <w:t>193.28</w:t>
            </w:r>
          </w:p>
        </w:tc>
      </w:tr>
    </w:tbl>
    <w:p w:rsidR="00E32D43" w:rsidRDefault="00E32D43" w:rsidP="00E32D43">
      <w:pPr>
        <w:ind w:firstLine="0"/>
      </w:pPr>
    </w:p>
    <w:p w:rsidR="00A536C7" w:rsidRPr="002C6B36" w:rsidRDefault="00A536C7" w:rsidP="00F52B95">
      <w:pPr>
        <w:pStyle w:val="Heading1"/>
      </w:pPr>
      <w:bookmarkStart w:id="15" w:name="_Toc336433234"/>
      <w:r w:rsidRPr="002C6B36">
        <w:t>A.13</w:t>
      </w:r>
      <w:r w:rsidR="009D2146" w:rsidRPr="002C6B36">
        <w:t xml:space="preserve">. </w:t>
      </w:r>
      <w:r w:rsidR="000F0C17" w:rsidRPr="002C6B36">
        <w:t>Capital/Startup</w:t>
      </w:r>
      <w:r w:rsidRPr="002C6B36">
        <w:t xml:space="preserve"> Cost</w:t>
      </w:r>
      <w:bookmarkEnd w:id="15"/>
    </w:p>
    <w:p w:rsidR="00A536C7" w:rsidRPr="002C6B36" w:rsidRDefault="0098794F" w:rsidP="00F52B95">
      <w:r w:rsidRPr="002C6B36">
        <w:t xml:space="preserve">There are no Operating or Maintenance Costs to report.  </w:t>
      </w:r>
    </w:p>
    <w:p w:rsidR="00A536C7" w:rsidRPr="002C6B36" w:rsidRDefault="00A536C7" w:rsidP="00F52B95">
      <w:pPr>
        <w:pStyle w:val="Heading1"/>
      </w:pPr>
      <w:bookmarkStart w:id="16" w:name="_Toc336433235"/>
      <w:r w:rsidRPr="002C6B36">
        <w:t>A.14</w:t>
      </w:r>
      <w:r w:rsidR="009D2146" w:rsidRPr="002C6B36">
        <w:t>. Annualized</w:t>
      </w:r>
      <w:r w:rsidRPr="002C6B36">
        <w:t xml:space="preserve"> Cost to the Federal Government</w:t>
      </w:r>
      <w:bookmarkEnd w:id="16"/>
      <w:r w:rsidRPr="002C6B36">
        <w:t xml:space="preserve"> </w:t>
      </w:r>
    </w:p>
    <w:p w:rsidR="007D1F38" w:rsidRPr="002C6B36" w:rsidRDefault="00EF7AF2" w:rsidP="00576E66">
      <w:pPr>
        <w:jc w:val="both"/>
        <w:rPr>
          <w:u w:val="single"/>
        </w:rPr>
      </w:pPr>
      <w:r w:rsidRPr="002C6B36">
        <w:t>Total annual cost to the Federal Government for th</w:t>
      </w:r>
      <w:r w:rsidR="00B13F54">
        <w:t xml:space="preserve">is data collection includes the </w:t>
      </w:r>
      <w:r w:rsidRPr="002C6B36">
        <w:t>government staff time to ma</w:t>
      </w:r>
      <w:r w:rsidR="00B13F54">
        <w:t xml:space="preserve">nage and support the collection of information </w:t>
      </w:r>
      <w:r w:rsidRPr="002C6B36">
        <w:t xml:space="preserve">and the cost to </w:t>
      </w:r>
      <w:r w:rsidR="00B13F54">
        <w:t>respondents described in A.12</w:t>
      </w:r>
      <w:r w:rsidR="007D1F38" w:rsidRPr="002C6B36">
        <w:t>.</w:t>
      </w:r>
      <w:r w:rsidR="00DC406C" w:rsidRPr="002C6B36">
        <w:t xml:space="preserve"> </w:t>
      </w:r>
      <w:r w:rsidR="00264A50">
        <w:t xml:space="preserve"> Since OIG staff will participate in all the interv</w:t>
      </w:r>
      <w:r w:rsidR="00B27F95">
        <w:t>iews, they will spend the same four</w:t>
      </w:r>
      <w:r w:rsidR="00264A50">
        <w:t xml:space="preserve"> hours per awardee.  Additionally, OIG staff will review the information collected by the awardee, which will take approximately one hour.  Thus, </w:t>
      </w:r>
      <w:r w:rsidR="00B27F95">
        <w:t xml:space="preserve">for the 50 reviews </w:t>
      </w:r>
      <w:r w:rsidR="00264A50">
        <w:t>we</w:t>
      </w:r>
      <w:r w:rsidR="00426B71" w:rsidRPr="002C6B36">
        <w:t xml:space="preserve"> </w:t>
      </w:r>
      <w:r w:rsidR="00B27F95">
        <w:t xml:space="preserve">expect to conduct per year, we </w:t>
      </w:r>
      <w:r w:rsidR="00264A50">
        <w:t>estimate</w:t>
      </w:r>
      <w:r w:rsidR="007D1F38" w:rsidRPr="002C6B36">
        <w:t xml:space="preserve"> approximately </w:t>
      </w:r>
      <w:r w:rsidR="00EE1B22">
        <w:t>250</w:t>
      </w:r>
      <w:r w:rsidR="008F26FB">
        <w:t xml:space="preserve"> hours</w:t>
      </w:r>
      <w:r w:rsidR="00F35801" w:rsidRPr="002C6B36">
        <w:t xml:space="preserve"> </w:t>
      </w:r>
      <w:r w:rsidR="00426B71" w:rsidRPr="002C6B36">
        <w:t xml:space="preserve">of </w:t>
      </w:r>
      <w:r w:rsidR="00264A50">
        <w:t>OIG</w:t>
      </w:r>
      <w:r w:rsidRPr="002C6B36">
        <w:t xml:space="preserve"> </w:t>
      </w:r>
      <w:r w:rsidR="00426B71" w:rsidRPr="002C6B36">
        <w:t xml:space="preserve">staff time </w:t>
      </w:r>
      <w:r w:rsidR="00EE1B22">
        <w:t xml:space="preserve">per year </w:t>
      </w:r>
      <w:r w:rsidR="00426B71" w:rsidRPr="002C6B36">
        <w:t xml:space="preserve">will be </w:t>
      </w:r>
      <w:r w:rsidR="007D1F38" w:rsidRPr="002C6B36">
        <w:t>associat</w:t>
      </w:r>
      <w:r w:rsidR="00426B71" w:rsidRPr="002C6B36">
        <w:t>ed</w:t>
      </w:r>
      <w:r w:rsidR="007D1F38" w:rsidRPr="002C6B36">
        <w:t xml:space="preserve"> w</w:t>
      </w:r>
      <w:r w:rsidR="00F35801" w:rsidRPr="002C6B36">
        <w:t>ith the conduct of this study.</w:t>
      </w:r>
      <w:r w:rsidR="00264A50">
        <w:t xml:space="preserve"> </w:t>
      </w:r>
      <w:r w:rsidR="00F35801" w:rsidRPr="002C6B36">
        <w:t xml:space="preserve"> </w:t>
      </w:r>
      <w:r w:rsidR="00226FC1" w:rsidRPr="002C6B36">
        <w:t>Using</w:t>
      </w:r>
      <w:r w:rsidR="007D1F38" w:rsidRPr="002C6B36">
        <w:t xml:space="preserve"> an average </w:t>
      </w:r>
      <w:r w:rsidR="00307CA7">
        <w:t xml:space="preserve">annual </w:t>
      </w:r>
      <w:r w:rsidR="007D1F38" w:rsidRPr="002C6B36">
        <w:t>salary of $</w:t>
      </w:r>
      <w:r w:rsidR="00264A50">
        <w:t>115</w:t>
      </w:r>
      <w:r w:rsidR="007D1F38" w:rsidRPr="002C6B36">
        <w:t>,000</w:t>
      </w:r>
      <w:r w:rsidR="00A3786D">
        <w:t xml:space="preserve"> ($55.29 average hourly salary)</w:t>
      </w:r>
      <w:r w:rsidR="00226FC1" w:rsidRPr="002C6B36">
        <w:t xml:space="preserve"> for </w:t>
      </w:r>
      <w:r w:rsidR="00264A50">
        <w:t>OIG</w:t>
      </w:r>
      <w:r w:rsidR="00226FC1" w:rsidRPr="002C6B36">
        <w:t xml:space="preserve"> staff</w:t>
      </w:r>
      <w:r w:rsidR="00264A50">
        <w:t xml:space="preserve"> </w:t>
      </w:r>
      <w:r w:rsidR="00A3786D">
        <w:t xml:space="preserve">who </w:t>
      </w:r>
      <w:r w:rsidR="00B27F95">
        <w:t>will</w:t>
      </w:r>
      <w:r w:rsidR="00A3786D">
        <w:t xml:space="preserve"> participate in this activity</w:t>
      </w:r>
      <w:r w:rsidR="007D1F38" w:rsidRPr="002C6B36">
        <w:t xml:space="preserve">, this </w:t>
      </w:r>
      <w:r w:rsidR="00E51D12">
        <w:t>totals approximately</w:t>
      </w:r>
      <w:r w:rsidR="007D1F38" w:rsidRPr="002C6B36">
        <w:t xml:space="preserve"> </w:t>
      </w:r>
      <w:r w:rsidR="00B13F54">
        <w:t>$</w:t>
      </w:r>
      <w:r w:rsidR="00A3786D">
        <w:t>13,822.50</w:t>
      </w:r>
      <w:r w:rsidR="004378F9">
        <w:t xml:space="preserve"> per year</w:t>
      </w:r>
      <w:r w:rsidR="007D1F38" w:rsidRPr="002C6B36">
        <w:t>.</w:t>
      </w:r>
    </w:p>
    <w:p w:rsidR="00A536C7" w:rsidRPr="002C6B36" w:rsidRDefault="00A536C7" w:rsidP="00F52B95">
      <w:pPr>
        <w:pStyle w:val="Heading1"/>
      </w:pPr>
      <w:bookmarkStart w:id="17" w:name="_Toc336433236"/>
      <w:r w:rsidRPr="002C6B36">
        <w:lastRenderedPageBreak/>
        <w:t>A.15</w:t>
      </w:r>
      <w:r w:rsidR="009D2146" w:rsidRPr="002C6B36">
        <w:t xml:space="preserve">. </w:t>
      </w:r>
      <w:r w:rsidRPr="002C6B36">
        <w:t xml:space="preserve">Changes </w:t>
      </w:r>
      <w:r w:rsidR="000F0C17" w:rsidRPr="002C6B36">
        <w:t>in Burden</w:t>
      </w:r>
      <w:bookmarkEnd w:id="17"/>
    </w:p>
    <w:p w:rsidR="00A536C7" w:rsidRPr="002C6B36" w:rsidRDefault="0098794F" w:rsidP="00F52B95">
      <w:pPr>
        <w:rPr>
          <w:b/>
        </w:rPr>
      </w:pPr>
      <w:r w:rsidRPr="002C6B36">
        <w:t>This is a new collection of information.</w:t>
      </w:r>
    </w:p>
    <w:p w:rsidR="00A536C7" w:rsidRPr="002C6B36" w:rsidRDefault="00A536C7" w:rsidP="00F52B95">
      <w:pPr>
        <w:pStyle w:val="Heading1"/>
      </w:pPr>
      <w:bookmarkStart w:id="18" w:name="_Toc336433237"/>
      <w:r w:rsidRPr="002C6B36">
        <w:t>A.16</w:t>
      </w:r>
      <w:r w:rsidR="009D2146" w:rsidRPr="002C6B36">
        <w:t xml:space="preserve">. </w:t>
      </w:r>
      <w:r w:rsidRPr="002C6B36">
        <w:t xml:space="preserve">Publication </w:t>
      </w:r>
      <w:r w:rsidR="000F0C17" w:rsidRPr="002C6B36">
        <w:t>of Collection</w:t>
      </w:r>
      <w:bookmarkEnd w:id="18"/>
      <w:r w:rsidRPr="002C6B36">
        <w:t xml:space="preserve"> </w:t>
      </w:r>
    </w:p>
    <w:p w:rsidR="00994FE6" w:rsidRDefault="00EE0DAA" w:rsidP="00F55D15">
      <w:pPr>
        <w:jc w:val="both"/>
      </w:pPr>
      <w:r w:rsidRPr="002C6B36">
        <w:t>Planning for this</w:t>
      </w:r>
      <w:r w:rsidR="009B04FE" w:rsidRPr="002C6B36">
        <w:t xml:space="preserve"> </w:t>
      </w:r>
      <w:r w:rsidRPr="002C6B36">
        <w:t>study</w:t>
      </w:r>
      <w:r w:rsidR="009B04FE" w:rsidRPr="002C6B36">
        <w:t xml:space="preserve"> beg</w:t>
      </w:r>
      <w:r w:rsidR="00934ECE" w:rsidRPr="002C6B36">
        <w:t>a</w:t>
      </w:r>
      <w:r w:rsidR="009B04FE" w:rsidRPr="002C6B36">
        <w:t xml:space="preserve">n in </w:t>
      </w:r>
      <w:r w:rsidR="001931C4">
        <w:t>March</w:t>
      </w:r>
      <w:r w:rsidR="00EE1B22">
        <w:t xml:space="preserve"> 2012</w:t>
      </w:r>
      <w:r w:rsidRPr="002C6B36">
        <w:t xml:space="preserve">. </w:t>
      </w:r>
      <w:r w:rsidR="001931C4">
        <w:t xml:space="preserve"> </w:t>
      </w:r>
      <w:r w:rsidR="00C33ADA" w:rsidRPr="002C6B36">
        <w:t xml:space="preserve">Collection and analysis of data not requiring OMB clearance, including interviews with </w:t>
      </w:r>
      <w:r w:rsidR="001931C4">
        <w:t>select community</w:t>
      </w:r>
      <w:r w:rsidR="00C33ADA" w:rsidRPr="002C6B36">
        <w:t xml:space="preserve"> members, </w:t>
      </w:r>
      <w:r w:rsidR="001931C4">
        <w:t>has already been conducted</w:t>
      </w:r>
      <w:r w:rsidR="00671D31" w:rsidRPr="002C6B36">
        <w:t xml:space="preserve">. </w:t>
      </w:r>
      <w:r w:rsidR="001931C4">
        <w:t xml:space="preserve"> Once OMB</w:t>
      </w:r>
      <w:r w:rsidR="00671D31" w:rsidRPr="002C6B36">
        <w:t xml:space="preserve"> clearance is granted</w:t>
      </w:r>
      <w:r w:rsidR="001931C4">
        <w:t>, the</w:t>
      </w:r>
      <w:r w:rsidR="00671D31" w:rsidRPr="002C6B36">
        <w:t xml:space="preserve"> survey and interview data collection will </w:t>
      </w:r>
      <w:r w:rsidR="00EE1B22">
        <w:t xml:space="preserve">occur </w:t>
      </w:r>
      <w:r w:rsidR="001931C4">
        <w:t>over two years</w:t>
      </w:r>
      <w:r w:rsidR="00F1394F">
        <w:t>, likely 2014 and 2015</w:t>
      </w:r>
      <w:r w:rsidR="00671D31" w:rsidRPr="002C6B36">
        <w:t>.</w:t>
      </w:r>
      <w:r w:rsidR="001931C4">
        <w:t xml:space="preserve"> </w:t>
      </w:r>
      <w:r w:rsidR="00671D31" w:rsidRPr="002C6B36">
        <w:t xml:space="preserve"> </w:t>
      </w:r>
      <w:r w:rsidR="00527F9D" w:rsidRPr="002C6B36">
        <w:t xml:space="preserve">Data will be analyzed and a </w:t>
      </w:r>
      <w:r w:rsidR="00671D31" w:rsidRPr="002C6B36">
        <w:t>draft evaluation report will be developed d</w:t>
      </w:r>
      <w:r w:rsidR="00527F9D" w:rsidRPr="002C6B36">
        <w:t>uring 201</w:t>
      </w:r>
      <w:r w:rsidR="00F1394F">
        <w:t>6</w:t>
      </w:r>
      <w:r w:rsidR="00527F9D" w:rsidRPr="002C6B36">
        <w:t xml:space="preserve">. </w:t>
      </w:r>
      <w:r w:rsidR="001931C4">
        <w:t xml:space="preserve"> </w:t>
      </w:r>
      <w:r w:rsidR="00947A46" w:rsidRPr="002C6B36">
        <w:t xml:space="preserve">Survey results will be </w:t>
      </w:r>
      <w:r w:rsidR="00F1394F">
        <w:t xml:space="preserve">assessed and </w:t>
      </w:r>
      <w:r w:rsidR="00947A46" w:rsidRPr="002C6B36">
        <w:t>tabulated</w:t>
      </w:r>
      <w:r w:rsidR="00F1394F">
        <w:t xml:space="preserve">; </w:t>
      </w:r>
      <w:r w:rsidR="00F1394F" w:rsidRPr="002C6B36">
        <w:t>given the nature of the information to be collected, complex statistical analysis will be neither feasible nor desirable</w:t>
      </w:r>
      <w:r w:rsidR="00947A46" w:rsidRPr="002C6B36">
        <w:t xml:space="preserve">. </w:t>
      </w:r>
      <w:r w:rsidR="001931C4">
        <w:t xml:space="preserve"> </w:t>
      </w:r>
      <w:r w:rsidR="00527F9D" w:rsidRPr="002C6B36">
        <w:t>T</w:t>
      </w:r>
      <w:r w:rsidR="00671D31" w:rsidRPr="002C6B36">
        <w:t xml:space="preserve">he </w:t>
      </w:r>
      <w:r w:rsidR="00527F9D" w:rsidRPr="002C6B36">
        <w:t xml:space="preserve">evaluation </w:t>
      </w:r>
      <w:r w:rsidR="00671D31" w:rsidRPr="002C6B36">
        <w:t>report will be f</w:t>
      </w:r>
      <w:r w:rsidR="00F55D15">
        <w:t>inalized and delivered to NSF in</w:t>
      </w:r>
      <w:r w:rsidR="00671D31" w:rsidRPr="002C6B36">
        <w:t xml:space="preserve"> 201</w:t>
      </w:r>
      <w:r w:rsidR="00F1394F">
        <w:t>6</w:t>
      </w:r>
      <w:r w:rsidR="00994FE6" w:rsidRPr="002C6B36">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5400"/>
      </w:tblGrid>
      <w:tr w:rsidR="009B04FE" w:rsidRPr="002C6B36" w:rsidTr="00B7659F">
        <w:trPr>
          <w:jc w:val="center"/>
        </w:trPr>
        <w:tc>
          <w:tcPr>
            <w:tcW w:w="8568" w:type="dxa"/>
            <w:gridSpan w:val="2"/>
            <w:tcBorders>
              <w:top w:val="nil"/>
              <w:left w:val="nil"/>
              <w:bottom w:val="single" w:sz="4" w:space="0" w:color="auto"/>
              <w:right w:val="nil"/>
            </w:tcBorders>
            <w:vAlign w:val="center"/>
          </w:tcPr>
          <w:p w:rsidR="009B04FE" w:rsidRPr="002C6B36" w:rsidRDefault="00F35801" w:rsidP="002A4B76">
            <w:pPr>
              <w:pStyle w:val="BodyText2"/>
              <w:keepNext/>
              <w:spacing w:line="240" w:lineRule="auto"/>
              <w:ind w:firstLine="0"/>
              <w:jc w:val="center"/>
              <w:rPr>
                <w:snapToGrid/>
              </w:rPr>
            </w:pPr>
            <w:r w:rsidRPr="002C6B36">
              <w:t xml:space="preserve">Table </w:t>
            </w:r>
            <w:r w:rsidR="00556D31" w:rsidRPr="002C6B36">
              <w:t>A.16.</w:t>
            </w:r>
            <w:r w:rsidR="009B04FE" w:rsidRPr="002C6B36">
              <w:t xml:space="preserve"> Estimated Project Schedule</w:t>
            </w:r>
          </w:p>
        </w:tc>
      </w:tr>
      <w:tr w:rsidR="009B04FE" w:rsidRPr="002C6B36" w:rsidTr="00B7659F">
        <w:trPr>
          <w:jc w:val="center"/>
        </w:trPr>
        <w:tc>
          <w:tcPr>
            <w:tcW w:w="3168" w:type="dxa"/>
            <w:tcBorders>
              <w:top w:val="single" w:sz="4" w:space="0" w:color="auto"/>
            </w:tcBorders>
            <w:vAlign w:val="center"/>
          </w:tcPr>
          <w:p w:rsidR="009B04FE" w:rsidRPr="00F55D15" w:rsidRDefault="009B04FE" w:rsidP="00FE1504">
            <w:pPr>
              <w:pStyle w:val="BodyText2"/>
              <w:keepNext/>
              <w:spacing w:line="240" w:lineRule="auto"/>
              <w:ind w:firstLine="0"/>
              <w:rPr>
                <w:szCs w:val="24"/>
              </w:rPr>
            </w:pPr>
            <w:r w:rsidRPr="00F55D15">
              <w:rPr>
                <w:szCs w:val="24"/>
              </w:rPr>
              <w:t>Activity</w:t>
            </w:r>
          </w:p>
        </w:tc>
        <w:tc>
          <w:tcPr>
            <w:tcW w:w="5400" w:type="dxa"/>
            <w:tcBorders>
              <w:top w:val="single" w:sz="4" w:space="0" w:color="auto"/>
            </w:tcBorders>
            <w:vAlign w:val="center"/>
          </w:tcPr>
          <w:p w:rsidR="009B04FE" w:rsidRPr="00F55D15" w:rsidRDefault="009B04FE" w:rsidP="00F55D15">
            <w:pPr>
              <w:pStyle w:val="BodyText2"/>
              <w:spacing w:line="240" w:lineRule="auto"/>
              <w:ind w:firstLine="0"/>
              <w:rPr>
                <w:szCs w:val="24"/>
              </w:rPr>
            </w:pPr>
            <w:r w:rsidRPr="00F55D15">
              <w:rPr>
                <w:szCs w:val="24"/>
              </w:rPr>
              <w:t>Time Schedule</w:t>
            </w:r>
          </w:p>
        </w:tc>
      </w:tr>
      <w:tr w:rsidR="00C33ADA" w:rsidRPr="002C6B36" w:rsidTr="00B7659F">
        <w:trPr>
          <w:jc w:val="center"/>
        </w:trPr>
        <w:tc>
          <w:tcPr>
            <w:tcW w:w="3168" w:type="dxa"/>
            <w:tcBorders>
              <w:top w:val="single" w:sz="4" w:space="0" w:color="auto"/>
            </w:tcBorders>
            <w:vAlign w:val="center"/>
          </w:tcPr>
          <w:p w:rsidR="00C33ADA" w:rsidRPr="00F55D15" w:rsidRDefault="00C33ADA" w:rsidP="00FE1504">
            <w:pPr>
              <w:pStyle w:val="BodyText2"/>
              <w:keepNext/>
              <w:spacing w:line="240" w:lineRule="auto"/>
              <w:ind w:firstLine="0"/>
              <w:rPr>
                <w:szCs w:val="24"/>
              </w:rPr>
            </w:pPr>
            <w:r w:rsidRPr="00F55D15">
              <w:rPr>
                <w:szCs w:val="24"/>
              </w:rPr>
              <w:t xml:space="preserve">Collect and analyze data from existing sources and interview </w:t>
            </w:r>
            <w:r w:rsidR="00F55D15">
              <w:rPr>
                <w:szCs w:val="24"/>
              </w:rPr>
              <w:t xml:space="preserve">community </w:t>
            </w:r>
            <w:r w:rsidRPr="00F55D15">
              <w:rPr>
                <w:szCs w:val="24"/>
              </w:rPr>
              <w:t>members</w:t>
            </w:r>
          </w:p>
        </w:tc>
        <w:tc>
          <w:tcPr>
            <w:tcW w:w="5400" w:type="dxa"/>
            <w:tcBorders>
              <w:top w:val="single" w:sz="4" w:space="0" w:color="auto"/>
            </w:tcBorders>
            <w:vAlign w:val="center"/>
          </w:tcPr>
          <w:p w:rsidR="00C33ADA" w:rsidRPr="00F55D15" w:rsidRDefault="005E1308" w:rsidP="005E1308">
            <w:pPr>
              <w:pStyle w:val="BodyText2"/>
              <w:spacing w:line="240" w:lineRule="auto"/>
              <w:ind w:firstLine="0"/>
              <w:rPr>
                <w:szCs w:val="24"/>
              </w:rPr>
            </w:pPr>
            <w:r>
              <w:rPr>
                <w:szCs w:val="24"/>
              </w:rPr>
              <w:t>Completed</w:t>
            </w:r>
          </w:p>
        </w:tc>
      </w:tr>
      <w:tr w:rsidR="009B04FE" w:rsidRPr="002C6B36" w:rsidTr="00B7659F">
        <w:trPr>
          <w:jc w:val="center"/>
        </w:trPr>
        <w:tc>
          <w:tcPr>
            <w:tcW w:w="3168" w:type="dxa"/>
            <w:vAlign w:val="center"/>
          </w:tcPr>
          <w:p w:rsidR="009B04FE" w:rsidRPr="00F55D15" w:rsidRDefault="00C33ADA" w:rsidP="00FE1504">
            <w:pPr>
              <w:pStyle w:val="BodyText2"/>
              <w:keepNext/>
              <w:spacing w:line="240" w:lineRule="auto"/>
              <w:ind w:firstLine="0"/>
              <w:rPr>
                <w:szCs w:val="24"/>
              </w:rPr>
            </w:pPr>
            <w:r w:rsidRPr="00F55D15">
              <w:rPr>
                <w:szCs w:val="24"/>
              </w:rPr>
              <w:t>Field</w:t>
            </w:r>
            <w:r w:rsidR="00EE4A89" w:rsidRPr="00F55D15">
              <w:rPr>
                <w:szCs w:val="24"/>
              </w:rPr>
              <w:t xml:space="preserve"> </w:t>
            </w:r>
            <w:r w:rsidRPr="00F55D15">
              <w:rPr>
                <w:szCs w:val="24"/>
              </w:rPr>
              <w:t>user survey</w:t>
            </w:r>
          </w:p>
        </w:tc>
        <w:tc>
          <w:tcPr>
            <w:tcW w:w="5400" w:type="dxa"/>
            <w:vAlign w:val="center"/>
          </w:tcPr>
          <w:p w:rsidR="009B04FE" w:rsidRPr="00F55D15" w:rsidRDefault="00F1394F" w:rsidP="005E1308">
            <w:pPr>
              <w:pStyle w:val="BodyText2"/>
              <w:spacing w:line="240" w:lineRule="auto"/>
              <w:ind w:firstLine="0"/>
              <w:rPr>
                <w:szCs w:val="24"/>
              </w:rPr>
            </w:pPr>
            <w:r>
              <w:rPr>
                <w:szCs w:val="24"/>
              </w:rPr>
              <w:t>A</w:t>
            </w:r>
            <w:r w:rsidR="009B04FE" w:rsidRPr="00F55D15">
              <w:rPr>
                <w:szCs w:val="24"/>
              </w:rPr>
              <w:t>fter OMB approval</w:t>
            </w:r>
            <w:r>
              <w:rPr>
                <w:szCs w:val="24"/>
              </w:rPr>
              <w:t>; likely 2014</w:t>
            </w:r>
          </w:p>
        </w:tc>
      </w:tr>
      <w:tr w:rsidR="00C33ADA" w:rsidRPr="002C6B36" w:rsidTr="00B7659F">
        <w:trPr>
          <w:jc w:val="center"/>
        </w:trPr>
        <w:tc>
          <w:tcPr>
            <w:tcW w:w="3168" w:type="dxa"/>
            <w:vAlign w:val="center"/>
          </w:tcPr>
          <w:p w:rsidR="00C33ADA" w:rsidRPr="00F55D15" w:rsidRDefault="00C33ADA" w:rsidP="00FE1504">
            <w:pPr>
              <w:pStyle w:val="BodyText2"/>
              <w:keepNext/>
              <w:spacing w:line="240" w:lineRule="auto"/>
              <w:ind w:firstLine="0"/>
              <w:rPr>
                <w:szCs w:val="24"/>
              </w:rPr>
            </w:pPr>
            <w:r w:rsidRPr="00F55D15">
              <w:rPr>
                <w:szCs w:val="24"/>
              </w:rPr>
              <w:t xml:space="preserve">Conduct interviews with </w:t>
            </w:r>
            <w:r w:rsidR="00EE1B22" w:rsidRPr="00F55D15">
              <w:rPr>
                <w:szCs w:val="24"/>
              </w:rPr>
              <w:t>awardees</w:t>
            </w:r>
          </w:p>
        </w:tc>
        <w:tc>
          <w:tcPr>
            <w:tcW w:w="5400" w:type="dxa"/>
            <w:vAlign w:val="center"/>
          </w:tcPr>
          <w:p w:rsidR="00C33ADA" w:rsidRPr="00F55D15" w:rsidRDefault="005E1308" w:rsidP="00F55D15">
            <w:pPr>
              <w:pStyle w:val="BodyText2"/>
              <w:spacing w:line="240" w:lineRule="auto"/>
              <w:ind w:firstLine="0"/>
              <w:rPr>
                <w:szCs w:val="24"/>
              </w:rPr>
            </w:pPr>
            <w:r>
              <w:rPr>
                <w:szCs w:val="24"/>
              </w:rPr>
              <w:t>Within 3 years of the OMB approval</w:t>
            </w:r>
          </w:p>
        </w:tc>
      </w:tr>
      <w:tr w:rsidR="00C33ADA" w:rsidRPr="002C6B36" w:rsidTr="00B7659F">
        <w:trPr>
          <w:jc w:val="center"/>
        </w:trPr>
        <w:tc>
          <w:tcPr>
            <w:tcW w:w="3168" w:type="dxa"/>
            <w:vAlign w:val="center"/>
          </w:tcPr>
          <w:p w:rsidR="00C33ADA" w:rsidRPr="00F55D15" w:rsidRDefault="00C33ADA" w:rsidP="00FE1504">
            <w:pPr>
              <w:keepNext/>
              <w:ind w:firstLine="0"/>
              <w:rPr>
                <w:rFonts w:eastAsia="Times"/>
                <w:szCs w:val="24"/>
              </w:rPr>
            </w:pPr>
            <w:r w:rsidRPr="00F55D15">
              <w:rPr>
                <w:rFonts w:eastAsia="Times"/>
                <w:szCs w:val="24"/>
              </w:rPr>
              <w:t>Analyze data and develop draft evaluation report</w:t>
            </w:r>
          </w:p>
        </w:tc>
        <w:tc>
          <w:tcPr>
            <w:tcW w:w="5400" w:type="dxa"/>
            <w:vAlign w:val="center"/>
          </w:tcPr>
          <w:p w:rsidR="00C33ADA" w:rsidRPr="00F55D15" w:rsidRDefault="005E1308" w:rsidP="00F55D15">
            <w:pPr>
              <w:ind w:firstLine="0"/>
              <w:rPr>
                <w:rFonts w:eastAsia="Times"/>
                <w:szCs w:val="24"/>
              </w:rPr>
            </w:pPr>
            <w:r>
              <w:rPr>
                <w:rFonts w:eastAsia="Times"/>
                <w:szCs w:val="24"/>
              </w:rPr>
              <w:t>Within 6 months after completion of the previous step</w:t>
            </w:r>
            <w:r w:rsidR="00F1394F">
              <w:rPr>
                <w:rFonts w:eastAsia="Times"/>
                <w:szCs w:val="24"/>
              </w:rPr>
              <w:t>; likely 2016</w:t>
            </w:r>
          </w:p>
        </w:tc>
      </w:tr>
      <w:tr w:rsidR="00C33ADA" w:rsidRPr="002C6B36" w:rsidTr="00B7659F">
        <w:trPr>
          <w:jc w:val="center"/>
        </w:trPr>
        <w:tc>
          <w:tcPr>
            <w:tcW w:w="3168" w:type="dxa"/>
            <w:vAlign w:val="center"/>
          </w:tcPr>
          <w:p w:rsidR="00C33ADA" w:rsidRPr="00F55D15" w:rsidRDefault="00C33ADA" w:rsidP="00F55D15">
            <w:pPr>
              <w:ind w:firstLine="0"/>
              <w:rPr>
                <w:rFonts w:eastAsia="Times"/>
                <w:szCs w:val="24"/>
              </w:rPr>
            </w:pPr>
            <w:r w:rsidRPr="00F55D15">
              <w:rPr>
                <w:rFonts w:eastAsia="Times"/>
                <w:szCs w:val="24"/>
              </w:rPr>
              <w:t>Finalize evaluation report</w:t>
            </w:r>
          </w:p>
        </w:tc>
        <w:tc>
          <w:tcPr>
            <w:tcW w:w="5400" w:type="dxa"/>
            <w:vAlign w:val="center"/>
          </w:tcPr>
          <w:p w:rsidR="00C33ADA" w:rsidRPr="00F55D15" w:rsidRDefault="005E1308" w:rsidP="00F55D15">
            <w:pPr>
              <w:ind w:firstLine="0"/>
              <w:rPr>
                <w:rFonts w:eastAsia="Times"/>
                <w:szCs w:val="24"/>
              </w:rPr>
            </w:pPr>
            <w:r>
              <w:rPr>
                <w:rFonts w:eastAsia="Times"/>
                <w:szCs w:val="24"/>
              </w:rPr>
              <w:t>Within 6 months after completion of the previous step</w:t>
            </w:r>
            <w:r w:rsidR="00F1394F">
              <w:rPr>
                <w:rFonts w:eastAsia="Times"/>
                <w:szCs w:val="24"/>
              </w:rPr>
              <w:t>; likely 2016</w:t>
            </w:r>
          </w:p>
        </w:tc>
      </w:tr>
    </w:tbl>
    <w:p w:rsidR="007400AC" w:rsidRPr="002C6B36" w:rsidRDefault="007400AC" w:rsidP="00F52B95"/>
    <w:p w:rsidR="00A536C7" w:rsidRPr="002C6B36" w:rsidRDefault="00A536C7" w:rsidP="00F52B95">
      <w:pPr>
        <w:pStyle w:val="Heading1"/>
      </w:pPr>
      <w:bookmarkStart w:id="19" w:name="_Toc336433238"/>
      <w:r w:rsidRPr="002C6B36">
        <w:t>A.17</w:t>
      </w:r>
      <w:r w:rsidR="009D2146" w:rsidRPr="002C6B36">
        <w:t xml:space="preserve">. </w:t>
      </w:r>
      <w:r w:rsidRPr="002C6B36">
        <w:t xml:space="preserve">Display of OMB </w:t>
      </w:r>
      <w:bookmarkEnd w:id="19"/>
      <w:r w:rsidR="00563A34">
        <w:t>Approval Number and Expiration Date</w:t>
      </w:r>
      <w:r w:rsidRPr="002C6B36">
        <w:t xml:space="preserve"> </w:t>
      </w:r>
    </w:p>
    <w:p w:rsidR="00934ECE" w:rsidRPr="002C6B36" w:rsidRDefault="00934ECE" w:rsidP="00B554B3">
      <w:r w:rsidRPr="002C6B36">
        <w:t xml:space="preserve">No exceptions are sought; the </w:t>
      </w:r>
      <w:r w:rsidR="00563A34">
        <w:t xml:space="preserve">required </w:t>
      </w:r>
      <w:r w:rsidRPr="002C6B36">
        <w:t xml:space="preserve">OMB </w:t>
      </w:r>
      <w:r w:rsidR="00563A34">
        <w:t xml:space="preserve">information </w:t>
      </w:r>
      <w:r w:rsidRPr="002C6B36">
        <w:t>will be displ</w:t>
      </w:r>
      <w:r w:rsidR="006666B7">
        <w:t>ayed on the</w:t>
      </w:r>
      <w:r w:rsidR="005B6BD3">
        <w:t xml:space="preserve"> initial contact letter and reiterated orally prior to conducting the interviews.</w:t>
      </w:r>
    </w:p>
    <w:p w:rsidR="00A536C7" w:rsidRPr="002C6B36" w:rsidRDefault="00A536C7" w:rsidP="00F52B95">
      <w:pPr>
        <w:pStyle w:val="Heading1"/>
      </w:pPr>
      <w:bookmarkStart w:id="20" w:name="_Toc336433239"/>
      <w:r w:rsidRPr="002C6B36">
        <w:t>A.18</w:t>
      </w:r>
      <w:r w:rsidR="009D2146" w:rsidRPr="002C6B36">
        <w:t>. Exceptions</w:t>
      </w:r>
      <w:r w:rsidRPr="002C6B36">
        <w:t xml:space="preserve"> to Certification </w:t>
      </w:r>
      <w:r w:rsidR="000F0C17" w:rsidRPr="002C6B36">
        <w:t>Statement (19) on OMB 83-1</w:t>
      </w:r>
      <w:bookmarkEnd w:id="20"/>
    </w:p>
    <w:p w:rsidR="00A536C7" w:rsidRPr="002C6B36" w:rsidRDefault="00934ECE" w:rsidP="00B554B3">
      <w:r w:rsidRPr="002C6B36">
        <w:t>No exceptions are sought from the Paperwork Reduction Act or from form 83-I.</w:t>
      </w:r>
    </w:p>
    <w:sectPr w:rsidR="00A536C7" w:rsidRPr="002C6B36" w:rsidSect="00C7199F">
      <w:footerReference w:type="even" r:id="rId9"/>
      <w:footerReference w:type="default" r:id="rId10"/>
      <w:endnotePr>
        <w:numFmt w:val="decimal"/>
      </w:endnotePr>
      <w:pgSz w:w="12240" w:h="15840"/>
      <w:pgMar w:top="1260" w:right="1152" w:bottom="1440" w:left="1152"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852" w:rsidRDefault="00ED2852" w:rsidP="00F52B95">
      <w:r>
        <w:separator/>
      </w:r>
    </w:p>
  </w:endnote>
  <w:endnote w:type="continuationSeparator" w:id="0">
    <w:p w:rsidR="00ED2852" w:rsidRDefault="00ED2852" w:rsidP="00F5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2" w:rsidRDefault="00BC17D7" w:rsidP="00F52B95">
    <w:pPr>
      <w:pStyle w:val="Footer"/>
      <w:rPr>
        <w:rStyle w:val="PageNumber"/>
      </w:rPr>
    </w:pPr>
    <w:r>
      <w:rPr>
        <w:rStyle w:val="PageNumber"/>
      </w:rPr>
      <w:fldChar w:fldCharType="begin"/>
    </w:r>
    <w:r w:rsidR="00ED2852">
      <w:rPr>
        <w:rStyle w:val="PageNumber"/>
      </w:rPr>
      <w:instrText xml:space="preserve">PAGE  </w:instrText>
    </w:r>
    <w:r>
      <w:rPr>
        <w:rStyle w:val="PageNumber"/>
      </w:rPr>
      <w:fldChar w:fldCharType="separate"/>
    </w:r>
    <w:r w:rsidR="00ED2852">
      <w:rPr>
        <w:rStyle w:val="PageNumber"/>
        <w:noProof/>
      </w:rPr>
      <w:t>20</w:t>
    </w:r>
    <w:r>
      <w:rPr>
        <w:rStyle w:val="PageNumber"/>
      </w:rPr>
      <w:fldChar w:fldCharType="end"/>
    </w:r>
  </w:p>
  <w:p w:rsidR="00ED2852" w:rsidRDefault="00ED2852" w:rsidP="00F52B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2852" w:rsidRDefault="00BC17D7" w:rsidP="00F52B95">
    <w:pPr>
      <w:pStyle w:val="Footer"/>
      <w:rPr>
        <w:rStyle w:val="PageNumber"/>
      </w:rPr>
    </w:pPr>
    <w:r>
      <w:rPr>
        <w:rStyle w:val="PageNumber"/>
      </w:rPr>
      <w:fldChar w:fldCharType="begin"/>
    </w:r>
    <w:r w:rsidR="00ED2852">
      <w:rPr>
        <w:rStyle w:val="PageNumber"/>
      </w:rPr>
      <w:instrText xml:space="preserve">PAGE  </w:instrText>
    </w:r>
    <w:r>
      <w:rPr>
        <w:rStyle w:val="PageNumber"/>
      </w:rPr>
      <w:fldChar w:fldCharType="separate"/>
    </w:r>
    <w:r w:rsidR="00884BF3">
      <w:rPr>
        <w:rStyle w:val="PageNumber"/>
        <w:noProof/>
      </w:rPr>
      <w:t>10</w:t>
    </w:r>
    <w:r>
      <w:rPr>
        <w:rStyle w:val="PageNumber"/>
      </w:rPr>
      <w:fldChar w:fldCharType="end"/>
    </w:r>
  </w:p>
  <w:p w:rsidR="00ED2852" w:rsidRDefault="00ED2852" w:rsidP="00F52B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852" w:rsidRDefault="00ED2852" w:rsidP="00F52B95">
      <w:r>
        <w:separator/>
      </w:r>
    </w:p>
  </w:footnote>
  <w:footnote w:type="continuationSeparator" w:id="0">
    <w:p w:rsidR="00ED2852" w:rsidRDefault="00ED2852" w:rsidP="00F52B95">
      <w:r>
        <w:continuationSeparator/>
      </w:r>
    </w:p>
  </w:footnote>
  <w:footnote w:id="1">
    <w:p w:rsidR="00297411" w:rsidRPr="00465E6C" w:rsidRDefault="00297411" w:rsidP="00297411">
      <w:pPr>
        <w:autoSpaceDE w:val="0"/>
        <w:autoSpaceDN w:val="0"/>
        <w:adjustRightInd w:val="0"/>
        <w:spacing w:after="0"/>
        <w:rPr>
          <w:iCs/>
          <w:color w:val="0000FF"/>
          <w:sz w:val="20"/>
        </w:rPr>
      </w:pPr>
      <w:r w:rsidRPr="00465E6C">
        <w:rPr>
          <w:rStyle w:val="FootnoteReference"/>
          <w:sz w:val="20"/>
        </w:rPr>
        <w:footnoteRef/>
      </w:r>
      <w:r w:rsidRPr="00465E6C">
        <w:rPr>
          <w:sz w:val="20"/>
        </w:rPr>
        <w:t xml:space="preserve"> Part II-Award and Administration Guide, Chapter IV, Part B.2.c, </w:t>
      </w:r>
      <w:r w:rsidRPr="00465E6C">
        <w:rPr>
          <w:iCs/>
          <w:color w:val="0000FF"/>
          <w:sz w:val="20"/>
        </w:rPr>
        <w:t>nsf.gov/pubs/</w:t>
      </w:r>
      <w:proofErr w:type="spellStart"/>
      <w:r w:rsidRPr="00465E6C">
        <w:rPr>
          <w:iCs/>
          <w:color w:val="0000FF"/>
          <w:sz w:val="20"/>
        </w:rPr>
        <w:t>policydocs</w:t>
      </w:r>
      <w:proofErr w:type="spellEnd"/>
      <w:r w:rsidRPr="00465E6C">
        <w:rPr>
          <w:iCs/>
          <w:color w:val="0000FF"/>
          <w:sz w:val="20"/>
        </w:rPr>
        <w:t>/</w:t>
      </w:r>
      <w:proofErr w:type="spellStart"/>
      <w:r w:rsidRPr="00465E6C">
        <w:rPr>
          <w:iCs/>
          <w:color w:val="0000FF"/>
          <w:sz w:val="20"/>
        </w:rPr>
        <w:t>pappguide</w:t>
      </w:r>
      <w:proofErr w:type="spellEnd"/>
      <w:r w:rsidRPr="00465E6C">
        <w:rPr>
          <w:iCs/>
          <w:color w:val="0000FF"/>
          <w:sz w:val="20"/>
        </w:rPr>
        <w:t>/nsf11001/aag</w:t>
      </w:r>
      <w:r w:rsidRPr="00465E6C">
        <w:rPr>
          <w:color w:val="0000FF"/>
          <w:sz w:val="20"/>
        </w:rPr>
        <w:t>_</w:t>
      </w:r>
      <w:r w:rsidRPr="00465E6C">
        <w:rPr>
          <w:iCs/>
          <w:color w:val="0000FF"/>
          <w:sz w:val="20"/>
        </w:rPr>
        <w:t>4.jsp#IVB</w:t>
      </w:r>
    </w:p>
  </w:footnote>
  <w:footnote w:id="2">
    <w:p w:rsidR="00395F45" w:rsidRPr="00465E6C" w:rsidRDefault="00395F45" w:rsidP="00C5197F">
      <w:pPr>
        <w:pStyle w:val="FootnoteText"/>
        <w:spacing w:after="0"/>
        <w:rPr>
          <w:sz w:val="20"/>
        </w:rPr>
      </w:pPr>
      <w:r w:rsidRPr="00465E6C">
        <w:rPr>
          <w:rStyle w:val="FootnoteReference"/>
          <w:sz w:val="20"/>
        </w:rPr>
        <w:footnoteRef/>
      </w:r>
      <w:r w:rsidRPr="00465E6C">
        <w:rPr>
          <w:sz w:val="20"/>
        </w:rPr>
        <w:t xml:space="preserve"> We calculated a sample size of 93 surveys would provide a 95% confidence level with a 10% confidence interval (margin of error).</w:t>
      </w:r>
    </w:p>
  </w:footnote>
  <w:footnote w:id="3">
    <w:p w:rsidR="00ED2852" w:rsidRPr="00465E6C" w:rsidRDefault="00ED2852" w:rsidP="00C5197F">
      <w:pPr>
        <w:pStyle w:val="FootnoteText"/>
        <w:tabs>
          <w:tab w:val="left" w:pos="2340"/>
        </w:tabs>
        <w:spacing w:after="0"/>
        <w:ind w:firstLine="360"/>
        <w:rPr>
          <w:sz w:val="20"/>
        </w:rPr>
      </w:pPr>
      <w:r w:rsidRPr="00465E6C">
        <w:rPr>
          <w:rStyle w:val="FootnoteReference"/>
          <w:sz w:val="20"/>
        </w:rPr>
        <w:footnoteRef/>
      </w:r>
      <w:r w:rsidRPr="00465E6C">
        <w:rPr>
          <w:sz w:val="20"/>
        </w:rPr>
        <w:t xml:space="preserve"> </w:t>
      </w:r>
      <w:proofErr w:type="gramStart"/>
      <w:r w:rsidRPr="00465E6C">
        <w:rPr>
          <w:sz w:val="20"/>
        </w:rPr>
        <w:t>From a 2011-2012 survey administered by the College and University Professional Association for Human Resources</w:t>
      </w:r>
      <w:r w:rsidR="00563B34" w:rsidRPr="00465E6C">
        <w:rPr>
          <w:sz w:val="20"/>
        </w:rPr>
        <w:t>:</w:t>
      </w:r>
      <w:r w:rsidRPr="00465E6C">
        <w:rPr>
          <w:sz w:val="20"/>
        </w:rPr>
        <w:t xml:space="preserve"> </w:t>
      </w:r>
      <w:hyperlink r:id="rId1" w:history="1">
        <w:r w:rsidRPr="00465E6C">
          <w:rPr>
            <w:rStyle w:val="Hyperlink"/>
            <w:sz w:val="20"/>
          </w:rPr>
          <w:t>http://www.higheredjobs.com/salary/</w:t>
        </w:r>
      </w:hyperlink>
      <w:r w:rsidRPr="00465E6C">
        <w:rPr>
          <w:sz w:val="20"/>
        </w:rPr>
        <w:t>.</w:t>
      </w:r>
      <w:proofErr w:type="gramEnd"/>
    </w:p>
  </w:footnote>
  <w:footnote w:id="4">
    <w:p w:rsidR="00ED2852" w:rsidRPr="00465E6C" w:rsidRDefault="00ED2852" w:rsidP="00C5197F">
      <w:pPr>
        <w:pStyle w:val="FootnoteText"/>
        <w:spacing w:after="0"/>
        <w:ind w:firstLine="360"/>
        <w:rPr>
          <w:sz w:val="20"/>
        </w:rPr>
      </w:pPr>
      <w:r w:rsidRPr="00465E6C">
        <w:rPr>
          <w:rStyle w:val="FootnoteReference"/>
          <w:sz w:val="20"/>
        </w:rPr>
        <w:footnoteRef/>
      </w:r>
      <w:r w:rsidRPr="00465E6C">
        <w:rPr>
          <w:sz w:val="20"/>
        </w:rPr>
        <w:t xml:space="preserve"> </w:t>
      </w:r>
      <w:r w:rsidRPr="00465E6C">
        <w:rPr>
          <w:i/>
          <w:sz w:val="20"/>
        </w:rPr>
        <w:t>I</w:t>
      </w:r>
      <w:r w:rsidR="002A4B76" w:rsidRPr="00465E6C">
        <w:rPr>
          <w:i/>
          <w:sz w:val="20"/>
        </w:rPr>
        <w:t>bi</w:t>
      </w:r>
      <w:r w:rsidRPr="00465E6C">
        <w:rPr>
          <w:i/>
          <w:sz w:val="20"/>
        </w:rPr>
        <w:t>d.</w:t>
      </w:r>
    </w:p>
  </w:footnote>
  <w:footnote w:id="5">
    <w:p w:rsidR="00ED2852" w:rsidRPr="00465E6C" w:rsidRDefault="00ED2852" w:rsidP="00C5197F">
      <w:pPr>
        <w:pStyle w:val="FootnoteText"/>
        <w:spacing w:after="0"/>
        <w:ind w:firstLine="360"/>
        <w:rPr>
          <w:sz w:val="20"/>
        </w:rPr>
      </w:pPr>
      <w:r w:rsidRPr="00465E6C">
        <w:rPr>
          <w:rStyle w:val="FootnoteReference"/>
          <w:sz w:val="20"/>
        </w:rPr>
        <w:footnoteRef/>
      </w:r>
      <w:r w:rsidRPr="00465E6C">
        <w:rPr>
          <w:sz w:val="20"/>
        </w:rPr>
        <w:t xml:space="preserve"> </w:t>
      </w:r>
      <w:proofErr w:type="gramStart"/>
      <w:r w:rsidRPr="00465E6C">
        <w:rPr>
          <w:i/>
          <w:sz w:val="20"/>
        </w:rPr>
        <w:t>I</w:t>
      </w:r>
      <w:r w:rsidR="002A4B76" w:rsidRPr="00465E6C">
        <w:rPr>
          <w:i/>
          <w:sz w:val="20"/>
        </w:rPr>
        <w:t>bi</w:t>
      </w:r>
      <w:r w:rsidRPr="00465E6C">
        <w:rPr>
          <w:i/>
          <w:sz w:val="20"/>
        </w:rPr>
        <w:t>d.</w:t>
      </w:r>
      <w:proofErr w:type="gramEnd"/>
      <w:r w:rsidRPr="00465E6C">
        <w:rPr>
          <w:sz w:val="20"/>
        </w:rPr>
        <w:t xml:space="preserve">  Because RCR Administrators could be tenured professors (average salary </w:t>
      </w:r>
      <w:r w:rsidRPr="00465E6C">
        <w:rPr>
          <w:rFonts w:cs="Arial"/>
          <w:color w:val="000000"/>
          <w:sz w:val="20"/>
          <w:shd w:val="clear" w:color="auto" w:fill="FFFFFF"/>
        </w:rPr>
        <w:t>$92,800)</w:t>
      </w:r>
      <w:r w:rsidRPr="00465E6C">
        <w:rPr>
          <w:sz w:val="20"/>
        </w:rPr>
        <w:t xml:space="preserve">, Associate VPs for Research ($161,618), or a Compliance Officer, which we assumed as equivalent to a Chief Information Officers ($125,446), we averaged the salaries of these three positions to arrive at an average yearly salary. </w:t>
      </w:r>
    </w:p>
  </w:footnote>
  <w:footnote w:id="6">
    <w:p w:rsidR="00ED2852" w:rsidRPr="00465E6C" w:rsidRDefault="00ED2852" w:rsidP="00C5197F">
      <w:pPr>
        <w:pStyle w:val="FootnoteText"/>
        <w:spacing w:after="0"/>
        <w:ind w:firstLine="360"/>
        <w:rPr>
          <w:sz w:val="20"/>
        </w:rPr>
      </w:pPr>
      <w:r w:rsidRPr="00465E6C">
        <w:rPr>
          <w:rStyle w:val="FootnoteReference"/>
          <w:sz w:val="20"/>
        </w:rPr>
        <w:footnoteRef/>
      </w:r>
      <w:r w:rsidRPr="00465E6C">
        <w:rPr>
          <w:sz w:val="20"/>
        </w:rPr>
        <w:t xml:space="preserve"> </w:t>
      </w:r>
      <w:r w:rsidRPr="00465E6C">
        <w:rPr>
          <w:rStyle w:val="Footnote"/>
        </w:rPr>
        <w:t xml:space="preserve">For </w:t>
      </w:r>
      <w:r w:rsidR="00563B34" w:rsidRPr="00465E6C">
        <w:rPr>
          <w:rStyle w:val="Footnote"/>
        </w:rPr>
        <w:t>p</w:t>
      </w:r>
      <w:r w:rsidRPr="00465E6C">
        <w:rPr>
          <w:rStyle w:val="Footnote"/>
        </w:rPr>
        <w:t>ostdoctoral researcher data, we used the average of the pay range</w:t>
      </w:r>
      <w:r w:rsidRPr="00465E6C">
        <w:rPr>
          <w:sz w:val="20"/>
        </w:rPr>
        <w:t xml:space="preserve"> on </w:t>
      </w:r>
      <w:proofErr w:type="spellStart"/>
      <w:r w:rsidRPr="00465E6C">
        <w:rPr>
          <w:sz w:val="20"/>
        </w:rPr>
        <w:t>Payscale</w:t>
      </w:r>
      <w:proofErr w:type="spellEnd"/>
      <w:r w:rsidRPr="00465E6C">
        <w:rPr>
          <w:sz w:val="20"/>
        </w:rPr>
        <w:t xml:space="preserve">: </w:t>
      </w:r>
      <w:hyperlink r:id="rId2" w:history="1">
        <w:r w:rsidRPr="00465E6C">
          <w:rPr>
            <w:rStyle w:val="Hyperlink"/>
            <w:sz w:val="20"/>
          </w:rPr>
          <w:t>http://www.payscale.com/research/US/Job=Postdoctoral_Research_Associate/Salary</w:t>
        </w:r>
      </w:hyperlink>
    </w:p>
  </w:footnote>
  <w:footnote w:id="7">
    <w:p w:rsidR="00ED2852" w:rsidRPr="00465E6C" w:rsidRDefault="00ED2852" w:rsidP="00C5197F">
      <w:pPr>
        <w:pStyle w:val="FootnoteText"/>
        <w:spacing w:after="0"/>
        <w:ind w:firstLine="360"/>
        <w:rPr>
          <w:sz w:val="20"/>
        </w:rPr>
      </w:pPr>
      <w:r w:rsidRPr="00465E6C">
        <w:rPr>
          <w:rStyle w:val="FootnoteReference"/>
          <w:sz w:val="20"/>
        </w:rPr>
        <w:footnoteRef/>
      </w:r>
      <w:r w:rsidRPr="00465E6C">
        <w:rPr>
          <w:sz w:val="20"/>
        </w:rPr>
        <w:t xml:space="preserve"> </w:t>
      </w:r>
      <w:r w:rsidR="002A4B76" w:rsidRPr="00465E6C">
        <w:rPr>
          <w:i/>
          <w:sz w:val="20"/>
        </w:rPr>
        <w:t>I</w:t>
      </w:r>
      <w:r w:rsidRPr="00465E6C">
        <w:rPr>
          <w:i/>
          <w:sz w:val="20"/>
        </w:rPr>
        <w:t>d</w:t>
      </w:r>
      <w:r w:rsidRPr="00465E6C">
        <w:rPr>
          <w:sz w:val="20"/>
        </w:rPr>
        <w:t xml:space="preserve">.  We used the average of the graduate research assistant ($28,529) </w:t>
      </w:r>
      <w:hyperlink r:id="rId3" w:history="1">
        <w:r w:rsidRPr="00465E6C">
          <w:rPr>
            <w:rStyle w:val="Hyperlink"/>
            <w:sz w:val="20"/>
          </w:rPr>
          <w:t>http://www.payscale.com/research/US/Job=Graduate_Research_Assistant_%28GRA%29/Salary</w:t>
        </w:r>
      </w:hyperlink>
      <w:r w:rsidRPr="00465E6C">
        <w:rPr>
          <w:sz w:val="20"/>
        </w:rPr>
        <w:t xml:space="preserve">,  graduate teaching assistant ($21,419) </w:t>
      </w:r>
      <w:hyperlink r:id="rId4" w:history="1">
        <w:r w:rsidRPr="00465E6C">
          <w:rPr>
            <w:rStyle w:val="Hyperlink"/>
            <w:sz w:val="20"/>
          </w:rPr>
          <w:t>http://www.payscale.com/research/US/Job=Graduate_Teaching_Assistant/Salary</w:t>
        </w:r>
      </w:hyperlink>
      <w:r w:rsidRPr="00465E6C">
        <w:rPr>
          <w:sz w:val="20"/>
        </w:rPr>
        <w:t xml:space="preserve">, and graduate assistant ($23,448) </w:t>
      </w:r>
      <w:hyperlink r:id="rId5" w:history="1">
        <w:r w:rsidRPr="00465E6C">
          <w:rPr>
            <w:rStyle w:val="Hyperlink"/>
            <w:sz w:val="20"/>
          </w:rPr>
          <w:t>http://www.payscale.com/research/US/Job=Graduate_Assistant/Salary</w:t>
        </w:r>
      </w:hyperlink>
      <w:r w:rsidRPr="00465E6C">
        <w:rPr>
          <w:sz w:val="20"/>
        </w:rPr>
        <w:t>.</w:t>
      </w:r>
    </w:p>
  </w:footnote>
  <w:footnote w:id="8">
    <w:p w:rsidR="00ED2852" w:rsidRPr="00465E6C" w:rsidRDefault="00ED2852" w:rsidP="00C5197F">
      <w:pPr>
        <w:pStyle w:val="FootnoteText"/>
        <w:spacing w:after="0"/>
        <w:ind w:firstLine="360"/>
        <w:rPr>
          <w:rStyle w:val="Footnote"/>
        </w:rPr>
      </w:pPr>
      <w:r w:rsidRPr="00465E6C">
        <w:rPr>
          <w:rStyle w:val="FootnoteReference"/>
          <w:sz w:val="20"/>
        </w:rPr>
        <w:footnoteRef/>
      </w:r>
      <w:r w:rsidRPr="00465E6C">
        <w:rPr>
          <w:sz w:val="20"/>
        </w:rPr>
        <w:t xml:space="preserve"> </w:t>
      </w:r>
      <w:r w:rsidRPr="00465E6C">
        <w:rPr>
          <w:rStyle w:val="Footnote"/>
        </w:rPr>
        <w:t>We calculate</w:t>
      </w:r>
      <w:r w:rsidRPr="00465E6C">
        <w:rPr>
          <w:sz w:val="20"/>
        </w:rPr>
        <w:t xml:space="preserve"> the hourly rate by dividing the annual salary by 2080 hours.</w:t>
      </w:r>
    </w:p>
  </w:footnote>
  <w:footnote w:id="9">
    <w:p w:rsidR="00D446A6" w:rsidRPr="00465E6C" w:rsidRDefault="00D446A6" w:rsidP="00C5197F">
      <w:pPr>
        <w:pStyle w:val="FootnoteText"/>
        <w:spacing w:after="0"/>
        <w:ind w:firstLine="360"/>
        <w:rPr>
          <w:sz w:val="20"/>
        </w:rPr>
      </w:pPr>
      <w:r w:rsidRPr="00465E6C">
        <w:rPr>
          <w:rStyle w:val="FootnoteReference"/>
          <w:sz w:val="20"/>
        </w:rPr>
        <w:footnoteRef/>
      </w:r>
      <w:r w:rsidRPr="00465E6C">
        <w:rPr>
          <w:sz w:val="20"/>
        </w:rPr>
        <w:t xml:space="preserve"> </w:t>
      </w:r>
      <w:proofErr w:type="gramStart"/>
      <w:r w:rsidRPr="00465E6C">
        <w:rPr>
          <w:sz w:val="20"/>
        </w:rPr>
        <w:t>Presuming one paid graduate student and one unpaid undergraduate student.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0126"/>
    <w:multiLevelType w:val="hybridMultilevel"/>
    <w:tmpl w:val="96746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567AAC"/>
    <w:multiLevelType w:val="hybridMultilevel"/>
    <w:tmpl w:val="F63C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445A3"/>
    <w:multiLevelType w:val="hybridMultilevel"/>
    <w:tmpl w:val="400C89D4"/>
    <w:lvl w:ilvl="0" w:tplc="1D5EE5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63D7875"/>
    <w:multiLevelType w:val="hybridMultilevel"/>
    <w:tmpl w:val="BB0AFF46"/>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5">
    <w:nsid w:val="65BC189D"/>
    <w:multiLevelType w:val="multilevel"/>
    <w:tmpl w:val="63F882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7D807A68"/>
    <w:multiLevelType w:val="hybridMultilevel"/>
    <w:tmpl w:val="569A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C7"/>
    <w:rsid w:val="00003BB2"/>
    <w:rsid w:val="00005C6F"/>
    <w:rsid w:val="000065FB"/>
    <w:rsid w:val="0001329A"/>
    <w:rsid w:val="000171D7"/>
    <w:rsid w:val="00023E9A"/>
    <w:rsid w:val="00027B66"/>
    <w:rsid w:val="000371CC"/>
    <w:rsid w:val="00042DC7"/>
    <w:rsid w:val="00054F6A"/>
    <w:rsid w:val="00055E93"/>
    <w:rsid w:val="000648EF"/>
    <w:rsid w:val="00067870"/>
    <w:rsid w:val="0007748E"/>
    <w:rsid w:val="00095045"/>
    <w:rsid w:val="00096C06"/>
    <w:rsid w:val="00096C45"/>
    <w:rsid w:val="000B3AD1"/>
    <w:rsid w:val="000B6EB5"/>
    <w:rsid w:val="000C326C"/>
    <w:rsid w:val="000C549B"/>
    <w:rsid w:val="000C68FF"/>
    <w:rsid w:val="000D4905"/>
    <w:rsid w:val="000D682C"/>
    <w:rsid w:val="000E74BA"/>
    <w:rsid w:val="000E7700"/>
    <w:rsid w:val="000F0369"/>
    <w:rsid w:val="000F0C17"/>
    <w:rsid w:val="000F5B86"/>
    <w:rsid w:val="00103B3E"/>
    <w:rsid w:val="001103F0"/>
    <w:rsid w:val="00115AA3"/>
    <w:rsid w:val="00131FB9"/>
    <w:rsid w:val="00134303"/>
    <w:rsid w:val="00141ADE"/>
    <w:rsid w:val="0015408F"/>
    <w:rsid w:val="00160577"/>
    <w:rsid w:val="00162AF3"/>
    <w:rsid w:val="0016586E"/>
    <w:rsid w:val="001671F4"/>
    <w:rsid w:val="001809AB"/>
    <w:rsid w:val="00184C67"/>
    <w:rsid w:val="00190FDB"/>
    <w:rsid w:val="001931C4"/>
    <w:rsid w:val="001B0FFC"/>
    <w:rsid w:val="001B72A7"/>
    <w:rsid w:val="001D2871"/>
    <w:rsid w:val="001F0FF6"/>
    <w:rsid w:val="00200A60"/>
    <w:rsid w:val="0021028E"/>
    <w:rsid w:val="00212DDA"/>
    <w:rsid w:val="00226FC1"/>
    <w:rsid w:val="002305B7"/>
    <w:rsid w:val="002469D3"/>
    <w:rsid w:val="002550DD"/>
    <w:rsid w:val="00264A50"/>
    <w:rsid w:val="0027665F"/>
    <w:rsid w:val="00293C59"/>
    <w:rsid w:val="00297411"/>
    <w:rsid w:val="002A4B76"/>
    <w:rsid w:val="002A62AB"/>
    <w:rsid w:val="002A78D7"/>
    <w:rsid w:val="002B39B3"/>
    <w:rsid w:val="002B619E"/>
    <w:rsid w:val="002B68B1"/>
    <w:rsid w:val="002C14B7"/>
    <w:rsid w:val="002C6B36"/>
    <w:rsid w:val="002D233F"/>
    <w:rsid w:val="002D65FF"/>
    <w:rsid w:val="002E0CD8"/>
    <w:rsid w:val="002F6F4B"/>
    <w:rsid w:val="003013F5"/>
    <w:rsid w:val="00302B9B"/>
    <w:rsid w:val="00307CA7"/>
    <w:rsid w:val="00332BF5"/>
    <w:rsid w:val="003419E4"/>
    <w:rsid w:val="00347A64"/>
    <w:rsid w:val="00357A91"/>
    <w:rsid w:val="00360255"/>
    <w:rsid w:val="0036286A"/>
    <w:rsid w:val="0037612B"/>
    <w:rsid w:val="003840E0"/>
    <w:rsid w:val="003906F0"/>
    <w:rsid w:val="00395F45"/>
    <w:rsid w:val="003B41B7"/>
    <w:rsid w:val="003B6ED0"/>
    <w:rsid w:val="003B7595"/>
    <w:rsid w:val="003C3624"/>
    <w:rsid w:val="003D447E"/>
    <w:rsid w:val="003F1AC3"/>
    <w:rsid w:val="003F642F"/>
    <w:rsid w:val="00400FA2"/>
    <w:rsid w:val="00411205"/>
    <w:rsid w:val="00417311"/>
    <w:rsid w:val="00426B71"/>
    <w:rsid w:val="004330C8"/>
    <w:rsid w:val="004378F9"/>
    <w:rsid w:val="00442CC7"/>
    <w:rsid w:val="00446360"/>
    <w:rsid w:val="00461066"/>
    <w:rsid w:val="00465E6C"/>
    <w:rsid w:val="00467730"/>
    <w:rsid w:val="00471BC3"/>
    <w:rsid w:val="0047437E"/>
    <w:rsid w:val="00483E2B"/>
    <w:rsid w:val="004849AB"/>
    <w:rsid w:val="00486228"/>
    <w:rsid w:val="004A20D2"/>
    <w:rsid w:val="004B20C8"/>
    <w:rsid w:val="004B3140"/>
    <w:rsid w:val="004B664D"/>
    <w:rsid w:val="004C1386"/>
    <w:rsid w:val="004C5A74"/>
    <w:rsid w:val="004D5D10"/>
    <w:rsid w:val="004E659C"/>
    <w:rsid w:val="004F00E7"/>
    <w:rsid w:val="004F1BDE"/>
    <w:rsid w:val="004F3C3C"/>
    <w:rsid w:val="00505F1D"/>
    <w:rsid w:val="00506C8A"/>
    <w:rsid w:val="00513B87"/>
    <w:rsid w:val="00527F9D"/>
    <w:rsid w:val="00531F23"/>
    <w:rsid w:val="00541891"/>
    <w:rsid w:val="00547C55"/>
    <w:rsid w:val="00556D31"/>
    <w:rsid w:val="00563A34"/>
    <w:rsid w:val="00563B34"/>
    <w:rsid w:val="00576E66"/>
    <w:rsid w:val="005846F1"/>
    <w:rsid w:val="005879AE"/>
    <w:rsid w:val="005B6BD3"/>
    <w:rsid w:val="005C3661"/>
    <w:rsid w:val="005E1308"/>
    <w:rsid w:val="005E4EB3"/>
    <w:rsid w:val="005E584A"/>
    <w:rsid w:val="005F5DFA"/>
    <w:rsid w:val="00600EF1"/>
    <w:rsid w:val="006108DD"/>
    <w:rsid w:val="00651131"/>
    <w:rsid w:val="006533D4"/>
    <w:rsid w:val="006666B7"/>
    <w:rsid w:val="00666B51"/>
    <w:rsid w:val="00671D31"/>
    <w:rsid w:val="00676B3C"/>
    <w:rsid w:val="006C0A96"/>
    <w:rsid w:val="006C3615"/>
    <w:rsid w:val="006C59F2"/>
    <w:rsid w:val="006C6F71"/>
    <w:rsid w:val="006D439C"/>
    <w:rsid w:val="006E4AE9"/>
    <w:rsid w:val="00723ED1"/>
    <w:rsid w:val="007400AC"/>
    <w:rsid w:val="00757DF1"/>
    <w:rsid w:val="00777C4E"/>
    <w:rsid w:val="00781E46"/>
    <w:rsid w:val="007C36F7"/>
    <w:rsid w:val="007C4FC8"/>
    <w:rsid w:val="007D1F38"/>
    <w:rsid w:val="007D5C95"/>
    <w:rsid w:val="007E0277"/>
    <w:rsid w:val="00801E95"/>
    <w:rsid w:val="0080308E"/>
    <w:rsid w:val="0080358F"/>
    <w:rsid w:val="00811A9F"/>
    <w:rsid w:val="0081376E"/>
    <w:rsid w:val="0082303C"/>
    <w:rsid w:val="00835E75"/>
    <w:rsid w:val="00840B19"/>
    <w:rsid w:val="0084133B"/>
    <w:rsid w:val="0084230F"/>
    <w:rsid w:val="00850D11"/>
    <w:rsid w:val="00853AC0"/>
    <w:rsid w:val="0085633B"/>
    <w:rsid w:val="00861E7D"/>
    <w:rsid w:val="00870F45"/>
    <w:rsid w:val="00884BF3"/>
    <w:rsid w:val="008949FD"/>
    <w:rsid w:val="008B0088"/>
    <w:rsid w:val="008B7581"/>
    <w:rsid w:val="008C541A"/>
    <w:rsid w:val="008D2E86"/>
    <w:rsid w:val="008F082E"/>
    <w:rsid w:val="008F26FB"/>
    <w:rsid w:val="008F2989"/>
    <w:rsid w:val="00900933"/>
    <w:rsid w:val="00907D8E"/>
    <w:rsid w:val="0091132E"/>
    <w:rsid w:val="009138F3"/>
    <w:rsid w:val="0091710E"/>
    <w:rsid w:val="00925D5A"/>
    <w:rsid w:val="00926C43"/>
    <w:rsid w:val="00927C8E"/>
    <w:rsid w:val="00934ECE"/>
    <w:rsid w:val="00937333"/>
    <w:rsid w:val="00940C02"/>
    <w:rsid w:val="00947A46"/>
    <w:rsid w:val="00952483"/>
    <w:rsid w:val="00964D47"/>
    <w:rsid w:val="009714EE"/>
    <w:rsid w:val="00972045"/>
    <w:rsid w:val="00977E8D"/>
    <w:rsid w:val="00981FD2"/>
    <w:rsid w:val="0098794F"/>
    <w:rsid w:val="00990735"/>
    <w:rsid w:val="0099474E"/>
    <w:rsid w:val="00994FE6"/>
    <w:rsid w:val="009A09C9"/>
    <w:rsid w:val="009A4144"/>
    <w:rsid w:val="009B04FE"/>
    <w:rsid w:val="009C060F"/>
    <w:rsid w:val="009C0739"/>
    <w:rsid w:val="009C6A7A"/>
    <w:rsid w:val="009C6FEF"/>
    <w:rsid w:val="009D2146"/>
    <w:rsid w:val="009E49E5"/>
    <w:rsid w:val="009F0A9B"/>
    <w:rsid w:val="00A02DBC"/>
    <w:rsid w:val="00A06B4C"/>
    <w:rsid w:val="00A25291"/>
    <w:rsid w:val="00A261DE"/>
    <w:rsid w:val="00A3786D"/>
    <w:rsid w:val="00A40B98"/>
    <w:rsid w:val="00A44C41"/>
    <w:rsid w:val="00A52A29"/>
    <w:rsid w:val="00A536C7"/>
    <w:rsid w:val="00A7084A"/>
    <w:rsid w:val="00A71523"/>
    <w:rsid w:val="00A81373"/>
    <w:rsid w:val="00AB012F"/>
    <w:rsid w:val="00AC02F5"/>
    <w:rsid w:val="00AD19DA"/>
    <w:rsid w:val="00AD4CB2"/>
    <w:rsid w:val="00AE3F6F"/>
    <w:rsid w:val="00AF1DA2"/>
    <w:rsid w:val="00B01478"/>
    <w:rsid w:val="00B13F54"/>
    <w:rsid w:val="00B23949"/>
    <w:rsid w:val="00B27F95"/>
    <w:rsid w:val="00B442AF"/>
    <w:rsid w:val="00B554B3"/>
    <w:rsid w:val="00B7659F"/>
    <w:rsid w:val="00B8481E"/>
    <w:rsid w:val="00B92A68"/>
    <w:rsid w:val="00BA140B"/>
    <w:rsid w:val="00BA31BD"/>
    <w:rsid w:val="00BA7A40"/>
    <w:rsid w:val="00BB14E1"/>
    <w:rsid w:val="00BB7F0F"/>
    <w:rsid w:val="00BC17D7"/>
    <w:rsid w:val="00BC7298"/>
    <w:rsid w:val="00BC7D9D"/>
    <w:rsid w:val="00BD3719"/>
    <w:rsid w:val="00BE319A"/>
    <w:rsid w:val="00BF15AF"/>
    <w:rsid w:val="00C33ADA"/>
    <w:rsid w:val="00C415C8"/>
    <w:rsid w:val="00C429C5"/>
    <w:rsid w:val="00C43BC1"/>
    <w:rsid w:val="00C5197F"/>
    <w:rsid w:val="00C622D3"/>
    <w:rsid w:val="00C7199F"/>
    <w:rsid w:val="00C80D5D"/>
    <w:rsid w:val="00C8469D"/>
    <w:rsid w:val="00C84975"/>
    <w:rsid w:val="00CA7A44"/>
    <w:rsid w:val="00CB6DBC"/>
    <w:rsid w:val="00CE2BD5"/>
    <w:rsid w:val="00CF2E4D"/>
    <w:rsid w:val="00CF4BCF"/>
    <w:rsid w:val="00D11ECD"/>
    <w:rsid w:val="00D177B5"/>
    <w:rsid w:val="00D21F68"/>
    <w:rsid w:val="00D3072A"/>
    <w:rsid w:val="00D30C26"/>
    <w:rsid w:val="00D32303"/>
    <w:rsid w:val="00D32AD4"/>
    <w:rsid w:val="00D37944"/>
    <w:rsid w:val="00D446A6"/>
    <w:rsid w:val="00D45B41"/>
    <w:rsid w:val="00D60DB5"/>
    <w:rsid w:val="00D618AF"/>
    <w:rsid w:val="00D64CBF"/>
    <w:rsid w:val="00D703B5"/>
    <w:rsid w:val="00DA17C9"/>
    <w:rsid w:val="00DA180A"/>
    <w:rsid w:val="00DA4831"/>
    <w:rsid w:val="00DB44C6"/>
    <w:rsid w:val="00DB4738"/>
    <w:rsid w:val="00DC406C"/>
    <w:rsid w:val="00DD74C1"/>
    <w:rsid w:val="00DE26D8"/>
    <w:rsid w:val="00DE56CD"/>
    <w:rsid w:val="00DE66D7"/>
    <w:rsid w:val="00DF1FBD"/>
    <w:rsid w:val="00E044DA"/>
    <w:rsid w:val="00E05C62"/>
    <w:rsid w:val="00E112C2"/>
    <w:rsid w:val="00E15C01"/>
    <w:rsid w:val="00E21AA7"/>
    <w:rsid w:val="00E3096A"/>
    <w:rsid w:val="00E32C3A"/>
    <w:rsid w:val="00E32D43"/>
    <w:rsid w:val="00E3691D"/>
    <w:rsid w:val="00E43132"/>
    <w:rsid w:val="00E51D12"/>
    <w:rsid w:val="00E52B71"/>
    <w:rsid w:val="00E6199B"/>
    <w:rsid w:val="00E647FA"/>
    <w:rsid w:val="00E671BD"/>
    <w:rsid w:val="00EA53BA"/>
    <w:rsid w:val="00EB1778"/>
    <w:rsid w:val="00EB67F3"/>
    <w:rsid w:val="00EC4F43"/>
    <w:rsid w:val="00ED0D67"/>
    <w:rsid w:val="00ED2852"/>
    <w:rsid w:val="00EE0DAA"/>
    <w:rsid w:val="00EE1B22"/>
    <w:rsid w:val="00EE4A89"/>
    <w:rsid w:val="00EF5605"/>
    <w:rsid w:val="00EF7AF2"/>
    <w:rsid w:val="00F01621"/>
    <w:rsid w:val="00F0420B"/>
    <w:rsid w:val="00F06745"/>
    <w:rsid w:val="00F10272"/>
    <w:rsid w:val="00F1394F"/>
    <w:rsid w:val="00F313EE"/>
    <w:rsid w:val="00F31ED8"/>
    <w:rsid w:val="00F350EF"/>
    <w:rsid w:val="00F35801"/>
    <w:rsid w:val="00F41873"/>
    <w:rsid w:val="00F41BBB"/>
    <w:rsid w:val="00F52B95"/>
    <w:rsid w:val="00F55D15"/>
    <w:rsid w:val="00F7745B"/>
    <w:rsid w:val="00F8377C"/>
    <w:rsid w:val="00F84374"/>
    <w:rsid w:val="00F9240D"/>
    <w:rsid w:val="00FA6A33"/>
    <w:rsid w:val="00FB0D33"/>
    <w:rsid w:val="00FB1A77"/>
    <w:rsid w:val="00FB7701"/>
    <w:rsid w:val="00FC4F95"/>
    <w:rsid w:val="00FC53D9"/>
    <w:rsid w:val="00FD4385"/>
    <w:rsid w:val="00FD5FB7"/>
    <w:rsid w:val="00FE1090"/>
    <w:rsid w:val="00FE1504"/>
    <w:rsid w:val="00FE36A9"/>
    <w:rsid w:val="00FE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B95"/>
    <w:pPr>
      <w:widowControl w:val="0"/>
      <w:spacing w:after="120"/>
      <w:ind w:firstLine="720"/>
    </w:pPr>
    <w:rPr>
      <w:rFonts w:ascii="Century Schoolbook" w:hAnsi="Century Schoolbook"/>
      <w:snapToGrid w:val="0"/>
      <w:sz w:val="24"/>
    </w:rPr>
  </w:style>
  <w:style w:type="paragraph" w:styleId="Heading1">
    <w:name w:val="heading 1"/>
    <w:basedOn w:val="Normal"/>
    <w:next w:val="Normal"/>
    <w:autoRedefine/>
    <w:qFormat/>
    <w:rsid w:val="00F52B95"/>
    <w:pPr>
      <w:keepNext/>
      <w:spacing w:before="240"/>
      <w:outlineLvl w:val="0"/>
    </w:pPr>
    <w:rPr>
      <w:b/>
      <w:szCs w:val="24"/>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Cs w:val="24"/>
    </w:rPr>
  </w:style>
  <w:style w:type="paragraph" w:styleId="FootnoteText">
    <w:name w:val="footnote text"/>
    <w:basedOn w:val="Normal"/>
    <w:link w:val="FootnoteTextChar"/>
    <w:uiPriority w:val="99"/>
    <w:semiHidden/>
    <w:rsid w:val="00E671BD"/>
    <w:pPr>
      <w:widowControl/>
    </w:pPr>
    <w:rPr>
      <w:snapToGrid/>
    </w:rPr>
  </w:style>
  <w:style w:type="character" w:customStyle="1" w:styleId="FootnoteTextChar">
    <w:name w:val="Footnote Text Char"/>
    <w:basedOn w:val="DefaultParagraphFont"/>
    <w:link w:val="FootnoteText"/>
    <w:uiPriority w:val="99"/>
    <w:semiHidden/>
    <w:rsid w:val="00E671BD"/>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character" w:styleId="FollowedHyperlink">
    <w:name w:val="FollowedHyperlink"/>
    <w:basedOn w:val="DefaultParagraphFont"/>
    <w:uiPriority w:val="99"/>
    <w:semiHidden/>
    <w:unhideWhenUsed/>
    <w:rsid w:val="00E43132"/>
    <w:rPr>
      <w:color w:val="800080" w:themeColor="followedHyperlink"/>
      <w:u w:val="single"/>
    </w:rPr>
  </w:style>
  <w:style w:type="character" w:customStyle="1" w:styleId="apple-converted-space">
    <w:name w:val="apple-converted-space"/>
    <w:basedOn w:val="DefaultParagraphFont"/>
    <w:rsid w:val="00E43132"/>
  </w:style>
  <w:style w:type="character" w:customStyle="1" w:styleId="Footnote">
    <w:name w:val="Footnote"/>
    <w:basedOn w:val="FootnoteReference"/>
    <w:qFormat/>
    <w:rsid w:val="001103F0"/>
    <w:rPr>
      <w:rFonts w:ascii="Century Schoolbook" w:hAnsi="Century Schoolbook" w:cs="Times New Roman"/>
      <w:dstrike w:val="0"/>
      <w:color w:val="auto"/>
      <w:sz w:val="20"/>
      <w:shd w:val="clear" w:color="auto" w:fill="FFFFFF"/>
      <w:vertAlign w:val="baseline"/>
    </w:rPr>
  </w:style>
  <w:style w:type="paragraph" w:styleId="NoSpacing">
    <w:name w:val="No Spacing"/>
    <w:uiPriority w:val="1"/>
    <w:qFormat/>
    <w:rsid w:val="0090093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B95"/>
    <w:pPr>
      <w:widowControl w:val="0"/>
      <w:spacing w:after="120"/>
      <w:ind w:firstLine="720"/>
    </w:pPr>
    <w:rPr>
      <w:rFonts w:ascii="Century Schoolbook" w:hAnsi="Century Schoolbook"/>
      <w:snapToGrid w:val="0"/>
      <w:sz w:val="24"/>
    </w:rPr>
  </w:style>
  <w:style w:type="paragraph" w:styleId="Heading1">
    <w:name w:val="heading 1"/>
    <w:basedOn w:val="Normal"/>
    <w:next w:val="Normal"/>
    <w:autoRedefine/>
    <w:qFormat/>
    <w:rsid w:val="00F52B95"/>
    <w:pPr>
      <w:keepNext/>
      <w:spacing w:before="240"/>
      <w:outlineLvl w:val="0"/>
    </w:pPr>
    <w:rPr>
      <w:b/>
      <w:szCs w:val="24"/>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Cs w:val="24"/>
    </w:rPr>
  </w:style>
  <w:style w:type="paragraph" w:styleId="FootnoteText">
    <w:name w:val="footnote text"/>
    <w:basedOn w:val="Normal"/>
    <w:link w:val="FootnoteTextChar"/>
    <w:uiPriority w:val="99"/>
    <w:semiHidden/>
    <w:rsid w:val="00E671BD"/>
    <w:pPr>
      <w:widowControl/>
    </w:pPr>
    <w:rPr>
      <w:snapToGrid/>
    </w:rPr>
  </w:style>
  <w:style w:type="character" w:customStyle="1" w:styleId="FootnoteTextChar">
    <w:name w:val="Footnote Text Char"/>
    <w:basedOn w:val="DefaultParagraphFont"/>
    <w:link w:val="FootnoteText"/>
    <w:uiPriority w:val="99"/>
    <w:semiHidden/>
    <w:rsid w:val="00E671BD"/>
  </w:style>
  <w:style w:type="character" w:styleId="FootnoteReference">
    <w:name w:val="footnote reference"/>
    <w:basedOn w:val="DefaultParagraphFont"/>
    <w:uiPriority w:val="99"/>
    <w:semiHidden/>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character" w:styleId="FollowedHyperlink">
    <w:name w:val="FollowedHyperlink"/>
    <w:basedOn w:val="DefaultParagraphFont"/>
    <w:uiPriority w:val="99"/>
    <w:semiHidden/>
    <w:unhideWhenUsed/>
    <w:rsid w:val="00E43132"/>
    <w:rPr>
      <w:color w:val="800080" w:themeColor="followedHyperlink"/>
      <w:u w:val="single"/>
    </w:rPr>
  </w:style>
  <w:style w:type="character" w:customStyle="1" w:styleId="apple-converted-space">
    <w:name w:val="apple-converted-space"/>
    <w:basedOn w:val="DefaultParagraphFont"/>
    <w:rsid w:val="00E43132"/>
  </w:style>
  <w:style w:type="character" w:customStyle="1" w:styleId="Footnote">
    <w:name w:val="Footnote"/>
    <w:basedOn w:val="FootnoteReference"/>
    <w:qFormat/>
    <w:rsid w:val="001103F0"/>
    <w:rPr>
      <w:rFonts w:ascii="Century Schoolbook" w:hAnsi="Century Schoolbook" w:cs="Times New Roman"/>
      <w:dstrike w:val="0"/>
      <w:color w:val="auto"/>
      <w:sz w:val="20"/>
      <w:shd w:val="clear" w:color="auto" w:fill="FFFFFF"/>
      <w:vertAlign w:val="baseline"/>
    </w:rPr>
  </w:style>
  <w:style w:type="paragraph" w:styleId="NoSpacing">
    <w:name w:val="No Spacing"/>
    <w:uiPriority w:val="1"/>
    <w:qFormat/>
    <w:rsid w:val="009009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766">
      <w:bodyDiv w:val="1"/>
      <w:marLeft w:val="0"/>
      <w:marRight w:val="0"/>
      <w:marTop w:val="0"/>
      <w:marBottom w:val="0"/>
      <w:divBdr>
        <w:top w:val="none" w:sz="0" w:space="0" w:color="auto"/>
        <w:left w:val="none" w:sz="0" w:space="0" w:color="auto"/>
        <w:bottom w:val="none" w:sz="0" w:space="0" w:color="auto"/>
        <w:right w:val="none" w:sz="0" w:space="0" w:color="auto"/>
      </w:divBdr>
    </w:div>
    <w:div w:id="297417747">
      <w:bodyDiv w:val="1"/>
      <w:marLeft w:val="0"/>
      <w:marRight w:val="0"/>
      <w:marTop w:val="0"/>
      <w:marBottom w:val="0"/>
      <w:divBdr>
        <w:top w:val="none" w:sz="0" w:space="0" w:color="auto"/>
        <w:left w:val="none" w:sz="0" w:space="0" w:color="auto"/>
        <w:bottom w:val="none" w:sz="0" w:space="0" w:color="auto"/>
        <w:right w:val="none" w:sz="0" w:space="0" w:color="auto"/>
      </w:divBdr>
    </w:div>
    <w:div w:id="1563103935">
      <w:bodyDiv w:val="1"/>
      <w:marLeft w:val="0"/>
      <w:marRight w:val="0"/>
      <w:marTop w:val="0"/>
      <w:marBottom w:val="0"/>
      <w:divBdr>
        <w:top w:val="none" w:sz="0" w:space="0" w:color="auto"/>
        <w:left w:val="none" w:sz="0" w:space="0" w:color="auto"/>
        <w:bottom w:val="none" w:sz="0" w:space="0" w:color="auto"/>
        <w:right w:val="none" w:sz="0" w:space="0" w:color="auto"/>
      </w:divBdr>
    </w:div>
    <w:div w:id="17835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payscale.com/research/US/Job=Graduate_Research_Assistant_%28GRA%29/Salary" TargetMode="External"/><Relationship Id="rId2" Type="http://schemas.openxmlformats.org/officeDocument/2006/relationships/hyperlink" Target="http://www.payscale.com/research/US/Job=Postdoctoral_Research_Associate/Salary" TargetMode="External"/><Relationship Id="rId1" Type="http://schemas.openxmlformats.org/officeDocument/2006/relationships/hyperlink" Target="http://www.higheredjobs.com/salary/" TargetMode="External"/><Relationship Id="rId5" Type="http://schemas.openxmlformats.org/officeDocument/2006/relationships/hyperlink" Target="http://www.payscale.com/research/US/Job=Graduate_Assistant/Salary" TargetMode="External"/><Relationship Id="rId4" Type="http://schemas.openxmlformats.org/officeDocument/2006/relationships/hyperlink" Target="http://www.payscale.com/research/US/Job=Graduate_Teaching_Assistant/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8385-0B46-4239-961D-9005A930F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3437</Words>
  <Characters>19596</Characters>
  <Application>Microsoft Office Word</Application>
  <DocSecurity>4</DocSecurity>
  <Lines>163</Lines>
  <Paragraphs>45</Paragraphs>
  <ScaleCrop>false</ScaleCrop>
  <HeadingPairs>
    <vt:vector size="2" baseType="variant">
      <vt:variant>
        <vt:lpstr>Title</vt:lpstr>
      </vt:variant>
      <vt:variant>
        <vt:i4>1</vt:i4>
      </vt:variant>
    </vt:vector>
  </HeadingPairs>
  <TitlesOfParts>
    <vt:vector size="1" baseType="lpstr">
      <vt:lpstr>How To Prepare a Request For OMB Review</vt:lpstr>
    </vt:vector>
  </TitlesOfParts>
  <Company>OIT/NIH</Company>
  <LinksUpToDate>false</LinksUpToDate>
  <CharactersWithSpaces>22988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 Request For OMB Review</dc:title>
  <dc:subject>How To Prepare a Request For OMB Review</dc:subject>
  <dc:creator>BrierlyE</dc:creator>
  <cp:keywords>How To Prepare a Request For OMB Review</cp:keywords>
  <cp:lastModifiedBy>Plimpton, Suzanne H.</cp:lastModifiedBy>
  <cp:revision>2</cp:revision>
  <cp:lastPrinted>2012-10-22T19:56:00Z</cp:lastPrinted>
  <dcterms:created xsi:type="dcterms:W3CDTF">2013-05-28T15:02:00Z</dcterms:created>
  <dcterms:modified xsi:type="dcterms:W3CDTF">2013-05-28T15:02:00Z</dcterms:modified>
</cp:coreProperties>
</file>