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Default="009E3D48" w:rsidP="009E3D48">
      <w:pPr>
        <w:jc w:val="center"/>
        <w:rPr>
          <w:b/>
          <w:bCs/>
          <w:szCs w:val="24"/>
        </w:rPr>
      </w:pPr>
      <w:r w:rsidRPr="009E3D48">
        <w:rPr>
          <w:b/>
          <w:bCs/>
          <w:szCs w:val="24"/>
        </w:rPr>
        <w:t>SUPPORTING STATEMENT</w:t>
      </w:r>
    </w:p>
    <w:p w:rsidR="009E3D48" w:rsidRDefault="009E3D48" w:rsidP="009E3D48">
      <w:pPr>
        <w:jc w:val="center"/>
        <w:rPr>
          <w:b/>
          <w:bCs/>
          <w:szCs w:val="24"/>
        </w:rPr>
      </w:pPr>
      <w:r>
        <w:rPr>
          <w:b/>
          <w:bCs/>
          <w:szCs w:val="24"/>
        </w:rPr>
        <w:t>Health Insurance Premium Tax Credit</w:t>
      </w:r>
    </w:p>
    <w:p w:rsidR="009E3D48" w:rsidRDefault="009E3D48" w:rsidP="009E3D48">
      <w:pPr>
        <w:jc w:val="center"/>
        <w:rPr>
          <w:b/>
          <w:bCs/>
          <w:szCs w:val="24"/>
        </w:rPr>
      </w:pPr>
      <w:r>
        <w:rPr>
          <w:b/>
          <w:bCs/>
          <w:szCs w:val="24"/>
        </w:rPr>
        <w:t>TD 9590</w:t>
      </w:r>
    </w:p>
    <w:p w:rsidR="009E3D48" w:rsidRDefault="009E3D48" w:rsidP="009E3D48">
      <w:pPr>
        <w:rPr>
          <w:b/>
          <w:bCs/>
          <w:szCs w:val="24"/>
        </w:rPr>
      </w:pPr>
    </w:p>
    <w:p w:rsidR="009E3D48" w:rsidRPr="009E3D48" w:rsidRDefault="009E3D48" w:rsidP="009E3D48">
      <w:pPr>
        <w:rPr>
          <w:b/>
          <w:bCs/>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CIRCUMSTANCES NECESSITATING COLLECTION OF INFORMATION </w:t>
      </w:r>
    </w:p>
    <w:p w:rsidR="009E3D48" w:rsidRDefault="009E3D48" w:rsidP="009E3D48">
      <w:pPr>
        <w:tabs>
          <w:tab w:val="left" w:pos="540"/>
        </w:tabs>
        <w:ind w:left="540" w:hanging="540"/>
        <w:rPr>
          <w:szCs w:val="24"/>
        </w:rPr>
      </w:pPr>
    </w:p>
    <w:p w:rsidR="00DB3926" w:rsidRDefault="009E3D48" w:rsidP="009E3D48">
      <w:pPr>
        <w:tabs>
          <w:tab w:val="left" w:pos="540"/>
        </w:tabs>
        <w:ind w:left="540" w:hanging="540"/>
        <w:rPr>
          <w:szCs w:val="24"/>
        </w:rPr>
      </w:pPr>
      <w:r>
        <w:rPr>
          <w:szCs w:val="24"/>
        </w:rPr>
        <w:tab/>
      </w:r>
      <w:r w:rsidRPr="009E3D48">
        <w:rPr>
          <w:szCs w:val="24"/>
        </w:rPr>
        <w:t xml:space="preserve">Beginning in 2014, under the Patient Protection and Affordable Care Act, Public Law </w:t>
      </w:r>
    </w:p>
    <w:p w:rsidR="00CB358B" w:rsidRDefault="00DB3926" w:rsidP="00CB358B">
      <w:pPr>
        <w:tabs>
          <w:tab w:val="left" w:pos="540"/>
        </w:tabs>
        <w:ind w:left="540" w:hanging="540"/>
        <w:rPr>
          <w:szCs w:val="24"/>
        </w:rPr>
      </w:pPr>
      <w:r>
        <w:rPr>
          <w:szCs w:val="24"/>
        </w:rPr>
        <w:tab/>
      </w:r>
      <w:r w:rsidR="009E3D48" w:rsidRPr="009E3D48">
        <w:rPr>
          <w:szCs w:val="24"/>
        </w:rPr>
        <w:t xml:space="preserve">111-148, and the Health Care and Education Reconciliation Act, Public Law 111-152, states will establish exchanges to facilitate enrollment in qualified health plans by individuals.  Eligible individuals may claim a premium tax credit on their tax returns that will pay part of the premiums for health plans.  In many cases exchanges will approve monthly advance payments of the credit to insurance companies.  Section 36B(f)(3) of the Internal Revenue Code requires exchanges to report information concerning individuals enrolling in qualified health plans that will assist the individuals to properly complete their tax returns and assist the Internal Revenue Service to determine a taxpayer's eligibility for the premium tax credit and the correct amount of the credit. </w:t>
      </w:r>
      <w:bookmarkStart w:id="0" w:name="_GoBack"/>
      <w:bookmarkEnd w:id="0"/>
      <w:r w:rsidR="009E3D48" w:rsidRPr="009E3D48">
        <w:rPr>
          <w:szCs w:val="24"/>
        </w:rPr>
        <w:t xml:space="preserve"> </w:t>
      </w:r>
    </w:p>
    <w:p w:rsidR="00F972DB" w:rsidRDefault="00F972DB" w:rsidP="00CB358B">
      <w:pPr>
        <w:tabs>
          <w:tab w:val="left" w:pos="540"/>
        </w:tabs>
        <w:ind w:left="540" w:hanging="540"/>
        <w:rPr>
          <w:szCs w:val="24"/>
        </w:rPr>
      </w:pPr>
      <w:r>
        <w:rPr>
          <w:szCs w:val="24"/>
        </w:rPr>
        <w:tab/>
      </w:r>
    </w:p>
    <w:p w:rsidR="00F972DB" w:rsidRPr="00F972DB" w:rsidRDefault="00F972DB" w:rsidP="00F972DB">
      <w:pPr>
        <w:tabs>
          <w:tab w:val="left" w:pos="540"/>
        </w:tabs>
        <w:ind w:left="540" w:hanging="540"/>
        <w:rPr>
          <w:szCs w:val="24"/>
        </w:rPr>
      </w:pPr>
      <w:r>
        <w:rPr>
          <w:szCs w:val="24"/>
        </w:rPr>
        <w:tab/>
      </w:r>
      <w:r w:rsidRPr="00F972DB">
        <w:rPr>
          <w:b/>
          <w:bCs/>
          <w:szCs w:val="24"/>
        </w:rPr>
        <w:t>(a) Information required to be reported.</w:t>
      </w:r>
      <w:r w:rsidRPr="00F972DB">
        <w:rPr>
          <w:szCs w:val="24"/>
        </w:rPr>
        <w:t xml:space="preserve"> An Exchange must report to the Internal Revenue Service and each taxpayer the following information for the qualified health plan or plans in which the taxpayer or a member of the taxpayer's family enrolls through the Exchange--</w:t>
      </w:r>
    </w:p>
    <w:p w:rsidR="00F972DB" w:rsidRPr="00F972DB" w:rsidRDefault="00F972DB" w:rsidP="00F972DB">
      <w:pPr>
        <w:tabs>
          <w:tab w:val="left" w:pos="540"/>
        </w:tabs>
        <w:ind w:left="540" w:hanging="540"/>
        <w:rPr>
          <w:szCs w:val="24"/>
        </w:rPr>
      </w:pPr>
      <w:bookmarkStart w:id="1" w:name="I8B616AC1A4EC11E1ABF4D15937BEFBBA"/>
      <w:bookmarkStart w:id="2" w:name="I8B5C1393A4EC11E1ABF4D15937BEFBBA"/>
      <w:bookmarkEnd w:id="1"/>
      <w:bookmarkEnd w:id="2"/>
    </w:p>
    <w:p w:rsidR="00F972DB" w:rsidRPr="00F972DB" w:rsidRDefault="00F972DB" w:rsidP="00F972DB">
      <w:pPr>
        <w:tabs>
          <w:tab w:val="left" w:pos="540"/>
        </w:tabs>
        <w:ind w:left="1080" w:hanging="540"/>
        <w:rPr>
          <w:szCs w:val="24"/>
        </w:rPr>
      </w:pPr>
      <w:bookmarkStart w:id="3" w:name="SP;7b9b000044381"/>
      <w:bookmarkEnd w:id="3"/>
      <w:r w:rsidRPr="00F972DB">
        <w:rPr>
          <w:b/>
          <w:bCs/>
          <w:szCs w:val="24"/>
        </w:rPr>
        <w:t>(1)</w:t>
      </w:r>
      <w:r w:rsidRPr="00F972DB">
        <w:rPr>
          <w:szCs w:val="24"/>
        </w:rPr>
        <w:t xml:space="preserve"> The premium for the applicable benchmark plans used to compute advance credit payments and the period coverage was in effect; </w:t>
      </w:r>
    </w:p>
    <w:p w:rsidR="00F972DB" w:rsidRPr="00F972DB" w:rsidRDefault="00F972DB" w:rsidP="00F972DB">
      <w:pPr>
        <w:tabs>
          <w:tab w:val="left" w:pos="540"/>
        </w:tabs>
        <w:ind w:left="1080" w:hanging="540"/>
        <w:rPr>
          <w:szCs w:val="24"/>
        </w:rPr>
      </w:pPr>
      <w:bookmarkStart w:id="4" w:name="I8B616AC2A4EC11E1ABF4D15937BEFBBA"/>
      <w:bookmarkStart w:id="5" w:name="I8B5C1394A4EC11E1ABF4D15937BEFBBA"/>
      <w:bookmarkEnd w:id="4"/>
      <w:bookmarkEnd w:id="5"/>
    </w:p>
    <w:p w:rsidR="00F972DB" w:rsidRPr="00F972DB" w:rsidRDefault="00F972DB" w:rsidP="00F972DB">
      <w:pPr>
        <w:tabs>
          <w:tab w:val="left" w:pos="540"/>
        </w:tabs>
        <w:ind w:left="1080" w:hanging="540"/>
        <w:rPr>
          <w:szCs w:val="24"/>
        </w:rPr>
      </w:pPr>
      <w:bookmarkStart w:id="6" w:name="SP;d86d0000be040"/>
      <w:bookmarkEnd w:id="6"/>
      <w:r w:rsidRPr="00F972DB">
        <w:rPr>
          <w:b/>
          <w:bCs/>
          <w:szCs w:val="24"/>
        </w:rPr>
        <w:t>(2)</w:t>
      </w:r>
      <w:r w:rsidRPr="00F972DB">
        <w:rPr>
          <w:szCs w:val="24"/>
        </w:rPr>
        <w:t xml:space="preserve"> The total premium for the coverage in which the taxpayer or family member enrolls without reduction for advance credit payments; </w:t>
      </w:r>
    </w:p>
    <w:p w:rsidR="00F972DB" w:rsidRPr="00F972DB" w:rsidRDefault="00F972DB" w:rsidP="00F972DB">
      <w:pPr>
        <w:tabs>
          <w:tab w:val="left" w:pos="540"/>
        </w:tabs>
        <w:ind w:left="1080" w:hanging="540"/>
        <w:rPr>
          <w:szCs w:val="24"/>
        </w:rPr>
      </w:pPr>
      <w:bookmarkStart w:id="7" w:name="I8B616AC3A4EC11E1ABF4D15937BEFBBA"/>
      <w:bookmarkStart w:id="8" w:name="I8B5C1395A4EC11E1ABF4D15937BEFBBA"/>
      <w:bookmarkEnd w:id="7"/>
      <w:bookmarkEnd w:id="8"/>
    </w:p>
    <w:p w:rsidR="00F972DB" w:rsidRPr="00F972DB" w:rsidRDefault="00F972DB" w:rsidP="00F972DB">
      <w:pPr>
        <w:tabs>
          <w:tab w:val="left" w:pos="540"/>
        </w:tabs>
        <w:ind w:left="1080" w:hanging="540"/>
        <w:rPr>
          <w:szCs w:val="24"/>
        </w:rPr>
      </w:pPr>
      <w:bookmarkStart w:id="9" w:name="SP;28cc0000ccca6"/>
      <w:bookmarkEnd w:id="9"/>
      <w:r w:rsidRPr="00F972DB">
        <w:rPr>
          <w:b/>
          <w:bCs/>
          <w:szCs w:val="24"/>
        </w:rPr>
        <w:t>(3)</w:t>
      </w:r>
      <w:r w:rsidRPr="00F972DB">
        <w:rPr>
          <w:szCs w:val="24"/>
        </w:rPr>
        <w:t xml:space="preserve"> The aggregate amount of any advance credit payments; </w:t>
      </w:r>
    </w:p>
    <w:p w:rsidR="00F972DB" w:rsidRPr="00F972DB" w:rsidRDefault="00F972DB" w:rsidP="00F972DB">
      <w:pPr>
        <w:tabs>
          <w:tab w:val="left" w:pos="540"/>
        </w:tabs>
        <w:ind w:left="1080" w:hanging="540"/>
        <w:rPr>
          <w:szCs w:val="24"/>
        </w:rPr>
      </w:pPr>
      <w:bookmarkStart w:id="10" w:name="I8B6191D0A4EC11E1ABF4D15937BEFBBA"/>
      <w:bookmarkStart w:id="11" w:name="I8B5C1396A4EC11E1ABF4D15937BEFBBA"/>
      <w:bookmarkEnd w:id="10"/>
      <w:bookmarkEnd w:id="11"/>
    </w:p>
    <w:p w:rsidR="00F972DB" w:rsidRPr="00F972DB" w:rsidRDefault="00F972DB" w:rsidP="00F972DB">
      <w:pPr>
        <w:tabs>
          <w:tab w:val="left" w:pos="540"/>
        </w:tabs>
        <w:ind w:left="1080" w:hanging="540"/>
        <w:rPr>
          <w:szCs w:val="24"/>
        </w:rPr>
      </w:pPr>
      <w:bookmarkStart w:id="12" w:name="SP;d40e000072291"/>
      <w:bookmarkEnd w:id="12"/>
      <w:r w:rsidRPr="00F972DB">
        <w:rPr>
          <w:b/>
          <w:bCs/>
          <w:szCs w:val="24"/>
        </w:rPr>
        <w:t>(4)</w:t>
      </w:r>
      <w:r w:rsidRPr="00F972DB">
        <w:rPr>
          <w:szCs w:val="24"/>
        </w:rPr>
        <w:t xml:space="preserve"> The name, address and Social Security number (SSN) of the primary insured and the name and SSN or adoption taxpayer identification number of each other individual covered under the policy; </w:t>
      </w:r>
    </w:p>
    <w:p w:rsidR="00F972DB" w:rsidRPr="00F972DB" w:rsidRDefault="00F972DB" w:rsidP="00F972DB">
      <w:pPr>
        <w:tabs>
          <w:tab w:val="left" w:pos="540"/>
        </w:tabs>
        <w:ind w:left="1080" w:hanging="540"/>
        <w:rPr>
          <w:szCs w:val="24"/>
        </w:rPr>
      </w:pPr>
      <w:bookmarkStart w:id="13" w:name="I8B61B8E0A4EC11E1ABF4D15937BEFBBA"/>
      <w:bookmarkStart w:id="14" w:name="I8B5C1397A4EC11E1ABF4D15937BEFBBA"/>
      <w:bookmarkEnd w:id="13"/>
      <w:bookmarkEnd w:id="14"/>
    </w:p>
    <w:p w:rsidR="00F972DB" w:rsidRPr="00F972DB" w:rsidRDefault="00F972DB" w:rsidP="00F972DB">
      <w:pPr>
        <w:tabs>
          <w:tab w:val="left" w:pos="540"/>
        </w:tabs>
        <w:ind w:left="1080" w:hanging="540"/>
        <w:rPr>
          <w:szCs w:val="24"/>
        </w:rPr>
      </w:pPr>
      <w:bookmarkStart w:id="15" w:name="SP;488b0000d05e2"/>
      <w:bookmarkEnd w:id="15"/>
      <w:r w:rsidRPr="00F972DB">
        <w:rPr>
          <w:b/>
          <w:bCs/>
          <w:szCs w:val="24"/>
        </w:rPr>
        <w:t>(5)</w:t>
      </w:r>
      <w:r w:rsidRPr="00F972DB">
        <w:rPr>
          <w:szCs w:val="24"/>
        </w:rPr>
        <w:t xml:space="preserve"> All information provided to the Exchange at enrollment or during the taxable year, including any change in circumstances, necessary to determine eligibility for and the amount of the premium tax credit; </w:t>
      </w:r>
    </w:p>
    <w:p w:rsidR="00F972DB" w:rsidRPr="00F972DB" w:rsidRDefault="00F972DB" w:rsidP="00F972DB">
      <w:pPr>
        <w:tabs>
          <w:tab w:val="left" w:pos="540"/>
        </w:tabs>
        <w:ind w:left="1080" w:hanging="540"/>
        <w:rPr>
          <w:szCs w:val="24"/>
        </w:rPr>
      </w:pPr>
      <w:bookmarkStart w:id="16" w:name="I8B61B8E1A4EC11E1ABF4D15937BEFBBA"/>
      <w:bookmarkStart w:id="17" w:name="I8B5C1398A4EC11E1ABF4D15937BEFBBA"/>
      <w:bookmarkEnd w:id="16"/>
      <w:bookmarkEnd w:id="17"/>
    </w:p>
    <w:p w:rsidR="00F972DB" w:rsidRPr="00F972DB" w:rsidRDefault="00F972DB" w:rsidP="00F972DB">
      <w:pPr>
        <w:tabs>
          <w:tab w:val="left" w:pos="540"/>
        </w:tabs>
        <w:ind w:left="1080" w:hanging="540"/>
        <w:rPr>
          <w:szCs w:val="24"/>
        </w:rPr>
      </w:pPr>
      <w:bookmarkStart w:id="18" w:name="SP;1496000051ed7"/>
      <w:bookmarkEnd w:id="18"/>
      <w:r w:rsidRPr="00F972DB">
        <w:rPr>
          <w:b/>
          <w:bCs/>
          <w:szCs w:val="24"/>
        </w:rPr>
        <w:t>(6)</w:t>
      </w:r>
      <w:r w:rsidRPr="00F972DB">
        <w:rPr>
          <w:szCs w:val="24"/>
        </w:rPr>
        <w:t xml:space="preserve"> Any other information required in published guidance, see </w:t>
      </w:r>
      <w:hyperlink r:id="rId9" w:tgtFrame="_top" w:history="1">
        <w:r w:rsidRPr="00F972DB">
          <w:rPr>
            <w:rStyle w:val="Hyperlink"/>
            <w:szCs w:val="24"/>
          </w:rPr>
          <w:t>§ 601.601(d</w:t>
        </w:r>
        <w:proofErr w:type="gramStart"/>
        <w:r w:rsidRPr="00F972DB">
          <w:rPr>
            <w:rStyle w:val="Hyperlink"/>
            <w:szCs w:val="24"/>
          </w:rPr>
          <w:t>)(</w:t>
        </w:r>
        <w:proofErr w:type="gramEnd"/>
        <w:r w:rsidRPr="00F972DB">
          <w:rPr>
            <w:rStyle w:val="Hyperlink"/>
            <w:szCs w:val="24"/>
          </w:rPr>
          <w:t>2)</w:t>
        </w:r>
      </w:hyperlink>
      <w:r w:rsidRPr="00F972DB">
        <w:rPr>
          <w:szCs w:val="24"/>
        </w:rPr>
        <w:t xml:space="preserve"> of this chapter, necessary to determine whether a taxpayer has received excess advance payments. </w:t>
      </w:r>
    </w:p>
    <w:p w:rsidR="00F972DB" w:rsidRPr="00F972DB" w:rsidRDefault="00F972DB" w:rsidP="00F972DB">
      <w:pPr>
        <w:tabs>
          <w:tab w:val="left" w:pos="540"/>
        </w:tabs>
        <w:ind w:left="540" w:hanging="540"/>
        <w:rPr>
          <w:szCs w:val="24"/>
        </w:rPr>
      </w:pPr>
      <w:bookmarkStart w:id="19" w:name="I8B61DFF0A4EC11E1ABF4D15937BEFBBA"/>
      <w:bookmarkStart w:id="20" w:name="I8B5C1399A4EC11E1ABF4D15937BEFBBA"/>
      <w:bookmarkEnd w:id="19"/>
      <w:bookmarkEnd w:id="20"/>
    </w:p>
    <w:p w:rsidR="00F972DB" w:rsidRPr="00F972DB" w:rsidRDefault="00F972DB" w:rsidP="00F972DB">
      <w:pPr>
        <w:tabs>
          <w:tab w:val="left" w:pos="540"/>
        </w:tabs>
        <w:ind w:left="540" w:hanging="540"/>
        <w:rPr>
          <w:szCs w:val="24"/>
        </w:rPr>
      </w:pPr>
      <w:bookmarkStart w:id="21" w:name="SP;a83b000018c76"/>
      <w:bookmarkEnd w:id="21"/>
      <w:r>
        <w:rPr>
          <w:b/>
          <w:bCs/>
          <w:szCs w:val="24"/>
        </w:rPr>
        <w:tab/>
      </w:r>
      <w:r w:rsidRPr="00F972DB">
        <w:rPr>
          <w:b/>
          <w:bCs/>
          <w:szCs w:val="24"/>
        </w:rPr>
        <w:t>(b) Time of reporting.</w:t>
      </w:r>
      <w:r w:rsidRPr="00F972DB">
        <w:rPr>
          <w:szCs w:val="24"/>
        </w:rPr>
        <w:t xml:space="preserve"> [Reserved]</w:t>
      </w:r>
    </w:p>
    <w:p w:rsidR="00F972DB" w:rsidRPr="00F972DB" w:rsidRDefault="00F972DB" w:rsidP="00F972DB">
      <w:pPr>
        <w:tabs>
          <w:tab w:val="left" w:pos="540"/>
        </w:tabs>
        <w:ind w:left="540" w:hanging="540"/>
        <w:rPr>
          <w:szCs w:val="24"/>
        </w:rPr>
      </w:pPr>
      <w:bookmarkStart w:id="22" w:name="I8B620700A4EC11E1ABF4D15937BEFBBA"/>
      <w:bookmarkStart w:id="23" w:name="I8B5C139AA4EC11E1ABF4D15937BEFBBA"/>
      <w:bookmarkEnd w:id="22"/>
      <w:bookmarkEnd w:id="23"/>
    </w:p>
    <w:p w:rsidR="00F972DB" w:rsidRPr="00F972DB" w:rsidRDefault="00F972DB" w:rsidP="00F972DB">
      <w:pPr>
        <w:tabs>
          <w:tab w:val="left" w:pos="540"/>
        </w:tabs>
        <w:ind w:left="1440" w:hanging="540"/>
        <w:rPr>
          <w:szCs w:val="24"/>
        </w:rPr>
      </w:pPr>
      <w:bookmarkStart w:id="24" w:name="SP;4b24000003ba5"/>
      <w:bookmarkEnd w:id="24"/>
      <w:r w:rsidRPr="00F972DB">
        <w:rPr>
          <w:b/>
          <w:bCs/>
          <w:szCs w:val="24"/>
        </w:rPr>
        <w:t>(c) Manner of reporting.</w:t>
      </w:r>
      <w:r w:rsidRPr="00F972DB">
        <w:rPr>
          <w:szCs w:val="24"/>
        </w:rPr>
        <w:t xml:space="preserve"> The Commissioner may provide rules in published guidance, see </w:t>
      </w:r>
      <w:hyperlink r:id="rId10" w:tgtFrame="_top" w:history="1">
        <w:r w:rsidRPr="00F972DB">
          <w:rPr>
            <w:rStyle w:val="Hyperlink"/>
            <w:szCs w:val="24"/>
          </w:rPr>
          <w:t>§ 601.601(d</w:t>
        </w:r>
        <w:proofErr w:type="gramStart"/>
        <w:r w:rsidRPr="00F972DB">
          <w:rPr>
            <w:rStyle w:val="Hyperlink"/>
            <w:szCs w:val="24"/>
          </w:rPr>
          <w:t>)(</w:t>
        </w:r>
        <w:proofErr w:type="gramEnd"/>
        <w:r w:rsidRPr="00F972DB">
          <w:rPr>
            <w:rStyle w:val="Hyperlink"/>
            <w:szCs w:val="24"/>
          </w:rPr>
          <w:t>2)</w:t>
        </w:r>
      </w:hyperlink>
      <w:r w:rsidRPr="00F972DB">
        <w:rPr>
          <w:szCs w:val="24"/>
        </w:rPr>
        <w:t xml:space="preserve"> of this chapter, for the manner of reporting under this section.</w:t>
      </w:r>
    </w:p>
    <w:p w:rsidR="00F972DB" w:rsidRDefault="00F972DB" w:rsidP="00CB358B">
      <w:pPr>
        <w:tabs>
          <w:tab w:val="left" w:pos="540"/>
        </w:tabs>
        <w:ind w:left="540" w:hanging="540"/>
        <w:rPr>
          <w:szCs w:val="24"/>
        </w:rPr>
      </w:pPr>
    </w:p>
    <w:p w:rsidR="00CB358B" w:rsidRDefault="00CB358B" w:rsidP="009E3D48">
      <w:pPr>
        <w:tabs>
          <w:tab w:val="left" w:pos="540"/>
        </w:tabs>
        <w:ind w:left="540" w:hanging="540"/>
        <w:rPr>
          <w:szCs w:val="24"/>
        </w:rPr>
      </w:pPr>
    </w:p>
    <w:p w:rsidR="00CB358B" w:rsidRDefault="00CB358B" w:rsidP="009E3D48">
      <w:pPr>
        <w:tabs>
          <w:tab w:val="left" w:pos="540"/>
        </w:tabs>
        <w:ind w:left="540" w:hanging="540"/>
        <w:rPr>
          <w:szCs w:val="24"/>
        </w:rPr>
      </w:pPr>
      <w:r>
        <w:rPr>
          <w:szCs w:val="24"/>
        </w:rPr>
        <w:tab/>
        <w:t xml:space="preserve">The data elements are codified under </w:t>
      </w:r>
      <w:r>
        <w:rPr>
          <w:rFonts w:cs="Times New Roman"/>
          <w:szCs w:val="24"/>
        </w:rPr>
        <w:t>§</w:t>
      </w:r>
      <w:r>
        <w:rPr>
          <w:szCs w:val="24"/>
        </w:rPr>
        <w:t xml:space="preserve"> 1.36B-5, “Information reporting by Exchanges” of the final regulation.</w:t>
      </w:r>
    </w:p>
    <w:p w:rsidR="00CB358B" w:rsidRPr="009E3D48" w:rsidRDefault="00CB358B"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USE OF DATA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The collection of information is necessary (a) to evaluate a taxpayer's eligibility for a premium tax credit, (b) to determine the amount of a taxpayer's premium tax credit, and (c) to properly reconcile a taxpayer's premium tax credit with advance credit payments.</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USE OF IMPROVED INFORMATION TECHNOLOGY TO REDUCE BURDEN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The exchanges will use electronic media to compile and provide the information to the Internal Revenue Service, but we expect that exchanges will provide paper information statements to enrollees.</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EFFORTS TO IDENTIFY DUPLICATION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We have attempted to eliminate duplication within the</w:t>
      </w:r>
      <w:r>
        <w:rPr>
          <w:szCs w:val="24"/>
        </w:rPr>
        <w:t xml:space="preserve"> agency wherever possible.</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METHODS TO MINIMIZE BURDEN ON SMALL BUSINESSES OR OTHER SMALL ENTITIES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Not applicable.</w:t>
      </w:r>
    </w:p>
    <w:p w:rsidR="009E3D48" w:rsidRPr="009E3D48" w:rsidRDefault="009E3D48" w:rsidP="009E3D48">
      <w:pPr>
        <w:tabs>
          <w:tab w:val="left" w:pos="540"/>
        </w:tabs>
        <w:ind w:left="540" w:hanging="540"/>
        <w:rPr>
          <w:szCs w:val="24"/>
        </w:rPr>
      </w:pPr>
    </w:p>
    <w:p w:rsidR="009E3D48" w:rsidRPr="00DB3926" w:rsidRDefault="009E3D48" w:rsidP="009E3D48">
      <w:pPr>
        <w:pStyle w:val="ListParagraph"/>
        <w:numPr>
          <w:ilvl w:val="0"/>
          <w:numId w:val="1"/>
        </w:numPr>
        <w:tabs>
          <w:tab w:val="left" w:pos="540"/>
        </w:tabs>
        <w:ind w:left="540" w:hanging="540"/>
        <w:rPr>
          <w:b/>
          <w:szCs w:val="24"/>
        </w:rPr>
      </w:pPr>
      <w:r w:rsidRPr="00DB3926">
        <w:rPr>
          <w:b/>
          <w:szCs w:val="24"/>
        </w:rPr>
        <w:t xml:space="preserve">CONSEQUENCES OF LESS FREQUENT COLLECTION ON FEDERAL PROGRAMS OR POLICY ACTIVITIES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Not applicable.</w:t>
      </w:r>
    </w:p>
    <w:p w:rsidR="009E3D48" w:rsidRDefault="009E3D48" w:rsidP="009E3D48">
      <w:pPr>
        <w:tabs>
          <w:tab w:val="left" w:pos="540"/>
        </w:tabs>
        <w:ind w:left="540" w:hanging="540"/>
        <w:rPr>
          <w:szCs w:val="24"/>
        </w:rPr>
      </w:pPr>
    </w:p>
    <w:p w:rsidR="009E3D48" w:rsidRPr="009E3D48" w:rsidRDefault="009E3D48" w:rsidP="00CB358B">
      <w:pPr>
        <w:pStyle w:val="ListParagraph"/>
        <w:numPr>
          <w:ilvl w:val="0"/>
          <w:numId w:val="1"/>
        </w:numPr>
        <w:tabs>
          <w:tab w:val="left" w:pos="540"/>
        </w:tabs>
        <w:ind w:left="540" w:hanging="540"/>
        <w:rPr>
          <w:b/>
        </w:rPr>
      </w:pPr>
      <w:r w:rsidRPr="009E3D48">
        <w:rPr>
          <w:b/>
        </w:rPr>
        <w:t xml:space="preserve">SPECIAL CIRCUMSTANCES REQUIRING DATA COLLECTION TO BE INCONSISTENT WITH GUIDELINES IN 5 CFR 1320.5(d)(2)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Not applicable.</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 xml:space="preserve">A notice of proposed rulemaking was published in the Federal Register on </w:t>
      </w:r>
    </w:p>
    <w:p w:rsidR="009E3D48" w:rsidRPr="009E3D48" w:rsidRDefault="009E3D48" w:rsidP="009E3D48">
      <w:pPr>
        <w:tabs>
          <w:tab w:val="left" w:pos="540"/>
        </w:tabs>
        <w:ind w:left="540" w:hanging="540"/>
        <w:rPr>
          <w:szCs w:val="24"/>
        </w:rPr>
      </w:pPr>
      <w:r>
        <w:rPr>
          <w:szCs w:val="24"/>
        </w:rPr>
        <w:tab/>
      </w:r>
      <w:proofErr w:type="gramStart"/>
      <w:r w:rsidRPr="009E3D48">
        <w:rPr>
          <w:szCs w:val="24"/>
        </w:rPr>
        <w:t>August 17, 2011 (76 FR 50931).</w:t>
      </w:r>
      <w:proofErr w:type="gramEnd"/>
      <w:r w:rsidRPr="009E3D48">
        <w:rPr>
          <w:szCs w:val="24"/>
        </w:rPr>
        <w:t xml:space="preserve">  The final regulation was published in the Federal Register on May 23, 2012 (77 FR 30377).</w:t>
      </w:r>
    </w:p>
    <w:p w:rsidR="009E3D48" w:rsidRP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We received no comments during the comment period in response to the Federal Register notice dated March 11, 2013 (78 FR 15407).</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EXPLANATION OF DECISION TO PROVIDE ANY PAYMENT OR GIFT TO RESPONDENTS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Not applicable.</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ASSURANCE OF CONFIDENTIALITY OF RESPONSES </w:t>
      </w:r>
    </w:p>
    <w:p w:rsidR="009E3D48" w:rsidRDefault="009E3D48" w:rsidP="009E3D48">
      <w:pPr>
        <w:tabs>
          <w:tab w:val="left" w:pos="540"/>
        </w:tabs>
        <w:ind w:left="540" w:hanging="540"/>
        <w:rPr>
          <w:szCs w:val="24"/>
        </w:rPr>
      </w:pPr>
    </w:p>
    <w:p w:rsidR="009E3D48" w:rsidRDefault="009E3D48" w:rsidP="009E3D48">
      <w:pPr>
        <w:tabs>
          <w:tab w:val="left" w:pos="540"/>
        </w:tabs>
        <w:ind w:left="540" w:hanging="540"/>
        <w:rPr>
          <w:szCs w:val="24"/>
        </w:rPr>
      </w:pPr>
      <w:r>
        <w:rPr>
          <w:szCs w:val="24"/>
        </w:rPr>
        <w:tab/>
      </w:r>
      <w:r w:rsidRPr="009E3D48">
        <w:rPr>
          <w:szCs w:val="24"/>
        </w:rPr>
        <w:t>Generally, tax returns and tax return information are confidential as required by 26 U.S.C. 6103.</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JUSTIFICATION OF SENSITIVE QUESTIONS </w:t>
      </w:r>
    </w:p>
    <w:p w:rsidR="009E3D48" w:rsidRDefault="009E3D48" w:rsidP="009E3D48">
      <w:pPr>
        <w:tabs>
          <w:tab w:val="left" w:pos="540"/>
        </w:tabs>
        <w:ind w:left="540" w:hanging="540"/>
        <w:rPr>
          <w:b/>
          <w:szCs w:val="24"/>
        </w:rPr>
      </w:pPr>
    </w:p>
    <w:p w:rsidR="009E3D48" w:rsidRPr="009E3D48" w:rsidRDefault="009E3D48" w:rsidP="009E3D48">
      <w:pPr>
        <w:tabs>
          <w:tab w:val="left" w:pos="540"/>
        </w:tabs>
        <w:ind w:left="540" w:hanging="540"/>
        <w:rPr>
          <w:szCs w:val="24"/>
        </w:rPr>
      </w:pPr>
      <w:r w:rsidRPr="009E3D48">
        <w:rPr>
          <w:szCs w:val="24"/>
        </w:rPr>
        <w:tab/>
        <w:t>Not applicable.</w:t>
      </w:r>
    </w:p>
    <w:p w:rsidR="009E3D48" w:rsidRPr="009E3D48" w:rsidRDefault="009E3D48" w:rsidP="009E3D48">
      <w:pPr>
        <w:tabs>
          <w:tab w:val="left" w:pos="540"/>
        </w:tabs>
        <w:ind w:left="540" w:hanging="540"/>
        <w:rPr>
          <w:b/>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ESTIMATED BURDEN OF INFORMATION COLLECTION </w:t>
      </w:r>
    </w:p>
    <w:p w:rsidR="009E3D48" w:rsidRDefault="009E3D48" w:rsidP="009E3D48">
      <w:pPr>
        <w:tabs>
          <w:tab w:val="left" w:pos="540"/>
        </w:tabs>
        <w:ind w:left="540" w:hanging="540"/>
        <w:rPr>
          <w:szCs w:val="24"/>
        </w:rPr>
      </w:pPr>
    </w:p>
    <w:p w:rsidR="00DB3926" w:rsidRDefault="009E3D48" w:rsidP="00DB3926">
      <w:pPr>
        <w:autoSpaceDE w:val="0"/>
        <w:autoSpaceDN w:val="0"/>
        <w:adjustRightInd w:val="0"/>
        <w:ind w:left="540" w:hanging="540"/>
        <w:rPr>
          <w:rFonts w:cs="Times New Roman"/>
          <w:szCs w:val="24"/>
        </w:rPr>
      </w:pPr>
      <w:r>
        <w:rPr>
          <w:szCs w:val="24"/>
        </w:rPr>
        <w:tab/>
      </w:r>
      <w:r w:rsidR="00DB3926" w:rsidRPr="003D5B6A">
        <w:rPr>
          <w:rFonts w:cs="Times New Roman"/>
          <w:szCs w:val="24"/>
        </w:rPr>
        <w:t>The collection of information in these</w:t>
      </w:r>
      <w:r w:rsidR="00DB3926">
        <w:rPr>
          <w:rFonts w:cs="Times New Roman"/>
          <w:szCs w:val="24"/>
        </w:rPr>
        <w:t xml:space="preserve"> </w:t>
      </w:r>
      <w:r w:rsidR="00DB3926" w:rsidRPr="003D5B6A">
        <w:rPr>
          <w:rFonts w:cs="Times New Roman"/>
          <w:szCs w:val="24"/>
        </w:rPr>
        <w:t xml:space="preserve">final regulations is in § 1.36B–5. </w:t>
      </w:r>
      <w:r w:rsidR="00DB3926">
        <w:rPr>
          <w:rFonts w:cs="Times New Roman"/>
          <w:szCs w:val="24"/>
        </w:rPr>
        <w:t xml:space="preserve"> </w:t>
      </w:r>
      <w:r w:rsidR="00DB3926" w:rsidRPr="003D5B6A">
        <w:rPr>
          <w:rFonts w:cs="Times New Roman"/>
          <w:szCs w:val="24"/>
        </w:rPr>
        <w:t>The</w:t>
      </w:r>
      <w:r w:rsidR="00DB3926">
        <w:rPr>
          <w:rFonts w:cs="Times New Roman"/>
          <w:szCs w:val="24"/>
        </w:rPr>
        <w:t xml:space="preserve"> </w:t>
      </w:r>
      <w:r w:rsidR="00DB3926" w:rsidRPr="003D5B6A">
        <w:rPr>
          <w:rFonts w:cs="Times New Roman"/>
          <w:szCs w:val="24"/>
        </w:rPr>
        <w:t>information will help the IRS properly</w:t>
      </w:r>
      <w:r w:rsidR="00DB3926">
        <w:rPr>
          <w:rFonts w:cs="Times New Roman"/>
          <w:szCs w:val="24"/>
        </w:rPr>
        <w:t xml:space="preserve"> </w:t>
      </w:r>
      <w:r w:rsidR="00DB3926" w:rsidRPr="003D5B6A">
        <w:rPr>
          <w:rFonts w:cs="Times New Roman"/>
          <w:szCs w:val="24"/>
        </w:rPr>
        <w:t>reconcile the amount of the premium</w:t>
      </w:r>
      <w:r w:rsidR="00DB3926">
        <w:rPr>
          <w:rFonts w:cs="Times New Roman"/>
          <w:szCs w:val="24"/>
        </w:rPr>
        <w:t xml:space="preserve"> </w:t>
      </w:r>
      <w:r w:rsidR="00DB3926" w:rsidRPr="003D5B6A">
        <w:rPr>
          <w:rFonts w:cs="Times New Roman"/>
          <w:szCs w:val="24"/>
        </w:rPr>
        <w:t>tax credit with advance credit payments</w:t>
      </w:r>
      <w:r w:rsidR="00DB3926">
        <w:rPr>
          <w:rFonts w:cs="Times New Roman"/>
          <w:szCs w:val="24"/>
        </w:rPr>
        <w:t xml:space="preserve"> </w:t>
      </w:r>
      <w:r w:rsidR="00DB3926" w:rsidRPr="003D5B6A">
        <w:rPr>
          <w:rFonts w:cs="Times New Roman"/>
          <w:szCs w:val="24"/>
        </w:rPr>
        <w:t>made under section 1412 of the Patient</w:t>
      </w:r>
      <w:r w:rsidR="00DB3926">
        <w:rPr>
          <w:rFonts w:cs="Times New Roman"/>
          <w:szCs w:val="24"/>
        </w:rPr>
        <w:t xml:space="preserve"> </w:t>
      </w:r>
      <w:r w:rsidR="00DB3926" w:rsidRPr="003D5B6A">
        <w:rPr>
          <w:rFonts w:cs="Times New Roman"/>
          <w:szCs w:val="24"/>
        </w:rPr>
        <w:t>Protection and Affordable Care Act (42</w:t>
      </w:r>
      <w:r w:rsidR="00DB3926">
        <w:rPr>
          <w:rFonts w:cs="Times New Roman"/>
          <w:szCs w:val="24"/>
        </w:rPr>
        <w:t xml:space="preserve"> </w:t>
      </w:r>
      <w:r w:rsidR="00DB3926" w:rsidRPr="003D5B6A">
        <w:rPr>
          <w:rFonts w:cs="Times New Roman"/>
          <w:szCs w:val="24"/>
        </w:rPr>
        <w:t xml:space="preserve">U.S.C. 18082). </w:t>
      </w:r>
      <w:r w:rsidR="00DB3926">
        <w:rPr>
          <w:rFonts w:cs="Times New Roman"/>
          <w:szCs w:val="24"/>
        </w:rPr>
        <w:t xml:space="preserve"> </w:t>
      </w:r>
      <w:r w:rsidR="00DB3926" w:rsidRPr="003D5B6A">
        <w:rPr>
          <w:rFonts w:cs="Times New Roman"/>
          <w:szCs w:val="24"/>
        </w:rPr>
        <w:t>The collection of</w:t>
      </w:r>
      <w:r w:rsidR="00DB3926">
        <w:rPr>
          <w:rFonts w:cs="Times New Roman"/>
          <w:szCs w:val="24"/>
        </w:rPr>
        <w:t xml:space="preserve"> </w:t>
      </w:r>
      <w:r w:rsidR="00DB3926" w:rsidRPr="003D5B6A">
        <w:rPr>
          <w:rFonts w:cs="Times New Roman"/>
          <w:szCs w:val="24"/>
        </w:rPr>
        <w:t>information is required to comply with</w:t>
      </w:r>
      <w:r w:rsidR="00DB3926">
        <w:rPr>
          <w:rFonts w:cs="Times New Roman"/>
          <w:szCs w:val="24"/>
        </w:rPr>
        <w:t xml:space="preserve"> </w:t>
      </w:r>
      <w:r w:rsidR="00DB3926" w:rsidRPr="003D5B6A">
        <w:rPr>
          <w:rFonts w:cs="Times New Roman"/>
          <w:szCs w:val="24"/>
        </w:rPr>
        <w:t xml:space="preserve">the provisions of section </w:t>
      </w:r>
      <w:proofErr w:type="gramStart"/>
      <w:r w:rsidR="00DB3926" w:rsidRPr="003D5B6A">
        <w:rPr>
          <w:rFonts w:cs="Times New Roman"/>
          <w:szCs w:val="24"/>
        </w:rPr>
        <w:t>36B(</w:t>
      </w:r>
      <w:proofErr w:type="gramEnd"/>
      <w:r w:rsidR="00DB3926" w:rsidRPr="003D5B6A">
        <w:rPr>
          <w:rFonts w:cs="Times New Roman"/>
          <w:szCs w:val="24"/>
        </w:rPr>
        <w:t>f)(3) of the</w:t>
      </w:r>
      <w:r w:rsidR="00DB3926">
        <w:rPr>
          <w:rFonts w:cs="Times New Roman"/>
          <w:szCs w:val="24"/>
        </w:rPr>
        <w:t xml:space="preserve"> </w:t>
      </w:r>
      <w:r w:rsidR="00DB3926" w:rsidRPr="003D5B6A">
        <w:rPr>
          <w:rFonts w:cs="Times New Roman"/>
          <w:szCs w:val="24"/>
        </w:rPr>
        <w:t xml:space="preserve">Internal Revenue Code (Code). </w:t>
      </w:r>
    </w:p>
    <w:p w:rsidR="00DB3926" w:rsidRDefault="00DB3926" w:rsidP="009E3D48">
      <w:pPr>
        <w:tabs>
          <w:tab w:val="left" w:pos="540"/>
        </w:tabs>
        <w:ind w:left="540" w:hanging="540"/>
        <w:rPr>
          <w:szCs w:val="24"/>
        </w:rPr>
      </w:pPr>
    </w:p>
    <w:p w:rsidR="00DB3926" w:rsidRPr="003D5B6A" w:rsidRDefault="00DB3926" w:rsidP="00DB3926">
      <w:pPr>
        <w:tabs>
          <w:tab w:val="left" w:pos="540"/>
        </w:tabs>
        <w:autoSpaceDE w:val="0"/>
        <w:autoSpaceDN w:val="0"/>
        <w:adjustRightInd w:val="0"/>
        <w:ind w:left="540" w:hanging="540"/>
        <w:rPr>
          <w:rFonts w:cs="Times New Roman"/>
          <w:szCs w:val="24"/>
        </w:rPr>
      </w:pPr>
      <w:r>
        <w:rPr>
          <w:szCs w:val="24"/>
        </w:rPr>
        <w:tab/>
      </w:r>
      <w:r w:rsidRPr="003D5B6A">
        <w:rPr>
          <w:rFonts w:cs="Times New Roman"/>
          <w:szCs w:val="24"/>
        </w:rPr>
        <w:t>The estimated total annual reporting</w:t>
      </w:r>
      <w:r>
        <w:rPr>
          <w:rFonts w:cs="Times New Roman"/>
          <w:szCs w:val="24"/>
        </w:rPr>
        <w:t xml:space="preserve"> </w:t>
      </w:r>
      <w:r w:rsidRPr="003D5B6A">
        <w:rPr>
          <w:rFonts w:cs="Times New Roman"/>
          <w:szCs w:val="24"/>
        </w:rPr>
        <w:t xml:space="preserve">burden is 250,000 hours. </w:t>
      </w:r>
      <w:r>
        <w:rPr>
          <w:rFonts w:cs="Times New Roman"/>
          <w:szCs w:val="24"/>
        </w:rPr>
        <w:t xml:space="preserve"> </w:t>
      </w:r>
      <w:r w:rsidRPr="003D5B6A">
        <w:rPr>
          <w:rFonts w:cs="Times New Roman"/>
          <w:szCs w:val="24"/>
        </w:rPr>
        <w:t>The estimated</w:t>
      </w:r>
      <w:r>
        <w:rPr>
          <w:rFonts w:cs="Times New Roman"/>
          <w:szCs w:val="24"/>
        </w:rPr>
        <w:t xml:space="preserve"> </w:t>
      </w:r>
      <w:r w:rsidRPr="003D5B6A">
        <w:rPr>
          <w:rFonts w:cs="Times New Roman"/>
          <w:szCs w:val="24"/>
        </w:rPr>
        <w:t>annual burden per respondent is 5,000</w:t>
      </w:r>
      <w:r>
        <w:rPr>
          <w:rFonts w:cs="Times New Roman"/>
          <w:szCs w:val="24"/>
        </w:rPr>
        <w:t xml:space="preserve"> </w:t>
      </w:r>
      <w:r w:rsidRPr="003D5B6A">
        <w:rPr>
          <w:rFonts w:cs="Times New Roman"/>
          <w:szCs w:val="24"/>
        </w:rPr>
        <w:t xml:space="preserve">hours. </w:t>
      </w:r>
      <w:r>
        <w:rPr>
          <w:rFonts w:cs="Times New Roman"/>
          <w:szCs w:val="24"/>
        </w:rPr>
        <w:t xml:space="preserve"> </w:t>
      </w:r>
      <w:r w:rsidRPr="003D5B6A">
        <w:rPr>
          <w:rFonts w:cs="Times New Roman"/>
          <w:szCs w:val="24"/>
        </w:rPr>
        <w:t>The estimated number of</w:t>
      </w:r>
      <w:r>
        <w:rPr>
          <w:rFonts w:cs="Times New Roman"/>
          <w:szCs w:val="24"/>
        </w:rPr>
        <w:t xml:space="preserve"> </w:t>
      </w:r>
      <w:r w:rsidRPr="003D5B6A">
        <w:rPr>
          <w:rFonts w:cs="Times New Roman"/>
          <w:szCs w:val="24"/>
        </w:rPr>
        <w:t>respondents is 50.</w:t>
      </w:r>
    </w:p>
    <w:p w:rsidR="009E3D48" w:rsidRPr="009E3D48" w:rsidRDefault="009E3D48"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ESTIMATED TOTAL ANNUAL COST BURDEN TO RESPONDENTS </w:t>
      </w:r>
    </w:p>
    <w:p w:rsidR="009E3D48" w:rsidRDefault="009E3D48" w:rsidP="009E3D48">
      <w:pPr>
        <w:tabs>
          <w:tab w:val="left" w:pos="540"/>
        </w:tabs>
        <w:ind w:left="540" w:hanging="540"/>
        <w:rPr>
          <w:b/>
          <w:szCs w:val="24"/>
        </w:rPr>
      </w:pPr>
    </w:p>
    <w:p w:rsidR="009E3D48" w:rsidRPr="009E3D48" w:rsidRDefault="009E3D48" w:rsidP="009E3D48">
      <w:pPr>
        <w:tabs>
          <w:tab w:val="left" w:pos="540"/>
        </w:tabs>
        <w:ind w:left="540" w:hanging="540"/>
        <w:rPr>
          <w:szCs w:val="24"/>
        </w:rPr>
      </w:pPr>
      <w:r w:rsidRPr="009E3D48">
        <w:rPr>
          <w:szCs w:val="24"/>
        </w:rPr>
        <w:tab/>
        <w:t xml:space="preserve">As suggested by the OMB, our Federal Register notice dated March 11, 2013, requested public comments on estimates of cost burden that are not captured  in the estimates of </w:t>
      </w:r>
      <w:r w:rsidRPr="009E3D48">
        <w:rPr>
          <w:szCs w:val="24"/>
        </w:rPr>
        <w:lastRenderedPageBreak/>
        <w:t xml:space="preserve">burden hours, i.e., estimates of capital or start-up costs and costs of operation, maintenance, and purchase of services to provide information.  However, we did not </w:t>
      </w:r>
      <w:r w:rsidR="00DB3926" w:rsidRPr="009E3D48">
        <w:rPr>
          <w:szCs w:val="24"/>
        </w:rPr>
        <w:t>receive</w:t>
      </w:r>
      <w:r w:rsidRPr="009E3D48">
        <w:rPr>
          <w:szCs w:val="24"/>
        </w:rPr>
        <w:t xml:space="preserve"> and response from taxpayers on this subject.  As a result, estimates of cost burdens are not available at this time.</w:t>
      </w:r>
    </w:p>
    <w:p w:rsidR="009E3D48" w:rsidRPr="009E3D48" w:rsidRDefault="009E3D48" w:rsidP="009E3D48">
      <w:pPr>
        <w:tabs>
          <w:tab w:val="left" w:pos="540"/>
        </w:tabs>
        <w:ind w:left="540" w:hanging="540"/>
        <w:rPr>
          <w:b/>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ESTIMATED ANNUALIZED COST TO THE FEDERAL GOVERNMENT </w:t>
      </w:r>
    </w:p>
    <w:p w:rsidR="009E3D48" w:rsidRPr="00D463E0" w:rsidRDefault="009E3D48" w:rsidP="009E3D48">
      <w:pPr>
        <w:tabs>
          <w:tab w:val="left" w:pos="540"/>
        </w:tabs>
        <w:ind w:left="540" w:hanging="540"/>
        <w:rPr>
          <w:szCs w:val="24"/>
        </w:rPr>
      </w:pPr>
    </w:p>
    <w:p w:rsidR="00D463E0" w:rsidRPr="00D463E0" w:rsidRDefault="00D463E0" w:rsidP="009E3D48">
      <w:pPr>
        <w:tabs>
          <w:tab w:val="left" w:pos="540"/>
        </w:tabs>
        <w:ind w:left="540" w:hanging="540"/>
        <w:rPr>
          <w:szCs w:val="24"/>
        </w:rPr>
      </w:pPr>
      <w:r w:rsidRPr="00D463E0">
        <w:rPr>
          <w:szCs w:val="24"/>
        </w:rPr>
        <w:tab/>
        <w:t>Not applicable.</w:t>
      </w:r>
    </w:p>
    <w:p w:rsidR="00D463E0" w:rsidRPr="009E3D48" w:rsidRDefault="00D463E0" w:rsidP="009E3D48">
      <w:pPr>
        <w:tabs>
          <w:tab w:val="left" w:pos="540"/>
        </w:tabs>
        <w:ind w:left="540" w:hanging="540"/>
        <w:rPr>
          <w:b/>
          <w:szCs w:val="24"/>
        </w:rPr>
      </w:pPr>
    </w:p>
    <w:p w:rsidR="00DB3926" w:rsidRDefault="009E3D48" w:rsidP="009E3D48">
      <w:pPr>
        <w:pStyle w:val="ListParagraph"/>
        <w:numPr>
          <w:ilvl w:val="0"/>
          <w:numId w:val="1"/>
        </w:numPr>
        <w:tabs>
          <w:tab w:val="left" w:pos="540"/>
        </w:tabs>
        <w:ind w:left="540" w:hanging="540"/>
        <w:rPr>
          <w:b/>
          <w:szCs w:val="24"/>
        </w:rPr>
      </w:pPr>
      <w:r w:rsidRPr="009E3D48">
        <w:rPr>
          <w:b/>
          <w:szCs w:val="24"/>
        </w:rPr>
        <w:t xml:space="preserve">REASONS FOR CHANGE IN BURDEN </w:t>
      </w:r>
    </w:p>
    <w:p w:rsidR="00DB3926" w:rsidRDefault="00DB3926" w:rsidP="00DB3926">
      <w:pPr>
        <w:pStyle w:val="ListParagraph"/>
        <w:tabs>
          <w:tab w:val="left" w:pos="540"/>
        </w:tabs>
        <w:ind w:left="540"/>
        <w:rPr>
          <w:b/>
          <w:szCs w:val="24"/>
        </w:rPr>
      </w:pPr>
    </w:p>
    <w:p w:rsidR="00CB358B" w:rsidRDefault="00DB3926" w:rsidP="00DB3926">
      <w:pPr>
        <w:tabs>
          <w:tab w:val="left" w:pos="540"/>
        </w:tabs>
        <w:ind w:left="540" w:hanging="540"/>
        <w:rPr>
          <w:szCs w:val="24"/>
        </w:rPr>
      </w:pPr>
      <w:r w:rsidRPr="00D463E0">
        <w:rPr>
          <w:szCs w:val="24"/>
        </w:rPr>
        <w:tab/>
      </w:r>
      <w:r w:rsidR="00CB358B" w:rsidRPr="00CB358B">
        <w:rPr>
          <w:szCs w:val="24"/>
        </w:rPr>
        <w:t xml:space="preserve">Previous burden estimates were based on proposed rule determinations.  The final regulations identified revised burden calculations, </w:t>
      </w:r>
      <w:r w:rsidR="00946CFC">
        <w:rPr>
          <w:szCs w:val="24"/>
        </w:rPr>
        <w:t xml:space="preserve">for </w:t>
      </w:r>
      <w:r w:rsidR="00CB358B" w:rsidRPr="00CB358B">
        <w:rPr>
          <w:szCs w:val="24"/>
        </w:rPr>
        <w:t>which the increase of 249,999 is due to a program change.</w:t>
      </w:r>
    </w:p>
    <w:p w:rsidR="00DB3926" w:rsidRDefault="00DB3926" w:rsidP="00CB358B">
      <w:pPr>
        <w:tabs>
          <w:tab w:val="left" w:pos="540"/>
        </w:tabs>
        <w:ind w:left="540" w:hanging="540"/>
        <w:rPr>
          <w:b/>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PLANS FOR TABULATION, STATISTICAL ANALYSIS AND PUBLICATION </w:t>
      </w:r>
    </w:p>
    <w:p w:rsidR="009E3D48" w:rsidRPr="00D463E0" w:rsidRDefault="009E3D48" w:rsidP="009E3D48">
      <w:pPr>
        <w:tabs>
          <w:tab w:val="left" w:pos="540"/>
        </w:tabs>
        <w:ind w:left="540" w:hanging="540"/>
        <w:rPr>
          <w:szCs w:val="24"/>
        </w:rPr>
      </w:pPr>
    </w:p>
    <w:p w:rsidR="0004104E" w:rsidRPr="00D463E0" w:rsidRDefault="0004104E" w:rsidP="0004104E">
      <w:pPr>
        <w:tabs>
          <w:tab w:val="left" w:pos="540"/>
        </w:tabs>
        <w:ind w:left="540" w:hanging="540"/>
        <w:rPr>
          <w:szCs w:val="24"/>
        </w:rPr>
      </w:pPr>
      <w:r>
        <w:rPr>
          <w:szCs w:val="24"/>
        </w:rPr>
        <w:tab/>
      </w:r>
      <w:r w:rsidRPr="00D463E0">
        <w:rPr>
          <w:szCs w:val="24"/>
        </w:rPr>
        <w:t>Not applicable.</w:t>
      </w:r>
    </w:p>
    <w:p w:rsidR="00D463E0" w:rsidRPr="0004104E" w:rsidRDefault="00D463E0" w:rsidP="009E3D48">
      <w:pPr>
        <w:tabs>
          <w:tab w:val="left" w:pos="540"/>
        </w:tabs>
        <w:ind w:left="540" w:hanging="540"/>
        <w:rPr>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REASONS WHY DISPLAYING THE OMB EXPIRATION DATE IS INAPPROPRIATE </w:t>
      </w:r>
    </w:p>
    <w:p w:rsidR="009E3D48" w:rsidRDefault="009E3D48" w:rsidP="009E3D48">
      <w:pPr>
        <w:tabs>
          <w:tab w:val="left" w:pos="540"/>
        </w:tabs>
        <w:ind w:left="540" w:hanging="540"/>
        <w:rPr>
          <w:b/>
          <w:szCs w:val="24"/>
        </w:rPr>
      </w:pPr>
    </w:p>
    <w:p w:rsidR="0004104E" w:rsidRPr="009E3D48" w:rsidRDefault="00D463E0" w:rsidP="0004104E">
      <w:pPr>
        <w:tabs>
          <w:tab w:val="left" w:pos="540"/>
        </w:tabs>
        <w:ind w:left="540" w:hanging="540"/>
        <w:rPr>
          <w:szCs w:val="24"/>
        </w:rPr>
      </w:pPr>
      <w:r>
        <w:rPr>
          <w:szCs w:val="24"/>
        </w:rPr>
        <w:tab/>
      </w:r>
      <w:r w:rsidR="0004104E" w:rsidRPr="00D463E0">
        <w:rPr>
          <w:szCs w:val="24"/>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D463E0" w:rsidRPr="009E3D48" w:rsidRDefault="00D463E0" w:rsidP="009E3D48">
      <w:pPr>
        <w:tabs>
          <w:tab w:val="left" w:pos="540"/>
        </w:tabs>
        <w:ind w:left="540" w:hanging="540"/>
        <w:rPr>
          <w:b/>
          <w:szCs w:val="24"/>
        </w:rPr>
      </w:pPr>
    </w:p>
    <w:p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EXCEPTIONS TO THE CERTIFICATION STATEMENT ON OMB PRA SUBMISSION FORM </w:t>
      </w:r>
    </w:p>
    <w:p w:rsidR="009E3D48" w:rsidRDefault="009E3D48" w:rsidP="009E3D48">
      <w:pPr>
        <w:tabs>
          <w:tab w:val="left" w:pos="540"/>
        </w:tabs>
        <w:ind w:left="540" w:hanging="540"/>
        <w:rPr>
          <w:szCs w:val="24"/>
        </w:rPr>
      </w:pPr>
    </w:p>
    <w:p w:rsidR="0004104E" w:rsidRDefault="00D463E0" w:rsidP="0004104E">
      <w:pPr>
        <w:tabs>
          <w:tab w:val="left" w:pos="540"/>
        </w:tabs>
        <w:ind w:left="540" w:hanging="540"/>
        <w:rPr>
          <w:szCs w:val="24"/>
        </w:rPr>
      </w:pPr>
      <w:r>
        <w:rPr>
          <w:szCs w:val="24"/>
        </w:rPr>
        <w:tab/>
      </w:r>
      <w:r w:rsidR="0004104E" w:rsidRPr="0004104E">
        <w:rPr>
          <w:szCs w:val="24"/>
        </w:rPr>
        <w:t>Not applicable.</w:t>
      </w:r>
    </w:p>
    <w:p w:rsidR="0004104E" w:rsidRDefault="0004104E" w:rsidP="0004104E">
      <w:pPr>
        <w:tabs>
          <w:tab w:val="left" w:pos="540"/>
        </w:tabs>
        <w:ind w:left="540" w:hanging="540"/>
        <w:rPr>
          <w:szCs w:val="24"/>
        </w:rPr>
      </w:pPr>
    </w:p>
    <w:p w:rsidR="0004104E" w:rsidRPr="0004104E" w:rsidRDefault="0004104E" w:rsidP="0004104E">
      <w:pPr>
        <w:tabs>
          <w:tab w:val="left" w:pos="540"/>
        </w:tabs>
        <w:ind w:left="540" w:hanging="540"/>
        <w:rPr>
          <w:szCs w:val="24"/>
        </w:rPr>
      </w:pPr>
    </w:p>
    <w:p w:rsidR="0004104E" w:rsidRDefault="0004104E" w:rsidP="0004104E">
      <w:pPr>
        <w:tabs>
          <w:tab w:val="left" w:pos="720"/>
        </w:tabs>
        <w:ind w:left="720" w:hanging="720"/>
        <w:rPr>
          <w:szCs w:val="24"/>
        </w:rPr>
      </w:pPr>
      <w:r>
        <w:rPr>
          <w:szCs w:val="24"/>
        </w:rPr>
        <w:t>Note:</w:t>
      </w:r>
      <w:r>
        <w:rPr>
          <w:szCs w:val="24"/>
        </w:rPr>
        <w:tab/>
      </w:r>
      <w:r w:rsidRPr="0004104E">
        <w:rPr>
          <w:szCs w:val="24"/>
        </w:rPr>
        <w:t>The following paragraph applies to all of the collections of information in this submission:</w:t>
      </w:r>
    </w:p>
    <w:p w:rsidR="00CB358B" w:rsidRPr="0004104E" w:rsidRDefault="00CB358B" w:rsidP="0004104E">
      <w:pPr>
        <w:tabs>
          <w:tab w:val="left" w:pos="720"/>
        </w:tabs>
        <w:ind w:left="720" w:hanging="720"/>
        <w:rPr>
          <w:szCs w:val="24"/>
        </w:rPr>
      </w:pPr>
    </w:p>
    <w:p w:rsidR="00D463E0" w:rsidRPr="009E3D48" w:rsidRDefault="0004104E" w:rsidP="0004104E">
      <w:pPr>
        <w:tabs>
          <w:tab w:val="left" w:pos="720"/>
        </w:tabs>
        <w:ind w:left="720" w:hanging="720"/>
        <w:rPr>
          <w:szCs w:val="24"/>
        </w:rPr>
      </w:pPr>
      <w:r>
        <w:rPr>
          <w:szCs w:val="24"/>
        </w:rPr>
        <w:tab/>
      </w:r>
      <w:r w:rsidRPr="0004104E">
        <w:rPr>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9E3D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8B" w:rsidRDefault="00CB358B" w:rsidP="009E3D48">
      <w:r>
        <w:separator/>
      </w:r>
    </w:p>
  </w:endnote>
  <w:endnote w:type="continuationSeparator" w:id="0">
    <w:p w:rsidR="00CB358B" w:rsidRDefault="00CB358B"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CB358B" w:rsidRDefault="00CB358B">
        <w:pPr>
          <w:pStyle w:val="Footer"/>
          <w:jc w:val="right"/>
        </w:pPr>
        <w:r>
          <w:fldChar w:fldCharType="begin"/>
        </w:r>
        <w:r>
          <w:instrText xml:space="preserve"> PAGE   \* MERGEFORMAT </w:instrText>
        </w:r>
        <w:r>
          <w:fldChar w:fldCharType="separate"/>
        </w:r>
        <w:r w:rsidR="00F972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8B" w:rsidRDefault="00CB358B" w:rsidP="009E3D48">
      <w:r>
        <w:separator/>
      </w:r>
    </w:p>
  </w:footnote>
  <w:footnote w:type="continuationSeparator" w:id="0">
    <w:p w:rsidR="00CB358B" w:rsidRDefault="00CB358B"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4104E"/>
    <w:rsid w:val="00946CFC"/>
    <w:rsid w:val="00996DDD"/>
    <w:rsid w:val="009E3D48"/>
    <w:rsid w:val="00AA034F"/>
    <w:rsid w:val="00CB358B"/>
    <w:rsid w:val="00D463E0"/>
    <w:rsid w:val="00DB3926"/>
    <w:rsid w:val="00E378C3"/>
    <w:rsid w:val="00F82330"/>
    <w:rsid w:val="00F9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4" Type="http://schemas.microsoft.com/office/2007/relationships/stylesWithEffects" Target="stylesWithEffects.xml"/><Relationship Id="rId9"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8CD6-DAC1-4C2E-9E25-D84585B8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Lawrence, Yvette</cp:lastModifiedBy>
  <cp:revision>2</cp:revision>
  <dcterms:created xsi:type="dcterms:W3CDTF">2014-02-11T15:44:00Z</dcterms:created>
  <dcterms:modified xsi:type="dcterms:W3CDTF">2014-02-11T15:44:00Z</dcterms:modified>
</cp:coreProperties>
</file>