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42" w:rsidRDefault="00880C42" w:rsidP="0048215A">
      <w:pPr>
        <w:spacing w:after="240" w:line="240" w:lineRule="auto"/>
      </w:pPr>
      <w:bookmarkStart w:id="0" w:name="_GoBack"/>
      <w:bookmarkEnd w:id="0"/>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Default="0048215A" w:rsidP="0048215A">
      <w:pPr>
        <w:spacing w:after="240" w:line="240" w:lineRule="auto"/>
      </w:pPr>
    </w:p>
    <w:p w:rsidR="0048215A" w:rsidRPr="0048215A" w:rsidRDefault="0048215A" w:rsidP="0048215A">
      <w:pPr>
        <w:spacing w:after="120" w:line="240" w:lineRule="auto"/>
        <w:jc w:val="center"/>
        <w:rPr>
          <w:rFonts w:ascii="Arial" w:hAnsi="Arial" w:cs="Arial"/>
          <w:b/>
          <w:sz w:val="40"/>
          <w:szCs w:val="40"/>
        </w:rPr>
      </w:pPr>
      <w:r w:rsidRPr="0048215A">
        <w:rPr>
          <w:rFonts w:ascii="Arial" w:hAnsi="Arial" w:cs="Arial"/>
          <w:b/>
          <w:sz w:val="40"/>
          <w:szCs w:val="40"/>
        </w:rPr>
        <w:t xml:space="preserve">Attachment </w:t>
      </w:r>
      <w:r w:rsidR="00604036">
        <w:rPr>
          <w:rFonts w:ascii="Arial" w:hAnsi="Arial" w:cs="Arial"/>
          <w:b/>
          <w:sz w:val="40"/>
          <w:szCs w:val="40"/>
        </w:rPr>
        <w:t>12</w:t>
      </w:r>
      <w:r w:rsidRPr="0048215A">
        <w:rPr>
          <w:rFonts w:ascii="Arial" w:hAnsi="Arial" w:cs="Arial"/>
          <w:b/>
          <w:sz w:val="40"/>
          <w:szCs w:val="40"/>
        </w:rPr>
        <w:t>:</w:t>
      </w:r>
    </w:p>
    <w:p w:rsidR="0048215A" w:rsidRPr="0048215A" w:rsidRDefault="0048215A" w:rsidP="0048215A">
      <w:pPr>
        <w:spacing w:after="120" w:line="240" w:lineRule="auto"/>
        <w:jc w:val="center"/>
        <w:rPr>
          <w:rFonts w:ascii="Arial" w:hAnsi="Arial" w:cs="Arial"/>
          <w:b/>
          <w:sz w:val="40"/>
          <w:szCs w:val="40"/>
        </w:rPr>
      </w:pPr>
      <w:r w:rsidRPr="0048215A">
        <w:rPr>
          <w:rFonts w:ascii="Arial" w:hAnsi="Arial" w:cs="Arial"/>
          <w:b/>
          <w:sz w:val="40"/>
          <w:szCs w:val="40"/>
        </w:rPr>
        <w:t xml:space="preserve">Part </w:t>
      </w:r>
      <w:r w:rsidR="00A15B03">
        <w:rPr>
          <w:rFonts w:ascii="Arial" w:hAnsi="Arial" w:cs="Arial"/>
          <w:b/>
          <w:sz w:val="40"/>
          <w:szCs w:val="40"/>
        </w:rPr>
        <w:t>A</w:t>
      </w:r>
      <w:r w:rsidRPr="0048215A">
        <w:rPr>
          <w:rFonts w:ascii="Arial" w:hAnsi="Arial" w:cs="Arial"/>
          <w:b/>
          <w:sz w:val="40"/>
          <w:szCs w:val="40"/>
        </w:rPr>
        <w:t xml:space="preserve"> Bibliographical References</w:t>
      </w:r>
    </w:p>
    <w:p w:rsidR="0048215A" w:rsidRDefault="0048215A" w:rsidP="0048215A"/>
    <w:p w:rsidR="0048215A" w:rsidRDefault="0048215A">
      <w:r>
        <w:br w:type="page"/>
      </w:r>
    </w:p>
    <w:p w:rsidR="0048215A" w:rsidRDefault="0048215A" w:rsidP="0048215A">
      <w:pPr>
        <w:pStyle w:val="Heading1"/>
      </w:pPr>
      <w:r>
        <w:lastRenderedPageBreak/>
        <w:t xml:space="preserve">Part </w:t>
      </w:r>
      <w:r w:rsidR="00A15B03">
        <w:t>A</w:t>
      </w:r>
      <w:r>
        <w:t xml:space="preserve"> </w:t>
      </w:r>
      <w:r w:rsidRPr="00C62091">
        <w:t>Bibliographical References</w:t>
      </w:r>
    </w:p>
    <w:p w:rsidR="00A15B03" w:rsidRPr="00C62091" w:rsidRDefault="00A15B03" w:rsidP="00A15B03">
      <w:pPr>
        <w:pStyle w:val="EndnoteText"/>
      </w:pPr>
      <w:r>
        <w:rPr>
          <w:rStyle w:val="EndnoteReference"/>
        </w:rPr>
        <w:t>1</w:t>
      </w:r>
      <w:r>
        <w:t xml:space="preserve"> </w:t>
      </w:r>
      <w:r w:rsidRPr="00C62091">
        <w:t xml:space="preserve">"What Is Sickle Cell Anemia?" </w:t>
      </w:r>
      <w:r w:rsidRPr="00C62091">
        <w:rPr>
          <w:i/>
          <w:iCs/>
        </w:rPr>
        <w:t>NHLBI, NIH</w:t>
      </w:r>
      <w:r w:rsidRPr="00C62091">
        <w:t>. Web. 8 Aug. 2012. &lt;http://www.nhlbi.nih.gov/health/dci/Diseases/Sca/SCA_WhoIsAtRisk.html&gt;.</w:t>
      </w:r>
    </w:p>
    <w:p w:rsidR="00A15B03" w:rsidRDefault="00A15B03" w:rsidP="00A15B03">
      <w:pPr>
        <w:pStyle w:val="EndnoteText"/>
      </w:pPr>
      <w:r>
        <w:rPr>
          <w:rStyle w:val="EndnoteReference"/>
        </w:rPr>
        <w:t>2</w:t>
      </w:r>
      <w:r w:rsidRPr="00C62091">
        <w:t xml:space="preserve"> "What You Should Know About Sickle Cell Disease." </w:t>
      </w:r>
      <w:r w:rsidRPr="00C62091">
        <w:rPr>
          <w:i/>
          <w:iCs/>
        </w:rPr>
        <w:t>CDC</w:t>
      </w:r>
      <w:r w:rsidRPr="00C62091">
        <w:t>. Web. Oct. 2012. &lt;http://www.cdc.gov/ncbddd/sicklecell/documents/SCD%20factsheet_What%20is%20SCD.pdf&gt;.</w:t>
      </w:r>
    </w:p>
    <w:p w:rsidR="00E66B85" w:rsidRPr="00C62091" w:rsidRDefault="00E66B85" w:rsidP="00E66B85">
      <w:pPr>
        <w:pStyle w:val="EndnoteText"/>
      </w:pPr>
      <w:r w:rsidRPr="00E66B85">
        <w:rPr>
          <w:vertAlign w:val="superscript"/>
        </w:rPr>
        <w:t>3</w:t>
      </w:r>
      <w:r w:rsidRPr="00C62091">
        <w:t xml:space="preserve"> Smith LA, </w:t>
      </w:r>
      <w:proofErr w:type="spellStart"/>
      <w:r w:rsidRPr="00C62091">
        <w:t>Oyeku</w:t>
      </w:r>
      <w:proofErr w:type="spellEnd"/>
      <w:r w:rsidRPr="00C62091">
        <w:t xml:space="preserve"> SO, Homer C, Zuckerman B. Sickle cell disease: a question of equity and quality. Pediatrics. 2006; 117(5): 1763-70.</w:t>
      </w:r>
    </w:p>
    <w:p w:rsidR="00A15B03" w:rsidRPr="00C62091" w:rsidRDefault="00E66B85" w:rsidP="00A15B03">
      <w:pPr>
        <w:pStyle w:val="EndnoteText"/>
      </w:pPr>
      <w:r>
        <w:rPr>
          <w:rStyle w:val="EndnoteReference"/>
        </w:rPr>
        <w:t>4</w:t>
      </w:r>
      <w:r w:rsidR="00A15B03" w:rsidRPr="00C62091">
        <w:t xml:space="preserve"> Quinn CT, Rogers ZR, </w:t>
      </w:r>
      <w:proofErr w:type="spellStart"/>
      <w:r w:rsidR="00A15B03" w:rsidRPr="00C62091">
        <w:t>McCavit</w:t>
      </w:r>
      <w:proofErr w:type="spellEnd"/>
      <w:r w:rsidR="00A15B03" w:rsidRPr="00C62091">
        <w:t xml:space="preserve"> TL, Buchanan GR. Improved survival of children and adolescents with sickle cell disease. Blood. 2010; 115(17): 3447-52.</w:t>
      </w:r>
    </w:p>
    <w:p w:rsidR="00A15B03" w:rsidRPr="00C62091" w:rsidRDefault="00E66B85" w:rsidP="00A15B03">
      <w:pPr>
        <w:pStyle w:val="EndnoteText"/>
      </w:pPr>
      <w:r>
        <w:rPr>
          <w:rStyle w:val="EndnoteReference"/>
        </w:rPr>
        <w:t>5</w:t>
      </w:r>
      <w:r w:rsidR="00A15B03" w:rsidRPr="00C62091">
        <w:t xml:space="preserve"> American Academy of Pediatrics, American Academy of Family Physicians, American College of Physicians, Transitions Clinical Report Authoring Group. Supporting the Health Care Transition From Adolescence to Adulthood in the Medical Home. Pediatrics 2011;128:182-200.  </w:t>
      </w:r>
    </w:p>
    <w:p w:rsidR="00A15B03" w:rsidRPr="00C62091" w:rsidRDefault="00E66B85" w:rsidP="00A15B03">
      <w:pPr>
        <w:pStyle w:val="EndnoteText"/>
      </w:pPr>
      <w:r>
        <w:rPr>
          <w:rStyle w:val="EndnoteReference"/>
        </w:rPr>
        <w:t>6</w:t>
      </w:r>
      <w:r w:rsidR="00A15B03" w:rsidRPr="00C62091">
        <w:t xml:space="preserve"> Bloom SR, </w:t>
      </w:r>
      <w:proofErr w:type="spellStart"/>
      <w:r w:rsidR="00A15B03" w:rsidRPr="00C62091">
        <w:t>Kuhlthau</w:t>
      </w:r>
      <w:proofErr w:type="spellEnd"/>
      <w:r w:rsidR="00A15B03" w:rsidRPr="00C62091">
        <w:t xml:space="preserve"> K, Van Cleave J, Knapp AA, </w:t>
      </w:r>
      <w:proofErr w:type="spellStart"/>
      <w:r w:rsidR="00A15B03" w:rsidRPr="00C62091">
        <w:t>Newacheck</w:t>
      </w:r>
      <w:proofErr w:type="spellEnd"/>
      <w:r w:rsidR="00A15B03" w:rsidRPr="00C62091">
        <w:t xml:space="preserve"> P, Perrin JM. Health care transition for youth with special health care needs. J Adolescent Health. 2012: in press. </w:t>
      </w:r>
    </w:p>
    <w:p w:rsidR="00A15B03" w:rsidRPr="00C62091" w:rsidRDefault="00E66B85" w:rsidP="00A15B03">
      <w:pPr>
        <w:pStyle w:val="EndnoteText"/>
      </w:pPr>
      <w:r>
        <w:rPr>
          <w:rStyle w:val="EndnoteReference"/>
        </w:rPr>
        <w:t>7</w:t>
      </w:r>
      <w:r w:rsidR="00A15B03" w:rsidRPr="00C62091">
        <w:t xml:space="preserve"> Treadwell M, Telfair J, Gibson RW, Johnson S, </w:t>
      </w:r>
      <w:proofErr w:type="spellStart"/>
      <w:r w:rsidR="00A15B03" w:rsidRPr="00C62091">
        <w:t>Osunkwo</w:t>
      </w:r>
      <w:proofErr w:type="spellEnd"/>
      <w:r w:rsidR="00A15B03" w:rsidRPr="00C62091">
        <w:t xml:space="preserve"> I. Transition from pediatric to adult care in sickle cell disease: establishing evidence-based practice and directions for research. Am J </w:t>
      </w:r>
      <w:proofErr w:type="spellStart"/>
      <w:r w:rsidR="00A15B03" w:rsidRPr="00C62091">
        <w:t>Hematol</w:t>
      </w:r>
      <w:proofErr w:type="spellEnd"/>
      <w:r w:rsidR="00A15B03" w:rsidRPr="00C62091">
        <w:t xml:space="preserve">. 2011; 86(1): 116-20. </w:t>
      </w:r>
    </w:p>
    <w:p w:rsidR="00A15B03" w:rsidRPr="00C62091" w:rsidRDefault="00E66B85" w:rsidP="00A15B03">
      <w:pPr>
        <w:pStyle w:val="EndnoteText"/>
      </w:pPr>
      <w:r>
        <w:rPr>
          <w:rStyle w:val="EndnoteReference"/>
        </w:rPr>
        <w:t>8</w:t>
      </w:r>
      <w:r w:rsidR="00A15B03" w:rsidRPr="00C62091">
        <w:t xml:space="preserve"> </w:t>
      </w:r>
      <w:proofErr w:type="spellStart"/>
      <w:r w:rsidR="00A15B03" w:rsidRPr="00C62091">
        <w:t>Sobota</w:t>
      </w:r>
      <w:proofErr w:type="spellEnd"/>
      <w:r w:rsidR="00A15B03" w:rsidRPr="00C62091">
        <w:t xml:space="preserve"> A, Neufeld EJ, </w:t>
      </w:r>
      <w:proofErr w:type="spellStart"/>
      <w:r w:rsidR="00A15B03" w:rsidRPr="00C62091">
        <w:t>Sprinz</w:t>
      </w:r>
      <w:proofErr w:type="spellEnd"/>
      <w:r w:rsidR="00A15B03" w:rsidRPr="00C62091">
        <w:t xml:space="preserve"> P, </w:t>
      </w:r>
      <w:proofErr w:type="spellStart"/>
      <w:r w:rsidR="00A15B03" w:rsidRPr="00C62091">
        <w:t>Heeney</w:t>
      </w:r>
      <w:proofErr w:type="spellEnd"/>
      <w:r w:rsidR="00A15B03" w:rsidRPr="00C62091">
        <w:t xml:space="preserve"> MM. Transition from pediatric to adult care for sickle cell disease: results of a survey of pediatric providers. Am J </w:t>
      </w:r>
      <w:proofErr w:type="spellStart"/>
      <w:r w:rsidR="00A15B03" w:rsidRPr="00C62091">
        <w:t>Hematol</w:t>
      </w:r>
      <w:proofErr w:type="spellEnd"/>
      <w:r w:rsidR="00A15B03" w:rsidRPr="00C62091">
        <w:t>. 2011; 86(6): 512-5.</w:t>
      </w:r>
    </w:p>
    <w:p w:rsidR="00A15B03" w:rsidRPr="00C62091" w:rsidRDefault="00E66B85" w:rsidP="00A15B03">
      <w:pPr>
        <w:pStyle w:val="EndnoteText"/>
      </w:pPr>
      <w:r>
        <w:rPr>
          <w:rStyle w:val="EndnoteReference"/>
        </w:rPr>
        <w:t>9</w:t>
      </w:r>
      <w:r w:rsidR="00A15B03" w:rsidRPr="00C62091">
        <w:t xml:space="preserve"> McClellan CB, Schatz JC, Puffer E, Sanchez CE, </w:t>
      </w:r>
      <w:proofErr w:type="spellStart"/>
      <w:r w:rsidR="00A15B03" w:rsidRPr="00C62091">
        <w:t>Stancil</w:t>
      </w:r>
      <w:proofErr w:type="spellEnd"/>
      <w:r w:rsidR="00A15B03" w:rsidRPr="00C62091">
        <w:t xml:space="preserve"> MT, Roberts CW. Use of handheld wireless technology for a home-based sickle cell pain management protocol. J </w:t>
      </w:r>
      <w:proofErr w:type="spellStart"/>
      <w:r w:rsidR="00A15B03" w:rsidRPr="00C62091">
        <w:t>Pediatr</w:t>
      </w:r>
      <w:proofErr w:type="spellEnd"/>
      <w:r w:rsidR="00A15B03" w:rsidRPr="00C62091">
        <w:t xml:space="preserve"> Psychol. 2009; 34(5): 564-73. </w:t>
      </w:r>
    </w:p>
    <w:p w:rsidR="00A15B03" w:rsidRPr="00C62091" w:rsidRDefault="00E66B85" w:rsidP="00A15B03">
      <w:pPr>
        <w:pStyle w:val="EndnoteText"/>
      </w:pPr>
      <w:r w:rsidRPr="00E66B85">
        <w:rPr>
          <w:vertAlign w:val="superscript"/>
        </w:rPr>
        <w:t>10</w:t>
      </w:r>
      <w:r w:rsidR="00A15B03" w:rsidRPr="00C62091">
        <w:t xml:space="preserve"> Katz DL, </w:t>
      </w:r>
      <w:proofErr w:type="spellStart"/>
      <w:r w:rsidR="00A15B03" w:rsidRPr="00C62091">
        <w:t>Nordwall</w:t>
      </w:r>
      <w:proofErr w:type="spellEnd"/>
      <w:r w:rsidR="00A15B03" w:rsidRPr="00C62091">
        <w:t xml:space="preserve"> B. Novel interactive cell-phone technology for health enhancement. J Diabetes </w:t>
      </w:r>
      <w:proofErr w:type="spellStart"/>
      <w:r w:rsidR="00A15B03" w:rsidRPr="00C62091">
        <w:t>Sci</w:t>
      </w:r>
      <w:proofErr w:type="spellEnd"/>
      <w:r w:rsidR="00A15B03" w:rsidRPr="00C62091">
        <w:t xml:space="preserve"> Technol. 2008; 2(1): 147-53. </w:t>
      </w:r>
    </w:p>
    <w:p w:rsidR="00A15B03" w:rsidRPr="00C62091" w:rsidRDefault="00A15B03" w:rsidP="00A15B03">
      <w:pPr>
        <w:pStyle w:val="EndnoteText"/>
      </w:pPr>
      <w:r>
        <w:rPr>
          <w:rStyle w:val="EndnoteReference"/>
        </w:rPr>
        <w:t>1</w:t>
      </w:r>
      <w:r w:rsidR="00E66B85" w:rsidRPr="00E66B85">
        <w:rPr>
          <w:vertAlign w:val="superscript"/>
        </w:rPr>
        <w:t>1</w:t>
      </w:r>
      <w:r w:rsidRPr="00C62091">
        <w:t xml:space="preserve"> </w:t>
      </w:r>
      <w:proofErr w:type="spellStart"/>
      <w:r w:rsidRPr="00C62091">
        <w:t>Boulos</w:t>
      </w:r>
      <w:proofErr w:type="spellEnd"/>
      <w:r w:rsidRPr="00C62091">
        <w:t xml:space="preserve"> MNK, Wheeler S, Tavares C, Jones R. How smartphones are changing the face of mobile and participatory healthcare: an overview, with example from </w:t>
      </w:r>
      <w:proofErr w:type="spellStart"/>
      <w:r w:rsidRPr="00C62091">
        <w:t>eCAALYX</w:t>
      </w:r>
      <w:proofErr w:type="spellEnd"/>
      <w:r w:rsidRPr="00C62091">
        <w:t xml:space="preserve">. Biomed </w:t>
      </w:r>
      <w:proofErr w:type="spellStart"/>
      <w:r w:rsidRPr="00C62091">
        <w:t>Eng</w:t>
      </w:r>
      <w:proofErr w:type="spellEnd"/>
      <w:r w:rsidRPr="00C62091">
        <w:t xml:space="preserve"> Online. 2011; 10(24): 1-14.</w:t>
      </w:r>
    </w:p>
    <w:p w:rsidR="00A15B03" w:rsidRPr="00C62091" w:rsidRDefault="00A15B03" w:rsidP="00A15B03">
      <w:pPr>
        <w:pStyle w:val="EndnoteText"/>
      </w:pPr>
      <w:r>
        <w:rPr>
          <w:vertAlign w:val="superscript"/>
        </w:rPr>
        <w:t>1</w:t>
      </w:r>
      <w:r w:rsidR="00E66B85">
        <w:rPr>
          <w:vertAlign w:val="superscript"/>
        </w:rPr>
        <w:t>2</w:t>
      </w:r>
      <w:r w:rsidRPr="00C62091">
        <w:t xml:space="preserve"> </w:t>
      </w:r>
      <w:proofErr w:type="spellStart"/>
      <w:r w:rsidRPr="00C62091">
        <w:t>Forjuoh</w:t>
      </w:r>
      <w:proofErr w:type="spellEnd"/>
      <w:r w:rsidRPr="00C62091">
        <w:t xml:space="preserve"> SN, Reis MD, </w:t>
      </w:r>
      <w:proofErr w:type="spellStart"/>
      <w:r w:rsidRPr="00C62091">
        <w:t>Couchman</w:t>
      </w:r>
      <w:proofErr w:type="spellEnd"/>
      <w:r w:rsidRPr="00C62091">
        <w:t xml:space="preserve"> GR, </w:t>
      </w:r>
      <w:proofErr w:type="spellStart"/>
      <w:r w:rsidRPr="00C62091">
        <w:t>Ory</w:t>
      </w:r>
      <w:proofErr w:type="spellEnd"/>
      <w:r w:rsidRPr="00C62091">
        <w:t xml:space="preserve"> MG, Mason S, </w:t>
      </w:r>
      <w:proofErr w:type="spellStart"/>
      <w:r w:rsidRPr="00C62091">
        <w:t>Molonket</w:t>
      </w:r>
      <w:proofErr w:type="spellEnd"/>
      <w:r w:rsidRPr="00C62091">
        <w:t>-Lanning S. Incorporating PDA use in diabetes self-care: a central Texas Primary Care Research Network (</w:t>
      </w:r>
      <w:proofErr w:type="spellStart"/>
      <w:r w:rsidRPr="00C62091">
        <w:t>CenTexNet</w:t>
      </w:r>
      <w:proofErr w:type="spellEnd"/>
      <w:r w:rsidRPr="00C62091">
        <w:t xml:space="preserve">) study. J Am Board </w:t>
      </w:r>
      <w:proofErr w:type="spellStart"/>
      <w:r w:rsidRPr="00C62091">
        <w:t>Fam</w:t>
      </w:r>
      <w:proofErr w:type="spellEnd"/>
      <w:r w:rsidRPr="00C62091">
        <w:t xml:space="preserve"> Med. 2007; 20(4): 375-84. </w:t>
      </w:r>
    </w:p>
    <w:p w:rsidR="00A15B03" w:rsidRPr="00C62091" w:rsidRDefault="00A15B03" w:rsidP="00A15B03">
      <w:pPr>
        <w:pStyle w:val="EndnoteText"/>
      </w:pPr>
      <w:r>
        <w:rPr>
          <w:vertAlign w:val="superscript"/>
        </w:rPr>
        <w:t>1</w:t>
      </w:r>
      <w:r w:rsidR="00E66B85">
        <w:rPr>
          <w:vertAlign w:val="superscript"/>
        </w:rPr>
        <w:t>3</w:t>
      </w:r>
      <w:r w:rsidRPr="00C62091">
        <w:t xml:space="preserve"> Malone DC, </w:t>
      </w:r>
      <w:proofErr w:type="spellStart"/>
      <w:r w:rsidRPr="00C62091">
        <w:t>Saverno</w:t>
      </w:r>
      <w:proofErr w:type="spellEnd"/>
      <w:r w:rsidRPr="00C62091">
        <w:t xml:space="preserve"> KR. Evaluation of a wireless handheld medication management device in the prevention of drug-drug interactions in a Medicaid population. J </w:t>
      </w:r>
      <w:proofErr w:type="spellStart"/>
      <w:r w:rsidRPr="00C62091">
        <w:t>Manag</w:t>
      </w:r>
      <w:proofErr w:type="spellEnd"/>
      <w:r w:rsidRPr="00C62091">
        <w:t xml:space="preserve"> Care Pharm. 2012; 18(1): 33-45.</w:t>
      </w:r>
    </w:p>
    <w:p w:rsidR="00A15B03" w:rsidRPr="00C62091" w:rsidRDefault="00A15B03" w:rsidP="00A15B03">
      <w:pPr>
        <w:pStyle w:val="EndnoteText"/>
      </w:pPr>
      <w:r>
        <w:rPr>
          <w:vertAlign w:val="superscript"/>
        </w:rPr>
        <w:t>1</w:t>
      </w:r>
      <w:r w:rsidR="00E66B85">
        <w:rPr>
          <w:vertAlign w:val="superscript"/>
        </w:rPr>
        <w:t>4</w:t>
      </w:r>
      <w:r w:rsidRPr="00C62091">
        <w:t xml:space="preserve"> </w:t>
      </w:r>
      <w:proofErr w:type="spellStart"/>
      <w:r w:rsidRPr="00C62091">
        <w:t>Alsos</w:t>
      </w:r>
      <w:proofErr w:type="spellEnd"/>
      <w:r w:rsidRPr="00C62091">
        <w:t xml:space="preserve"> OA, Das A, </w:t>
      </w:r>
      <w:proofErr w:type="spellStart"/>
      <w:r w:rsidRPr="00C62091">
        <w:t>Svanæs</w:t>
      </w:r>
      <w:proofErr w:type="spellEnd"/>
      <w:r w:rsidRPr="00C62091">
        <w:t xml:space="preserve"> D. Mobile health IT: the effect of user interface and form factor on doctor-patient communication. </w:t>
      </w:r>
      <w:proofErr w:type="spellStart"/>
      <w:r w:rsidRPr="00C62091">
        <w:t>Int</w:t>
      </w:r>
      <w:proofErr w:type="spellEnd"/>
      <w:r w:rsidRPr="00C62091">
        <w:t xml:space="preserve"> J Med Inform. 2012; 81(1): 12-28. </w:t>
      </w:r>
    </w:p>
    <w:p w:rsidR="00A15B03" w:rsidRPr="00C62091" w:rsidRDefault="00A15B03" w:rsidP="00A15B03">
      <w:pPr>
        <w:pStyle w:val="EndnoteText"/>
      </w:pPr>
      <w:r>
        <w:rPr>
          <w:rStyle w:val="EndnoteReference"/>
        </w:rPr>
        <w:t>1</w:t>
      </w:r>
      <w:r w:rsidR="00E66B85">
        <w:rPr>
          <w:rStyle w:val="EndnoteReference"/>
        </w:rPr>
        <w:t>5</w:t>
      </w:r>
      <w:r w:rsidRPr="00C62091">
        <w:t xml:space="preserve"> "Sickle Cell Disease: Increasing Access and Improving Care." </w:t>
      </w:r>
      <w:r w:rsidRPr="00C62091">
        <w:rPr>
          <w:i/>
          <w:iCs/>
        </w:rPr>
        <w:t>The Office of Minority Health</w:t>
      </w:r>
      <w:r w:rsidRPr="00C62091">
        <w:t>. Web. 8 Aug. 2011. &lt;http://minorityhealth.hhs.gov/templates/browse.aspx?lvl=2&gt;.</w:t>
      </w:r>
    </w:p>
    <w:p w:rsidR="00A15B03" w:rsidRPr="00C62091" w:rsidRDefault="00A15B03" w:rsidP="00A15B03">
      <w:pPr>
        <w:pStyle w:val="EndnoteText"/>
      </w:pPr>
      <w:r>
        <w:rPr>
          <w:rStyle w:val="EndnoteReference"/>
        </w:rPr>
        <w:t>1</w:t>
      </w:r>
      <w:r w:rsidRPr="00A15B03">
        <w:rPr>
          <w:vertAlign w:val="superscript"/>
        </w:rPr>
        <w:t>6</w:t>
      </w:r>
      <w:r w:rsidRPr="00C62091">
        <w:t xml:space="preserve"> </w:t>
      </w:r>
      <w:proofErr w:type="spellStart"/>
      <w:r w:rsidRPr="00C62091">
        <w:rPr>
          <w:color w:val="222222"/>
        </w:rPr>
        <w:t>Atkin</w:t>
      </w:r>
      <w:proofErr w:type="spellEnd"/>
      <w:r w:rsidRPr="00C62091">
        <w:rPr>
          <w:color w:val="222222"/>
        </w:rPr>
        <w:t xml:space="preserve">, Karl, and </w:t>
      </w:r>
      <w:proofErr w:type="spellStart"/>
      <w:r w:rsidRPr="00C62091">
        <w:rPr>
          <w:color w:val="222222"/>
        </w:rPr>
        <w:t>Sangeeta</w:t>
      </w:r>
      <w:proofErr w:type="spellEnd"/>
      <w:r w:rsidRPr="00C62091">
        <w:rPr>
          <w:color w:val="222222"/>
        </w:rPr>
        <w:t xml:space="preserve"> </w:t>
      </w:r>
      <w:proofErr w:type="spellStart"/>
      <w:r w:rsidRPr="00C62091">
        <w:rPr>
          <w:color w:val="222222"/>
        </w:rPr>
        <w:t>Chattoo</w:t>
      </w:r>
      <w:proofErr w:type="spellEnd"/>
      <w:r w:rsidRPr="00C62091">
        <w:rPr>
          <w:color w:val="222222"/>
        </w:rPr>
        <w:t xml:space="preserve">. "Approaches to conducting qualitative research in ethnically diverse populations." </w:t>
      </w:r>
      <w:r w:rsidRPr="00C62091">
        <w:rPr>
          <w:i/>
          <w:iCs/>
          <w:color w:val="222222"/>
        </w:rPr>
        <w:t>Health and social research in multiethnic societies</w:t>
      </w:r>
      <w:r w:rsidRPr="00C62091">
        <w:rPr>
          <w:color w:val="222222"/>
        </w:rPr>
        <w:t xml:space="preserve"> (2006): 95-115.</w:t>
      </w:r>
    </w:p>
    <w:p w:rsidR="00A15B03" w:rsidRPr="00C62091" w:rsidRDefault="00A15B03" w:rsidP="00A15B03">
      <w:pPr>
        <w:pStyle w:val="EndnoteText"/>
      </w:pPr>
      <w:r>
        <w:rPr>
          <w:rStyle w:val="EndnoteReference"/>
        </w:rPr>
        <w:t>1</w:t>
      </w:r>
      <w:r w:rsidRPr="00A15B03">
        <w:rPr>
          <w:vertAlign w:val="superscript"/>
        </w:rPr>
        <w:t>7</w:t>
      </w:r>
      <w:r w:rsidRPr="00C62091">
        <w:t xml:space="preserve"> </w:t>
      </w:r>
      <w:proofErr w:type="spellStart"/>
      <w:r w:rsidRPr="00C62091">
        <w:t>Treadwall</w:t>
      </w:r>
      <w:proofErr w:type="spellEnd"/>
      <w:r w:rsidRPr="00C62091">
        <w:t xml:space="preserve">, Marsha J., </w:t>
      </w:r>
      <w:proofErr w:type="spellStart"/>
      <w:r w:rsidRPr="00C62091">
        <w:t>Lakenya</w:t>
      </w:r>
      <w:proofErr w:type="spellEnd"/>
      <w:r w:rsidRPr="00C62091">
        <w:t xml:space="preserve"> </w:t>
      </w:r>
      <w:proofErr w:type="spellStart"/>
      <w:r w:rsidRPr="00C62091">
        <w:t>McClough</w:t>
      </w:r>
      <w:proofErr w:type="spellEnd"/>
      <w:r w:rsidRPr="00C62091">
        <w:t xml:space="preserve">, and Elliott </w:t>
      </w:r>
      <w:proofErr w:type="spellStart"/>
      <w:r w:rsidRPr="00C62091">
        <w:t>Vichinsky</w:t>
      </w:r>
      <w:proofErr w:type="spellEnd"/>
      <w:r w:rsidRPr="00C62091">
        <w:t xml:space="preserve">. "Using Qualitative and Quantitative Strategies to Evaluate Knowledge and Perceptions about Sickle Cell Disease and Sickle Cell Trait." </w:t>
      </w:r>
      <w:r w:rsidRPr="00C62091">
        <w:rPr>
          <w:i/>
          <w:iCs/>
        </w:rPr>
        <w:t>Journal of the National Medical Association</w:t>
      </w:r>
      <w:r w:rsidRPr="00C62091">
        <w:t xml:space="preserve"> 98.5 (2006): 704-10. Web. Oct. 2012. &lt;http://www.ncbi.nlm.nih.gov/pmc/articles/PMC2569269/&gt;.</w:t>
      </w:r>
    </w:p>
    <w:p w:rsidR="00A15B03" w:rsidRPr="00C62091" w:rsidRDefault="00A15B03" w:rsidP="00A15B03">
      <w:pPr>
        <w:pStyle w:val="EndnoteText"/>
      </w:pPr>
      <w:r>
        <w:rPr>
          <w:rStyle w:val="EndnoteReference"/>
        </w:rPr>
        <w:t>1</w:t>
      </w:r>
      <w:r w:rsidRPr="00A15B03">
        <w:rPr>
          <w:vertAlign w:val="superscript"/>
        </w:rPr>
        <w:t>8</w:t>
      </w:r>
      <w:r w:rsidRPr="00C62091">
        <w:t xml:space="preserve"> Crosby, Lori E., </w:t>
      </w:r>
      <w:proofErr w:type="spellStart"/>
      <w:r w:rsidRPr="00C62091">
        <w:t>Avani</w:t>
      </w:r>
      <w:proofErr w:type="spellEnd"/>
      <w:r w:rsidRPr="00C62091">
        <w:t xml:space="preserve"> C. </w:t>
      </w:r>
      <w:proofErr w:type="spellStart"/>
      <w:r w:rsidRPr="00C62091">
        <w:t>Modi</w:t>
      </w:r>
      <w:proofErr w:type="spellEnd"/>
      <w:r w:rsidRPr="00C62091">
        <w:t xml:space="preserve">, Kathleen L. </w:t>
      </w:r>
      <w:proofErr w:type="spellStart"/>
      <w:r w:rsidRPr="00C62091">
        <w:t>Lemanek</w:t>
      </w:r>
      <w:proofErr w:type="spellEnd"/>
      <w:r w:rsidRPr="00C62091">
        <w:t xml:space="preserve">, Shanna M. </w:t>
      </w:r>
      <w:proofErr w:type="spellStart"/>
      <w:r w:rsidRPr="00C62091">
        <w:t>Guilfoyle</w:t>
      </w:r>
      <w:proofErr w:type="spellEnd"/>
      <w:r w:rsidRPr="00C62091">
        <w:t xml:space="preserve">, Karen A. </w:t>
      </w:r>
      <w:proofErr w:type="spellStart"/>
      <w:r w:rsidRPr="00C62091">
        <w:t>Kalinyak</w:t>
      </w:r>
      <w:proofErr w:type="spellEnd"/>
      <w:r w:rsidRPr="00C62091">
        <w:t xml:space="preserve">, and Monica J. Mitchell. "Perceived Barriers to Clinic Appointments for Adolescents With Sickle Cell Disease." </w:t>
      </w:r>
      <w:r w:rsidRPr="00C62091">
        <w:rPr>
          <w:i/>
          <w:iCs/>
        </w:rPr>
        <w:t>Journal of Pediatric Hematology/Oncology</w:t>
      </w:r>
      <w:r w:rsidRPr="00C62091">
        <w:t xml:space="preserve"> 31.8 (2009): 571-76. Web. &lt;http://www.ncbi.nlm.nih.gov/pmc/articles/PMC2750821/&gt;.</w:t>
      </w:r>
    </w:p>
    <w:p w:rsidR="00A15B03" w:rsidRPr="00C62091" w:rsidRDefault="00A15B03" w:rsidP="00A15B03">
      <w:pPr>
        <w:pStyle w:val="EndnoteText"/>
      </w:pPr>
      <w:r>
        <w:rPr>
          <w:rStyle w:val="EndnoteReference"/>
        </w:rPr>
        <w:lastRenderedPageBreak/>
        <w:t>1</w:t>
      </w:r>
      <w:r w:rsidRPr="00A15B03">
        <w:rPr>
          <w:vertAlign w:val="superscript"/>
        </w:rPr>
        <w:t>9</w:t>
      </w:r>
      <w:r w:rsidRPr="00C62091">
        <w:t xml:space="preserve"> Carroll, Aaron E., David G. Marrero, and Melinda M. Swenson. "Why Do Adolescents With Type 1 Diabetes and Their Parents Participate in Focus Groups?" </w:t>
      </w:r>
      <w:r w:rsidRPr="00C62091">
        <w:rPr>
          <w:i/>
          <w:iCs/>
        </w:rPr>
        <w:t>Research and Theory for Nursing Practice</w:t>
      </w:r>
      <w:r w:rsidRPr="00C62091">
        <w:t xml:space="preserve"> 21.2 (2007): 135-42. Web. &lt;http://www.ncbi.nlm.nih.gov/pubmed/17564300&gt;.</w:t>
      </w:r>
    </w:p>
    <w:p w:rsidR="00A15B03" w:rsidRPr="00C62091" w:rsidRDefault="00A15B03" w:rsidP="00A15B03">
      <w:pPr>
        <w:pStyle w:val="EndnoteText"/>
      </w:pPr>
      <w:r>
        <w:rPr>
          <w:rStyle w:val="EndnoteReference"/>
        </w:rPr>
        <w:t>2</w:t>
      </w:r>
      <w:r w:rsidRPr="00A15B03">
        <w:rPr>
          <w:vertAlign w:val="superscript"/>
        </w:rPr>
        <w:t>0</w:t>
      </w:r>
      <w:r w:rsidRPr="00C62091">
        <w:t xml:space="preserve"> Cornelius, JB, JS Lawrence, JC Howard, D. Shah, A. </w:t>
      </w:r>
      <w:proofErr w:type="spellStart"/>
      <w:r w:rsidRPr="00C62091">
        <w:t>Poka</w:t>
      </w:r>
      <w:proofErr w:type="spellEnd"/>
      <w:r w:rsidRPr="00C62091">
        <w:t xml:space="preserve">, D. McDonald, and AC White. "Adolescents' Perceptions of a Mobile Cell Phone Text Messaging-enhanced Intervention and Development of a Mobile Cell Phone-based HIV Prevention Intervention." </w:t>
      </w:r>
      <w:r w:rsidRPr="00C62091">
        <w:rPr>
          <w:i/>
          <w:iCs/>
        </w:rPr>
        <w:t>Journal for Specialists in Pediatric Nursing</w:t>
      </w:r>
      <w:r w:rsidRPr="00C62091">
        <w:t xml:space="preserve"> 17.1 (2012): 61-69. Web. &lt;http://www.ncbi.nlm.nih.gov/pubmed/22188273&gt;.</w:t>
      </w:r>
    </w:p>
    <w:p w:rsidR="00A15B03" w:rsidRPr="00C62091" w:rsidRDefault="00A15B03" w:rsidP="00A15B03">
      <w:pPr>
        <w:pStyle w:val="EndnoteText"/>
      </w:pPr>
      <w:r>
        <w:rPr>
          <w:rStyle w:val="EndnoteReference"/>
        </w:rPr>
        <w:t>2</w:t>
      </w:r>
      <w:r w:rsidRPr="00A15B03">
        <w:rPr>
          <w:vertAlign w:val="superscript"/>
        </w:rPr>
        <w:t>1</w:t>
      </w:r>
      <w:r w:rsidRPr="00C62091">
        <w:t xml:space="preserve"> Carroll, Aaron E., David G. Marrero, and Melinda M. Swenson. "Why Do Adolescents With Type 1 Diabetes and Their Parents Participate in Focus Groups?" </w:t>
      </w:r>
      <w:r w:rsidRPr="00C62091">
        <w:rPr>
          <w:i/>
          <w:iCs/>
        </w:rPr>
        <w:t>Research and Theory for Nursing Practice</w:t>
      </w:r>
      <w:r w:rsidRPr="00C62091">
        <w:t xml:space="preserve"> 21.2 (2007): 135-42. Web. &lt;http://www.ncbi.nlm.nih.gov/pubmed/17564300&gt;.</w:t>
      </w:r>
    </w:p>
    <w:p w:rsidR="0048215A" w:rsidRDefault="00A15B03" w:rsidP="00A15B03">
      <w:pPr>
        <w:pStyle w:val="EndnoteText"/>
      </w:pPr>
      <w:r>
        <w:rPr>
          <w:rStyle w:val="EndnoteReference"/>
        </w:rPr>
        <w:t>2</w:t>
      </w:r>
      <w:r w:rsidRPr="00A15B03">
        <w:rPr>
          <w:vertAlign w:val="superscript"/>
        </w:rPr>
        <w:t>2</w:t>
      </w:r>
      <w:r w:rsidRPr="00C62091">
        <w:t xml:space="preserve"> "The Use of Incentives in Surveys." Council of Professional Associations on Federal Statistics. Web. Oct. 2012. &lt;http://www.copafs.org/seminars/use_of_incentives_in_surveys.aspx&gt;.</w:t>
      </w:r>
    </w:p>
    <w:sectPr w:rsidR="004821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5B3" w:rsidRDefault="005405B3" w:rsidP="005405B3">
      <w:pPr>
        <w:spacing w:after="0" w:line="240" w:lineRule="auto"/>
      </w:pPr>
      <w:r>
        <w:separator/>
      </w:r>
    </w:p>
  </w:endnote>
  <w:endnote w:type="continuationSeparator" w:id="0">
    <w:p w:rsidR="005405B3" w:rsidRDefault="005405B3" w:rsidP="00540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975209506"/>
      <w:docPartObj>
        <w:docPartGallery w:val="Page Numbers (Bottom of Page)"/>
        <w:docPartUnique/>
      </w:docPartObj>
    </w:sdtPr>
    <w:sdtEndPr>
      <w:rPr>
        <w:noProof/>
      </w:rPr>
    </w:sdtEndPr>
    <w:sdtContent>
      <w:p w:rsidR="005405B3" w:rsidRPr="005405B3" w:rsidRDefault="00604036" w:rsidP="005405B3">
        <w:pPr>
          <w:pStyle w:val="Footer"/>
          <w:jc w:val="right"/>
          <w:rPr>
            <w:rFonts w:ascii="Times New Roman" w:hAnsi="Times New Roman" w:cs="Times New Roman"/>
            <w:sz w:val="20"/>
          </w:rPr>
        </w:pPr>
        <w:r>
          <w:rPr>
            <w:rFonts w:ascii="Times New Roman" w:hAnsi="Times New Roman" w:cs="Times New Roman"/>
            <w:sz w:val="20"/>
          </w:rPr>
          <w:t>12</w:t>
        </w:r>
        <w:r w:rsidR="005405B3" w:rsidRPr="005405B3">
          <w:rPr>
            <w:rFonts w:ascii="Times New Roman" w:hAnsi="Times New Roman" w:cs="Times New Roman"/>
            <w:sz w:val="20"/>
          </w:rPr>
          <w:t>-</w:t>
        </w:r>
        <w:r w:rsidR="005405B3" w:rsidRPr="005405B3">
          <w:rPr>
            <w:rFonts w:ascii="Times New Roman" w:hAnsi="Times New Roman" w:cs="Times New Roman"/>
            <w:sz w:val="20"/>
          </w:rPr>
          <w:fldChar w:fldCharType="begin"/>
        </w:r>
        <w:r w:rsidR="005405B3" w:rsidRPr="005405B3">
          <w:rPr>
            <w:rFonts w:ascii="Times New Roman" w:hAnsi="Times New Roman" w:cs="Times New Roman"/>
            <w:sz w:val="20"/>
          </w:rPr>
          <w:instrText xml:space="preserve"> PAGE   \* MERGEFORMAT </w:instrText>
        </w:r>
        <w:r w:rsidR="005405B3" w:rsidRPr="005405B3">
          <w:rPr>
            <w:rFonts w:ascii="Times New Roman" w:hAnsi="Times New Roman" w:cs="Times New Roman"/>
            <w:sz w:val="20"/>
          </w:rPr>
          <w:fldChar w:fldCharType="separate"/>
        </w:r>
        <w:r>
          <w:rPr>
            <w:rFonts w:ascii="Times New Roman" w:hAnsi="Times New Roman" w:cs="Times New Roman"/>
            <w:noProof/>
            <w:sz w:val="20"/>
          </w:rPr>
          <w:t>1</w:t>
        </w:r>
        <w:r w:rsidR="005405B3" w:rsidRPr="005405B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5B3" w:rsidRDefault="005405B3" w:rsidP="005405B3">
      <w:pPr>
        <w:spacing w:after="0" w:line="240" w:lineRule="auto"/>
      </w:pPr>
      <w:r>
        <w:separator/>
      </w:r>
    </w:p>
  </w:footnote>
  <w:footnote w:type="continuationSeparator" w:id="0">
    <w:p w:rsidR="005405B3" w:rsidRDefault="005405B3" w:rsidP="005405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15A"/>
    <w:rsid w:val="00481210"/>
    <w:rsid w:val="0048215A"/>
    <w:rsid w:val="005405B3"/>
    <w:rsid w:val="00604036"/>
    <w:rsid w:val="00880C42"/>
    <w:rsid w:val="00A15B03"/>
    <w:rsid w:val="00AB4CC9"/>
    <w:rsid w:val="00C75329"/>
    <w:rsid w:val="00E66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15A"/>
    <w:pPr>
      <w:keepNext/>
      <w:keepLines/>
      <w:spacing w:after="240" w:line="240" w:lineRule="auto"/>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8215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EndnoteText">
    <w:name w:val="endnote text"/>
    <w:basedOn w:val="Normal"/>
    <w:link w:val="EndnoteTextChar"/>
    <w:rsid w:val="0048215A"/>
    <w:pPr>
      <w:spacing w:after="120" w:line="240" w:lineRule="auto"/>
      <w:ind w:left="360" w:hanging="360"/>
    </w:pPr>
    <w:rPr>
      <w:rFonts w:ascii="Times New Roman" w:eastAsia="Times New Roman" w:hAnsi="Times New Roman" w:cs="Times New Roman"/>
      <w:spacing w:val="-2"/>
      <w:sz w:val="20"/>
      <w:szCs w:val="20"/>
    </w:rPr>
  </w:style>
  <w:style w:type="character" w:customStyle="1" w:styleId="EndnoteTextChar">
    <w:name w:val="Endnote Text Char"/>
    <w:basedOn w:val="DefaultParagraphFont"/>
    <w:link w:val="EndnoteText"/>
    <w:rsid w:val="0048215A"/>
    <w:rPr>
      <w:rFonts w:ascii="Times New Roman" w:eastAsia="Times New Roman" w:hAnsi="Times New Roman" w:cs="Times New Roman"/>
      <w:spacing w:val="-2"/>
      <w:sz w:val="20"/>
      <w:szCs w:val="20"/>
    </w:rPr>
  </w:style>
  <w:style w:type="character" w:styleId="EndnoteReference">
    <w:name w:val="endnote reference"/>
    <w:rsid w:val="0048215A"/>
    <w:rPr>
      <w:vertAlign w:val="superscript"/>
    </w:rPr>
  </w:style>
  <w:style w:type="character" w:customStyle="1" w:styleId="Heading1Char">
    <w:name w:val="Heading 1 Char"/>
    <w:basedOn w:val="DefaultParagraphFont"/>
    <w:link w:val="Heading1"/>
    <w:uiPriority w:val="9"/>
    <w:rsid w:val="0048215A"/>
    <w:rPr>
      <w:rFonts w:ascii="Arial" w:eastAsiaTheme="majorEastAsia" w:hAnsi="Arial" w:cstheme="majorBidi"/>
      <w:b/>
      <w:bCs/>
      <w:sz w:val="28"/>
      <w:szCs w:val="28"/>
    </w:rPr>
  </w:style>
  <w:style w:type="character" w:styleId="Hyperlink">
    <w:name w:val="Hyperlink"/>
    <w:uiPriority w:val="99"/>
    <w:rsid w:val="00C75329"/>
    <w:rPr>
      <w:color w:val="0000FF"/>
      <w:u w:val="single"/>
    </w:rPr>
  </w:style>
  <w:style w:type="character" w:styleId="FootnoteReference">
    <w:name w:val="footnote reference"/>
    <w:semiHidden/>
    <w:rsid w:val="00A15B03"/>
    <w:rPr>
      <w:vertAlign w:val="superscript"/>
    </w:rPr>
  </w:style>
  <w:style w:type="paragraph" w:styleId="Header">
    <w:name w:val="header"/>
    <w:basedOn w:val="Normal"/>
    <w:link w:val="HeaderChar"/>
    <w:uiPriority w:val="99"/>
    <w:unhideWhenUsed/>
    <w:rsid w:val="00540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B3"/>
  </w:style>
  <w:style w:type="paragraph" w:styleId="Footer">
    <w:name w:val="footer"/>
    <w:basedOn w:val="Normal"/>
    <w:link w:val="FooterChar"/>
    <w:uiPriority w:val="99"/>
    <w:unhideWhenUsed/>
    <w:rsid w:val="00540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5B3"/>
  </w:style>
  <w:style w:type="paragraph" w:styleId="BalloonText">
    <w:name w:val="Balloon Text"/>
    <w:basedOn w:val="Normal"/>
    <w:link w:val="BalloonTextChar"/>
    <w:uiPriority w:val="99"/>
    <w:semiHidden/>
    <w:unhideWhenUsed/>
    <w:rsid w:val="00E6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215A"/>
    <w:pPr>
      <w:keepNext/>
      <w:keepLines/>
      <w:spacing w:after="240" w:line="240" w:lineRule="auto"/>
      <w:outlineLvl w:val="0"/>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8215A"/>
    <w:pPr>
      <w:tabs>
        <w:tab w:val="right" w:leader="dot" w:pos="9360"/>
      </w:tabs>
      <w:spacing w:before="240" w:after="120" w:line="240" w:lineRule="auto"/>
    </w:pPr>
    <w:rPr>
      <w:rFonts w:ascii="Times New Roman" w:eastAsia="Times New Roman" w:hAnsi="Times New Roman" w:cs="Times New Roman"/>
      <w:b/>
      <w:spacing w:val="-2"/>
      <w:sz w:val="24"/>
      <w:szCs w:val="24"/>
    </w:rPr>
  </w:style>
  <w:style w:type="paragraph" w:styleId="EndnoteText">
    <w:name w:val="endnote text"/>
    <w:basedOn w:val="Normal"/>
    <w:link w:val="EndnoteTextChar"/>
    <w:rsid w:val="0048215A"/>
    <w:pPr>
      <w:spacing w:after="120" w:line="240" w:lineRule="auto"/>
      <w:ind w:left="360" w:hanging="360"/>
    </w:pPr>
    <w:rPr>
      <w:rFonts w:ascii="Times New Roman" w:eastAsia="Times New Roman" w:hAnsi="Times New Roman" w:cs="Times New Roman"/>
      <w:spacing w:val="-2"/>
      <w:sz w:val="20"/>
      <w:szCs w:val="20"/>
    </w:rPr>
  </w:style>
  <w:style w:type="character" w:customStyle="1" w:styleId="EndnoteTextChar">
    <w:name w:val="Endnote Text Char"/>
    <w:basedOn w:val="DefaultParagraphFont"/>
    <w:link w:val="EndnoteText"/>
    <w:rsid w:val="0048215A"/>
    <w:rPr>
      <w:rFonts w:ascii="Times New Roman" w:eastAsia="Times New Roman" w:hAnsi="Times New Roman" w:cs="Times New Roman"/>
      <w:spacing w:val="-2"/>
      <w:sz w:val="20"/>
      <w:szCs w:val="20"/>
    </w:rPr>
  </w:style>
  <w:style w:type="character" w:styleId="EndnoteReference">
    <w:name w:val="endnote reference"/>
    <w:rsid w:val="0048215A"/>
    <w:rPr>
      <w:vertAlign w:val="superscript"/>
    </w:rPr>
  </w:style>
  <w:style w:type="character" w:customStyle="1" w:styleId="Heading1Char">
    <w:name w:val="Heading 1 Char"/>
    <w:basedOn w:val="DefaultParagraphFont"/>
    <w:link w:val="Heading1"/>
    <w:uiPriority w:val="9"/>
    <w:rsid w:val="0048215A"/>
    <w:rPr>
      <w:rFonts w:ascii="Arial" w:eastAsiaTheme="majorEastAsia" w:hAnsi="Arial" w:cstheme="majorBidi"/>
      <w:b/>
      <w:bCs/>
      <w:sz w:val="28"/>
      <w:szCs w:val="28"/>
    </w:rPr>
  </w:style>
  <w:style w:type="character" w:styleId="Hyperlink">
    <w:name w:val="Hyperlink"/>
    <w:uiPriority w:val="99"/>
    <w:rsid w:val="00C75329"/>
    <w:rPr>
      <w:color w:val="0000FF"/>
      <w:u w:val="single"/>
    </w:rPr>
  </w:style>
  <w:style w:type="character" w:styleId="FootnoteReference">
    <w:name w:val="footnote reference"/>
    <w:semiHidden/>
    <w:rsid w:val="00A15B03"/>
    <w:rPr>
      <w:vertAlign w:val="superscript"/>
    </w:rPr>
  </w:style>
  <w:style w:type="paragraph" w:styleId="Header">
    <w:name w:val="header"/>
    <w:basedOn w:val="Normal"/>
    <w:link w:val="HeaderChar"/>
    <w:uiPriority w:val="99"/>
    <w:unhideWhenUsed/>
    <w:rsid w:val="00540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5B3"/>
  </w:style>
  <w:style w:type="paragraph" w:styleId="Footer">
    <w:name w:val="footer"/>
    <w:basedOn w:val="Normal"/>
    <w:link w:val="FooterChar"/>
    <w:uiPriority w:val="99"/>
    <w:unhideWhenUsed/>
    <w:rsid w:val="00540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5B3"/>
  </w:style>
  <w:style w:type="paragraph" w:styleId="BalloonText">
    <w:name w:val="Balloon Text"/>
    <w:basedOn w:val="Normal"/>
    <w:link w:val="BalloonTextChar"/>
    <w:uiPriority w:val="99"/>
    <w:semiHidden/>
    <w:unhideWhenUsed/>
    <w:rsid w:val="00E66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Faulk</dc:creator>
  <cp:keywords/>
  <dc:description/>
  <cp:lastModifiedBy>Debbie Faulk</cp:lastModifiedBy>
  <cp:revision>6</cp:revision>
  <cp:lastPrinted>2012-12-10T20:31:00Z</cp:lastPrinted>
  <dcterms:created xsi:type="dcterms:W3CDTF">2012-10-31T17:37:00Z</dcterms:created>
  <dcterms:modified xsi:type="dcterms:W3CDTF">2012-12-10T23:51:00Z</dcterms:modified>
</cp:coreProperties>
</file>