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8B" w:rsidRPr="00945C09" w:rsidRDefault="0039748B" w:rsidP="0039748B">
      <w:pPr>
        <w:pStyle w:val="Heading2"/>
        <w:spacing w:before="0" w:line="240" w:lineRule="auto"/>
        <w:jc w:val="center"/>
        <w:rPr>
          <w:rFonts w:asciiTheme="minorHAnsi" w:hAnsiTheme="minorHAnsi" w:cstheme="minorHAnsi"/>
          <w:b w:val="0"/>
          <w:i w:val="0"/>
          <w:sz w:val="22"/>
          <w:szCs w:val="22"/>
        </w:rPr>
      </w:pPr>
      <w:bookmarkStart w:id="0" w:name="_GoBack"/>
      <w:bookmarkEnd w:id="0"/>
      <w:r w:rsidRPr="00945C09">
        <w:rPr>
          <w:rFonts w:asciiTheme="minorHAnsi" w:hAnsiTheme="minorHAnsi" w:cstheme="minorHAnsi"/>
          <w:b w:val="0"/>
          <w:i w:val="0"/>
          <w:sz w:val="22"/>
          <w:szCs w:val="22"/>
        </w:rPr>
        <w:t>Attachment 4.2</w:t>
      </w:r>
    </w:p>
    <w:p w:rsidR="0039748B" w:rsidRPr="00945C09" w:rsidRDefault="0039748B" w:rsidP="0039748B">
      <w:pPr>
        <w:jc w:val="center"/>
        <w:rPr>
          <w:rFonts w:ascii="Calibri" w:hAnsi="Calibri" w:cs="Calibri"/>
          <w:sz w:val="22"/>
          <w:szCs w:val="22"/>
        </w:rPr>
      </w:pPr>
      <w:r w:rsidRPr="00945C09">
        <w:rPr>
          <w:rFonts w:ascii="Calibri" w:hAnsi="Calibri" w:cs="Calibri"/>
          <w:sz w:val="22"/>
          <w:szCs w:val="22"/>
        </w:rPr>
        <w:t>Anniston Community Health Survey: Follow up Study and Dioxin Analyses</w:t>
      </w:r>
    </w:p>
    <w:p w:rsidR="0039748B" w:rsidRPr="00945C09" w:rsidRDefault="0039748B" w:rsidP="0039748B">
      <w:pPr>
        <w:jc w:val="center"/>
        <w:rPr>
          <w:rFonts w:ascii="Calibri" w:hAnsi="Calibri" w:cs="Calibri"/>
          <w:b/>
          <w:sz w:val="22"/>
          <w:szCs w:val="22"/>
        </w:rPr>
      </w:pPr>
      <w:r w:rsidRPr="00945C09">
        <w:rPr>
          <w:rFonts w:ascii="Calibri" w:hAnsi="Calibri" w:cs="Calibri"/>
          <w:b/>
          <w:sz w:val="22"/>
          <w:szCs w:val="22"/>
        </w:rPr>
        <w:t xml:space="preserve">Reportable Clinical Test </w:t>
      </w:r>
    </w:p>
    <w:p w:rsidR="0039748B" w:rsidRDefault="0039748B" w:rsidP="0039748B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</w:p>
    <w:p w:rsidR="0039748B" w:rsidRPr="002C56AC" w:rsidRDefault="0039748B" w:rsidP="0039748B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2C56AC">
        <w:rPr>
          <w:rFonts w:asciiTheme="minorHAnsi" w:hAnsiTheme="minorHAnsi" w:cstheme="minorHAnsi"/>
          <w:i w:val="0"/>
          <w:sz w:val="22"/>
        </w:rPr>
        <w:t xml:space="preserve">Table 1. </w:t>
      </w:r>
      <w:r>
        <w:rPr>
          <w:rFonts w:asciiTheme="minorHAnsi" w:hAnsiTheme="minorHAnsi" w:cstheme="minorHAnsi"/>
          <w:b w:val="0"/>
          <w:i w:val="0"/>
          <w:sz w:val="22"/>
        </w:rPr>
        <w:t>C</w:t>
      </w:r>
      <w:r w:rsidRPr="002C56AC">
        <w:rPr>
          <w:rFonts w:asciiTheme="minorHAnsi" w:hAnsiTheme="minorHAnsi" w:cstheme="minorHAnsi"/>
          <w:b w:val="0"/>
          <w:i w:val="0"/>
          <w:sz w:val="22"/>
        </w:rPr>
        <w:t>linical tests</w:t>
      </w:r>
      <w:r w:rsidR="00945C09">
        <w:rPr>
          <w:rFonts w:asciiTheme="minorHAnsi" w:hAnsiTheme="minorHAnsi" w:cstheme="minorHAnsi"/>
          <w:b w:val="0"/>
          <w:i w:val="0"/>
          <w:sz w:val="22"/>
        </w:rPr>
        <w:t>, clinical ranges and guidelines</w:t>
      </w:r>
      <w:r w:rsidRPr="002C56AC">
        <w:rPr>
          <w:rFonts w:asciiTheme="minorHAnsi" w:hAnsiTheme="minorHAnsi" w:cstheme="minorHAnsi"/>
          <w:b w:val="0"/>
          <w:i w:val="0"/>
          <w:sz w:val="22"/>
        </w:rPr>
        <w:t xml:space="preserve"> for thyroid hormones, glycemic parameters, lipids and liver tests.</w:t>
      </w:r>
      <w:r w:rsidRPr="002C56AC">
        <w:rPr>
          <w:rFonts w:asciiTheme="minorHAnsi" w:hAnsiTheme="minorHAnsi" w:cstheme="minorHAnsi"/>
          <w:i w:val="0"/>
          <w:sz w:val="22"/>
        </w:rPr>
        <w:t xml:space="preserve"> </w:t>
      </w:r>
    </w:p>
    <w:p w:rsidR="0039748B" w:rsidRDefault="0039748B" w:rsidP="0039748B"/>
    <w:tbl>
      <w:tblPr>
        <w:tblStyle w:val="TableGrid"/>
        <w:tblW w:w="12168" w:type="dxa"/>
        <w:tblLook w:val="04A0" w:firstRow="1" w:lastRow="0" w:firstColumn="1" w:lastColumn="0" w:noHBand="0" w:noVBand="1"/>
      </w:tblPr>
      <w:tblGrid>
        <w:gridCol w:w="4473"/>
        <w:gridCol w:w="3600"/>
        <w:gridCol w:w="4095"/>
      </w:tblGrid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Reportable Ranges and Guidelines</w:t>
            </w:r>
          </w:p>
        </w:tc>
        <w:tc>
          <w:tcPr>
            <w:tcW w:w="4095" w:type="dxa"/>
          </w:tcPr>
          <w:p w:rsidR="0039748B" w:rsidRPr="002C56AC" w:rsidRDefault="00945C09" w:rsidP="00945C0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ritical Values</w:t>
            </w:r>
          </w:p>
        </w:tc>
      </w:tr>
      <w:tr w:rsidR="0039748B" w:rsidRPr="00FF1E19" w:rsidTr="0039748B">
        <w:tc>
          <w:tcPr>
            <w:tcW w:w="4473" w:type="dxa"/>
            <w:shd w:val="clear" w:color="auto" w:fill="BFBFBF" w:themeFill="background1" w:themeFillShade="BF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Thyroid Hormones and Antibodies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4095" w:type="dxa"/>
            <w:shd w:val="clear" w:color="auto" w:fill="BFBFBF" w:themeFill="background1" w:themeFillShade="BF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CB7E51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Total </w:t>
            </w: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Triiodothyronine</w:t>
            </w:r>
            <w:proofErr w:type="spellEnd"/>
            <w:r w:rsidRPr="00CB7E51">
              <w:rPr>
                <w:rFonts w:asciiTheme="minorHAnsi" w:hAnsiTheme="minorHAnsi" w:cstheme="minorHAnsi"/>
                <w:sz w:val="20"/>
                <w:szCs w:val="20"/>
              </w:rPr>
              <w:t xml:space="preserve"> (TT3)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80-180 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CB7E51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>To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tal Thyroxin</w:t>
            </w: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 xml:space="preserve"> (TT4)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4.5-12.5 µg/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CB7E51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>Thyroid Stimulating Hormone (TSH)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0.30-3.0 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mIU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/L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T3 Index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80-180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T4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0.8-2.0 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ng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T4 Index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4.5-12.5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Thyroxin-Binding Globulin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14-31 µg/mL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Anti-Thyroglobulin Antibody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&lt;0.4 U/mL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Anti-Thyroid Peroxidase Antibody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&lt;1.0 IU/mL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Thyroid Hormone Binding Ratio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0.72-1.24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shd w:val="clear" w:color="auto" w:fill="BFBFBF" w:themeFill="background1" w:themeFillShade="BF"/>
          </w:tcPr>
          <w:p w:rsidR="0039748B" w:rsidRPr="008E3547" w:rsidRDefault="0039748B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E35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Glycemic Parameters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4095" w:type="dxa"/>
            <w:shd w:val="clear" w:color="auto" w:fill="BFBFBF" w:themeFill="background1" w:themeFillShade="BF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Glucose, fasting, 8-hr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Diabetes Risk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Hypoglycemic: &lt;70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Normal: 70-99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Increased Risk Diabetes: 100-125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Diabetes: ≥126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(confirmation required)</w:t>
            </w:r>
          </w:p>
        </w:tc>
        <w:tc>
          <w:tcPr>
            <w:tcW w:w="4095" w:type="dxa"/>
            <w:vAlign w:val="center"/>
          </w:tcPr>
          <w:p w:rsidR="0039748B" w:rsidRPr="002C56AC" w:rsidRDefault="0039748B" w:rsidP="007D67D8">
            <w:pPr>
              <w:pStyle w:val="Heading2"/>
              <w:shd w:val="clear" w:color="auto" w:fill="FFFFFF"/>
              <w:spacing w:before="0" w:after="0"/>
              <w:outlineLvl w:val="1"/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</w:rPr>
              <w:t>Critical Value: &lt;40 mg/dL</w:t>
            </w: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  <w:vertAlign w:val="superscript"/>
              </w:rPr>
              <w:t>3</w:t>
            </w:r>
          </w:p>
          <w:p w:rsidR="0039748B" w:rsidRPr="002C56AC" w:rsidRDefault="0039748B" w:rsidP="007D67D8">
            <w:pPr>
              <w:pStyle w:val="Heading2"/>
              <w:shd w:val="clear" w:color="auto" w:fill="FFFFFF"/>
              <w:spacing w:before="0" w:after="0" w:line="240" w:lineRule="auto"/>
              <w:outlineLvl w:val="1"/>
              <w:rPr>
                <w:rFonts w:asciiTheme="minorHAnsi" w:hAnsiTheme="minorHAnsi" w:cstheme="minorHAnsi"/>
                <w:i w:val="0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</w:rPr>
              <w:t>Critical Value:  &gt;400</w:t>
            </w:r>
            <w:r w:rsidRPr="00FA6CCF">
              <w:rPr>
                <w:rFonts w:asciiTheme="minorHAnsi" w:hAnsiTheme="minorHAnsi" w:cstheme="minorHAnsi"/>
                <w:bCs w:val="0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</w:rPr>
              <w:t>mg/dL</w:t>
            </w:r>
            <w:r w:rsidRPr="002C56AC">
              <w:rPr>
                <w:rFonts w:asciiTheme="minorHAnsi" w:hAnsiTheme="minorHAnsi" w:cstheme="minorHAnsi"/>
                <w:b w:val="0"/>
                <w:i w:val="0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Insulin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&lt;17 µU/ml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Glycosylated Hemoglobin</w:t>
            </w:r>
            <w:r w:rsidRPr="00FF1E1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CB7E51">
              <w:rPr>
                <w:rFonts w:asciiTheme="minorHAnsi" w:hAnsiTheme="minorHAnsi" w:cstheme="minorHAnsi"/>
                <w:sz w:val="20"/>
                <w:szCs w:val="20"/>
              </w:rPr>
              <w:t>(HbA1c)</w:t>
            </w:r>
          </w:p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Diabetes Risk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2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Normal: &lt;5.7%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Increased Risk Diabetes: 5.7-6.4%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Diabetes: ≥6.5% (confirmation required)</w:t>
            </w:r>
          </w:p>
        </w:tc>
        <w:tc>
          <w:tcPr>
            <w:tcW w:w="4095" w:type="dxa"/>
            <w:vAlign w:val="center"/>
          </w:tcPr>
          <w:p w:rsidR="0039748B" w:rsidRPr="002C56AC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 w:val="20"/>
                <w:szCs w:val="20"/>
              </w:rPr>
              <w:t>Thyrosine</w:t>
            </w:r>
            <w:proofErr w:type="spellEnd"/>
            <w:r w:rsidRPr="00FF1E19">
              <w:rPr>
                <w:rFonts w:asciiTheme="minorHAnsi" w:hAnsiTheme="minorHAnsi" w:cstheme="minorHAnsi"/>
                <w:sz w:val="20"/>
                <w:szCs w:val="20"/>
              </w:rPr>
              <w:t xml:space="preserve"> Phosphatase-like Protein Autoantibodies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(IA 2)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DK&lt;5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:rsidR="0039748B" w:rsidRPr="00AC1DCD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Positive Antibody: DK≥5</w:t>
            </w:r>
          </w:p>
        </w:tc>
        <w:tc>
          <w:tcPr>
            <w:tcW w:w="4095" w:type="dxa"/>
            <w:vAlign w:val="center"/>
          </w:tcPr>
          <w:p w:rsidR="0039748B" w:rsidRPr="002C56AC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Glutamate Decarboxylase -65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(anti-GAD 65)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Negative Antibody: DK≤33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Positive Antibody: DK&gt;33 </w:t>
            </w:r>
          </w:p>
        </w:tc>
        <w:tc>
          <w:tcPr>
            <w:tcW w:w="4095" w:type="dxa"/>
            <w:vAlign w:val="center"/>
          </w:tcPr>
          <w:p w:rsidR="0039748B" w:rsidRPr="002C56AC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rPr>
          <w:trHeight w:val="305"/>
        </w:trPr>
        <w:tc>
          <w:tcPr>
            <w:tcW w:w="4473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shd w:val="clear" w:color="auto" w:fill="BFBFBF" w:themeFill="background1" w:themeFillShade="BF"/>
          </w:tcPr>
          <w:p w:rsidR="0039748B" w:rsidRPr="008E3547" w:rsidRDefault="0039748B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8E3547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Lipids</w:t>
            </w:r>
          </w:p>
        </w:tc>
        <w:tc>
          <w:tcPr>
            <w:tcW w:w="3600" w:type="dxa"/>
            <w:shd w:val="clear" w:color="auto" w:fill="BFBFBF" w:themeFill="background1" w:themeFillShade="BF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Guidelines and Ranges</w:t>
            </w:r>
          </w:p>
        </w:tc>
        <w:tc>
          <w:tcPr>
            <w:tcW w:w="4095" w:type="dxa"/>
            <w:shd w:val="clear" w:color="auto" w:fill="BFBFBF" w:themeFill="background1" w:themeFillShade="BF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Total Cholesterol</w:t>
            </w:r>
          </w:p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 xml:space="preserve">Coronary Heart Disease Risk (CHD) 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Desirable: &lt;200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 </w:t>
            </w:r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Borderline High: 200-239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2C56AC">
              <w:rPr>
                <w:rFonts w:asciiTheme="minorHAnsi" w:eastAsia="SymbolMT" w:hAnsiTheme="minorHAnsi" w:cstheme="minorHAnsi"/>
                <w:sz w:val="20"/>
                <w:szCs w:val="20"/>
              </w:rPr>
              <w:t>≥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240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Triglycerides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 xml:space="preserve">CHD Risk 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&lt;150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Borderline High: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150-199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200-499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≥500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Critical Value: &gt;1,500 mg/dL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Low De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nsity Lipoprotein Cholesterol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</w:rPr>
              <w:t xml:space="preserve">CHD Risk </w:t>
            </w: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Desirable: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&lt;100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Low Risk: 100-129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Borderline High: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130-159mg/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sz w:val="20"/>
                <w:szCs w:val="20"/>
              </w:rPr>
              <w:t xml:space="preserve">High: </w:t>
            </w: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160-189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</w:pPr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Very High: ≥190 mg/</w:t>
            </w:r>
            <w:proofErr w:type="spellStart"/>
            <w:r w:rsidRPr="002C56AC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High Density Lipoprotein Cholesterol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CHD Risk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u w:val="single"/>
                <w:vertAlign w:val="superscript"/>
              </w:rPr>
              <w:t>4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Desirable: ≥60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Borderline Risk: 40-60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At Risk: &lt;40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Phospholipids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150-250 mg/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sz w:val="20"/>
                <w:szCs w:val="20"/>
              </w:rPr>
              <w:t>Free Fatty Acids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0.01-0.6 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mEq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/L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shd w:val="clear" w:color="auto" w:fill="BFBFBF" w:themeFill="background1" w:themeFillShade="BF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FF1E19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Liver Tests</w:t>
            </w:r>
          </w:p>
        </w:tc>
        <w:tc>
          <w:tcPr>
            <w:tcW w:w="3600" w:type="dxa"/>
            <w:shd w:val="clear" w:color="auto" w:fill="BFBFBF" w:themeFill="background1" w:themeFillShade="BF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  <w:szCs w:val="20"/>
              </w:rPr>
              <w:t>Clinical Ranges</w:t>
            </w:r>
          </w:p>
        </w:tc>
        <w:tc>
          <w:tcPr>
            <w:tcW w:w="4095" w:type="dxa"/>
            <w:shd w:val="clear" w:color="auto" w:fill="BFBFBF" w:themeFill="background1" w:themeFillShade="BF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56FBE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Alanine Aminotransferase (ALT)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15-65 U/L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56FBE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Aspartate Aminotransferase (AST)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5-40 U/L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56FBE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γ-</w:t>
            </w:r>
            <w:proofErr w:type="spellStart"/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Glutamyl</w:t>
            </w:r>
            <w:proofErr w:type="spellEnd"/>
            <w:r w:rsidRPr="00956FB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Transferase</w:t>
            </w:r>
            <w:proofErr w:type="spellEnd"/>
            <w:r w:rsidRPr="00956FBE">
              <w:rPr>
                <w:rFonts w:asciiTheme="minorHAnsi" w:hAnsiTheme="minorHAnsi" w:cstheme="minorHAnsi"/>
                <w:sz w:val="20"/>
                <w:szCs w:val="20"/>
              </w:rPr>
              <w:t xml:space="preserve"> (GGT)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Female 5-55 U/L; Male 5-85 U/L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56FBE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Alkaline Phosphatase (ALP)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Female: 50-136 U/L; Male: 40-136 U/L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  <w:vAlign w:val="center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56FBE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Albumin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3.4-5.0 g/</w:t>
            </w:r>
            <w:proofErr w:type="spellStart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</w:tcPr>
          <w:p w:rsidR="0039748B" w:rsidRPr="00AC1DCD" w:rsidRDefault="0039748B" w:rsidP="007D67D8">
            <w:pPr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Critical Value: &lt;1.5 g/</w:t>
            </w:r>
            <w:proofErr w:type="spellStart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Critical Value: &gt;7.9 g/</w:t>
            </w:r>
            <w:proofErr w:type="spellStart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56FBE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956FBE">
              <w:rPr>
                <w:rFonts w:asciiTheme="minorHAnsi" w:hAnsiTheme="minorHAnsi" w:cstheme="minorHAnsi"/>
                <w:sz w:val="20"/>
                <w:szCs w:val="20"/>
              </w:rPr>
              <w:t>Direct Bilirubin</w:t>
            </w:r>
          </w:p>
        </w:tc>
        <w:tc>
          <w:tcPr>
            <w:tcW w:w="3600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0.0-0.3 mg/</w:t>
            </w:r>
            <w:proofErr w:type="spellStart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</w:tcPr>
          <w:p w:rsidR="0039748B" w:rsidRPr="00AC1DCD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AC1DCD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</w:p>
        </w:tc>
      </w:tr>
      <w:tr w:rsidR="0039748B" w:rsidRPr="00FF1E19" w:rsidTr="0039748B">
        <w:tc>
          <w:tcPr>
            <w:tcW w:w="4473" w:type="dxa"/>
            <w:vAlign w:val="center"/>
          </w:tcPr>
          <w:p w:rsidR="0039748B" w:rsidRPr="00945C09" w:rsidRDefault="0039748B" w:rsidP="007D67D8">
            <w:pPr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45C09">
              <w:rPr>
                <w:rStyle w:val="A0"/>
                <w:rFonts w:asciiTheme="minorHAnsi" w:hAnsiTheme="minorHAnsi" w:cstheme="minorHAnsi"/>
                <w:b w:val="0"/>
                <w:sz w:val="20"/>
                <w:szCs w:val="20"/>
                <w:u w:val="none"/>
              </w:rPr>
              <w:t>Total Bilirubin</w:t>
            </w:r>
          </w:p>
        </w:tc>
        <w:tc>
          <w:tcPr>
            <w:tcW w:w="3600" w:type="dxa"/>
            <w:vAlign w:val="center"/>
          </w:tcPr>
          <w:p w:rsidR="0039748B" w:rsidRPr="00945C09" w:rsidRDefault="0039748B" w:rsidP="007D67D8">
            <w:pPr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</w:pPr>
            <w:r w:rsidRPr="00945C09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>0.0 – 1.0 mg/</w:t>
            </w:r>
            <w:proofErr w:type="spellStart"/>
            <w:r w:rsidRPr="00945C09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>dL</w:t>
            </w:r>
            <w:proofErr w:type="spellEnd"/>
            <w:r w:rsidRPr="00945C09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</w:rPr>
              <w:t xml:space="preserve"> </w:t>
            </w:r>
            <w:r w:rsidRPr="00945C09">
              <w:rPr>
                <w:rStyle w:val="A1"/>
                <w:rFonts w:asciiTheme="minorHAnsi" w:hAnsiTheme="minorHAnsi" w:cstheme="minorHAnsi"/>
                <w:b w:val="0"/>
                <w:iCs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095" w:type="dxa"/>
          </w:tcPr>
          <w:p w:rsidR="0039748B" w:rsidRPr="00AC1DCD" w:rsidRDefault="0039748B" w:rsidP="007D67D8">
            <w:pPr>
              <w:rPr>
                <w:rFonts w:asciiTheme="minorHAnsi" w:eastAsia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Critical Value: &gt;12.9 mg/</w:t>
            </w:r>
            <w:proofErr w:type="spellStart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iCs/>
                <w:sz w:val="20"/>
                <w:szCs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iCs/>
                <w:sz w:val="20"/>
                <w:szCs w:val="20"/>
                <w:vertAlign w:val="superscript"/>
              </w:rPr>
              <w:t>5</w:t>
            </w:r>
          </w:p>
        </w:tc>
      </w:tr>
    </w:tbl>
    <w:p w:rsidR="0039748B" w:rsidRDefault="0039748B" w:rsidP="0039748B"/>
    <w:p w:rsidR="0039748B" w:rsidRDefault="0039748B" w:rsidP="0039748B"/>
    <w:p w:rsidR="0039748B" w:rsidRDefault="0039748B" w:rsidP="0039748B">
      <w:pPr>
        <w:spacing w:after="200" w:line="276" w:lineRule="auto"/>
      </w:pPr>
      <w:r>
        <w:br w:type="page"/>
      </w:r>
    </w:p>
    <w:p w:rsidR="0039748B" w:rsidRPr="002C56AC" w:rsidRDefault="0039748B" w:rsidP="0039748B">
      <w:pPr>
        <w:pStyle w:val="Heading2"/>
        <w:spacing w:before="0" w:line="240" w:lineRule="auto"/>
        <w:rPr>
          <w:rFonts w:asciiTheme="minorHAnsi" w:hAnsiTheme="minorHAnsi" w:cstheme="minorHAnsi"/>
          <w:i w:val="0"/>
          <w:sz w:val="22"/>
        </w:rPr>
      </w:pPr>
      <w:r w:rsidRPr="002C56AC">
        <w:rPr>
          <w:rFonts w:asciiTheme="minorHAnsi" w:hAnsiTheme="minorHAnsi" w:cstheme="minorHAnsi"/>
          <w:i w:val="0"/>
          <w:sz w:val="22"/>
        </w:rPr>
        <w:lastRenderedPageBreak/>
        <w:t xml:space="preserve">Table 2. </w:t>
      </w:r>
      <w:r w:rsidR="00945C09">
        <w:rPr>
          <w:rFonts w:asciiTheme="minorHAnsi" w:hAnsiTheme="minorHAnsi" w:cstheme="minorHAnsi"/>
          <w:b w:val="0"/>
          <w:i w:val="0"/>
          <w:sz w:val="22"/>
        </w:rPr>
        <w:t>T</w:t>
      </w:r>
      <w:r w:rsidRPr="002C56AC">
        <w:rPr>
          <w:rFonts w:asciiTheme="minorHAnsi" w:hAnsiTheme="minorHAnsi" w:cstheme="minorHAnsi"/>
          <w:b w:val="0"/>
          <w:i w:val="0"/>
          <w:sz w:val="22"/>
        </w:rPr>
        <w:t>ests</w:t>
      </w:r>
      <w:r w:rsidR="00945C09">
        <w:rPr>
          <w:rFonts w:asciiTheme="minorHAnsi" w:hAnsiTheme="minorHAnsi" w:cstheme="minorHAnsi"/>
          <w:b w:val="0"/>
          <w:i w:val="0"/>
          <w:sz w:val="22"/>
        </w:rPr>
        <w:t>, guidelines</w:t>
      </w:r>
      <w:r w:rsidRPr="002C56AC">
        <w:rPr>
          <w:rFonts w:asciiTheme="minorHAnsi" w:hAnsiTheme="minorHAnsi" w:cstheme="minorHAnsi"/>
          <w:b w:val="0"/>
          <w:i w:val="0"/>
          <w:sz w:val="22"/>
        </w:rPr>
        <w:t xml:space="preserve"> </w:t>
      </w:r>
      <w:r w:rsidR="00945C09">
        <w:rPr>
          <w:rFonts w:asciiTheme="minorHAnsi" w:hAnsiTheme="minorHAnsi" w:cstheme="minorHAnsi"/>
          <w:b w:val="0"/>
          <w:i w:val="0"/>
          <w:sz w:val="22"/>
        </w:rPr>
        <w:t xml:space="preserve">and reference ranges </w:t>
      </w:r>
      <w:r w:rsidRPr="002C56AC">
        <w:rPr>
          <w:rFonts w:asciiTheme="minorHAnsi" w:hAnsiTheme="minorHAnsi" w:cstheme="minorHAnsi"/>
          <w:b w:val="0"/>
          <w:i w:val="0"/>
          <w:sz w:val="22"/>
        </w:rPr>
        <w:t>for heavy metals and trace metals.</w:t>
      </w:r>
      <w:r w:rsidRPr="002C56AC">
        <w:rPr>
          <w:rFonts w:asciiTheme="minorHAnsi" w:hAnsiTheme="minorHAnsi" w:cstheme="minorHAnsi"/>
          <w:i w:val="0"/>
          <w:sz w:val="22"/>
        </w:rPr>
        <w:t xml:space="preserve"> </w:t>
      </w:r>
    </w:p>
    <w:p w:rsidR="0039748B" w:rsidRDefault="0039748B" w:rsidP="0039748B"/>
    <w:tbl>
      <w:tblPr>
        <w:tblStyle w:val="TableGrid"/>
        <w:tblW w:w="11898" w:type="dxa"/>
        <w:tblLook w:val="04A0" w:firstRow="1" w:lastRow="0" w:firstColumn="1" w:lastColumn="0" w:noHBand="0" w:noVBand="1"/>
      </w:tblPr>
      <w:tblGrid>
        <w:gridCol w:w="2628"/>
        <w:gridCol w:w="3465"/>
        <w:gridCol w:w="5805"/>
      </w:tblGrid>
      <w:tr w:rsidR="0039748B" w:rsidRPr="00FF1E19" w:rsidTr="00945C09">
        <w:tc>
          <w:tcPr>
            <w:tcW w:w="2628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Test name</w:t>
            </w:r>
          </w:p>
        </w:tc>
        <w:tc>
          <w:tcPr>
            <w:tcW w:w="3465" w:type="dxa"/>
          </w:tcPr>
          <w:p w:rsidR="0039748B" w:rsidRPr="00FF1E19" w:rsidRDefault="0039748B" w:rsidP="007D67D8">
            <w:pPr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  <w:tc>
          <w:tcPr>
            <w:tcW w:w="5805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  <w:shd w:val="clear" w:color="auto" w:fill="D9D9D9" w:themeFill="background1" w:themeFillShade="D9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Heavy Metals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:rsidR="0039748B" w:rsidRPr="002C56AC" w:rsidRDefault="0039748B" w:rsidP="007D67D8">
            <w:pPr>
              <w:jc w:val="center"/>
              <w:rPr>
                <w:rFonts w:asciiTheme="minorHAnsi" w:hAnsiTheme="minorHAnsi" w:cstheme="minorHAnsi"/>
                <w:b/>
                <w:sz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</w:rPr>
              <w:t>Agency Guidelines, Standards, and</w:t>
            </w:r>
          </w:p>
          <w:p w:rsidR="0039748B" w:rsidRPr="002C56AC" w:rsidRDefault="0039748B" w:rsidP="007D67D8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C56AC">
              <w:rPr>
                <w:rFonts w:asciiTheme="minorHAnsi" w:hAnsiTheme="minorHAnsi" w:cstheme="minorHAnsi"/>
                <w:b/>
                <w:sz w:val="20"/>
              </w:rPr>
              <w:t>NHANES Reference Ranges</w:t>
            </w:r>
          </w:p>
        </w:tc>
        <w:tc>
          <w:tcPr>
            <w:tcW w:w="5805" w:type="dxa"/>
            <w:shd w:val="clear" w:color="auto" w:fill="D9D9D9" w:themeFill="background1" w:themeFillShade="D9"/>
          </w:tcPr>
          <w:p w:rsidR="0039748B" w:rsidRPr="00945C09" w:rsidRDefault="00945C09" w:rsidP="007D67D8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45C09">
              <w:rPr>
                <w:rFonts w:asciiTheme="minorHAnsi" w:hAnsiTheme="minorHAnsi" w:cstheme="minorHAnsi"/>
                <w:b/>
                <w:sz w:val="20"/>
                <w:szCs w:val="20"/>
              </w:rPr>
              <w:t>Critical and Action Levels</w:t>
            </w:r>
          </w:p>
        </w:tc>
      </w:tr>
      <w:tr w:rsidR="0039748B" w:rsidRPr="00FF1E19" w:rsidTr="00945C09">
        <w:tc>
          <w:tcPr>
            <w:tcW w:w="2628" w:type="dxa"/>
            <w:vAlign w:val="center"/>
          </w:tcPr>
          <w:p w:rsidR="0039748B" w:rsidRPr="00142871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142871">
              <w:rPr>
                <w:rFonts w:asciiTheme="minorHAnsi" w:hAnsiTheme="minorHAnsi" w:cstheme="minorHAnsi"/>
                <w:sz w:val="20"/>
              </w:rPr>
              <w:t>Lead</w:t>
            </w:r>
            <w:r>
              <w:rPr>
                <w:rFonts w:asciiTheme="minorHAnsi" w:hAnsiTheme="minorHAnsi" w:cstheme="minorHAnsi"/>
                <w:sz w:val="20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Pb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  <w:tc>
          <w:tcPr>
            <w:tcW w:w="346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1.34-3.90 µg/L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6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 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Desirable: &lt;5.0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g/dL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7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Elevated (Current or Potentially Pregnant or Lactating Women): 5.0-9.9 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g/dL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7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Elevated (All Adults): </w:t>
            </w:r>
            <w:r w:rsidRPr="002C56AC">
              <w:rPr>
                <w:rFonts w:cs="Calibri"/>
                <w:sz w:val="20"/>
              </w:rPr>
              <w:t>≥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10.0 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</w:t>
            </w:r>
            <w:proofErr w:type="spellStart"/>
            <w:r w:rsidRPr="002C56AC">
              <w:rPr>
                <w:rFonts w:asciiTheme="minorHAnsi" w:hAnsiTheme="minorHAnsi" w:cstheme="minorHAnsi"/>
                <w:sz w:val="20"/>
              </w:rPr>
              <w:t>dL</w:t>
            </w:r>
            <w:proofErr w:type="spellEnd"/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 xml:space="preserve"> 9,10,11</w:t>
            </w:r>
            <w:r w:rsidR="00945C0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805" w:type="dxa"/>
          </w:tcPr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for women who are or might become pregnant or lactating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5.0-9.9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(CDC advisory level exceeded; discuss health risks; seek medical advice; reduce exposure; breastfeed with infant BLL monitoring)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7,8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10.0-39.9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(CDC advisory threshold exceeded; seek medical evaluation; removal from exposure for women who are or might become pregnant or lactating; reduce exposure all others; breastfeed with infant BLL monitoring)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7,8,9,10,11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≥40.0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(OSHA threshold exceeded; prompt medical evaluation; reduce exposure; pump 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breastmilk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and discard until BLL &lt;40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7,8,12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≥50.0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(OSHA threshold exceeded; prompt medical evaluation; removal from exposure; ; pump 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breastmilk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and discard until BLL &lt;40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7,8,12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≥80.0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(OSHA threshold exceeded; immediate medical evaluation; removal from exposure; pump 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breastmilk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and discard until BLL &lt;40 µg/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dL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7,8,11,12</w:t>
            </w:r>
          </w:p>
          <w:p w:rsidR="0039748B" w:rsidRPr="00FF1E19" w:rsidRDefault="0039748B" w:rsidP="007D67D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  <w:vAlign w:val="center"/>
          </w:tcPr>
          <w:p w:rsidR="0039748B" w:rsidRPr="00142871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42871">
              <w:rPr>
                <w:rFonts w:asciiTheme="minorHAnsi" w:hAnsiTheme="minorHAnsi" w:cstheme="minorHAnsi"/>
                <w:sz w:val="20"/>
                <w:szCs w:val="20"/>
              </w:rPr>
              <w:t>Mercury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(Hg)</w:t>
            </w:r>
          </w:p>
        </w:tc>
        <w:tc>
          <w:tcPr>
            <w:tcW w:w="346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0.89-5.32 µg/L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6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>Desirable: &lt;5.8 µg/L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13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*Elevated (Current or Potentially Pregnant, Lactating Women): 5.8-10.0 µg/L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13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*Elevated (All Adults): &gt;10.0 µg/L </w:t>
            </w:r>
            <w:r w:rsidRPr="002C56AC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14,15</w:t>
            </w: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(b.)</w:t>
            </w:r>
          </w:p>
        </w:tc>
        <w:tc>
          <w:tcPr>
            <w:tcW w:w="5805" w:type="dxa"/>
          </w:tcPr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for women who are or might become pregnant or lactating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: 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5.8-10.0 µg/dL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13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i/>
                <w:sz w:val="20"/>
                <w:szCs w:val="20"/>
              </w:rPr>
              <w:t>: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 &gt;10.0 µg/L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14,15,16,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 xml:space="preserve"> 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17</w:t>
            </w:r>
          </w:p>
          <w:p w:rsidR="00945C09" w:rsidRDefault="00945C09" w:rsidP="00945C09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szCs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: ≥50 µg/L (immediate medical evaluation)</w:t>
            </w:r>
            <w:r w:rsidRPr="00337F5F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18</w:t>
            </w:r>
          </w:p>
          <w:p w:rsidR="0039748B" w:rsidRPr="00FF1E19" w:rsidRDefault="0039748B" w:rsidP="007D67D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  <w:vAlign w:val="center"/>
          </w:tcPr>
          <w:p w:rsidR="0039748B" w:rsidRPr="00142871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142871">
              <w:rPr>
                <w:rFonts w:asciiTheme="minorHAnsi" w:hAnsiTheme="minorHAnsi" w:cstheme="minorHAnsi"/>
                <w:sz w:val="20"/>
              </w:rPr>
              <w:t>Cadmium</w:t>
            </w:r>
            <w:r>
              <w:rPr>
                <w:rFonts w:asciiTheme="minorHAnsi" w:hAnsiTheme="minorHAnsi" w:cstheme="minorHAnsi"/>
                <w:sz w:val="20"/>
              </w:rPr>
              <w:t xml:space="preserve"> (Cd)</w:t>
            </w:r>
          </w:p>
        </w:tc>
        <w:tc>
          <w:tcPr>
            <w:tcW w:w="346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>0.33-1.70 µg/L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6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[Nonsmokers: 0.3-1.2 µg/L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8</w:t>
            </w:r>
            <w:r w:rsidRPr="002C56AC">
              <w:rPr>
                <w:rFonts w:asciiTheme="minorHAnsi" w:hAnsiTheme="minorHAnsi" w:cstheme="minorHAnsi"/>
                <w:sz w:val="20"/>
              </w:rPr>
              <w:t>]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[Smokers: 0.6-3.9 µg/L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1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8</w:t>
            </w:r>
            <w:r w:rsidRPr="002C56AC">
              <w:rPr>
                <w:rFonts w:asciiTheme="minorHAnsi" w:hAnsiTheme="minorHAnsi" w:cstheme="minorHAnsi"/>
                <w:sz w:val="20"/>
              </w:rPr>
              <w:t>]</w:t>
            </w:r>
          </w:p>
          <w:p w:rsidR="0039748B" w:rsidRPr="00AC1DCD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2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Desirable: </w:t>
            </w:r>
            <w:r w:rsidRPr="002C56AC">
              <w:rPr>
                <w:rFonts w:cs="Calibri"/>
                <w:sz w:val="20"/>
              </w:rPr>
              <w:t>≤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g/L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19,20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, 21</w:t>
            </w:r>
          </w:p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</w:pPr>
            <w:r w:rsidRPr="002C56AC">
              <w:rPr>
                <w:rFonts w:asciiTheme="minorHAnsi" w:hAnsiTheme="minorHAnsi" w:cstheme="minorHAnsi"/>
                <w:sz w:val="20"/>
              </w:rPr>
              <w:t xml:space="preserve">Elevated: </w:t>
            </w:r>
            <w:r w:rsidRPr="002C56AC">
              <w:rPr>
                <w:rFonts w:cs="Calibri"/>
                <w:sz w:val="20"/>
              </w:rPr>
              <w:t>&gt;</w:t>
            </w:r>
            <w:r w:rsidRPr="002C56AC">
              <w:rPr>
                <w:rFonts w:asciiTheme="minorHAnsi" w:hAnsiTheme="minorHAnsi" w:cstheme="minorHAnsi"/>
                <w:sz w:val="20"/>
              </w:rPr>
              <w:t xml:space="preserve">5 </w:t>
            </w:r>
            <w:r w:rsidRPr="002C56AC">
              <w:rPr>
                <w:rFonts w:cs="Calibri"/>
                <w:sz w:val="20"/>
              </w:rPr>
              <w:t>µ</w:t>
            </w:r>
            <w:r w:rsidRPr="002C56AC">
              <w:rPr>
                <w:rFonts w:asciiTheme="minorHAnsi" w:hAnsiTheme="minorHAnsi" w:cstheme="minorHAnsi"/>
                <w:sz w:val="20"/>
              </w:rPr>
              <w:t>g/L</w:t>
            </w:r>
            <w:r w:rsidRPr="002C56AC" w:rsidDel="000C4349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2C56AC">
              <w:rPr>
                <w:rFonts w:asciiTheme="minorHAnsi" w:hAnsiTheme="minorHAnsi" w:cstheme="minorHAnsi"/>
                <w:sz w:val="20"/>
                <w:vertAlign w:val="superscript"/>
              </w:rPr>
              <w:t>19,20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, 21</w:t>
            </w:r>
            <w:r w:rsidRPr="002C56AC">
              <w:rPr>
                <w:rFonts w:asciiTheme="minorHAnsi" w:hAnsiTheme="minorHAnsi" w:cstheme="minorHAnsi"/>
                <w:sz w:val="20"/>
                <w:szCs w:val="20"/>
              </w:rPr>
              <w:t xml:space="preserve"> (c.)</w:t>
            </w:r>
          </w:p>
        </w:tc>
        <w:tc>
          <w:tcPr>
            <w:tcW w:w="5805" w:type="dxa"/>
          </w:tcPr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sz w:val="20"/>
              </w:rPr>
              <w:t xml:space="preserve">: &gt;5 µg/L (OSHA threshold exceeded; medical monitoring among workers; discretionary medical removal) </w:t>
            </w:r>
            <w:r w:rsidRPr="00337F5F">
              <w:rPr>
                <w:rFonts w:asciiTheme="minorHAnsi" w:hAnsiTheme="minorHAnsi" w:cstheme="minorHAnsi"/>
                <w:sz w:val="20"/>
                <w:vertAlign w:val="superscript"/>
              </w:rPr>
              <w:t>19,20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, 21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vertAlign w:val="superscript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u w:val="single"/>
              </w:rPr>
              <w:t>Action Level All Adults</w:t>
            </w:r>
            <w:r w:rsidRPr="00337F5F">
              <w:rPr>
                <w:rFonts w:asciiTheme="minorHAnsi" w:hAnsiTheme="minorHAnsi" w:cstheme="minorHAnsi"/>
                <w:sz w:val="20"/>
              </w:rPr>
              <w:t xml:space="preserve">: &gt;15 µg/L: (OSHA threshold exceeded; medical removal from exposure) </w:t>
            </w:r>
            <w:r w:rsidRPr="00337F5F">
              <w:rPr>
                <w:rFonts w:asciiTheme="minorHAnsi" w:hAnsiTheme="minorHAnsi" w:cstheme="minorHAnsi"/>
                <w:sz w:val="20"/>
                <w:vertAlign w:val="superscript"/>
              </w:rPr>
              <w:t>19,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  <w:r w:rsidRPr="00337F5F">
              <w:rPr>
                <w:rFonts w:asciiTheme="minorHAnsi" w:hAnsiTheme="minorHAnsi" w:cstheme="minorHAnsi"/>
                <w:sz w:val="20"/>
                <w:vertAlign w:val="superscript"/>
              </w:rPr>
              <w:t>20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, 21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5F">
              <w:rPr>
                <w:rFonts w:asciiTheme="minorHAnsi" w:hAnsiTheme="minorHAnsi" w:cstheme="minorHAnsi"/>
                <w:i/>
                <w:sz w:val="20"/>
                <w:u w:val="single"/>
              </w:rPr>
              <w:t>Toxic Range</w:t>
            </w:r>
            <w:r w:rsidRPr="00337F5F">
              <w:rPr>
                <w:rFonts w:asciiTheme="minorHAnsi" w:hAnsiTheme="minorHAnsi" w:cstheme="minorHAnsi"/>
                <w:i/>
                <w:sz w:val="20"/>
              </w:rPr>
              <w:t>:</w:t>
            </w:r>
            <w:r w:rsidRPr="00337F5F">
              <w:rPr>
                <w:rFonts w:asciiTheme="minorHAnsi" w:hAnsiTheme="minorHAnsi" w:cstheme="minorHAnsi"/>
                <w:sz w:val="20"/>
              </w:rPr>
              <w:t xml:space="preserve"> 100-3,000 µg/L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 xml:space="preserve"> 22</w:t>
            </w:r>
          </w:p>
          <w:p w:rsidR="0039748B" w:rsidRPr="00FF1E19" w:rsidRDefault="0039748B" w:rsidP="007D67D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5" w:type="dxa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  <w:shd w:val="clear" w:color="auto" w:fill="D9D9D9" w:themeFill="background1" w:themeFillShade="D9"/>
          </w:tcPr>
          <w:p w:rsidR="0039748B" w:rsidRPr="008E3547" w:rsidRDefault="0039748B" w:rsidP="007D67D8">
            <w:pP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Trace Metals</w:t>
            </w:r>
          </w:p>
        </w:tc>
        <w:tc>
          <w:tcPr>
            <w:tcW w:w="3465" w:type="dxa"/>
            <w:shd w:val="clear" w:color="auto" w:fill="D9D9D9" w:themeFill="background1" w:themeFillShade="D9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5" w:type="dxa"/>
            <w:shd w:val="clear" w:color="auto" w:fill="D9D9D9" w:themeFill="background1" w:themeFillShade="D9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  <w:vAlign w:val="center"/>
          </w:tcPr>
          <w:p w:rsidR="0039748B" w:rsidRPr="00142871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>
              <w:rPr>
                <w:rFonts w:asciiTheme="minorHAnsi" w:hAnsiTheme="minorHAnsi" w:cstheme="minorHAnsi"/>
                <w:sz w:val="20"/>
              </w:rPr>
              <w:t>Manganese</w:t>
            </w:r>
          </w:p>
        </w:tc>
        <w:tc>
          <w:tcPr>
            <w:tcW w:w="3465" w:type="dxa"/>
            <w:vAlign w:val="center"/>
          </w:tcPr>
          <w:p w:rsidR="0039748B" w:rsidRPr="00AC1DCD" w:rsidRDefault="0039748B" w:rsidP="007D67D8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AC1DCD">
              <w:rPr>
                <w:rFonts w:asciiTheme="minorHAnsi" w:hAnsiTheme="minorHAnsi" w:cstheme="minorHAnsi"/>
                <w:sz w:val="20"/>
              </w:rPr>
              <w:t xml:space="preserve">4.7-18.3 </w:t>
            </w:r>
            <w:r w:rsidRPr="00AC1DCD">
              <w:rPr>
                <w:rFonts w:cs="Calibri"/>
                <w:sz w:val="20"/>
              </w:rPr>
              <w:t>µ</w:t>
            </w:r>
            <w:r w:rsidRPr="00AC1DCD">
              <w:rPr>
                <w:rFonts w:asciiTheme="minorHAnsi" w:hAnsiTheme="minorHAnsi" w:cstheme="minorHAnsi"/>
                <w:sz w:val="20"/>
              </w:rPr>
              <w:t>g/L</w:t>
            </w:r>
            <w:r w:rsidRPr="00AC1DCD">
              <w:rPr>
                <w:rFonts w:asciiTheme="minorHAnsi" w:hAnsiTheme="minorHAnsi" w:cstheme="minorHAnsi"/>
                <w:sz w:val="20"/>
                <w:vertAlign w:val="superscript"/>
              </w:rPr>
              <w:t xml:space="preserve"> 2</w:t>
            </w:r>
            <w:r>
              <w:rPr>
                <w:rFonts w:asciiTheme="minorHAnsi" w:hAnsiTheme="minorHAnsi" w:cstheme="minorHAnsi"/>
                <w:sz w:val="20"/>
                <w:vertAlign w:val="superscript"/>
              </w:rPr>
              <w:t>4</w:t>
            </w:r>
            <w:r w:rsidRPr="00AC1DCD">
              <w:rPr>
                <w:rFonts w:asciiTheme="minorHAnsi" w:hAnsiTheme="minorHAnsi" w:cstheme="minorHAnsi"/>
                <w:sz w:val="20"/>
              </w:rPr>
              <w:t xml:space="preserve"> (</w:t>
            </w:r>
            <w:r w:rsidRPr="00AC1DCD">
              <w:rPr>
                <w:rFonts w:asciiTheme="minorHAnsi" w:hAnsiTheme="minorHAnsi" w:cstheme="minorHAnsi"/>
                <w:sz w:val="20"/>
                <w:szCs w:val="20"/>
              </w:rPr>
              <w:t>d.)</w:t>
            </w:r>
          </w:p>
        </w:tc>
        <w:tc>
          <w:tcPr>
            <w:tcW w:w="5805" w:type="dxa"/>
            <w:vAlign w:val="center"/>
          </w:tcPr>
          <w:p w:rsidR="0039748B" w:rsidRPr="00945C09" w:rsidRDefault="00945C09" w:rsidP="00945C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Critical Value: &gt;37 µg/L </w:t>
            </w:r>
            <w:r w:rsidRPr="006841E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4</w:t>
            </w:r>
          </w:p>
        </w:tc>
      </w:tr>
      <w:tr w:rsidR="0039748B" w:rsidRPr="00FF1E19" w:rsidTr="00945C09">
        <w:tc>
          <w:tcPr>
            <w:tcW w:w="2628" w:type="dxa"/>
            <w:vAlign w:val="center"/>
          </w:tcPr>
          <w:p w:rsidR="0039748B" w:rsidRPr="00BF0189" w:rsidRDefault="0039748B" w:rsidP="007D67D8"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Selenium</w:t>
            </w:r>
          </w:p>
        </w:tc>
        <w:tc>
          <w:tcPr>
            <w:tcW w:w="3465" w:type="dxa"/>
            <w:vAlign w:val="center"/>
          </w:tcPr>
          <w:p w:rsidR="0039748B" w:rsidRPr="00AC1DCD" w:rsidRDefault="0039748B" w:rsidP="007D67D8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AC1DCD">
              <w:rPr>
                <w:rFonts w:asciiTheme="minorHAnsi" w:hAnsiTheme="minorHAnsi" w:cstheme="minorHAnsi"/>
                <w:sz w:val="20"/>
                <w:szCs w:val="20"/>
              </w:rPr>
              <w:t xml:space="preserve">97.3-176.9 </w:t>
            </w:r>
            <w:proofErr w:type="spellStart"/>
            <w:r w:rsidRPr="00AC1DCD">
              <w:rPr>
                <w:rFonts w:asciiTheme="minorHAnsi" w:hAnsiTheme="minorHAnsi" w:cstheme="minorHAnsi"/>
                <w:sz w:val="20"/>
                <w:szCs w:val="20"/>
              </w:rPr>
              <w:t>μg</w:t>
            </w:r>
            <w:proofErr w:type="spellEnd"/>
            <w:r w:rsidRPr="00AC1DCD">
              <w:rPr>
                <w:rFonts w:asciiTheme="minorHAnsi" w:hAnsiTheme="minorHAnsi" w:cstheme="minorHAnsi"/>
                <w:sz w:val="20"/>
                <w:szCs w:val="20"/>
              </w:rPr>
              <w:t xml:space="preserve">/L </w:t>
            </w:r>
            <w:r w:rsidRPr="00AC1DCD">
              <w:rPr>
                <w:rFonts w:asciiTheme="minorHAnsi" w:hAnsiTheme="minorHAnsi" w:cstheme="minorHAnsi"/>
                <w:sz w:val="20"/>
                <w:szCs w:val="18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18"/>
                <w:vertAlign w:val="superscript"/>
              </w:rPr>
              <w:t>5</w:t>
            </w:r>
            <w:r w:rsidRPr="00AC1DCD" w:rsidDel="0048232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C1DCD">
              <w:rPr>
                <w:rFonts w:asciiTheme="minorHAnsi" w:hAnsiTheme="minorHAnsi" w:cstheme="minorHAnsi"/>
                <w:sz w:val="20"/>
                <w:szCs w:val="20"/>
              </w:rPr>
              <w:t>(e.)</w:t>
            </w:r>
          </w:p>
        </w:tc>
        <w:tc>
          <w:tcPr>
            <w:tcW w:w="5805" w:type="dxa"/>
            <w:vAlign w:val="center"/>
          </w:tcPr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Critical Value: &lt;50 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μg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/L </w:t>
            </w:r>
            <w:r w:rsidRPr="006841E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</w:p>
          <w:p w:rsidR="00945C09" w:rsidRPr="00337F5F" w:rsidRDefault="00945C09" w:rsidP="00945C0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Critical Value: &gt;300 </w:t>
            </w:r>
            <w:proofErr w:type="spellStart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>μg</w:t>
            </w:r>
            <w:proofErr w:type="spellEnd"/>
            <w:r w:rsidRPr="00337F5F">
              <w:rPr>
                <w:rFonts w:asciiTheme="minorHAnsi" w:hAnsiTheme="minorHAnsi" w:cstheme="minorHAnsi"/>
                <w:sz w:val="20"/>
                <w:szCs w:val="20"/>
              </w:rPr>
              <w:t xml:space="preserve">/L </w:t>
            </w:r>
            <w:r w:rsidRPr="006841E4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2</w:t>
            </w:r>
            <w:r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5</w:t>
            </w:r>
          </w:p>
          <w:p w:rsidR="0039748B" w:rsidRPr="00337F5F" w:rsidRDefault="0039748B" w:rsidP="007D67D8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9748B" w:rsidRPr="00FF1E19" w:rsidTr="00945C09">
        <w:tc>
          <w:tcPr>
            <w:tcW w:w="2628" w:type="dxa"/>
            <w:vAlign w:val="center"/>
          </w:tcPr>
          <w:p w:rsidR="0039748B" w:rsidRPr="00FF1E19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465" w:type="dxa"/>
            <w:vAlign w:val="center"/>
          </w:tcPr>
          <w:p w:rsidR="0039748B" w:rsidRPr="002C56AC" w:rsidRDefault="0039748B" w:rsidP="007D67D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805" w:type="dxa"/>
            <w:vAlign w:val="center"/>
          </w:tcPr>
          <w:p w:rsidR="0039748B" w:rsidRPr="00FF1E19" w:rsidRDefault="0039748B" w:rsidP="007D67D8">
            <w:pPr>
              <w:jc w:val="center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</w:tbl>
    <w:p w:rsidR="0039748B" w:rsidRDefault="0039748B" w:rsidP="0039748B"/>
    <w:p w:rsidR="0039748B" w:rsidRDefault="0039748B" w:rsidP="0039748B"/>
    <w:p w:rsidR="0039748B" w:rsidRDefault="0039748B" w:rsidP="0039748B"/>
    <w:p w:rsidR="0039748B" w:rsidRDefault="0039748B" w:rsidP="0039748B"/>
    <w:p w:rsidR="0039748B" w:rsidRDefault="0039748B" w:rsidP="0039748B">
      <w:pPr>
        <w:rPr>
          <w:rFonts w:asciiTheme="minorHAnsi" w:hAnsiTheme="minorHAnsi" w:cstheme="minorHAnsi"/>
          <w:sz w:val="20"/>
          <w:szCs w:val="20"/>
        </w:rPr>
      </w:pPr>
    </w:p>
    <w:p w:rsidR="0039748B" w:rsidRDefault="0039748B" w:rsidP="0039748B">
      <w:pPr>
        <w:rPr>
          <w:rFonts w:asciiTheme="minorHAnsi" w:hAnsiTheme="minorHAnsi" w:cstheme="minorHAnsi"/>
          <w:sz w:val="20"/>
          <w:szCs w:val="20"/>
        </w:rPr>
      </w:pPr>
    </w:p>
    <w:p w:rsidR="0039748B" w:rsidRDefault="0039748B" w:rsidP="0039748B">
      <w:pPr>
        <w:rPr>
          <w:rFonts w:asciiTheme="minorHAnsi" w:hAnsiTheme="minorHAnsi" w:cstheme="minorHAnsi"/>
          <w:sz w:val="20"/>
          <w:szCs w:val="20"/>
        </w:rPr>
      </w:pPr>
    </w:p>
    <w:p w:rsidR="0039748B" w:rsidRDefault="0039748B" w:rsidP="0039748B">
      <w:pPr>
        <w:rPr>
          <w:rFonts w:asciiTheme="minorHAnsi" w:hAnsiTheme="minorHAnsi" w:cstheme="minorHAnsi"/>
          <w:sz w:val="20"/>
          <w:szCs w:val="20"/>
        </w:rPr>
      </w:pPr>
    </w:p>
    <w:p w:rsidR="0039748B" w:rsidRDefault="0039748B" w:rsidP="0039748B">
      <w:pPr>
        <w:spacing w:after="200" w:line="276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:rsidR="0039748B" w:rsidRDefault="0039748B" w:rsidP="0039748B">
      <w:pPr>
        <w:rPr>
          <w:rFonts w:asciiTheme="minorHAnsi" w:hAnsiTheme="minorHAnsi" w:cstheme="minorHAnsi"/>
          <w:sz w:val="20"/>
          <w:szCs w:val="20"/>
        </w:rPr>
        <w:sectPr w:rsidR="0039748B" w:rsidSect="0039748B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39748B" w:rsidRPr="0084478E" w:rsidRDefault="0039748B" w:rsidP="0039748B">
      <w:pPr>
        <w:rPr>
          <w:rFonts w:asciiTheme="minorHAnsi" w:hAnsiTheme="minorHAnsi" w:cstheme="minorHAnsi"/>
          <w:b/>
          <w:sz w:val="20"/>
          <w:szCs w:val="20"/>
        </w:rPr>
      </w:pPr>
      <w:r w:rsidRPr="0084478E">
        <w:rPr>
          <w:rFonts w:asciiTheme="minorHAnsi" w:hAnsiTheme="minorHAnsi" w:cstheme="minorHAnsi"/>
          <w:b/>
          <w:sz w:val="20"/>
          <w:szCs w:val="20"/>
        </w:rPr>
        <w:lastRenderedPageBreak/>
        <w:t>References:</w:t>
      </w:r>
    </w:p>
    <w:p w:rsidR="0039748B" w:rsidRPr="006841E4" w:rsidRDefault="0039748B" w:rsidP="0039748B">
      <w:pPr>
        <w:rPr>
          <w:rFonts w:asciiTheme="minorHAnsi" w:hAnsiTheme="minorHAnsi" w:cstheme="minorHAnsi"/>
          <w:sz w:val="20"/>
          <w:szCs w:val="20"/>
        </w:rPr>
      </w:pP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 </w:t>
      </w:r>
      <w:r w:rsidRPr="00956FBE">
        <w:rPr>
          <w:rFonts w:asciiTheme="minorHAnsi" w:hAnsiTheme="minorHAnsi" w:cstheme="minorHAnsi"/>
          <w:sz w:val="20"/>
          <w:szCs w:val="20"/>
        </w:rPr>
        <w:t>University of Southern California Clinical Laboratories Endocrine Services.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2 </w:t>
      </w:r>
      <w:r w:rsidRPr="00956FBE">
        <w:rPr>
          <w:rFonts w:asciiTheme="minorHAnsi" w:hAnsiTheme="minorHAnsi" w:cstheme="minorHAnsi"/>
          <w:sz w:val="20"/>
          <w:szCs w:val="20"/>
        </w:rPr>
        <w:t xml:space="preserve">American Diabetes Association . Standards of Medical Care in Diabetes - 2011.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Diabetes Care. January 2011;34(Supplement 1):S11-S61 (subject to periodic update).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3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Northwest Lipid Metabolism And Diabetes Research Laboratories</w:t>
      </w:r>
      <w:r w:rsidRPr="00956FBE">
        <w:rPr>
          <w:rFonts w:asciiTheme="minorHAnsi" w:hAnsiTheme="minorHAnsi" w:cstheme="minorHAnsi"/>
          <w:sz w:val="20"/>
          <w:szCs w:val="20"/>
        </w:rPr>
        <w:t>.</w:t>
      </w:r>
    </w:p>
    <w:p w:rsidR="0039748B" w:rsidRPr="00956FBE" w:rsidRDefault="0039748B" w:rsidP="0039748B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NHLBI. 2004. </w:t>
      </w:r>
      <w:hyperlink r:id="rId6" w:history="1">
        <w:r w:rsidRPr="00956FBE">
          <w:rPr>
            <w:rStyle w:val="Hyperlink"/>
            <w:rFonts w:asciiTheme="minorHAnsi" w:hAnsiTheme="minorHAnsi" w:cstheme="minorHAnsi"/>
            <w:bCs/>
            <w:sz w:val="20"/>
            <w:szCs w:val="20"/>
            <w:lang w:val="en"/>
          </w:rPr>
          <w:t>Third Report of the Expert Panel on Detection, Evaluation, and Treatment of High Blood Cholesterol in Adults (Adult Treatment Panel III)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(</w:t>
      </w:r>
      <w:hyperlink r:id="rId7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  <w:lang w:val="en"/>
          </w:rPr>
          <w:t>http://www.nhlbi.nih.gov/guidelines/cholesterol/index.htm</w:t>
        </w:r>
      </w:hyperlink>
      <w:r w:rsidRPr="00956FBE">
        <w:rPr>
          <w:rStyle w:val="cdc-decorated"/>
          <w:rFonts w:asciiTheme="minorHAnsi" w:hAnsiTheme="minorHAnsi" w:cstheme="minorHAnsi"/>
          <w:sz w:val="20"/>
          <w:szCs w:val="20"/>
          <w:lang w:val="en"/>
        </w:rPr>
        <w:t xml:space="preserve"> - subject to periodic update).</w:t>
      </w:r>
    </w:p>
    <w:p w:rsidR="0039748B" w:rsidRPr="00956FBE" w:rsidRDefault="0039748B" w:rsidP="0039748B">
      <w:pPr>
        <w:rPr>
          <w:rFonts w:asciiTheme="minorHAnsi" w:hAnsiTheme="minorHAnsi" w:cstheme="minorHAnsi"/>
          <w:bCs/>
          <w:color w:val="000000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5 </w:t>
      </w:r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Jacksonville Medical Center Clinical Biochemistry Laboratory (updated 25 July 2012)</w:t>
      </w:r>
    </w:p>
    <w:p w:rsidR="0039748B" w:rsidRPr="00956FBE" w:rsidRDefault="0039748B" w:rsidP="0039748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6 </w:t>
      </w:r>
      <w:r w:rsidRPr="00956FBE">
        <w:rPr>
          <w:rFonts w:asciiTheme="minorHAnsi" w:hAnsiTheme="minorHAnsi" w:cstheme="minorHAnsi"/>
          <w:sz w:val="20"/>
          <w:szCs w:val="20"/>
        </w:rPr>
        <w:t>CDC. 2012. 2007-2008 NHANES 50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to 95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956FBE">
        <w:rPr>
          <w:rFonts w:asciiTheme="minorHAnsi" w:hAnsiTheme="minorHAnsi" w:cstheme="minorHAnsi"/>
          <w:sz w:val="20"/>
          <w:szCs w:val="20"/>
        </w:rPr>
        <w:t xml:space="preserve"> percentiles from the 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Fourth National Report on Human Exposure to Environmental Chemicals, Updated Tables, February 2012 </w:t>
      </w:r>
      <w:r w:rsidRPr="00956FBE">
        <w:rPr>
          <w:rFonts w:asciiTheme="minorHAnsi" w:hAnsiTheme="minorHAnsi" w:cstheme="minorHAnsi"/>
          <w:sz w:val="20"/>
          <w:szCs w:val="20"/>
        </w:rPr>
        <w:t>(</w:t>
      </w:r>
      <w:hyperlink r:id="rId8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http://www.cdc.gov/exposurereport/pdf/FourthReport_UpdatedTables_Feb2012.pdf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 xml:space="preserve"> ).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7 </w:t>
      </w:r>
      <w:r w:rsidRPr="00956FBE">
        <w:rPr>
          <w:rFonts w:asciiTheme="minorHAnsi" w:hAnsiTheme="minorHAnsi" w:cstheme="minorHAnsi"/>
          <w:bCs/>
          <w:sz w:val="20"/>
          <w:szCs w:val="20"/>
        </w:rPr>
        <w:t>CDC. 2010. Guidelines for the Identification and Management of Lead Exposure in Pregnant and Lactating Women (</w:t>
      </w:r>
      <w:hyperlink r:id="rId9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http://www.cdc.gov/nceh/lead/publications/LeadandPregnancy2010.pdf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</w:rPr>
        <w:t xml:space="preserve">8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Kosnett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MJ,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Wedeen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RP, Rothenberg SJ,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Hipkins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KL,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Materna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BL, Schwartz BS, Hu H, Woolf A. Recommendations for medical management of adult lead exposure. Environ </w:t>
      </w:r>
      <w:r w:rsidRPr="00956FBE">
        <w:rPr>
          <w:rFonts w:asciiTheme="minorHAnsi" w:hAnsiTheme="minorHAnsi" w:cstheme="minorHAnsi"/>
          <w:sz w:val="20"/>
          <w:szCs w:val="20"/>
        </w:rPr>
        <w:t xml:space="preserve">Health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Perspect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>. 2007;115(3):173-181.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9</w:t>
      </w:r>
      <w:r w:rsidRPr="00956FBE">
        <w:rPr>
          <w:rFonts w:asciiTheme="minorHAnsi" w:hAnsiTheme="minorHAnsi" w:cstheme="minorHAnsi"/>
          <w:sz w:val="20"/>
          <w:szCs w:val="20"/>
        </w:rPr>
        <w:t xml:space="preserve"> CDC. 2012. Nationally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Notifiable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 Non-Infectious Conditions Case Definition (</w:t>
      </w:r>
      <w:hyperlink r:id="rId10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http://wwwn.cdc.gov/nndss/document/2012_Case%20Definitions.pdf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).</w:t>
      </w:r>
    </w:p>
    <w:p w:rsidR="0039748B" w:rsidRPr="00956FBE" w:rsidRDefault="0039748B" w:rsidP="0039748B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10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2011. NIOSH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Adult Blood-Lead Epidemiology and Surveillance Program (ABLES) 2009 Case Definition Update (</w:t>
      </w:r>
      <w:hyperlink r:id="rId11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http://intranet.cdc.gov/osels/phspo/bc/bc_registry_profiles/profile_adult_bloodlead_epidemiology_and_surveillance_program_ables.pdf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>).</w:t>
      </w:r>
    </w:p>
    <w:p w:rsidR="0039748B" w:rsidRPr="00956FBE" w:rsidRDefault="0039748B" w:rsidP="0039748B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11 </w:t>
      </w:r>
      <w:proofErr w:type="spellStart"/>
      <w:r w:rsidRPr="00956FBE">
        <w:rPr>
          <w:rFonts w:asciiTheme="minorHAnsi" w:eastAsiaTheme="minorHAnsi" w:hAnsiTheme="minorHAnsi" w:cstheme="minorHAnsi"/>
          <w:sz w:val="20"/>
          <w:szCs w:val="20"/>
        </w:rPr>
        <w:t>Henretig</w:t>
      </w:r>
      <w:proofErr w:type="spellEnd"/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FM. Lead. Chapter 91 in </w:t>
      </w:r>
      <w:proofErr w:type="spellStart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Goldfrank's</w:t>
      </w:r>
      <w:proofErr w:type="spellEnd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Toxicologic</w:t>
      </w:r>
      <w:proofErr w:type="spellEnd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Emergencies, 8th Edition.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N,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Goldfrank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L, Hoffman R, Howland MA, Lewin N, Nelson L, eds. McGraw-Hill Professional: New York, NY.</w:t>
      </w:r>
    </w:p>
    <w:p w:rsidR="0039748B" w:rsidRPr="00956FBE" w:rsidRDefault="0039748B" w:rsidP="0039748B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12 </w:t>
      </w:r>
      <w:r w:rsidRPr="00956FBE">
        <w:rPr>
          <w:rFonts w:asciiTheme="minorHAnsi" w:hAnsiTheme="minorHAnsi" w:cstheme="minorHAnsi"/>
          <w:sz w:val="20"/>
          <w:szCs w:val="20"/>
        </w:rPr>
        <w:t xml:space="preserve">OSHA General Industry and Construction Lead Standard Medical Surveillance Guidelines (29 CFR 1910.1025App C and 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>29 CFR 1926.62 App C, respectively).</w:t>
      </w:r>
    </w:p>
    <w:p w:rsidR="0039748B" w:rsidRPr="00956FBE" w:rsidRDefault="0039748B" w:rsidP="0039748B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13</w:t>
      </w:r>
      <w:r w:rsidRPr="00956FBE">
        <w:rPr>
          <w:rFonts w:asciiTheme="minorHAnsi" w:hAnsiTheme="minorHAnsi" w:cstheme="minorHAnsi"/>
          <w:sz w:val="20"/>
          <w:szCs w:val="20"/>
        </w:rPr>
        <w:t xml:space="preserve"> US EPA. 2001. 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 </w:t>
      </w:r>
      <w:r w:rsidRPr="00956FBE">
        <w:rPr>
          <w:rFonts w:asciiTheme="minorHAnsi" w:hAnsiTheme="minorHAnsi" w:cstheme="minorHAnsi"/>
          <w:bCs/>
          <w:sz w:val="20"/>
          <w:szCs w:val="20"/>
          <w:lang w:val="en"/>
        </w:rPr>
        <w:t>Integrated Risk Information System</w:t>
      </w:r>
      <w:r w:rsidRPr="00956FBE">
        <w:rPr>
          <w:rFonts w:asciiTheme="minorHAnsi" w:hAnsiTheme="minorHAnsi" w:cstheme="minorHAnsi"/>
          <w:sz w:val="20"/>
          <w:szCs w:val="20"/>
          <w:lang w:val="en"/>
        </w:rPr>
        <w:t xml:space="preserve">: </w:t>
      </w:r>
      <w:proofErr w:type="spellStart"/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Methylmercury</w:t>
      </w:r>
      <w:proofErr w:type="spellEnd"/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(</w:t>
      </w:r>
      <w:proofErr w:type="spellStart"/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MeHg</w:t>
      </w:r>
      <w:proofErr w:type="spellEnd"/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) (CASRN 22967-92-6) (</w:t>
      </w:r>
      <w:hyperlink r:id="rId12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http://www.epa.gov/iris/subst/0073.htm</w:t>
        </w:r>
      </w:hyperlink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). Recommended maternal blood </w:t>
      </w:r>
      <w:proofErr w:type="spellStart"/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>methylmercury</w:t>
      </w:r>
      <w:proofErr w:type="spellEnd"/>
      <w:r w:rsidRPr="00956FBE">
        <w:rPr>
          <w:rFonts w:asciiTheme="minorHAnsi" w:hAnsiTheme="minorHAnsi" w:cstheme="minorHAnsi"/>
          <w:bCs/>
          <w:kern w:val="36"/>
          <w:sz w:val="20"/>
          <w:szCs w:val="20"/>
          <w:lang w:val="en"/>
        </w:rPr>
        <w:t xml:space="preserve"> =</w:t>
      </w:r>
      <w:r w:rsidRPr="00956FBE">
        <w:rPr>
          <w:rFonts w:asciiTheme="minorHAnsi" w:hAnsiTheme="minorHAnsi" w:cstheme="minorHAnsi"/>
          <w:sz w:val="20"/>
          <w:szCs w:val="20"/>
        </w:rPr>
        <w:t xml:space="preserve">5.8 µg/L, below which exposures are considered to be without adverse effects. This estimate is based on recommendations in 2000 by the National Research Council.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See </w:t>
      </w:r>
      <w:r w:rsidRPr="00956FBE">
        <w:rPr>
          <w:rFonts w:asciiTheme="minorHAnsi" w:eastAsiaTheme="minorHAnsi" w:hAnsiTheme="minorHAnsi" w:cstheme="minorHAnsi"/>
          <w:i/>
          <w:sz w:val="20"/>
          <w:szCs w:val="20"/>
        </w:rPr>
        <w:t xml:space="preserve">Toxicological Effects of </w:t>
      </w:r>
      <w:proofErr w:type="spellStart"/>
      <w:r w:rsidRPr="00956FBE">
        <w:rPr>
          <w:rFonts w:asciiTheme="minorHAnsi" w:eastAsiaTheme="minorHAnsi" w:hAnsiTheme="minorHAnsi" w:cstheme="minorHAnsi"/>
          <w:i/>
          <w:sz w:val="20"/>
          <w:szCs w:val="20"/>
        </w:rPr>
        <w:t>Methylmercury</w:t>
      </w:r>
      <w:proofErr w:type="spellEnd"/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 </w:t>
      </w:r>
      <w:hyperlink r:id="rId13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http://books.nap.edu/catalog.php?record_id=9899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. Assume: total blood mercury ≈ </w:t>
      </w:r>
      <w:proofErr w:type="spellStart"/>
      <w:r w:rsidRPr="00956FBE">
        <w:rPr>
          <w:rFonts w:asciiTheme="minorHAnsi" w:eastAsiaTheme="minorHAnsi" w:hAnsiTheme="minorHAnsi" w:cstheme="minorHAnsi"/>
          <w:sz w:val="20"/>
          <w:szCs w:val="20"/>
        </w:rPr>
        <w:t>methylmercury</w:t>
      </w:r>
      <w:proofErr w:type="spellEnd"/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in blood.</w:t>
      </w:r>
    </w:p>
    <w:p w:rsidR="0039748B" w:rsidRPr="00956FBE" w:rsidRDefault="0039748B" w:rsidP="0039748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 xml:space="preserve">14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>CDC. 2006. Emergency Preparedness and Response: Case Definitions for Chemical Poisoning – Mercury (Elemental, Inorganic, Organic) (</w:t>
      </w:r>
      <w:hyperlink r:id="rId14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http://emergency.cdc.gov/agent/mercury/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:rsidR="0039748B" w:rsidRPr="00956FBE" w:rsidRDefault="0039748B" w:rsidP="0039748B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15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 xml:space="preserve">Sue YJ. Mercury. Chapter 92 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in </w:t>
      </w:r>
      <w:proofErr w:type="spellStart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Goldfrank's</w:t>
      </w:r>
      <w:proofErr w:type="spellEnd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Toxicologic</w:t>
      </w:r>
      <w:proofErr w:type="spellEnd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Emergencies, 8th Edition.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N,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Goldfrank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L, Hoffman R, Howland MA, Lewin N, Nelson L, eds. McGraw-Hill Professional: New York, NY.</w:t>
      </w:r>
    </w:p>
    <w:p w:rsidR="0039748B" w:rsidRPr="00956FBE" w:rsidRDefault="0039748B" w:rsidP="0039748B">
      <w:pPr>
        <w:rPr>
          <w:rFonts w:asciiTheme="minorHAnsi" w:hAnsiTheme="minorHAnsi" w:cstheme="minorHAnsi"/>
          <w:color w:val="000000"/>
          <w:sz w:val="20"/>
          <w:szCs w:val="20"/>
          <w:lang w:val="en"/>
        </w:rPr>
      </w:pPr>
      <w:r w:rsidRPr="00956FBE">
        <w:rPr>
          <w:rFonts w:asciiTheme="minorHAnsi" w:hAnsiTheme="minorHAnsi" w:cstheme="minorHAnsi"/>
          <w:color w:val="000000"/>
          <w:sz w:val="20"/>
          <w:szCs w:val="20"/>
          <w:vertAlign w:val="superscript"/>
          <w:lang w:val="en"/>
        </w:rPr>
        <w:t xml:space="preserve">16 </w:t>
      </w:r>
      <w:r w:rsidRPr="00956FBE">
        <w:rPr>
          <w:rFonts w:asciiTheme="minorHAnsi" w:hAnsiTheme="minorHAnsi" w:cstheme="minorHAnsi"/>
          <w:color w:val="000000"/>
          <w:sz w:val="20"/>
          <w:szCs w:val="20"/>
          <w:lang w:val="en"/>
        </w:rPr>
        <w:t>ACGIH. 2007 TLVs and BEIs. Based on the Documentation of the Threshold Limit Values for Chemical Substances and Physical Agents and Biological Exposure Indices. Cincinnati (OH): Signature Publications. ACGIH recommends that the blood levels due to inorganic mercury exposure in workers not exceed 15 µg/L. Information about the biological exposure indices is provided here for comparison, not to imply a safety level for general population exposure.</w:t>
      </w:r>
    </w:p>
    <w:p w:rsidR="0039748B" w:rsidRPr="00956FBE" w:rsidRDefault="0039748B" w:rsidP="0039748B">
      <w:pPr>
        <w:pStyle w:val="HTMLPreformatted"/>
        <w:rPr>
          <w:rFonts w:asciiTheme="minorHAnsi" w:hAnsiTheme="minorHAnsi" w:cstheme="minorHAnsi"/>
        </w:rPr>
      </w:pPr>
      <w:r w:rsidRPr="00956FBE">
        <w:rPr>
          <w:rFonts w:asciiTheme="minorHAnsi" w:hAnsiTheme="minorHAnsi" w:cstheme="minorHAnsi"/>
          <w:color w:val="000000"/>
          <w:vertAlign w:val="superscript"/>
          <w:lang w:val="en"/>
        </w:rPr>
        <w:t>17</w:t>
      </w:r>
      <w:r w:rsidRPr="00956FBE">
        <w:rPr>
          <w:rFonts w:asciiTheme="minorHAnsi" w:hAnsiTheme="minorHAnsi" w:cstheme="minorHAnsi"/>
        </w:rPr>
        <w:t xml:space="preserve"> HSDB.  2012. Blood levels of 10-15 µg/L are common in patients eating several fish meals per week (Accessed 26 July 2012).</w:t>
      </w:r>
    </w:p>
    <w:p w:rsidR="0039748B" w:rsidRPr="00956FBE" w:rsidRDefault="0039748B" w:rsidP="0039748B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18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Medical Management Guidelines for Mercury (Hg): CAS 7439-97-6; UN 2024 (liquid compounds) (</w:t>
      </w:r>
      <w:hyperlink r:id="rId15" w:history="1">
        <w:r w:rsidRPr="00956FBE">
          <w:rPr>
            <w:rStyle w:val="Hyperlink"/>
            <w:rFonts w:asciiTheme="minorHAnsi" w:eastAsiaTheme="minorHAnsi" w:hAnsiTheme="minorHAnsi" w:cstheme="minorHAnsi"/>
            <w:sz w:val="20"/>
            <w:szCs w:val="20"/>
          </w:rPr>
          <w:t>http://www.atsdr.cdc.gov/MHMI/mmg46.pdf</w:t>
        </w:r>
      </w:hyperlink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).</w:t>
      </w:r>
    </w:p>
    <w:p w:rsidR="0039748B" w:rsidRPr="00956FBE" w:rsidRDefault="0039748B" w:rsidP="0039748B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Cs/>
          <w:iCs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1</w:t>
      </w:r>
      <w:r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9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</w:t>
      </w:r>
      <w:proofErr w:type="spellStart"/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>Tietz</w:t>
      </w:r>
      <w:proofErr w:type="spellEnd"/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NW (</w:t>
      </w:r>
      <w:proofErr w:type="spellStart"/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>ed</w:t>
      </w:r>
      <w:proofErr w:type="spellEnd"/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>). 1995. Clinical Guide to Laboratory Tests. 3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  <w:vertAlign w:val="superscript"/>
        </w:rPr>
        <w:t>rd</w:t>
      </w:r>
      <w:r w:rsidRPr="00956FBE">
        <w:rPr>
          <w:rFonts w:asciiTheme="minorHAnsi" w:eastAsiaTheme="minorHAnsi" w:hAnsiTheme="minorHAnsi" w:cstheme="minorHAnsi"/>
          <w:bCs/>
          <w:iCs/>
          <w:sz w:val="20"/>
          <w:szCs w:val="20"/>
        </w:rPr>
        <w:t xml:space="preserve"> Ed. WB Saunders Co.: Philadelphia, PA.</w:t>
      </w:r>
    </w:p>
    <w:p w:rsidR="0039748B" w:rsidRPr="00956FBE" w:rsidRDefault="0039748B" w:rsidP="0039748B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20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OSHA. 1993.</w:t>
      </w:r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Substance Safety Data Sheet for Cadmium – Medical Surveillance Program (</w:t>
      </w:r>
      <w:hyperlink r:id="rId16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http://www.osha.gov/pls/oshaweb/owadisp.show_document?p_table=STANDARDS&amp;p_id=10036</w:t>
        </w:r>
      </w:hyperlink>
      <w:r w:rsidRPr="00956FBE">
        <w:rPr>
          <w:rFonts w:asciiTheme="minorHAnsi" w:hAnsiTheme="minorHAnsi" w:cstheme="minorHAnsi"/>
          <w:color w:val="000000"/>
          <w:sz w:val="20"/>
          <w:szCs w:val="20"/>
        </w:rPr>
        <w:t>).</w:t>
      </w:r>
    </w:p>
    <w:p w:rsidR="0039748B" w:rsidRPr="00956FBE" w:rsidRDefault="0039748B" w:rsidP="0039748B">
      <w:pPr>
        <w:rPr>
          <w:rFonts w:asciiTheme="minorHAnsi" w:eastAsiaTheme="minorHAnsi" w:hAnsiTheme="minorHAnsi" w:cstheme="minorHAnsi"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21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ATSDR. 2011. Case Studies in Environmental Medicine – Cadmium. Elevated blood cadmium levels confirm recent acute exposure, but do not correlate with body burden or clinical outcome, and should not be used to determine the need for treatment.</w:t>
      </w:r>
    </w:p>
    <w:p w:rsidR="0039748B" w:rsidRPr="00956FBE" w:rsidRDefault="0039748B" w:rsidP="0039748B">
      <w:pPr>
        <w:rPr>
          <w:rFonts w:asciiTheme="minorHAnsi" w:eastAsia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2</w:t>
      </w:r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</w:t>
      </w:r>
      <w:proofErr w:type="spellStart"/>
      <w:r w:rsidRPr="00956FBE">
        <w:rPr>
          <w:rFonts w:asciiTheme="minorHAnsi" w:eastAsiaTheme="minorHAnsi" w:hAnsiTheme="minorHAnsi" w:cstheme="minorHAnsi"/>
          <w:sz w:val="20"/>
          <w:szCs w:val="20"/>
        </w:rPr>
        <w:t>Traub</w:t>
      </w:r>
      <w:proofErr w:type="spellEnd"/>
      <w:r w:rsidRPr="00956FBE">
        <w:rPr>
          <w:rFonts w:asciiTheme="minorHAnsi" w:eastAsiaTheme="minorHAnsi" w:hAnsiTheme="minorHAnsi" w:cstheme="minorHAnsi"/>
          <w:sz w:val="20"/>
          <w:szCs w:val="20"/>
        </w:rPr>
        <w:t xml:space="preserve"> SJ, Hoffman RS. Cadmium. Chapter 87 in </w:t>
      </w:r>
      <w:proofErr w:type="spellStart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Goldfrank's</w:t>
      </w:r>
      <w:proofErr w:type="spellEnd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</w:t>
      </w:r>
      <w:proofErr w:type="spellStart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>Toxicologic</w:t>
      </w:r>
      <w:proofErr w:type="spellEnd"/>
      <w:r w:rsidRPr="00956FBE">
        <w:rPr>
          <w:rFonts w:asciiTheme="minorHAnsi" w:hAnsiTheme="minorHAnsi" w:cstheme="minorHAnsi"/>
          <w:bCs/>
          <w:color w:val="000000"/>
          <w:sz w:val="20"/>
          <w:szCs w:val="20"/>
        </w:rPr>
        <w:t xml:space="preserve"> Emergencies, 8th Edition.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Flomenbaum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N, </w:t>
      </w:r>
      <w:proofErr w:type="spellStart"/>
      <w:r w:rsidRPr="00956FBE">
        <w:rPr>
          <w:rFonts w:asciiTheme="minorHAnsi" w:hAnsiTheme="minorHAnsi" w:cstheme="minorHAnsi"/>
          <w:color w:val="000000"/>
          <w:sz w:val="20"/>
          <w:szCs w:val="20"/>
        </w:rPr>
        <w:t>Goldfrank</w:t>
      </w:r>
      <w:proofErr w:type="spellEnd"/>
      <w:r w:rsidRPr="00956FBE">
        <w:rPr>
          <w:rFonts w:asciiTheme="minorHAnsi" w:hAnsiTheme="minorHAnsi" w:cstheme="minorHAnsi"/>
          <w:color w:val="000000"/>
          <w:sz w:val="20"/>
          <w:szCs w:val="20"/>
        </w:rPr>
        <w:t xml:space="preserve"> L, Hoffman R, Howland MA, Lewin N, Nelson L, eds. McGraw-Hill Professional: New York, NY.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eastAsiaTheme="minorHAnsi" w:hAnsiTheme="minorHAnsi" w:cstheme="minorHAnsi"/>
          <w:sz w:val="20"/>
          <w:szCs w:val="20"/>
          <w:vertAlign w:val="superscript"/>
        </w:rPr>
        <w:lastRenderedPageBreak/>
        <w:t>2</w:t>
      </w:r>
      <w:r>
        <w:rPr>
          <w:rFonts w:asciiTheme="minorHAnsi" w:eastAsiaTheme="minorHAnsi" w:hAnsiTheme="minorHAnsi" w:cstheme="minorHAnsi"/>
          <w:sz w:val="20"/>
          <w:szCs w:val="20"/>
          <w:vertAlign w:val="superscript"/>
        </w:rPr>
        <w:t>3</w:t>
      </w:r>
      <w:r w:rsidRPr="00956FBE">
        <w:rPr>
          <w:rFonts w:asciiTheme="minorHAnsi" w:hAnsiTheme="minorHAnsi" w:cstheme="minorHAnsi"/>
          <w:sz w:val="20"/>
          <w:szCs w:val="20"/>
        </w:rPr>
        <w:t>No NHANES reference ranges are available for blood manganese.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4</w:t>
      </w:r>
      <w:r w:rsidRPr="00956FBE">
        <w:rPr>
          <w:rFonts w:asciiTheme="minorHAnsi" w:hAnsiTheme="minorHAnsi" w:cstheme="minorHAnsi"/>
          <w:sz w:val="20"/>
          <w:szCs w:val="20"/>
        </w:rPr>
        <w:t xml:space="preserve"> Mayo Clinic Medical Laboratories. Test ID: MNB for Manganese, Blood (</w:t>
      </w:r>
      <w:hyperlink r:id="rId17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http://www.mayomedicallaboratories.com/test-catalog/Overview/89120</w:t>
        </w:r>
      </w:hyperlink>
      <w:r w:rsidRPr="00956FBE">
        <w:rPr>
          <w:rFonts w:asciiTheme="minorHAnsi" w:hAnsiTheme="minorHAnsi" w:cstheme="minorHAnsi"/>
          <w:sz w:val="20"/>
          <w:szCs w:val="20"/>
        </w:rPr>
        <w:t>; accessed 24 July 2012). Value greater than twice the upper limit of normal correlates with disease.</w:t>
      </w:r>
    </w:p>
    <w:p w:rsidR="0039748B" w:rsidRPr="00956FBE" w:rsidRDefault="0039748B" w:rsidP="0039748B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>2</w:t>
      </w:r>
      <w:r>
        <w:rPr>
          <w:rFonts w:asciiTheme="minorHAnsi" w:hAnsiTheme="minorHAnsi" w:cstheme="minorHAnsi"/>
          <w:sz w:val="20"/>
          <w:szCs w:val="20"/>
          <w:vertAlign w:val="superscript"/>
        </w:rPr>
        <w:t>5</w:t>
      </w:r>
      <w:r w:rsidRPr="00956FBE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Laclaustra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 M,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Navas-Acien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 A,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Stranges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 S,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Ordovas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 JM,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Guallar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 E. Serum selenium conc</w:t>
      </w:r>
      <w:r>
        <w:rPr>
          <w:rFonts w:asciiTheme="minorHAnsi" w:hAnsiTheme="minorHAnsi" w:cstheme="minorHAnsi"/>
          <w:sz w:val="20"/>
          <w:szCs w:val="20"/>
        </w:rPr>
        <w:t xml:space="preserve">entrations and diabetes </w:t>
      </w:r>
      <w:proofErr w:type="spellStart"/>
      <w:r>
        <w:rPr>
          <w:rFonts w:asciiTheme="minorHAnsi" w:hAnsiTheme="minorHAnsi" w:cstheme="minorHAnsi"/>
          <w:sz w:val="20"/>
          <w:szCs w:val="20"/>
        </w:rPr>
        <w:t>in</w:t>
      </w:r>
      <w:r w:rsidRPr="00956FBE">
        <w:rPr>
          <w:rFonts w:asciiTheme="minorHAnsi" w:hAnsiTheme="minorHAnsi" w:cstheme="minorHAnsi"/>
          <w:sz w:val="20"/>
          <w:szCs w:val="20"/>
        </w:rPr>
        <w:t>U.S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 xml:space="preserve">. adults: National Health and Nutrition Examination Survey (NHANES) 2003-2004. Environmental Health </w:t>
      </w:r>
      <w:proofErr w:type="spellStart"/>
      <w:r w:rsidRPr="00956FBE">
        <w:rPr>
          <w:rFonts w:asciiTheme="minorHAnsi" w:hAnsiTheme="minorHAnsi" w:cstheme="minorHAnsi"/>
          <w:sz w:val="20"/>
          <w:szCs w:val="20"/>
        </w:rPr>
        <w:t>Perspect</w:t>
      </w:r>
      <w:proofErr w:type="spellEnd"/>
      <w:r w:rsidRPr="00956FBE">
        <w:rPr>
          <w:rFonts w:asciiTheme="minorHAnsi" w:hAnsiTheme="minorHAnsi" w:cstheme="minorHAnsi"/>
          <w:sz w:val="20"/>
          <w:szCs w:val="20"/>
        </w:rPr>
        <w:t>. 2009;117(9):1409-1413. Restricted to adults 40+ years of age.</w:t>
      </w:r>
    </w:p>
    <w:p w:rsidR="0039748B" w:rsidRPr="00956FBE" w:rsidRDefault="0039748B" w:rsidP="0039748B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  <w:vertAlign w:val="superscript"/>
        </w:rPr>
        <w:t>26</w:t>
      </w:r>
      <w:r w:rsidRPr="00956FBE">
        <w:rPr>
          <w:rFonts w:asciiTheme="minorHAnsi" w:hAnsiTheme="minorHAnsi" w:cstheme="minorHAnsi"/>
          <w:sz w:val="20"/>
          <w:szCs w:val="20"/>
          <w:vertAlign w:val="superscript"/>
        </w:rPr>
        <w:t xml:space="preserve">  </w:t>
      </w:r>
      <w:r w:rsidRPr="00956FBE">
        <w:rPr>
          <w:rFonts w:asciiTheme="minorHAnsi" w:hAnsiTheme="minorHAnsi" w:cstheme="minorHAnsi"/>
          <w:sz w:val="20"/>
          <w:szCs w:val="20"/>
        </w:rPr>
        <w:t xml:space="preserve">CDC. 2004. </w:t>
      </w:r>
      <w:r w:rsidRPr="00956FBE">
        <w:rPr>
          <w:rFonts w:asciiTheme="minorHAnsi" w:hAnsiTheme="minorHAnsi" w:cstheme="minorHAnsi"/>
          <w:bCs/>
          <w:sz w:val="20"/>
          <w:szCs w:val="20"/>
        </w:rPr>
        <w:t>Laboratory Procedure Manual  (Selenium, Serum by Inductively Coupled Plasma-Dynamic Reaction (</w:t>
      </w:r>
      <w:hyperlink r:id="rId18" w:history="1">
        <w:r w:rsidRPr="00956FBE">
          <w:rPr>
            <w:rStyle w:val="Hyperlink"/>
            <w:rFonts w:asciiTheme="minorHAnsi" w:hAnsiTheme="minorHAnsi" w:cstheme="minorHAnsi"/>
            <w:sz w:val="20"/>
            <w:szCs w:val="20"/>
          </w:rPr>
          <w:t>http://www.cdc.gov/nchs/data/nhanes/nhanes_03_04/l39_c_met_selenium.pdf</w:t>
        </w:r>
      </w:hyperlink>
      <w:r w:rsidRPr="00956FBE">
        <w:rPr>
          <w:rFonts w:asciiTheme="minorHAnsi" w:hAnsiTheme="minorHAnsi" w:cstheme="minorHAnsi"/>
          <w:sz w:val="20"/>
          <w:szCs w:val="20"/>
        </w:rPr>
        <w:t>) performed by NYS DOH Wadsworth Center Trace Elements Laboratory.</w:t>
      </w:r>
    </w:p>
    <w:p w:rsidR="0039748B" w:rsidRDefault="0039748B" w:rsidP="0039748B">
      <w:pPr>
        <w:rPr>
          <w:sz w:val="23"/>
          <w:szCs w:val="23"/>
        </w:rPr>
      </w:pPr>
    </w:p>
    <w:p w:rsidR="0039748B" w:rsidRDefault="0039748B" w:rsidP="0039748B">
      <w:pPr>
        <w:rPr>
          <w:rFonts w:asciiTheme="minorHAnsi" w:hAnsiTheme="minorHAnsi" w:cstheme="minorHAnsi"/>
          <w:b/>
          <w:sz w:val="20"/>
          <w:szCs w:val="20"/>
        </w:rPr>
      </w:pPr>
    </w:p>
    <w:p w:rsidR="000F36A2" w:rsidRDefault="000F36A2"/>
    <w:sectPr w:rsidR="000F36A2" w:rsidSect="003974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en Pro Cond">
    <w:altName w:val="Helen Pro Con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2E4D79"/>
    <w:multiLevelType w:val="hybridMultilevel"/>
    <w:tmpl w:val="5574A72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8B"/>
    <w:rsid w:val="000F36A2"/>
    <w:rsid w:val="0039748B"/>
    <w:rsid w:val="0088037C"/>
    <w:rsid w:val="00945C09"/>
    <w:rsid w:val="00AD7DE6"/>
    <w:rsid w:val="00D0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48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48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9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39748B"/>
    <w:rPr>
      <w:color w:val="0000FF" w:themeColor="hyperlink"/>
      <w:u w:val="single"/>
    </w:rPr>
  </w:style>
  <w:style w:type="paragraph" w:customStyle="1" w:styleId="Default">
    <w:name w:val="Default"/>
    <w:rsid w:val="0039748B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39748B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39748B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39748B"/>
  </w:style>
  <w:style w:type="paragraph" w:styleId="HTMLPreformatted">
    <w:name w:val="HTML Preformatted"/>
    <w:basedOn w:val="Normal"/>
    <w:link w:val="HTMLPreformattedChar"/>
    <w:uiPriority w:val="99"/>
    <w:unhideWhenUsed/>
    <w:rsid w:val="00397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748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4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9748B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748B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TableGrid">
    <w:name w:val="Table Grid"/>
    <w:basedOn w:val="TableNormal"/>
    <w:uiPriority w:val="59"/>
    <w:rsid w:val="00397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974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Hyperlink">
    <w:name w:val="Hyperlink"/>
    <w:basedOn w:val="DefaultParagraphFont"/>
    <w:rsid w:val="0039748B"/>
    <w:rPr>
      <w:color w:val="0000FF" w:themeColor="hyperlink"/>
      <w:u w:val="single"/>
    </w:rPr>
  </w:style>
  <w:style w:type="paragraph" w:customStyle="1" w:styleId="Default">
    <w:name w:val="Default"/>
    <w:rsid w:val="0039748B"/>
    <w:pPr>
      <w:autoSpaceDE w:val="0"/>
      <w:autoSpaceDN w:val="0"/>
      <w:adjustRightInd w:val="0"/>
      <w:spacing w:after="0" w:line="240" w:lineRule="auto"/>
    </w:pPr>
    <w:rPr>
      <w:rFonts w:ascii="Helen Pro Cond" w:hAnsi="Helen Pro Cond" w:cs="Helen Pro Cond"/>
      <w:color w:val="000000"/>
      <w:sz w:val="24"/>
      <w:szCs w:val="24"/>
    </w:rPr>
  </w:style>
  <w:style w:type="character" w:customStyle="1" w:styleId="A0">
    <w:name w:val="A0"/>
    <w:uiPriority w:val="99"/>
    <w:rsid w:val="0039748B"/>
    <w:rPr>
      <w:rFonts w:cs="Helen Pro Cond"/>
      <w:b/>
      <w:bCs/>
      <w:color w:val="000000"/>
      <w:sz w:val="15"/>
      <w:szCs w:val="15"/>
      <w:u w:val="single"/>
    </w:rPr>
  </w:style>
  <w:style w:type="character" w:customStyle="1" w:styleId="A1">
    <w:name w:val="A1"/>
    <w:uiPriority w:val="99"/>
    <w:rsid w:val="0039748B"/>
    <w:rPr>
      <w:rFonts w:cs="Helen Pro Cond"/>
      <w:b/>
      <w:bCs/>
      <w:color w:val="000000"/>
      <w:sz w:val="15"/>
      <w:szCs w:val="15"/>
    </w:rPr>
  </w:style>
  <w:style w:type="character" w:customStyle="1" w:styleId="cdc-decorated">
    <w:name w:val="cdc-decorated"/>
    <w:basedOn w:val="DefaultParagraphFont"/>
    <w:rsid w:val="0039748B"/>
  </w:style>
  <w:style w:type="paragraph" w:styleId="HTMLPreformatted">
    <w:name w:val="HTML Preformatted"/>
    <w:basedOn w:val="Normal"/>
    <w:link w:val="HTMLPreformattedChar"/>
    <w:uiPriority w:val="99"/>
    <w:unhideWhenUsed/>
    <w:rsid w:val="00397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9748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dc.gov/exposurereport/pdf/FourthReport_UpdatedTables_Feb2012.pdf" TargetMode="External"/><Relationship Id="rId13" Type="http://schemas.openxmlformats.org/officeDocument/2006/relationships/hyperlink" Target="http://books.nap.edu/catalog.php?record_id=9899" TargetMode="External"/><Relationship Id="rId18" Type="http://schemas.openxmlformats.org/officeDocument/2006/relationships/hyperlink" Target="http://www.cdc.gov/nchs/data/nhanes/nhanes_03_04/l39_c_met_selenium.pdf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hlbi.nih.gov/guidelines/cholesterol/index.htm" TargetMode="External"/><Relationship Id="rId12" Type="http://schemas.openxmlformats.org/officeDocument/2006/relationships/hyperlink" Target="http://www.epa.gov/iris/subst/0073.htm" TargetMode="External"/><Relationship Id="rId17" Type="http://schemas.openxmlformats.org/officeDocument/2006/relationships/hyperlink" Target="http://www.mayomedicallaboratories.com/test-catalog/Overview/8912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sha.gov/pls/oshaweb/owadisp.show_document?p_table=STANDARDS&amp;p_id=10036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nhlbi.nih.gov/guidelines/cholesterol/index.htm" TargetMode="External"/><Relationship Id="rId11" Type="http://schemas.openxmlformats.org/officeDocument/2006/relationships/hyperlink" Target="http://intranet.cdc.gov/osels/phspo/bc/bc_registry_profiles/profile_adult_bloodlead_epidemiology_and_surveillance_program_ables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sdr.cdc.gov/MHMI/mmg46.pdf" TargetMode="External"/><Relationship Id="rId10" Type="http://schemas.openxmlformats.org/officeDocument/2006/relationships/hyperlink" Target="http://wwwn.cdc.gov/nndss/document/2012_Case%20Definitions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dc.gov/nceh/lead/publications/LeadandPregnancy2010.pdf" TargetMode="External"/><Relationship Id="rId14" Type="http://schemas.openxmlformats.org/officeDocument/2006/relationships/hyperlink" Target="http://emergency.cdc.gov/agent/mercur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1655</Words>
  <Characters>9440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2</cp:revision>
  <dcterms:created xsi:type="dcterms:W3CDTF">2012-12-17T19:29:00Z</dcterms:created>
  <dcterms:modified xsi:type="dcterms:W3CDTF">2012-12-17T19:29:00Z</dcterms:modified>
</cp:coreProperties>
</file>