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22" w:rsidRPr="00F46D82" w:rsidRDefault="00767E22" w:rsidP="00767E22">
      <w:pPr>
        <w:jc w:val="center"/>
        <w:rPr>
          <w:rFonts w:asciiTheme="minorHAnsi" w:hAnsiTheme="minorHAnsi" w:cstheme="minorHAnsi"/>
          <w:b/>
          <w:bCs/>
          <w:sz w:val="24"/>
          <w:szCs w:val="24"/>
        </w:rPr>
      </w:pPr>
      <w:bookmarkStart w:id="0" w:name="_GoBack"/>
      <w:bookmarkEnd w:id="0"/>
    </w:p>
    <w:p w:rsidR="00767E22" w:rsidRPr="00F46D82" w:rsidRDefault="00767E22" w:rsidP="00441578">
      <w:pPr>
        <w:rPr>
          <w:rFonts w:asciiTheme="minorHAnsi" w:hAnsiTheme="minorHAnsi" w:cstheme="minorHAnsi"/>
          <w:b/>
          <w:bCs/>
          <w:sz w:val="24"/>
          <w:szCs w:val="24"/>
        </w:rPr>
      </w:pPr>
    </w:p>
    <w:p w:rsidR="00767E22" w:rsidRPr="00F46D82" w:rsidRDefault="00767E22" w:rsidP="00100B55">
      <w:pPr>
        <w:pStyle w:val="Title"/>
        <w:rPr>
          <w:rFonts w:asciiTheme="minorHAnsi" w:hAnsiTheme="minorHAnsi" w:cstheme="minorHAnsi"/>
        </w:rPr>
      </w:pPr>
      <w:r w:rsidRPr="00F46D82">
        <w:rPr>
          <w:rFonts w:asciiTheme="minorHAnsi" w:hAnsiTheme="minorHAnsi" w:cstheme="minorHAnsi"/>
        </w:rPr>
        <w:t>Supporting Statement</w:t>
      </w:r>
    </w:p>
    <w:p w:rsidR="00767E22" w:rsidRPr="00F46D82" w:rsidRDefault="00767E22" w:rsidP="00100B55">
      <w:pPr>
        <w:pStyle w:val="Title"/>
        <w:rPr>
          <w:rFonts w:asciiTheme="minorHAnsi" w:hAnsiTheme="minorHAnsi" w:cstheme="minorHAnsi"/>
        </w:rPr>
      </w:pPr>
      <w:r w:rsidRPr="00F46D82">
        <w:rPr>
          <w:rFonts w:asciiTheme="minorHAnsi" w:hAnsiTheme="minorHAnsi" w:cstheme="minorHAnsi"/>
        </w:rPr>
        <w:t>For OMB Review and Approval of</w:t>
      </w:r>
    </w:p>
    <w:p w:rsidR="00767E22" w:rsidRPr="00F46D82" w:rsidRDefault="00767E22" w:rsidP="00100B55">
      <w:pPr>
        <w:pStyle w:val="Title"/>
        <w:rPr>
          <w:rFonts w:asciiTheme="minorHAnsi" w:hAnsiTheme="minorHAnsi" w:cstheme="minorHAnsi"/>
        </w:rPr>
      </w:pPr>
    </w:p>
    <w:p w:rsidR="00767E22" w:rsidRPr="00F46D82" w:rsidRDefault="00767E22" w:rsidP="00100B55">
      <w:pPr>
        <w:pStyle w:val="Title"/>
        <w:rPr>
          <w:rFonts w:asciiTheme="minorHAnsi" w:hAnsiTheme="minorHAnsi" w:cstheme="minorHAnsi"/>
          <w:color w:val="000000"/>
          <w:sz w:val="28"/>
          <w:szCs w:val="28"/>
        </w:rPr>
      </w:pPr>
      <w:r w:rsidRPr="00F46D82">
        <w:rPr>
          <w:rFonts w:asciiTheme="minorHAnsi" w:hAnsiTheme="minorHAnsi" w:cstheme="minorHAnsi"/>
          <w:color w:val="000000"/>
          <w:sz w:val="28"/>
          <w:szCs w:val="28"/>
        </w:rPr>
        <w:t>Agency for Toxic Substances and Disease Registry (ATSDR)</w:t>
      </w:r>
    </w:p>
    <w:p w:rsidR="00DC1906" w:rsidRPr="00F46D82" w:rsidRDefault="00C30960" w:rsidP="00100B55">
      <w:pPr>
        <w:pStyle w:val="Title"/>
        <w:rPr>
          <w:rFonts w:asciiTheme="minorHAnsi" w:hAnsiTheme="minorHAnsi" w:cstheme="minorHAnsi"/>
          <w:color w:val="000000"/>
          <w:sz w:val="28"/>
          <w:szCs w:val="28"/>
        </w:rPr>
      </w:pPr>
      <w:r w:rsidRPr="00F46D82">
        <w:rPr>
          <w:rFonts w:asciiTheme="minorHAnsi" w:hAnsiTheme="minorHAnsi" w:cstheme="minorHAnsi"/>
          <w:color w:val="000000"/>
          <w:sz w:val="28"/>
          <w:szCs w:val="28"/>
        </w:rPr>
        <w:t>Anniston Community Health Survey: F</w:t>
      </w:r>
      <w:r w:rsidR="00B018DE">
        <w:rPr>
          <w:rFonts w:asciiTheme="minorHAnsi" w:hAnsiTheme="minorHAnsi" w:cstheme="minorHAnsi"/>
          <w:color w:val="000000"/>
          <w:sz w:val="28"/>
          <w:szCs w:val="28"/>
        </w:rPr>
        <w:t>ollow-</w:t>
      </w:r>
      <w:r w:rsidR="00DC1906" w:rsidRPr="00F46D82">
        <w:rPr>
          <w:rFonts w:asciiTheme="minorHAnsi" w:hAnsiTheme="minorHAnsi" w:cstheme="minorHAnsi"/>
          <w:color w:val="000000"/>
          <w:sz w:val="28"/>
          <w:szCs w:val="28"/>
        </w:rPr>
        <w:t xml:space="preserve">up and Dioxin Analyses </w:t>
      </w:r>
    </w:p>
    <w:p w:rsidR="00767E22" w:rsidRPr="00F46D82" w:rsidRDefault="00DC1906" w:rsidP="00100B55">
      <w:pPr>
        <w:pStyle w:val="Title"/>
        <w:rPr>
          <w:rFonts w:asciiTheme="minorHAnsi" w:hAnsiTheme="minorHAnsi" w:cstheme="minorHAnsi"/>
          <w:color w:val="000000"/>
          <w:sz w:val="28"/>
          <w:szCs w:val="28"/>
        </w:rPr>
      </w:pPr>
      <w:r w:rsidRPr="00F46D82">
        <w:rPr>
          <w:rFonts w:asciiTheme="minorHAnsi" w:hAnsiTheme="minorHAnsi" w:cstheme="minorHAnsi"/>
          <w:color w:val="000000"/>
          <w:sz w:val="28"/>
          <w:szCs w:val="28"/>
        </w:rPr>
        <w:t>(A</w:t>
      </w:r>
      <w:r w:rsidR="00C30960" w:rsidRPr="00F46D82">
        <w:rPr>
          <w:rFonts w:asciiTheme="minorHAnsi" w:hAnsiTheme="minorHAnsi" w:cstheme="minorHAnsi"/>
          <w:color w:val="000000"/>
          <w:sz w:val="28"/>
          <w:szCs w:val="28"/>
        </w:rPr>
        <w:t>CHS</w:t>
      </w:r>
      <w:r w:rsidR="008A7F9E" w:rsidRPr="00F46D82">
        <w:rPr>
          <w:rFonts w:asciiTheme="minorHAnsi" w:hAnsiTheme="minorHAnsi" w:cstheme="minorHAnsi"/>
          <w:color w:val="000000"/>
          <w:sz w:val="28"/>
          <w:szCs w:val="28"/>
        </w:rPr>
        <w:t>-</w:t>
      </w:r>
      <w:r w:rsidR="00C30960" w:rsidRPr="00F46D82">
        <w:rPr>
          <w:rFonts w:asciiTheme="minorHAnsi" w:hAnsiTheme="minorHAnsi" w:cstheme="minorHAnsi"/>
          <w:color w:val="000000"/>
          <w:sz w:val="28"/>
          <w:szCs w:val="28"/>
        </w:rPr>
        <w:t>II)</w:t>
      </w:r>
    </w:p>
    <w:p w:rsidR="00773E68" w:rsidRPr="00F46D82" w:rsidRDefault="00773E68" w:rsidP="00773E68">
      <w:pPr>
        <w:rPr>
          <w:rFonts w:asciiTheme="minorHAnsi" w:hAnsiTheme="minorHAnsi" w:cstheme="minorHAnsi"/>
        </w:rPr>
      </w:pPr>
    </w:p>
    <w:p w:rsidR="00F311A9" w:rsidRPr="00F46D82" w:rsidRDefault="00F311A9" w:rsidP="00767E22">
      <w:pPr>
        <w:spacing w:after="0" w:line="240" w:lineRule="auto"/>
        <w:jc w:val="center"/>
        <w:rPr>
          <w:rFonts w:asciiTheme="minorHAnsi" w:hAnsiTheme="minorHAnsi" w:cstheme="minorHAnsi"/>
          <w:b/>
          <w:bCs/>
          <w:color w:val="000000"/>
          <w:sz w:val="24"/>
          <w:szCs w:val="24"/>
        </w:rPr>
      </w:pPr>
    </w:p>
    <w:p w:rsidR="00767E22" w:rsidRPr="00F46D82" w:rsidRDefault="00953C5A" w:rsidP="00767E22">
      <w:pPr>
        <w:rPr>
          <w:rFonts w:asciiTheme="minorHAnsi" w:hAnsiTheme="minorHAnsi" w:cstheme="minorHAnsi"/>
          <w:sz w:val="28"/>
          <w:szCs w:val="28"/>
        </w:rPr>
      </w:pPr>
      <w:r>
        <w:rPr>
          <w:rFonts w:asciiTheme="minorHAnsi" w:hAnsiTheme="minorHAnsi" w:cstheme="minorHAnsi"/>
          <w:sz w:val="28"/>
          <w:szCs w:val="28"/>
        </w:rPr>
        <w:t>Part</w:t>
      </w:r>
      <w:r w:rsidR="00320D5E" w:rsidRPr="00F46D82">
        <w:rPr>
          <w:rFonts w:asciiTheme="minorHAnsi" w:hAnsiTheme="minorHAnsi" w:cstheme="minorHAnsi"/>
          <w:sz w:val="28"/>
          <w:szCs w:val="28"/>
        </w:rPr>
        <w:t xml:space="preserve"> A. Justification</w:t>
      </w:r>
    </w:p>
    <w:p w:rsidR="00767E22" w:rsidRPr="00F46D82" w:rsidRDefault="00767E22" w:rsidP="00767E22">
      <w:pPr>
        <w:rPr>
          <w:rFonts w:asciiTheme="minorHAnsi" w:hAnsiTheme="minorHAnsi" w:cstheme="minorHAnsi"/>
        </w:rPr>
      </w:pPr>
    </w:p>
    <w:p w:rsidR="00320D5E" w:rsidRPr="00F46D82" w:rsidRDefault="00320D5E" w:rsidP="00767E22">
      <w:pPr>
        <w:rPr>
          <w:rFonts w:asciiTheme="minorHAnsi" w:hAnsiTheme="minorHAnsi" w:cstheme="minorHAnsi"/>
        </w:rPr>
      </w:pPr>
    </w:p>
    <w:p w:rsidR="00767E22" w:rsidRPr="00F46D82" w:rsidRDefault="00661560" w:rsidP="00100B55">
      <w:pPr>
        <w:pStyle w:val="NoSpacing"/>
        <w:rPr>
          <w:rFonts w:asciiTheme="minorHAnsi" w:hAnsiTheme="minorHAnsi" w:cstheme="minorHAnsi"/>
          <w:sz w:val="24"/>
          <w:szCs w:val="24"/>
        </w:rPr>
      </w:pPr>
      <w:r>
        <w:rPr>
          <w:rFonts w:asciiTheme="minorHAnsi" w:hAnsiTheme="minorHAnsi" w:cstheme="minorHAnsi"/>
          <w:sz w:val="24"/>
          <w:szCs w:val="24"/>
        </w:rPr>
        <w:t xml:space="preserve">Date: </w:t>
      </w:r>
      <w:r w:rsidR="002661A4">
        <w:rPr>
          <w:rFonts w:asciiTheme="minorHAnsi" w:hAnsiTheme="minorHAnsi" w:cstheme="minorHAnsi"/>
          <w:sz w:val="24"/>
          <w:szCs w:val="24"/>
        </w:rPr>
        <w:t>October</w:t>
      </w:r>
      <w:r w:rsidR="00D237E5">
        <w:rPr>
          <w:rFonts w:asciiTheme="minorHAnsi" w:hAnsiTheme="minorHAnsi" w:cstheme="minorHAnsi"/>
          <w:sz w:val="24"/>
          <w:szCs w:val="24"/>
        </w:rPr>
        <w:t xml:space="preserve"> 2013</w:t>
      </w:r>
    </w:p>
    <w:p w:rsidR="00767E22" w:rsidRPr="00F46D82" w:rsidRDefault="00767E22" w:rsidP="00100B55">
      <w:pPr>
        <w:pStyle w:val="NoSpacing"/>
        <w:rPr>
          <w:rFonts w:asciiTheme="minorHAnsi" w:hAnsiTheme="minorHAnsi" w:cstheme="minorHAnsi"/>
          <w:sz w:val="24"/>
          <w:szCs w:val="24"/>
        </w:rPr>
      </w:pPr>
    </w:p>
    <w:p w:rsidR="00C016D6" w:rsidRPr="00F46D82" w:rsidRDefault="00C016D6" w:rsidP="00100B55">
      <w:pPr>
        <w:pStyle w:val="NoSpacing"/>
        <w:rPr>
          <w:rFonts w:asciiTheme="minorHAnsi" w:hAnsiTheme="minorHAnsi" w:cstheme="minorHAnsi"/>
          <w:sz w:val="24"/>
          <w:szCs w:val="24"/>
        </w:rPr>
      </w:pPr>
    </w:p>
    <w:p w:rsidR="00C016D6" w:rsidRPr="00F46D82" w:rsidRDefault="00C016D6" w:rsidP="00100B55">
      <w:pPr>
        <w:pStyle w:val="NoSpacing"/>
        <w:rPr>
          <w:rFonts w:asciiTheme="minorHAnsi" w:hAnsiTheme="minorHAnsi" w:cstheme="minorHAnsi"/>
          <w:sz w:val="24"/>
          <w:szCs w:val="24"/>
        </w:rPr>
      </w:pPr>
    </w:p>
    <w:p w:rsidR="00694906" w:rsidRPr="00F46D82" w:rsidRDefault="00694906" w:rsidP="00100B55">
      <w:pPr>
        <w:pStyle w:val="NoSpacing"/>
        <w:rPr>
          <w:rFonts w:asciiTheme="minorHAnsi" w:hAnsiTheme="minorHAnsi" w:cstheme="minorHAnsi"/>
          <w:sz w:val="24"/>
          <w:szCs w:val="24"/>
        </w:rPr>
      </w:pPr>
    </w:p>
    <w:p w:rsidR="00C016D6" w:rsidRPr="00F46D82" w:rsidRDefault="00C016D6" w:rsidP="00100B55">
      <w:pPr>
        <w:pStyle w:val="NoSpacing"/>
        <w:rPr>
          <w:rFonts w:asciiTheme="minorHAnsi" w:hAnsiTheme="minorHAnsi" w:cstheme="minorHAnsi"/>
          <w:sz w:val="24"/>
          <w:szCs w:val="24"/>
        </w:rPr>
      </w:pPr>
      <w:r w:rsidRPr="00F46D82">
        <w:rPr>
          <w:rFonts w:asciiTheme="minorHAnsi" w:hAnsiTheme="minorHAnsi" w:cstheme="minorHAnsi"/>
          <w:sz w:val="24"/>
          <w:szCs w:val="24"/>
        </w:rPr>
        <w:t xml:space="preserve">ATSDR Division of </w:t>
      </w:r>
      <w:r w:rsidR="003B0F87" w:rsidRPr="00F46D82">
        <w:rPr>
          <w:rFonts w:asciiTheme="minorHAnsi" w:hAnsiTheme="minorHAnsi" w:cstheme="minorHAnsi"/>
          <w:sz w:val="24"/>
          <w:szCs w:val="24"/>
        </w:rPr>
        <w:t>Toxicology and Human Health Sciences</w:t>
      </w:r>
    </w:p>
    <w:p w:rsidR="003B0F87" w:rsidRPr="00F46D82" w:rsidRDefault="003B0F87" w:rsidP="00100B55">
      <w:pPr>
        <w:pStyle w:val="NoSpacing"/>
        <w:rPr>
          <w:rFonts w:asciiTheme="minorHAnsi" w:hAnsiTheme="minorHAnsi" w:cstheme="minorHAnsi"/>
          <w:i/>
          <w:sz w:val="24"/>
          <w:szCs w:val="24"/>
        </w:rPr>
      </w:pPr>
    </w:p>
    <w:p w:rsidR="00AC14F9" w:rsidRPr="00661560" w:rsidRDefault="00106E89" w:rsidP="00100B55">
      <w:pPr>
        <w:pStyle w:val="NoSpacing"/>
        <w:rPr>
          <w:rFonts w:asciiTheme="minorHAnsi" w:hAnsiTheme="minorHAnsi" w:cstheme="minorHAnsi"/>
          <w:sz w:val="24"/>
          <w:szCs w:val="24"/>
        </w:rPr>
      </w:pPr>
      <w:r w:rsidRPr="00661560">
        <w:rPr>
          <w:rFonts w:asciiTheme="minorHAnsi" w:hAnsiTheme="minorHAnsi" w:cstheme="minorHAnsi"/>
          <w:sz w:val="24"/>
          <w:szCs w:val="24"/>
        </w:rPr>
        <w:t>Marian Pavuk, PhD, MD</w:t>
      </w:r>
    </w:p>
    <w:p w:rsidR="00106E89" w:rsidRPr="00661560" w:rsidRDefault="00106E89" w:rsidP="00100B55">
      <w:pPr>
        <w:pStyle w:val="NoSpacing"/>
        <w:rPr>
          <w:rFonts w:asciiTheme="minorHAnsi" w:hAnsiTheme="minorHAnsi" w:cstheme="minorHAnsi"/>
          <w:sz w:val="24"/>
          <w:szCs w:val="24"/>
        </w:rPr>
      </w:pPr>
      <w:r w:rsidRPr="00661560">
        <w:rPr>
          <w:rFonts w:asciiTheme="minorHAnsi" w:hAnsiTheme="minorHAnsi" w:cstheme="minorHAnsi"/>
          <w:sz w:val="24"/>
          <w:szCs w:val="24"/>
        </w:rPr>
        <w:t>Principal Investigator</w:t>
      </w:r>
    </w:p>
    <w:p w:rsidR="00767E22" w:rsidRPr="00661560" w:rsidRDefault="00106E89" w:rsidP="00100B55">
      <w:pPr>
        <w:pStyle w:val="NoSpacing"/>
        <w:rPr>
          <w:rFonts w:asciiTheme="minorHAnsi" w:hAnsiTheme="minorHAnsi" w:cstheme="minorHAnsi"/>
          <w:sz w:val="24"/>
          <w:szCs w:val="24"/>
        </w:rPr>
      </w:pPr>
      <w:r w:rsidRPr="00661560">
        <w:rPr>
          <w:rFonts w:asciiTheme="minorHAnsi" w:hAnsiTheme="minorHAnsi" w:cstheme="minorHAnsi"/>
          <w:sz w:val="24"/>
          <w:szCs w:val="24"/>
        </w:rPr>
        <w:t>Phone: 770-488-3671</w:t>
      </w:r>
    </w:p>
    <w:p w:rsidR="003E19AC" w:rsidRPr="00661560" w:rsidRDefault="00106E89" w:rsidP="00100B55">
      <w:pPr>
        <w:pStyle w:val="NoSpacing"/>
        <w:rPr>
          <w:rFonts w:asciiTheme="minorHAnsi" w:hAnsiTheme="minorHAnsi" w:cstheme="minorHAnsi"/>
          <w:sz w:val="24"/>
          <w:szCs w:val="24"/>
        </w:rPr>
      </w:pPr>
      <w:r w:rsidRPr="00661560">
        <w:rPr>
          <w:rFonts w:asciiTheme="minorHAnsi" w:hAnsiTheme="minorHAnsi" w:cstheme="minorHAnsi"/>
          <w:sz w:val="24"/>
          <w:szCs w:val="24"/>
        </w:rPr>
        <w:t>Fax Number: 770-488-1537</w:t>
      </w:r>
    </w:p>
    <w:p w:rsidR="00767E22" w:rsidRPr="00661560" w:rsidRDefault="00792A7D" w:rsidP="00100B55">
      <w:pPr>
        <w:pStyle w:val="NoSpacing"/>
        <w:rPr>
          <w:rFonts w:asciiTheme="minorHAnsi" w:hAnsiTheme="minorHAnsi" w:cstheme="minorHAnsi"/>
          <w:sz w:val="24"/>
          <w:szCs w:val="24"/>
        </w:rPr>
      </w:pPr>
      <w:r w:rsidRPr="00661560">
        <w:rPr>
          <w:rFonts w:asciiTheme="minorHAnsi" w:hAnsiTheme="minorHAnsi" w:cstheme="minorHAnsi"/>
          <w:sz w:val="24"/>
          <w:szCs w:val="24"/>
        </w:rPr>
        <w:t xml:space="preserve">Email: </w:t>
      </w:r>
      <w:r w:rsidR="00106E89" w:rsidRPr="00661560">
        <w:rPr>
          <w:rFonts w:asciiTheme="minorHAnsi" w:hAnsiTheme="minorHAnsi" w:cstheme="minorHAnsi"/>
          <w:sz w:val="24"/>
          <w:szCs w:val="24"/>
        </w:rPr>
        <w:t>MPavuk</w:t>
      </w:r>
      <w:r w:rsidR="00AC14F9" w:rsidRPr="00661560">
        <w:rPr>
          <w:rFonts w:asciiTheme="minorHAnsi" w:hAnsiTheme="minorHAnsi" w:cstheme="minorHAnsi"/>
          <w:sz w:val="24"/>
          <w:szCs w:val="24"/>
        </w:rPr>
        <w:t>@cdc.gov</w:t>
      </w:r>
    </w:p>
    <w:p w:rsidR="00692DAC" w:rsidRPr="00F46D82" w:rsidRDefault="00692DAC" w:rsidP="00D6436F">
      <w:pPr>
        <w:pStyle w:val="NoSpacing"/>
        <w:rPr>
          <w:rFonts w:asciiTheme="minorHAnsi" w:hAnsiTheme="minorHAnsi" w:cstheme="minorHAnsi"/>
          <w:sz w:val="24"/>
          <w:szCs w:val="24"/>
        </w:rPr>
      </w:pPr>
      <w:r w:rsidRPr="00F46D82">
        <w:rPr>
          <w:rFonts w:asciiTheme="minorHAnsi" w:hAnsiTheme="minorHAnsi" w:cstheme="minorHAnsi"/>
          <w:b/>
          <w:bCs/>
          <w:sz w:val="24"/>
          <w:szCs w:val="24"/>
        </w:rPr>
        <w:br w:type="page"/>
      </w:r>
    </w:p>
    <w:p w:rsidR="00A61772" w:rsidRPr="00F46D82" w:rsidRDefault="00350E57">
      <w:pPr>
        <w:pStyle w:val="TOC1"/>
        <w:rPr>
          <w:rFonts w:asciiTheme="minorHAnsi" w:hAnsiTheme="minorHAnsi" w:cstheme="minorHAnsi"/>
          <w:sz w:val="24"/>
          <w:szCs w:val="24"/>
        </w:rPr>
      </w:pPr>
      <w:r w:rsidRPr="00F46D82">
        <w:rPr>
          <w:rFonts w:asciiTheme="minorHAnsi" w:hAnsiTheme="minorHAnsi" w:cstheme="minorHAnsi"/>
          <w:b/>
          <w:color w:val="365F91"/>
          <w:sz w:val="28"/>
          <w:szCs w:val="28"/>
        </w:rPr>
        <w:lastRenderedPageBreak/>
        <w:t>TABLE OF CONTENTS</w:t>
      </w:r>
    </w:p>
    <w:p w:rsidR="00A61772" w:rsidRPr="00F46D82" w:rsidRDefault="00A61772" w:rsidP="00716526">
      <w:pPr>
        <w:spacing w:after="0"/>
        <w:rPr>
          <w:rFonts w:asciiTheme="minorHAnsi" w:hAnsiTheme="minorHAnsi" w:cstheme="minorHAnsi"/>
        </w:rPr>
      </w:pPr>
    </w:p>
    <w:bookmarkStart w:id="1" w:name="_Toc296699079"/>
    <w:p w:rsidR="0034269B" w:rsidRDefault="00D3251F">
      <w:pPr>
        <w:pStyle w:val="TOC1"/>
        <w:tabs>
          <w:tab w:val="right" w:leader="dot" w:pos="9350"/>
        </w:tabs>
        <w:rPr>
          <w:rFonts w:asciiTheme="minorHAnsi" w:eastAsiaTheme="minorEastAsia" w:hAnsiTheme="minorHAnsi" w:cstheme="minorBidi"/>
          <w:noProof/>
        </w:rPr>
      </w:pPr>
      <w:r w:rsidRPr="00F46D82">
        <w:rPr>
          <w:rFonts w:asciiTheme="minorHAnsi" w:hAnsiTheme="minorHAnsi" w:cstheme="minorHAnsi"/>
          <w:b/>
          <w:bCs/>
          <w:sz w:val="24"/>
          <w:szCs w:val="24"/>
        </w:rPr>
        <w:fldChar w:fldCharType="begin"/>
      </w:r>
      <w:r w:rsidRPr="00F46D82">
        <w:rPr>
          <w:rFonts w:asciiTheme="minorHAnsi" w:hAnsiTheme="minorHAnsi" w:cstheme="minorHAnsi"/>
          <w:b/>
          <w:bCs/>
          <w:sz w:val="24"/>
          <w:szCs w:val="24"/>
        </w:rPr>
        <w:instrText xml:space="preserve"> TOC \o "1-5" \h \z \u </w:instrText>
      </w:r>
      <w:r w:rsidRPr="00F46D82">
        <w:rPr>
          <w:rFonts w:asciiTheme="minorHAnsi" w:hAnsiTheme="minorHAnsi" w:cstheme="minorHAnsi"/>
          <w:b/>
          <w:bCs/>
          <w:sz w:val="24"/>
          <w:szCs w:val="24"/>
        </w:rPr>
        <w:fldChar w:fldCharType="separate"/>
      </w:r>
      <w:hyperlink w:anchor="_Toc349489236" w:history="1">
        <w:r w:rsidR="0034269B" w:rsidRPr="00D411D4">
          <w:rPr>
            <w:rStyle w:val="Hyperlink"/>
            <w:rFonts w:cstheme="minorHAnsi"/>
            <w:noProof/>
          </w:rPr>
          <w:t>PART A. JUSTIFICATION</w:t>
        </w:r>
        <w:r w:rsidR="0034269B">
          <w:rPr>
            <w:noProof/>
            <w:webHidden/>
          </w:rPr>
          <w:tab/>
        </w:r>
        <w:r w:rsidR="0034269B">
          <w:rPr>
            <w:noProof/>
            <w:webHidden/>
          </w:rPr>
          <w:fldChar w:fldCharType="begin"/>
        </w:r>
        <w:r w:rsidR="0034269B">
          <w:rPr>
            <w:noProof/>
            <w:webHidden/>
          </w:rPr>
          <w:instrText xml:space="preserve"> PAGEREF _Toc349489236 \h </w:instrText>
        </w:r>
        <w:r w:rsidR="0034269B">
          <w:rPr>
            <w:noProof/>
            <w:webHidden/>
          </w:rPr>
        </w:r>
        <w:r w:rsidR="0034269B">
          <w:rPr>
            <w:noProof/>
            <w:webHidden/>
          </w:rPr>
          <w:fldChar w:fldCharType="separate"/>
        </w:r>
        <w:r w:rsidR="0029455C">
          <w:rPr>
            <w:noProof/>
            <w:webHidden/>
          </w:rPr>
          <w:t>3</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37" w:history="1">
        <w:r w:rsidR="0034269B" w:rsidRPr="00D411D4">
          <w:rPr>
            <w:rStyle w:val="Hyperlink"/>
            <w:rFonts w:cstheme="minorHAnsi"/>
            <w:noProof/>
          </w:rPr>
          <w:t>A.1. Circumstances Making the Collection of Information Necessary</w:t>
        </w:r>
        <w:r w:rsidR="0034269B">
          <w:rPr>
            <w:noProof/>
            <w:webHidden/>
          </w:rPr>
          <w:tab/>
        </w:r>
        <w:r w:rsidR="0034269B">
          <w:rPr>
            <w:noProof/>
            <w:webHidden/>
          </w:rPr>
          <w:fldChar w:fldCharType="begin"/>
        </w:r>
        <w:r w:rsidR="0034269B">
          <w:rPr>
            <w:noProof/>
            <w:webHidden/>
          </w:rPr>
          <w:instrText xml:space="preserve"> PAGEREF _Toc349489237 \h </w:instrText>
        </w:r>
        <w:r w:rsidR="0034269B">
          <w:rPr>
            <w:noProof/>
            <w:webHidden/>
          </w:rPr>
        </w:r>
        <w:r w:rsidR="0034269B">
          <w:rPr>
            <w:noProof/>
            <w:webHidden/>
          </w:rPr>
          <w:fldChar w:fldCharType="separate"/>
        </w:r>
        <w:r w:rsidR="0029455C">
          <w:rPr>
            <w:noProof/>
            <w:webHidden/>
          </w:rPr>
          <w:t>3</w:t>
        </w:r>
        <w:r w:rsidR="0034269B">
          <w:rPr>
            <w:noProof/>
            <w:webHidden/>
          </w:rPr>
          <w:fldChar w:fldCharType="end"/>
        </w:r>
      </w:hyperlink>
    </w:p>
    <w:p w:rsidR="0034269B" w:rsidRDefault="000425C4">
      <w:pPr>
        <w:pStyle w:val="TOC3"/>
        <w:rPr>
          <w:rFonts w:asciiTheme="minorHAnsi" w:eastAsiaTheme="minorEastAsia" w:hAnsiTheme="minorHAnsi" w:cstheme="minorBidi"/>
        </w:rPr>
      </w:pPr>
      <w:hyperlink w:anchor="_Toc349489238" w:history="1">
        <w:r w:rsidR="0034269B" w:rsidRPr="00D411D4">
          <w:rPr>
            <w:rStyle w:val="Hyperlink"/>
            <w:rFonts w:cstheme="minorHAnsi"/>
          </w:rPr>
          <w:t>Background</w:t>
        </w:r>
        <w:r w:rsidR="0034269B">
          <w:rPr>
            <w:webHidden/>
          </w:rPr>
          <w:tab/>
        </w:r>
        <w:r w:rsidR="0034269B">
          <w:rPr>
            <w:webHidden/>
          </w:rPr>
          <w:fldChar w:fldCharType="begin"/>
        </w:r>
        <w:r w:rsidR="0034269B">
          <w:rPr>
            <w:webHidden/>
          </w:rPr>
          <w:instrText xml:space="preserve"> PAGEREF _Toc349489238 \h </w:instrText>
        </w:r>
        <w:r w:rsidR="0034269B">
          <w:rPr>
            <w:webHidden/>
          </w:rPr>
        </w:r>
        <w:r w:rsidR="0034269B">
          <w:rPr>
            <w:webHidden/>
          </w:rPr>
          <w:fldChar w:fldCharType="separate"/>
        </w:r>
        <w:r w:rsidR="0029455C">
          <w:rPr>
            <w:webHidden/>
          </w:rPr>
          <w:t>3</w:t>
        </w:r>
        <w:r w:rsidR="0034269B">
          <w:rPr>
            <w:webHidden/>
          </w:rPr>
          <w:fldChar w:fldCharType="end"/>
        </w:r>
      </w:hyperlink>
    </w:p>
    <w:p w:rsidR="0034269B" w:rsidRDefault="000425C4">
      <w:pPr>
        <w:pStyle w:val="TOC3"/>
        <w:rPr>
          <w:rFonts w:asciiTheme="minorHAnsi" w:eastAsiaTheme="minorEastAsia" w:hAnsiTheme="minorHAnsi" w:cstheme="minorBidi"/>
        </w:rPr>
      </w:pPr>
      <w:hyperlink w:anchor="_Toc349489239" w:history="1">
        <w:r w:rsidR="0034269B" w:rsidRPr="00D411D4">
          <w:rPr>
            <w:rStyle w:val="Hyperlink"/>
            <w:rFonts w:cstheme="minorHAnsi"/>
          </w:rPr>
          <w:t>A.1.1. Privacy Impact Assessment</w:t>
        </w:r>
        <w:r w:rsidR="0034269B">
          <w:rPr>
            <w:webHidden/>
          </w:rPr>
          <w:tab/>
        </w:r>
        <w:r w:rsidR="0034269B">
          <w:rPr>
            <w:webHidden/>
          </w:rPr>
          <w:fldChar w:fldCharType="begin"/>
        </w:r>
        <w:r w:rsidR="0034269B">
          <w:rPr>
            <w:webHidden/>
          </w:rPr>
          <w:instrText xml:space="preserve"> PAGEREF _Toc349489239 \h </w:instrText>
        </w:r>
        <w:r w:rsidR="0034269B">
          <w:rPr>
            <w:webHidden/>
          </w:rPr>
        </w:r>
        <w:r w:rsidR="0034269B">
          <w:rPr>
            <w:webHidden/>
          </w:rPr>
          <w:fldChar w:fldCharType="separate"/>
        </w:r>
        <w:r w:rsidR="0029455C">
          <w:rPr>
            <w:webHidden/>
          </w:rPr>
          <w:t>4</w:t>
        </w:r>
        <w:r w:rsidR="0034269B">
          <w:rPr>
            <w:webHidden/>
          </w:rPr>
          <w:fldChar w:fldCharType="end"/>
        </w:r>
      </w:hyperlink>
    </w:p>
    <w:p w:rsidR="0034269B" w:rsidRDefault="000425C4">
      <w:pPr>
        <w:pStyle w:val="TOC4"/>
        <w:tabs>
          <w:tab w:val="right" w:leader="dot" w:pos="9350"/>
        </w:tabs>
        <w:rPr>
          <w:rFonts w:asciiTheme="minorHAnsi" w:eastAsiaTheme="minorEastAsia" w:hAnsiTheme="minorHAnsi" w:cstheme="minorBidi"/>
          <w:noProof/>
        </w:rPr>
      </w:pPr>
      <w:hyperlink w:anchor="_Toc349489240" w:history="1">
        <w:r w:rsidR="0034269B" w:rsidRPr="00D411D4">
          <w:rPr>
            <w:rStyle w:val="Hyperlink"/>
            <w:rFonts w:cstheme="minorHAnsi"/>
            <w:noProof/>
          </w:rPr>
          <w:t>Overview of the Data Collection System</w:t>
        </w:r>
        <w:r w:rsidR="0034269B">
          <w:rPr>
            <w:noProof/>
            <w:webHidden/>
          </w:rPr>
          <w:tab/>
        </w:r>
        <w:r w:rsidR="0034269B">
          <w:rPr>
            <w:noProof/>
            <w:webHidden/>
          </w:rPr>
          <w:fldChar w:fldCharType="begin"/>
        </w:r>
        <w:r w:rsidR="0034269B">
          <w:rPr>
            <w:noProof/>
            <w:webHidden/>
          </w:rPr>
          <w:instrText xml:space="preserve"> PAGEREF _Toc349489240 \h </w:instrText>
        </w:r>
        <w:r w:rsidR="0034269B">
          <w:rPr>
            <w:noProof/>
            <w:webHidden/>
          </w:rPr>
        </w:r>
        <w:r w:rsidR="0034269B">
          <w:rPr>
            <w:noProof/>
            <w:webHidden/>
          </w:rPr>
          <w:fldChar w:fldCharType="separate"/>
        </w:r>
        <w:r w:rsidR="0029455C">
          <w:rPr>
            <w:noProof/>
            <w:webHidden/>
          </w:rPr>
          <w:t>4</w:t>
        </w:r>
        <w:r w:rsidR="0034269B">
          <w:rPr>
            <w:noProof/>
            <w:webHidden/>
          </w:rPr>
          <w:fldChar w:fldCharType="end"/>
        </w:r>
      </w:hyperlink>
    </w:p>
    <w:p w:rsidR="0034269B" w:rsidRDefault="000425C4">
      <w:pPr>
        <w:pStyle w:val="TOC4"/>
        <w:tabs>
          <w:tab w:val="right" w:leader="dot" w:pos="9350"/>
        </w:tabs>
        <w:rPr>
          <w:rFonts w:asciiTheme="minorHAnsi" w:eastAsiaTheme="minorEastAsia" w:hAnsiTheme="minorHAnsi" w:cstheme="minorBidi"/>
          <w:noProof/>
        </w:rPr>
      </w:pPr>
      <w:hyperlink w:anchor="_Toc349489241" w:history="1">
        <w:r w:rsidR="0034269B" w:rsidRPr="00D411D4">
          <w:rPr>
            <w:rStyle w:val="Hyperlink"/>
            <w:rFonts w:cstheme="minorHAnsi"/>
            <w:noProof/>
          </w:rPr>
          <w:t>Items of Information to be Collected</w:t>
        </w:r>
        <w:r w:rsidR="0034269B">
          <w:rPr>
            <w:noProof/>
            <w:webHidden/>
          </w:rPr>
          <w:tab/>
        </w:r>
        <w:r w:rsidR="0034269B">
          <w:rPr>
            <w:noProof/>
            <w:webHidden/>
          </w:rPr>
          <w:fldChar w:fldCharType="begin"/>
        </w:r>
        <w:r w:rsidR="0034269B">
          <w:rPr>
            <w:noProof/>
            <w:webHidden/>
          </w:rPr>
          <w:instrText xml:space="preserve"> PAGEREF _Toc349489241 \h </w:instrText>
        </w:r>
        <w:r w:rsidR="0034269B">
          <w:rPr>
            <w:noProof/>
            <w:webHidden/>
          </w:rPr>
        </w:r>
        <w:r w:rsidR="0034269B">
          <w:rPr>
            <w:noProof/>
            <w:webHidden/>
          </w:rPr>
          <w:fldChar w:fldCharType="separate"/>
        </w:r>
        <w:r w:rsidR="0029455C">
          <w:rPr>
            <w:noProof/>
            <w:webHidden/>
          </w:rPr>
          <w:t>5</w:t>
        </w:r>
        <w:r w:rsidR="0034269B">
          <w:rPr>
            <w:noProof/>
            <w:webHidden/>
          </w:rPr>
          <w:fldChar w:fldCharType="end"/>
        </w:r>
      </w:hyperlink>
    </w:p>
    <w:p w:rsidR="0034269B" w:rsidRDefault="000425C4">
      <w:pPr>
        <w:pStyle w:val="TOC4"/>
        <w:tabs>
          <w:tab w:val="right" w:leader="dot" w:pos="9350"/>
        </w:tabs>
        <w:rPr>
          <w:rFonts w:asciiTheme="minorHAnsi" w:eastAsiaTheme="minorEastAsia" w:hAnsiTheme="minorHAnsi" w:cstheme="minorBidi"/>
          <w:noProof/>
        </w:rPr>
      </w:pPr>
      <w:hyperlink w:anchor="_Toc349489242" w:history="1">
        <w:r w:rsidR="0034269B" w:rsidRPr="00D411D4">
          <w:rPr>
            <w:rStyle w:val="Hyperlink"/>
            <w:rFonts w:cstheme="minorHAnsi"/>
            <w:noProof/>
          </w:rPr>
          <w:t>Identification of Website(s) and Website Content Directed at Children Under 13 Years of Age</w:t>
        </w:r>
        <w:r w:rsidR="0034269B">
          <w:rPr>
            <w:noProof/>
            <w:webHidden/>
          </w:rPr>
          <w:tab/>
        </w:r>
        <w:r w:rsidR="0034269B">
          <w:rPr>
            <w:noProof/>
            <w:webHidden/>
          </w:rPr>
          <w:fldChar w:fldCharType="begin"/>
        </w:r>
        <w:r w:rsidR="0034269B">
          <w:rPr>
            <w:noProof/>
            <w:webHidden/>
          </w:rPr>
          <w:instrText xml:space="preserve"> PAGEREF _Toc349489242 \h </w:instrText>
        </w:r>
        <w:r w:rsidR="0034269B">
          <w:rPr>
            <w:noProof/>
            <w:webHidden/>
          </w:rPr>
        </w:r>
        <w:r w:rsidR="0034269B">
          <w:rPr>
            <w:noProof/>
            <w:webHidden/>
          </w:rPr>
          <w:fldChar w:fldCharType="separate"/>
        </w:r>
        <w:r w:rsidR="0029455C">
          <w:rPr>
            <w:noProof/>
            <w:webHidden/>
          </w:rPr>
          <w:t>6</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43" w:history="1">
        <w:r w:rsidR="0034269B" w:rsidRPr="00D411D4">
          <w:rPr>
            <w:rStyle w:val="Hyperlink"/>
            <w:rFonts w:cstheme="minorHAnsi"/>
            <w:noProof/>
          </w:rPr>
          <w:t>A.2. Purpose and Use of Information Collection</w:t>
        </w:r>
        <w:r w:rsidR="0034269B">
          <w:rPr>
            <w:noProof/>
            <w:webHidden/>
          </w:rPr>
          <w:tab/>
        </w:r>
        <w:r w:rsidR="0034269B">
          <w:rPr>
            <w:noProof/>
            <w:webHidden/>
          </w:rPr>
          <w:fldChar w:fldCharType="begin"/>
        </w:r>
        <w:r w:rsidR="0034269B">
          <w:rPr>
            <w:noProof/>
            <w:webHidden/>
          </w:rPr>
          <w:instrText xml:space="preserve"> PAGEREF _Toc349489243 \h </w:instrText>
        </w:r>
        <w:r w:rsidR="0034269B">
          <w:rPr>
            <w:noProof/>
            <w:webHidden/>
          </w:rPr>
        </w:r>
        <w:r w:rsidR="0034269B">
          <w:rPr>
            <w:noProof/>
            <w:webHidden/>
          </w:rPr>
          <w:fldChar w:fldCharType="separate"/>
        </w:r>
        <w:r w:rsidR="0029455C">
          <w:rPr>
            <w:noProof/>
            <w:webHidden/>
          </w:rPr>
          <w:t>6</w:t>
        </w:r>
        <w:r w:rsidR="0034269B">
          <w:rPr>
            <w:noProof/>
            <w:webHidden/>
          </w:rPr>
          <w:fldChar w:fldCharType="end"/>
        </w:r>
      </w:hyperlink>
    </w:p>
    <w:p w:rsidR="0034269B" w:rsidRDefault="000425C4">
      <w:pPr>
        <w:pStyle w:val="TOC3"/>
        <w:rPr>
          <w:rFonts w:asciiTheme="minorHAnsi" w:eastAsiaTheme="minorEastAsia" w:hAnsiTheme="minorHAnsi" w:cstheme="minorBidi"/>
        </w:rPr>
      </w:pPr>
      <w:hyperlink w:anchor="_Toc349489244" w:history="1">
        <w:r w:rsidR="0034269B" w:rsidRPr="00D411D4">
          <w:rPr>
            <w:rStyle w:val="Hyperlink"/>
          </w:rPr>
          <w:t>A.2.1. Privacy Impact Assessment Information</w:t>
        </w:r>
        <w:r w:rsidR="0034269B">
          <w:rPr>
            <w:webHidden/>
          </w:rPr>
          <w:tab/>
        </w:r>
        <w:r w:rsidR="0034269B">
          <w:rPr>
            <w:webHidden/>
          </w:rPr>
          <w:fldChar w:fldCharType="begin"/>
        </w:r>
        <w:r w:rsidR="0034269B">
          <w:rPr>
            <w:webHidden/>
          </w:rPr>
          <w:instrText xml:space="preserve"> PAGEREF _Toc349489244 \h </w:instrText>
        </w:r>
        <w:r w:rsidR="0034269B">
          <w:rPr>
            <w:webHidden/>
          </w:rPr>
        </w:r>
        <w:r w:rsidR="0034269B">
          <w:rPr>
            <w:webHidden/>
          </w:rPr>
          <w:fldChar w:fldCharType="separate"/>
        </w:r>
        <w:r w:rsidR="0029455C">
          <w:rPr>
            <w:webHidden/>
          </w:rPr>
          <w:t>8</w:t>
        </w:r>
        <w:r w:rsidR="0034269B">
          <w:rPr>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45" w:history="1">
        <w:r w:rsidR="0034269B" w:rsidRPr="00D411D4">
          <w:rPr>
            <w:rStyle w:val="Hyperlink"/>
            <w:rFonts w:cstheme="minorHAnsi"/>
            <w:noProof/>
          </w:rPr>
          <w:t>A.3. Use of Improved Information Technology and Burden Reduction</w:t>
        </w:r>
        <w:r w:rsidR="0034269B">
          <w:rPr>
            <w:noProof/>
            <w:webHidden/>
          </w:rPr>
          <w:tab/>
        </w:r>
        <w:r w:rsidR="0034269B">
          <w:rPr>
            <w:noProof/>
            <w:webHidden/>
          </w:rPr>
          <w:fldChar w:fldCharType="begin"/>
        </w:r>
        <w:r w:rsidR="0034269B">
          <w:rPr>
            <w:noProof/>
            <w:webHidden/>
          </w:rPr>
          <w:instrText xml:space="preserve"> PAGEREF _Toc349489245 \h </w:instrText>
        </w:r>
        <w:r w:rsidR="0034269B">
          <w:rPr>
            <w:noProof/>
            <w:webHidden/>
          </w:rPr>
        </w:r>
        <w:r w:rsidR="0034269B">
          <w:rPr>
            <w:noProof/>
            <w:webHidden/>
          </w:rPr>
          <w:fldChar w:fldCharType="separate"/>
        </w:r>
        <w:r w:rsidR="0029455C">
          <w:rPr>
            <w:noProof/>
            <w:webHidden/>
          </w:rPr>
          <w:t>10</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46" w:history="1">
        <w:r w:rsidR="0034269B" w:rsidRPr="00D411D4">
          <w:rPr>
            <w:rStyle w:val="Hyperlink"/>
            <w:rFonts w:cstheme="minorHAnsi"/>
            <w:noProof/>
          </w:rPr>
          <w:t>A.4. Efforts to Identify Duplication and Use of Similar Information</w:t>
        </w:r>
        <w:r w:rsidR="0034269B">
          <w:rPr>
            <w:noProof/>
            <w:webHidden/>
          </w:rPr>
          <w:tab/>
        </w:r>
        <w:r w:rsidR="0034269B">
          <w:rPr>
            <w:noProof/>
            <w:webHidden/>
          </w:rPr>
          <w:fldChar w:fldCharType="begin"/>
        </w:r>
        <w:r w:rsidR="0034269B">
          <w:rPr>
            <w:noProof/>
            <w:webHidden/>
          </w:rPr>
          <w:instrText xml:space="preserve"> PAGEREF _Toc349489246 \h </w:instrText>
        </w:r>
        <w:r w:rsidR="0034269B">
          <w:rPr>
            <w:noProof/>
            <w:webHidden/>
          </w:rPr>
        </w:r>
        <w:r w:rsidR="0034269B">
          <w:rPr>
            <w:noProof/>
            <w:webHidden/>
          </w:rPr>
          <w:fldChar w:fldCharType="separate"/>
        </w:r>
        <w:r w:rsidR="0029455C">
          <w:rPr>
            <w:noProof/>
            <w:webHidden/>
          </w:rPr>
          <w:t>11</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47" w:history="1">
        <w:r w:rsidR="0034269B" w:rsidRPr="00D411D4">
          <w:rPr>
            <w:rStyle w:val="Hyperlink"/>
            <w:rFonts w:cstheme="minorHAnsi"/>
            <w:noProof/>
          </w:rPr>
          <w:t>A.5. Impact on Small Businesses or Other Small Entities</w:t>
        </w:r>
        <w:r w:rsidR="0034269B">
          <w:rPr>
            <w:noProof/>
            <w:webHidden/>
          </w:rPr>
          <w:tab/>
        </w:r>
        <w:r w:rsidR="0034269B">
          <w:rPr>
            <w:noProof/>
            <w:webHidden/>
          </w:rPr>
          <w:fldChar w:fldCharType="begin"/>
        </w:r>
        <w:r w:rsidR="0034269B">
          <w:rPr>
            <w:noProof/>
            <w:webHidden/>
          </w:rPr>
          <w:instrText xml:space="preserve"> PAGEREF _Toc349489247 \h </w:instrText>
        </w:r>
        <w:r w:rsidR="0034269B">
          <w:rPr>
            <w:noProof/>
            <w:webHidden/>
          </w:rPr>
        </w:r>
        <w:r w:rsidR="0034269B">
          <w:rPr>
            <w:noProof/>
            <w:webHidden/>
          </w:rPr>
          <w:fldChar w:fldCharType="separate"/>
        </w:r>
        <w:r w:rsidR="0029455C">
          <w:rPr>
            <w:noProof/>
            <w:webHidden/>
          </w:rPr>
          <w:t>16</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48" w:history="1">
        <w:r w:rsidR="0034269B" w:rsidRPr="00D411D4">
          <w:rPr>
            <w:rStyle w:val="Hyperlink"/>
            <w:rFonts w:cstheme="minorHAnsi"/>
            <w:noProof/>
          </w:rPr>
          <w:t>A.6. Consequences of Collecting the Information Less Frequently</w:t>
        </w:r>
        <w:r w:rsidR="0034269B">
          <w:rPr>
            <w:noProof/>
            <w:webHidden/>
          </w:rPr>
          <w:tab/>
        </w:r>
        <w:r w:rsidR="0034269B">
          <w:rPr>
            <w:noProof/>
            <w:webHidden/>
          </w:rPr>
          <w:fldChar w:fldCharType="begin"/>
        </w:r>
        <w:r w:rsidR="0034269B">
          <w:rPr>
            <w:noProof/>
            <w:webHidden/>
          </w:rPr>
          <w:instrText xml:space="preserve"> PAGEREF _Toc349489248 \h </w:instrText>
        </w:r>
        <w:r w:rsidR="0034269B">
          <w:rPr>
            <w:noProof/>
            <w:webHidden/>
          </w:rPr>
        </w:r>
        <w:r w:rsidR="0034269B">
          <w:rPr>
            <w:noProof/>
            <w:webHidden/>
          </w:rPr>
          <w:fldChar w:fldCharType="separate"/>
        </w:r>
        <w:r w:rsidR="0029455C">
          <w:rPr>
            <w:noProof/>
            <w:webHidden/>
          </w:rPr>
          <w:t>16</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49" w:history="1">
        <w:r w:rsidR="0034269B" w:rsidRPr="00D411D4">
          <w:rPr>
            <w:rStyle w:val="Hyperlink"/>
            <w:rFonts w:cstheme="minorHAnsi"/>
            <w:noProof/>
          </w:rPr>
          <w:t>A.7. Special Circumstances Relating to the Guidelines of 5 CFR 1320.5</w:t>
        </w:r>
        <w:r w:rsidR="0034269B">
          <w:rPr>
            <w:noProof/>
            <w:webHidden/>
          </w:rPr>
          <w:tab/>
        </w:r>
        <w:r w:rsidR="0034269B">
          <w:rPr>
            <w:noProof/>
            <w:webHidden/>
          </w:rPr>
          <w:fldChar w:fldCharType="begin"/>
        </w:r>
        <w:r w:rsidR="0034269B">
          <w:rPr>
            <w:noProof/>
            <w:webHidden/>
          </w:rPr>
          <w:instrText xml:space="preserve"> PAGEREF _Toc349489249 \h </w:instrText>
        </w:r>
        <w:r w:rsidR="0034269B">
          <w:rPr>
            <w:noProof/>
            <w:webHidden/>
          </w:rPr>
        </w:r>
        <w:r w:rsidR="0034269B">
          <w:rPr>
            <w:noProof/>
            <w:webHidden/>
          </w:rPr>
          <w:fldChar w:fldCharType="separate"/>
        </w:r>
        <w:r w:rsidR="0029455C">
          <w:rPr>
            <w:noProof/>
            <w:webHidden/>
          </w:rPr>
          <w:t>16</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50" w:history="1">
        <w:r w:rsidR="0034269B" w:rsidRPr="00D411D4">
          <w:rPr>
            <w:rStyle w:val="Hyperlink"/>
            <w:rFonts w:cstheme="minorHAnsi"/>
            <w:noProof/>
          </w:rPr>
          <w:t>A.8. Comments in Response to the Federal Register Notice and Efforts to Consult Outside the Agency</w:t>
        </w:r>
        <w:r w:rsidR="0034269B">
          <w:rPr>
            <w:noProof/>
            <w:webHidden/>
          </w:rPr>
          <w:tab/>
        </w:r>
        <w:r w:rsidR="0034269B">
          <w:rPr>
            <w:noProof/>
            <w:webHidden/>
          </w:rPr>
          <w:fldChar w:fldCharType="begin"/>
        </w:r>
        <w:r w:rsidR="0034269B">
          <w:rPr>
            <w:noProof/>
            <w:webHidden/>
          </w:rPr>
          <w:instrText xml:space="preserve"> PAGEREF _Toc349489250 \h </w:instrText>
        </w:r>
        <w:r w:rsidR="0034269B">
          <w:rPr>
            <w:noProof/>
            <w:webHidden/>
          </w:rPr>
        </w:r>
        <w:r w:rsidR="0034269B">
          <w:rPr>
            <w:noProof/>
            <w:webHidden/>
          </w:rPr>
          <w:fldChar w:fldCharType="separate"/>
        </w:r>
        <w:r w:rsidR="0029455C">
          <w:rPr>
            <w:noProof/>
            <w:webHidden/>
          </w:rPr>
          <w:t>16</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51" w:history="1">
        <w:r w:rsidR="0034269B" w:rsidRPr="00D411D4">
          <w:rPr>
            <w:rStyle w:val="Hyperlink"/>
            <w:rFonts w:cstheme="minorHAnsi"/>
            <w:noProof/>
          </w:rPr>
          <w:t>A.9. Explanation of Any Payment or Gift to Respondents</w:t>
        </w:r>
        <w:r w:rsidR="0034269B">
          <w:rPr>
            <w:noProof/>
            <w:webHidden/>
          </w:rPr>
          <w:tab/>
        </w:r>
        <w:r w:rsidR="0034269B">
          <w:rPr>
            <w:noProof/>
            <w:webHidden/>
          </w:rPr>
          <w:fldChar w:fldCharType="begin"/>
        </w:r>
        <w:r w:rsidR="0034269B">
          <w:rPr>
            <w:noProof/>
            <w:webHidden/>
          </w:rPr>
          <w:instrText xml:space="preserve"> PAGEREF _Toc349489251 \h </w:instrText>
        </w:r>
        <w:r w:rsidR="0034269B">
          <w:rPr>
            <w:noProof/>
            <w:webHidden/>
          </w:rPr>
        </w:r>
        <w:r w:rsidR="0034269B">
          <w:rPr>
            <w:noProof/>
            <w:webHidden/>
          </w:rPr>
          <w:fldChar w:fldCharType="separate"/>
        </w:r>
        <w:r w:rsidR="0029455C">
          <w:rPr>
            <w:noProof/>
            <w:webHidden/>
          </w:rPr>
          <w:t>17</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52" w:history="1">
        <w:r w:rsidR="0034269B" w:rsidRPr="00D411D4">
          <w:rPr>
            <w:rStyle w:val="Hyperlink"/>
            <w:rFonts w:cstheme="minorHAnsi"/>
            <w:noProof/>
          </w:rPr>
          <w:t>A.10. Assurance of Confidentiality Provided to Respondents</w:t>
        </w:r>
        <w:r w:rsidR="0034269B">
          <w:rPr>
            <w:noProof/>
            <w:webHidden/>
          </w:rPr>
          <w:tab/>
        </w:r>
        <w:r w:rsidR="0034269B">
          <w:rPr>
            <w:noProof/>
            <w:webHidden/>
          </w:rPr>
          <w:fldChar w:fldCharType="begin"/>
        </w:r>
        <w:r w:rsidR="0034269B">
          <w:rPr>
            <w:noProof/>
            <w:webHidden/>
          </w:rPr>
          <w:instrText xml:space="preserve"> PAGEREF _Toc349489252 \h </w:instrText>
        </w:r>
        <w:r w:rsidR="0034269B">
          <w:rPr>
            <w:noProof/>
            <w:webHidden/>
          </w:rPr>
        </w:r>
        <w:r w:rsidR="0034269B">
          <w:rPr>
            <w:noProof/>
            <w:webHidden/>
          </w:rPr>
          <w:fldChar w:fldCharType="separate"/>
        </w:r>
        <w:r w:rsidR="0029455C">
          <w:rPr>
            <w:noProof/>
            <w:webHidden/>
          </w:rPr>
          <w:t>19</w:t>
        </w:r>
        <w:r w:rsidR="0034269B">
          <w:rPr>
            <w:noProof/>
            <w:webHidden/>
          </w:rPr>
          <w:fldChar w:fldCharType="end"/>
        </w:r>
      </w:hyperlink>
    </w:p>
    <w:p w:rsidR="0034269B" w:rsidRDefault="000425C4">
      <w:pPr>
        <w:pStyle w:val="TOC3"/>
        <w:rPr>
          <w:rFonts w:asciiTheme="minorHAnsi" w:eastAsiaTheme="minorEastAsia" w:hAnsiTheme="minorHAnsi" w:cstheme="minorBidi"/>
        </w:rPr>
      </w:pPr>
      <w:hyperlink w:anchor="_Toc349489253" w:history="1">
        <w:r w:rsidR="0034269B" w:rsidRPr="00D411D4">
          <w:rPr>
            <w:rStyle w:val="Hyperlink"/>
          </w:rPr>
          <w:t>A.10.1. Privacy Impact Assessment Information</w:t>
        </w:r>
        <w:r w:rsidR="0034269B">
          <w:rPr>
            <w:webHidden/>
          </w:rPr>
          <w:tab/>
        </w:r>
        <w:r w:rsidR="0034269B">
          <w:rPr>
            <w:webHidden/>
          </w:rPr>
          <w:fldChar w:fldCharType="begin"/>
        </w:r>
        <w:r w:rsidR="0034269B">
          <w:rPr>
            <w:webHidden/>
          </w:rPr>
          <w:instrText xml:space="preserve"> PAGEREF _Toc349489253 \h </w:instrText>
        </w:r>
        <w:r w:rsidR="0034269B">
          <w:rPr>
            <w:webHidden/>
          </w:rPr>
        </w:r>
        <w:r w:rsidR="0034269B">
          <w:rPr>
            <w:webHidden/>
          </w:rPr>
          <w:fldChar w:fldCharType="separate"/>
        </w:r>
        <w:r w:rsidR="0029455C">
          <w:rPr>
            <w:webHidden/>
          </w:rPr>
          <w:t>19</w:t>
        </w:r>
        <w:r w:rsidR="0034269B">
          <w:rPr>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54" w:history="1">
        <w:r w:rsidR="0034269B" w:rsidRPr="00D411D4">
          <w:rPr>
            <w:rStyle w:val="Hyperlink"/>
            <w:rFonts w:cstheme="minorHAnsi"/>
            <w:noProof/>
          </w:rPr>
          <w:t>A.11. Justification for Sensitive Questions</w:t>
        </w:r>
        <w:r w:rsidR="0034269B">
          <w:rPr>
            <w:noProof/>
            <w:webHidden/>
          </w:rPr>
          <w:tab/>
        </w:r>
        <w:r w:rsidR="0034269B">
          <w:rPr>
            <w:noProof/>
            <w:webHidden/>
          </w:rPr>
          <w:fldChar w:fldCharType="begin"/>
        </w:r>
        <w:r w:rsidR="0034269B">
          <w:rPr>
            <w:noProof/>
            <w:webHidden/>
          </w:rPr>
          <w:instrText xml:space="preserve"> PAGEREF _Toc349489254 \h </w:instrText>
        </w:r>
        <w:r w:rsidR="0034269B">
          <w:rPr>
            <w:noProof/>
            <w:webHidden/>
          </w:rPr>
        </w:r>
        <w:r w:rsidR="0034269B">
          <w:rPr>
            <w:noProof/>
            <w:webHidden/>
          </w:rPr>
          <w:fldChar w:fldCharType="separate"/>
        </w:r>
        <w:r w:rsidR="0029455C">
          <w:rPr>
            <w:noProof/>
            <w:webHidden/>
          </w:rPr>
          <w:t>21</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55" w:history="1">
        <w:r w:rsidR="0034269B" w:rsidRPr="00D411D4">
          <w:rPr>
            <w:rStyle w:val="Hyperlink"/>
            <w:rFonts w:cstheme="minorHAnsi"/>
            <w:noProof/>
          </w:rPr>
          <w:t>A.12. Estimates of Annualized Burden Hours and Costs</w:t>
        </w:r>
        <w:r w:rsidR="0034269B">
          <w:rPr>
            <w:noProof/>
            <w:webHidden/>
          </w:rPr>
          <w:tab/>
        </w:r>
        <w:r w:rsidR="0034269B">
          <w:rPr>
            <w:noProof/>
            <w:webHidden/>
          </w:rPr>
          <w:fldChar w:fldCharType="begin"/>
        </w:r>
        <w:r w:rsidR="0034269B">
          <w:rPr>
            <w:noProof/>
            <w:webHidden/>
          </w:rPr>
          <w:instrText xml:space="preserve"> PAGEREF _Toc349489255 \h </w:instrText>
        </w:r>
        <w:r w:rsidR="0034269B">
          <w:rPr>
            <w:noProof/>
            <w:webHidden/>
          </w:rPr>
        </w:r>
        <w:r w:rsidR="0034269B">
          <w:rPr>
            <w:noProof/>
            <w:webHidden/>
          </w:rPr>
          <w:fldChar w:fldCharType="separate"/>
        </w:r>
        <w:r w:rsidR="0029455C">
          <w:rPr>
            <w:noProof/>
            <w:webHidden/>
          </w:rPr>
          <w:t>22</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56" w:history="1">
        <w:r w:rsidR="0034269B" w:rsidRPr="00D411D4">
          <w:rPr>
            <w:rStyle w:val="Hyperlink"/>
            <w:rFonts w:cstheme="minorHAnsi"/>
            <w:noProof/>
          </w:rPr>
          <w:t>A.13. Estimates of Other Total Annual Cost Burden to Respondents or Record Keepers</w:t>
        </w:r>
        <w:r w:rsidR="0034269B">
          <w:rPr>
            <w:noProof/>
            <w:webHidden/>
          </w:rPr>
          <w:tab/>
        </w:r>
        <w:r w:rsidR="0034269B">
          <w:rPr>
            <w:noProof/>
            <w:webHidden/>
          </w:rPr>
          <w:fldChar w:fldCharType="begin"/>
        </w:r>
        <w:r w:rsidR="0034269B">
          <w:rPr>
            <w:noProof/>
            <w:webHidden/>
          </w:rPr>
          <w:instrText xml:space="preserve"> PAGEREF _Toc349489256 \h </w:instrText>
        </w:r>
        <w:r w:rsidR="0034269B">
          <w:rPr>
            <w:noProof/>
            <w:webHidden/>
          </w:rPr>
        </w:r>
        <w:r w:rsidR="0034269B">
          <w:rPr>
            <w:noProof/>
            <w:webHidden/>
          </w:rPr>
          <w:fldChar w:fldCharType="separate"/>
        </w:r>
        <w:r w:rsidR="0029455C">
          <w:rPr>
            <w:noProof/>
            <w:webHidden/>
          </w:rPr>
          <w:t>23</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57" w:history="1">
        <w:r w:rsidR="0034269B" w:rsidRPr="00D411D4">
          <w:rPr>
            <w:rStyle w:val="Hyperlink"/>
            <w:rFonts w:cstheme="minorHAnsi"/>
            <w:noProof/>
          </w:rPr>
          <w:t>A.14. Annualized Cost to the Government</w:t>
        </w:r>
        <w:r w:rsidR="0034269B">
          <w:rPr>
            <w:noProof/>
            <w:webHidden/>
          </w:rPr>
          <w:tab/>
        </w:r>
        <w:r w:rsidR="0034269B">
          <w:rPr>
            <w:noProof/>
            <w:webHidden/>
          </w:rPr>
          <w:fldChar w:fldCharType="begin"/>
        </w:r>
        <w:r w:rsidR="0034269B">
          <w:rPr>
            <w:noProof/>
            <w:webHidden/>
          </w:rPr>
          <w:instrText xml:space="preserve"> PAGEREF _Toc349489257 \h </w:instrText>
        </w:r>
        <w:r w:rsidR="0034269B">
          <w:rPr>
            <w:noProof/>
            <w:webHidden/>
          </w:rPr>
        </w:r>
        <w:r w:rsidR="0034269B">
          <w:rPr>
            <w:noProof/>
            <w:webHidden/>
          </w:rPr>
          <w:fldChar w:fldCharType="separate"/>
        </w:r>
        <w:r w:rsidR="0029455C">
          <w:rPr>
            <w:noProof/>
            <w:webHidden/>
          </w:rPr>
          <w:t>23</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58" w:history="1">
        <w:r w:rsidR="0034269B" w:rsidRPr="00D411D4">
          <w:rPr>
            <w:rStyle w:val="Hyperlink"/>
            <w:rFonts w:cstheme="minorHAnsi"/>
            <w:noProof/>
          </w:rPr>
          <w:t>A.15. Explanation for Program Changes or Adjustments</w:t>
        </w:r>
        <w:r w:rsidR="0034269B">
          <w:rPr>
            <w:noProof/>
            <w:webHidden/>
          </w:rPr>
          <w:tab/>
        </w:r>
        <w:r w:rsidR="0034269B">
          <w:rPr>
            <w:noProof/>
            <w:webHidden/>
          </w:rPr>
          <w:fldChar w:fldCharType="begin"/>
        </w:r>
        <w:r w:rsidR="0034269B">
          <w:rPr>
            <w:noProof/>
            <w:webHidden/>
          </w:rPr>
          <w:instrText xml:space="preserve"> PAGEREF _Toc349489258 \h </w:instrText>
        </w:r>
        <w:r w:rsidR="0034269B">
          <w:rPr>
            <w:noProof/>
            <w:webHidden/>
          </w:rPr>
        </w:r>
        <w:r w:rsidR="0034269B">
          <w:rPr>
            <w:noProof/>
            <w:webHidden/>
          </w:rPr>
          <w:fldChar w:fldCharType="separate"/>
        </w:r>
        <w:r w:rsidR="0029455C">
          <w:rPr>
            <w:noProof/>
            <w:webHidden/>
          </w:rPr>
          <w:t>24</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59" w:history="1">
        <w:r w:rsidR="0034269B" w:rsidRPr="00D411D4">
          <w:rPr>
            <w:rStyle w:val="Hyperlink"/>
            <w:rFonts w:cstheme="minorHAnsi"/>
            <w:noProof/>
          </w:rPr>
          <w:t>A.16. Plans for Tabulation and Publication and Project Time Schedule</w:t>
        </w:r>
        <w:r w:rsidR="0034269B">
          <w:rPr>
            <w:noProof/>
            <w:webHidden/>
          </w:rPr>
          <w:tab/>
        </w:r>
        <w:r w:rsidR="0034269B">
          <w:rPr>
            <w:noProof/>
            <w:webHidden/>
          </w:rPr>
          <w:fldChar w:fldCharType="begin"/>
        </w:r>
        <w:r w:rsidR="0034269B">
          <w:rPr>
            <w:noProof/>
            <w:webHidden/>
          </w:rPr>
          <w:instrText xml:space="preserve"> PAGEREF _Toc349489259 \h </w:instrText>
        </w:r>
        <w:r w:rsidR="0034269B">
          <w:rPr>
            <w:noProof/>
            <w:webHidden/>
          </w:rPr>
        </w:r>
        <w:r w:rsidR="0034269B">
          <w:rPr>
            <w:noProof/>
            <w:webHidden/>
          </w:rPr>
          <w:fldChar w:fldCharType="separate"/>
        </w:r>
        <w:r w:rsidR="0029455C">
          <w:rPr>
            <w:noProof/>
            <w:webHidden/>
          </w:rPr>
          <w:t>24</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60" w:history="1">
        <w:r w:rsidR="0034269B" w:rsidRPr="00D411D4">
          <w:rPr>
            <w:rStyle w:val="Hyperlink"/>
            <w:rFonts w:cstheme="minorHAnsi"/>
            <w:noProof/>
          </w:rPr>
          <w:t>A.17. Reason(s) Display of OMB Expiration Date is Inappropriate</w:t>
        </w:r>
        <w:r w:rsidR="0034269B">
          <w:rPr>
            <w:noProof/>
            <w:webHidden/>
          </w:rPr>
          <w:tab/>
        </w:r>
        <w:r w:rsidR="0034269B">
          <w:rPr>
            <w:noProof/>
            <w:webHidden/>
          </w:rPr>
          <w:fldChar w:fldCharType="begin"/>
        </w:r>
        <w:r w:rsidR="0034269B">
          <w:rPr>
            <w:noProof/>
            <w:webHidden/>
          </w:rPr>
          <w:instrText xml:space="preserve"> PAGEREF _Toc349489260 \h </w:instrText>
        </w:r>
        <w:r w:rsidR="0034269B">
          <w:rPr>
            <w:noProof/>
            <w:webHidden/>
          </w:rPr>
        </w:r>
        <w:r w:rsidR="0034269B">
          <w:rPr>
            <w:noProof/>
            <w:webHidden/>
          </w:rPr>
          <w:fldChar w:fldCharType="separate"/>
        </w:r>
        <w:r w:rsidR="0029455C">
          <w:rPr>
            <w:noProof/>
            <w:webHidden/>
          </w:rPr>
          <w:t>25</w:t>
        </w:r>
        <w:r w:rsidR="0034269B">
          <w:rPr>
            <w:noProof/>
            <w:webHidden/>
          </w:rPr>
          <w:fldChar w:fldCharType="end"/>
        </w:r>
      </w:hyperlink>
    </w:p>
    <w:p w:rsidR="0034269B" w:rsidRDefault="000425C4">
      <w:pPr>
        <w:pStyle w:val="TOC2"/>
        <w:tabs>
          <w:tab w:val="right" w:leader="dot" w:pos="9350"/>
        </w:tabs>
        <w:rPr>
          <w:rFonts w:asciiTheme="minorHAnsi" w:eastAsiaTheme="minorEastAsia" w:hAnsiTheme="minorHAnsi" w:cstheme="minorBidi"/>
          <w:noProof/>
        </w:rPr>
      </w:pPr>
      <w:hyperlink w:anchor="_Toc349489261" w:history="1">
        <w:r w:rsidR="0034269B" w:rsidRPr="00D411D4">
          <w:rPr>
            <w:rStyle w:val="Hyperlink"/>
            <w:rFonts w:cstheme="minorHAnsi"/>
            <w:noProof/>
          </w:rPr>
          <w:t>A.18. Exceptions to Certification for Paperwork Reduction Act Submissions</w:t>
        </w:r>
        <w:r w:rsidR="0034269B">
          <w:rPr>
            <w:noProof/>
            <w:webHidden/>
          </w:rPr>
          <w:tab/>
        </w:r>
        <w:r w:rsidR="0034269B">
          <w:rPr>
            <w:noProof/>
            <w:webHidden/>
          </w:rPr>
          <w:fldChar w:fldCharType="begin"/>
        </w:r>
        <w:r w:rsidR="0034269B">
          <w:rPr>
            <w:noProof/>
            <w:webHidden/>
          </w:rPr>
          <w:instrText xml:space="preserve"> PAGEREF _Toc349489261 \h </w:instrText>
        </w:r>
        <w:r w:rsidR="0034269B">
          <w:rPr>
            <w:noProof/>
            <w:webHidden/>
          </w:rPr>
        </w:r>
        <w:r w:rsidR="0034269B">
          <w:rPr>
            <w:noProof/>
            <w:webHidden/>
          </w:rPr>
          <w:fldChar w:fldCharType="separate"/>
        </w:r>
        <w:r w:rsidR="0029455C">
          <w:rPr>
            <w:noProof/>
            <w:webHidden/>
          </w:rPr>
          <w:t>25</w:t>
        </w:r>
        <w:r w:rsidR="0034269B">
          <w:rPr>
            <w:noProof/>
            <w:webHidden/>
          </w:rPr>
          <w:fldChar w:fldCharType="end"/>
        </w:r>
      </w:hyperlink>
    </w:p>
    <w:p w:rsidR="00267894" w:rsidRPr="00F46D82" w:rsidRDefault="00D3251F" w:rsidP="00CD6773">
      <w:pPr>
        <w:pStyle w:val="Heading1"/>
        <w:rPr>
          <w:rFonts w:asciiTheme="minorHAnsi" w:hAnsiTheme="minorHAnsi" w:cstheme="minorHAnsi"/>
          <w:color w:val="4F81BD" w:themeColor="accent1"/>
          <w:sz w:val="22"/>
          <w:szCs w:val="22"/>
        </w:rPr>
      </w:pPr>
      <w:r w:rsidRPr="00F46D82">
        <w:rPr>
          <w:rFonts w:asciiTheme="minorHAnsi" w:eastAsia="Calibri" w:hAnsiTheme="minorHAnsi" w:cstheme="minorHAnsi"/>
          <w:b w:val="0"/>
          <w:bCs w:val="0"/>
          <w:color w:val="auto"/>
          <w:sz w:val="24"/>
          <w:szCs w:val="24"/>
        </w:rPr>
        <w:fldChar w:fldCharType="end"/>
      </w:r>
      <w:r w:rsidR="00A46EA8" w:rsidRPr="00F46D82">
        <w:rPr>
          <w:rFonts w:asciiTheme="minorHAnsi" w:hAnsiTheme="minorHAnsi" w:cstheme="minorHAnsi"/>
        </w:rPr>
        <w:br w:type="page"/>
      </w:r>
      <w:bookmarkStart w:id="2" w:name="_Toc349489236"/>
      <w:r w:rsidR="00E26A9A">
        <w:rPr>
          <w:rFonts w:asciiTheme="minorHAnsi" w:hAnsiTheme="minorHAnsi" w:cstheme="minorHAnsi"/>
          <w:color w:val="4F81BD"/>
        </w:rPr>
        <w:lastRenderedPageBreak/>
        <w:t>PART</w:t>
      </w:r>
      <w:r w:rsidR="00F1074E" w:rsidRPr="009A5572">
        <w:rPr>
          <w:rFonts w:asciiTheme="minorHAnsi" w:hAnsiTheme="minorHAnsi" w:cstheme="minorHAnsi"/>
          <w:color w:val="4F81BD"/>
        </w:rPr>
        <w:t xml:space="preserve"> </w:t>
      </w:r>
      <w:r w:rsidR="00063A39" w:rsidRPr="00F46D82">
        <w:rPr>
          <w:rFonts w:asciiTheme="minorHAnsi" w:hAnsiTheme="minorHAnsi" w:cstheme="minorHAnsi"/>
          <w:color w:val="4F81BD" w:themeColor="accent1"/>
        </w:rPr>
        <w:t xml:space="preserve">A. </w:t>
      </w:r>
      <w:r w:rsidR="00716526" w:rsidRPr="00F46D82">
        <w:rPr>
          <w:rFonts w:asciiTheme="minorHAnsi" w:hAnsiTheme="minorHAnsi" w:cstheme="minorHAnsi"/>
          <w:color w:val="4F81BD" w:themeColor="accent1"/>
        </w:rPr>
        <w:t>JUSTIFICATION</w:t>
      </w:r>
      <w:bookmarkEnd w:id="1"/>
      <w:bookmarkEnd w:id="2"/>
      <w:r w:rsidR="00716526" w:rsidRPr="00F46D82">
        <w:rPr>
          <w:rFonts w:asciiTheme="minorHAnsi" w:hAnsiTheme="minorHAnsi" w:cstheme="minorHAnsi"/>
          <w:color w:val="4F81BD" w:themeColor="accent1"/>
        </w:rPr>
        <w:t xml:space="preserve"> </w:t>
      </w:r>
    </w:p>
    <w:p w:rsidR="009845FB" w:rsidRPr="00F46D82" w:rsidRDefault="007938EC" w:rsidP="00CD6773">
      <w:pPr>
        <w:pStyle w:val="Heading2"/>
        <w:spacing w:before="360" w:after="240"/>
        <w:rPr>
          <w:rFonts w:asciiTheme="minorHAnsi" w:hAnsiTheme="minorHAnsi" w:cstheme="minorHAnsi"/>
        </w:rPr>
      </w:pPr>
      <w:bookmarkStart w:id="3" w:name="_Toc296699080"/>
      <w:bookmarkStart w:id="4" w:name="_Toc349489237"/>
      <w:r w:rsidRPr="00F46D82">
        <w:rPr>
          <w:rFonts w:asciiTheme="minorHAnsi" w:hAnsiTheme="minorHAnsi" w:cstheme="minorHAnsi"/>
          <w:color w:val="4F81BD" w:themeColor="accent1"/>
        </w:rPr>
        <w:t>A.</w:t>
      </w:r>
      <w:r w:rsidR="00063A39" w:rsidRPr="00F46D82">
        <w:rPr>
          <w:rFonts w:asciiTheme="minorHAnsi" w:hAnsiTheme="minorHAnsi" w:cstheme="minorHAnsi"/>
          <w:color w:val="4F81BD" w:themeColor="accent1"/>
        </w:rPr>
        <w:t xml:space="preserve">1. </w:t>
      </w:r>
      <w:r w:rsidR="009845FB" w:rsidRPr="00F46D82">
        <w:rPr>
          <w:rFonts w:asciiTheme="minorHAnsi" w:hAnsiTheme="minorHAnsi" w:cstheme="minorHAnsi"/>
          <w:color w:val="4F81BD" w:themeColor="accent1"/>
        </w:rPr>
        <w:t xml:space="preserve">Circumstances Making </w:t>
      </w:r>
      <w:r w:rsidR="009845FB" w:rsidRPr="00F46D82">
        <w:rPr>
          <w:rFonts w:asciiTheme="minorHAnsi" w:hAnsiTheme="minorHAnsi" w:cstheme="minorHAnsi"/>
        </w:rPr>
        <w:t>the Collection of Information Necessary</w:t>
      </w:r>
      <w:bookmarkEnd w:id="3"/>
      <w:bookmarkEnd w:id="4"/>
      <w:r w:rsidR="009845FB" w:rsidRPr="00F46D82">
        <w:rPr>
          <w:rFonts w:asciiTheme="minorHAnsi" w:hAnsiTheme="minorHAnsi" w:cstheme="minorHAnsi"/>
        </w:rPr>
        <w:t xml:space="preserve"> </w:t>
      </w:r>
    </w:p>
    <w:p w:rsidR="00C13535" w:rsidRDefault="00AE715C" w:rsidP="002E799F">
      <w:pPr>
        <w:spacing w:after="0" w:line="240" w:lineRule="auto"/>
        <w:jc w:val="both"/>
        <w:rPr>
          <w:rStyle w:val="desc"/>
          <w:rFonts w:asciiTheme="minorHAnsi" w:hAnsiTheme="minorHAnsi" w:cstheme="minorHAnsi"/>
          <w:sz w:val="24"/>
          <w:szCs w:val="24"/>
        </w:rPr>
      </w:pPr>
      <w:r w:rsidRPr="00F46D82">
        <w:rPr>
          <w:rFonts w:asciiTheme="minorHAnsi" w:hAnsiTheme="minorHAnsi" w:cstheme="minorHAnsi"/>
          <w:sz w:val="24"/>
          <w:szCs w:val="24"/>
        </w:rPr>
        <w:t>This is a new Information Collection Request (ICR)</w:t>
      </w:r>
      <w:r w:rsidRPr="00F46D82">
        <w:rPr>
          <w:rFonts w:asciiTheme="minorHAnsi" w:hAnsiTheme="minorHAnsi" w:cstheme="minorHAnsi"/>
          <w:bCs/>
          <w:color w:val="000000"/>
          <w:sz w:val="24"/>
          <w:szCs w:val="24"/>
        </w:rPr>
        <w:t xml:space="preserve"> for the</w:t>
      </w:r>
      <w:r w:rsidRPr="00F46D82">
        <w:rPr>
          <w:rStyle w:val="desc"/>
          <w:rFonts w:asciiTheme="minorHAnsi" w:hAnsiTheme="minorHAnsi" w:cstheme="minorHAnsi"/>
          <w:sz w:val="24"/>
          <w:szCs w:val="24"/>
        </w:rPr>
        <w:t xml:space="preserve"> Agency for Toxic Substances and Disease Registry (ATSDR)</w:t>
      </w:r>
      <w:r w:rsidR="00EC2CB2">
        <w:rPr>
          <w:rStyle w:val="desc"/>
          <w:rFonts w:asciiTheme="minorHAnsi" w:hAnsiTheme="minorHAnsi" w:cstheme="minorHAnsi"/>
          <w:sz w:val="24"/>
          <w:szCs w:val="24"/>
        </w:rPr>
        <w:t xml:space="preserve"> titled</w:t>
      </w:r>
      <w:r w:rsidRPr="00F46D82">
        <w:rPr>
          <w:rStyle w:val="desc"/>
          <w:rFonts w:asciiTheme="minorHAnsi" w:hAnsiTheme="minorHAnsi" w:cstheme="minorHAnsi"/>
          <w:i/>
          <w:sz w:val="24"/>
          <w:szCs w:val="24"/>
        </w:rPr>
        <w:t xml:space="preserve"> </w:t>
      </w:r>
      <w:r w:rsidR="00503A98" w:rsidRPr="00F46D82">
        <w:rPr>
          <w:rStyle w:val="desc"/>
          <w:rFonts w:asciiTheme="minorHAnsi" w:hAnsiTheme="minorHAnsi" w:cstheme="minorHAnsi"/>
          <w:i/>
          <w:sz w:val="24"/>
          <w:szCs w:val="24"/>
        </w:rPr>
        <w:t xml:space="preserve">Anniston </w:t>
      </w:r>
      <w:r w:rsidR="00234E18">
        <w:rPr>
          <w:rStyle w:val="desc"/>
          <w:rFonts w:asciiTheme="minorHAnsi" w:hAnsiTheme="minorHAnsi" w:cstheme="minorHAnsi"/>
          <w:i/>
          <w:sz w:val="24"/>
          <w:szCs w:val="24"/>
        </w:rPr>
        <w:t xml:space="preserve">Community Health </w:t>
      </w:r>
      <w:proofErr w:type="gramStart"/>
      <w:r w:rsidR="00234E18">
        <w:rPr>
          <w:rStyle w:val="desc"/>
          <w:rFonts w:asciiTheme="minorHAnsi" w:hAnsiTheme="minorHAnsi" w:cstheme="minorHAnsi"/>
          <w:i/>
          <w:sz w:val="24"/>
          <w:szCs w:val="24"/>
        </w:rPr>
        <w:t>Survey:</w:t>
      </w:r>
      <w:proofErr w:type="gramEnd"/>
      <w:r w:rsidR="00234E18">
        <w:rPr>
          <w:rStyle w:val="desc"/>
          <w:rFonts w:asciiTheme="minorHAnsi" w:hAnsiTheme="minorHAnsi" w:cstheme="minorHAnsi"/>
          <w:i/>
          <w:sz w:val="24"/>
          <w:szCs w:val="24"/>
        </w:rPr>
        <w:t xml:space="preserve"> Follow-</w:t>
      </w:r>
      <w:r w:rsidR="00503A98" w:rsidRPr="00F46D82">
        <w:rPr>
          <w:rStyle w:val="desc"/>
          <w:rFonts w:asciiTheme="minorHAnsi" w:hAnsiTheme="minorHAnsi" w:cstheme="minorHAnsi"/>
          <w:i/>
          <w:sz w:val="24"/>
          <w:szCs w:val="24"/>
        </w:rPr>
        <w:t>up and Dioxin Analyses</w:t>
      </w:r>
      <w:r w:rsidR="00B9441C" w:rsidRPr="00F46D82">
        <w:rPr>
          <w:rStyle w:val="desc"/>
          <w:rFonts w:asciiTheme="minorHAnsi" w:hAnsiTheme="minorHAnsi" w:cstheme="minorHAnsi"/>
          <w:i/>
          <w:sz w:val="24"/>
          <w:szCs w:val="24"/>
        </w:rPr>
        <w:t xml:space="preserve"> (ACHS</w:t>
      </w:r>
      <w:r w:rsidR="0095185B" w:rsidRPr="00F46D82">
        <w:rPr>
          <w:rStyle w:val="desc"/>
          <w:rFonts w:asciiTheme="minorHAnsi" w:hAnsiTheme="minorHAnsi" w:cstheme="minorHAnsi"/>
          <w:i/>
          <w:sz w:val="24"/>
          <w:szCs w:val="24"/>
        </w:rPr>
        <w:t>-</w:t>
      </w:r>
      <w:r w:rsidR="00B9441C" w:rsidRPr="00F46D82">
        <w:rPr>
          <w:rStyle w:val="desc"/>
          <w:rFonts w:asciiTheme="minorHAnsi" w:hAnsiTheme="minorHAnsi" w:cstheme="minorHAnsi"/>
          <w:i/>
          <w:sz w:val="24"/>
          <w:szCs w:val="24"/>
        </w:rPr>
        <w:t>II)</w:t>
      </w:r>
      <w:r w:rsidR="00503A98" w:rsidRPr="00F46D82">
        <w:rPr>
          <w:rStyle w:val="desc"/>
          <w:rFonts w:asciiTheme="minorHAnsi" w:hAnsiTheme="minorHAnsi" w:cstheme="minorHAnsi"/>
          <w:i/>
          <w:sz w:val="24"/>
          <w:szCs w:val="24"/>
        </w:rPr>
        <w:t xml:space="preserve">. </w:t>
      </w:r>
      <w:r w:rsidR="00E51053" w:rsidRPr="00F46D82">
        <w:rPr>
          <w:rStyle w:val="desc"/>
          <w:rFonts w:asciiTheme="minorHAnsi" w:hAnsiTheme="minorHAnsi" w:cstheme="minorHAnsi"/>
          <w:i/>
          <w:sz w:val="24"/>
          <w:szCs w:val="24"/>
        </w:rPr>
        <w:t xml:space="preserve"> </w:t>
      </w:r>
      <w:r w:rsidR="00E51053" w:rsidRPr="00F46D82">
        <w:rPr>
          <w:rFonts w:asciiTheme="minorHAnsi" w:hAnsiTheme="minorHAnsi" w:cstheme="minorHAnsi"/>
          <w:sz w:val="24"/>
          <w:szCs w:val="24"/>
        </w:rPr>
        <w:t xml:space="preserve">ATSDR is authorized to conduct the study </w:t>
      </w:r>
      <w:r w:rsidR="00E51053" w:rsidRPr="00F46D82">
        <w:rPr>
          <w:rFonts w:asciiTheme="minorHAnsi" w:hAnsiTheme="minorHAnsi" w:cstheme="minorHAnsi"/>
          <w:color w:val="151515"/>
          <w:sz w:val="24"/>
          <w:szCs w:val="24"/>
        </w:rPr>
        <w:t xml:space="preserve">under the </w:t>
      </w:r>
      <w:r w:rsidR="00E51053" w:rsidRPr="00F46D82">
        <w:rPr>
          <w:rFonts w:asciiTheme="minorHAnsi" w:eastAsia="MS Mincho" w:hAnsiTheme="minorHAnsi" w:cstheme="minorHAnsi"/>
          <w:sz w:val="24"/>
          <w:szCs w:val="24"/>
        </w:rPr>
        <w:t xml:space="preserve">1980 </w:t>
      </w:r>
      <w:r w:rsidR="00E51053" w:rsidRPr="00F46D82">
        <w:rPr>
          <w:rFonts w:asciiTheme="minorHAnsi" w:hAnsiTheme="minorHAnsi" w:cstheme="minorHAnsi"/>
          <w:color w:val="151515"/>
          <w:sz w:val="24"/>
          <w:szCs w:val="24"/>
        </w:rPr>
        <w:t>Comprehensive Environmental Response, Compensation, and Liability Act (CERCLA), and as amended by the 1986 Superfund Amendments and Reauthorization Act (SARA)</w:t>
      </w:r>
      <w:r w:rsidR="00EC2CB2">
        <w:rPr>
          <w:rFonts w:asciiTheme="minorHAnsi" w:hAnsiTheme="minorHAnsi" w:cstheme="minorHAnsi"/>
          <w:color w:val="151515"/>
          <w:sz w:val="24"/>
          <w:szCs w:val="24"/>
        </w:rPr>
        <w:t xml:space="preserve"> (Attachment 1)</w:t>
      </w:r>
      <w:r w:rsidR="00E51053" w:rsidRPr="00F46D82">
        <w:rPr>
          <w:rFonts w:asciiTheme="minorHAnsi" w:hAnsiTheme="minorHAnsi" w:cstheme="minorHAnsi"/>
          <w:color w:val="151515"/>
          <w:sz w:val="24"/>
          <w:szCs w:val="24"/>
        </w:rPr>
        <w:t>.</w:t>
      </w:r>
      <w:r w:rsidR="00E51053" w:rsidRPr="00F46D82">
        <w:rPr>
          <w:rStyle w:val="desc"/>
          <w:rFonts w:asciiTheme="minorHAnsi" w:hAnsiTheme="minorHAnsi" w:cstheme="minorHAnsi"/>
          <w:sz w:val="24"/>
          <w:szCs w:val="24"/>
        </w:rPr>
        <w:t xml:space="preserve"> </w:t>
      </w:r>
      <w:r w:rsidR="00503A98" w:rsidRPr="00F46D82">
        <w:rPr>
          <w:rFonts w:asciiTheme="minorHAnsi" w:hAnsiTheme="minorHAnsi" w:cstheme="minorHAnsi"/>
          <w:sz w:val="24"/>
          <w:szCs w:val="24"/>
        </w:rPr>
        <w:t>This proposed effort is funded under an Inter-Agency Agreement (CDC IAA#</w:t>
      </w:r>
      <w:r w:rsidR="00955810">
        <w:rPr>
          <w:rFonts w:asciiTheme="minorHAnsi" w:hAnsiTheme="minorHAnsi" w:cstheme="minorHAnsi"/>
          <w:sz w:val="24"/>
          <w:szCs w:val="24"/>
        </w:rPr>
        <w:t>:</w:t>
      </w:r>
      <w:r w:rsidR="00503A98" w:rsidRPr="00F46D82">
        <w:rPr>
          <w:rFonts w:asciiTheme="minorHAnsi" w:hAnsiTheme="minorHAnsi" w:cstheme="minorHAnsi"/>
          <w:sz w:val="24"/>
          <w:szCs w:val="24"/>
        </w:rPr>
        <w:t xml:space="preserve"> 11AT100100</w:t>
      </w:r>
      <w:r w:rsidR="00955810">
        <w:rPr>
          <w:rFonts w:asciiTheme="minorHAnsi" w:hAnsiTheme="minorHAnsi" w:cstheme="minorHAnsi"/>
          <w:sz w:val="24"/>
          <w:szCs w:val="24"/>
        </w:rPr>
        <w:t xml:space="preserve">, </w:t>
      </w:r>
      <w:r w:rsidR="00955810" w:rsidRPr="003078FA">
        <w:rPr>
          <w:rFonts w:cs="Calibri"/>
          <w:szCs w:val="24"/>
        </w:rPr>
        <w:t>12AT12-ANNISTON</w:t>
      </w:r>
      <w:r w:rsidR="00503A98" w:rsidRPr="00F46D82">
        <w:rPr>
          <w:rFonts w:asciiTheme="minorHAnsi" w:hAnsiTheme="minorHAnsi" w:cstheme="minorHAnsi"/>
          <w:sz w:val="24"/>
          <w:szCs w:val="24"/>
        </w:rPr>
        <w:t xml:space="preserve">) between </w:t>
      </w:r>
      <w:r w:rsidR="00F45785">
        <w:rPr>
          <w:rFonts w:asciiTheme="minorHAnsi" w:hAnsiTheme="minorHAnsi" w:cstheme="minorHAnsi"/>
          <w:sz w:val="24"/>
          <w:szCs w:val="24"/>
        </w:rPr>
        <w:t>the National Institutes of Health (</w:t>
      </w:r>
      <w:r w:rsidR="00503A98" w:rsidRPr="00F46D82">
        <w:rPr>
          <w:rFonts w:asciiTheme="minorHAnsi" w:hAnsiTheme="minorHAnsi" w:cstheme="minorHAnsi"/>
          <w:sz w:val="24"/>
          <w:szCs w:val="24"/>
        </w:rPr>
        <w:t>NIH</w:t>
      </w:r>
      <w:r w:rsidR="00F45785">
        <w:rPr>
          <w:rFonts w:asciiTheme="minorHAnsi" w:hAnsiTheme="minorHAnsi" w:cstheme="minorHAnsi"/>
          <w:sz w:val="24"/>
          <w:szCs w:val="24"/>
        </w:rPr>
        <w:t>)</w:t>
      </w:r>
      <w:r w:rsidR="00503A98" w:rsidRPr="00F46D82">
        <w:rPr>
          <w:rFonts w:asciiTheme="minorHAnsi" w:hAnsiTheme="minorHAnsi" w:cstheme="minorHAnsi"/>
          <w:sz w:val="24"/>
          <w:szCs w:val="24"/>
        </w:rPr>
        <w:t xml:space="preserve"> (procurer) and ATSDR (recipient)</w:t>
      </w:r>
      <w:r w:rsidR="009D737E" w:rsidRPr="00F46D82">
        <w:rPr>
          <w:rStyle w:val="desc"/>
          <w:rFonts w:asciiTheme="minorHAnsi" w:hAnsiTheme="minorHAnsi" w:cstheme="minorHAnsi"/>
          <w:sz w:val="24"/>
          <w:szCs w:val="24"/>
        </w:rPr>
        <w:t xml:space="preserve">. </w:t>
      </w:r>
    </w:p>
    <w:p w:rsidR="00C13535" w:rsidRDefault="00C13535" w:rsidP="002E799F">
      <w:pPr>
        <w:spacing w:after="0" w:line="240" w:lineRule="auto"/>
        <w:jc w:val="both"/>
        <w:rPr>
          <w:rStyle w:val="desc"/>
          <w:rFonts w:asciiTheme="minorHAnsi" w:hAnsiTheme="minorHAnsi" w:cstheme="minorHAnsi"/>
          <w:sz w:val="24"/>
          <w:szCs w:val="24"/>
        </w:rPr>
      </w:pPr>
    </w:p>
    <w:p w:rsidR="00AE715C" w:rsidRPr="00F46D82" w:rsidRDefault="009D737E" w:rsidP="002E799F">
      <w:pPr>
        <w:spacing w:after="0" w:line="240" w:lineRule="auto"/>
        <w:jc w:val="both"/>
        <w:rPr>
          <w:rFonts w:asciiTheme="minorHAnsi" w:hAnsiTheme="minorHAnsi" w:cstheme="minorHAnsi"/>
          <w:i/>
          <w:sz w:val="24"/>
          <w:szCs w:val="24"/>
        </w:rPr>
      </w:pPr>
      <w:r w:rsidRPr="00F46D82">
        <w:rPr>
          <w:rStyle w:val="desc"/>
          <w:rFonts w:asciiTheme="minorHAnsi" w:hAnsiTheme="minorHAnsi" w:cstheme="minorHAnsi"/>
          <w:sz w:val="24"/>
          <w:szCs w:val="24"/>
        </w:rPr>
        <w:t xml:space="preserve">The </w:t>
      </w:r>
      <w:r w:rsidR="00EC2CB2">
        <w:rPr>
          <w:rStyle w:val="desc"/>
          <w:rFonts w:asciiTheme="minorHAnsi" w:hAnsiTheme="minorHAnsi" w:cstheme="minorHAnsi"/>
          <w:sz w:val="24"/>
          <w:szCs w:val="24"/>
        </w:rPr>
        <w:t>Agency</w:t>
      </w:r>
      <w:r w:rsidRPr="00F46D82">
        <w:rPr>
          <w:rStyle w:val="desc"/>
          <w:rFonts w:asciiTheme="minorHAnsi" w:hAnsiTheme="minorHAnsi" w:cstheme="minorHAnsi"/>
          <w:sz w:val="24"/>
          <w:szCs w:val="24"/>
        </w:rPr>
        <w:t xml:space="preserve"> requests Office of Management and Budget (OMB)</w:t>
      </w:r>
      <w:r w:rsidR="00C772EE" w:rsidRPr="00F46D82">
        <w:rPr>
          <w:rStyle w:val="desc"/>
          <w:rFonts w:asciiTheme="minorHAnsi" w:hAnsiTheme="minorHAnsi" w:cstheme="minorHAnsi"/>
          <w:sz w:val="24"/>
          <w:szCs w:val="24"/>
        </w:rPr>
        <w:t xml:space="preserve"> approval</w:t>
      </w:r>
      <w:r w:rsidRPr="00F46D82">
        <w:rPr>
          <w:rStyle w:val="desc"/>
          <w:rFonts w:asciiTheme="minorHAnsi" w:hAnsiTheme="minorHAnsi" w:cstheme="minorHAnsi"/>
          <w:sz w:val="24"/>
          <w:szCs w:val="24"/>
        </w:rPr>
        <w:t xml:space="preserve"> for</w:t>
      </w:r>
      <w:r w:rsidR="00503A98" w:rsidRPr="00F46D82">
        <w:rPr>
          <w:rStyle w:val="desc"/>
          <w:rFonts w:asciiTheme="minorHAnsi" w:hAnsiTheme="minorHAnsi" w:cstheme="minorHAnsi"/>
          <w:sz w:val="24"/>
          <w:szCs w:val="24"/>
        </w:rPr>
        <w:t xml:space="preserve"> </w:t>
      </w:r>
      <w:r w:rsidR="000F579C" w:rsidRPr="00F46D82">
        <w:rPr>
          <w:rStyle w:val="desc"/>
          <w:rFonts w:asciiTheme="minorHAnsi" w:hAnsiTheme="minorHAnsi" w:cstheme="minorHAnsi"/>
          <w:sz w:val="24"/>
          <w:szCs w:val="24"/>
        </w:rPr>
        <w:t>two</w:t>
      </w:r>
      <w:r w:rsidR="00503A98" w:rsidRPr="00F46D82">
        <w:rPr>
          <w:rStyle w:val="desc"/>
          <w:rFonts w:asciiTheme="minorHAnsi" w:hAnsiTheme="minorHAnsi" w:cstheme="minorHAnsi"/>
          <w:sz w:val="24"/>
          <w:szCs w:val="24"/>
        </w:rPr>
        <w:t xml:space="preserve"> </w:t>
      </w:r>
      <w:r w:rsidR="00C772EE" w:rsidRPr="00F46D82">
        <w:rPr>
          <w:rStyle w:val="desc"/>
          <w:rFonts w:asciiTheme="minorHAnsi" w:hAnsiTheme="minorHAnsi" w:cstheme="minorHAnsi"/>
          <w:sz w:val="24"/>
          <w:szCs w:val="24"/>
        </w:rPr>
        <w:t>years to complete</w:t>
      </w:r>
      <w:r w:rsidR="00EC2CB2">
        <w:rPr>
          <w:rStyle w:val="desc"/>
          <w:rFonts w:asciiTheme="minorHAnsi" w:hAnsiTheme="minorHAnsi" w:cstheme="minorHAnsi"/>
          <w:sz w:val="24"/>
          <w:szCs w:val="24"/>
        </w:rPr>
        <w:t xml:space="preserve"> this</w:t>
      </w:r>
      <w:r w:rsidR="00C772EE" w:rsidRPr="00F46D82">
        <w:rPr>
          <w:rStyle w:val="desc"/>
          <w:rFonts w:asciiTheme="minorHAnsi" w:hAnsiTheme="minorHAnsi" w:cstheme="minorHAnsi"/>
          <w:sz w:val="24"/>
          <w:szCs w:val="24"/>
        </w:rPr>
        <w:t xml:space="preserve"> information collection.</w:t>
      </w:r>
    </w:p>
    <w:p w:rsidR="00EB6205" w:rsidRPr="00F46D82" w:rsidRDefault="006B68AD" w:rsidP="002E799F">
      <w:pPr>
        <w:pStyle w:val="Heading3"/>
        <w:spacing w:after="120"/>
        <w:jc w:val="both"/>
        <w:rPr>
          <w:rFonts w:asciiTheme="minorHAnsi" w:hAnsiTheme="minorHAnsi" w:cstheme="minorHAnsi"/>
        </w:rPr>
      </w:pPr>
      <w:bookmarkStart w:id="5" w:name="_Toc349489238"/>
      <w:r w:rsidRPr="00F46D82">
        <w:rPr>
          <w:rFonts w:asciiTheme="minorHAnsi" w:hAnsiTheme="minorHAnsi" w:cstheme="minorHAnsi"/>
        </w:rPr>
        <w:t>Background</w:t>
      </w:r>
      <w:bookmarkEnd w:id="5"/>
    </w:p>
    <w:p w:rsidR="00FA1315" w:rsidRPr="00F46D82" w:rsidRDefault="00B9441C" w:rsidP="002E799F">
      <w:pPr>
        <w:autoSpaceDE w:val="0"/>
        <w:autoSpaceDN w:val="0"/>
        <w:adjustRightInd w:val="0"/>
        <w:spacing w:after="0" w:line="240" w:lineRule="auto"/>
        <w:jc w:val="both"/>
        <w:rPr>
          <w:rFonts w:asciiTheme="minorHAnsi" w:hAnsiTheme="minorHAnsi" w:cstheme="minorHAnsi"/>
          <w:sz w:val="24"/>
          <w:szCs w:val="24"/>
        </w:rPr>
      </w:pPr>
      <w:r w:rsidRPr="00F46D82">
        <w:rPr>
          <w:rFonts w:asciiTheme="minorHAnsi" w:hAnsiTheme="minorHAnsi" w:cstheme="minorHAnsi"/>
          <w:sz w:val="24"/>
          <w:szCs w:val="24"/>
        </w:rPr>
        <w:t xml:space="preserve">Polychlorinated biphenyls (PCBs) </w:t>
      </w:r>
      <w:proofErr w:type="gramStart"/>
      <w:r w:rsidRPr="00F46D82">
        <w:rPr>
          <w:rFonts w:asciiTheme="minorHAnsi" w:hAnsiTheme="minorHAnsi" w:cstheme="minorHAnsi"/>
          <w:sz w:val="24"/>
          <w:szCs w:val="24"/>
        </w:rPr>
        <w:t>were manufactured</w:t>
      </w:r>
      <w:proofErr w:type="gramEnd"/>
      <w:r w:rsidRPr="00F46D82">
        <w:rPr>
          <w:rFonts w:asciiTheme="minorHAnsi" w:hAnsiTheme="minorHAnsi" w:cstheme="minorHAnsi"/>
          <w:sz w:val="24"/>
          <w:szCs w:val="24"/>
        </w:rPr>
        <w:t xml:space="preserve"> at the former Monsanto facility in Annisto</w:t>
      </w:r>
      <w:r w:rsidR="00955810">
        <w:rPr>
          <w:rFonts w:asciiTheme="minorHAnsi" w:hAnsiTheme="minorHAnsi" w:cstheme="minorHAnsi"/>
          <w:sz w:val="24"/>
          <w:szCs w:val="24"/>
        </w:rPr>
        <w:t xml:space="preserve">n, Alabama, from 1929 to 1971. </w:t>
      </w:r>
      <w:r w:rsidRPr="00F46D82">
        <w:rPr>
          <w:rFonts w:asciiTheme="minorHAnsi" w:hAnsiTheme="minorHAnsi" w:cstheme="minorHAnsi"/>
          <w:sz w:val="24"/>
          <w:szCs w:val="24"/>
        </w:rPr>
        <w:t xml:space="preserve">Releases into the air and water via volatilization, deposition into landfills, and migration into surface water led to substantial environmental contamination, human exposure and community health concerns, and ultimately litigation and settlement in </w:t>
      </w:r>
      <w:r w:rsidR="00C4111F" w:rsidRPr="00F46D82">
        <w:rPr>
          <w:rFonts w:asciiTheme="minorHAnsi" w:hAnsiTheme="minorHAnsi" w:cstheme="minorHAnsi"/>
          <w:sz w:val="24"/>
          <w:szCs w:val="24"/>
        </w:rPr>
        <w:t xml:space="preserve">state and </w:t>
      </w:r>
      <w:r w:rsidR="00D14CF6" w:rsidRPr="00F46D82">
        <w:rPr>
          <w:rFonts w:asciiTheme="minorHAnsi" w:hAnsiTheme="minorHAnsi" w:cstheme="minorHAnsi"/>
          <w:sz w:val="24"/>
          <w:szCs w:val="24"/>
        </w:rPr>
        <w:t>federal court</w:t>
      </w:r>
      <w:r w:rsidR="005D07CA">
        <w:rPr>
          <w:rFonts w:asciiTheme="minorHAnsi" w:hAnsiTheme="minorHAnsi" w:cstheme="minorHAnsi"/>
          <w:sz w:val="24"/>
          <w:szCs w:val="24"/>
        </w:rPr>
        <w:t xml:space="preserve"> </w:t>
      </w:r>
      <w:r w:rsidR="005D07CA" w:rsidRPr="005D07CA">
        <w:rPr>
          <w:rFonts w:asciiTheme="minorHAnsi" w:hAnsiTheme="minorHAnsi" w:cstheme="minorHAnsi"/>
          <w:sz w:val="24"/>
          <w:szCs w:val="24"/>
        </w:rPr>
        <w:t>(</w:t>
      </w:r>
      <w:proofErr w:type="spellStart"/>
      <w:r w:rsidR="005D07CA">
        <w:rPr>
          <w:rFonts w:asciiTheme="minorHAnsi" w:hAnsiTheme="minorHAnsi" w:cstheme="minorHAnsi"/>
          <w:sz w:val="24"/>
          <w:szCs w:val="24"/>
        </w:rPr>
        <w:t>Grunwald</w:t>
      </w:r>
      <w:proofErr w:type="spellEnd"/>
      <w:r w:rsidR="005D07CA">
        <w:rPr>
          <w:rFonts w:asciiTheme="minorHAnsi" w:hAnsiTheme="minorHAnsi" w:cstheme="minorHAnsi"/>
          <w:sz w:val="24"/>
          <w:szCs w:val="24"/>
        </w:rPr>
        <w:t>,</w:t>
      </w:r>
      <w:r w:rsidR="005D07CA" w:rsidRPr="005D07CA">
        <w:rPr>
          <w:rFonts w:asciiTheme="minorHAnsi" w:hAnsiTheme="minorHAnsi" w:cstheme="minorHAnsi"/>
          <w:sz w:val="24"/>
          <w:szCs w:val="24"/>
        </w:rPr>
        <w:t xml:space="preserve"> 2001; </w:t>
      </w:r>
      <w:r w:rsidR="005D07CA">
        <w:rPr>
          <w:rFonts w:asciiTheme="minorHAnsi" w:hAnsiTheme="minorHAnsi" w:cstheme="minorHAnsi"/>
          <w:sz w:val="24"/>
          <w:szCs w:val="24"/>
        </w:rPr>
        <w:t>Love, 2007</w:t>
      </w:r>
      <w:r w:rsidR="005D07CA" w:rsidRPr="005D07CA">
        <w:rPr>
          <w:rFonts w:asciiTheme="minorHAnsi" w:hAnsiTheme="minorHAnsi" w:cstheme="minorHAnsi"/>
          <w:sz w:val="24"/>
          <w:szCs w:val="24"/>
        </w:rPr>
        <w:t>)</w:t>
      </w:r>
      <w:r w:rsidR="00D14CF6" w:rsidRPr="005D07CA">
        <w:rPr>
          <w:rFonts w:asciiTheme="minorHAnsi" w:hAnsiTheme="minorHAnsi" w:cstheme="minorHAnsi"/>
          <w:sz w:val="24"/>
          <w:szCs w:val="24"/>
        </w:rPr>
        <w:t>.</w:t>
      </w:r>
    </w:p>
    <w:p w:rsidR="00FA1315" w:rsidRPr="00F46D82" w:rsidRDefault="00FA1315" w:rsidP="002E799F">
      <w:pPr>
        <w:autoSpaceDE w:val="0"/>
        <w:autoSpaceDN w:val="0"/>
        <w:adjustRightInd w:val="0"/>
        <w:spacing w:after="0" w:line="240" w:lineRule="auto"/>
        <w:jc w:val="both"/>
        <w:rPr>
          <w:rFonts w:asciiTheme="minorHAnsi" w:hAnsiTheme="minorHAnsi" w:cstheme="minorHAnsi"/>
          <w:sz w:val="24"/>
          <w:szCs w:val="24"/>
        </w:rPr>
      </w:pPr>
    </w:p>
    <w:p w:rsidR="00293C99" w:rsidRDefault="00B9441C" w:rsidP="002E799F">
      <w:pPr>
        <w:autoSpaceDE w:val="0"/>
        <w:autoSpaceDN w:val="0"/>
        <w:adjustRightInd w:val="0"/>
        <w:spacing w:after="0" w:line="240" w:lineRule="auto"/>
        <w:jc w:val="both"/>
        <w:rPr>
          <w:rFonts w:asciiTheme="minorHAnsi" w:hAnsiTheme="minorHAnsi" w:cstheme="minorHAnsi"/>
          <w:sz w:val="24"/>
          <w:szCs w:val="24"/>
        </w:rPr>
      </w:pPr>
      <w:r w:rsidRPr="00F46D82">
        <w:rPr>
          <w:rFonts w:asciiTheme="minorHAnsi" w:hAnsiTheme="minorHAnsi" w:cstheme="minorHAnsi"/>
          <w:sz w:val="24"/>
          <w:szCs w:val="24"/>
        </w:rPr>
        <w:t>From 2003</w:t>
      </w:r>
      <w:r w:rsidR="007E7E79" w:rsidRPr="00F46D82">
        <w:rPr>
          <w:rFonts w:asciiTheme="minorHAnsi" w:hAnsiTheme="minorHAnsi" w:cstheme="minorHAnsi"/>
          <w:sz w:val="24"/>
          <w:szCs w:val="24"/>
        </w:rPr>
        <w:t xml:space="preserve"> to 2007</w:t>
      </w:r>
      <w:r w:rsidR="00320B81" w:rsidRPr="00F46D82">
        <w:rPr>
          <w:rFonts w:asciiTheme="minorHAnsi" w:hAnsiTheme="minorHAnsi" w:cstheme="minorHAnsi"/>
          <w:sz w:val="24"/>
          <w:szCs w:val="24"/>
        </w:rPr>
        <w:t>, the ATSDR</w:t>
      </w:r>
      <w:r w:rsidRPr="00F46D82">
        <w:rPr>
          <w:rFonts w:asciiTheme="minorHAnsi" w:hAnsiTheme="minorHAnsi" w:cstheme="minorHAnsi"/>
          <w:sz w:val="24"/>
          <w:szCs w:val="24"/>
        </w:rPr>
        <w:t xml:space="preserve"> fun</w:t>
      </w:r>
      <w:r w:rsidR="00B902ED" w:rsidRPr="00F46D82">
        <w:rPr>
          <w:rFonts w:asciiTheme="minorHAnsi" w:hAnsiTheme="minorHAnsi" w:cstheme="minorHAnsi"/>
          <w:sz w:val="24"/>
          <w:szCs w:val="24"/>
        </w:rPr>
        <w:t>ded</w:t>
      </w:r>
      <w:r w:rsidR="004E41BA" w:rsidRPr="00F46D82">
        <w:rPr>
          <w:rFonts w:asciiTheme="minorHAnsi" w:hAnsiTheme="minorHAnsi" w:cstheme="minorHAnsi"/>
          <w:sz w:val="24"/>
          <w:szCs w:val="24"/>
        </w:rPr>
        <w:t xml:space="preserve"> </w:t>
      </w:r>
      <w:proofErr w:type="spellStart"/>
      <w:r w:rsidR="001D5DE8" w:rsidRPr="00F46D82">
        <w:rPr>
          <w:rFonts w:asciiTheme="minorHAnsi" w:hAnsiTheme="minorHAnsi" w:cstheme="minorHAnsi"/>
          <w:sz w:val="24"/>
          <w:szCs w:val="24"/>
          <w:lang w:val="en"/>
        </w:rPr>
        <w:t>t</w:t>
      </w:r>
      <w:r w:rsidR="001D5DE8" w:rsidRPr="00F46D82">
        <w:rPr>
          <w:rFonts w:asciiTheme="minorHAnsi" w:hAnsiTheme="minorHAnsi" w:cstheme="minorHAnsi"/>
          <w:sz w:val="24"/>
          <w:szCs w:val="24"/>
        </w:rPr>
        <w:t>he</w:t>
      </w:r>
      <w:proofErr w:type="spellEnd"/>
      <w:r w:rsidR="00B902ED" w:rsidRPr="00F46D82">
        <w:rPr>
          <w:rFonts w:asciiTheme="minorHAnsi" w:hAnsiTheme="minorHAnsi" w:cstheme="minorHAnsi"/>
          <w:sz w:val="24"/>
          <w:szCs w:val="24"/>
        </w:rPr>
        <w:t xml:space="preserve"> Anniston </w:t>
      </w:r>
      <w:r w:rsidRPr="00F46D82">
        <w:rPr>
          <w:rFonts w:asciiTheme="minorHAnsi" w:hAnsiTheme="minorHAnsi" w:cstheme="minorHAnsi"/>
          <w:sz w:val="24"/>
          <w:szCs w:val="24"/>
        </w:rPr>
        <w:t>Environmental Health Research</w:t>
      </w:r>
      <w:r w:rsidR="00B902ED" w:rsidRPr="00F46D82">
        <w:rPr>
          <w:rFonts w:asciiTheme="minorHAnsi" w:hAnsiTheme="minorHAnsi" w:cstheme="minorHAnsi"/>
          <w:sz w:val="24"/>
          <w:szCs w:val="24"/>
        </w:rPr>
        <w:t xml:space="preserve"> Consortium (AE</w:t>
      </w:r>
      <w:r w:rsidRPr="00F46D82">
        <w:rPr>
          <w:rFonts w:asciiTheme="minorHAnsi" w:hAnsiTheme="minorHAnsi" w:cstheme="minorHAnsi"/>
          <w:sz w:val="24"/>
          <w:szCs w:val="24"/>
        </w:rPr>
        <w:t>HR</w:t>
      </w:r>
      <w:r w:rsidR="00B902ED" w:rsidRPr="00F46D82">
        <w:rPr>
          <w:rFonts w:asciiTheme="minorHAnsi" w:hAnsiTheme="minorHAnsi" w:cstheme="minorHAnsi"/>
          <w:sz w:val="24"/>
          <w:szCs w:val="24"/>
        </w:rPr>
        <w:t>C</w:t>
      </w:r>
      <w:r w:rsidRPr="00F46D82">
        <w:rPr>
          <w:rFonts w:asciiTheme="minorHAnsi" w:hAnsiTheme="minorHAnsi" w:cstheme="minorHAnsi"/>
          <w:sz w:val="24"/>
          <w:szCs w:val="24"/>
        </w:rPr>
        <w:t>), a university and community partnership</w:t>
      </w:r>
      <w:r w:rsidR="00B81863" w:rsidRPr="00F46D82">
        <w:rPr>
          <w:rFonts w:asciiTheme="minorHAnsi" w:hAnsiTheme="minorHAnsi" w:cstheme="minorHAnsi"/>
          <w:sz w:val="24"/>
          <w:szCs w:val="24"/>
        </w:rPr>
        <w:t xml:space="preserve"> charged to plan and conduct</w:t>
      </w:r>
      <w:r w:rsidRPr="00F46D82">
        <w:rPr>
          <w:rFonts w:asciiTheme="minorHAnsi" w:hAnsiTheme="minorHAnsi" w:cstheme="minorHAnsi"/>
          <w:sz w:val="24"/>
          <w:szCs w:val="24"/>
        </w:rPr>
        <w:t xml:space="preserve"> the 2005-2007 Anniston Community Health Survey (ACHS)</w:t>
      </w:r>
      <w:r w:rsidR="004E41BA" w:rsidRPr="00F46D82">
        <w:rPr>
          <w:rFonts w:asciiTheme="minorHAnsi" w:hAnsiTheme="minorHAnsi" w:cstheme="minorHAnsi"/>
          <w:sz w:val="24"/>
          <w:szCs w:val="24"/>
        </w:rPr>
        <w:t xml:space="preserve"> (Grant #</w:t>
      </w:r>
      <w:r w:rsidR="004E41BA" w:rsidRPr="00F46D82">
        <w:rPr>
          <w:rFonts w:asciiTheme="minorHAnsi" w:hAnsiTheme="minorHAnsi" w:cstheme="minorHAnsi"/>
          <w:sz w:val="24"/>
          <w:szCs w:val="24"/>
          <w:lang w:val="en"/>
        </w:rPr>
        <w:t>U50/ATU473215)</w:t>
      </w:r>
      <w:r w:rsidRPr="00F46D82">
        <w:rPr>
          <w:rFonts w:asciiTheme="minorHAnsi" w:hAnsiTheme="minorHAnsi" w:cstheme="minorHAnsi"/>
          <w:sz w:val="24"/>
          <w:szCs w:val="24"/>
        </w:rPr>
        <w:t>. The initial consortium study found bas</w:t>
      </w:r>
      <w:r w:rsidR="00BA7F65" w:rsidRPr="00F46D82">
        <w:rPr>
          <w:rFonts w:asciiTheme="minorHAnsi" w:hAnsiTheme="minorHAnsi" w:cstheme="minorHAnsi"/>
          <w:sz w:val="24"/>
          <w:szCs w:val="24"/>
        </w:rPr>
        <w:t>eline serum PCB levels among 766</w:t>
      </w:r>
      <w:r w:rsidRPr="00F46D82">
        <w:rPr>
          <w:rFonts w:asciiTheme="minorHAnsi" w:hAnsiTheme="minorHAnsi" w:cstheme="minorHAnsi"/>
          <w:sz w:val="24"/>
          <w:szCs w:val="24"/>
        </w:rPr>
        <w:t xml:space="preserve"> Anniston </w:t>
      </w:r>
      <w:r w:rsidR="00813AEF">
        <w:rPr>
          <w:rFonts w:asciiTheme="minorHAnsi" w:hAnsiTheme="minorHAnsi" w:cstheme="minorHAnsi"/>
          <w:sz w:val="24"/>
          <w:szCs w:val="24"/>
        </w:rPr>
        <w:t>C</w:t>
      </w:r>
      <w:r w:rsidR="00E26A9A">
        <w:rPr>
          <w:rFonts w:asciiTheme="minorHAnsi" w:hAnsiTheme="minorHAnsi" w:cstheme="minorHAnsi"/>
          <w:sz w:val="24"/>
          <w:szCs w:val="24"/>
        </w:rPr>
        <w:t>ohort members</w:t>
      </w:r>
      <w:r w:rsidRPr="00F46D82">
        <w:rPr>
          <w:rFonts w:asciiTheme="minorHAnsi" w:hAnsiTheme="minorHAnsi" w:cstheme="minorHAnsi"/>
          <w:sz w:val="24"/>
          <w:szCs w:val="24"/>
        </w:rPr>
        <w:t xml:space="preserve"> that were three-to-seven-fold higher than among the general U.S. population, and that were positively associated with hypertension, elevated blood pressure, and diabetes in select </w:t>
      </w:r>
      <w:r w:rsidR="00813AEF">
        <w:rPr>
          <w:rFonts w:asciiTheme="minorHAnsi" w:hAnsiTheme="minorHAnsi" w:cstheme="minorHAnsi"/>
          <w:sz w:val="24"/>
          <w:szCs w:val="24"/>
        </w:rPr>
        <w:t>C</w:t>
      </w:r>
      <w:r w:rsidRPr="00F46D82">
        <w:rPr>
          <w:rFonts w:asciiTheme="minorHAnsi" w:hAnsiTheme="minorHAnsi" w:cstheme="minorHAnsi"/>
          <w:sz w:val="24"/>
          <w:szCs w:val="24"/>
        </w:rPr>
        <w:t>ohort subgroups</w:t>
      </w:r>
      <w:r w:rsidR="005D07CA">
        <w:rPr>
          <w:rFonts w:asciiTheme="minorHAnsi" w:hAnsiTheme="minorHAnsi" w:cstheme="minorHAnsi"/>
          <w:sz w:val="24"/>
          <w:szCs w:val="24"/>
        </w:rPr>
        <w:t xml:space="preserve"> (</w:t>
      </w:r>
      <w:proofErr w:type="spellStart"/>
      <w:r w:rsidR="005D07CA">
        <w:rPr>
          <w:rFonts w:asciiTheme="minorHAnsi" w:hAnsiTheme="minorHAnsi" w:cstheme="minorHAnsi"/>
          <w:sz w:val="24"/>
          <w:szCs w:val="24"/>
        </w:rPr>
        <w:t>Goncharov</w:t>
      </w:r>
      <w:proofErr w:type="spellEnd"/>
      <w:r w:rsidR="005D07CA">
        <w:rPr>
          <w:rFonts w:asciiTheme="minorHAnsi" w:hAnsiTheme="minorHAnsi" w:cstheme="minorHAnsi"/>
          <w:sz w:val="24"/>
          <w:szCs w:val="24"/>
        </w:rPr>
        <w:t xml:space="preserve"> et al., 2010, 2011, Pavuk et al., 2009</w:t>
      </w:r>
      <w:r w:rsidR="00532A0D">
        <w:rPr>
          <w:rFonts w:asciiTheme="minorHAnsi" w:hAnsiTheme="minorHAnsi" w:cstheme="minorHAnsi"/>
          <w:sz w:val="24"/>
          <w:szCs w:val="24"/>
        </w:rPr>
        <w:t>a</w:t>
      </w:r>
      <w:r w:rsidR="005D07CA">
        <w:rPr>
          <w:rFonts w:asciiTheme="minorHAnsi" w:hAnsiTheme="minorHAnsi" w:cstheme="minorHAnsi"/>
          <w:sz w:val="24"/>
          <w:szCs w:val="24"/>
        </w:rPr>
        <w:t>, Silverstone et al., 2012)</w:t>
      </w:r>
      <w:r w:rsidRPr="00F46D82">
        <w:rPr>
          <w:rFonts w:asciiTheme="minorHAnsi" w:hAnsiTheme="minorHAnsi" w:cstheme="minorHAnsi"/>
          <w:sz w:val="24"/>
          <w:szCs w:val="24"/>
        </w:rPr>
        <w:t>.</w:t>
      </w:r>
    </w:p>
    <w:p w:rsidR="00293C99" w:rsidRDefault="00293C99" w:rsidP="002E799F">
      <w:pPr>
        <w:autoSpaceDE w:val="0"/>
        <w:autoSpaceDN w:val="0"/>
        <w:adjustRightInd w:val="0"/>
        <w:spacing w:after="0" w:line="240" w:lineRule="auto"/>
        <w:jc w:val="both"/>
        <w:rPr>
          <w:rFonts w:asciiTheme="minorHAnsi" w:hAnsiTheme="minorHAnsi" w:cstheme="minorHAnsi"/>
          <w:sz w:val="24"/>
          <w:szCs w:val="24"/>
        </w:rPr>
      </w:pPr>
    </w:p>
    <w:p w:rsidR="00B9441C" w:rsidRPr="00F46D82" w:rsidRDefault="00293C99" w:rsidP="002E799F">
      <w:pPr>
        <w:autoSpaceDE w:val="0"/>
        <w:autoSpaceDN w:val="0"/>
        <w:adjustRightInd w:val="0"/>
        <w:spacing w:after="0" w:line="240" w:lineRule="auto"/>
        <w:jc w:val="both"/>
        <w:rPr>
          <w:rFonts w:asciiTheme="minorHAnsi" w:hAnsiTheme="minorHAnsi" w:cstheme="minorHAnsi"/>
          <w:b/>
          <w:bCs/>
          <w:i/>
          <w:iCs/>
          <w:color w:val="000000"/>
          <w:sz w:val="24"/>
          <w:szCs w:val="24"/>
        </w:rPr>
      </w:pPr>
      <w:r w:rsidRPr="00F46D82">
        <w:rPr>
          <w:rFonts w:asciiTheme="minorHAnsi" w:hAnsiTheme="minorHAnsi" w:cstheme="minorHAnsi"/>
          <w:sz w:val="24"/>
          <w:szCs w:val="24"/>
        </w:rPr>
        <w:t>Currently, the ATSDR</w:t>
      </w:r>
      <w:r>
        <w:rPr>
          <w:rFonts w:asciiTheme="minorHAnsi" w:hAnsiTheme="minorHAnsi" w:cstheme="minorHAnsi"/>
          <w:sz w:val="24"/>
          <w:szCs w:val="24"/>
        </w:rPr>
        <w:t xml:space="preserve">, </w:t>
      </w:r>
      <w:r w:rsidRPr="00F46D82">
        <w:rPr>
          <w:rFonts w:asciiTheme="minorHAnsi" w:hAnsiTheme="minorHAnsi" w:cstheme="minorHAnsi"/>
          <w:sz w:val="24"/>
          <w:szCs w:val="24"/>
        </w:rPr>
        <w:t>the National Institute</w:t>
      </w:r>
      <w:r>
        <w:rPr>
          <w:rFonts w:asciiTheme="minorHAnsi" w:hAnsiTheme="minorHAnsi" w:cstheme="minorHAnsi"/>
          <w:sz w:val="24"/>
          <w:szCs w:val="24"/>
        </w:rPr>
        <w:t>s</w:t>
      </w:r>
      <w:r w:rsidRPr="00F46D82">
        <w:rPr>
          <w:rFonts w:asciiTheme="minorHAnsi" w:hAnsiTheme="minorHAnsi" w:cstheme="minorHAnsi"/>
          <w:sz w:val="24"/>
          <w:szCs w:val="24"/>
        </w:rPr>
        <w:t xml:space="preserve"> of Health (NIH)</w:t>
      </w:r>
      <w:r>
        <w:rPr>
          <w:rFonts w:asciiTheme="minorHAnsi" w:hAnsiTheme="minorHAnsi" w:cstheme="minorHAnsi"/>
          <w:sz w:val="24"/>
          <w:szCs w:val="24"/>
        </w:rPr>
        <w:t xml:space="preserve">, </w:t>
      </w:r>
      <w:r w:rsidR="002A3EA4">
        <w:rPr>
          <w:rFonts w:asciiTheme="minorHAnsi" w:hAnsiTheme="minorHAnsi" w:cstheme="minorHAnsi"/>
          <w:sz w:val="24"/>
          <w:szCs w:val="24"/>
        </w:rPr>
        <w:t xml:space="preserve">and </w:t>
      </w:r>
      <w:r>
        <w:rPr>
          <w:rFonts w:asciiTheme="minorHAnsi" w:hAnsiTheme="minorHAnsi" w:cstheme="minorHAnsi"/>
          <w:sz w:val="24"/>
          <w:szCs w:val="24"/>
        </w:rPr>
        <w:t>university</w:t>
      </w:r>
      <w:r w:rsidRPr="00F46D82">
        <w:rPr>
          <w:rFonts w:asciiTheme="minorHAnsi" w:hAnsiTheme="minorHAnsi" w:cstheme="minorHAnsi"/>
          <w:sz w:val="24"/>
          <w:szCs w:val="24"/>
        </w:rPr>
        <w:t xml:space="preserve"> investigators will conduct a </w:t>
      </w:r>
      <w:r>
        <w:rPr>
          <w:rFonts w:asciiTheme="minorHAnsi" w:hAnsiTheme="minorHAnsi" w:cstheme="minorHAnsi"/>
          <w:sz w:val="24"/>
          <w:szCs w:val="24"/>
        </w:rPr>
        <w:t>cross-sectional research study as a</w:t>
      </w:r>
      <w:r w:rsidRPr="00F46D82">
        <w:rPr>
          <w:rFonts w:asciiTheme="minorHAnsi" w:hAnsiTheme="minorHAnsi" w:cstheme="minorHAnsi"/>
          <w:sz w:val="24"/>
          <w:szCs w:val="24"/>
        </w:rPr>
        <w:t xml:space="preserve"> follow-up</w:t>
      </w:r>
      <w:r>
        <w:rPr>
          <w:rFonts w:asciiTheme="minorHAnsi" w:hAnsiTheme="minorHAnsi" w:cstheme="minorHAnsi"/>
          <w:sz w:val="24"/>
          <w:szCs w:val="24"/>
        </w:rPr>
        <w:t xml:space="preserve"> </w:t>
      </w:r>
      <w:r w:rsidRPr="00F46D82">
        <w:rPr>
          <w:rFonts w:asciiTheme="minorHAnsi" w:hAnsiTheme="minorHAnsi" w:cstheme="minorHAnsi"/>
          <w:sz w:val="24"/>
          <w:szCs w:val="24"/>
        </w:rPr>
        <w:t>to the 2005-2007 ACHS</w:t>
      </w:r>
      <w:r w:rsidR="00B83936">
        <w:rPr>
          <w:rFonts w:asciiTheme="minorHAnsi" w:hAnsiTheme="minorHAnsi" w:cstheme="minorHAnsi"/>
          <w:sz w:val="24"/>
          <w:szCs w:val="24"/>
        </w:rPr>
        <w:t>. Called</w:t>
      </w:r>
      <w:r w:rsidRPr="00F46D82">
        <w:rPr>
          <w:rFonts w:asciiTheme="minorHAnsi" w:hAnsiTheme="minorHAnsi" w:cstheme="minorHAnsi"/>
          <w:sz w:val="24"/>
          <w:szCs w:val="24"/>
        </w:rPr>
        <w:t xml:space="preserve"> the ACHS-II, </w:t>
      </w:r>
      <w:r w:rsidR="00B83936">
        <w:rPr>
          <w:rFonts w:asciiTheme="minorHAnsi" w:hAnsiTheme="minorHAnsi" w:cstheme="minorHAnsi"/>
          <w:sz w:val="24"/>
          <w:szCs w:val="24"/>
        </w:rPr>
        <w:t xml:space="preserve">its </w:t>
      </w:r>
      <w:r w:rsidR="00E26A9A">
        <w:rPr>
          <w:rFonts w:asciiTheme="minorHAnsi" w:hAnsiTheme="minorHAnsi" w:cstheme="minorHAnsi"/>
          <w:sz w:val="24"/>
          <w:szCs w:val="24"/>
        </w:rPr>
        <w:t>respondents</w:t>
      </w:r>
      <w:r w:rsidRPr="00F46D82">
        <w:rPr>
          <w:rFonts w:asciiTheme="minorHAnsi" w:hAnsiTheme="minorHAnsi" w:cstheme="minorHAnsi"/>
          <w:sz w:val="24"/>
          <w:szCs w:val="24"/>
        </w:rPr>
        <w:t xml:space="preserve"> will spend about</w:t>
      </w:r>
      <w:r>
        <w:rPr>
          <w:rFonts w:asciiTheme="minorHAnsi" w:hAnsiTheme="minorHAnsi" w:cstheme="minorHAnsi"/>
          <w:sz w:val="24"/>
          <w:szCs w:val="24"/>
        </w:rPr>
        <w:t xml:space="preserve"> </w:t>
      </w:r>
      <w:r w:rsidRPr="00F46D82">
        <w:rPr>
          <w:rFonts w:asciiTheme="minorHAnsi" w:hAnsiTheme="minorHAnsi" w:cstheme="minorHAnsi"/>
          <w:sz w:val="24"/>
          <w:szCs w:val="24"/>
        </w:rPr>
        <w:t>2 hours in the study.</w:t>
      </w:r>
      <w:r>
        <w:rPr>
          <w:rFonts w:asciiTheme="minorHAnsi" w:hAnsiTheme="minorHAnsi" w:cstheme="minorHAnsi"/>
          <w:sz w:val="24"/>
          <w:szCs w:val="24"/>
        </w:rPr>
        <w:t xml:space="preserve"> A</w:t>
      </w:r>
      <w:r w:rsidRPr="00F46D82">
        <w:rPr>
          <w:rFonts w:asciiTheme="minorHAnsi" w:hAnsiTheme="minorHAnsi" w:cstheme="minorHAnsi"/>
          <w:sz w:val="24"/>
          <w:szCs w:val="24"/>
        </w:rPr>
        <w:t xml:space="preserve"> sample of 500 </w:t>
      </w:r>
      <w:r w:rsidR="00E26A9A">
        <w:rPr>
          <w:rFonts w:asciiTheme="minorHAnsi" w:hAnsiTheme="minorHAnsi" w:cstheme="minorHAnsi"/>
          <w:sz w:val="24"/>
          <w:szCs w:val="24"/>
        </w:rPr>
        <w:t>respondents</w:t>
      </w:r>
      <w:r w:rsidRPr="00F46D82">
        <w:rPr>
          <w:rFonts w:asciiTheme="minorHAnsi" w:hAnsiTheme="minorHAnsi" w:cstheme="minorHAnsi"/>
          <w:sz w:val="24"/>
          <w:szCs w:val="24"/>
        </w:rPr>
        <w:t xml:space="preserve"> from the original ACHS </w:t>
      </w:r>
      <w:r w:rsidR="00540C00">
        <w:rPr>
          <w:rFonts w:asciiTheme="minorHAnsi" w:hAnsiTheme="minorHAnsi" w:cstheme="minorHAnsi"/>
          <w:sz w:val="24"/>
          <w:szCs w:val="24"/>
        </w:rPr>
        <w:t>C</w:t>
      </w:r>
      <w:r w:rsidRPr="00F46D82">
        <w:rPr>
          <w:rFonts w:asciiTheme="minorHAnsi" w:hAnsiTheme="minorHAnsi" w:cstheme="minorHAnsi"/>
          <w:sz w:val="24"/>
          <w:szCs w:val="24"/>
        </w:rPr>
        <w:t>ohort</w:t>
      </w:r>
      <w:r w:rsidR="00B83936">
        <w:rPr>
          <w:rFonts w:asciiTheme="minorHAnsi" w:hAnsiTheme="minorHAnsi" w:cstheme="minorHAnsi"/>
          <w:sz w:val="24"/>
          <w:szCs w:val="24"/>
        </w:rPr>
        <w:t xml:space="preserve"> </w:t>
      </w:r>
      <w:proofErr w:type="gramStart"/>
      <w:r w:rsidR="00B83936">
        <w:rPr>
          <w:rFonts w:asciiTheme="minorHAnsi" w:hAnsiTheme="minorHAnsi" w:cstheme="minorHAnsi"/>
          <w:sz w:val="24"/>
          <w:szCs w:val="24"/>
        </w:rPr>
        <w:t>will be recruite</w:t>
      </w:r>
      <w:r w:rsidR="00AD62F7">
        <w:rPr>
          <w:rFonts w:asciiTheme="minorHAnsi" w:hAnsiTheme="minorHAnsi" w:cstheme="minorHAnsi"/>
          <w:sz w:val="24"/>
          <w:szCs w:val="24"/>
        </w:rPr>
        <w:t>d</w:t>
      </w:r>
      <w:proofErr w:type="gramEnd"/>
      <w:r w:rsidRPr="00F46D82">
        <w:rPr>
          <w:rFonts w:asciiTheme="minorHAnsi" w:hAnsiTheme="minorHAnsi" w:cstheme="minorHAnsi"/>
          <w:sz w:val="24"/>
          <w:szCs w:val="24"/>
        </w:rPr>
        <w:t xml:space="preserve">. </w:t>
      </w:r>
    </w:p>
    <w:p w:rsidR="00B9441C" w:rsidRPr="00F46D82" w:rsidRDefault="00B9441C" w:rsidP="002E799F">
      <w:pPr>
        <w:autoSpaceDE w:val="0"/>
        <w:autoSpaceDN w:val="0"/>
        <w:adjustRightInd w:val="0"/>
        <w:spacing w:after="0" w:line="240" w:lineRule="auto"/>
        <w:jc w:val="both"/>
        <w:rPr>
          <w:rFonts w:asciiTheme="minorHAnsi" w:hAnsiTheme="minorHAnsi" w:cstheme="minorHAnsi"/>
          <w:sz w:val="24"/>
          <w:szCs w:val="24"/>
        </w:rPr>
      </w:pPr>
    </w:p>
    <w:p w:rsidR="00E6652A" w:rsidRDefault="00DA291B" w:rsidP="002E799F">
      <w:pPr>
        <w:autoSpaceDE w:val="0"/>
        <w:autoSpaceDN w:val="0"/>
        <w:adjustRightInd w:val="0"/>
        <w:spacing w:after="0" w:line="240" w:lineRule="auto"/>
        <w:jc w:val="both"/>
        <w:rPr>
          <w:rFonts w:asciiTheme="minorHAnsi" w:hAnsiTheme="minorHAnsi" w:cstheme="minorHAnsi"/>
          <w:sz w:val="24"/>
          <w:szCs w:val="24"/>
        </w:rPr>
      </w:pPr>
      <w:proofErr w:type="gramStart"/>
      <w:r>
        <w:rPr>
          <w:rFonts w:asciiTheme="minorHAnsi" w:hAnsiTheme="minorHAnsi" w:cstheme="minorHAnsi"/>
          <w:sz w:val="24"/>
          <w:szCs w:val="24"/>
        </w:rPr>
        <w:t>There are 209 possible PCB congeners</w:t>
      </w:r>
      <w:r w:rsidR="00E56DAD">
        <w:rPr>
          <w:rFonts w:asciiTheme="minorHAnsi" w:hAnsiTheme="minorHAnsi" w:cstheme="minorHAnsi"/>
          <w:sz w:val="24"/>
          <w:szCs w:val="24"/>
        </w:rPr>
        <w:t xml:space="preserve"> </w:t>
      </w:r>
      <w:r>
        <w:rPr>
          <w:rFonts w:asciiTheme="minorHAnsi" w:hAnsiTheme="minorHAnsi" w:cstheme="minorHAnsi"/>
          <w:sz w:val="24"/>
          <w:szCs w:val="24"/>
        </w:rPr>
        <w:t>that</w:t>
      </w:r>
      <w:proofErr w:type="gramEnd"/>
      <w:r>
        <w:rPr>
          <w:rFonts w:asciiTheme="minorHAnsi" w:hAnsiTheme="minorHAnsi" w:cstheme="minorHAnsi"/>
          <w:sz w:val="24"/>
          <w:szCs w:val="24"/>
        </w:rPr>
        <w:t xml:space="preserve"> have different chemical</w:t>
      </w:r>
      <w:r w:rsidR="00F9293F">
        <w:rPr>
          <w:rFonts w:asciiTheme="minorHAnsi" w:hAnsiTheme="minorHAnsi" w:cstheme="minorHAnsi"/>
          <w:sz w:val="24"/>
          <w:szCs w:val="24"/>
        </w:rPr>
        <w:t xml:space="preserve"> and toxicological properties</w:t>
      </w:r>
      <w:r w:rsidR="00E56DAD">
        <w:rPr>
          <w:rFonts w:asciiTheme="minorHAnsi" w:hAnsiTheme="minorHAnsi" w:cstheme="minorHAnsi"/>
          <w:sz w:val="24"/>
          <w:szCs w:val="24"/>
        </w:rPr>
        <w:t xml:space="preserve">; based on their patterns of chlorination, PCB congeners may be classified as </w:t>
      </w:r>
      <w:r w:rsidR="00502565">
        <w:rPr>
          <w:rFonts w:asciiTheme="minorHAnsi" w:hAnsiTheme="minorHAnsi" w:cstheme="minorHAnsi"/>
          <w:sz w:val="24"/>
          <w:szCs w:val="24"/>
        </w:rPr>
        <w:t>non-</w:t>
      </w:r>
      <w:proofErr w:type="spellStart"/>
      <w:r w:rsidR="00502565" w:rsidRPr="00502565">
        <w:rPr>
          <w:rFonts w:asciiTheme="minorHAnsi" w:hAnsiTheme="minorHAnsi" w:cstheme="minorHAnsi"/>
          <w:i/>
          <w:sz w:val="24"/>
          <w:szCs w:val="24"/>
        </w:rPr>
        <w:t>ortho</w:t>
      </w:r>
      <w:proofErr w:type="spellEnd"/>
      <w:r w:rsidR="00E56DAD">
        <w:rPr>
          <w:rFonts w:asciiTheme="minorHAnsi" w:hAnsiTheme="minorHAnsi" w:cstheme="minorHAnsi"/>
          <w:sz w:val="24"/>
          <w:szCs w:val="24"/>
        </w:rPr>
        <w:t xml:space="preserve"> (also called coplanar) PCBs or </w:t>
      </w:r>
      <w:proofErr w:type="spellStart"/>
      <w:r w:rsidR="00502565" w:rsidRPr="00955810">
        <w:rPr>
          <w:rFonts w:asciiTheme="minorHAnsi" w:hAnsiTheme="minorHAnsi" w:cstheme="minorHAnsi"/>
          <w:i/>
          <w:sz w:val="24"/>
          <w:szCs w:val="24"/>
        </w:rPr>
        <w:t>ortho</w:t>
      </w:r>
      <w:proofErr w:type="spellEnd"/>
      <w:r w:rsidR="00502565">
        <w:rPr>
          <w:rFonts w:asciiTheme="minorHAnsi" w:hAnsiTheme="minorHAnsi" w:cstheme="minorHAnsi"/>
          <w:sz w:val="24"/>
          <w:szCs w:val="24"/>
        </w:rPr>
        <w:t>-substituted PCBs.</w:t>
      </w:r>
      <w:r w:rsidR="00F9293F">
        <w:rPr>
          <w:rFonts w:asciiTheme="minorHAnsi" w:hAnsiTheme="minorHAnsi" w:cstheme="minorHAnsi"/>
          <w:sz w:val="24"/>
          <w:szCs w:val="24"/>
        </w:rPr>
        <w:t xml:space="preserve"> </w:t>
      </w:r>
      <w:r>
        <w:rPr>
          <w:rFonts w:asciiTheme="minorHAnsi" w:hAnsiTheme="minorHAnsi" w:cstheme="minorHAnsi"/>
          <w:sz w:val="24"/>
          <w:szCs w:val="24"/>
        </w:rPr>
        <w:t xml:space="preserve">They </w:t>
      </w:r>
      <w:proofErr w:type="gramStart"/>
      <w:r>
        <w:rPr>
          <w:rFonts w:asciiTheme="minorHAnsi" w:hAnsiTheme="minorHAnsi" w:cstheme="minorHAnsi"/>
          <w:sz w:val="24"/>
          <w:szCs w:val="24"/>
        </w:rPr>
        <w:t>can also be</w:t>
      </w:r>
      <w:r w:rsidR="00502565">
        <w:rPr>
          <w:rFonts w:asciiTheme="minorHAnsi" w:hAnsiTheme="minorHAnsi" w:cstheme="minorHAnsi"/>
          <w:sz w:val="24"/>
          <w:szCs w:val="24"/>
        </w:rPr>
        <w:t xml:space="preserve"> broadly</w:t>
      </w:r>
      <w:r>
        <w:rPr>
          <w:rFonts w:asciiTheme="minorHAnsi" w:hAnsiTheme="minorHAnsi" w:cstheme="minorHAnsi"/>
          <w:sz w:val="24"/>
          <w:szCs w:val="24"/>
        </w:rPr>
        <w:t xml:space="preserve"> classified</w:t>
      </w:r>
      <w:proofErr w:type="gramEnd"/>
      <w:r>
        <w:rPr>
          <w:rFonts w:asciiTheme="minorHAnsi" w:hAnsiTheme="minorHAnsi" w:cstheme="minorHAnsi"/>
          <w:sz w:val="24"/>
          <w:szCs w:val="24"/>
        </w:rPr>
        <w:t xml:space="preserve"> base</w:t>
      </w:r>
      <w:r w:rsidR="00017641">
        <w:rPr>
          <w:rFonts w:asciiTheme="minorHAnsi" w:hAnsiTheme="minorHAnsi" w:cstheme="minorHAnsi"/>
          <w:sz w:val="24"/>
          <w:szCs w:val="24"/>
        </w:rPr>
        <w:t>d</w:t>
      </w:r>
      <w:r>
        <w:rPr>
          <w:rFonts w:asciiTheme="minorHAnsi" w:hAnsiTheme="minorHAnsi" w:cstheme="minorHAnsi"/>
          <w:sz w:val="24"/>
          <w:szCs w:val="24"/>
        </w:rPr>
        <w:t xml:space="preserve"> on their toxicological similarity with dioxins as dioxin-like </w:t>
      </w:r>
      <w:r w:rsidR="00430598">
        <w:rPr>
          <w:rFonts w:asciiTheme="minorHAnsi" w:hAnsiTheme="minorHAnsi" w:cstheme="minorHAnsi"/>
          <w:sz w:val="24"/>
          <w:szCs w:val="24"/>
        </w:rPr>
        <w:t>or non-</w:t>
      </w:r>
      <w:r>
        <w:rPr>
          <w:rFonts w:asciiTheme="minorHAnsi" w:hAnsiTheme="minorHAnsi" w:cstheme="minorHAnsi"/>
          <w:sz w:val="24"/>
          <w:szCs w:val="24"/>
        </w:rPr>
        <w:t>dioxin-like</w:t>
      </w:r>
      <w:r w:rsidR="00502565" w:rsidRPr="00502565">
        <w:rPr>
          <w:rFonts w:asciiTheme="minorHAnsi" w:hAnsiTheme="minorHAnsi" w:cstheme="minorHAnsi"/>
          <w:sz w:val="24"/>
          <w:szCs w:val="24"/>
        </w:rPr>
        <w:t xml:space="preserve"> </w:t>
      </w:r>
      <w:r w:rsidR="00502565">
        <w:rPr>
          <w:rFonts w:asciiTheme="minorHAnsi" w:hAnsiTheme="minorHAnsi" w:cstheme="minorHAnsi"/>
          <w:sz w:val="24"/>
          <w:szCs w:val="24"/>
        </w:rPr>
        <w:t>(Hansen, 1998)</w:t>
      </w:r>
      <w:r w:rsidR="00F9293F">
        <w:rPr>
          <w:rFonts w:asciiTheme="minorHAnsi" w:hAnsiTheme="minorHAnsi" w:cstheme="minorHAnsi"/>
          <w:sz w:val="24"/>
          <w:szCs w:val="24"/>
        </w:rPr>
        <w:t xml:space="preserve">. </w:t>
      </w:r>
      <w:r w:rsidR="009C51F6">
        <w:rPr>
          <w:rFonts w:asciiTheme="minorHAnsi" w:hAnsiTheme="minorHAnsi" w:cstheme="minorHAnsi"/>
          <w:sz w:val="24"/>
          <w:szCs w:val="24"/>
        </w:rPr>
        <w:t>O</w:t>
      </w:r>
      <w:r w:rsidR="00735037" w:rsidRPr="00735037">
        <w:rPr>
          <w:rFonts w:asciiTheme="minorHAnsi" w:hAnsiTheme="minorHAnsi" w:cstheme="minorHAnsi"/>
          <w:i/>
          <w:sz w:val="24"/>
          <w:szCs w:val="24"/>
        </w:rPr>
        <w:t>rtho</w:t>
      </w:r>
      <w:r w:rsidR="009C51F6">
        <w:rPr>
          <w:rFonts w:asciiTheme="minorHAnsi" w:hAnsiTheme="minorHAnsi" w:cstheme="minorHAnsi"/>
          <w:sz w:val="24"/>
          <w:szCs w:val="24"/>
        </w:rPr>
        <w:t>-</w:t>
      </w:r>
      <w:r w:rsidR="00430598">
        <w:rPr>
          <w:rFonts w:asciiTheme="minorHAnsi" w:hAnsiTheme="minorHAnsi" w:cstheme="minorHAnsi"/>
          <w:sz w:val="24"/>
          <w:szCs w:val="24"/>
        </w:rPr>
        <w:t>PCBs</w:t>
      </w:r>
      <w:r w:rsidR="009C51F6">
        <w:rPr>
          <w:rFonts w:asciiTheme="minorHAnsi" w:hAnsiTheme="minorHAnsi" w:cstheme="minorHAnsi"/>
          <w:sz w:val="24"/>
          <w:szCs w:val="24"/>
        </w:rPr>
        <w:t xml:space="preserve"> include both dioxin-like (mono-</w:t>
      </w:r>
      <w:proofErr w:type="spellStart"/>
      <w:r w:rsidR="009C51F6" w:rsidRPr="009C51F6">
        <w:rPr>
          <w:rFonts w:asciiTheme="minorHAnsi" w:hAnsiTheme="minorHAnsi" w:cstheme="minorHAnsi"/>
          <w:i/>
          <w:sz w:val="24"/>
          <w:szCs w:val="24"/>
        </w:rPr>
        <w:t>ortho</w:t>
      </w:r>
      <w:proofErr w:type="spellEnd"/>
      <w:r w:rsidR="009C51F6">
        <w:rPr>
          <w:rFonts w:asciiTheme="minorHAnsi" w:hAnsiTheme="minorHAnsi" w:cstheme="minorHAnsi"/>
          <w:sz w:val="24"/>
          <w:szCs w:val="24"/>
        </w:rPr>
        <w:t xml:space="preserve"> PCBs) and non-dioxin-like (all other </w:t>
      </w:r>
      <w:proofErr w:type="spellStart"/>
      <w:r w:rsidR="009C51F6" w:rsidRPr="009C51F6">
        <w:rPr>
          <w:rFonts w:asciiTheme="minorHAnsi" w:hAnsiTheme="minorHAnsi" w:cstheme="minorHAnsi"/>
          <w:i/>
          <w:sz w:val="24"/>
          <w:szCs w:val="24"/>
        </w:rPr>
        <w:t>ortho</w:t>
      </w:r>
      <w:proofErr w:type="spellEnd"/>
      <w:r w:rsidR="00056518">
        <w:rPr>
          <w:rFonts w:asciiTheme="minorHAnsi" w:hAnsiTheme="minorHAnsi" w:cstheme="minorHAnsi"/>
          <w:sz w:val="24"/>
          <w:szCs w:val="24"/>
        </w:rPr>
        <w:t>-PCBs)</w:t>
      </w:r>
      <w:r w:rsidR="009C51F6">
        <w:rPr>
          <w:rFonts w:asciiTheme="minorHAnsi" w:hAnsiTheme="minorHAnsi" w:cstheme="minorHAnsi"/>
          <w:sz w:val="24"/>
          <w:szCs w:val="24"/>
        </w:rPr>
        <w:t xml:space="preserve">. </w:t>
      </w:r>
      <w:r w:rsidR="009C51F6" w:rsidRPr="009C51F6">
        <w:rPr>
          <w:rFonts w:asciiTheme="minorHAnsi" w:hAnsiTheme="minorHAnsi" w:cstheme="minorHAnsi"/>
          <w:sz w:val="24"/>
          <w:szCs w:val="24"/>
        </w:rPr>
        <w:t>Non</w:t>
      </w:r>
      <w:r w:rsidR="009C51F6" w:rsidRPr="009C51F6">
        <w:rPr>
          <w:rFonts w:asciiTheme="minorHAnsi" w:hAnsiTheme="minorHAnsi" w:cstheme="minorHAnsi"/>
          <w:i/>
          <w:sz w:val="24"/>
          <w:szCs w:val="24"/>
        </w:rPr>
        <w:t>-</w:t>
      </w:r>
      <w:proofErr w:type="spellStart"/>
      <w:r w:rsidR="009C51F6" w:rsidRPr="009C51F6">
        <w:rPr>
          <w:rFonts w:asciiTheme="minorHAnsi" w:hAnsiTheme="minorHAnsi" w:cstheme="minorHAnsi"/>
          <w:i/>
          <w:sz w:val="24"/>
          <w:szCs w:val="24"/>
        </w:rPr>
        <w:t>ortho</w:t>
      </w:r>
      <w:proofErr w:type="spellEnd"/>
      <w:r w:rsidR="009C51F6">
        <w:rPr>
          <w:rFonts w:asciiTheme="minorHAnsi" w:hAnsiTheme="minorHAnsi" w:cstheme="minorHAnsi"/>
          <w:sz w:val="24"/>
          <w:szCs w:val="24"/>
        </w:rPr>
        <w:t xml:space="preserve"> coplanar PCB congeners (co-PCBs) are all dioxin-like.  </w:t>
      </w:r>
    </w:p>
    <w:p w:rsidR="00E6652A" w:rsidRDefault="00E6652A" w:rsidP="002E799F">
      <w:pPr>
        <w:autoSpaceDE w:val="0"/>
        <w:autoSpaceDN w:val="0"/>
        <w:adjustRightInd w:val="0"/>
        <w:spacing w:after="0" w:line="240" w:lineRule="auto"/>
        <w:jc w:val="both"/>
        <w:rPr>
          <w:rFonts w:asciiTheme="minorHAnsi" w:hAnsiTheme="minorHAnsi" w:cstheme="minorHAnsi"/>
          <w:sz w:val="24"/>
          <w:szCs w:val="24"/>
        </w:rPr>
      </w:pPr>
    </w:p>
    <w:p w:rsidR="00056518" w:rsidRDefault="0097751C" w:rsidP="00C32FF2">
      <w:pPr>
        <w:autoSpaceDE w:val="0"/>
        <w:autoSpaceDN w:val="0"/>
        <w:adjustRightInd w:val="0"/>
        <w:spacing w:after="0" w:line="240" w:lineRule="auto"/>
        <w:jc w:val="both"/>
        <w:rPr>
          <w:rFonts w:asciiTheme="minorHAnsi" w:hAnsiTheme="minorHAnsi" w:cstheme="minorHAnsi"/>
          <w:sz w:val="24"/>
          <w:szCs w:val="24"/>
        </w:rPr>
      </w:pPr>
      <w:r w:rsidRPr="00F46D82">
        <w:rPr>
          <w:rFonts w:asciiTheme="minorHAnsi" w:hAnsiTheme="minorHAnsi" w:cstheme="minorHAnsi"/>
          <w:sz w:val="24"/>
          <w:szCs w:val="24"/>
        </w:rPr>
        <w:lastRenderedPageBreak/>
        <w:t>The major goal of the ACHS-</w:t>
      </w:r>
      <w:r w:rsidR="00B9441C" w:rsidRPr="00F46D82">
        <w:rPr>
          <w:rFonts w:asciiTheme="minorHAnsi" w:hAnsiTheme="minorHAnsi" w:cstheme="minorHAnsi"/>
          <w:sz w:val="24"/>
          <w:szCs w:val="24"/>
        </w:rPr>
        <w:t>II is t</w:t>
      </w:r>
      <w:r w:rsidR="00721586">
        <w:rPr>
          <w:rFonts w:asciiTheme="minorHAnsi" w:hAnsiTheme="minorHAnsi" w:cstheme="minorHAnsi"/>
          <w:sz w:val="24"/>
          <w:szCs w:val="24"/>
        </w:rPr>
        <w:t>o obtain repeated measures, six to eight</w:t>
      </w:r>
      <w:r w:rsidR="00B9441C" w:rsidRPr="00F46D82">
        <w:rPr>
          <w:rFonts w:asciiTheme="minorHAnsi" w:hAnsiTheme="minorHAnsi" w:cstheme="minorHAnsi"/>
          <w:sz w:val="24"/>
          <w:szCs w:val="24"/>
        </w:rPr>
        <w:t xml:space="preserve"> years after baseline, identical to the original </w:t>
      </w:r>
      <w:r w:rsidR="00A57F2C">
        <w:rPr>
          <w:rFonts w:asciiTheme="minorHAnsi" w:hAnsiTheme="minorHAnsi" w:cstheme="minorHAnsi"/>
          <w:sz w:val="24"/>
          <w:szCs w:val="24"/>
        </w:rPr>
        <w:t xml:space="preserve">panel of </w:t>
      </w:r>
      <w:r w:rsidR="00B9441C" w:rsidRPr="00F46D82">
        <w:rPr>
          <w:rFonts w:asciiTheme="minorHAnsi" w:hAnsiTheme="minorHAnsi" w:cstheme="minorHAnsi"/>
          <w:sz w:val="24"/>
          <w:szCs w:val="24"/>
        </w:rPr>
        <w:t xml:space="preserve">ACHS </w:t>
      </w:r>
      <w:r w:rsidR="002A3EA4">
        <w:rPr>
          <w:rFonts w:asciiTheme="minorHAnsi" w:hAnsiTheme="minorHAnsi" w:cstheme="minorHAnsi"/>
          <w:sz w:val="24"/>
          <w:szCs w:val="24"/>
        </w:rPr>
        <w:t>35</w:t>
      </w:r>
      <w:r w:rsidR="00BD5D0E">
        <w:rPr>
          <w:rFonts w:asciiTheme="minorHAnsi" w:hAnsiTheme="minorHAnsi" w:cstheme="minorHAnsi"/>
          <w:sz w:val="24"/>
          <w:szCs w:val="24"/>
        </w:rPr>
        <w:t xml:space="preserve"> </w:t>
      </w:r>
      <w:proofErr w:type="spellStart"/>
      <w:r w:rsidR="00C32FF2">
        <w:rPr>
          <w:rFonts w:asciiTheme="minorHAnsi" w:hAnsiTheme="minorHAnsi" w:cstheme="minorHAnsi"/>
          <w:i/>
          <w:sz w:val="24"/>
          <w:szCs w:val="24"/>
        </w:rPr>
        <w:t>ortho</w:t>
      </w:r>
      <w:proofErr w:type="spellEnd"/>
      <w:r w:rsidR="00C32FF2">
        <w:rPr>
          <w:rFonts w:asciiTheme="minorHAnsi" w:hAnsiTheme="minorHAnsi" w:cstheme="minorHAnsi"/>
          <w:sz w:val="24"/>
          <w:szCs w:val="24"/>
        </w:rPr>
        <w:t>-</w:t>
      </w:r>
      <w:r w:rsidR="00A57F2C">
        <w:rPr>
          <w:rFonts w:asciiTheme="minorHAnsi" w:hAnsiTheme="minorHAnsi" w:cstheme="minorHAnsi"/>
          <w:sz w:val="24"/>
          <w:szCs w:val="24"/>
        </w:rPr>
        <w:t>PCB congeners</w:t>
      </w:r>
      <w:r w:rsidR="00E54A41">
        <w:rPr>
          <w:rFonts w:asciiTheme="minorHAnsi" w:hAnsiTheme="minorHAnsi" w:cstheme="minorHAnsi"/>
          <w:sz w:val="24"/>
          <w:szCs w:val="24"/>
        </w:rPr>
        <w:t xml:space="preserve">. </w:t>
      </w:r>
      <w:r w:rsidR="00721586">
        <w:rPr>
          <w:rFonts w:asciiTheme="minorHAnsi" w:hAnsiTheme="minorHAnsi" w:cstheme="minorHAnsi"/>
          <w:sz w:val="24"/>
          <w:szCs w:val="24"/>
        </w:rPr>
        <w:t>T</w:t>
      </w:r>
      <w:r w:rsidR="00056518">
        <w:rPr>
          <w:rFonts w:asciiTheme="minorHAnsi" w:hAnsiTheme="minorHAnsi" w:cstheme="minorHAnsi"/>
          <w:sz w:val="24"/>
          <w:szCs w:val="24"/>
        </w:rPr>
        <w:t xml:space="preserve">he </w:t>
      </w:r>
      <w:r w:rsidR="00E40FE0">
        <w:rPr>
          <w:rFonts w:asciiTheme="minorHAnsi" w:hAnsiTheme="minorHAnsi" w:cstheme="minorHAnsi"/>
          <w:sz w:val="24"/>
          <w:szCs w:val="24"/>
        </w:rPr>
        <w:t>original</w:t>
      </w:r>
      <w:r w:rsidR="00056518">
        <w:rPr>
          <w:rFonts w:asciiTheme="minorHAnsi" w:hAnsiTheme="minorHAnsi" w:cstheme="minorHAnsi"/>
          <w:sz w:val="24"/>
          <w:szCs w:val="24"/>
        </w:rPr>
        <w:t xml:space="preserve"> </w:t>
      </w:r>
      <w:r w:rsidR="006309DD">
        <w:rPr>
          <w:rFonts w:asciiTheme="minorHAnsi" w:hAnsiTheme="minorHAnsi" w:cstheme="minorHAnsi"/>
          <w:sz w:val="24"/>
          <w:szCs w:val="24"/>
        </w:rPr>
        <w:t>panel was</w:t>
      </w:r>
      <w:r w:rsidR="00017641">
        <w:rPr>
          <w:rFonts w:asciiTheme="minorHAnsi" w:hAnsiTheme="minorHAnsi" w:cstheme="minorHAnsi"/>
          <w:sz w:val="24"/>
          <w:szCs w:val="24"/>
        </w:rPr>
        <w:t xml:space="preserve"> selected </w:t>
      </w:r>
      <w:r w:rsidR="00D66B66" w:rsidRPr="00D66B66">
        <w:rPr>
          <w:rFonts w:asciiTheme="minorHAnsi" w:hAnsiTheme="minorHAnsi" w:cstheme="minorHAnsi"/>
          <w:sz w:val="24"/>
          <w:szCs w:val="24"/>
        </w:rPr>
        <w:t xml:space="preserve">because </w:t>
      </w:r>
      <w:r w:rsidR="006309DD">
        <w:rPr>
          <w:rFonts w:asciiTheme="minorHAnsi" w:hAnsiTheme="minorHAnsi" w:cstheme="minorHAnsi"/>
          <w:sz w:val="24"/>
          <w:szCs w:val="24"/>
        </w:rPr>
        <w:t>it</w:t>
      </w:r>
      <w:r w:rsidR="00D66B66" w:rsidRPr="00D66B66">
        <w:rPr>
          <w:rFonts w:asciiTheme="minorHAnsi" w:hAnsiTheme="minorHAnsi" w:cstheme="minorHAnsi"/>
          <w:sz w:val="24"/>
          <w:szCs w:val="24"/>
        </w:rPr>
        <w:t xml:space="preserve"> represent</w:t>
      </w:r>
      <w:r w:rsidR="006309DD">
        <w:rPr>
          <w:rFonts w:asciiTheme="minorHAnsi" w:hAnsiTheme="minorHAnsi" w:cstheme="minorHAnsi"/>
          <w:sz w:val="24"/>
          <w:szCs w:val="24"/>
        </w:rPr>
        <w:t>s</w:t>
      </w:r>
      <w:r w:rsidR="00D66B66" w:rsidRPr="00D66B66">
        <w:rPr>
          <w:rFonts w:asciiTheme="minorHAnsi" w:hAnsiTheme="minorHAnsi" w:cstheme="minorHAnsi"/>
          <w:sz w:val="24"/>
          <w:szCs w:val="24"/>
        </w:rPr>
        <w:t xml:space="preserve"> the majority of </w:t>
      </w:r>
      <w:proofErr w:type="gramStart"/>
      <w:r w:rsidR="00D66B66" w:rsidRPr="00D66B66">
        <w:rPr>
          <w:rFonts w:asciiTheme="minorHAnsi" w:hAnsiTheme="minorHAnsi" w:cstheme="minorHAnsi"/>
          <w:sz w:val="24"/>
          <w:szCs w:val="24"/>
        </w:rPr>
        <w:t>steady</w:t>
      </w:r>
      <w:r w:rsidR="0084203A">
        <w:rPr>
          <w:rFonts w:asciiTheme="minorHAnsi" w:hAnsiTheme="minorHAnsi" w:cstheme="minorHAnsi"/>
          <w:sz w:val="24"/>
          <w:szCs w:val="24"/>
        </w:rPr>
        <w:t>-</w:t>
      </w:r>
      <w:r w:rsidR="00D66B66" w:rsidRPr="00D66B66">
        <w:rPr>
          <w:rFonts w:asciiTheme="minorHAnsi" w:hAnsiTheme="minorHAnsi" w:cstheme="minorHAnsi"/>
          <w:sz w:val="24"/>
          <w:szCs w:val="24"/>
        </w:rPr>
        <w:t>state</w:t>
      </w:r>
      <w:proofErr w:type="gramEnd"/>
      <w:r w:rsidR="00D66B66" w:rsidRPr="00D66B66">
        <w:rPr>
          <w:rFonts w:asciiTheme="minorHAnsi" w:hAnsiTheme="minorHAnsi" w:cstheme="minorHAnsi"/>
          <w:sz w:val="24"/>
          <w:szCs w:val="24"/>
        </w:rPr>
        <w:t xml:space="preserve"> and episodic PCB congeners that are found in humans (Hansen, 2001)</w:t>
      </w:r>
      <w:r w:rsidR="009C51F6">
        <w:rPr>
          <w:rFonts w:asciiTheme="minorHAnsi" w:hAnsiTheme="minorHAnsi" w:cstheme="minorHAnsi"/>
          <w:sz w:val="24"/>
          <w:szCs w:val="24"/>
        </w:rPr>
        <w:t xml:space="preserve"> and did not include non-</w:t>
      </w:r>
      <w:proofErr w:type="spellStart"/>
      <w:r w:rsidR="009C51F6">
        <w:rPr>
          <w:rFonts w:asciiTheme="minorHAnsi" w:hAnsiTheme="minorHAnsi" w:cstheme="minorHAnsi"/>
          <w:i/>
          <w:sz w:val="24"/>
          <w:szCs w:val="24"/>
        </w:rPr>
        <w:t>ortho</w:t>
      </w:r>
      <w:proofErr w:type="spellEnd"/>
      <w:r w:rsidR="009C51F6">
        <w:rPr>
          <w:rFonts w:asciiTheme="minorHAnsi" w:hAnsiTheme="minorHAnsi" w:cstheme="minorHAnsi"/>
          <w:sz w:val="24"/>
          <w:szCs w:val="24"/>
        </w:rPr>
        <w:t xml:space="preserve"> co-PCBs.</w:t>
      </w:r>
    </w:p>
    <w:p w:rsidR="00056518" w:rsidRDefault="00056518" w:rsidP="002E799F">
      <w:pPr>
        <w:autoSpaceDE w:val="0"/>
        <w:autoSpaceDN w:val="0"/>
        <w:adjustRightInd w:val="0"/>
        <w:spacing w:after="0" w:line="240" w:lineRule="auto"/>
        <w:jc w:val="both"/>
        <w:rPr>
          <w:rFonts w:asciiTheme="minorHAnsi" w:hAnsiTheme="minorHAnsi" w:cstheme="minorHAnsi"/>
          <w:sz w:val="24"/>
          <w:szCs w:val="24"/>
        </w:rPr>
      </w:pPr>
    </w:p>
    <w:p w:rsidR="0041409B" w:rsidRDefault="00BA24EB" w:rsidP="002E799F">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Th</w:t>
      </w:r>
      <w:r w:rsidR="00C06519">
        <w:rPr>
          <w:rFonts w:asciiTheme="minorHAnsi" w:hAnsiTheme="minorHAnsi" w:cstheme="minorHAnsi"/>
          <w:sz w:val="24"/>
          <w:szCs w:val="24"/>
        </w:rPr>
        <w:t xml:space="preserve">is </w:t>
      </w:r>
      <w:r w:rsidR="00287BA2">
        <w:rPr>
          <w:rFonts w:asciiTheme="minorHAnsi" w:hAnsiTheme="minorHAnsi" w:cstheme="minorHAnsi"/>
          <w:sz w:val="24"/>
          <w:szCs w:val="24"/>
        </w:rPr>
        <w:t xml:space="preserve">new </w:t>
      </w:r>
      <w:r w:rsidR="00C06519">
        <w:rPr>
          <w:rFonts w:asciiTheme="minorHAnsi" w:hAnsiTheme="minorHAnsi" w:cstheme="minorHAnsi"/>
          <w:sz w:val="24"/>
          <w:szCs w:val="24"/>
        </w:rPr>
        <w:t>research aims</w:t>
      </w:r>
      <w:r w:rsidR="00A357A5">
        <w:rPr>
          <w:rFonts w:asciiTheme="minorHAnsi" w:hAnsiTheme="minorHAnsi" w:cstheme="minorHAnsi"/>
          <w:sz w:val="24"/>
          <w:szCs w:val="24"/>
        </w:rPr>
        <w:t xml:space="preserve"> </w:t>
      </w:r>
      <w:proofErr w:type="gramStart"/>
      <w:r w:rsidR="00A357A5">
        <w:rPr>
          <w:rFonts w:asciiTheme="minorHAnsi" w:hAnsiTheme="minorHAnsi" w:cstheme="minorHAnsi"/>
          <w:sz w:val="24"/>
          <w:szCs w:val="24"/>
        </w:rPr>
        <w:t>to</w:t>
      </w:r>
      <w:r w:rsidR="00C06519">
        <w:rPr>
          <w:rFonts w:asciiTheme="minorHAnsi" w:hAnsiTheme="minorHAnsi" w:cstheme="minorHAnsi"/>
          <w:sz w:val="24"/>
          <w:szCs w:val="24"/>
        </w:rPr>
        <w:t xml:space="preserve"> more fully assess</w:t>
      </w:r>
      <w:proofErr w:type="gramEnd"/>
      <w:r w:rsidR="00C06519">
        <w:rPr>
          <w:rFonts w:asciiTheme="minorHAnsi" w:hAnsiTheme="minorHAnsi" w:cstheme="minorHAnsi"/>
          <w:sz w:val="24"/>
          <w:szCs w:val="24"/>
        </w:rPr>
        <w:t xml:space="preserve"> </w:t>
      </w:r>
      <w:r w:rsidR="0079561A">
        <w:rPr>
          <w:rFonts w:asciiTheme="minorHAnsi" w:hAnsiTheme="minorHAnsi" w:cstheme="minorHAnsi"/>
          <w:sz w:val="24"/>
          <w:szCs w:val="24"/>
        </w:rPr>
        <w:t xml:space="preserve">exposures to </w:t>
      </w:r>
      <w:r w:rsidR="002D2012">
        <w:rPr>
          <w:rFonts w:asciiTheme="minorHAnsi" w:hAnsiTheme="minorHAnsi" w:cstheme="minorHAnsi"/>
          <w:sz w:val="24"/>
          <w:szCs w:val="24"/>
        </w:rPr>
        <w:t xml:space="preserve">both </w:t>
      </w:r>
      <w:r w:rsidR="003F2F80">
        <w:rPr>
          <w:rFonts w:asciiTheme="minorHAnsi" w:hAnsiTheme="minorHAnsi" w:cstheme="minorHAnsi"/>
          <w:sz w:val="24"/>
          <w:szCs w:val="24"/>
        </w:rPr>
        <w:t>dioxin-like and non-dioxin</w:t>
      </w:r>
      <w:r w:rsidR="003C4FB6">
        <w:rPr>
          <w:rFonts w:asciiTheme="minorHAnsi" w:hAnsiTheme="minorHAnsi" w:cstheme="minorHAnsi"/>
          <w:sz w:val="24"/>
          <w:szCs w:val="24"/>
        </w:rPr>
        <w:t>-</w:t>
      </w:r>
      <w:r w:rsidR="003F2F80">
        <w:rPr>
          <w:rFonts w:asciiTheme="minorHAnsi" w:hAnsiTheme="minorHAnsi" w:cstheme="minorHAnsi"/>
          <w:sz w:val="24"/>
          <w:szCs w:val="24"/>
        </w:rPr>
        <w:t>like</w:t>
      </w:r>
      <w:r w:rsidR="00D66B66">
        <w:rPr>
          <w:rFonts w:asciiTheme="minorHAnsi" w:hAnsiTheme="minorHAnsi" w:cstheme="minorHAnsi"/>
          <w:sz w:val="24"/>
          <w:szCs w:val="24"/>
        </w:rPr>
        <w:t xml:space="preserve"> </w:t>
      </w:r>
      <w:r w:rsidR="002D2012">
        <w:rPr>
          <w:rFonts w:asciiTheme="minorHAnsi" w:hAnsiTheme="minorHAnsi" w:cstheme="minorHAnsi"/>
          <w:sz w:val="24"/>
          <w:szCs w:val="24"/>
        </w:rPr>
        <w:t>PCB</w:t>
      </w:r>
      <w:r w:rsidR="00D647DA">
        <w:rPr>
          <w:rFonts w:asciiTheme="minorHAnsi" w:hAnsiTheme="minorHAnsi" w:cstheme="minorHAnsi"/>
          <w:sz w:val="24"/>
          <w:szCs w:val="24"/>
        </w:rPr>
        <w:t>s</w:t>
      </w:r>
      <w:r w:rsidR="00FC356F">
        <w:rPr>
          <w:rFonts w:asciiTheme="minorHAnsi" w:hAnsiTheme="minorHAnsi" w:cstheme="minorHAnsi"/>
          <w:sz w:val="24"/>
          <w:szCs w:val="24"/>
        </w:rPr>
        <w:t xml:space="preserve"> </w:t>
      </w:r>
      <w:r w:rsidR="002D2012">
        <w:rPr>
          <w:rFonts w:asciiTheme="minorHAnsi" w:hAnsiTheme="minorHAnsi" w:cstheme="minorHAnsi"/>
          <w:sz w:val="24"/>
          <w:szCs w:val="24"/>
        </w:rPr>
        <w:t xml:space="preserve">and to </w:t>
      </w:r>
      <w:r w:rsidR="00B9441C" w:rsidRPr="00F46D82">
        <w:rPr>
          <w:rFonts w:asciiTheme="minorHAnsi" w:hAnsiTheme="minorHAnsi" w:cstheme="minorHAnsi"/>
          <w:sz w:val="24"/>
          <w:szCs w:val="24"/>
        </w:rPr>
        <w:t>complement th</w:t>
      </w:r>
      <w:r w:rsidR="00A357A5">
        <w:rPr>
          <w:rFonts w:asciiTheme="minorHAnsi" w:hAnsiTheme="minorHAnsi" w:cstheme="minorHAnsi"/>
          <w:sz w:val="24"/>
          <w:szCs w:val="24"/>
        </w:rPr>
        <w:t>em</w:t>
      </w:r>
      <w:r w:rsidR="00B9441C" w:rsidRPr="00F46D82">
        <w:rPr>
          <w:rFonts w:asciiTheme="minorHAnsi" w:hAnsiTheme="minorHAnsi" w:cstheme="minorHAnsi"/>
          <w:sz w:val="24"/>
          <w:szCs w:val="24"/>
        </w:rPr>
        <w:t xml:space="preserve"> with the measurements of </w:t>
      </w:r>
      <w:r w:rsidR="00B472C5" w:rsidRPr="00F46D82">
        <w:rPr>
          <w:rFonts w:asciiTheme="minorHAnsi" w:hAnsiTheme="minorHAnsi" w:cstheme="minorHAnsi"/>
          <w:sz w:val="24"/>
          <w:szCs w:val="24"/>
        </w:rPr>
        <w:t>dioxins</w:t>
      </w:r>
      <w:r w:rsidR="00DD6BEF">
        <w:rPr>
          <w:rFonts w:asciiTheme="minorHAnsi" w:hAnsiTheme="minorHAnsi" w:cstheme="minorHAnsi"/>
          <w:sz w:val="24"/>
          <w:szCs w:val="24"/>
        </w:rPr>
        <w:t xml:space="preserve">, </w:t>
      </w:r>
      <w:r w:rsidR="00B472C5" w:rsidRPr="00F46D82">
        <w:rPr>
          <w:rFonts w:asciiTheme="minorHAnsi" w:hAnsiTheme="minorHAnsi" w:cstheme="minorHAnsi"/>
          <w:sz w:val="24"/>
          <w:szCs w:val="24"/>
        </w:rPr>
        <w:t>furans</w:t>
      </w:r>
      <w:r w:rsidR="00DD6BEF">
        <w:rPr>
          <w:rFonts w:asciiTheme="minorHAnsi" w:hAnsiTheme="minorHAnsi" w:cstheme="minorHAnsi"/>
          <w:sz w:val="24"/>
          <w:szCs w:val="24"/>
        </w:rPr>
        <w:t>, and related chemical compounds</w:t>
      </w:r>
      <w:r w:rsidR="00F9293F">
        <w:rPr>
          <w:rFonts w:asciiTheme="minorHAnsi" w:hAnsiTheme="minorHAnsi" w:cstheme="minorHAnsi"/>
          <w:sz w:val="24"/>
          <w:szCs w:val="24"/>
        </w:rPr>
        <w:t xml:space="preserve">. </w:t>
      </w:r>
      <w:r w:rsidR="00565FAA">
        <w:rPr>
          <w:rFonts w:asciiTheme="minorHAnsi" w:hAnsiTheme="minorHAnsi" w:cstheme="minorHAnsi"/>
          <w:sz w:val="24"/>
          <w:szCs w:val="24"/>
        </w:rPr>
        <w:t xml:space="preserve">This </w:t>
      </w:r>
      <w:r w:rsidR="00890974">
        <w:rPr>
          <w:rFonts w:asciiTheme="minorHAnsi" w:hAnsiTheme="minorHAnsi" w:cstheme="minorHAnsi"/>
          <w:sz w:val="24"/>
          <w:szCs w:val="24"/>
        </w:rPr>
        <w:t>addition</w:t>
      </w:r>
      <w:r w:rsidR="00565FAA">
        <w:rPr>
          <w:rFonts w:asciiTheme="minorHAnsi" w:hAnsiTheme="minorHAnsi" w:cstheme="minorHAnsi"/>
          <w:sz w:val="24"/>
          <w:szCs w:val="24"/>
        </w:rPr>
        <w:t xml:space="preserve"> of </w:t>
      </w:r>
      <w:r w:rsidR="00890974">
        <w:rPr>
          <w:rFonts w:asciiTheme="minorHAnsi" w:hAnsiTheme="minorHAnsi" w:cstheme="minorHAnsi"/>
          <w:sz w:val="24"/>
          <w:szCs w:val="24"/>
        </w:rPr>
        <w:t xml:space="preserve">dioxins and dioxin-like </w:t>
      </w:r>
      <w:proofErr w:type="spellStart"/>
      <w:r w:rsidR="00565FAA">
        <w:rPr>
          <w:rFonts w:asciiTheme="minorHAnsi" w:hAnsiTheme="minorHAnsi" w:cstheme="minorHAnsi"/>
          <w:sz w:val="24"/>
          <w:szCs w:val="24"/>
        </w:rPr>
        <w:t>ana</w:t>
      </w:r>
      <w:r w:rsidR="0054350A">
        <w:rPr>
          <w:rFonts w:asciiTheme="minorHAnsi" w:hAnsiTheme="minorHAnsi" w:cstheme="minorHAnsi"/>
          <w:sz w:val="24"/>
          <w:szCs w:val="24"/>
        </w:rPr>
        <w:t>lytes</w:t>
      </w:r>
      <w:proofErr w:type="spellEnd"/>
      <w:r w:rsidR="0054350A">
        <w:rPr>
          <w:rFonts w:asciiTheme="minorHAnsi" w:hAnsiTheme="minorHAnsi" w:cstheme="minorHAnsi"/>
          <w:sz w:val="24"/>
          <w:szCs w:val="24"/>
        </w:rPr>
        <w:t xml:space="preserve"> </w:t>
      </w:r>
      <w:proofErr w:type="gramStart"/>
      <w:r w:rsidR="0054350A">
        <w:rPr>
          <w:rFonts w:asciiTheme="minorHAnsi" w:hAnsiTheme="minorHAnsi" w:cstheme="minorHAnsi"/>
          <w:sz w:val="24"/>
          <w:szCs w:val="24"/>
        </w:rPr>
        <w:t>is supported</w:t>
      </w:r>
      <w:proofErr w:type="gramEnd"/>
      <w:r w:rsidR="0054350A">
        <w:rPr>
          <w:rFonts w:asciiTheme="minorHAnsi" w:hAnsiTheme="minorHAnsi" w:cstheme="minorHAnsi"/>
          <w:sz w:val="24"/>
          <w:szCs w:val="24"/>
        </w:rPr>
        <w:t xml:space="preserve"> by evidence from</w:t>
      </w:r>
      <w:r w:rsidR="008C54E7" w:rsidRPr="00F46D82">
        <w:rPr>
          <w:rFonts w:asciiTheme="minorHAnsi" w:hAnsiTheme="minorHAnsi" w:cstheme="minorHAnsi"/>
          <w:sz w:val="24"/>
          <w:szCs w:val="24"/>
        </w:rPr>
        <w:t xml:space="preserve"> a </w:t>
      </w:r>
      <w:r w:rsidR="00384E38">
        <w:rPr>
          <w:rFonts w:asciiTheme="minorHAnsi" w:hAnsiTheme="minorHAnsi" w:cstheme="minorHAnsi"/>
          <w:sz w:val="24"/>
          <w:szCs w:val="24"/>
        </w:rPr>
        <w:t xml:space="preserve">nested </w:t>
      </w:r>
      <w:r w:rsidR="008C54E7" w:rsidRPr="00F46D82">
        <w:rPr>
          <w:rFonts w:asciiTheme="minorHAnsi" w:hAnsiTheme="minorHAnsi" w:cstheme="minorHAnsi"/>
          <w:sz w:val="24"/>
          <w:szCs w:val="24"/>
        </w:rPr>
        <w:t>pilot study</w:t>
      </w:r>
      <w:r w:rsidR="00384E38">
        <w:rPr>
          <w:rFonts w:asciiTheme="minorHAnsi" w:hAnsiTheme="minorHAnsi" w:cstheme="minorHAnsi"/>
          <w:sz w:val="24"/>
          <w:szCs w:val="24"/>
        </w:rPr>
        <w:t xml:space="preserve"> in the ACHS</w:t>
      </w:r>
      <w:r w:rsidR="008C54E7" w:rsidRPr="00F46D82">
        <w:rPr>
          <w:rFonts w:asciiTheme="minorHAnsi" w:hAnsiTheme="minorHAnsi" w:cstheme="minorHAnsi"/>
          <w:sz w:val="24"/>
          <w:szCs w:val="24"/>
        </w:rPr>
        <w:t xml:space="preserve">, </w:t>
      </w:r>
      <w:r w:rsidR="00565FAA">
        <w:rPr>
          <w:rFonts w:asciiTheme="minorHAnsi" w:hAnsiTheme="minorHAnsi" w:cstheme="minorHAnsi"/>
          <w:sz w:val="24"/>
          <w:szCs w:val="24"/>
        </w:rPr>
        <w:t xml:space="preserve">where </w:t>
      </w:r>
      <w:r w:rsidR="008C54E7" w:rsidRPr="00F46D82">
        <w:rPr>
          <w:rFonts w:asciiTheme="minorHAnsi" w:hAnsiTheme="minorHAnsi" w:cstheme="minorHAnsi"/>
          <w:sz w:val="24"/>
          <w:szCs w:val="24"/>
        </w:rPr>
        <w:t xml:space="preserve">high levels of </w:t>
      </w:r>
      <w:r w:rsidR="00B472C5" w:rsidRPr="00F46D82">
        <w:rPr>
          <w:rFonts w:asciiTheme="minorHAnsi" w:hAnsiTheme="minorHAnsi" w:cstheme="minorHAnsi"/>
          <w:sz w:val="24"/>
          <w:szCs w:val="24"/>
        </w:rPr>
        <w:t>c</w:t>
      </w:r>
      <w:r w:rsidR="00B9441C" w:rsidRPr="00F46D82">
        <w:rPr>
          <w:rFonts w:asciiTheme="minorHAnsi" w:hAnsiTheme="minorHAnsi" w:cstheme="minorHAnsi"/>
          <w:sz w:val="24"/>
          <w:szCs w:val="24"/>
        </w:rPr>
        <w:t>o</w:t>
      </w:r>
      <w:r w:rsidR="00287BA2">
        <w:rPr>
          <w:rFonts w:asciiTheme="minorHAnsi" w:hAnsiTheme="minorHAnsi" w:cstheme="minorHAnsi"/>
          <w:sz w:val="24"/>
          <w:szCs w:val="24"/>
        </w:rPr>
        <w:t>-</w:t>
      </w:r>
      <w:r w:rsidR="00B9441C" w:rsidRPr="00F46D82">
        <w:rPr>
          <w:rFonts w:asciiTheme="minorHAnsi" w:hAnsiTheme="minorHAnsi" w:cstheme="minorHAnsi"/>
          <w:sz w:val="24"/>
          <w:szCs w:val="24"/>
        </w:rPr>
        <w:t>PC</w:t>
      </w:r>
      <w:r w:rsidR="008C54E7" w:rsidRPr="00F46D82">
        <w:rPr>
          <w:rFonts w:asciiTheme="minorHAnsi" w:hAnsiTheme="minorHAnsi" w:cstheme="minorHAnsi"/>
          <w:sz w:val="24"/>
          <w:szCs w:val="24"/>
        </w:rPr>
        <w:t>Bs were found among</w:t>
      </w:r>
      <w:r w:rsidR="001D5DE8" w:rsidRPr="00F46D82">
        <w:rPr>
          <w:rFonts w:asciiTheme="minorHAnsi" w:hAnsiTheme="minorHAnsi" w:cstheme="minorHAnsi"/>
          <w:sz w:val="24"/>
          <w:szCs w:val="24"/>
        </w:rPr>
        <w:t xml:space="preserve"> </w:t>
      </w:r>
      <w:r w:rsidR="00935243">
        <w:rPr>
          <w:rFonts w:asciiTheme="minorHAnsi" w:hAnsiTheme="minorHAnsi" w:cstheme="minorHAnsi"/>
          <w:sz w:val="24"/>
          <w:szCs w:val="24"/>
        </w:rPr>
        <w:t xml:space="preserve">a subset of </w:t>
      </w:r>
      <w:r w:rsidR="001D5DE8" w:rsidRPr="00F46D82">
        <w:rPr>
          <w:rFonts w:asciiTheme="minorHAnsi" w:hAnsiTheme="minorHAnsi" w:cstheme="minorHAnsi"/>
          <w:sz w:val="24"/>
          <w:szCs w:val="24"/>
        </w:rPr>
        <w:t xml:space="preserve">65 </w:t>
      </w:r>
      <w:r w:rsidR="00813AEF">
        <w:rPr>
          <w:rFonts w:asciiTheme="minorHAnsi" w:hAnsiTheme="minorHAnsi" w:cstheme="minorHAnsi"/>
          <w:sz w:val="24"/>
          <w:szCs w:val="24"/>
        </w:rPr>
        <w:t>C</w:t>
      </w:r>
      <w:r w:rsidR="00E26A9A">
        <w:rPr>
          <w:rFonts w:asciiTheme="minorHAnsi" w:hAnsiTheme="minorHAnsi" w:cstheme="minorHAnsi"/>
          <w:sz w:val="24"/>
          <w:szCs w:val="24"/>
        </w:rPr>
        <w:t>ohort members</w:t>
      </w:r>
      <w:r w:rsidR="005D07CA">
        <w:rPr>
          <w:rFonts w:asciiTheme="minorHAnsi" w:hAnsiTheme="minorHAnsi" w:cstheme="minorHAnsi"/>
          <w:sz w:val="24"/>
          <w:szCs w:val="24"/>
        </w:rPr>
        <w:t xml:space="preserve"> (Pavuk et al., 2009b)</w:t>
      </w:r>
      <w:r w:rsidR="001D5DE8" w:rsidRPr="00F46D82">
        <w:rPr>
          <w:rFonts w:asciiTheme="minorHAnsi" w:hAnsiTheme="minorHAnsi" w:cstheme="minorHAnsi"/>
          <w:sz w:val="24"/>
          <w:szCs w:val="24"/>
        </w:rPr>
        <w:t>.</w:t>
      </w:r>
    </w:p>
    <w:p w:rsidR="0041409B" w:rsidRPr="00F46D82" w:rsidRDefault="0041409B" w:rsidP="002E799F">
      <w:pPr>
        <w:autoSpaceDE w:val="0"/>
        <w:autoSpaceDN w:val="0"/>
        <w:adjustRightInd w:val="0"/>
        <w:spacing w:after="0" w:line="240" w:lineRule="auto"/>
        <w:jc w:val="both"/>
        <w:rPr>
          <w:rFonts w:asciiTheme="minorHAnsi" w:hAnsiTheme="minorHAnsi" w:cstheme="minorHAnsi"/>
          <w:sz w:val="24"/>
          <w:szCs w:val="24"/>
        </w:rPr>
      </w:pPr>
    </w:p>
    <w:p w:rsidR="002E799F" w:rsidRPr="00F46D82" w:rsidRDefault="002E799F" w:rsidP="002E799F">
      <w:pPr>
        <w:autoSpaceDE w:val="0"/>
        <w:autoSpaceDN w:val="0"/>
        <w:adjustRightInd w:val="0"/>
        <w:spacing w:after="0" w:line="240" w:lineRule="auto"/>
        <w:jc w:val="both"/>
        <w:rPr>
          <w:rFonts w:asciiTheme="minorHAnsi" w:hAnsiTheme="minorHAnsi" w:cstheme="minorHAnsi"/>
          <w:sz w:val="24"/>
          <w:szCs w:val="24"/>
        </w:rPr>
      </w:pPr>
      <w:r w:rsidRPr="00F46D82">
        <w:rPr>
          <w:rFonts w:asciiTheme="minorHAnsi" w:hAnsiTheme="minorHAnsi" w:cstheme="minorHAnsi"/>
          <w:sz w:val="24"/>
          <w:szCs w:val="24"/>
        </w:rPr>
        <w:t xml:space="preserve">Additional exposure biomarkers, not previously assessed, will include heavy </w:t>
      </w:r>
      <w:r w:rsidR="00F26B67">
        <w:rPr>
          <w:rFonts w:asciiTheme="minorHAnsi" w:hAnsiTheme="minorHAnsi" w:cstheme="minorHAnsi"/>
          <w:sz w:val="24"/>
          <w:szCs w:val="24"/>
        </w:rPr>
        <w:t xml:space="preserve">and trace </w:t>
      </w:r>
      <w:r w:rsidRPr="00F46D82">
        <w:rPr>
          <w:rFonts w:asciiTheme="minorHAnsi" w:hAnsiTheme="minorHAnsi" w:cstheme="minorHAnsi"/>
          <w:sz w:val="24"/>
          <w:szCs w:val="24"/>
        </w:rPr>
        <w:t>metals, specifically lead, mercury, chromium, manganese</w:t>
      </w:r>
      <w:r w:rsidR="00F26B67">
        <w:rPr>
          <w:rFonts w:asciiTheme="minorHAnsi" w:hAnsiTheme="minorHAnsi" w:cstheme="minorHAnsi"/>
          <w:sz w:val="24"/>
          <w:szCs w:val="24"/>
        </w:rPr>
        <w:t>, and selenium</w:t>
      </w:r>
      <w:r w:rsidR="005D07CA">
        <w:rPr>
          <w:rFonts w:asciiTheme="minorHAnsi" w:hAnsiTheme="minorHAnsi" w:cstheme="minorHAnsi"/>
          <w:sz w:val="24"/>
          <w:szCs w:val="24"/>
        </w:rPr>
        <w:t xml:space="preserve"> (</w:t>
      </w:r>
      <w:proofErr w:type="spellStart"/>
      <w:r w:rsidR="005D07CA">
        <w:rPr>
          <w:rFonts w:asciiTheme="minorHAnsi" w:hAnsiTheme="minorHAnsi" w:cstheme="minorHAnsi"/>
          <w:sz w:val="24"/>
          <w:szCs w:val="24"/>
        </w:rPr>
        <w:t>Alissa</w:t>
      </w:r>
      <w:proofErr w:type="spellEnd"/>
      <w:r w:rsidR="005D07CA">
        <w:rPr>
          <w:rFonts w:asciiTheme="minorHAnsi" w:hAnsiTheme="minorHAnsi" w:cstheme="minorHAnsi"/>
          <w:sz w:val="24"/>
          <w:szCs w:val="24"/>
        </w:rPr>
        <w:t xml:space="preserve"> et al., 2011; Hectors et al., 2011)</w:t>
      </w:r>
      <w:r w:rsidRPr="00F46D82">
        <w:rPr>
          <w:rFonts w:asciiTheme="minorHAnsi" w:hAnsiTheme="minorHAnsi" w:cstheme="minorHAnsi"/>
          <w:sz w:val="24"/>
          <w:szCs w:val="24"/>
        </w:rPr>
        <w:t xml:space="preserve">. Since 1917, this community has been the site of extensive lead pipe production, long-term presence of </w:t>
      </w:r>
      <w:proofErr w:type="spellStart"/>
      <w:r w:rsidRPr="00F46D82">
        <w:rPr>
          <w:rFonts w:asciiTheme="minorHAnsi" w:hAnsiTheme="minorHAnsi" w:cstheme="minorHAnsi"/>
          <w:sz w:val="24"/>
          <w:szCs w:val="24"/>
        </w:rPr>
        <w:t>ferro</w:t>
      </w:r>
      <w:proofErr w:type="spellEnd"/>
      <w:r w:rsidRPr="00F46D82">
        <w:rPr>
          <w:rFonts w:asciiTheme="minorHAnsi" w:hAnsiTheme="minorHAnsi" w:cstheme="minorHAnsi"/>
          <w:sz w:val="24"/>
          <w:szCs w:val="24"/>
        </w:rPr>
        <w:t>-manganese smelters, as well as mercury use and</w:t>
      </w:r>
      <w:r w:rsidR="00F9293F">
        <w:rPr>
          <w:rFonts w:asciiTheme="minorHAnsi" w:hAnsiTheme="minorHAnsi" w:cstheme="minorHAnsi"/>
          <w:sz w:val="24"/>
          <w:szCs w:val="24"/>
        </w:rPr>
        <w:t xml:space="preserve"> releases from PCB production</w:t>
      </w:r>
      <w:r w:rsidR="005D07CA">
        <w:rPr>
          <w:rFonts w:asciiTheme="minorHAnsi" w:hAnsiTheme="minorHAnsi" w:cstheme="minorHAnsi"/>
          <w:sz w:val="24"/>
          <w:szCs w:val="24"/>
        </w:rPr>
        <w:t xml:space="preserve"> (Love, 2007)</w:t>
      </w:r>
      <w:r w:rsidR="00F9293F">
        <w:rPr>
          <w:rFonts w:asciiTheme="minorHAnsi" w:hAnsiTheme="minorHAnsi" w:cstheme="minorHAnsi"/>
          <w:sz w:val="24"/>
          <w:szCs w:val="24"/>
        </w:rPr>
        <w:t xml:space="preserve">. </w:t>
      </w:r>
      <w:r w:rsidRPr="00F46D82">
        <w:rPr>
          <w:rFonts w:asciiTheme="minorHAnsi" w:hAnsiTheme="minorHAnsi" w:cstheme="minorHAnsi"/>
          <w:sz w:val="24"/>
          <w:szCs w:val="24"/>
        </w:rPr>
        <w:t xml:space="preserve">None of the metals </w:t>
      </w:r>
      <w:proofErr w:type="gramStart"/>
      <w:r w:rsidRPr="00F46D82">
        <w:rPr>
          <w:rFonts w:asciiTheme="minorHAnsi" w:hAnsiTheme="minorHAnsi" w:cstheme="minorHAnsi"/>
          <w:sz w:val="24"/>
          <w:szCs w:val="24"/>
        </w:rPr>
        <w:t>was previously measured</w:t>
      </w:r>
      <w:proofErr w:type="gramEnd"/>
      <w:r w:rsidRPr="00F46D82">
        <w:rPr>
          <w:rFonts w:asciiTheme="minorHAnsi" w:hAnsiTheme="minorHAnsi" w:cstheme="minorHAnsi"/>
          <w:sz w:val="24"/>
          <w:szCs w:val="24"/>
        </w:rPr>
        <w:t xml:space="preserve"> in the ACHS adults.</w:t>
      </w:r>
      <w:r w:rsidR="002A3EA4">
        <w:rPr>
          <w:rFonts w:asciiTheme="minorHAnsi" w:hAnsiTheme="minorHAnsi" w:cstheme="minorHAnsi"/>
          <w:sz w:val="24"/>
          <w:szCs w:val="24"/>
        </w:rPr>
        <w:t xml:space="preserve"> </w:t>
      </w:r>
    </w:p>
    <w:p w:rsidR="002E799F" w:rsidRPr="00F46D82" w:rsidRDefault="002E799F" w:rsidP="002E799F">
      <w:pPr>
        <w:autoSpaceDE w:val="0"/>
        <w:autoSpaceDN w:val="0"/>
        <w:adjustRightInd w:val="0"/>
        <w:spacing w:after="0" w:line="240" w:lineRule="auto"/>
        <w:jc w:val="both"/>
        <w:rPr>
          <w:rFonts w:asciiTheme="minorHAnsi" w:hAnsiTheme="minorHAnsi" w:cstheme="minorHAnsi"/>
          <w:sz w:val="24"/>
          <w:szCs w:val="24"/>
        </w:rPr>
      </w:pPr>
    </w:p>
    <w:p w:rsidR="002E799F" w:rsidRPr="00F46D82" w:rsidRDefault="00AA1A2F" w:rsidP="002E799F">
      <w:pPr>
        <w:autoSpaceDE w:val="0"/>
        <w:autoSpaceDN w:val="0"/>
        <w:adjustRightInd w:val="0"/>
        <w:spacing w:after="0" w:line="240" w:lineRule="auto"/>
        <w:jc w:val="both"/>
        <w:rPr>
          <w:rFonts w:asciiTheme="minorHAnsi" w:hAnsiTheme="minorHAnsi" w:cstheme="minorHAnsi"/>
          <w:b/>
          <w:bCs/>
          <w:i/>
          <w:iCs/>
          <w:color w:val="000000"/>
          <w:sz w:val="24"/>
          <w:szCs w:val="24"/>
        </w:rPr>
      </w:pPr>
      <w:r w:rsidRPr="00F46D82">
        <w:rPr>
          <w:rFonts w:asciiTheme="minorHAnsi" w:hAnsiTheme="minorHAnsi" w:cstheme="minorHAnsi"/>
          <w:sz w:val="24"/>
          <w:szCs w:val="24"/>
        </w:rPr>
        <w:t xml:space="preserve">Questionnaire items for self-reported health, demographic, dietary, and lifestyle factors </w:t>
      </w:r>
      <w:proofErr w:type="gramStart"/>
      <w:r w:rsidRPr="00F46D82">
        <w:rPr>
          <w:rFonts w:asciiTheme="minorHAnsi" w:hAnsiTheme="minorHAnsi" w:cstheme="minorHAnsi"/>
          <w:sz w:val="24"/>
          <w:szCs w:val="24"/>
        </w:rPr>
        <w:t>will be administered</w:t>
      </w:r>
      <w:proofErr w:type="gramEnd"/>
      <w:r w:rsidRPr="00F46D82">
        <w:rPr>
          <w:rFonts w:asciiTheme="minorHAnsi" w:hAnsiTheme="minorHAnsi" w:cstheme="minorHAnsi"/>
          <w:sz w:val="24"/>
          <w:szCs w:val="24"/>
        </w:rPr>
        <w:t xml:space="preserve"> by personal interview. </w:t>
      </w:r>
      <w:r>
        <w:rPr>
          <w:rFonts w:asciiTheme="minorHAnsi" w:hAnsiTheme="minorHAnsi" w:cstheme="minorHAnsi"/>
          <w:sz w:val="24"/>
          <w:szCs w:val="24"/>
        </w:rPr>
        <w:t xml:space="preserve">The reassessment of self-reported health outcomes </w:t>
      </w:r>
      <w:proofErr w:type="gramStart"/>
      <w:r>
        <w:rPr>
          <w:rFonts w:asciiTheme="minorHAnsi" w:hAnsiTheme="minorHAnsi" w:cstheme="minorHAnsi"/>
          <w:sz w:val="24"/>
          <w:szCs w:val="24"/>
        </w:rPr>
        <w:t>will be complemented</w:t>
      </w:r>
      <w:proofErr w:type="gramEnd"/>
      <w:r>
        <w:rPr>
          <w:rFonts w:asciiTheme="minorHAnsi" w:hAnsiTheme="minorHAnsi" w:cstheme="minorHAnsi"/>
          <w:sz w:val="24"/>
          <w:szCs w:val="24"/>
        </w:rPr>
        <w:t xml:space="preserve"> with </w:t>
      </w:r>
      <w:r w:rsidR="000B2E5D">
        <w:rPr>
          <w:rFonts w:asciiTheme="minorHAnsi" w:hAnsiTheme="minorHAnsi" w:cstheme="minorHAnsi"/>
          <w:sz w:val="24"/>
          <w:szCs w:val="24"/>
        </w:rPr>
        <w:t xml:space="preserve">objective measures of health in the form of </w:t>
      </w:r>
      <w:r>
        <w:rPr>
          <w:rFonts w:asciiTheme="minorHAnsi" w:hAnsiTheme="minorHAnsi" w:cstheme="minorHAnsi"/>
          <w:sz w:val="24"/>
          <w:szCs w:val="24"/>
        </w:rPr>
        <w:t xml:space="preserve">clinical biomarkers. </w:t>
      </w:r>
      <w:r w:rsidR="002E799F" w:rsidRPr="00F46D82">
        <w:rPr>
          <w:rFonts w:asciiTheme="minorHAnsi" w:hAnsiTheme="minorHAnsi" w:cstheme="minorHAnsi"/>
          <w:sz w:val="24"/>
          <w:szCs w:val="24"/>
        </w:rPr>
        <w:t xml:space="preserve">Biomarkers of clinical outcomes will include thyroid hormones, glycemic parameters, lipid profiles, and inflammatory and liver cytokines.  </w:t>
      </w:r>
    </w:p>
    <w:p w:rsidR="002E799F" w:rsidRPr="00F46D82" w:rsidRDefault="002E799F" w:rsidP="002E799F">
      <w:pPr>
        <w:pStyle w:val="Default"/>
        <w:jc w:val="both"/>
        <w:rPr>
          <w:rFonts w:asciiTheme="minorHAnsi" w:hAnsiTheme="minorHAnsi" w:cstheme="minorHAnsi"/>
          <w:sz w:val="16"/>
          <w:szCs w:val="16"/>
        </w:rPr>
      </w:pPr>
    </w:p>
    <w:p w:rsidR="002E799F" w:rsidRPr="00F46D82" w:rsidRDefault="002E799F" w:rsidP="002E799F">
      <w:pPr>
        <w:spacing w:after="0" w:line="240" w:lineRule="auto"/>
        <w:jc w:val="both"/>
        <w:rPr>
          <w:rFonts w:asciiTheme="minorHAnsi" w:hAnsiTheme="minorHAnsi" w:cstheme="minorHAnsi"/>
          <w:sz w:val="24"/>
          <w:szCs w:val="24"/>
        </w:rPr>
      </w:pPr>
      <w:r w:rsidRPr="00DB1332">
        <w:rPr>
          <w:rFonts w:asciiTheme="minorHAnsi" w:hAnsiTheme="minorHAnsi" w:cstheme="minorHAnsi"/>
          <w:sz w:val="24"/>
          <w:szCs w:val="24"/>
        </w:rPr>
        <w:t xml:space="preserve">The 60-day Federal Register Notice of the proposed information collection (IC) </w:t>
      </w:r>
      <w:proofErr w:type="gramStart"/>
      <w:r w:rsidRPr="00DB1332">
        <w:rPr>
          <w:rFonts w:asciiTheme="minorHAnsi" w:hAnsiTheme="minorHAnsi" w:cstheme="minorHAnsi"/>
          <w:sz w:val="24"/>
          <w:szCs w:val="24"/>
        </w:rPr>
        <w:t>was published</w:t>
      </w:r>
      <w:proofErr w:type="gramEnd"/>
      <w:r w:rsidRPr="00DB1332">
        <w:rPr>
          <w:rFonts w:asciiTheme="minorHAnsi" w:hAnsiTheme="minorHAnsi" w:cstheme="minorHAnsi"/>
          <w:sz w:val="24"/>
          <w:szCs w:val="24"/>
        </w:rPr>
        <w:t xml:space="preserve"> on</w:t>
      </w:r>
      <w:r w:rsidR="00DB1332" w:rsidRPr="00DB1332">
        <w:rPr>
          <w:rFonts w:asciiTheme="minorHAnsi" w:hAnsiTheme="minorHAnsi" w:cstheme="minorHAnsi"/>
          <w:sz w:val="24"/>
          <w:szCs w:val="24"/>
        </w:rPr>
        <w:t xml:space="preserve"> September 20, 2012</w:t>
      </w:r>
      <w:r w:rsidRPr="00DB1332">
        <w:rPr>
          <w:rFonts w:asciiTheme="minorHAnsi" w:hAnsiTheme="minorHAnsi" w:cstheme="minorHAnsi"/>
          <w:sz w:val="24"/>
          <w:szCs w:val="24"/>
        </w:rPr>
        <w:t xml:space="preserve"> (Attachment 2) and is further</w:t>
      </w:r>
      <w:bookmarkStart w:id="6" w:name="_Toc296699081"/>
      <w:r w:rsidRPr="00DB1332">
        <w:rPr>
          <w:rFonts w:asciiTheme="minorHAnsi" w:hAnsiTheme="minorHAnsi" w:cstheme="minorHAnsi"/>
          <w:sz w:val="24"/>
          <w:szCs w:val="24"/>
        </w:rPr>
        <w:t xml:space="preserve"> discussed in Section A.8</w:t>
      </w:r>
      <w:r w:rsidRPr="00DB1332">
        <w:rPr>
          <w:rFonts w:asciiTheme="minorHAnsi" w:hAnsiTheme="minorHAnsi" w:cstheme="minorHAnsi"/>
          <w:i/>
          <w:sz w:val="24"/>
          <w:szCs w:val="24"/>
        </w:rPr>
        <w:t>.</w:t>
      </w:r>
    </w:p>
    <w:p w:rsidR="002E799F" w:rsidRPr="00F46D82" w:rsidRDefault="002E799F" w:rsidP="002E799F">
      <w:pPr>
        <w:spacing w:after="0" w:line="240" w:lineRule="auto"/>
        <w:jc w:val="both"/>
        <w:rPr>
          <w:rFonts w:asciiTheme="minorHAnsi" w:hAnsiTheme="minorHAnsi" w:cstheme="minorHAnsi"/>
          <w:sz w:val="24"/>
          <w:szCs w:val="24"/>
        </w:rPr>
      </w:pPr>
    </w:p>
    <w:p w:rsidR="002E799F" w:rsidRPr="00F46D82" w:rsidRDefault="00D237E5" w:rsidP="002E799F">
      <w:pPr>
        <w:pStyle w:val="Heading3"/>
        <w:spacing w:before="0" w:line="240" w:lineRule="auto"/>
        <w:jc w:val="both"/>
        <w:rPr>
          <w:rFonts w:asciiTheme="minorHAnsi" w:hAnsiTheme="minorHAnsi" w:cstheme="minorHAnsi"/>
        </w:rPr>
      </w:pPr>
      <w:bookmarkStart w:id="7" w:name="_Toc349489239"/>
      <w:r>
        <w:rPr>
          <w:rFonts w:asciiTheme="minorHAnsi" w:hAnsiTheme="minorHAnsi" w:cstheme="minorHAnsi"/>
        </w:rPr>
        <w:t>A.</w:t>
      </w:r>
      <w:r w:rsidR="00293C99">
        <w:rPr>
          <w:rFonts w:asciiTheme="minorHAnsi" w:hAnsiTheme="minorHAnsi" w:cstheme="minorHAnsi"/>
        </w:rPr>
        <w:t>1.1</w:t>
      </w:r>
      <w:r w:rsidR="00FC356F">
        <w:rPr>
          <w:rFonts w:asciiTheme="minorHAnsi" w:hAnsiTheme="minorHAnsi" w:cstheme="minorHAnsi"/>
        </w:rPr>
        <w:t>.</w:t>
      </w:r>
      <w:r w:rsidR="00CF29CA">
        <w:rPr>
          <w:rFonts w:asciiTheme="minorHAnsi" w:hAnsiTheme="minorHAnsi" w:cstheme="minorHAnsi"/>
        </w:rPr>
        <w:t xml:space="preserve"> </w:t>
      </w:r>
      <w:r w:rsidR="002E799F" w:rsidRPr="00F46D82">
        <w:rPr>
          <w:rFonts w:asciiTheme="minorHAnsi" w:hAnsiTheme="minorHAnsi" w:cstheme="minorHAnsi"/>
        </w:rPr>
        <w:t>Privacy Impact Assessment</w:t>
      </w:r>
      <w:bookmarkEnd w:id="6"/>
      <w:bookmarkEnd w:id="7"/>
    </w:p>
    <w:p w:rsidR="002E799F" w:rsidRPr="00F46D82" w:rsidRDefault="002E799F" w:rsidP="002E799F">
      <w:pPr>
        <w:spacing w:after="0" w:line="240" w:lineRule="auto"/>
        <w:jc w:val="both"/>
        <w:rPr>
          <w:rFonts w:asciiTheme="minorHAnsi" w:hAnsiTheme="minorHAnsi" w:cstheme="minorHAnsi"/>
        </w:rPr>
      </w:pPr>
    </w:p>
    <w:p w:rsidR="002E799F" w:rsidRPr="00C369DA" w:rsidRDefault="002E799F" w:rsidP="002E799F">
      <w:pPr>
        <w:spacing w:after="0" w:line="240" w:lineRule="auto"/>
        <w:jc w:val="both"/>
        <w:rPr>
          <w:rFonts w:asciiTheme="minorHAnsi" w:hAnsiTheme="minorHAnsi" w:cstheme="minorHAnsi"/>
          <w:sz w:val="24"/>
          <w:szCs w:val="24"/>
        </w:rPr>
      </w:pPr>
      <w:r w:rsidRPr="00F46D82">
        <w:rPr>
          <w:rFonts w:asciiTheme="minorHAnsi" w:hAnsiTheme="minorHAnsi" w:cstheme="minorHAnsi"/>
          <w:sz w:val="24"/>
          <w:szCs w:val="24"/>
        </w:rPr>
        <w:t xml:space="preserve">The following sections provide a program overview of the data collection system, the information to </w:t>
      </w:r>
      <w:proofErr w:type="gramStart"/>
      <w:r w:rsidRPr="00F46D82">
        <w:rPr>
          <w:rFonts w:asciiTheme="minorHAnsi" w:hAnsiTheme="minorHAnsi" w:cstheme="minorHAnsi"/>
          <w:sz w:val="24"/>
          <w:szCs w:val="24"/>
        </w:rPr>
        <w:t>be collected</w:t>
      </w:r>
      <w:proofErr w:type="gramEnd"/>
      <w:r w:rsidRPr="00F46D82">
        <w:rPr>
          <w:rFonts w:asciiTheme="minorHAnsi" w:hAnsiTheme="minorHAnsi" w:cstheme="minorHAnsi"/>
          <w:sz w:val="24"/>
          <w:szCs w:val="24"/>
        </w:rPr>
        <w:t>, and a discussion on whether this IC will host a website.</w:t>
      </w:r>
      <w:r w:rsidR="00A66CED">
        <w:rPr>
          <w:rFonts w:asciiTheme="minorHAnsi" w:hAnsiTheme="minorHAnsi" w:cstheme="minorHAnsi"/>
          <w:sz w:val="24"/>
          <w:szCs w:val="24"/>
        </w:rPr>
        <w:t xml:space="preserve"> </w:t>
      </w:r>
    </w:p>
    <w:p w:rsidR="002E799F" w:rsidRPr="00F46D82" w:rsidRDefault="002E799F" w:rsidP="002E799F">
      <w:pPr>
        <w:spacing w:after="0" w:line="240" w:lineRule="auto"/>
        <w:jc w:val="both"/>
        <w:rPr>
          <w:rFonts w:asciiTheme="minorHAnsi" w:hAnsiTheme="minorHAnsi" w:cstheme="minorHAnsi"/>
          <w:sz w:val="24"/>
          <w:szCs w:val="24"/>
        </w:rPr>
      </w:pPr>
    </w:p>
    <w:p w:rsidR="002E799F" w:rsidRPr="00F46D82" w:rsidRDefault="002E799F" w:rsidP="002E799F">
      <w:pPr>
        <w:pStyle w:val="Heading4"/>
        <w:spacing w:before="0" w:line="240" w:lineRule="auto"/>
        <w:jc w:val="both"/>
        <w:rPr>
          <w:rFonts w:asciiTheme="minorHAnsi" w:hAnsiTheme="minorHAnsi" w:cstheme="minorHAnsi"/>
        </w:rPr>
      </w:pPr>
      <w:bookmarkStart w:id="8" w:name="_Toc296699082"/>
      <w:bookmarkStart w:id="9" w:name="_Toc349489240"/>
      <w:r w:rsidRPr="00F46D82">
        <w:rPr>
          <w:rFonts w:asciiTheme="minorHAnsi" w:hAnsiTheme="minorHAnsi" w:cstheme="minorHAnsi"/>
        </w:rPr>
        <w:t>Overview of the Data Collection System</w:t>
      </w:r>
      <w:bookmarkEnd w:id="8"/>
      <w:bookmarkEnd w:id="9"/>
      <w:r w:rsidRPr="00F46D82">
        <w:rPr>
          <w:rFonts w:asciiTheme="minorHAnsi" w:hAnsiTheme="minorHAnsi" w:cstheme="minorHAnsi"/>
        </w:rPr>
        <w:t xml:space="preserve"> </w:t>
      </w:r>
    </w:p>
    <w:p w:rsidR="002E799F" w:rsidRPr="00F46D82" w:rsidRDefault="002E799F" w:rsidP="002E799F">
      <w:pPr>
        <w:spacing w:after="0" w:line="240" w:lineRule="auto"/>
        <w:jc w:val="both"/>
        <w:rPr>
          <w:rFonts w:asciiTheme="minorHAnsi" w:hAnsiTheme="minorHAnsi" w:cstheme="minorHAnsi"/>
        </w:rPr>
      </w:pPr>
    </w:p>
    <w:p w:rsidR="002E799F" w:rsidRPr="0043089B" w:rsidRDefault="002E799F" w:rsidP="0043089B">
      <w:pPr>
        <w:spacing w:after="0" w:line="240" w:lineRule="auto"/>
        <w:jc w:val="both"/>
        <w:rPr>
          <w:rFonts w:asciiTheme="minorHAnsi" w:hAnsiTheme="minorHAnsi" w:cstheme="minorHAnsi"/>
          <w:bCs/>
          <w:sz w:val="24"/>
          <w:szCs w:val="24"/>
        </w:rPr>
      </w:pPr>
      <w:r w:rsidRPr="00663170">
        <w:rPr>
          <w:rFonts w:asciiTheme="minorHAnsi" w:hAnsiTheme="minorHAnsi" w:cstheme="minorHAnsi"/>
          <w:bCs/>
          <w:sz w:val="24"/>
          <w:szCs w:val="24"/>
        </w:rPr>
        <w:t xml:space="preserve">An index to the </w:t>
      </w:r>
      <w:r w:rsidR="00D86355">
        <w:rPr>
          <w:rFonts w:asciiTheme="minorHAnsi" w:hAnsiTheme="minorHAnsi" w:cstheme="minorHAnsi"/>
          <w:bCs/>
          <w:sz w:val="24"/>
          <w:szCs w:val="24"/>
        </w:rPr>
        <w:t xml:space="preserve">six </w:t>
      </w:r>
      <w:r w:rsidRPr="00663170">
        <w:rPr>
          <w:rFonts w:asciiTheme="minorHAnsi" w:hAnsiTheme="minorHAnsi" w:cstheme="minorHAnsi"/>
          <w:bCs/>
          <w:sz w:val="24"/>
          <w:szCs w:val="24"/>
        </w:rPr>
        <w:t xml:space="preserve">IC forms and a graphical representation of the data collection system (Information Flow Chart) </w:t>
      </w:r>
      <w:proofErr w:type="gramStart"/>
      <w:r w:rsidRPr="00663170">
        <w:rPr>
          <w:rFonts w:asciiTheme="minorHAnsi" w:hAnsiTheme="minorHAnsi" w:cstheme="minorHAnsi"/>
          <w:bCs/>
          <w:sz w:val="24"/>
          <w:szCs w:val="24"/>
        </w:rPr>
        <w:t>is found</w:t>
      </w:r>
      <w:proofErr w:type="gramEnd"/>
      <w:r w:rsidRPr="00663170">
        <w:rPr>
          <w:rFonts w:asciiTheme="minorHAnsi" w:hAnsiTheme="minorHAnsi" w:cstheme="minorHAnsi"/>
          <w:bCs/>
          <w:sz w:val="24"/>
          <w:szCs w:val="24"/>
        </w:rPr>
        <w:t xml:space="preserve"> on the cover page of Attachment 3. </w:t>
      </w:r>
      <w:r w:rsidR="00B971DA" w:rsidRPr="00F24FD4">
        <w:rPr>
          <w:rFonts w:asciiTheme="minorHAnsi" w:hAnsiTheme="minorHAnsi" w:cstheme="minorHAnsi"/>
          <w:bCs/>
          <w:sz w:val="24"/>
          <w:szCs w:val="24"/>
        </w:rPr>
        <w:t xml:space="preserve">Each line in the estimated annualized burden table in Section A.12 reflects </w:t>
      </w:r>
      <w:r w:rsidR="00F430D1">
        <w:rPr>
          <w:rFonts w:asciiTheme="minorHAnsi" w:hAnsiTheme="minorHAnsi" w:cstheme="minorHAnsi"/>
          <w:bCs/>
          <w:sz w:val="24"/>
          <w:szCs w:val="24"/>
        </w:rPr>
        <w:t>one of the six</w:t>
      </w:r>
      <w:r w:rsidR="00B971DA" w:rsidRPr="00F24FD4">
        <w:rPr>
          <w:rFonts w:asciiTheme="minorHAnsi" w:hAnsiTheme="minorHAnsi" w:cstheme="minorHAnsi"/>
          <w:bCs/>
          <w:sz w:val="24"/>
          <w:szCs w:val="24"/>
        </w:rPr>
        <w:t xml:space="preserve"> IC form</w:t>
      </w:r>
      <w:r w:rsidR="00F430D1">
        <w:rPr>
          <w:rFonts w:asciiTheme="minorHAnsi" w:hAnsiTheme="minorHAnsi" w:cstheme="minorHAnsi"/>
          <w:bCs/>
          <w:sz w:val="24"/>
          <w:szCs w:val="24"/>
        </w:rPr>
        <w:t>s</w:t>
      </w:r>
      <w:r w:rsidR="00B971DA" w:rsidRPr="00F24FD4">
        <w:rPr>
          <w:rFonts w:asciiTheme="minorHAnsi" w:hAnsiTheme="minorHAnsi" w:cstheme="minorHAnsi"/>
          <w:bCs/>
          <w:sz w:val="24"/>
          <w:szCs w:val="24"/>
        </w:rPr>
        <w:t xml:space="preserve"> (denoted with “*” below). </w:t>
      </w:r>
      <w:r w:rsidRPr="00663170">
        <w:rPr>
          <w:rFonts w:asciiTheme="minorHAnsi" w:hAnsiTheme="minorHAnsi" w:cstheme="minorHAnsi"/>
          <w:bCs/>
          <w:sz w:val="24"/>
          <w:szCs w:val="24"/>
        </w:rPr>
        <w:t xml:space="preserve">The ACHS-II IC </w:t>
      </w:r>
      <w:proofErr w:type="gramStart"/>
      <w:r w:rsidRPr="005F6042">
        <w:rPr>
          <w:rFonts w:asciiTheme="minorHAnsi" w:hAnsiTheme="minorHAnsi" w:cstheme="minorHAnsi"/>
          <w:bCs/>
          <w:sz w:val="24"/>
          <w:szCs w:val="24"/>
        </w:rPr>
        <w:t>will be implemented</w:t>
      </w:r>
      <w:proofErr w:type="gramEnd"/>
      <w:r w:rsidRPr="005F6042">
        <w:rPr>
          <w:rFonts w:asciiTheme="minorHAnsi" w:hAnsiTheme="minorHAnsi" w:cstheme="minorHAnsi"/>
          <w:bCs/>
          <w:sz w:val="24"/>
          <w:szCs w:val="24"/>
        </w:rPr>
        <w:t xml:space="preserve"> in </w:t>
      </w:r>
      <w:r w:rsidR="00DB1332" w:rsidRPr="005F6042">
        <w:rPr>
          <w:rFonts w:asciiTheme="minorHAnsi" w:hAnsiTheme="minorHAnsi" w:cstheme="minorHAnsi"/>
          <w:bCs/>
          <w:sz w:val="24"/>
          <w:szCs w:val="24"/>
        </w:rPr>
        <w:t>four phases:</w:t>
      </w:r>
      <w:r w:rsidRPr="005F6042">
        <w:rPr>
          <w:rFonts w:asciiTheme="minorHAnsi" w:hAnsiTheme="minorHAnsi" w:cstheme="minorHAnsi"/>
          <w:bCs/>
          <w:sz w:val="24"/>
          <w:szCs w:val="24"/>
        </w:rPr>
        <w:t xml:space="preserve"> recruitment;</w:t>
      </w:r>
      <w:r w:rsidR="009D7C58">
        <w:rPr>
          <w:rFonts w:asciiTheme="minorHAnsi" w:hAnsiTheme="minorHAnsi" w:cstheme="minorHAnsi"/>
          <w:bCs/>
          <w:sz w:val="24"/>
          <w:szCs w:val="24"/>
        </w:rPr>
        <w:t xml:space="preserve"> </w:t>
      </w:r>
      <w:r w:rsidR="009D7C58" w:rsidRPr="00F24FD4">
        <w:rPr>
          <w:rFonts w:asciiTheme="minorHAnsi" w:hAnsiTheme="minorHAnsi" w:cstheme="minorHAnsi"/>
          <w:bCs/>
          <w:sz w:val="24"/>
          <w:szCs w:val="24"/>
        </w:rPr>
        <w:t>eligibility screening</w:t>
      </w:r>
      <w:r w:rsidR="009D7C58">
        <w:rPr>
          <w:rFonts w:asciiTheme="minorHAnsi" w:hAnsiTheme="minorHAnsi" w:cstheme="minorHAnsi"/>
          <w:bCs/>
          <w:sz w:val="24"/>
          <w:szCs w:val="24"/>
        </w:rPr>
        <w:t xml:space="preserve">; </w:t>
      </w:r>
      <w:r w:rsidRPr="0043089B">
        <w:rPr>
          <w:rFonts w:asciiTheme="minorHAnsi" w:hAnsiTheme="minorHAnsi" w:cstheme="minorHAnsi"/>
          <w:bCs/>
          <w:sz w:val="24"/>
          <w:szCs w:val="24"/>
        </w:rPr>
        <w:t>enrollment and informed consent; and personal interviews.</w:t>
      </w:r>
      <w:r w:rsidR="00B971DA">
        <w:rPr>
          <w:rFonts w:asciiTheme="minorHAnsi" w:hAnsiTheme="minorHAnsi" w:cstheme="minorHAnsi"/>
          <w:bCs/>
          <w:sz w:val="24"/>
          <w:szCs w:val="24"/>
        </w:rPr>
        <w:t xml:space="preserve"> </w:t>
      </w:r>
    </w:p>
    <w:p w:rsidR="002E799F" w:rsidRPr="005F6042" w:rsidRDefault="002E799F" w:rsidP="005F6042">
      <w:pPr>
        <w:spacing w:after="0" w:line="240" w:lineRule="auto"/>
        <w:jc w:val="both"/>
        <w:rPr>
          <w:rFonts w:asciiTheme="minorHAnsi" w:hAnsiTheme="minorHAnsi" w:cstheme="minorHAnsi"/>
          <w:bCs/>
          <w:sz w:val="24"/>
          <w:szCs w:val="24"/>
        </w:rPr>
      </w:pPr>
    </w:p>
    <w:p w:rsidR="00C418B3" w:rsidRPr="00166EA1" w:rsidRDefault="0043089B" w:rsidP="00166EA1">
      <w:pPr>
        <w:pStyle w:val="NormalWeb"/>
        <w:spacing w:before="0" w:beforeAutospacing="0" w:after="0" w:afterAutospacing="0"/>
        <w:jc w:val="both"/>
        <w:rPr>
          <w:rFonts w:asciiTheme="minorHAnsi" w:hAnsiTheme="minorHAnsi" w:cstheme="minorHAnsi"/>
        </w:rPr>
      </w:pPr>
      <w:r>
        <w:rPr>
          <w:rFonts w:asciiTheme="minorHAnsi" w:hAnsiTheme="minorHAnsi" w:cstheme="minorHAnsi"/>
          <w:bCs/>
        </w:rPr>
        <w:t>T</w:t>
      </w:r>
      <w:r w:rsidR="00101C88" w:rsidRPr="00792398">
        <w:rPr>
          <w:rFonts w:asciiTheme="minorHAnsi" w:hAnsiTheme="minorHAnsi" w:cstheme="minorHAnsi"/>
          <w:bCs/>
        </w:rPr>
        <w:t xml:space="preserve">he study population and eligibility requirements </w:t>
      </w:r>
      <w:proofErr w:type="gramStart"/>
      <w:r w:rsidR="00101C88" w:rsidRPr="00792398">
        <w:rPr>
          <w:rFonts w:asciiTheme="minorHAnsi" w:hAnsiTheme="minorHAnsi" w:cstheme="minorHAnsi"/>
          <w:bCs/>
        </w:rPr>
        <w:t xml:space="preserve">are </w:t>
      </w:r>
      <w:r w:rsidR="005F6042">
        <w:rPr>
          <w:rFonts w:asciiTheme="minorHAnsi" w:hAnsiTheme="minorHAnsi" w:cstheme="minorHAnsi"/>
          <w:bCs/>
        </w:rPr>
        <w:t>detailed</w:t>
      </w:r>
      <w:proofErr w:type="gramEnd"/>
      <w:r w:rsidR="00101C88" w:rsidRPr="005F6042">
        <w:rPr>
          <w:rFonts w:asciiTheme="minorHAnsi" w:hAnsiTheme="minorHAnsi" w:cstheme="minorHAnsi"/>
          <w:bCs/>
        </w:rPr>
        <w:t xml:space="preserve"> in Section B.1. In summary,</w:t>
      </w:r>
      <w:r w:rsidR="00320E5D" w:rsidRPr="005F6042">
        <w:rPr>
          <w:rFonts w:asciiTheme="minorHAnsi" w:hAnsiTheme="minorHAnsi" w:cstheme="minorHAnsi"/>
        </w:rPr>
        <w:t xml:space="preserve"> the surviving </w:t>
      </w:r>
      <w:r w:rsidR="00320E5D" w:rsidRPr="00792398">
        <w:rPr>
          <w:rFonts w:asciiTheme="minorHAnsi" w:hAnsiTheme="minorHAnsi" w:cstheme="minorHAnsi"/>
        </w:rPr>
        <w:t xml:space="preserve">ACHS </w:t>
      </w:r>
      <w:r w:rsidR="00101C88" w:rsidRPr="00792398">
        <w:rPr>
          <w:rFonts w:asciiTheme="minorHAnsi" w:hAnsiTheme="minorHAnsi" w:cstheme="minorHAnsi"/>
        </w:rPr>
        <w:t>Cohort</w:t>
      </w:r>
      <w:r w:rsidR="00540C00">
        <w:rPr>
          <w:rFonts w:asciiTheme="minorHAnsi" w:hAnsiTheme="minorHAnsi" w:cstheme="minorHAnsi"/>
        </w:rPr>
        <w:t xml:space="preserve"> members</w:t>
      </w:r>
      <w:r w:rsidR="00320E5D" w:rsidRPr="00792398">
        <w:rPr>
          <w:rFonts w:asciiTheme="minorHAnsi" w:hAnsiTheme="minorHAnsi" w:cstheme="minorHAnsi"/>
        </w:rPr>
        <w:t xml:space="preserve"> with PCB measurements</w:t>
      </w:r>
      <w:r w:rsidR="002E799F" w:rsidRPr="00792398">
        <w:rPr>
          <w:rFonts w:asciiTheme="minorHAnsi" w:hAnsiTheme="minorHAnsi" w:cstheme="minorHAnsi"/>
        </w:rPr>
        <w:t xml:space="preserve"> </w:t>
      </w:r>
      <w:proofErr w:type="gramStart"/>
      <w:r w:rsidR="00320E5D" w:rsidRPr="00792398">
        <w:rPr>
          <w:rFonts w:asciiTheme="minorHAnsi" w:hAnsiTheme="minorHAnsi" w:cstheme="minorHAnsi"/>
        </w:rPr>
        <w:t>will be asked</w:t>
      </w:r>
      <w:proofErr w:type="gramEnd"/>
      <w:r w:rsidR="00320E5D" w:rsidRPr="00792398">
        <w:rPr>
          <w:rFonts w:asciiTheme="minorHAnsi" w:hAnsiTheme="minorHAnsi" w:cstheme="minorHAnsi"/>
        </w:rPr>
        <w:t xml:space="preserve"> to participate again in the ACHS-II to enroll a </w:t>
      </w:r>
      <w:r w:rsidR="002E799F" w:rsidRPr="00792398">
        <w:rPr>
          <w:rFonts w:asciiTheme="minorHAnsi" w:hAnsiTheme="minorHAnsi" w:cstheme="minorHAnsi"/>
        </w:rPr>
        <w:t>sample of 500</w:t>
      </w:r>
      <w:r w:rsidR="00320E5D" w:rsidRPr="00792398">
        <w:rPr>
          <w:rFonts w:asciiTheme="minorHAnsi" w:hAnsiTheme="minorHAnsi" w:cstheme="minorHAnsi"/>
        </w:rPr>
        <w:t xml:space="preserve"> </w:t>
      </w:r>
      <w:r w:rsidR="00E26A9A">
        <w:rPr>
          <w:rFonts w:asciiTheme="minorHAnsi" w:hAnsiTheme="minorHAnsi" w:cstheme="minorHAnsi"/>
        </w:rPr>
        <w:t>respondents</w:t>
      </w:r>
      <w:r w:rsidR="002E799F" w:rsidRPr="00792398">
        <w:rPr>
          <w:rFonts w:asciiTheme="minorHAnsi" w:hAnsiTheme="minorHAnsi" w:cstheme="minorHAnsi"/>
        </w:rPr>
        <w:t>.</w:t>
      </w:r>
      <w:r w:rsidR="00792398">
        <w:rPr>
          <w:rFonts w:asciiTheme="minorHAnsi" w:hAnsiTheme="minorHAnsi" w:cstheme="minorHAnsi"/>
        </w:rPr>
        <w:t xml:space="preserve"> </w:t>
      </w:r>
    </w:p>
    <w:p w:rsidR="00A222FB" w:rsidRPr="00166EA1" w:rsidRDefault="00A222FB" w:rsidP="00166EA1">
      <w:pPr>
        <w:rPr>
          <w:i/>
          <w:sz w:val="24"/>
          <w:szCs w:val="24"/>
        </w:rPr>
      </w:pPr>
    </w:p>
    <w:p w:rsidR="00B971DA" w:rsidRPr="00166EA1" w:rsidRDefault="002E799F" w:rsidP="00166EA1">
      <w:pPr>
        <w:pStyle w:val="ListParagraph"/>
        <w:numPr>
          <w:ilvl w:val="0"/>
          <w:numId w:val="48"/>
        </w:numPr>
        <w:spacing w:after="0" w:line="240" w:lineRule="auto"/>
        <w:ind w:left="720"/>
        <w:jc w:val="both"/>
        <w:rPr>
          <w:rFonts w:asciiTheme="minorHAnsi" w:hAnsiTheme="minorHAnsi" w:cstheme="minorHAnsi"/>
          <w:bCs/>
          <w:i/>
          <w:sz w:val="24"/>
          <w:szCs w:val="24"/>
        </w:rPr>
      </w:pPr>
      <w:r w:rsidRPr="0043089B">
        <w:rPr>
          <w:rFonts w:asciiTheme="minorHAnsi" w:hAnsiTheme="minorHAnsi" w:cstheme="minorHAnsi"/>
          <w:bCs/>
          <w:i/>
          <w:sz w:val="24"/>
          <w:szCs w:val="24"/>
        </w:rPr>
        <w:lastRenderedPageBreak/>
        <w:t xml:space="preserve">Recruitment: </w:t>
      </w:r>
      <w:r w:rsidRPr="0043089B">
        <w:rPr>
          <w:rFonts w:asciiTheme="minorHAnsi" w:hAnsiTheme="minorHAnsi" w:cstheme="minorHAnsi"/>
          <w:bCs/>
          <w:sz w:val="24"/>
          <w:szCs w:val="24"/>
        </w:rPr>
        <w:t>Trained study staff will mail the Recruitment Information Packet (Attachment 3.1</w:t>
      </w:r>
      <w:r w:rsidR="00F26B67" w:rsidRPr="0043089B">
        <w:rPr>
          <w:rFonts w:asciiTheme="minorHAnsi" w:hAnsiTheme="minorHAnsi" w:cstheme="minorHAnsi"/>
          <w:bCs/>
          <w:sz w:val="24"/>
          <w:szCs w:val="24"/>
        </w:rPr>
        <w:t xml:space="preserve"> </w:t>
      </w:r>
      <w:r w:rsidR="00BD135D" w:rsidRPr="005F6042">
        <w:rPr>
          <w:rFonts w:asciiTheme="minorHAnsi" w:hAnsiTheme="minorHAnsi" w:cstheme="minorHAnsi"/>
          <w:bCs/>
          <w:sz w:val="24"/>
          <w:szCs w:val="24"/>
        </w:rPr>
        <w:t>- Invitation Letter,</w:t>
      </w:r>
      <w:r w:rsidRPr="00792398">
        <w:rPr>
          <w:rFonts w:asciiTheme="minorHAnsi" w:hAnsiTheme="minorHAnsi" w:cstheme="minorHAnsi"/>
          <w:bCs/>
          <w:sz w:val="24"/>
          <w:szCs w:val="24"/>
        </w:rPr>
        <w:t xml:space="preserve"> Attachment 3.2 –</w:t>
      </w:r>
      <w:r w:rsidR="00F26B67" w:rsidRPr="00792398">
        <w:rPr>
          <w:rFonts w:asciiTheme="minorHAnsi" w:hAnsiTheme="minorHAnsi" w:cstheme="minorHAnsi"/>
          <w:bCs/>
          <w:sz w:val="24"/>
          <w:szCs w:val="24"/>
        </w:rPr>
        <w:t xml:space="preserve"> </w:t>
      </w:r>
      <w:r w:rsidRPr="00792398">
        <w:rPr>
          <w:rFonts w:asciiTheme="minorHAnsi" w:hAnsiTheme="minorHAnsi" w:cstheme="minorHAnsi"/>
          <w:bCs/>
          <w:sz w:val="24"/>
          <w:szCs w:val="24"/>
        </w:rPr>
        <w:t>Study Factsheet</w:t>
      </w:r>
      <w:r w:rsidR="00BD135D" w:rsidRPr="00792398">
        <w:rPr>
          <w:rFonts w:asciiTheme="minorHAnsi" w:hAnsiTheme="minorHAnsi" w:cstheme="minorHAnsi"/>
          <w:bCs/>
          <w:sz w:val="24"/>
          <w:szCs w:val="24"/>
        </w:rPr>
        <w:t>)</w:t>
      </w:r>
      <w:r w:rsidR="00AB2565" w:rsidRPr="00792398">
        <w:rPr>
          <w:rFonts w:asciiTheme="minorHAnsi" w:hAnsiTheme="minorHAnsi" w:cstheme="minorHAnsi"/>
          <w:bCs/>
          <w:sz w:val="24"/>
          <w:szCs w:val="24"/>
        </w:rPr>
        <w:t xml:space="preserve"> to </w:t>
      </w:r>
      <w:r w:rsidR="00AB2565" w:rsidRPr="0043089B">
        <w:rPr>
          <w:rFonts w:asciiTheme="minorHAnsi" w:hAnsiTheme="minorHAnsi" w:cstheme="minorHAnsi"/>
          <w:bCs/>
          <w:sz w:val="24"/>
          <w:szCs w:val="24"/>
        </w:rPr>
        <w:t>ACHS Cohort</w:t>
      </w:r>
      <w:r w:rsidR="00540C00">
        <w:rPr>
          <w:rFonts w:asciiTheme="minorHAnsi" w:hAnsiTheme="minorHAnsi" w:cstheme="minorHAnsi"/>
          <w:bCs/>
          <w:sz w:val="24"/>
          <w:szCs w:val="24"/>
        </w:rPr>
        <w:t xml:space="preserve"> members</w:t>
      </w:r>
      <w:r w:rsidR="00CF3B3A" w:rsidRPr="0043089B">
        <w:rPr>
          <w:rFonts w:asciiTheme="minorHAnsi" w:hAnsiTheme="minorHAnsi" w:cstheme="minorHAnsi"/>
          <w:bCs/>
          <w:sz w:val="24"/>
          <w:szCs w:val="24"/>
        </w:rPr>
        <w:t>.</w:t>
      </w:r>
      <w:r w:rsidR="00CF3B3A" w:rsidRPr="005F6042">
        <w:rPr>
          <w:rFonts w:asciiTheme="minorHAnsi" w:hAnsiTheme="minorHAnsi" w:cstheme="minorHAnsi"/>
          <w:bCs/>
          <w:sz w:val="24"/>
          <w:szCs w:val="24"/>
        </w:rPr>
        <w:t xml:space="preserve"> </w:t>
      </w:r>
      <w:r w:rsidR="00BD135D" w:rsidRPr="00792398">
        <w:rPr>
          <w:rFonts w:asciiTheme="minorHAnsi" w:hAnsiTheme="minorHAnsi" w:cstheme="minorHAnsi"/>
          <w:bCs/>
          <w:sz w:val="24"/>
          <w:szCs w:val="24"/>
        </w:rPr>
        <w:t>A</w:t>
      </w:r>
      <w:r w:rsidR="00D07CB3" w:rsidRPr="00792398">
        <w:rPr>
          <w:rFonts w:asciiTheme="minorHAnsi" w:hAnsiTheme="minorHAnsi" w:cstheme="minorHAnsi"/>
          <w:bCs/>
          <w:sz w:val="24"/>
          <w:szCs w:val="24"/>
        </w:rPr>
        <w:t xml:space="preserve"> </w:t>
      </w:r>
      <w:r w:rsidR="00BD135D" w:rsidRPr="00792398">
        <w:rPr>
          <w:rFonts w:asciiTheme="minorHAnsi" w:hAnsiTheme="minorHAnsi" w:cstheme="minorHAnsi"/>
          <w:bCs/>
          <w:sz w:val="24"/>
          <w:szCs w:val="24"/>
        </w:rPr>
        <w:t>List of Chemicals</w:t>
      </w:r>
      <w:r w:rsidR="00D07CB3" w:rsidRPr="00792398">
        <w:rPr>
          <w:rFonts w:asciiTheme="minorHAnsi" w:hAnsiTheme="minorHAnsi" w:cstheme="minorHAnsi"/>
          <w:bCs/>
          <w:sz w:val="24"/>
          <w:szCs w:val="24"/>
        </w:rPr>
        <w:t xml:space="preserve"> (Attachment 3.2a)</w:t>
      </w:r>
      <w:r w:rsidR="00BD135D" w:rsidRPr="00792398">
        <w:rPr>
          <w:rFonts w:asciiTheme="minorHAnsi" w:hAnsiTheme="minorHAnsi" w:cstheme="minorHAnsi"/>
          <w:bCs/>
          <w:sz w:val="24"/>
          <w:szCs w:val="24"/>
        </w:rPr>
        <w:t>, will be sen</w:t>
      </w:r>
      <w:r w:rsidR="00771F4D" w:rsidRPr="00792398">
        <w:rPr>
          <w:rFonts w:asciiTheme="minorHAnsi" w:hAnsiTheme="minorHAnsi" w:cstheme="minorHAnsi"/>
          <w:bCs/>
          <w:sz w:val="24"/>
          <w:szCs w:val="24"/>
        </w:rPr>
        <w:t>t</w:t>
      </w:r>
      <w:r w:rsidR="00BD135D" w:rsidRPr="00792398">
        <w:rPr>
          <w:rFonts w:asciiTheme="minorHAnsi" w:hAnsiTheme="minorHAnsi" w:cstheme="minorHAnsi"/>
          <w:bCs/>
          <w:sz w:val="24"/>
          <w:szCs w:val="24"/>
        </w:rPr>
        <w:t xml:space="preserve"> </w:t>
      </w:r>
      <w:r w:rsidR="00771F4D" w:rsidRPr="00792398">
        <w:rPr>
          <w:rFonts w:asciiTheme="minorHAnsi" w:hAnsiTheme="minorHAnsi" w:cstheme="minorHAnsi"/>
          <w:bCs/>
          <w:sz w:val="24"/>
          <w:szCs w:val="24"/>
        </w:rPr>
        <w:t xml:space="preserve">only </w:t>
      </w:r>
      <w:r w:rsidR="00BD135D" w:rsidRPr="00792398">
        <w:rPr>
          <w:rFonts w:asciiTheme="minorHAnsi" w:hAnsiTheme="minorHAnsi" w:cstheme="minorHAnsi"/>
          <w:bCs/>
          <w:sz w:val="24"/>
          <w:szCs w:val="24"/>
        </w:rPr>
        <w:t xml:space="preserve">if requested by the </w:t>
      </w:r>
      <w:r w:rsidR="00E26A9A">
        <w:rPr>
          <w:rFonts w:asciiTheme="minorHAnsi" w:hAnsiTheme="minorHAnsi" w:cstheme="minorHAnsi"/>
          <w:bCs/>
          <w:sz w:val="24"/>
          <w:szCs w:val="24"/>
        </w:rPr>
        <w:t>respondent</w:t>
      </w:r>
      <w:r w:rsidR="00BD135D" w:rsidRPr="00792398">
        <w:rPr>
          <w:rFonts w:asciiTheme="minorHAnsi" w:hAnsiTheme="minorHAnsi" w:cstheme="minorHAnsi"/>
          <w:bCs/>
          <w:sz w:val="24"/>
          <w:szCs w:val="24"/>
        </w:rPr>
        <w:t xml:space="preserve">. </w:t>
      </w:r>
    </w:p>
    <w:p w:rsidR="00B971DA" w:rsidRPr="00166EA1" w:rsidRDefault="00B971DA" w:rsidP="00166EA1">
      <w:pPr>
        <w:pStyle w:val="ListParagraph"/>
        <w:spacing w:after="0" w:line="240" w:lineRule="auto"/>
        <w:jc w:val="both"/>
        <w:rPr>
          <w:rFonts w:asciiTheme="minorHAnsi" w:hAnsiTheme="minorHAnsi" w:cstheme="minorHAnsi"/>
          <w:bCs/>
          <w:i/>
          <w:sz w:val="24"/>
          <w:szCs w:val="24"/>
        </w:rPr>
      </w:pPr>
    </w:p>
    <w:p w:rsidR="00B95C52" w:rsidRPr="00792398" w:rsidRDefault="00B971DA" w:rsidP="00166EA1">
      <w:pPr>
        <w:pStyle w:val="ListParagraph"/>
        <w:numPr>
          <w:ilvl w:val="0"/>
          <w:numId w:val="48"/>
        </w:numPr>
        <w:spacing w:after="0" w:line="240" w:lineRule="auto"/>
        <w:ind w:left="720"/>
        <w:jc w:val="both"/>
        <w:rPr>
          <w:rFonts w:asciiTheme="minorHAnsi" w:hAnsiTheme="minorHAnsi" w:cstheme="minorHAnsi"/>
          <w:bCs/>
          <w:i/>
          <w:sz w:val="24"/>
          <w:szCs w:val="24"/>
        </w:rPr>
      </w:pPr>
      <w:r w:rsidRPr="00F24FD4">
        <w:rPr>
          <w:i/>
          <w:sz w:val="24"/>
          <w:szCs w:val="24"/>
        </w:rPr>
        <w:t xml:space="preserve">Eligibility Screening: </w:t>
      </w:r>
      <w:r w:rsidRPr="00F24FD4">
        <w:rPr>
          <w:sz w:val="24"/>
          <w:szCs w:val="24"/>
        </w:rPr>
        <w:t>Elig</w:t>
      </w:r>
      <w:r w:rsidR="0043089B">
        <w:rPr>
          <w:sz w:val="24"/>
          <w:szCs w:val="24"/>
        </w:rPr>
        <w:t xml:space="preserve">ibility requirements </w:t>
      </w:r>
      <w:proofErr w:type="gramStart"/>
      <w:r w:rsidR="0043089B">
        <w:rPr>
          <w:sz w:val="24"/>
          <w:szCs w:val="24"/>
        </w:rPr>
        <w:t>are</w:t>
      </w:r>
      <w:r w:rsidRPr="00F24FD4">
        <w:rPr>
          <w:sz w:val="24"/>
          <w:szCs w:val="24"/>
        </w:rPr>
        <w:t xml:space="preserve"> discussed</w:t>
      </w:r>
      <w:proofErr w:type="gramEnd"/>
      <w:r w:rsidRPr="00F24FD4">
        <w:rPr>
          <w:sz w:val="24"/>
          <w:szCs w:val="24"/>
        </w:rPr>
        <w:t xml:space="preserve"> in Section B.1.</w:t>
      </w:r>
      <w:r>
        <w:rPr>
          <w:bCs/>
          <w:sz w:val="24"/>
          <w:szCs w:val="24"/>
        </w:rPr>
        <w:t xml:space="preserve"> </w:t>
      </w:r>
      <w:r w:rsidR="002E799F" w:rsidRPr="0043089B">
        <w:rPr>
          <w:rFonts w:asciiTheme="minorHAnsi" w:hAnsiTheme="minorHAnsi" w:cstheme="minorHAnsi"/>
          <w:bCs/>
          <w:sz w:val="24"/>
          <w:szCs w:val="24"/>
        </w:rPr>
        <w:t>The</w:t>
      </w:r>
      <w:r w:rsidR="00A3299A" w:rsidRPr="0043089B">
        <w:rPr>
          <w:rFonts w:asciiTheme="minorHAnsi" w:hAnsiTheme="minorHAnsi" w:cstheme="minorHAnsi"/>
          <w:bCs/>
          <w:sz w:val="24"/>
          <w:szCs w:val="24"/>
        </w:rPr>
        <w:t xml:space="preserve"> staff</w:t>
      </w:r>
      <w:r w:rsidR="002E799F" w:rsidRPr="005F6042">
        <w:rPr>
          <w:rFonts w:asciiTheme="minorHAnsi" w:hAnsiTheme="minorHAnsi" w:cstheme="minorHAnsi"/>
          <w:bCs/>
          <w:sz w:val="24"/>
          <w:szCs w:val="24"/>
        </w:rPr>
        <w:t xml:space="preserve"> will use the Recruitment Telephone Script (*Attachment 3.3) </w:t>
      </w:r>
      <w:r w:rsidR="002E799F" w:rsidRPr="00792398">
        <w:rPr>
          <w:rFonts w:asciiTheme="minorHAnsi" w:hAnsiTheme="minorHAnsi" w:cstheme="minorHAnsi"/>
          <w:bCs/>
          <w:sz w:val="24"/>
          <w:szCs w:val="24"/>
        </w:rPr>
        <w:t>to determine eligibility</w:t>
      </w:r>
      <w:r w:rsidR="000E2648" w:rsidRPr="00792398">
        <w:rPr>
          <w:rFonts w:asciiTheme="minorHAnsi" w:hAnsiTheme="minorHAnsi" w:cstheme="minorHAnsi"/>
          <w:bCs/>
          <w:sz w:val="24"/>
          <w:szCs w:val="24"/>
        </w:rPr>
        <w:t xml:space="preserve"> by computer-assisted telephone interview (CATI)</w:t>
      </w:r>
      <w:r w:rsidR="002E799F" w:rsidRPr="00792398">
        <w:rPr>
          <w:rFonts w:asciiTheme="minorHAnsi" w:hAnsiTheme="minorHAnsi" w:cstheme="minorHAnsi"/>
          <w:bCs/>
          <w:sz w:val="24"/>
          <w:szCs w:val="24"/>
        </w:rPr>
        <w:t>. The Survey for Refusals (*Attachment 3.4) will be administered</w:t>
      </w:r>
      <w:r w:rsidR="00A3299A" w:rsidRPr="00792398">
        <w:rPr>
          <w:rFonts w:asciiTheme="minorHAnsi" w:hAnsiTheme="minorHAnsi" w:cstheme="minorHAnsi"/>
          <w:bCs/>
          <w:sz w:val="24"/>
          <w:szCs w:val="24"/>
        </w:rPr>
        <w:t xml:space="preserve"> by CATI</w:t>
      </w:r>
      <w:r w:rsidR="002E799F" w:rsidRPr="00792398">
        <w:rPr>
          <w:rFonts w:asciiTheme="minorHAnsi" w:hAnsiTheme="minorHAnsi" w:cstheme="minorHAnsi"/>
          <w:bCs/>
          <w:sz w:val="24"/>
          <w:szCs w:val="24"/>
        </w:rPr>
        <w:t xml:space="preserve"> to </w:t>
      </w:r>
      <w:r w:rsidR="00B83152">
        <w:rPr>
          <w:rFonts w:asciiTheme="minorHAnsi" w:hAnsiTheme="minorHAnsi" w:cstheme="minorHAnsi"/>
          <w:bCs/>
          <w:sz w:val="24"/>
          <w:szCs w:val="24"/>
        </w:rPr>
        <w:t xml:space="preserve">enable </w:t>
      </w:r>
      <w:r w:rsidR="00A3299A" w:rsidRPr="00792398">
        <w:rPr>
          <w:rFonts w:asciiTheme="minorHAnsi" w:hAnsiTheme="minorHAnsi" w:cstheme="minorHAnsi"/>
          <w:bCs/>
          <w:sz w:val="24"/>
          <w:szCs w:val="24"/>
        </w:rPr>
        <w:t>assess</w:t>
      </w:r>
      <w:r w:rsidR="00B83152">
        <w:rPr>
          <w:rFonts w:asciiTheme="minorHAnsi" w:hAnsiTheme="minorHAnsi" w:cstheme="minorHAnsi"/>
          <w:bCs/>
          <w:sz w:val="24"/>
          <w:szCs w:val="24"/>
        </w:rPr>
        <w:t>ment for</w:t>
      </w:r>
      <w:r w:rsidR="00A3299A" w:rsidRPr="00792398">
        <w:rPr>
          <w:rFonts w:asciiTheme="minorHAnsi" w:hAnsiTheme="minorHAnsi" w:cstheme="minorHAnsi"/>
          <w:bCs/>
          <w:sz w:val="24"/>
          <w:szCs w:val="24"/>
        </w:rPr>
        <w:t xml:space="preserve"> </w:t>
      </w:r>
      <w:r w:rsidR="002E799F" w:rsidRPr="00792398">
        <w:rPr>
          <w:rFonts w:asciiTheme="minorHAnsi" w:hAnsiTheme="minorHAnsi" w:cstheme="minorHAnsi"/>
          <w:bCs/>
          <w:sz w:val="24"/>
          <w:szCs w:val="24"/>
        </w:rPr>
        <w:t xml:space="preserve">non-response bias. </w:t>
      </w:r>
    </w:p>
    <w:p w:rsidR="008311D4" w:rsidRDefault="008311D4" w:rsidP="008311D4">
      <w:pPr>
        <w:spacing w:after="0" w:line="240" w:lineRule="auto"/>
        <w:ind w:left="720"/>
        <w:jc w:val="both"/>
        <w:rPr>
          <w:rFonts w:asciiTheme="minorHAnsi" w:hAnsiTheme="minorHAnsi" w:cstheme="minorHAnsi"/>
          <w:bCs/>
          <w:sz w:val="24"/>
          <w:szCs w:val="24"/>
        </w:rPr>
      </w:pPr>
    </w:p>
    <w:p w:rsidR="00A3299A" w:rsidRDefault="002854F1" w:rsidP="008311D4">
      <w:pPr>
        <w:spacing w:after="0" w:line="240" w:lineRule="auto"/>
        <w:ind w:left="720"/>
        <w:jc w:val="both"/>
        <w:rPr>
          <w:rFonts w:asciiTheme="minorHAnsi" w:hAnsiTheme="minorHAnsi" w:cstheme="minorHAnsi"/>
          <w:bCs/>
          <w:sz w:val="24"/>
          <w:szCs w:val="24"/>
        </w:rPr>
      </w:pPr>
      <w:r>
        <w:rPr>
          <w:rFonts w:asciiTheme="minorHAnsi" w:hAnsiTheme="minorHAnsi" w:cstheme="minorHAnsi"/>
          <w:bCs/>
          <w:sz w:val="24"/>
          <w:szCs w:val="24"/>
        </w:rPr>
        <w:t>A</w:t>
      </w:r>
      <w:r w:rsidR="002E799F" w:rsidRPr="00F46D82">
        <w:rPr>
          <w:rFonts w:asciiTheme="minorHAnsi" w:hAnsiTheme="minorHAnsi" w:cstheme="minorHAnsi"/>
          <w:bCs/>
          <w:sz w:val="24"/>
          <w:szCs w:val="24"/>
        </w:rPr>
        <w:t>n appointment</w:t>
      </w:r>
      <w:r>
        <w:rPr>
          <w:rFonts w:asciiTheme="minorHAnsi" w:hAnsiTheme="minorHAnsi" w:cstheme="minorHAnsi"/>
          <w:bCs/>
          <w:sz w:val="24"/>
          <w:szCs w:val="24"/>
        </w:rPr>
        <w:t xml:space="preserve"> for the </w:t>
      </w:r>
      <w:r w:rsidR="008811C1">
        <w:rPr>
          <w:rFonts w:asciiTheme="minorHAnsi" w:hAnsiTheme="minorHAnsi" w:cstheme="minorHAnsi"/>
          <w:bCs/>
          <w:sz w:val="24"/>
          <w:szCs w:val="24"/>
        </w:rPr>
        <w:t xml:space="preserve">consent process and the </w:t>
      </w:r>
      <w:r>
        <w:rPr>
          <w:rFonts w:asciiTheme="minorHAnsi" w:hAnsiTheme="minorHAnsi" w:cstheme="minorHAnsi"/>
          <w:bCs/>
          <w:sz w:val="24"/>
          <w:szCs w:val="24"/>
        </w:rPr>
        <w:t>personal interview</w:t>
      </w:r>
      <w:r w:rsidR="002E799F" w:rsidRPr="00F46D82">
        <w:rPr>
          <w:rFonts w:asciiTheme="minorHAnsi" w:hAnsiTheme="minorHAnsi" w:cstheme="minorHAnsi"/>
          <w:bCs/>
          <w:sz w:val="24"/>
          <w:szCs w:val="24"/>
        </w:rPr>
        <w:t xml:space="preserve"> </w:t>
      </w:r>
      <w:proofErr w:type="gramStart"/>
      <w:r w:rsidR="002E799F" w:rsidRPr="00F46D82">
        <w:rPr>
          <w:rFonts w:asciiTheme="minorHAnsi" w:hAnsiTheme="minorHAnsi" w:cstheme="minorHAnsi"/>
          <w:bCs/>
          <w:sz w:val="24"/>
          <w:szCs w:val="24"/>
        </w:rPr>
        <w:t>will be scheduled</w:t>
      </w:r>
      <w:proofErr w:type="gramEnd"/>
      <w:r w:rsidR="00854186">
        <w:rPr>
          <w:rFonts w:asciiTheme="minorHAnsi" w:hAnsiTheme="minorHAnsi" w:cstheme="minorHAnsi"/>
          <w:bCs/>
          <w:sz w:val="24"/>
          <w:szCs w:val="24"/>
        </w:rPr>
        <w:t xml:space="preserve"> at </w:t>
      </w:r>
      <w:r>
        <w:rPr>
          <w:rFonts w:asciiTheme="minorHAnsi" w:hAnsiTheme="minorHAnsi" w:cstheme="minorHAnsi"/>
          <w:bCs/>
          <w:sz w:val="24"/>
          <w:szCs w:val="24"/>
        </w:rPr>
        <w:t>a</w:t>
      </w:r>
      <w:r w:rsidR="003D7D52">
        <w:rPr>
          <w:rFonts w:asciiTheme="minorHAnsi" w:hAnsiTheme="minorHAnsi" w:cstheme="minorHAnsi"/>
          <w:bCs/>
          <w:sz w:val="24"/>
          <w:szCs w:val="24"/>
        </w:rPr>
        <w:t xml:space="preserve"> choice of</w:t>
      </w:r>
      <w:r w:rsidR="00E37A8A">
        <w:rPr>
          <w:rFonts w:asciiTheme="minorHAnsi" w:hAnsiTheme="minorHAnsi" w:cstheme="minorHAnsi"/>
          <w:bCs/>
          <w:sz w:val="24"/>
          <w:szCs w:val="24"/>
        </w:rPr>
        <w:t xml:space="preserve"> the CCHD</w:t>
      </w:r>
      <w:r w:rsidR="00BD2FC8">
        <w:rPr>
          <w:rFonts w:asciiTheme="minorHAnsi" w:hAnsiTheme="minorHAnsi" w:cstheme="minorHAnsi"/>
          <w:bCs/>
          <w:sz w:val="24"/>
          <w:szCs w:val="24"/>
        </w:rPr>
        <w:t>, the</w:t>
      </w:r>
      <w:r w:rsidR="00E37A8A">
        <w:rPr>
          <w:rFonts w:asciiTheme="minorHAnsi" w:hAnsiTheme="minorHAnsi" w:cstheme="minorHAnsi"/>
          <w:bCs/>
          <w:sz w:val="24"/>
          <w:szCs w:val="24"/>
        </w:rPr>
        <w:t xml:space="preserve"> West Anniston study office</w:t>
      </w:r>
      <w:r w:rsidR="00BD2FC8">
        <w:rPr>
          <w:rFonts w:asciiTheme="minorHAnsi" w:hAnsiTheme="minorHAnsi" w:cstheme="minorHAnsi"/>
          <w:bCs/>
          <w:sz w:val="24"/>
          <w:szCs w:val="24"/>
        </w:rPr>
        <w:t>,</w:t>
      </w:r>
      <w:r w:rsidR="00E37A8A">
        <w:rPr>
          <w:rFonts w:asciiTheme="minorHAnsi" w:hAnsiTheme="minorHAnsi" w:cstheme="minorHAnsi"/>
          <w:bCs/>
          <w:sz w:val="24"/>
          <w:szCs w:val="24"/>
        </w:rPr>
        <w:t xml:space="preserve"> or</w:t>
      </w:r>
      <w:r w:rsidR="00BD2FC8">
        <w:rPr>
          <w:rFonts w:asciiTheme="minorHAnsi" w:hAnsiTheme="minorHAnsi" w:cstheme="minorHAnsi"/>
          <w:bCs/>
          <w:sz w:val="24"/>
          <w:szCs w:val="24"/>
        </w:rPr>
        <w:t xml:space="preserve"> at</w:t>
      </w:r>
      <w:r w:rsidR="00E37A8A">
        <w:rPr>
          <w:rFonts w:asciiTheme="minorHAnsi" w:hAnsiTheme="minorHAnsi" w:cstheme="minorHAnsi"/>
          <w:bCs/>
          <w:sz w:val="24"/>
          <w:szCs w:val="24"/>
        </w:rPr>
        <w:t xml:space="preserve"> a home visit. </w:t>
      </w:r>
      <w:r w:rsidR="002E799F" w:rsidRPr="00F46D82">
        <w:rPr>
          <w:rFonts w:asciiTheme="minorHAnsi" w:hAnsiTheme="minorHAnsi" w:cstheme="minorHAnsi"/>
          <w:bCs/>
          <w:sz w:val="24"/>
          <w:szCs w:val="24"/>
        </w:rPr>
        <w:t xml:space="preserve">The Appointment Reminder Card (Attachment 3.5) </w:t>
      </w:r>
      <w:r w:rsidR="00E37A8A">
        <w:rPr>
          <w:rFonts w:asciiTheme="minorHAnsi" w:hAnsiTheme="minorHAnsi" w:cstheme="minorHAnsi"/>
          <w:bCs/>
          <w:sz w:val="24"/>
          <w:szCs w:val="24"/>
        </w:rPr>
        <w:t xml:space="preserve">with instructions for the appointment </w:t>
      </w:r>
      <w:proofErr w:type="gramStart"/>
      <w:r w:rsidR="002E799F" w:rsidRPr="00F46D82">
        <w:rPr>
          <w:rFonts w:asciiTheme="minorHAnsi" w:hAnsiTheme="minorHAnsi" w:cstheme="minorHAnsi"/>
          <w:bCs/>
          <w:sz w:val="24"/>
          <w:szCs w:val="24"/>
        </w:rPr>
        <w:t>will be mailed</w:t>
      </w:r>
      <w:proofErr w:type="gramEnd"/>
      <w:r w:rsidR="00E37A8A">
        <w:rPr>
          <w:rFonts w:asciiTheme="minorHAnsi" w:hAnsiTheme="minorHAnsi" w:cstheme="minorHAnsi"/>
          <w:bCs/>
          <w:sz w:val="24"/>
          <w:szCs w:val="24"/>
        </w:rPr>
        <w:t>.</w:t>
      </w:r>
      <w:r w:rsidR="002E799F" w:rsidRPr="00F46D82">
        <w:rPr>
          <w:rFonts w:asciiTheme="minorHAnsi" w:hAnsiTheme="minorHAnsi" w:cstheme="minorHAnsi"/>
          <w:bCs/>
          <w:sz w:val="24"/>
          <w:szCs w:val="24"/>
        </w:rPr>
        <w:t xml:space="preserve"> </w:t>
      </w:r>
      <w:r w:rsidR="00E37A8A">
        <w:rPr>
          <w:rFonts w:asciiTheme="minorHAnsi" w:hAnsiTheme="minorHAnsi" w:cstheme="minorHAnsi"/>
          <w:bCs/>
          <w:sz w:val="24"/>
          <w:szCs w:val="24"/>
        </w:rPr>
        <w:t xml:space="preserve">A few days before the appointment, trained staff will call to remind the eligible person of his or her appointment (Attachment 3.6 - </w:t>
      </w:r>
      <w:r w:rsidR="002E799F" w:rsidRPr="00F46D82">
        <w:rPr>
          <w:rFonts w:asciiTheme="minorHAnsi" w:hAnsiTheme="minorHAnsi" w:cstheme="minorHAnsi"/>
          <w:bCs/>
          <w:sz w:val="24"/>
          <w:szCs w:val="24"/>
        </w:rPr>
        <w:t xml:space="preserve">Reminder </w:t>
      </w:r>
      <w:r w:rsidR="007D71BB">
        <w:rPr>
          <w:rFonts w:asciiTheme="minorHAnsi" w:hAnsiTheme="minorHAnsi" w:cstheme="minorHAnsi"/>
          <w:bCs/>
          <w:sz w:val="24"/>
          <w:szCs w:val="24"/>
        </w:rPr>
        <w:t xml:space="preserve">Telephone </w:t>
      </w:r>
      <w:r w:rsidR="002E799F" w:rsidRPr="00F46D82">
        <w:rPr>
          <w:rFonts w:asciiTheme="minorHAnsi" w:hAnsiTheme="minorHAnsi" w:cstheme="minorHAnsi"/>
          <w:bCs/>
          <w:sz w:val="24"/>
          <w:szCs w:val="24"/>
        </w:rPr>
        <w:t>Script</w:t>
      </w:r>
      <w:r w:rsidR="0058643D">
        <w:rPr>
          <w:rFonts w:asciiTheme="minorHAnsi" w:hAnsiTheme="minorHAnsi" w:cstheme="minorHAnsi"/>
          <w:bCs/>
          <w:sz w:val="24"/>
          <w:szCs w:val="24"/>
        </w:rPr>
        <w:t>)</w:t>
      </w:r>
      <w:r w:rsidR="002E799F" w:rsidRPr="00F46D82">
        <w:rPr>
          <w:rFonts w:asciiTheme="minorHAnsi" w:hAnsiTheme="minorHAnsi" w:cstheme="minorHAnsi"/>
          <w:bCs/>
          <w:sz w:val="24"/>
          <w:szCs w:val="24"/>
        </w:rPr>
        <w:t>.</w:t>
      </w:r>
    </w:p>
    <w:p w:rsidR="008311D4" w:rsidRDefault="008311D4" w:rsidP="00166EA1">
      <w:pPr>
        <w:spacing w:after="0" w:line="240" w:lineRule="auto"/>
        <w:ind w:left="720"/>
        <w:jc w:val="both"/>
        <w:rPr>
          <w:rFonts w:asciiTheme="minorHAnsi" w:hAnsiTheme="minorHAnsi" w:cstheme="minorHAnsi"/>
          <w:bCs/>
          <w:sz w:val="24"/>
          <w:szCs w:val="24"/>
        </w:rPr>
      </w:pPr>
    </w:p>
    <w:p w:rsidR="002E799F" w:rsidRPr="00F46D82" w:rsidRDefault="002E799F" w:rsidP="008311D4">
      <w:pPr>
        <w:spacing w:line="240" w:lineRule="auto"/>
        <w:ind w:left="720"/>
        <w:jc w:val="both"/>
        <w:rPr>
          <w:rFonts w:asciiTheme="minorHAnsi" w:hAnsiTheme="minorHAnsi" w:cstheme="minorHAnsi"/>
          <w:bCs/>
          <w:i/>
          <w:sz w:val="24"/>
          <w:szCs w:val="24"/>
        </w:rPr>
      </w:pPr>
      <w:proofErr w:type="gramStart"/>
      <w:r w:rsidRPr="00F46D82">
        <w:rPr>
          <w:rFonts w:asciiTheme="minorHAnsi" w:hAnsiTheme="minorHAnsi" w:cstheme="minorHAnsi"/>
          <w:bCs/>
          <w:sz w:val="24"/>
          <w:szCs w:val="24"/>
        </w:rPr>
        <w:t xml:space="preserve">Recruitment </w:t>
      </w:r>
      <w:r w:rsidR="001A17CE">
        <w:rPr>
          <w:rFonts w:asciiTheme="minorHAnsi" w:hAnsiTheme="minorHAnsi" w:cstheme="minorHAnsi"/>
          <w:bCs/>
          <w:sz w:val="24"/>
          <w:szCs w:val="24"/>
        </w:rPr>
        <w:t xml:space="preserve">and eligibility screening </w:t>
      </w:r>
      <w:r w:rsidRPr="00F46D82">
        <w:rPr>
          <w:rFonts w:asciiTheme="minorHAnsi" w:hAnsiTheme="minorHAnsi" w:cstheme="minorHAnsi"/>
          <w:bCs/>
          <w:sz w:val="24"/>
          <w:szCs w:val="24"/>
        </w:rPr>
        <w:t>progress and final dispositions will be recorded by trained study staff (Attachment 3.7 – Recruitment Tracking Form)</w:t>
      </w:r>
      <w:proofErr w:type="gramEnd"/>
      <w:r w:rsidRPr="00F46D82">
        <w:rPr>
          <w:rFonts w:asciiTheme="minorHAnsi" w:hAnsiTheme="minorHAnsi" w:cstheme="minorHAnsi"/>
          <w:bCs/>
          <w:sz w:val="24"/>
          <w:szCs w:val="24"/>
        </w:rPr>
        <w:t>.</w:t>
      </w:r>
    </w:p>
    <w:p w:rsidR="002E799F" w:rsidRPr="00F46D82" w:rsidRDefault="008311D4" w:rsidP="00166EA1">
      <w:pPr>
        <w:numPr>
          <w:ilvl w:val="0"/>
          <w:numId w:val="48"/>
        </w:numPr>
        <w:spacing w:line="240" w:lineRule="auto"/>
        <w:ind w:left="720"/>
        <w:jc w:val="both"/>
        <w:rPr>
          <w:rFonts w:asciiTheme="minorHAnsi" w:hAnsiTheme="minorHAnsi" w:cstheme="minorHAnsi"/>
          <w:bCs/>
          <w:i/>
          <w:sz w:val="24"/>
          <w:szCs w:val="24"/>
        </w:rPr>
      </w:pPr>
      <w:r>
        <w:rPr>
          <w:rFonts w:asciiTheme="minorHAnsi" w:hAnsiTheme="minorHAnsi" w:cstheme="minorHAnsi"/>
          <w:bCs/>
          <w:i/>
          <w:sz w:val="24"/>
          <w:szCs w:val="24"/>
        </w:rPr>
        <w:t xml:space="preserve">Consent and </w:t>
      </w:r>
      <w:r w:rsidR="002E799F" w:rsidRPr="00F46D82">
        <w:rPr>
          <w:rFonts w:asciiTheme="minorHAnsi" w:hAnsiTheme="minorHAnsi" w:cstheme="minorHAnsi"/>
          <w:bCs/>
          <w:i/>
          <w:sz w:val="24"/>
          <w:szCs w:val="24"/>
        </w:rPr>
        <w:t xml:space="preserve">Enrollment: </w:t>
      </w:r>
      <w:r w:rsidR="00792398">
        <w:rPr>
          <w:rFonts w:asciiTheme="minorHAnsi" w:hAnsiTheme="minorHAnsi" w:cstheme="minorHAnsi"/>
          <w:bCs/>
          <w:sz w:val="24"/>
          <w:szCs w:val="24"/>
        </w:rPr>
        <w:t>I</w:t>
      </w:r>
      <w:r w:rsidR="002E799F" w:rsidRPr="00F46D82">
        <w:rPr>
          <w:rFonts w:asciiTheme="minorHAnsi" w:hAnsiTheme="minorHAnsi" w:cstheme="minorHAnsi"/>
          <w:bCs/>
          <w:sz w:val="24"/>
          <w:szCs w:val="24"/>
        </w:rPr>
        <w:t xml:space="preserve">nformed consent </w:t>
      </w:r>
      <w:proofErr w:type="gramStart"/>
      <w:r w:rsidR="002E799F" w:rsidRPr="00F46D82">
        <w:rPr>
          <w:rFonts w:asciiTheme="minorHAnsi" w:hAnsiTheme="minorHAnsi" w:cstheme="minorHAnsi"/>
          <w:bCs/>
          <w:sz w:val="24"/>
          <w:szCs w:val="24"/>
        </w:rPr>
        <w:t>will be documented</w:t>
      </w:r>
      <w:proofErr w:type="gramEnd"/>
      <w:r w:rsidR="002E799F" w:rsidRPr="00F46D82">
        <w:rPr>
          <w:rFonts w:asciiTheme="minorHAnsi" w:hAnsiTheme="minorHAnsi" w:cstheme="minorHAnsi"/>
          <w:bCs/>
          <w:sz w:val="24"/>
          <w:szCs w:val="24"/>
        </w:rPr>
        <w:t xml:space="preserve"> on a paper-and-pencil form (Attachment 3.8). </w:t>
      </w:r>
      <w:r w:rsidR="00792398">
        <w:rPr>
          <w:rFonts w:asciiTheme="minorHAnsi" w:hAnsiTheme="minorHAnsi" w:cstheme="minorHAnsi"/>
          <w:bCs/>
          <w:sz w:val="24"/>
          <w:szCs w:val="24"/>
        </w:rPr>
        <w:t>Next</w:t>
      </w:r>
      <w:r w:rsidR="002E799F" w:rsidRPr="00F46D82">
        <w:rPr>
          <w:rFonts w:asciiTheme="minorHAnsi" w:hAnsiTheme="minorHAnsi" w:cstheme="minorHAnsi"/>
          <w:bCs/>
          <w:sz w:val="24"/>
          <w:szCs w:val="24"/>
        </w:rPr>
        <w:t xml:space="preserve">, each </w:t>
      </w:r>
      <w:r w:rsidR="00E26A9A">
        <w:rPr>
          <w:rFonts w:asciiTheme="minorHAnsi" w:hAnsiTheme="minorHAnsi" w:cstheme="minorHAnsi"/>
          <w:bCs/>
          <w:sz w:val="24"/>
          <w:szCs w:val="24"/>
        </w:rPr>
        <w:t>responden</w:t>
      </w:r>
      <w:r w:rsidR="002E799F" w:rsidRPr="00F46D82">
        <w:rPr>
          <w:rFonts w:asciiTheme="minorHAnsi" w:hAnsiTheme="minorHAnsi" w:cstheme="minorHAnsi"/>
          <w:bCs/>
          <w:sz w:val="24"/>
          <w:szCs w:val="24"/>
        </w:rPr>
        <w:t>t will be asked to update his or her contact information in a computer-assisted personal interview (CAPI) (*Attachment 3.9), if necessary</w:t>
      </w:r>
      <w:r w:rsidR="00D818ED">
        <w:rPr>
          <w:rFonts w:asciiTheme="minorHAnsi" w:hAnsiTheme="minorHAnsi" w:cstheme="minorHAnsi"/>
          <w:bCs/>
          <w:sz w:val="24"/>
          <w:szCs w:val="24"/>
        </w:rPr>
        <w:t>,</w:t>
      </w:r>
      <w:r w:rsidR="002E799F" w:rsidRPr="00F46D82">
        <w:rPr>
          <w:rFonts w:asciiTheme="minorHAnsi" w:hAnsiTheme="minorHAnsi" w:cstheme="minorHAnsi"/>
          <w:bCs/>
          <w:sz w:val="24"/>
          <w:szCs w:val="24"/>
        </w:rPr>
        <w:t xml:space="preserve"> so that results reports will be mailed to an accurate address.</w:t>
      </w:r>
    </w:p>
    <w:p w:rsidR="0080289B" w:rsidRPr="00166EA1" w:rsidRDefault="00792398" w:rsidP="00166EA1">
      <w:pPr>
        <w:numPr>
          <w:ilvl w:val="0"/>
          <w:numId w:val="48"/>
        </w:numPr>
        <w:spacing w:after="0" w:line="240" w:lineRule="auto"/>
        <w:ind w:left="720"/>
        <w:jc w:val="both"/>
        <w:rPr>
          <w:rFonts w:asciiTheme="minorHAnsi" w:hAnsiTheme="minorHAnsi" w:cstheme="minorHAnsi"/>
          <w:b/>
          <w:bCs/>
          <w:i/>
          <w:sz w:val="24"/>
          <w:szCs w:val="24"/>
        </w:rPr>
      </w:pPr>
      <w:r>
        <w:rPr>
          <w:rFonts w:asciiTheme="minorHAnsi" w:hAnsiTheme="minorHAnsi" w:cstheme="minorHAnsi"/>
          <w:bCs/>
          <w:i/>
          <w:sz w:val="24"/>
          <w:szCs w:val="24"/>
        </w:rPr>
        <w:t xml:space="preserve">Personal </w:t>
      </w:r>
      <w:r w:rsidR="002E799F" w:rsidRPr="00F46D82">
        <w:rPr>
          <w:rFonts w:asciiTheme="minorHAnsi" w:hAnsiTheme="minorHAnsi" w:cstheme="minorHAnsi"/>
          <w:bCs/>
          <w:i/>
          <w:sz w:val="24"/>
          <w:szCs w:val="24"/>
        </w:rPr>
        <w:t xml:space="preserve">Interview: </w:t>
      </w:r>
      <w:r w:rsidR="006A5660">
        <w:rPr>
          <w:rFonts w:asciiTheme="minorHAnsi" w:hAnsiTheme="minorHAnsi" w:cstheme="minorHAnsi"/>
          <w:bCs/>
          <w:sz w:val="24"/>
          <w:szCs w:val="24"/>
        </w:rPr>
        <w:t xml:space="preserve">The IC </w:t>
      </w:r>
      <w:proofErr w:type="gramStart"/>
      <w:r w:rsidR="006A5660" w:rsidRPr="00663170">
        <w:rPr>
          <w:rFonts w:asciiTheme="minorHAnsi" w:hAnsiTheme="minorHAnsi" w:cstheme="minorHAnsi"/>
          <w:bCs/>
          <w:sz w:val="24"/>
          <w:szCs w:val="24"/>
        </w:rPr>
        <w:t xml:space="preserve">will be </w:t>
      </w:r>
      <w:r w:rsidR="006A5660" w:rsidRPr="00F24FD4">
        <w:rPr>
          <w:rFonts w:asciiTheme="minorHAnsi" w:hAnsiTheme="minorHAnsi" w:cstheme="minorHAnsi"/>
          <w:bCs/>
          <w:sz w:val="24"/>
          <w:szCs w:val="24"/>
        </w:rPr>
        <w:t>conducted</w:t>
      </w:r>
      <w:proofErr w:type="gramEnd"/>
      <w:r w:rsidR="006A5660" w:rsidRPr="00F24FD4">
        <w:rPr>
          <w:rFonts w:asciiTheme="minorHAnsi" w:hAnsiTheme="minorHAnsi" w:cstheme="minorHAnsi"/>
          <w:bCs/>
          <w:sz w:val="24"/>
          <w:szCs w:val="24"/>
        </w:rPr>
        <w:t xml:space="preserve"> by interview, clinical assessments, and blood collection for analytical measurements </w:t>
      </w:r>
      <w:r w:rsidR="0033591C">
        <w:rPr>
          <w:rFonts w:asciiTheme="minorHAnsi" w:hAnsiTheme="minorHAnsi" w:cstheme="minorHAnsi"/>
          <w:bCs/>
          <w:sz w:val="24"/>
          <w:szCs w:val="24"/>
        </w:rPr>
        <w:t>of specific contaminants. E</w:t>
      </w:r>
      <w:r w:rsidR="002E799F" w:rsidRPr="00F46D82">
        <w:rPr>
          <w:rFonts w:asciiTheme="minorHAnsi" w:hAnsiTheme="minorHAnsi" w:cstheme="minorHAnsi"/>
          <w:bCs/>
          <w:sz w:val="24"/>
          <w:szCs w:val="24"/>
        </w:rPr>
        <w:t xml:space="preserve">ach </w:t>
      </w:r>
      <w:r w:rsidR="00E26A9A">
        <w:rPr>
          <w:rFonts w:asciiTheme="minorHAnsi" w:hAnsiTheme="minorHAnsi" w:cstheme="minorHAnsi"/>
          <w:bCs/>
          <w:sz w:val="24"/>
          <w:szCs w:val="24"/>
        </w:rPr>
        <w:t>responden</w:t>
      </w:r>
      <w:r w:rsidR="00E26A9A" w:rsidRPr="00F46D82">
        <w:rPr>
          <w:rFonts w:asciiTheme="minorHAnsi" w:hAnsiTheme="minorHAnsi" w:cstheme="minorHAnsi"/>
          <w:bCs/>
          <w:sz w:val="24"/>
          <w:szCs w:val="24"/>
        </w:rPr>
        <w:t>t</w:t>
      </w:r>
      <w:r w:rsidR="002E799F" w:rsidRPr="00F46D82">
        <w:rPr>
          <w:rFonts w:asciiTheme="minorHAnsi" w:hAnsiTheme="minorHAnsi" w:cstheme="minorHAnsi"/>
          <w:bCs/>
          <w:sz w:val="24"/>
          <w:szCs w:val="24"/>
        </w:rPr>
        <w:t xml:space="preserve"> will be asked to bring in all of his or her medications</w:t>
      </w:r>
      <w:r w:rsidR="0058117E">
        <w:rPr>
          <w:rFonts w:asciiTheme="minorHAnsi" w:hAnsiTheme="minorHAnsi" w:cstheme="minorHAnsi"/>
          <w:bCs/>
          <w:sz w:val="24"/>
          <w:szCs w:val="24"/>
        </w:rPr>
        <w:t xml:space="preserve"> to</w:t>
      </w:r>
      <w:r w:rsidR="002E799F" w:rsidRPr="00F46D82">
        <w:rPr>
          <w:rFonts w:asciiTheme="minorHAnsi" w:hAnsiTheme="minorHAnsi" w:cstheme="minorHAnsi"/>
          <w:bCs/>
          <w:sz w:val="24"/>
          <w:szCs w:val="24"/>
        </w:rPr>
        <w:t xml:space="preserve"> be recorded on the paper-and-pencil Medications Form (*Attachment 3.10). </w:t>
      </w:r>
      <w:r w:rsidR="009F5133">
        <w:rPr>
          <w:rFonts w:asciiTheme="minorHAnsi" w:hAnsiTheme="minorHAnsi" w:cstheme="minorHAnsi"/>
          <w:bCs/>
          <w:sz w:val="24"/>
          <w:szCs w:val="24"/>
        </w:rPr>
        <w:t>Clinical assessment</w:t>
      </w:r>
      <w:r w:rsidR="00CF3B3A">
        <w:rPr>
          <w:rFonts w:asciiTheme="minorHAnsi" w:hAnsiTheme="minorHAnsi" w:cstheme="minorHAnsi"/>
          <w:bCs/>
          <w:sz w:val="24"/>
          <w:szCs w:val="24"/>
        </w:rPr>
        <w:t xml:space="preserve">s </w:t>
      </w:r>
      <w:proofErr w:type="gramStart"/>
      <w:r w:rsidR="002E799F" w:rsidRPr="00F46D82">
        <w:rPr>
          <w:rFonts w:asciiTheme="minorHAnsi" w:hAnsiTheme="minorHAnsi" w:cstheme="minorHAnsi"/>
          <w:bCs/>
          <w:sz w:val="24"/>
          <w:szCs w:val="24"/>
        </w:rPr>
        <w:t>will be recorded</w:t>
      </w:r>
      <w:proofErr w:type="gramEnd"/>
      <w:r w:rsidR="002E799F" w:rsidRPr="00F46D82">
        <w:rPr>
          <w:rFonts w:asciiTheme="minorHAnsi" w:hAnsiTheme="minorHAnsi" w:cstheme="minorHAnsi"/>
          <w:bCs/>
          <w:sz w:val="24"/>
          <w:szCs w:val="24"/>
        </w:rPr>
        <w:t xml:space="preserve"> on the paper-and-pencil Body and Blood Pressure Measures Form (Attachment 3.11). </w:t>
      </w:r>
      <w:r w:rsidR="003F48EF">
        <w:rPr>
          <w:rFonts w:asciiTheme="minorHAnsi" w:hAnsiTheme="minorHAnsi" w:cstheme="minorHAnsi"/>
          <w:bCs/>
          <w:sz w:val="24"/>
          <w:szCs w:val="24"/>
        </w:rPr>
        <w:t>At the time of the blood draw, h</w:t>
      </w:r>
      <w:r w:rsidR="002E799F" w:rsidRPr="00F46D82">
        <w:rPr>
          <w:rFonts w:asciiTheme="minorHAnsi" w:hAnsiTheme="minorHAnsi" w:cstheme="minorHAnsi"/>
          <w:bCs/>
          <w:sz w:val="24"/>
          <w:szCs w:val="24"/>
        </w:rPr>
        <w:t>ardcopy screening questions for blood collection will</w:t>
      </w:r>
      <w:r w:rsidR="00CF3B3A">
        <w:rPr>
          <w:rFonts w:asciiTheme="minorHAnsi" w:hAnsiTheme="minorHAnsi" w:cstheme="minorHAnsi"/>
          <w:bCs/>
          <w:sz w:val="24"/>
          <w:szCs w:val="24"/>
        </w:rPr>
        <w:t xml:space="preserve"> </w:t>
      </w:r>
      <w:r w:rsidR="002E799F" w:rsidRPr="00F46D82">
        <w:rPr>
          <w:rFonts w:asciiTheme="minorHAnsi" w:hAnsiTheme="minorHAnsi" w:cstheme="minorHAnsi"/>
          <w:bCs/>
          <w:sz w:val="24"/>
          <w:szCs w:val="24"/>
        </w:rPr>
        <w:t>also be completed (*Attachment 3.12 - Blood Draw Form).</w:t>
      </w:r>
      <w:r w:rsidR="002B277B">
        <w:rPr>
          <w:rFonts w:asciiTheme="minorHAnsi" w:hAnsiTheme="minorHAnsi" w:cstheme="minorHAnsi"/>
          <w:bCs/>
          <w:sz w:val="24"/>
          <w:szCs w:val="24"/>
        </w:rPr>
        <w:t xml:space="preserve"> </w:t>
      </w:r>
      <w:r w:rsidR="002E799F" w:rsidRPr="00F46D82">
        <w:rPr>
          <w:rFonts w:asciiTheme="minorHAnsi" w:hAnsiTheme="minorHAnsi" w:cstheme="minorHAnsi"/>
          <w:bCs/>
          <w:sz w:val="24"/>
          <w:szCs w:val="24"/>
        </w:rPr>
        <w:t>The Questionnaire will be administered by CAPI (*Attachment</w:t>
      </w:r>
      <w:r w:rsidR="002158B2">
        <w:rPr>
          <w:rFonts w:asciiTheme="minorHAnsi" w:hAnsiTheme="minorHAnsi" w:cstheme="minorHAnsi"/>
          <w:bCs/>
          <w:sz w:val="24"/>
          <w:szCs w:val="24"/>
        </w:rPr>
        <w:t>s</w:t>
      </w:r>
      <w:r w:rsidR="002E799F" w:rsidRPr="00F46D82">
        <w:rPr>
          <w:rFonts w:asciiTheme="minorHAnsi" w:hAnsiTheme="minorHAnsi" w:cstheme="minorHAnsi"/>
          <w:bCs/>
          <w:sz w:val="24"/>
          <w:szCs w:val="24"/>
        </w:rPr>
        <w:t xml:space="preserve"> 3.13</w:t>
      </w:r>
      <w:r w:rsidR="00E11FA7">
        <w:rPr>
          <w:rFonts w:asciiTheme="minorHAnsi" w:hAnsiTheme="minorHAnsi" w:cstheme="minorHAnsi"/>
          <w:bCs/>
          <w:sz w:val="24"/>
          <w:szCs w:val="24"/>
        </w:rPr>
        <w:t>b and 3.13c</w:t>
      </w:r>
      <w:r w:rsidR="002E799F" w:rsidRPr="00F46D82">
        <w:rPr>
          <w:rFonts w:asciiTheme="minorHAnsi" w:hAnsiTheme="minorHAnsi" w:cstheme="minorHAnsi"/>
          <w:bCs/>
          <w:sz w:val="24"/>
          <w:szCs w:val="24"/>
        </w:rPr>
        <w:t xml:space="preserve">). </w:t>
      </w:r>
      <w:proofErr w:type="gramStart"/>
      <w:r w:rsidR="002E799F" w:rsidRPr="00F46D82">
        <w:rPr>
          <w:rFonts w:asciiTheme="minorHAnsi" w:hAnsiTheme="minorHAnsi" w:cstheme="minorHAnsi"/>
          <w:bCs/>
          <w:sz w:val="24"/>
          <w:szCs w:val="24"/>
        </w:rPr>
        <w:t>Appointment progress and data collection completion will be recorded by trained study staff (Attachment 3.14 – Appointment Tracking Form)</w:t>
      </w:r>
      <w:proofErr w:type="gramEnd"/>
      <w:r w:rsidR="002E799F" w:rsidRPr="00F46D82">
        <w:rPr>
          <w:rFonts w:asciiTheme="minorHAnsi" w:hAnsiTheme="minorHAnsi" w:cstheme="minorHAnsi"/>
          <w:bCs/>
          <w:sz w:val="24"/>
          <w:szCs w:val="24"/>
        </w:rPr>
        <w:t>.</w:t>
      </w:r>
    </w:p>
    <w:p w:rsidR="0080289B" w:rsidRPr="00F46D82" w:rsidRDefault="0080289B" w:rsidP="00CD6773">
      <w:pPr>
        <w:pStyle w:val="Heading4"/>
        <w:spacing w:before="0" w:line="240" w:lineRule="auto"/>
        <w:rPr>
          <w:rFonts w:asciiTheme="minorHAnsi" w:hAnsiTheme="minorHAnsi" w:cstheme="minorHAnsi"/>
          <w:color w:val="auto"/>
        </w:rPr>
      </w:pPr>
      <w:bookmarkStart w:id="10" w:name="_Toc296699083"/>
    </w:p>
    <w:p w:rsidR="009B7A3C" w:rsidRPr="00166EA1" w:rsidRDefault="00020EFF" w:rsidP="00663170">
      <w:pPr>
        <w:pStyle w:val="Heading4"/>
        <w:spacing w:before="0" w:line="240" w:lineRule="auto"/>
      </w:pPr>
      <w:bookmarkStart w:id="11" w:name="_Toc349489241"/>
      <w:r w:rsidRPr="00166EA1">
        <w:rPr>
          <w:rFonts w:asciiTheme="minorHAnsi" w:hAnsiTheme="minorHAnsi" w:cstheme="minorHAnsi"/>
        </w:rPr>
        <w:t xml:space="preserve">Items of Information to be </w:t>
      </w:r>
      <w:proofErr w:type="gramStart"/>
      <w:r w:rsidRPr="00166EA1">
        <w:rPr>
          <w:rFonts w:asciiTheme="minorHAnsi" w:hAnsiTheme="minorHAnsi" w:cstheme="minorHAnsi"/>
        </w:rPr>
        <w:t>Collected</w:t>
      </w:r>
      <w:bookmarkEnd w:id="10"/>
      <w:bookmarkEnd w:id="11"/>
      <w:proofErr w:type="gramEnd"/>
    </w:p>
    <w:p w:rsidR="002F59EC" w:rsidRPr="00722159" w:rsidRDefault="002F59EC" w:rsidP="002E799F">
      <w:pPr>
        <w:spacing w:after="0" w:line="240" w:lineRule="auto"/>
        <w:jc w:val="both"/>
        <w:rPr>
          <w:rFonts w:asciiTheme="minorHAnsi" w:hAnsiTheme="minorHAnsi" w:cstheme="minorHAnsi"/>
          <w:sz w:val="24"/>
          <w:szCs w:val="24"/>
        </w:rPr>
      </w:pPr>
    </w:p>
    <w:p w:rsidR="00B84260" w:rsidRPr="006B2ED7" w:rsidRDefault="004A57B2" w:rsidP="002E799F">
      <w:pPr>
        <w:spacing w:after="0" w:line="240" w:lineRule="auto"/>
        <w:jc w:val="both"/>
        <w:rPr>
          <w:rFonts w:asciiTheme="minorHAnsi" w:hAnsiTheme="minorHAnsi" w:cstheme="minorHAnsi"/>
          <w:bCs/>
          <w:sz w:val="24"/>
          <w:szCs w:val="24"/>
        </w:rPr>
      </w:pPr>
      <w:r w:rsidRPr="005F3738">
        <w:rPr>
          <w:rFonts w:asciiTheme="minorHAnsi" w:eastAsia="Times New Roman" w:hAnsiTheme="minorHAnsi" w:cstheme="minorHAnsi"/>
          <w:i/>
          <w:sz w:val="24"/>
          <w:szCs w:val="24"/>
        </w:rPr>
        <w:t xml:space="preserve">Contact Information. </w:t>
      </w:r>
      <w:r w:rsidR="00907B66">
        <w:rPr>
          <w:rFonts w:asciiTheme="minorHAnsi" w:eastAsia="Times New Roman" w:hAnsiTheme="minorHAnsi" w:cstheme="minorHAnsi"/>
          <w:sz w:val="24"/>
          <w:szCs w:val="24"/>
        </w:rPr>
        <w:t>Social Securi</w:t>
      </w:r>
      <w:r w:rsidR="00EB4254">
        <w:rPr>
          <w:rFonts w:asciiTheme="minorHAnsi" w:eastAsia="Times New Roman" w:hAnsiTheme="minorHAnsi" w:cstheme="minorHAnsi"/>
          <w:sz w:val="24"/>
          <w:szCs w:val="24"/>
        </w:rPr>
        <w:t>ty Numbers (SSN) were not</w:t>
      </w:r>
      <w:r w:rsidR="00907B66">
        <w:rPr>
          <w:rFonts w:asciiTheme="minorHAnsi" w:eastAsia="Times New Roman" w:hAnsiTheme="minorHAnsi" w:cstheme="minorHAnsi"/>
          <w:sz w:val="24"/>
          <w:szCs w:val="24"/>
        </w:rPr>
        <w:t xml:space="preserve"> collected for the ACHS Cohort. </w:t>
      </w:r>
      <w:r w:rsidR="00D8779E">
        <w:rPr>
          <w:rFonts w:asciiTheme="minorHAnsi" w:eastAsia="Times New Roman" w:hAnsiTheme="minorHAnsi" w:cstheme="minorHAnsi"/>
          <w:sz w:val="24"/>
          <w:szCs w:val="24"/>
        </w:rPr>
        <w:t xml:space="preserve">For the </w:t>
      </w:r>
      <w:r w:rsidR="00907B66">
        <w:rPr>
          <w:rFonts w:asciiTheme="minorHAnsi" w:eastAsia="Times New Roman" w:hAnsiTheme="minorHAnsi" w:cstheme="minorHAnsi"/>
          <w:sz w:val="24"/>
          <w:szCs w:val="24"/>
        </w:rPr>
        <w:t>ACHS</w:t>
      </w:r>
      <w:r w:rsidR="00540C00">
        <w:rPr>
          <w:rFonts w:asciiTheme="minorHAnsi" w:eastAsia="Times New Roman" w:hAnsiTheme="minorHAnsi" w:cstheme="minorHAnsi"/>
          <w:sz w:val="24"/>
          <w:szCs w:val="24"/>
        </w:rPr>
        <w:t>-</w:t>
      </w:r>
      <w:r w:rsidR="00907B66">
        <w:rPr>
          <w:rFonts w:asciiTheme="minorHAnsi" w:eastAsia="Times New Roman" w:hAnsiTheme="minorHAnsi" w:cstheme="minorHAnsi"/>
          <w:sz w:val="24"/>
          <w:szCs w:val="24"/>
        </w:rPr>
        <w:t xml:space="preserve">II </w:t>
      </w:r>
      <w:r w:rsidR="00D8779E">
        <w:rPr>
          <w:rFonts w:asciiTheme="minorHAnsi" w:eastAsia="Times New Roman" w:hAnsiTheme="minorHAnsi" w:cstheme="minorHAnsi"/>
          <w:sz w:val="24"/>
          <w:szCs w:val="24"/>
        </w:rPr>
        <w:t>recruitment</w:t>
      </w:r>
      <w:r w:rsidR="00A36C79" w:rsidRPr="005F3738">
        <w:rPr>
          <w:rFonts w:asciiTheme="minorHAnsi" w:eastAsia="Times New Roman" w:hAnsiTheme="minorHAnsi" w:cstheme="minorHAnsi"/>
          <w:sz w:val="24"/>
          <w:szCs w:val="24"/>
        </w:rPr>
        <w:t xml:space="preserve"> activities, </w:t>
      </w:r>
      <w:r w:rsidR="00F873A0" w:rsidRPr="00C23E36">
        <w:rPr>
          <w:rFonts w:asciiTheme="minorHAnsi" w:eastAsia="Times New Roman" w:hAnsiTheme="minorHAnsi" w:cstheme="minorHAnsi"/>
          <w:sz w:val="24"/>
          <w:szCs w:val="24"/>
        </w:rPr>
        <w:t xml:space="preserve">trained </w:t>
      </w:r>
      <w:r w:rsidR="00CE7914">
        <w:rPr>
          <w:rFonts w:asciiTheme="minorHAnsi" w:eastAsia="Times New Roman" w:hAnsiTheme="minorHAnsi" w:cstheme="minorHAnsi"/>
          <w:sz w:val="24"/>
          <w:szCs w:val="24"/>
        </w:rPr>
        <w:t>University of Alabama (</w:t>
      </w:r>
      <w:r w:rsidR="008311D4">
        <w:rPr>
          <w:rFonts w:asciiTheme="minorHAnsi" w:eastAsia="Times New Roman" w:hAnsiTheme="minorHAnsi" w:cstheme="minorHAnsi"/>
          <w:sz w:val="24"/>
          <w:szCs w:val="24"/>
        </w:rPr>
        <w:t>UAB</w:t>
      </w:r>
      <w:r w:rsidR="00CE7914">
        <w:rPr>
          <w:rFonts w:asciiTheme="minorHAnsi" w:eastAsia="Times New Roman" w:hAnsiTheme="minorHAnsi" w:cstheme="minorHAnsi"/>
          <w:sz w:val="24"/>
          <w:szCs w:val="24"/>
        </w:rPr>
        <w:t>)</w:t>
      </w:r>
      <w:r w:rsidR="008311D4">
        <w:rPr>
          <w:rFonts w:asciiTheme="minorHAnsi" w:eastAsia="Times New Roman" w:hAnsiTheme="minorHAnsi" w:cstheme="minorHAnsi"/>
          <w:sz w:val="24"/>
          <w:szCs w:val="24"/>
        </w:rPr>
        <w:t xml:space="preserve"> study staff</w:t>
      </w:r>
      <w:r w:rsidR="009F0BB6" w:rsidRPr="006B2ED7">
        <w:rPr>
          <w:rFonts w:asciiTheme="minorHAnsi" w:eastAsia="Times New Roman" w:hAnsiTheme="minorHAnsi" w:cstheme="minorHAnsi"/>
          <w:sz w:val="24"/>
          <w:szCs w:val="24"/>
        </w:rPr>
        <w:t xml:space="preserve"> will abstract </w:t>
      </w:r>
      <w:r w:rsidR="006B2ED7">
        <w:rPr>
          <w:rFonts w:asciiTheme="minorHAnsi" w:eastAsia="Times New Roman" w:hAnsiTheme="minorHAnsi" w:cstheme="minorHAnsi"/>
          <w:sz w:val="24"/>
          <w:szCs w:val="24"/>
        </w:rPr>
        <w:t>IIF</w:t>
      </w:r>
      <w:r w:rsidR="001D4DB4">
        <w:rPr>
          <w:rFonts w:asciiTheme="minorHAnsi" w:eastAsia="Times New Roman" w:hAnsiTheme="minorHAnsi" w:cstheme="minorHAnsi"/>
          <w:sz w:val="24"/>
          <w:szCs w:val="24"/>
        </w:rPr>
        <w:t xml:space="preserve"> from ACHS records</w:t>
      </w:r>
      <w:r w:rsidR="006B2ED7">
        <w:rPr>
          <w:rFonts w:asciiTheme="minorHAnsi" w:eastAsia="Times New Roman" w:hAnsiTheme="minorHAnsi" w:cstheme="minorHAnsi"/>
          <w:sz w:val="24"/>
          <w:szCs w:val="24"/>
        </w:rPr>
        <w:t xml:space="preserve"> (name, address, phone number, date of birth, date of the ACHS interview, original ACHS study ID)</w:t>
      </w:r>
      <w:r w:rsidR="009F0BB6" w:rsidRPr="006B2ED7">
        <w:rPr>
          <w:rFonts w:asciiTheme="minorHAnsi" w:eastAsia="Times New Roman" w:hAnsiTheme="minorHAnsi" w:cstheme="minorHAnsi"/>
          <w:sz w:val="24"/>
          <w:szCs w:val="24"/>
        </w:rPr>
        <w:t xml:space="preserve"> to recruit, schedule appointments</w:t>
      </w:r>
      <w:r w:rsidR="006B2ED7">
        <w:rPr>
          <w:rFonts w:asciiTheme="minorHAnsi" w:eastAsia="Times New Roman" w:hAnsiTheme="minorHAnsi" w:cstheme="minorHAnsi"/>
          <w:sz w:val="24"/>
          <w:szCs w:val="24"/>
        </w:rPr>
        <w:t xml:space="preserve">, </w:t>
      </w:r>
      <w:r w:rsidR="006B2ED7" w:rsidRPr="006B2ED7">
        <w:rPr>
          <w:rFonts w:asciiTheme="minorHAnsi" w:eastAsia="Times New Roman" w:hAnsiTheme="minorHAnsi" w:cstheme="minorHAnsi"/>
          <w:sz w:val="24"/>
          <w:szCs w:val="24"/>
        </w:rPr>
        <w:t>obtain informed consent</w:t>
      </w:r>
      <w:r w:rsidR="006B2ED7">
        <w:rPr>
          <w:rFonts w:asciiTheme="minorHAnsi" w:eastAsia="Times New Roman" w:hAnsiTheme="minorHAnsi" w:cstheme="minorHAnsi"/>
          <w:sz w:val="24"/>
          <w:szCs w:val="24"/>
        </w:rPr>
        <w:t>, and conduct</w:t>
      </w:r>
      <w:r w:rsidR="009F0BB6" w:rsidRPr="006B2ED7">
        <w:rPr>
          <w:rFonts w:asciiTheme="minorHAnsi" w:eastAsia="Times New Roman" w:hAnsiTheme="minorHAnsi" w:cstheme="minorHAnsi"/>
          <w:sz w:val="24"/>
          <w:szCs w:val="24"/>
        </w:rPr>
        <w:t xml:space="preserve"> interview</w:t>
      </w:r>
      <w:r w:rsidR="006B2ED7">
        <w:rPr>
          <w:rFonts w:asciiTheme="minorHAnsi" w:eastAsia="Times New Roman" w:hAnsiTheme="minorHAnsi" w:cstheme="minorHAnsi"/>
          <w:sz w:val="24"/>
          <w:szCs w:val="24"/>
        </w:rPr>
        <w:t>s</w:t>
      </w:r>
      <w:r w:rsidR="009F0BB6" w:rsidRPr="006B2ED7">
        <w:rPr>
          <w:rFonts w:asciiTheme="minorHAnsi" w:eastAsia="Times New Roman" w:hAnsiTheme="minorHAnsi" w:cstheme="minorHAnsi"/>
          <w:sz w:val="24"/>
          <w:szCs w:val="24"/>
        </w:rPr>
        <w:t>. A</w:t>
      </w:r>
      <w:r w:rsidR="00393A6D">
        <w:rPr>
          <w:rFonts w:asciiTheme="minorHAnsi" w:eastAsia="Times New Roman" w:hAnsiTheme="minorHAnsi" w:cstheme="minorHAnsi"/>
          <w:sz w:val="24"/>
          <w:szCs w:val="24"/>
        </w:rPr>
        <w:t>n</w:t>
      </w:r>
      <w:r w:rsidR="00CB488E">
        <w:rPr>
          <w:rFonts w:asciiTheme="minorHAnsi" w:eastAsia="Times New Roman" w:hAnsiTheme="minorHAnsi" w:cstheme="minorHAnsi"/>
          <w:sz w:val="24"/>
          <w:szCs w:val="24"/>
        </w:rPr>
        <w:t xml:space="preserve"> ACHS-II</w:t>
      </w:r>
      <w:r w:rsidR="009F0BB6" w:rsidRPr="006B2ED7">
        <w:rPr>
          <w:rFonts w:asciiTheme="minorHAnsi" w:eastAsia="Times New Roman" w:hAnsiTheme="minorHAnsi" w:cstheme="minorHAnsi"/>
          <w:sz w:val="24"/>
          <w:szCs w:val="24"/>
        </w:rPr>
        <w:t xml:space="preserve"> study</w:t>
      </w:r>
      <w:r w:rsidR="00F873A0" w:rsidRPr="006B2ED7">
        <w:rPr>
          <w:rFonts w:asciiTheme="minorHAnsi" w:eastAsia="Times New Roman" w:hAnsiTheme="minorHAnsi" w:cstheme="minorHAnsi"/>
          <w:sz w:val="24"/>
          <w:szCs w:val="24"/>
        </w:rPr>
        <w:t xml:space="preserve"> identification number</w:t>
      </w:r>
      <w:r w:rsidR="009F0BB6" w:rsidRPr="006B2ED7">
        <w:rPr>
          <w:rFonts w:asciiTheme="minorHAnsi" w:eastAsia="Times New Roman" w:hAnsiTheme="minorHAnsi" w:cstheme="minorHAnsi"/>
          <w:sz w:val="24"/>
          <w:szCs w:val="24"/>
        </w:rPr>
        <w:t xml:space="preserve"> </w:t>
      </w:r>
      <w:r w:rsidR="00F873A0" w:rsidRPr="006B2ED7">
        <w:rPr>
          <w:rFonts w:asciiTheme="minorHAnsi" w:eastAsia="Times New Roman" w:hAnsiTheme="minorHAnsi" w:cstheme="minorHAnsi"/>
          <w:sz w:val="24"/>
          <w:szCs w:val="24"/>
        </w:rPr>
        <w:t>(</w:t>
      </w:r>
      <w:r w:rsidR="009F0BB6" w:rsidRPr="006B2ED7">
        <w:rPr>
          <w:rFonts w:asciiTheme="minorHAnsi" w:eastAsia="Times New Roman" w:hAnsiTheme="minorHAnsi" w:cstheme="minorHAnsi"/>
          <w:sz w:val="24"/>
          <w:szCs w:val="24"/>
        </w:rPr>
        <w:t>ID</w:t>
      </w:r>
      <w:r w:rsidR="00F873A0" w:rsidRPr="006B2ED7">
        <w:rPr>
          <w:rFonts w:asciiTheme="minorHAnsi" w:eastAsia="Times New Roman" w:hAnsiTheme="minorHAnsi" w:cstheme="minorHAnsi"/>
          <w:sz w:val="24"/>
          <w:szCs w:val="24"/>
        </w:rPr>
        <w:t>)</w:t>
      </w:r>
      <w:r w:rsidR="009F0BB6" w:rsidRPr="006B2ED7">
        <w:rPr>
          <w:rFonts w:asciiTheme="minorHAnsi" w:eastAsia="Times New Roman" w:hAnsiTheme="minorHAnsi" w:cstheme="minorHAnsi"/>
          <w:sz w:val="24"/>
          <w:szCs w:val="24"/>
        </w:rPr>
        <w:t xml:space="preserve"> number </w:t>
      </w:r>
      <w:proofErr w:type="gramStart"/>
      <w:r w:rsidR="009F0BB6" w:rsidRPr="006B2ED7">
        <w:rPr>
          <w:rFonts w:asciiTheme="minorHAnsi" w:eastAsia="Times New Roman" w:hAnsiTheme="minorHAnsi" w:cstheme="minorHAnsi"/>
          <w:sz w:val="24"/>
          <w:szCs w:val="24"/>
        </w:rPr>
        <w:t>will b</w:t>
      </w:r>
      <w:r w:rsidR="002A0547" w:rsidRPr="006B2ED7">
        <w:rPr>
          <w:rFonts w:asciiTheme="minorHAnsi" w:eastAsia="Times New Roman" w:hAnsiTheme="minorHAnsi" w:cstheme="minorHAnsi"/>
          <w:sz w:val="24"/>
          <w:szCs w:val="24"/>
        </w:rPr>
        <w:t>e assigned</w:t>
      </w:r>
      <w:proofErr w:type="gramEnd"/>
      <w:r w:rsidR="002A0547" w:rsidRPr="006B2ED7">
        <w:rPr>
          <w:rFonts w:asciiTheme="minorHAnsi" w:eastAsia="Times New Roman" w:hAnsiTheme="minorHAnsi" w:cstheme="minorHAnsi"/>
          <w:sz w:val="24"/>
          <w:szCs w:val="24"/>
        </w:rPr>
        <w:t xml:space="preserve"> to each </w:t>
      </w:r>
      <w:r w:rsidR="00E26A9A">
        <w:rPr>
          <w:rFonts w:asciiTheme="minorHAnsi" w:hAnsiTheme="minorHAnsi" w:cstheme="minorHAnsi"/>
          <w:bCs/>
          <w:sz w:val="24"/>
          <w:szCs w:val="24"/>
        </w:rPr>
        <w:t>responden</w:t>
      </w:r>
      <w:r w:rsidR="00E26A9A" w:rsidRPr="00F46D82">
        <w:rPr>
          <w:rFonts w:asciiTheme="minorHAnsi" w:hAnsiTheme="minorHAnsi" w:cstheme="minorHAnsi"/>
          <w:bCs/>
          <w:sz w:val="24"/>
          <w:szCs w:val="24"/>
        </w:rPr>
        <w:t>t</w:t>
      </w:r>
      <w:r w:rsidR="002863EE">
        <w:rPr>
          <w:rFonts w:asciiTheme="minorHAnsi" w:eastAsia="Times New Roman" w:hAnsiTheme="minorHAnsi" w:cstheme="minorHAnsi"/>
          <w:sz w:val="24"/>
          <w:szCs w:val="24"/>
        </w:rPr>
        <w:t>. C</w:t>
      </w:r>
      <w:r w:rsidR="00CB488E">
        <w:rPr>
          <w:rFonts w:asciiTheme="minorHAnsi" w:eastAsia="Times New Roman" w:hAnsiTheme="minorHAnsi" w:cstheme="minorHAnsi"/>
          <w:sz w:val="24"/>
          <w:szCs w:val="24"/>
        </w:rPr>
        <w:t>ontact information</w:t>
      </w:r>
      <w:r w:rsidR="002863EE">
        <w:rPr>
          <w:rFonts w:asciiTheme="minorHAnsi" w:eastAsia="Times New Roman" w:hAnsiTheme="minorHAnsi" w:cstheme="minorHAnsi"/>
          <w:sz w:val="24"/>
          <w:szCs w:val="24"/>
        </w:rPr>
        <w:t xml:space="preserve"> </w:t>
      </w:r>
      <w:proofErr w:type="gramStart"/>
      <w:r w:rsidR="002863EE">
        <w:rPr>
          <w:rFonts w:asciiTheme="minorHAnsi" w:eastAsia="Times New Roman" w:hAnsiTheme="minorHAnsi" w:cstheme="minorHAnsi"/>
          <w:sz w:val="24"/>
          <w:szCs w:val="24"/>
        </w:rPr>
        <w:t>will be updated</w:t>
      </w:r>
      <w:proofErr w:type="gramEnd"/>
      <w:r w:rsidR="002863EE">
        <w:rPr>
          <w:rFonts w:asciiTheme="minorHAnsi" w:eastAsia="Times New Roman" w:hAnsiTheme="minorHAnsi" w:cstheme="minorHAnsi"/>
          <w:sz w:val="24"/>
          <w:szCs w:val="24"/>
        </w:rPr>
        <w:t xml:space="preserve"> during recruitment</w:t>
      </w:r>
      <w:r w:rsidR="00812389">
        <w:rPr>
          <w:rFonts w:asciiTheme="minorHAnsi" w:eastAsia="Times New Roman" w:hAnsiTheme="minorHAnsi" w:cstheme="minorHAnsi"/>
          <w:sz w:val="24"/>
          <w:szCs w:val="24"/>
        </w:rPr>
        <w:t xml:space="preserve"> as needed</w:t>
      </w:r>
      <w:r w:rsidR="00627E78" w:rsidRPr="006B2ED7">
        <w:rPr>
          <w:rFonts w:asciiTheme="minorHAnsi" w:eastAsia="Times New Roman" w:hAnsiTheme="minorHAnsi" w:cstheme="minorHAnsi"/>
          <w:sz w:val="24"/>
          <w:szCs w:val="24"/>
        </w:rPr>
        <w:t xml:space="preserve">. </w:t>
      </w:r>
      <w:r w:rsidR="00A36C79" w:rsidRPr="006B2ED7">
        <w:rPr>
          <w:rFonts w:asciiTheme="minorHAnsi" w:hAnsiTheme="minorHAnsi" w:cstheme="minorHAnsi"/>
          <w:bCs/>
          <w:sz w:val="24"/>
          <w:szCs w:val="24"/>
        </w:rPr>
        <w:t xml:space="preserve">The uses </w:t>
      </w:r>
      <w:r w:rsidR="00A36C79" w:rsidRPr="006B2ED7">
        <w:rPr>
          <w:rFonts w:asciiTheme="minorHAnsi" w:hAnsiTheme="minorHAnsi" w:cstheme="minorHAnsi"/>
          <w:bCs/>
          <w:sz w:val="24"/>
          <w:szCs w:val="24"/>
        </w:rPr>
        <w:lastRenderedPageBreak/>
        <w:t>of IIF</w:t>
      </w:r>
      <w:r w:rsidR="004B3874" w:rsidRPr="006B2ED7">
        <w:rPr>
          <w:rFonts w:asciiTheme="minorHAnsi" w:hAnsiTheme="minorHAnsi" w:cstheme="minorHAnsi"/>
          <w:bCs/>
          <w:sz w:val="24"/>
          <w:szCs w:val="24"/>
        </w:rPr>
        <w:t xml:space="preserve"> from the </w:t>
      </w:r>
      <w:r w:rsidR="00A36C79" w:rsidRPr="006B2ED7">
        <w:rPr>
          <w:rFonts w:asciiTheme="minorHAnsi" w:hAnsiTheme="minorHAnsi" w:cstheme="minorHAnsi"/>
          <w:bCs/>
          <w:sz w:val="24"/>
          <w:szCs w:val="24"/>
        </w:rPr>
        <w:t>ACHS Cohort List or updated for the ACHS-II are noted by stage in the Information Flow Chart (Attachment 3</w:t>
      </w:r>
      <w:r w:rsidR="006D2E1C">
        <w:rPr>
          <w:rFonts w:asciiTheme="minorHAnsi" w:hAnsiTheme="minorHAnsi" w:cstheme="minorHAnsi"/>
          <w:bCs/>
          <w:sz w:val="24"/>
          <w:szCs w:val="24"/>
        </w:rPr>
        <w:t xml:space="preserve"> – </w:t>
      </w:r>
      <w:r w:rsidR="002B6D2C">
        <w:rPr>
          <w:rFonts w:asciiTheme="minorHAnsi" w:hAnsiTheme="minorHAnsi" w:cstheme="minorHAnsi"/>
          <w:bCs/>
          <w:sz w:val="24"/>
          <w:szCs w:val="24"/>
        </w:rPr>
        <w:t>Overview of Data Collection System</w:t>
      </w:r>
      <w:r w:rsidR="00A36C79" w:rsidRPr="006B2ED7">
        <w:rPr>
          <w:rFonts w:asciiTheme="minorHAnsi" w:hAnsiTheme="minorHAnsi" w:cstheme="minorHAnsi"/>
          <w:bCs/>
          <w:sz w:val="24"/>
          <w:szCs w:val="24"/>
        </w:rPr>
        <w:t>).</w:t>
      </w:r>
    </w:p>
    <w:p w:rsidR="00F873A0" w:rsidRPr="00393A6D" w:rsidRDefault="00F873A0" w:rsidP="002E799F">
      <w:pPr>
        <w:spacing w:after="0" w:line="240" w:lineRule="auto"/>
        <w:jc w:val="both"/>
        <w:rPr>
          <w:rFonts w:asciiTheme="minorHAnsi" w:eastAsia="Times New Roman" w:hAnsiTheme="minorHAnsi" w:cstheme="minorHAnsi"/>
          <w:sz w:val="24"/>
          <w:szCs w:val="24"/>
        </w:rPr>
      </w:pPr>
    </w:p>
    <w:p w:rsidR="00D645EE" w:rsidRDefault="00E26A9A" w:rsidP="00B30478">
      <w:pPr>
        <w:spacing w:after="0" w:line="240" w:lineRule="auto"/>
        <w:jc w:val="both"/>
        <w:rPr>
          <w:rFonts w:asciiTheme="minorHAnsi" w:hAnsiTheme="minorHAnsi" w:cstheme="minorHAnsi"/>
          <w:sz w:val="24"/>
          <w:szCs w:val="24"/>
        </w:rPr>
      </w:pPr>
      <w:r>
        <w:rPr>
          <w:rFonts w:asciiTheme="minorHAnsi" w:eastAsia="Times New Roman" w:hAnsiTheme="minorHAnsi" w:cstheme="minorHAnsi"/>
          <w:sz w:val="24"/>
          <w:szCs w:val="24"/>
        </w:rPr>
        <w:t>Records of</w:t>
      </w:r>
      <w:r w:rsidR="004D4B46">
        <w:rPr>
          <w:rFonts w:asciiTheme="minorHAnsi" w:eastAsia="Times New Roman" w:hAnsiTheme="minorHAnsi" w:cstheme="minorHAnsi"/>
          <w:sz w:val="24"/>
          <w:szCs w:val="24"/>
        </w:rPr>
        <w:t xml:space="preserve"> interview respon</w:t>
      </w:r>
      <w:r w:rsidR="00F82E3B">
        <w:rPr>
          <w:rFonts w:asciiTheme="minorHAnsi" w:eastAsia="Times New Roman" w:hAnsiTheme="minorHAnsi" w:cstheme="minorHAnsi"/>
          <w:sz w:val="24"/>
          <w:szCs w:val="24"/>
        </w:rPr>
        <w:t>s</w:t>
      </w:r>
      <w:r w:rsidR="004D4B46">
        <w:rPr>
          <w:rFonts w:asciiTheme="minorHAnsi" w:eastAsia="Times New Roman" w:hAnsiTheme="minorHAnsi" w:cstheme="minorHAnsi"/>
          <w:sz w:val="24"/>
          <w:szCs w:val="24"/>
        </w:rPr>
        <w:t>es</w:t>
      </w:r>
      <w:r w:rsidR="00F82E3B">
        <w:rPr>
          <w:rFonts w:asciiTheme="minorHAnsi" w:eastAsia="Times New Roman" w:hAnsiTheme="minorHAnsi" w:cstheme="minorHAnsi"/>
          <w:sz w:val="24"/>
          <w:szCs w:val="24"/>
        </w:rPr>
        <w:t xml:space="preserve"> </w:t>
      </w:r>
      <w:proofErr w:type="gramStart"/>
      <w:r w:rsidR="00F82E3B">
        <w:rPr>
          <w:rFonts w:asciiTheme="minorHAnsi" w:eastAsia="Times New Roman" w:hAnsiTheme="minorHAnsi" w:cstheme="minorHAnsi"/>
          <w:sz w:val="24"/>
          <w:szCs w:val="24"/>
        </w:rPr>
        <w:t>will be labeled</w:t>
      </w:r>
      <w:proofErr w:type="gramEnd"/>
      <w:r w:rsidR="00F82E3B">
        <w:rPr>
          <w:rFonts w:asciiTheme="minorHAnsi" w:eastAsia="Times New Roman" w:hAnsiTheme="minorHAnsi" w:cstheme="minorHAnsi"/>
          <w:sz w:val="24"/>
          <w:szCs w:val="24"/>
        </w:rPr>
        <w:t xml:space="preserve"> with the ACHS-II study ID only. </w:t>
      </w:r>
      <w:r w:rsidR="00CE0573" w:rsidRPr="00663170">
        <w:rPr>
          <w:rFonts w:asciiTheme="minorHAnsi" w:eastAsia="Times New Roman" w:hAnsiTheme="minorHAnsi" w:cstheme="minorHAnsi"/>
          <w:sz w:val="24"/>
          <w:szCs w:val="24"/>
        </w:rPr>
        <w:t xml:space="preserve">The </w:t>
      </w:r>
      <w:r w:rsidR="00CE0573" w:rsidRPr="006928DC">
        <w:rPr>
          <w:rFonts w:asciiTheme="minorHAnsi" w:eastAsia="Times New Roman" w:hAnsiTheme="minorHAnsi" w:cstheme="minorHAnsi"/>
          <w:sz w:val="24"/>
          <w:szCs w:val="24"/>
        </w:rPr>
        <w:t>following</w:t>
      </w:r>
      <w:r w:rsidR="00CE0573" w:rsidRPr="00AD548D">
        <w:rPr>
          <w:rFonts w:asciiTheme="minorHAnsi" w:eastAsia="Times New Roman" w:hAnsiTheme="minorHAnsi" w:cstheme="minorHAnsi"/>
          <w:sz w:val="24"/>
          <w:szCs w:val="24"/>
        </w:rPr>
        <w:t xml:space="preserve"> </w:t>
      </w:r>
      <w:r w:rsidR="00EB2054" w:rsidRPr="00955810">
        <w:rPr>
          <w:rFonts w:asciiTheme="minorHAnsi" w:eastAsia="Times New Roman" w:hAnsiTheme="minorHAnsi" w:cstheme="minorHAnsi"/>
          <w:sz w:val="24"/>
          <w:szCs w:val="24"/>
        </w:rPr>
        <w:t xml:space="preserve">interview </w:t>
      </w:r>
      <w:r w:rsidR="000D058C" w:rsidRPr="00955810">
        <w:rPr>
          <w:rFonts w:asciiTheme="minorHAnsi" w:eastAsia="Times New Roman" w:hAnsiTheme="minorHAnsi" w:cstheme="minorHAnsi"/>
          <w:sz w:val="24"/>
          <w:szCs w:val="24"/>
        </w:rPr>
        <w:t>response</w:t>
      </w:r>
      <w:r w:rsidR="00EB2054" w:rsidRPr="00955810">
        <w:rPr>
          <w:rFonts w:asciiTheme="minorHAnsi" w:eastAsia="Times New Roman" w:hAnsiTheme="minorHAnsi" w:cstheme="minorHAnsi"/>
          <w:sz w:val="24"/>
          <w:szCs w:val="24"/>
        </w:rPr>
        <w:t>s</w:t>
      </w:r>
      <w:r w:rsidR="000D058C">
        <w:rPr>
          <w:rFonts w:asciiTheme="minorHAnsi" w:eastAsia="Times New Roman" w:hAnsiTheme="minorHAnsi" w:cstheme="minorHAnsi"/>
          <w:sz w:val="24"/>
          <w:szCs w:val="24"/>
        </w:rPr>
        <w:t xml:space="preserve"> </w:t>
      </w:r>
      <w:proofErr w:type="gramStart"/>
      <w:r w:rsidR="000D058C">
        <w:rPr>
          <w:rFonts w:asciiTheme="minorHAnsi" w:eastAsia="Times New Roman" w:hAnsiTheme="minorHAnsi" w:cstheme="minorHAnsi"/>
          <w:sz w:val="24"/>
          <w:szCs w:val="24"/>
        </w:rPr>
        <w:t>will be collected, processed, and stored</w:t>
      </w:r>
      <w:r w:rsidR="00D8779E">
        <w:rPr>
          <w:rFonts w:asciiTheme="minorHAnsi" w:eastAsia="Times New Roman" w:hAnsiTheme="minorHAnsi" w:cstheme="minorHAnsi"/>
          <w:sz w:val="24"/>
          <w:szCs w:val="24"/>
        </w:rPr>
        <w:t xml:space="preserve"> in </w:t>
      </w:r>
      <w:proofErr w:type="spellStart"/>
      <w:r w:rsidR="00D8779E">
        <w:rPr>
          <w:rFonts w:asciiTheme="minorHAnsi" w:eastAsia="Times New Roman" w:hAnsiTheme="minorHAnsi" w:cstheme="minorHAnsi"/>
          <w:sz w:val="24"/>
          <w:szCs w:val="24"/>
        </w:rPr>
        <w:t>deidentified</w:t>
      </w:r>
      <w:proofErr w:type="spellEnd"/>
      <w:r w:rsidR="00D8779E">
        <w:rPr>
          <w:rFonts w:asciiTheme="minorHAnsi" w:eastAsia="Times New Roman" w:hAnsiTheme="minorHAnsi" w:cstheme="minorHAnsi"/>
          <w:sz w:val="24"/>
          <w:szCs w:val="24"/>
        </w:rPr>
        <w:t xml:space="preserve"> files</w:t>
      </w:r>
      <w:proofErr w:type="gramEnd"/>
      <w:r w:rsidR="00D8779E">
        <w:rPr>
          <w:rFonts w:asciiTheme="minorHAnsi" w:eastAsia="Times New Roman" w:hAnsiTheme="minorHAnsi" w:cstheme="minorHAnsi"/>
          <w:sz w:val="24"/>
          <w:szCs w:val="24"/>
        </w:rPr>
        <w:t>:</w:t>
      </w:r>
      <w:r w:rsidR="000D058C">
        <w:rPr>
          <w:rFonts w:asciiTheme="minorHAnsi" w:eastAsia="Times New Roman" w:hAnsiTheme="minorHAnsi" w:cstheme="minorHAnsi"/>
          <w:sz w:val="24"/>
          <w:szCs w:val="24"/>
        </w:rPr>
        <w:t xml:space="preserve"> </w:t>
      </w:r>
      <w:r w:rsidR="00634A65">
        <w:rPr>
          <w:rFonts w:asciiTheme="minorHAnsi" w:eastAsia="Times New Roman" w:hAnsiTheme="minorHAnsi" w:cstheme="minorHAnsi"/>
          <w:sz w:val="24"/>
          <w:szCs w:val="24"/>
        </w:rPr>
        <w:t xml:space="preserve">1) </w:t>
      </w:r>
      <w:r w:rsidR="000E535B">
        <w:rPr>
          <w:rFonts w:asciiTheme="minorHAnsi" w:eastAsia="Times New Roman" w:hAnsiTheme="minorHAnsi" w:cstheme="minorHAnsi"/>
          <w:i/>
          <w:sz w:val="24"/>
          <w:szCs w:val="24"/>
        </w:rPr>
        <w:t>Medications</w:t>
      </w:r>
      <w:r w:rsidR="00634A65">
        <w:rPr>
          <w:rFonts w:asciiTheme="minorHAnsi" w:eastAsia="Times New Roman" w:hAnsiTheme="minorHAnsi" w:cstheme="minorHAnsi"/>
          <w:sz w:val="24"/>
          <w:szCs w:val="24"/>
        </w:rPr>
        <w:t xml:space="preserve"> </w:t>
      </w:r>
      <w:r w:rsidR="00F06057">
        <w:rPr>
          <w:rFonts w:asciiTheme="minorHAnsi" w:eastAsia="Times New Roman" w:hAnsiTheme="minorHAnsi" w:cstheme="minorHAnsi"/>
          <w:sz w:val="24"/>
          <w:szCs w:val="24"/>
        </w:rPr>
        <w:t>(</w:t>
      </w:r>
      <w:r w:rsidR="005B5102">
        <w:rPr>
          <w:rFonts w:asciiTheme="minorHAnsi" w:eastAsia="Times New Roman" w:hAnsiTheme="minorHAnsi" w:cstheme="minorHAnsi"/>
          <w:sz w:val="24"/>
          <w:szCs w:val="24"/>
        </w:rPr>
        <w:t>*</w:t>
      </w:r>
      <w:r w:rsidR="00F06057">
        <w:rPr>
          <w:rFonts w:asciiTheme="minorHAnsi" w:eastAsia="Times New Roman" w:hAnsiTheme="minorHAnsi" w:cstheme="minorHAnsi"/>
          <w:sz w:val="24"/>
          <w:szCs w:val="24"/>
        </w:rPr>
        <w:t>Attachment 3.10)</w:t>
      </w:r>
      <w:r w:rsidR="00634A65">
        <w:rPr>
          <w:rFonts w:asciiTheme="minorHAnsi" w:eastAsia="Times New Roman" w:hAnsiTheme="minorHAnsi" w:cstheme="minorHAnsi"/>
          <w:sz w:val="24"/>
          <w:szCs w:val="24"/>
        </w:rPr>
        <w:t xml:space="preserve">; 2) </w:t>
      </w:r>
      <w:r w:rsidR="00AB2565">
        <w:rPr>
          <w:rFonts w:asciiTheme="minorHAnsi" w:eastAsia="Times New Roman" w:hAnsiTheme="minorHAnsi" w:cstheme="minorHAnsi"/>
          <w:i/>
          <w:sz w:val="24"/>
          <w:szCs w:val="24"/>
        </w:rPr>
        <w:t>Body Measurements</w:t>
      </w:r>
      <w:r w:rsidR="00634A65">
        <w:rPr>
          <w:rFonts w:asciiTheme="minorHAnsi" w:eastAsia="Times New Roman" w:hAnsiTheme="minorHAnsi" w:cstheme="minorHAnsi"/>
          <w:sz w:val="24"/>
          <w:szCs w:val="24"/>
        </w:rPr>
        <w:t xml:space="preserve"> </w:t>
      </w:r>
      <w:r w:rsidR="00F06057">
        <w:rPr>
          <w:rFonts w:asciiTheme="minorHAnsi" w:eastAsia="Times New Roman" w:hAnsiTheme="minorHAnsi" w:cstheme="minorHAnsi"/>
          <w:sz w:val="24"/>
          <w:szCs w:val="24"/>
        </w:rPr>
        <w:t>(Attachment 3.11)</w:t>
      </w:r>
      <w:r w:rsidR="00634A65">
        <w:rPr>
          <w:rFonts w:asciiTheme="minorHAnsi" w:eastAsia="Times New Roman" w:hAnsiTheme="minorHAnsi" w:cstheme="minorHAnsi"/>
          <w:sz w:val="24"/>
          <w:szCs w:val="24"/>
        </w:rPr>
        <w:t xml:space="preserve">; 3) </w:t>
      </w:r>
      <w:r w:rsidR="00F06057">
        <w:rPr>
          <w:rFonts w:asciiTheme="minorHAnsi" w:eastAsia="Times New Roman" w:hAnsiTheme="minorHAnsi" w:cstheme="minorHAnsi"/>
          <w:i/>
          <w:sz w:val="24"/>
          <w:szCs w:val="24"/>
        </w:rPr>
        <w:t>Blood Draw</w:t>
      </w:r>
      <w:r w:rsidR="00634A65">
        <w:rPr>
          <w:rFonts w:asciiTheme="minorHAnsi" w:eastAsia="Times New Roman" w:hAnsiTheme="minorHAnsi" w:cstheme="minorHAnsi"/>
          <w:sz w:val="24"/>
          <w:szCs w:val="24"/>
        </w:rPr>
        <w:t xml:space="preserve"> </w:t>
      </w:r>
      <w:r w:rsidR="006267C6">
        <w:rPr>
          <w:rFonts w:asciiTheme="minorHAnsi" w:eastAsia="Times New Roman" w:hAnsiTheme="minorHAnsi" w:cstheme="minorHAnsi"/>
          <w:sz w:val="24"/>
          <w:szCs w:val="24"/>
        </w:rPr>
        <w:t>(</w:t>
      </w:r>
      <w:r w:rsidR="005B5102">
        <w:rPr>
          <w:rFonts w:asciiTheme="minorHAnsi" w:eastAsia="Times New Roman" w:hAnsiTheme="minorHAnsi" w:cstheme="minorHAnsi"/>
          <w:sz w:val="24"/>
          <w:szCs w:val="24"/>
        </w:rPr>
        <w:t>*</w:t>
      </w:r>
      <w:r w:rsidR="006267C6">
        <w:rPr>
          <w:rFonts w:asciiTheme="minorHAnsi" w:eastAsia="Times New Roman" w:hAnsiTheme="minorHAnsi" w:cstheme="minorHAnsi"/>
          <w:sz w:val="24"/>
          <w:szCs w:val="24"/>
        </w:rPr>
        <w:t>Attachment 3.12)</w:t>
      </w:r>
      <w:r w:rsidR="00634A65">
        <w:rPr>
          <w:rFonts w:asciiTheme="minorHAnsi" w:eastAsia="Times New Roman" w:hAnsiTheme="minorHAnsi" w:cstheme="minorHAnsi"/>
          <w:sz w:val="24"/>
          <w:szCs w:val="24"/>
        </w:rPr>
        <w:t xml:space="preserve">; 4) </w:t>
      </w:r>
      <w:r w:rsidR="00396F96" w:rsidRPr="001C06F5">
        <w:rPr>
          <w:rFonts w:asciiTheme="minorHAnsi" w:eastAsia="Times New Roman" w:hAnsiTheme="minorHAnsi" w:cstheme="minorHAnsi"/>
          <w:i/>
          <w:sz w:val="24"/>
          <w:szCs w:val="24"/>
        </w:rPr>
        <w:t>Questionnair</w:t>
      </w:r>
      <w:r w:rsidR="00634A65">
        <w:rPr>
          <w:rFonts w:asciiTheme="minorHAnsi" w:eastAsia="Times New Roman" w:hAnsiTheme="minorHAnsi" w:cstheme="minorHAnsi"/>
          <w:i/>
          <w:sz w:val="24"/>
          <w:szCs w:val="24"/>
        </w:rPr>
        <w:t xml:space="preserve">e </w:t>
      </w:r>
      <w:r w:rsidR="00B043D6">
        <w:rPr>
          <w:rFonts w:asciiTheme="minorHAnsi" w:eastAsia="Times New Roman" w:hAnsiTheme="minorHAnsi" w:cstheme="minorHAnsi"/>
          <w:sz w:val="24"/>
          <w:szCs w:val="24"/>
        </w:rPr>
        <w:t>(</w:t>
      </w:r>
      <w:r w:rsidR="008E26C7" w:rsidRPr="00EA3CD8">
        <w:rPr>
          <w:rFonts w:asciiTheme="minorHAnsi" w:hAnsiTheme="minorHAnsi" w:cstheme="minorHAnsi"/>
          <w:sz w:val="24"/>
          <w:szCs w:val="24"/>
        </w:rPr>
        <w:t>Attachment</w:t>
      </w:r>
      <w:r w:rsidR="00265C81">
        <w:rPr>
          <w:rFonts w:asciiTheme="minorHAnsi" w:hAnsiTheme="minorHAnsi" w:cstheme="minorHAnsi"/>
          <w:sz w:val="24"/>
          <w:szCs w:val="24"/>
        </w:rPr>
        <w:t>s</w:t>
      </w:r>
      <w:r w:rsidR="008E26C7" w:rsidRPr="00EA3CD8">
        <w:rPr>
          <w:rFonts w:asciiTheme="minorHAnsi" w:hAnsiTheme="minorHAnsi" w:cstheme="minorHAnsi"/>
          <w:sz w:val="24"/>
          <w:szCs w:val="24"/>
        </w:rPr>
        <w:t xml:space="preserve"> </w:t>
      </w:r>
      <w:r w:rsidR="00AC0E55">
        <w:rPr>
          <w:rFonts w:asciiTheme="minorHAnsi" w:hAnsiTheme="minorHAnsi" w:cstheme="minorHAnsi"/>
          <w:sz w:val="24"/>
          <w:szCs w:val="24"/>
        </w:rPr>
        <w:t xml:space="preserve">3.13a, </w:t>
      </w:r>
      <w:r w:rsidR="00574468">
        <w:rPr>
          <w:rFonts w:asciiTheme="minorHAnsi" w:hAnsiTheme="minorHAnsi" w:cstheme="minorHAnsi"/>
          <w:sz w:val="24"/>
          <w:szCs w:val="24"/>
        </w:rPr>
        <w:t>*</w:t>
      </w:r>
      <w:r w:rsidR="00EA3CD8">
        <w:rPr>
          <w:rFonts w:asciiTheme="minorHAnsi" w:hAnsiTheme="minorHAnsi" w:cstheme="minorHAnsi"/>
          <w:sz w:val="24"/>
          <w:szCs w:val="24"/>
        </w:rPr>
        <w:t>3.</w:t>
      </w:r>
      <w:r w:rsidR="008E26C7" w:rsidRPr="00EA3CD8">
        <w:rPr>
          <w:rFonts w:asciiTheme="minorHAnsi" w:hAnsiTheme="minorHAnsi" w:cstheme="minorHAnsi"/>
          <w:sz w:val="24"/>
          <w:szCs w:val="24"/>
        </w:rPr>
        <w:t>13</w:t>
      </w:r>
      <w:r w:rsidR="00265C81">
        <w:rPr>
          <w:rFonts w:asciiTheme="minorHAnsi" w:hAnsiTheme="minorHAnsi" w:cstheme="minorHAnsi"/>
          <w:sz w:val="24"/>
          <w:szCs w:val="24"/>
        </w:rPr>
        <w:t>b</w:t>
      </w:r>
      <w:r w:rsidR="007B68AB">
        <w:rPr>
          <w:rFonts w:asciiTheme="minorHAnsi" w:hAnsiTheme="minorHAnsi" w:cstheme="minorHAnsi"/>
          <w:sz w:val="24"/>
          <w:szCs w:val="24"/>
        </w:rPr>
        <w:t>,</w:t>
      </w:r>
      <w:r w:rsidR="00265C81">
        <w:rPr>
          <w:rFonts w:asciiTheme="minorHAnsi" w:hAnsiTheme="minorHAnsi" w:cstheme="minorHAnsi"/>
          <w:sz w:val="24"/>
          <w:szCs w:val="24"/>
        </w:rPr>
        <w:t xml:space="preserve"> &amp; </w:t>
      </w:r>
      <w:r w:rsidR="00574468">
        <w:rPr>
          <w:rFonts w:asciiTheme="minorHAnsi" w:hAnsiTheme="minorHAnsi" w:cstheme="minorHAnsi"/>
          <w:sz w:val="24"/>
          <w:szCs w:val="24"/>
        </w:rPr>
        <w:t>*</w:t>
      </w:r>
      <w:r w:rsidR="00265C81">
        <w:rPr>
          <w:rFonts w:asciiTheme="minorHAnsi" w:hAnsiTheme="minorHAnsi" w:cstheme="minorHAnsi"/>
          <w:sz w:val="24"/>
          <w:szCs w:val="24"/>
        </w:rPr>
        <w:t>3.13c</w:t>
      </w:r>
      <w:r w:rsidR="008E26C7" w:rsidRPr="00EA3CD8">
        <w:rPr>
          <w:rFonts w:asciiTheme="minorHAnsi" w:hAnsiTheme="minorHAnsi" w:cstheme="minorHAnsi"/>
          <w:sz w:val="24"/>
          <w:szCs w:val="24"/>
        </w:rPr>
        <w:t>)</w:t>
      </w:r>
      <w:r w:rsidR="00AC0E55">
        <w:rPr>
          <w:rFonts w:asciiTheme="minorHAnsi" w:hAnsiTheme="minorHAnsi" w:cstheme="minorHAnsi"/>
          <w:sz w:val="24"/>
          <w:szCs w:val="24"/>
        </w:rPr>
        <w:t xml:space="preserve">; and 5) </w:t>
      </w:r>
      <w:r w:rsidR="00BE0642" w:rsidRPr="00663170">
        <w:rPr>
          <w:rFonts w:asciiTheme="minorHAnsi" w:hAnsiTheme="minorHAnsi" w:cstheme="minorHAnsi"/>
          <w:i/>
          <w:sz w:val="24"/>
          <w:szCs w:val="24"/>
        </w:rPr>
        <w:t>Laboratory</w:t>
      </w:r>
      <w:r w:rsidR="00E70C28" w:rsidRPr="00663170">
        <w:rPr>
          <w:rFonts w:asciiTheme="minorHAnsi" w:hAnsiTheme="minorHAnsi" w:cstheme="minorHAnsi"/>
          <w:i/>
          <w:sz w:val="24"/>
          <w:szCs w:val="24"/>
        </w:rPr>
        <w:t xml:space="preserve"> </w:t>
      </w:r>
      <w:proofErr w:type="spellStart"/>
      <w:r w:rsidR="00E70C28" w:rsidRPr="00663170">
        <w:rPr>
          <w:rFonts w:asciiTheme="minorHAnsi" w:hAnsiTheme="minorHAnsi" w:cstheme="minorHAnsi"/>
          <w:i/>
          <w:sz w:val="24"/>
          <w:szCs w:val="24"/>
        </w:rPr>
        <w:t>Analytes</w:t>
      </w:r>
      <w:proofErr w:type="spellEnd"/>
      <w:r w:rsidR="00E70C28" w:rsidRPr="00663170">
        <w:rPr>
          <w:rFonts w:asciiTheme="minorHAnsi" w:hAnsiTheme="minorHAnsi" w:cstheme="minorHAnsi"/>
          <w:i/>
          <w:sz w:val="24"/>
          <w:szCs w:val="24"/>
        </w:rPr>
        <w:t xml:space="preserve">. </w:t>
      </w:r>
      <w:proofErr w:type="gramStart"/>
      <w:r w:rsidR="00423E48">
        <w:rPr>
          <w:rFonts w:asciiTheme="minorHAnsi" w:hAnsiTheme="minorHAnsi" w:cstheme="minorHAnsi"/>
          <w:sz w:val="24"/>
          <w:szCs w:val="24"/>
        </w:rPr>
        <w:t>Bl</w:t>
      </w:r>
      <w:r w:rsidR="004916FC" w:rsidRPr="00663170">
        <w:rPr>
          <w:rFonts w:asciiTheme="minorHAnsi" w:hAnsiTheme="minorHAnsi" w:cstheme="minorHAnsi"/>
          <w:sz w:val="24"/>
          <w:szCs w:val="24"/>
        </w:rPr>
        <w:t xml:space="preserve">ood and serum specimens </w:t>
      </w:r>
      <w:r w:rsidR="001B07EA">
        <w:rPr>
          <w:rFonts w:asciiTheme="minorHAnsi" w:hAnsiTheme="minorHAnsi" w:cstheme="minorHAnsi"/>
          <w:sz w:val="24"/>
          <w:szCs w:val="24"/>
        </w:rPr>
        <w:t xml:space="preserve">and analytical results </w:t>
      </w:r>
      <w:r w:rsidR="004916FC" w:rsidRPr="00663170">
        <w:rPr>
          <w:rFonts w:asciiTheme="minorHAnsi" w:hAnsiTheme="minorHAnsi" w:cstheme="minorHAnsi"/>
          <w:sz w:val="24"/>
          <w:szCs w:val="24"/>
        </w:rPr>
        <w:t>will be labeled by study ID number only</w:t>
      </w:r>
      <w:proofErr w:type="gramEnd"/>
      <w:r w:rsidR="004916FC" w:rsidRPr="00663170">
        <w:rPr>
          <w:rFonts w:asciiTheme="minorHAnsi" w:hAnsiTheme="minorHAnsi" w:cstheme="minorHAnsi"/>
          <w:sz w:val="24"/>
          <w:szCs w:val="24"/>
        </w:rPr>
        <w:t>. Laboratory personnel will not see or have access to any records with IIF.</w:t>
      </w:r>
      <w:bookmarkStart w:id="12" w:name="_Toc296699084"/>
    </w:p>
    <w:p w:rsidR="00A5313F" w:rsidRDefault="00A5313F" w:rsidP="00B30478">
      <w:pPr>
        <w:spacing w:after="0" w:line="240" w:lineRule="auto"/>
        <w:jc w:val="both"/>
      </w:pPr>
    </w:p>
    <w:p w:rsidR="00020EFF" w:rsidRPr="00D645EE" w:rsidRDefault="00020EFF" w:rsidP="002E799F">
      <w:pPr>
        <w:pStyle w:val="Heading4"/>
        <w:jc w:val="both"/>
        <w:rPr>
          <w:rFonts w:asciiTheme="minorHAnsi" w:hAnsiTheme="minorHAnsi" w:cstheme="minorHAnsi"/>
          <w:sz w:val="24"/>
        </w:rPr>
      </w:pPr>
      <w:bookmarkStart w:id="13" w:name="_Toc349489242"/>
      <w:r w:rsidRPr="00D645EE">
        <w:rPr>
          <w:rFonts w:asciiTheme="minorHAnsi" w:hAnsiTheme="minorHAnsi" w:cstheme="minorHAnsi"/>
          <w:sz w:val="24"/>
        </w:rPr>
        <w:t>Identification of Website(s) and Website Content Directed at Children Under 13 Years of Age</w:t>
      </w:r>
      <w:bookmarkEnd w:id="12"/>
      <w:bookmarkEnd w:id="13"/>
      <w:r w:rsidRPr="00D645EE">
        <w:rPr>
          <w:rFonts w:asciiTheme="minorHAnsi" w:hAnsiTheme="minorHAnsi" w:cstheme="minorHAnsi"/>
          <w:sz w:val="24"/>
        </w:rPr>
        <w:t xml:space="preserve"> </w:t>
      </w:r>
    </w:p>
    <w:p w:rsidR="00262AFC" w:rsidRPr="00D645EE" w:rsidRDefault="00262AFC" w:rsidP="002E799F">
      <w:pPr>
        <w:spacing w:after="0" w:line="240" w:lineRule="auto"/>
        <w:jc w:val="both"/>
        <w:rPr>
          <w:rFonts w:asciiTheme="minorHAnsi" w:hAnsiTheme="minorHAnsi" w:cstheme="minorHAnsi"/>
          <w:color w:val="000000"/>
          <w:sz w:val="28"/>
          <w:szCs w:val="24"/>
        </w:rPr>
      </w:pPr>
    </w:p>
    <w:p w:rsidR="00734930" w:rsidRPr="00F46D82" w:rsidRDefault="00363B92" w:rsidP="002E799F">
      <w:pPr>
        <w:spacing w:after="0" w:line="240" w:lineRule="auto"/>
        <w:jc w:val="both"/>
        <w:rPr>
          <w:rFonts w:asciiTheme="minorHAnsi" w:hAnsiTheme="minorHAnsi" w:cstheme="minorHAnsi"/>
          <w:bCs/>
          <w:sz w:val="24"/>
          <w:szCs w:val="24"/>
        </w:rPr>
      </w:pPr>
      <w:r w:rsidRPr="00F46D82">
        <w:rPr>
          <w:rFonts w:asciiTheme="minorHAnsi" w:hAnsiTheme="minorHAnsi" w:cstheme="minorHAnsi"/>
          <w:color w:val="000000"/>
          <w:sz w:val="24"/>
          <w:szCs w:val="24"/>
        </w:rPr>
        <w:t xml:space="preserve">No </w:t>
      </w:r>
      <w:r w:rsidR="003A514C">
        <w:rPr>
          <w:rFonts w:asciiTheme="minorHAnsi" w:hAnsiTheme="minorHAnsi" w:cstheme="minorHAnsi"/>
          <w:color w:val="000000"/>
          <w:sz w:val="24"/>
          <w:szCs w:val="24"/>
        </w:rPr>
        <w:t>f</w:t>
      </w:r>
      <w:r w:rsidRPr="00F46D82">
        <w:rPr>
          <w:rFonts w:asciiTheme="minorHAnsi" w:hAnsiTheme="minorHAnsi" w:cstheme="minorHAnsi"/>
          <w:color w:val="000000"/>
          <w:sz w:val="24"/>
          <w:szCs w:val="24"/>
        </w:rPr>
        <w:t>ederal</w:t>
      </w:r>
      <w:r w:rsidR="00632D06" w:rsidRPr="00F46D82">
        <w:rPr>
          <w:rFonts w:asciiTheme="minorHAnsi" w:hAnsiTheme="minorHAnsi" w:cstheme="minorHAnsi"/>
          <w:color w:val="000000"/>
          <w:sz w:val="24"/>
          <w:szCs w:val="24"/>
        </w:rPr>
        <w:t>, UAB, or health department</w:t>
      </w:r>
      <w:r w:rsidR="009001F2" w:rsidRPr="00F46D82">
        <w:rPr>
          <w:rFonts w:asciiTheme="minorHAnsi" w:hAnsiTheme="minorHAnsi" w:cstheme="minorHAnsi"/>
          <w:color w:val="000000"/>
          <w:sz w:val="24"/>
          <w:szCs w:val="24"/>
        </w:rPr>
        <w:t xml:space="preserve"> websites </w:t>
      </w:r>
      <w:proofErr w:type="gramStart"/>
      <w:r w:rsidR="009001F2" w:rsidRPr="00F46D82">
        <w:rPr>
          <w:rFonts w:asciiTheme="minorHAnsi" w:hAnsiTheme="minorHAnsi" w:cstheme="minorHAnsi"/>
          <w:color w:val="000000"/>
          <w:sz w:val="24"/>
          <w:szCs w:val="24"/>
        </w:rPr>
        <w:t>will be developed</w:t>
      </w:r>
      <w:proofErr w:type="gramEnd"/>
      <w:r w:rsidR="00931D4F" w:rsidRPr="00F46D82">
        <w:rPr>
          <w:rFonts w:asciiTheme="minorHAnsi" w:hAnsiTheme="minorHAnsi" w:cstheme="minorHAnsi"/>
          <w:color w:val="000000"/>
          <w:sz w:val="24"/>
          <w:szCs w:val="24"/>
        </w:rPr>
        <w:t xml:space="preserve"> to collect information</w:t>
      </w:r>
      <w:r w:rsidR="009001F2" w:rsidRPr="00F46D82">
        <w:rPr>
          <w:rFonts w:asciiTheme="minorHAnsi" w:hAnsiTheme="minorHAnsi" w:cstheme="minorHAnsi"/>
          <w:color w:val="000000"/>
          <w:sz w:val="24"/>
          <w:szCs w:val="24"/>
        </w:rPr>
        <w:t xml:space="preserve"> for the </w:t>
      </w:r>
      <w:r w:rsidR="009001F2" w:rsidRPr="00F46D82">
        <w:rPr>
          <w:rFonts w:asciiTheme="minorHAnsi" w:eastAsia="Times New Roman" w:hAnsiTheme="minorHAnsi" w:cstheme="minorHAnsi"/>
          <w:sz w:val="24"/>
          <w:szCs w:val="24"/>
        </w:rPr>
        <w:t>A</w:t>
      </w:r>
      <w:r w:rsidR="00B91E92" w:rsidRPr="00F46D82">
        <w:rPr>
          <w:rFonts w:asciiTheme="minorHAnsi" w:eastAsia="Times New Roman" w:hAnsiTheme="minorHAnsi" w:cstheme="minorHAnsi"/>
          <w:sz w:val="24"/>
          <w:szCs w:val="24"/>
        </w:rPr>
        <w:t>CHS</w:t>
      </w:r>
      <w:r w:rsidR="00AA69B8" w:rsidRPr="00F46D82">
        <w:rPr>
          <w:rFonts w:asciiTheme="minorHAnsi" w:eastAsia="Times New Roman" w:hAnsiTheme="minorHAnsi" w:cstheme="minorHAnsi"/>
          <w:sz w:val="24"/>
          <w:szCs w:val="24"/>
        </w:rPr>
        <w:t>-</w:t>
      </w:r>
      <w:r w:rsidR="00B91E92" w:rsidRPr="00F46D82">
        <w:rPr>
          <w:rFonts w:asciiTheme="minorHAnsi" w:eastAsia="Times New Roman" w:hAnsiTheme="minorHAnsi" w:cstheme="minorHAnsi"/>
          <w:sz w:val="24"/>
          <w:szCs w:val="24"/>
        </w:rPr>
        <w:t>II</w:t>
      </w:r>
      <w:r w:rsidR="00632D06" w:rsidRPr="00F46D82">
        <w:rPr>
          <w:rFonts w:asciiTheme="minorHAnsi" w:eastAsia="Times New Roman" w:hAnsiTheme="minorHAnsi" w:cstheme="minorHAnsi"/>
          <w:i/>
          <w:sz w:val="24"/>
          <w:szCs w:val="24"/>
        </w:rPr>
        <w:t>.</w:t>
      </w:r>
      <w:r w:rsidR="00F13DC6">
        <w:rPr>
          <w:rFonts w:asciiTheme="minorHAnsi" w:hAnsiTheme="minorHAnsi" w:cstheme="minorHAnsi"/>
          <w:color w:val="000000"/>
          <w:sz w:val="24"/>
          <w:szCs w:val="24"/>
        </w:rPr>
        <w:t xml:space="preserve"> </w:t>
      </w:r>
      <w:bookmarkStart w:id="14" w:name="_Toc296699085"/>
      <w:r w:rsidR="00077B98" w:rsidRPr="00F46D82">
        <w:rPr>
          <w:rFonts w:asciiTheme="minorHAnsi" w:hAnsiTheme="minorHAnsi" w:cstheme="minorHAnsi"/>
          <w:color w:val="000000"/>
          <w:sz w:val="24"/>
          <w:szCs w:val="24"/>
        </w:rPr>
        <w:t xml:space="preserve">No websites or website information </w:t>
      </w:r>
      <w:proofErr w:type="gramStart"/>
      <w:r w:rsidR="00077B98" w:rsidRPr="00F46D82">
        <w:rPr>
          <w:rFonts w:asciiTheme="minorHAnsi" w:hAnsiTheme="minorHAnsi" w:cstheme="minorHAnsi"/>
          <w:color w:val="000000"/>
          <w:sz w:val="24"/>
          <w:szCs w:val="24"/>
        </w:rPr>
        <w:t>are</w:t>
      </w:r>
      <w:proofErr w:type="gramEnd"/>
      <w:r w:rsidR="00077B98" w:rsidRPr="00F46D82">
        <w:rPr>
          <w:rFonts w:asciiTheme="minorHAnsi" w:hAnsiTheme="minorHAnsi" w:cstheme="minorHAnsi"/>
          <w:color w:val="000000"/>
          <w:sz w:val="24"/>
          <w:szCs w:val="24"/>
        </w:rPr>
        <w:t xml:space="preserve"> directed at children under 13 years of age. </w:t>
      </w:r>
      <w:r w:rsidR="00E26A9A">
        <w:rPr>
          <w:rFonts w:asciiTheme="minorHAnsi" w:hAnsiTheme="minorHAnsi" w:cstheme="minorHAnsi"/>
          <w:bCs/>
          <w:sz w:val="24"/>
          <w:szCs w:val="24"/>
        </w:rPr>
        <w:t>Responden</w:t>
      </w:r>
      <w:r w:rsidR="00E26A9A" w:rsidRPr="00F46D82">
        <w:rPr>
          <w:rFonts w:asciiTheme="minorHAnsi" w:hAnsiTheme="minorHAnsi" w:cstheme="minorHAnsi"/>
          <w:bCs/>
          <w:sz w:val="24"/>
          <w:szCs w:val="24"/>
        </w:rPr>
        <w:t>t</w:t>
      </w:r>
      <w:r w:rsidR="00E26A9A">
        <w:rPr>
          <w:rFonts w:asciiTheme="minorHAnsi" w:hAnsiTheme="minorHAnsi" w:cstheme="minorHAnsi"/>
          <w:bCs/>
          <w:sz w:val="24"/>
          <w:szCs w:val="24"/>
        </w:rPr>
        <w:t>s</w:t>
      </w:r>
      <w:r w:rsidR="00077B98" w:rsidRPr="00F46D82">
        <w:rPr>
          <w:rFonts w:asciiTheme="minorHAnsi" w:hAnsiTheme="minorHAnsi" w:cstheme="minorHAnsi"/>
          <w:bCs/>
          <w:sz w:val="24"/>
          <w:szCs w:val="24"/>
        </w:rPr>
        <w:t xml:space="preserve"> wi</w:t>
      </w:r>
      <w:r w:rsidR="0024217C" w:rsidRPr="00F46D82">
        <w:rPr>
          <w:rFonts w:asciiTheme="minorHAnsi" w:hAnsiTheme="minorHAnsi" w:cstheme="minorHAnsi"/>
          <w:bCs/>
          <w:sz w:val="24"/>
          <w:szCs w:val="24"/>
        </w:rPr>
        <w:t xml:space="preserve">ll be </w:t>
      </w:r>
      <w:r w:rsidR="00914E97" w:rsidRPr="00F46D82">
        <w:rPr>
          <w:rFonts w:asciiTheme="minorHAnsi" w:hAnsiTheme="minorHAnsi" w:cstheme="minorHAnsi"/>
          <w:bCs/>
          <w:sz w:val="24"/>
          <w:szCs w:val="24"/>
        </w:rPr>
        <w:t xml:space="preserve">at least </w:t>
      </w:r>
      <w:r w:rsidR="0024217C" w:rsidRPr="00F46D82">
        <w:rPr>
          <w:rFonts w:asciiTheme="minorHAnsi" w:hAnsiTheme="minorHAnsi" w:cstheme="minorHAnsi"/>
          <w:bCs/>
          <w:sz w:val="24"/>
          <w:szCs w:val="24"/>
        </w:rPr>
        <w:t>18 years of age.</w:t>
      </w:r>
    </w:p>
    <w:p w:rsidR="00506B78" w:rsidRPr="00F46D82" w:rsidRDefault="00063A39" w:rsidP="00CD6773">
      <w:pPr>
        <w:pStyle w:val="Heading2"/>
        <w:spacing w:before="360" w:after="240"/>
        <w:rPr>
          <w:rFonts w:asciiTheme="minorHAnsi" w:hAnsiTheme="minorHAnsi" w:cstheme="minorHAnsi"/>
        </w:rPr>
      </w:pPr>
      <w:bookmarkStart w:id="15" w:name="_Toc349489243"/>
      <w:r w:rsidRPr="00F46D82">
        <w:rPr>
          <w:rFonts w:asciiTheme="minorHAnsi" w:hAnsiTheme="minorHAnsi" w:cstheme="minorHAnsi"/>
        </w:rPr>
        <w:t>A.</w:t>
      </w:r>
      <w:r w:rsidR="00020EFF" w:rsidRPr="00F46D82">
        <w:rPr>
          <w:rFonts w:asciiTheme="minorHAnsi" w:hAnsiTheme="minorHAnsi" w:cstheme="minorHAnsi"/>
        </w:rPr>
        <w:t>2. Purpose and Use of Information Collection</w:t>
      </w:r>
      <w:bookmarkEnd w:id="14"/>
      <w:bookmarkEnd w:id="15"/>
      <w:r w:rsidR="00020EFF" w:rsidRPr="00F46D82">
        <w:rPr>
          <w:rFonts w:asciiTheme="minorHAnsi" w:hAnsiTheme="minorHAnsi" w:cstheme="minorHAnsi"/>
        </w:rPr>
        <w:t xml:space="preserve"> </w:t>
      </w:r>
      <w:bookmarkStart w:id="16" w:name="_Toc296699086"/>
    </w:p>
    <w:p w:rsidR="00306B3D" w:rsidRDefault="00962127" w:rsidP="00293C99">
      <w:pPr>
        <w:autoSpaceDE w:val="0"/>
        <w:autoSpaceDN w:val="0"/>
        <w:adjustRightInd w:val="0"/>
        <w:spacing w:after="0" w:line="240" w:lineRule="auto"/>
        <w:jc w:val="both"/>
        <w:rPr>
          <w:rFonts w:asciiTheme="minorHAnsi" w:hAnsiTheme="minorHAnsi" w:cstheme="minorHAnsi"/>
          <w:i/>
          <w:sz w:val="24"/>
          <w:szCs w:val="24"/>
        </w:rPr>
      </w:pPr>
      <w:r>
        <w:rPr>
          <w:rFonts w:asciiTheme="minorHAnsi" w:hAnsiTheme="minorHAnsi" w:cstheme="minorHAnsi"/>
          <w:sz w:val="24"/>
          <w:szCs w:val="24"/>
        </w:rPr>
        <w:t xml:space="preserve">This will be a one-time data collection. </w:t>
      </w:r>
      <w:r w:rsidR="00293C99">
        <w:rPr>
          <w:rFonts w:asciiTheme="minorHAnsi" w:hAnsiTheme="minorHAnsi" w:cstheme="minorHAnsi"/>
          <w:sz w:val="24"/>
          <w:szCs w:val="24"/>
        </w:rPr>
        <w:t>Under contract with ATSDR</w:t>
      </w:r>
      <w:r w:rsidR="004C1EFE">
        <w:rPr>
          <w:rFonts w:asciiTheme="minorHAnsi" w:hAnsiTheme="minorHAnsi" w:cstheme="minorHAnsi"/>
          <w:sz w:val="24"/>
          <w:szCs w:val="24"/>
        </w:rPr>
        <w:t xml:space="preserve"> (</w:t>
      </w:r>
      <w:r w:rsidR="00D645EE">
        <w:rPr>
          <w:rFonts w:asciiTheme="minorHAnsi" w:hAnsiTheme="minorHAnsi" w:cstheme="minorHAnsi"/>
          <w:sz w:val="24"/>
          <w:szCs w:val="24"/>
        </w:rPr>
        <w:t xml:space="preserve">CDC </w:t>
      </w:r>
      <w:r w:rsidR="004C1EFE">
        <w:rPr>
          <w:rFonts w:asciiTheme="minorHAnsi" w:hAnsiTheme="minorHAnsi" w:cstheme="minorHAnsi"/>
          <w:sz w:val="24"/>
          <w:szCs w:val="24"/>
        </w:rPr>
        <w:t xml:space="preserve">Contract #: </w:t>
      </w:r>
      <w:r w:rsidR="004C1EFE" w:rsidRPr="004C1EFE">
        <w:rPr>
          <w:rFonts w:asciiTheme="minorHAnsi" w:hAnsiTheme="minorHAnsi" w:cstheme="minorHAnsi"/>
          <w:sz w:val="24"/>
          <w:szCs w:val="24"/>
        </w:rPr>
        <w:t>200-2011-40834</w:t>
      </w:r>
      <w:r w:rsidR="004C1EFE">
        <w:rPr>
          <w:rFonts w:asciiTheme="minorHAnsi" w:hAnsiTheme="minorHAnsi" w:cstheme="minorHAnsi"/>
          <w:sz w:val="24"/>
          <w:szCs w:val="24"/>
        </w:rPr>
        <w:t>)</w:t>
      </w:r>
      <w:r w:rsidR="00293C99">
        <w:rPr>
          <w:rFonts w:asciiTheme="minorHAnsi" w:hAnsiTheme="minorHAnsi" w:cstheme="minorHAnsi"/>
          <w:sz w:val="24"/>
          <w:szCs w:val="24"/>
        </w:rPr>
        <w:t>, t</w:t>
      </w:r>
      <w:r w:rsidR="00293C99" w:rsidRPr="005F3738">
        <w:rPr>
          <w:rFonts w:asciiTheme="minorHAnsi" w:hAnsiTheme="minorHAnsi" w:cstheme="minorHAnsi"/>
          <w:sz w:val="24"/>
          <w:szCs w:val="24"/>
        </w:rPr>
        <w:t xml:space="preserve">rained study staff from the UAB </w:t>
      </w:r>
      <w:r w:rsidR="00293C99">
        <w:rPr>
          <w:rFonts w:asciiTheme="minorHAnsi" w:hAnsiTheme="minorHAnsi" w:cstheme="minorHAnsi"/>
          <w:sz w:val="24"/>
          <w:szCs w:val="24"/>
        </w:rPr>
        <w:t xml:space="preserve">will </w:t>
      </w:r>
      <w:r w:rsidR="00293C99" w:rsidRPr="005F3738">
        <w:rPr>
          <w:rFonts w:asciiTheme="minorHAnsi" w:hAnsiTheme="minorHAnsi" w:cstheme="minorHAnsi"/>
          <w:sz w:val="24"/>
          <w:szCs w:val="24"/>
        </w:rPr>
        <w:t>conduct the study</w:t>
      </w:r>
      <w:r w:rsidR="00293C99">
        <w:rPr>
          <w:rFonts w:asciiTheme="minorHAnsi" w:hAnsiTheme="minorHAnsi" w:cstheme="minorHAnsi"/>
          <w:sz w:val="24"/>
          <w:szCs w:val="24"/>
        </w:rPr>
        <w:t xml:space="preserve"> along</w:t>
      </w:r>
      <w:r w:rsidR="00293C99" w:rsidRPr="005F3738">
        <w:rPr>
          <w:rFonts w:asciiTheme="minorHAnsi" w:hAnsiTheme="minorHAnsi" w:cstheme="minorHAnsi"/>
          <w:sz w:val="24"/>
          <w:szCs w:val="24"/>
        </w:rPr>
        <w:t xml:space="preserve"> with </w:t>
      </w:r>
      <w:r w:rsidR="00293C99">
        <w:rPr>
          <w:rFonts w:asciiTheme="minorHAnsi" w:hAnsiTheme="minorHAnsi" w:cstheme="minorHAnsi"/>
          <w:sz w:val="24"/>
          <w:szCs w:val="24"/>
        </w:rPr>
        <w:t xml:space="preserve">subcontracted staff from the </w:t>
      </w:r>
      <w:r w:rsidR="00293C99" w:rsidRPr="005F3738">
        <w:rPr>
          <w:rFonts w:asciiTheme="minorHAnsi" w:hAnsiTheme="minorHAnsi" w:cstheme="minorHAnsi"/>
          <w:sz w:val="24"/>
          <w:szCs w:val="24"/>
        </w:rPr>
        <w:t>Calhoun County Health Department (CCHD)</w:t>
      </w:r>
      <w:r w:rsidR="00293C99">
        <w:rPr>
          <w:rFonts w:asciiTheme="minorHAnsi" w:hAnsiTheme="minorHAnsi" w:cstheme="minorHAnsi"/>
          <w:sz w:val="24"/>
          <w:szCs w:val="24"/>
        </w:rPr>
        <w:t xml:space="preserve"> in</w:t>
      </w:r>
      <w:r w:rsidR="00293C99" w:rsidRPr="005F3738">
        <w:rPr>
          <w:rFonts w:asciiTheme="minorHAnsi" w:hAnsiTheme="minorHAnsi" w:cstheme="minorHAnsi"/>
          <w:sz w:val="24"/>
          <w:szCs w:val="24"/>
        </w:rPr>
        <w:t xml:space="preserve"> Anniston, AL. ATSDR will provide support for project activities such as study design, sample collection, data analysis, and interpretation</w:t>
      </w:r>
      <w:r w:rsidR="00293C99" w:rsidRPr="00850BEA">
        <w:rPr>
          <w:rFonts w:asciiTheme="minorHAnsi" w:hAnsiTheme="minorHAnsi" w:cstheme="minorHAnsi"/>
          <w:i/>
          <w:sz w:val="24"/>
          <w:szCs w:val="24"/>
        </w:rPr>
        <w:t>.</w:t>
      </w:r>
      <w:r w:rsidR="00293C99">
        <w:rPr>
          <w:rFonts w:asciiTheme="minorHAnsi" w:hAnsiTheme="minorHAnsi" w:cstheme="minorHAnsi"/>
          <w:i/>
          <w:sz w:val="24"/>
          <w:szCs w:val="24"/>
        </w:rPr>
        <w:t xml:space="preserve"> </w:t>
      </w:r>
    </w:p>
    <w:p w:rsidR="00306B3D" w:rsidRDefault="00306B3D" w:rsidP="00293C99">
      <w:pPr>
        <w:autoSpaceDE w:val="0"/>
        <w:autoSpaceDN w:val="0"/>
        <w:adjustRightInd w:val="0"/>
        <w:spacing w:after="0" w:line="240" w:lineRule="auto"/>
        <w:jc w:val="both"/>
        <w:rPr>
          <w:rFonts w:asciiTheme="minorHAnsi" w:hAnsiTheme="minorHAnsi" w:cstheme="minorHAnsi"/>
          <w:i/>
          <w:sz w:val="24"/>
          <w:szCs w:val="24"/>
        </w:rPr>
      </w:pPr>
    </w:p>
    <w:p w:rsidR="00293C99" w:rsidRDefault="00293C99" w:rsidP="00293C99">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Analysis of biochemical specimens </w:t>
      </w:r>
      <w:proofErr w:type="gramStart"/>
      <w:r>
        <w:rPr>
          <w:rFonts w:asciiTheme="minorHAnsi" w:hAnsiTheme="minorHAnsi" w:cstheme="minorHAnsi"/>
          <w:sz w:val="24"/>
          <w:szCs w:val="24"/>
        </w:rPr>
        <w:t>will be provided</w:t>
      </w:r>
      <w:proofErr w:type="gramEnd"/>
      <w:r>
        <w:rPr>
          <w:rFonts w:asciiTheme="minorHAnsi" w:hAnsiTheme="minorHAnsi" w:cstheme="minorHAnsi"/>
          <w:sz w:val="24"/>
          <w:szCs w:val="24"/>
        </w:rPr>
        <w:t xml:space="preserve"> by laboratories from the Centers for Disease Control and Prevention (CDC) National Center for Environmental Health (NCEH), universities, and community medical centers</w:t>
      </w:r>
      <w:r w:rsidR="00E6324A">
        <w:rPr>
          <w:rFonts w:asciiTheme="minorHAnsi" w:hAnsiTheme="minorHAnsi" w:cstheme="minorHAnsi"/>
          <w:sz w:val="24"/>
          <w:szCs w:val="24"/>
        </w:rPr>
        <w:t>.</w:t>
      </w:r>
      <w:r w:rsidR="00306B3D">
        <w:rPr>
          <w:rFonts w:asciiTheme="minorHAnsi" w:hAnsiTheme="minorHAnsi" w:cstheme="minorHAnsi"/>
          <w:sz w:val="24"/>
          <w:szCs w:val="24"/>
        </w:rPr>
        <w:t xml:space="preserve"> </w:t>
      </w:r>
      <w:r w:rsidR="00306B3D" w:rsidRPr="00663170">
        <w:rPr>
          <w:rFonts w:asciiTheme="minorHAnsi" w:hAnsiTheme="minorHAnsi" w:cstheme="minorHAnsi"/>
          <w:sz w:val="24"/>
          <w:szCs w:val="24"/>
        </w:rPr>
        <w:t>The</w:t>
      </w:r>
      <w:r w:rsidR="00977EBF">
        <w:rPr>
          <w:rFonts w:asciiTheme="minorHAnsi" w:hAnsiTheme="minorHAnsi" w:cstheme="minorHAnsi"/>
          <w:sz w:val="24"/>
          <w:szCs w:val="24"/>
        </w:rPr>
        <w:t xml:space="preserve"> </w:t>
      </w:r>
      <w:r w:rsidR="00306B3D" w:rsidRPr="00663170">
        <w:rPr>
          <w:rFonts w:asciiTheme="minorHAnsi" w:hAnsiTheme="minorHAnsi" w:cstheme="minorHAnsi"/>
          <w:sz w:val="24"/>
          <w:szCs w:val="24"/>
        </w:rPr>
        <w:t>laboratories will perform the analytical assays</w:t>
      </w:r>
      <w:r w:rsidR="00306B3D">
        <w:rPr>
          <w:rFonts w:asciiTheme="minorHAnsi" w:hAnsiTheme="minorHAnsi" w:cstheme="minorHAnsi"/>
          <w:sz w:val="24"/>
          <w:szCs w:val="24"/>
        </w:rPr>
        <w:t xml:space="preserve"> over the multiyear project period</w:t>
      </w:r>
      <w:r w:rsidR="00306B3D" w:rsidRPr="00663170">
        <w:rPr>
          <w:rFonts w:asciiTheme="minorHAnsi" w:hAnsiTheme="minorHAnsi" w:cstheme="minorHAnsi"/>
          <w:sz w:val="24"/>
          <w:szCs w:val="24"/>
        </w:rPr>
        <w:t xml:space="preserve"> (Attachment </w:t>
      </w:r>
      <w:r w:rsidR="00306B3D">
        <w:rPr>
          <w:rFonts w:asciiTheme="minorHAnsi" w:hAnsiTheme="minorHAnsi" w:cstheme="minorHAnsi"/>
          <w:sz w:val="24"/>
          <w:szCs w:val="24"/>
        </w:rPr>
        <w:t>4.1</w:t>
      </w:r>
      <w:r w:rsidR="00306B3D" w:rsidRPr="00663170">
        <w:rPr>
          <w:rFonts w:asciiTheme="minorHAnsi" w:hAnsiTheme="minorHAnsi" w:cstheme="minorHAnsi"/>
          <w:sz w:val="24"/>
          <w:szCs w:val="24"/>
        </w:rPr>
        <w:t>).</w:t>
      </w:r>
      <w:r w:rsidR="00306B3D">
        <w:rPr>
          <w:rFonts w:asciiTheme="minorHAnsi" w:hAnsiTheme="minorHAnsi" w:cstheme="minorHAnsi"/>
          <w:sz w:val="24"/>
          <w:szCs w:val="24"/>
        </w:rPr>
        <w:t xml:space="preserve"> This table indicates the laboratory points of contact, Clinical Laboratory Improvement Amendments (CLIA) reference laboratories, CLIA approved laboratory procedures, the </w:t>
      </w:r>
      <w:proofErr w:type="spellStart"/>
      <w:r w:rsidR="00306B3D">
        <w:rPr>
          <w:rFonts w:asciiTheme="minorHAnsi" w:hAnsiTheme="minorHAnsi" w:cstheme="minorHAnsi"/>
          <w:sz w:val="24"/>
          <w:szCs w:val="24"/>
        </w:rPr>
        <w:t>analytes</w:t>
      </w:r>
      <w:proofErr w:type="spellEnd"/>
      <w:r w:rsidR="00306B3D">
        <w:rPr>
          <w:rFonts w:asciiTheme="minorHAnsi" w:hAnsiTheme="minorHAnsi" w:cstheme="minorHAnsi"/>
          <w:sz w:val="24"/>
          <w:szCs w:val="24"/>
        </w:rPr>
        <w:t xml:space="preserve"> to </w:t>
      </w:r>
      <w:proofErr w:type="gramStart"/>
      <w:r w:rsidR="00306B3D">
        <w:rPr>
          <w:rFonts w:asciiTheme="minorHAnsi" w:hAnsiTheme="minorHAnsi" w:cstheme="minorHAnsi"/>
          <w:sz w:val="24"/>
          <w:szCs w:val="24"/>
        </w:rPr>
        <w:t>be reported</w:t>
      </w:r>
      <w:proofErr w:type="gramEnd"/>
      <w:r w:rsidR="00306B3D">
        <w:rPr>
          <w:rFonts w:asciiTheme="minorHAnsi" w:hAnsiTheme="minorHAnsi" w:cstheme="minorHAnsi"/>
          <w:sz w:val="24"/>
          <w:szCs w:val="24"/>
        </w:rPr>
        <w:t>, and blood specimen requirements.</w:t>
      </w:r>
    </w:p>
    <w:p w:rsidR="00293C99" w:rsidRDefault="00293C99" w:rsidP="00293C99">
      <w:pPr>
        <w:autoSpaceDE w:val="0"/>
        <w:autoSpaceDN w:val="0"/>
        <w:adjustRightInd w:val="0"/>
        <w:spacing w:after="0" w:line="240" w:lineRule="auto"/>
        <w:jc w:val="both"/>
        <w:rPr>
          <w:rFonts w:asciiTheme="minorHAnsi" w:hAnsiTheme="minorHAnsi" w:cstheme="minorHAnsi"/>
          <w:sz w:val="24"/>
          <w:szCs w:val="24"/>
        </w:rPr>
      </w:pPr>
    </w:p>
    <w:p w:rsidR="00742E1C" w:rsidRPr="00955810" w:rsidRDefault="002000ED" w:rsidP="002E799F">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The original ACHS examined and found relationship</w:t>
      </w:r>
      <w:r w:rsidR="00603822">
        <w:rPr>
          <w:rFonts w:asciiTheme="minorHAnsi" w:hAnsiTheme="minorHAnsi" w:cstheme="minorHAnsi"/>
          <w:sz w:val="24"/>
          <w:szCs w:val="24"/>
        </w:rPr>
        <w:t>s</w:t>
      </w:r>
      <w:r>
        <w:rPr>
          <w:rFonts w:asciiTheme="minorHAnsi" w:hAnsiTheme="minorHAnsi" w:cstheme="minorHAnsi"/>
          <w:sz w:val="24"/>
          <w:szCs w:val="24"/>
        </w:rPr>
        <w:t xml:space="preserve"> between health </w:t>
      </w:r>
      <w:proofErr w:type="gramStart"/>
      <w:r>
        <w:rPr>
          <w:rFonts w:asciiTheme="minorHAnsi" w:hAnsiTheme="minorHAnsi" w:cstheme="minorHAnsi"/>
          <w:sz w:val="24"/>
          <w:szCs w:val="24"/>
        </w:rPr>
        <w:t>status</w:t>
      </w:r>
      <w:proofErr w:type="gramEnd"/>
      <w:r>
        <w:rPr>
          <w:rFonts w:asciiTheme="minorHAnsi" w:hAnsiTheme="minorHAnsi" w:cstheme="minorHAnsi"/>
          <w:sz w:val="24"/>
          <w:szCs w:val="24"/>
        </w:rPr>
        <w:t xml:space="preserve"> with a limited panel of PCBs.</w:t>
      </w:r>
      <w:r w:rsidR="00D24B44">
        <w:rPr>
          <w:rFonts w:asciiTheme="minorHAnsi" w:hAnsiTheme="minorHAnsi" w:cstheme="minorHAnsi"/>
          <w:sz w:val="24"/>
          <w:szCs w:val="24"/>
        </w:rPr>
        <w:t xml:space="preserve"> </w:t>
      </w:r>
      <w:r w:rsidR="00742E1C" w:rsidRPr="00F46D82">
        <w:rPr>
          <w:rFonts w:asciiTheme="minorHAnsi" w:hAnsiTheme="minorHAnsi" w:cstheme="minorHAnsi"/>
          <w:color w:val="000000"/>
          <w:sz w:val="24"/>
          <w:szCs w:val="24"/>
        </w:rPr>
        <w:t>The m</w:t>
      </w:r>
      <w:r w:rsidR="0097751C" w:rsidRPr="00F46D82">
        <w:rPr>
          <w:rFonts w:asciiTheme="minorHAnsi" w:hAnsiTheme="minorHAnsi" w:cstheme="minorHAnsi"/>
          <w:sz w:val="24"/>
          <w:szCs w:val="24"/>
        </w:rPr>
        <w:t>ain research goals for the ACHS-</w:t>
      </w:r>
      <w:r w:rsidR="00742E1C" w:rsidRPr="00F46D82">
        <w:rPr>
          <w:rFonts w:asciiTheme="minorHAnsi" w:hAnsiTheme="minorHAnsi" w:cstheme="minorHAnsi"/>
          <w:sz w:val="24"/>
          <w:szCs w:val="24"/>
        </w:rPr>
        <w:t>II are</w:t>
      </w:r>
      <w:r w:rsidR="006A20B1">
        <w:rPr>
          <w:rFonts w:asciiTheme="minorHAnsi" w:hAnsiTheme="minorHAnsi" w:cstheme="minorHAnsi"/>
          <w:sz w:val="24"/>
          <w:szCs w:val="24"/>
        </w:rPr>
        <w:t>: 1)</w:t>
      </w:r>
      <w:r w:rsidR="00742E1C" w:rsidRPr="00F46D82">
        <w:rPr>
          <w:rFonts w:asciiTheme="minorHAnsi" w:hAnsiTheme="minorHAnsi" w:cstheme="minorHAnsi"/>
          <w:sz w:val="24"/>
          <w:szCs w:val="24"/>
        </w:rPr>
        <w:t xml:space="preserve"> to obtain repeat measurements of</w:t>
      </w:r>
      <w:r w:rsidR="002A3EA4">
        <w:rPr>
          <w:rFonts w:asciiTheme="minorHAnsi" w:hAnsiTheme="minorHAnsi" w:cstheme="minorHAnsi"/>
          <w:sz w:val="24"/>
          <w:szCs w:val="24"/>
        </w:rPr>
        <w:t xml:space="preserve"> 35</w:t>
      </w:r>
      <w:r w:rsidR="00742E1C" w:rsidRPr="00F46D82">
        <w:rPr>
          <w:rFonts w:asciiTheme="minorHAnsi" w:hAnsiTheme="minorHAnsi" w:cstheme="minorHAnsi"/>
          <w:sz w:val="24"/>
          <w:szCs w:val="24"/>
        </w:rPr>
        <w:t xml:space="preserve"> </w:t>
      </w:r>
      <w:proofErr w:type="spellStart"/>
      <w:r w:rsidR="00742E1C" w:rsidRPr="00955810">
        <w:rPr>
          <w:rFonts w:asciiTheme="minorHAnsi" w:hAnsiTheme="minorHAnsi" w:cstheme="minorHAnsi"/>
          <w:i/>
          <w:sz w:val="24"/>
          <w:szCs w:val="24"/>
        </w:rPr>
        <w:t>ortho</w:t>
      </w:r>
      <w:proofErr w:type="spellEnd"/>
      <w:r w:rsidR="00742E1C" w:rsidRPr="00955810">
        <w:rPr>
          <w:rFonts w:asciiTheme="minorHAnsi" w:hAnsiTheme="minorHAnsi" w:cstheme="minorHAnsi"/>
          <w:i/>
          <w:sz w:val="24"/>
          <w:szCs w:val="24"/>
        </w:rPr>
        <w:t>-</w:t>
      </w:r>
      <w:r w:rsidR="00742E1C" w:rsidRPr="00F46D82">
        <w:rPr>
          <w:rFonts w:asciiTheme="minorHAnsi" w:hAnsiTheme="minorHAnsi" w:cstheme="minorHAnsi"/>
          <w:sz w:val="24"/>
          <w:szCs w:val="24"/>
        </w:rPr>
        <w:t>PCBs</w:t>
      </w:r>
      <w:r w:rsidR="006A20B1">
        <w:rPr>
          <w:rFonts w:asciiTheme="minorHAnsi" w:hAnsiTheme="minorHAnsi" w:cstheme="minorHAnsi"/>
          <w:sz w:val="24"/>
          <w:szCs w:val="24"/>
        </w:rPr>
        <w:t>; 2)</w:t>
      </w:r>
      <w:r w:rsidR="00742E1C" w:rsidRPr="00F46D82">
        <w:rPr>
          <w:rFonts w:asciiTheme="minorHAnsi" w:hAnsiTheme="minorHAnsi" w:cstheme="minorHAnsi"/>
          <w:sz w:val="24"/>
          <w:szCs w:val="24"/>
        </w:rPr>
        <w:t xml:space="preserve"> </w:t>
      </w:r>
      <w:r w:rsidR="006A20B1">
        <w:rPr>
          <w:rFonts w:asciiTheme="minorHAnsi" w:hAnsiTheme="minorHAnsi" w:cstheme="minorHAnsi"/>
          <w:sz w:val="24"/>
          <w:szCs w:val="24"/>
        </w:rPr>
        <w:t xml:space="preserve">to </w:t>
      </w:r>
      <w:r w:rsidR="00742E1C" w:rsidRPr="00F46D82">
        <w:rPr>
          <w:rFonts w:asciiTheme="minorHAnsi" w:hAnsiTheme="minorHAnsi" w:cstheme="minorHAnsi"/>
          <w:sz w:val="24"/>
          <w:szCs w:val="24"/>
        </w:rPr>
        <w:t xml:space="preserve">measure serum </w:t>
      </w:r>
      <w:r w:rsidR="00DF7CBA">
        <w:rPr>
          <w:rFonts w:asciiTheme="minorHAnsi" w:hAnsiTheme="minorHAnsi" w:cstheme="minorHAnsi"/>
          <w:sz w:val="24"/>
          <w:szCs w:val="24"/>
        </w:rPr>
        <w:t xml:space="preserve">polychlorinated </w:t>
      </w:r>
      <w:proofErr w:type="spellStart"/>
      <w:r w:rsidR="00DF7CBA">
        <w:rPr>
          <w:rFonts w:asciiTheme="minorHAnsi" w:hAnsiTheme="minorHAnsi" w:cstheme="minorHAnsi"/>
          <w:sz w:val="24"/>
          <w:szCs w:val="24"/>
        </w:rPr>
        <w:t>dibenzo</w:t>
      </w:r>
      <w:proofErr w:type="spellEnd"/>
      <w:r w:rsidR="00955770">
        <w:rPr>
          <w:rFonts w:asciiTheme="minorHAnsi" w:hAnsiTheme="minorHAnsi" w:cstheme="minorHAnsi"/>
          <w:i/>
          <w:sz w:val="24"/>
          <w:szCs w:val="24"/>
        </w:rPr>
        <w:t>-</w:t>
      </w:r>
      <w:r w:rsidR="00DF7CBA">
        <w:rPr>
          <w:rFonts w:asciiTheme="minorHAnsi" w:hAnsiTheme="minorHAnsi" w:cstheme="minorHAnsi"/>
          <w:sz w:val="24"/>
          <w:szCs w:val="24"/>
        </w:rPr>
        <w:t>dioxins (</w:t>
      </w:r>
      <w:r w:rsidR="00742E1C" w:rsidRPr="00F46D82">
        <w:rPr>
          <w:rFonts w:asciiTheme="minorHAnsi" w:hAnsiTheme="minorHAnsi" w:cstheme="minorHAnsi"/>
          <w:sz w:val="24"/>
          <w:szCs w:val="24"/>
        </w:rPr>
        <w:t>PCDDs</w:t>
      </w:r>
      <w:r w:rsidR="00DF7CBA">
        <w:rPr>
          <w:rFonts w:asciiTheme="minorHAnsi" w:hAnsiTheme="minorHAnsi" w:cstheme="minorHAnsi"/>
          <w:sz w:val="24"/>
          <w:szCs w:val="24"/>
        </w:rPr>
        <w:t>)</w:t>
      </w:r>
      <w:r w:rsidR="00742E1C" w:rsidRPr="00F46D82">
        <w:rPr>
          <w:rFonts w:asciiTheme="minorHAnsi" w:hAnsiTheme="minorHAnsi" w:cstheme="minorHAnsi"/>
          <w:sz w:val="24"/>
          <w:szCs w:val="24"/>
        </w:rPr>
        <w:t xml:space="preserve">, </w:t>
      </w:r>
      <w:r w:rsidR="00902878">
        <w:rPr>
          <w:rFonts w:asciiTheme="minorHAnsi" w:hAnsiTheme="minorHAnsi" w:cstheme="minorHAnsi"/>
          <w:sz w:val="24"/>
          <w:szCs w:val="24"/>
        </w:rPr>
        <w:t xml:space="preserve">polychlorinated </w:t>
      </w:r>
      <w:proofErr w:type="spellStart"/>
      <w:r w:rsidR="00902878">
        <w:rPr>
          <w:rFonts w:asciiTheme="minorHAnsi" w:hAnsiTheme="minorHAnsi" w:cstheme="minorHAnsi"/>
          <w:sz w:val="24"/>
          <w:szCs w:val="24"/>
        </w:rPr>
        <w:t>dibenzo</w:t>
      </w:r>
      <w:proofErr w:type="spellEnd"/>
      <w:r w:rsidR="00902878">
        <w:rPr>
          <w:rFonts w:asciiTheme="minorHAnsi" w:hAnsiTheme="minorHAnsi" w:cstheme="minorHAnsi"/>
          <w:sz w:val="24"/>
          <w:szCs w:val="24"/>
        </w:rPr>
        <w:t>-</w:t>
      </w:r>
      <w:r w:rsidR="00DF7CBA">
        <w:rPr>
          <w:rFonts w:asciiTheme="minorHAnsi" w:hAnsiTheme="minorHAnsi" w:cstheme="minorHAnsi"/>
          <w:sz w:val="24"/>
          <w:szCs w:val="24"/>
        </w:rPr>
        <w:t>furans (</w:t>
      </w:r>
      <w:r w:rsidR="00742E1C" w:rsidRPr="00F46D82">
        <w:rPr>
          <w:rFonts w:asciiTheme="minorHAnsi" w:hAnsiTheme="minorHAnsi" w:cstheme="minorHAnsi"/>
          <w:sz w:val="24"/>
          <w:szCs w:val="24"/>
        </w:rPr>
        <w:t>PCDFs</w:t>
      </w:r>
      <w:r w:rsidR="00DF7CBA">
        <w:rPr>
          <w:rFonts w:asciiTheme="minorHAnsi" w:hAnsiTheme="minorHAnsi" w:cstheme="minorHAnsi"/>
          <w:sz w:val="24"/>
          <w:szCs w:val="24"/>
        </w:rPr>
        <w:t>)</w:t>
      </w:r>
      <w:r w:rsidR="00742E1C" w:rsidRPr="00F46D82">
        <w:rPr>
          <w:rFonts w:asciiTheme="minorHAnsi" w:hAnsiTheme="minorHAnsi" w:cstheme="minorHAnsi"/>
          <w:sz w:val="24"/>
          <w:szCs w:val="24"/>
        </w:rPr>
        <w:t>, and co-PCBs</w:t>
      </w:r>
      <w:r w:rsidR="00DF7CBA">
        <w:rPr>
          <w:rFonts w:asciiTheme="minorHAnsi" w:hAnsiTheme="minorHAnsi" w:cstheme="minorHAnsi"/>
          <w:sz w:val="24"/>
          <w:szCs w:val="24"/>
        </w:rPr>
        <w:t>; 3)</w:t>
      </w:r>
      <w:r w:rsidR="00742E1C" w:rsidRPr="00F46D82">
        <w:rPr>
          <w:rFonts w:asciiTheme="minorHAnsi" w:hAnsiTheme="minorHAnsi" w:cstheme="minorHAnsi"/>
          <w:sz w:val="24"/>
          <w:szCs w:val="24"/>
        </w:rPr>
        <w:t xml:space="preserve"> </w:t>
      </w:r>
      <w:r w:rsidR="00DF7CBA">
        <w:rPr>
          <w:rFonts w:asciiTheme="minorHAnsi" w:hAnsiTheme="minorHAnsi" w:cstheme="minorHAnsi"/>
          <w:sz w:val="24"/>
          <w:szCs w:val="24"/>
        </w:rPr>
        <w:t>to</w:t>
      </w:r>
      <w:r w:rsidR="00742E1C" w:rsidRPr="00F46D82">
        <w:rPr>
          <w:rFonts w:asciiTheme="minorHAnsi" w:hAnsiTheme="minorHAnsi" w:cstheme="minorHAnsi"/>
          <w:sz w:val="24"/>
          <w:szCs w:val="24"/>
        </w:rPr>
        <w:t xml:space="preserve"> calculate the total dioxin toxic equivalents (TEQs)</w:t>
      </w:r>
      <w:r w:rsidR="00DF7CBA">
        <w:rPr>
          <w:rFonts w:asciiTheme="minorHAnsi" w:hAnsiTheme="minorHAnsi" w:cstheme="minorHAnsi"/>
          <w:sz w:val="24"/>
          <w:szCs w:val="24"/>
        </w:rPr>
        <w:t>; and to</w:t>
      </w:r>
      <w:r w:rsidR="00742E1C" w:rsidRPr="00F46D82">
        <w:rPr>
          <w:rFonts w:asciiTheme="minorHAnsi" w:hAnsiTheme="minorHAnsi" w:cstheme="minorHAnsi"/>
          <w:sz w:val="24"/>
          <w:szCs w:val="24"/>
        </w:rPr>
        <w:t xml:space="preserve"> </w:t>
      </w:r>
      <w:r w:rsidR="00DF7CBA">
        <w:rPr>
          <w:rFonts w:asciiTheme="minorHAnsi" w:hAnsiTheme="minorHAnsi" w:cstheme="minorHAnsi"/>
          <w:sz w:val="24"/>
          <w:szCs w:val="24"/>
        </w:rPr>
        <w:t>e</w:t>
      </w:r>
      <w:r w:rsidR="00742E1C" w:rsidRPr="00F46D82">
        <w:rPr>
          <w:rFonts w:asciiTheme="minorHAnsi" w:hAnsiTheme="minorHAnsi" w:cstheme="minorHAnsi"/>
          <w:sz w:val="24"/>
          <w:szCs w:val="24"/>
        </w:rPr>
        <w:t>valuate changes in health indicators, including obesity, since the baseline examination in 2005-2007.</w:t>
      </w:r>
    </w:p>
    <w:p w:rsidR="004A1EF6" w:rsidRPr="00F46D82" w:rsidRDefault="004A1EF6" w:rsidP="002E799F">
      <w:pPr>
        <w:autoSpaceDE w:val="0"/>
        <w:autoSpaceDN w:val="0"/>
        <w:adjustRightInd w:val="0"/>
        <w:spacing w:after="0" w:line="240" w:lineRule="auto"/>
        <w:jc w:val="both"/>
        <w:rPr>
          <w:rFonts w:asciiTheme="minorHAnsi" w:hAnsiTheme="minorHAnsi" w:cstheme="minorHAnsi"/>
          <w:sz w:val="24"/>
          <w:szCs w:val="24"/>
        </w:rPr>
      </w:pPr>
    </w:p>
    <w:p w:rsidR="00742E1C" w:rsidRPr="00F46D82" w:rsidRDefault="00C71DA7" w:rsidP="002E799F">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T</w:t>
      </w:r>
      <w:r w:rsidR="00742E1C" w:rsidRPr="00F46D82">
        <w:rPr>
          <w:rFonts w:asciiTheme="minorHAnsi" w:hAnsiTheme="minorHAnsi" w:cstheme="minorHAnsi"/>
          <w:sz w:val="24"/>
          <w:szCs w:val="24"/>
        </w:rPr>
        <w:t>he ACHS</w:t>
      </w:r>
      <w:r w:rsidR="0097751C" w:rsidRPr="00F46D82">
        <w:rPr>
          <w:rFonts w:asciiTheme="minorHAnsi" w:hAnsiTheme="minorHAnsi" w:cstheme="minorHAnsi"/>
          <w:sz w:val="24"/>
          <w:szCs w:val="24"/>
        </w:rPr>
        <w:t>-</w:t>
      </w:r>
      <w:r w:rsidR="00742E1C" w:rsidRPr="00F46D82">
        <w:rPr>
          <w:rFonts w:asciiTheme="minorHAnsi" w:hAnsiTheme="minorHAnsi" w:cstheme="minorHAnsi"/>
          <w:sz w:val="24"/>
          <w:szCs w:val="24"/>
        </w:rPr>
        <w:t xml:space="preserve">II </w:t>
      </w:r>
      <w:r w:rsidR="000615D9">
        <w:rPr>
          <w:rFonts w:asciiTheme="minorHAnsi" w:hAnsiTheme="minorHAnsi" w:cstheme="minorHAnsi"/>
          <w:sz w:val="24"/>
          <w:szCs w:val="24"/>
        </w:rPr>
        <w:t>will</w:t>
      </w:r>
      <w:r w:rsidR="00742E1C" w:rsidRPr="00F46D82">
        <w:rPr>
          <w:rFonts w:asciiTheme="minorHAnsi" w:hAnsiTheme="minorHAnsi" w:cstheme="minorHAnsi"/>
          <w:sz w:val="24"/>
          <w:szCs w:val="24"/>
        </w:rPr>
        <w:t xml:space="preserve"> </w:t>
      </w:r>
      <w:r w:rsidR="00D0295A">
        <w:rPr>
          <w:rFonts w:asciiTheme="minorHAnsi" w:hAnsiTheme="minorHAnsi" w:cstheme="minorHAnsi"/>
          <w:sz w:val="24"/>
          <w:szCs w:val="24"/>
        </w:rPr>
        <w:t>re-</w:t>
      </w:r>
      <w:r w:rsidR="00742E1C" w:rsidRPr="00F46D82">
        <w:rPr>
          <w:rFonts w:asciiTheme="minorHAnsi" w:hAnsiTheme="minorHAnsi" w:cstheme="minorHAnsi"/>
          <w:sz w:val="24"/>
          <w:szCs w:val="24"/>
        </w:rPr>
        <w:t>examine the</w:t>
      </w:r>
      <w:r w:rsidR="00E01751">
        <w:rPr>
          <w:rFonts w:asciiTheme="minorHAnsi" w:hAnsiTheme="minorHAnsi" w:cstheme="minorHAnsi"/>
          <w:sz w:val="24"/>
          <w:szCs w:val="24"/>
        </w:rPr>
        <w:t xml:space="preserve"> occurrence of</w:t>
      </w:r>
      <w:r w:rsidR="00742E1C" w:rsidRPr="00F46D82">
        <w:rPr>
          <w:rFonts w:asciiTheme="minorHAnsi" w:hAnsiTheme="minorHAnsi" w:cstheme="minorHAnsi"/>
          <w:sz w:val="24"/>
          <w:szCs w:val="24"/>
        </w:rPr>
        <w:t xml:space="preserve"> diabetes, hypertension, thyroid disease, </w:t>
      </w:r>
      <w:proofErr w:type="gramStart"/>
      <w:r w:rsidR="00742E1C" w:rsidRPr="00F46D82">
        <w:rPr>
          <w:rFonts w:asciiTheme="minorHAnsi" w:hAnsiTheme="minorHAnsi" w:cstheme="minorHAnsi"/>
          <w:sz w:val="24"/>
          <w:szCs w:val="24"/>
        </w:rPr>
        <w:t>autoimmune</w:t>
      </w:r>
      <w:proofErr w:type="gramEnd"/>
      <w:r w:rsidR="00742E1C" w:rsidRPr="00F46D82">
        <w:rPr>
          <w:rFonts w:asciiTheme="minorHAnsi" w:hAnsiTheme="minorHAnsi" w:cstheme="minorHAnsi"/>
          <w:sz w:val="24"/>
          <w:szCs w:val="24"/>
        </w:rPr>
        <w:t xml:space="preserve"> diseases and other health outcomes with </w:t>
      </w:r>
      <w:r w:rsidR="003A6319">
        <w:rPr>
          <w:rFonts w:asciiTheme="minorHAnsi" w:hAnsiTheme="minorHAnsi" w:cstheme="minorHAnsi"/>
          <w:sz w:val="24"/>
          <w:szCs w:val="24"/>
        </w:rPr>
        <w:t xml:space="preserve">changes in </w:t>
      </w:r>
      <w:proofErr w:type="spellStart"/>
      <w:r w:rsidR="00742E1C" w:rsidRPr="00955810">
        <w:rPr>
          <w:rFonts w:asciiTheme="minorHAnsi" w:hAnsiTheme="minorHAnsi" w:cstheme="minorHAnsi"/>
          <w:i/>
          <w:sz w:val="24"/>
          <w:szCs w:val="24"/>
        </w:rPr>
        <w:t>ortho</w:t>
      </w:r>
      <w:proofErr w:type="spellEnd"/>
      <w:r w:rsidR="00742E1C" w:rsidRPr="00F46D82">
        <w:rPr>
          <w:rFonts w:asciiTheme="minorHAnsi" w:hAnsiTheme="minorHAnsi" w:cstheme="minorHAnsi"/>
          <w:sz w:val="24"/>
          <w:szCs w:val="24"/>
        </w:rPr>
        <w:t>-PCBs</w:t>
      </w:r>
      <w:r w:rsidR="004861D1">
        <w:rPr>
          <w:rFonts w:asciiTheme="minorHAnsi" w:hAnsiTheme="minorHAnsi" w:cstheme="minorHAnsi"/>
          <w:sz w:val="24"/>
          <w:szCs w:val="24"/>
        </w:rPr>
        <w:t xml:space="preserve"> </w:t>
      </w:r>
      <w:r w:rsidR="00194871">
        <w:rPr>
          <w:rFonts w:asciiTheme="minorHAnsi" w:hAnsiTheme="minorHAnsi" w:cstheme="minorHAnsi"/>
          <w:sz w:val="24"/>
          <w:szCs w:val="24"/>
        </w:rPr>
        <w:t xml:space="preserve">since </w:t>
      </w:r>
      <w:r w:rsidR="00742E1C" w:rsidRPr="00F46D82">
        <w:rPr>
          <w:rFonts w:asciiTheme="minorHAnsi" w:hAnsiTheme="minorHAnsi" w:cstheme="minorHAnsi"/>
          <w:sz w:val="24"/>
          <w:szCs w:val="24"/>
        </w:rPr>
        <w:t>baseline.</w:t>
      </w:r>
      <w:r w:rsidR="002000ED">
        <w:rPr>
          <w:rFonts w:asciiTheme="minorHAnsi" w:hAnsiTheme="minorHAnsi" w:cstheme="minorHAnsi"/>
          <w:sz w:val="24"/>
          <w:szCs w:val="24"/>
        </w:rPr>
        <w:t xml:space="preserve"> </w:t>
      </w:r>
      <w:r w:rsidR="00742E1C" w:rsidRPr="00F46D82">
        <w:rPr>
          <w:rFonts w:asciiTheme="minorHAnsi" w:hAnsiTheme="minorHAnsi" w:cstheme="minorHAnsi"/>
          <w:sz w:val="24"/>
          <w:szCs w:val="24"/>
        </w:rPr>
        <w:t xml:space="preserve">In addition to the </w:t>
      </w:r>
      <w:proofErr w:type="spellStart"/>
      <w:r w:rsidR="00742E1C" w:rsidRPr="00955810">
        <w:rPr>
          <w:rFonts w:asciiTheme="minorHAnsi" w:hAnsiTheme="minorHAnsi" w:cstheme="minorHAnsi"/>
          <w:i/>
          <w:sz w:val="24"/>
          <w:szCs w:val="24"/>
        </w:rPr>
        <w:t>ortho</w:t>
      </w:r>
      <w:proofErr w:type="spellEnd"/>
      <w:r w:rsidR="00742E1C" w:rsidRPr="00F46D82">
        <w:rPr>
          <w:rFonts w:asciiTheme="minorHAnsi" w:hAnsiTheme="minorHAnsi" w:cstheme="minorHAnsi"/>
          <w:sz w:val="24"/>
          <w:szCs w:val="24"/>
        </w:rPr>
        <w:t>-PCBs, we propose to examine health status of Anniston residents in association with dioxin-like co-PCBs, PCDD</w:t>
      </w:r>
      <w:r w:rsidR="00F04AA3">
        <w:rPr>
          <w:rFonts w:asciiTheme="minorHAnsi" w:hAnsiTheme="minorHAnsi" w:cstheme="minorHAnsi"/>
          <w:sz w:val="24"/>
          <w:szCs w:val="24"/>
        </w:rPr>
        <w:t>s,</w:t>
      </w:r>
      <w:r w:rsidR="00742E1C" w:rsidRPr="00F46D82">
        <w:rPr>
          <w:rFonts w:asciiTheme="minorHAnsi" w:hAnsiTheme="minorHAnsi" w:cstheme="minorHAnsi"/>
          <w:sz w:val="24"/>
          <w:szCs w:val="24"/>
        </w:rPr>
        <w:t xml:space="preserve"> and PCDFs</w:t>
      </w:r>
      <w:r w:rsidR="002000ED">
        <w:rPr>
          <w:rFonts w:asciiTheme="minorHAnsi" w:hAnsiTheme="minorHAnsi" w:cstheme="minorHAnsi"/>
          <w:sz w:val="24"/>
          <w:szCs w:val="24"/>
        </w:rPr>
        <w:t xml:space="preserve">, </w:t>
      </w:r>
      <w:r w:rsidR="00F04AA3">
        <w:rPr>
          <w:rFonts w:asciiTheme="minorHAnsi" w:hAnsiTheme="minorHAnsi" w:cstheme="minorHAnsi"/>
          <w:sz w:val="24"/>
          <w:szCs w:val="24"/>
        </w:rPr>
        <w:t xml:space="preserve">all not </w:t>
      </w:r>
      <w:r w:rsidR="00742E1C" w:rsidRPr="00F46D82">
        <w:rPr>
          <w:rFonts w:asciiTheme="minorHAnsi" w:hAnsiTheme="minorHAnsi" w:cstheme="minorHAnsi"/>
          <w:sz w:val="24"/>
          <w:szCs w:val="24"/>
        </w:rPr>
        <w:t>previously</w:t>
      </w:r>
      <w:r w:rsidR="00F04AA3">
        <w:rPr>
          <w:rFonts w:asciiTheme="minorHAnsi" w:hAnsiTheme="minorHAnsi" w:cstheme="minorHAnsi"/>
          <w:sz w:val="24"/>
          <w:szCs w:val="24"/>
        </w:rPr>
        <w:t xml:space="preserve"> </w:t>
      </w:r>
      <w:r w:rsidR="002000ED">
        <w:rPr>
          <w:rFonts w:asciiTheme="minorHAnsi" w:hAnsiTheme="minorHAnsi" w:cstheme="minorHAnsi"/>
          <w:sz w:val="24"/>
          <w:szCs w:val="24"/>
        </w:rPr>
        <w:t>assessed</w:t>
      </w:r>
      <w:r w:rsidR="004E421A">
        <w:rPr>
          <w:rFonts w:asciiTheme="minorHAnsi" w:hAnsiTheme="minorHAnsi" w:cstheme="minorHAnsi"/>
          <w:sz w:val="24"/>
          <w:szCs w:val="24"/>
        </w:rPr>
        <w:t xml:space="preserve">. </w:t>
      </w:r>
      <w:r w:rsidR="00742E1C" w:rsidRPr="00F46D82">
        <w:rPr>
          <w:rFonts w:asciiTheme="minorHAnsi" w:hAnsiTheme="minorHAnsi" w:cstheme="minorHAnsi"/>
          <w:sz w:val="24"/>
          <w:szCs w:val="24"/>
        </w:rPr>
        <w:t xml:space="preserve">Measuring </w:t>
      </w:r>
      <w:r w:rsidR="00742E1C" w:rsidRPr="00F46D82">
        <w:rPr>
          <w:rFonts w:asciiTheme="minorHAnsi" w:hAnsiTheme="minorHAnsi" w:cstheme="minorHAnsi"/>
          <w:sz w:val="24"/>
          <w:szCs w:val="24"/>
        </w:rPr>
        <w:lastRenderedPageBreak/>
        <w:t xml:space="preserve">the full spectrum of these compounds is the only way to distinguish between dioxin-like and non-dioxin-like health effects of these toxic chemicals. </w:t>
      </w:r>
    </w:p>
    <w:p w:rsidR="00742E1C" w:rsidRPr="00F46D82" w:rsidRDefault="00742E1C" w:rsidP="002E799F">
      <w:pPr>
        <w:autoSpaceDE w:val="0"/>
        <w:autoSpaceDN w:val="0"/>
        <w:adjustRightInd w:val="0"/>
        <w:spacing w:after="0" w:line="240" w:lineRule="auto"/>
        <w:jc w:val="both"/>
        <w:rPr>
          <w:rFonts w:asciiTheme="minorHAnsi" w:hAnsiTheme="minorHAnsi" w:cstheme="minorHAnsi"/>
          <w:sz w:val="24"/>
          <w:szCs w:val="24"/>
        </w:rPr>
      </w:pPr>
    </w:p>
    <w:p w:rsidR="005D3FCC" w:rsidRDefault="00742E1C" w:rsidP="00476C2B">
      <w:pPr>
        <w:autoSpaceDE w:val="0"/>
        <w:autoSpaceDN w:val="0"/>
        <w:adjustRightInd w:val="0"/>
        <w:spacing w:after="0" w:line="240" w:lineRule="auto"/>
        <w:jc w:val="both"/>
        <w:rPr>
          <w:rFonts w:asciiTheme="minorHAnsi" w:hAnsiTheme="minorHAnsi" w:cstheme="minorHAnsi"/>
          <w:sz w:val="24"/>
          <w:szCs w:val="24"/>
        </w:rPr>
      </w:pPr>
      <w:r w:rsidRPr="00F46D82">
        <w:rPr>
          <w:rFonts w:asciiTheme="minorHAnsi" w:hAnsiTheme="minorHAnsi" w:cstheme="minorHAnsi"/>
          <w:sz w:val="24"/>
          <w:szCs w:val="24"/>
        </w:rPr>
        <w:t xml:space="preserve">For the first time for the ACHS </w:t>
      </w:r>
      <w:r w:rsidR="00540C00">
        <w:rPr>
          <w:rFonts w:asciiTheme="minorHAnsi" w:hAnsiTheme="minorHAnsi" w:cstheme="minorHAnsi"/>
          <w:sz w:val="24"/>
          <w:szCs w:val="24"/>
        </w:rPr>
        <w:t>C</w:t>
      </w:r>
      <w:r w:rsidRPr="00F46D82">
        <w:rPr>
          <w:rFonts w:asciiTheme="minorHAnsi" w:hAnsiTheme="minorHAnsi" w:cstheme="minorHAnsi"/>
          <w:sz w:val="24"/>
          <w:szCs w:val="24"/>
        </w:rPr>
        <w:t xml:space="preserve">ohort, study investigators also propose to assess </w:t>
      </w:r>
      <w:proofErr w:type="spellStart"/>
      <w:r w:rsidRPr="00F46D82">
        <w:rPr>
          <w:rFonts w:asciiTheme="minorHAnsi" w:hAnsiTheme="minorHAnsi" w:cstheme="minorHAnsi"/>
          <w:sz w:val="24"/>
          <w:szCs w:val="24"/>
        </w:rPr>
        <w:t>polybrominated</w:t>
      </w:r>
      <w:proofErr w:type="spellEnd"/>
      <w:r w:rsidRPr="00F46D82">
        <w:rPr>
          <w:rFonts w:asciiTheme="minorHAnsi" w:hAnsiTheme="minorHAnsi" w:cstheme="minorHAnsi"/>
          <w:sz w:val="24"/>
          <w:szCs w:val="24"/>
        </w:rPr>
        <w:t xml:space="preserve"> </w:t>
      </w:r>
      <w:proofErr w:type="spellStart"/>
      <w:r w:rsidRPr="00F46D82">
        <w:rPr>
          <w:rFonts w:asciiTheme="minorHAnsi" w:hAnsiTheme="minorHAnsi" w:cstheme="minorHAnsi"/>
          <w:sz w:val="24"/>
          <w:szCs w:val="24"/>
        </w:rPr>
        <w:t>diphenyl</w:t>
      </w:r>
      <w:proofErr w:type="spellEnd"/>
      <w:r w:rsidRPr="00F46D82">
        <w:rPr>
          <w:rFonts w:asciiTheme="minorHAnsi" w:hAnsiTheme="minorHAnsi" w:cstheme="minorHAnsi"/>
          <w:sz w:val="24"/>
          <w:szCs w:val="24"/>
        </w:rPr>
        <w:t xml:space="preserve"> ethers (PBDEs) and heavy </w:t>
      </w:r>
      <w:r w:rsidR="000615D9">
        <w:rPr>
          <w:rFonts w:asciiTheme="minorHAnsi" w:hAnsiTheme="minorHAnsi" w:cstheme="minorHAnsi"/>
          <w:sz w:val="24"/>
          <w:szCs w:val="24"/>
        </w:rPr>
        <w:t xml:space="preserve">and trace </w:t>
      </w:r>
      <w:r w:rsidRPr="00F46D82">
        <w:rPr>
          <w:rFonts w:asciiTheme="minorHAnsi" w:hAnsiTheme="minorHAnsi" w:cstheme="minorHAnsi"/>
          <w:sz w:val="24"/>
          <w:szCs w:val="24"/>
        </w:rPr>
        <w:t>metals (lead, mercury, chromium, manganese</w:t>
      </w:r>
      <w:r w:rsidR="000615D9">
        <w:rPr>
          <w:rFonts w:asciiTheme="minorHAnsi" w:hAnsiTheme="minorHAnsi" w:cstheme="minorHAnsi"/>
          <w:sz w:val="24"/>
          <w:szCs w:val="24"/>
        </w:rPr>
        <w:t>, selenium</w:t>
      </w:r>
      <w:r w:rsidRPr="00F46D82">
        <w:rPr>
          <w:rFonts w:asciiTheme="minorHAnsi" w:hAnsiTheme="minorHAnsi" w:cstheme="minorHAnsi"/>
          <w:sz w:val="24"/>
          <w:szCs w:val="24"/>
        </w:rPr>
        <w:t xml:space="preserve">). </w:t>
      </w:r>
      <w:r w:rsidR="00476C2B" w:rsidRPr="00476C2B">
        <w:rPr>
          <w:rFonts w:asciiTheme="minorHAnsi" w:hAnsiTheme="minorHAnsi" w:cstheme="minorHAnsi"/>
          <w:sz w:val="24"/>
          <w:szCs w:val="24"/>
        </w:rPr>
        <w:t>PBDEs were not manufactured in Anniston, but</w:t>
      </w:r>
      <w:r w:rsidR="00FC717C">
        <w:rPr>
          <w:rFonts w:asciiTheme="minorHAnsi" w:hAnsiTheme="minorHAnsi" w:cstheme="minorHAnsi"/>
          <w:sz w:val="24"/>
          <w:szCs w:val="24"/>
        </w:rPr>
        <w:t xml:space="preserve"> in the last 20 years, PBDES have become</w:t>
      </w:r>
      <w:r w:rsidR="00476C2B" w:rsidRPr="00476C2B">
        <w:rPr>
          <w:rFonts w:asciiTheme="minorHAnsi" w:hAnsiTheme="minorHAnsi" w:cstheme="minorHAnsi"/>
          <w:sz w:val="24"/>
          <w:szCs w:val="24"/>
        </w:rPr>
        <w:t xml:space="preserve"> have become</w:t>
      </w:r>
      <w:r w:rsidR="00FC717C">
        <w:rPr>
          <w:rFonts w:asciiTheme="minorHAnsi" w:hAnsiTheme="minorHAnsi" w:cstheme="minorHAnsi"/>
          <w:sz w:val="24"/>
          <w:szCs w:val="24"/>
        </w:rPr>
        <w:t xml:space="preserve"> – like PCBs –</w:t>
      </w:r>
      <w:r w:rsidR="00476C2B" w:rsidRPr="00476C2B">
        <w:rPr>
          <w:rFonts w:asciiTheme="minorHAnsi" w:hAnsiTheme="minorHAnsi" w:cstheme="minorHAnsi"/>
          <w:sz w:val="24"/>
          <w:szCs w:val="24"/>
        </w:rPr>
        <w:t xml:space="preserve"> ubiquitous persistent organic pollutants</w:t>
      </w:r>
      <w:r w:rsidR="00FC717C">
        <w:rPr>
          <w:rFonts w:asciiTheme="minorHAnsi" w:hAnsiTheme="minorHAnsi" w:cstheme="minorHAnsi"/>
          <w:sz w:val="24"/>
          <w:szCs w:val="24"/>
        </w:rPr>
        <w:t xml:space="preserve"> that </w:t>
      </w:r>
      <w:r w:rsidR="00476C2B" w:rsidRPr="00476C2B">
        <w:rPr>
          <w:rFonts w:asciiTheme="minorHAnsi" w:hAnsiTheme="minorHAnsi" w:cstheme="minorHAnsi"/>
          <w:sz w:val="24"/>
          <w:szCs w:val="24"/>
        </w:rPr>
        <w:t xml:space="preserve">bio-accumulate in the environment, bio-magnify up the food chain, and have been detected in significant amounts in animals and humans (Costa et al., 2008; </w:t>
      </w:r>
      <w:proofErr w:type="spellStart"/>
      <w:r w:rsidR="00476C2B" w:rsidRPr="00476C2B">
        <w:rPr>
          <w:rFonts w:asciiTheme="minorHAnsi" w:hAnsiTheme="minorHAnsi" w:cstheme="minorHAnsi"/>
          <w:sz w:val="24"/>
          <w:szCs w:val="24"/>
        </w:rPr>
        <w:t>Lorber</w:t>
      </w:r>
      <w:proofErr w:type="spellEnd"/>
      <w:r w:rsidR="00476C2B" w:rsidRPr="00476C2B">
        <w:rPr>
          <w:rFonts w:asciiTheme="minorHAnsi" w:hAnsiTheme="minorHAnsi" w:cstheme="minorHAnsi"/>
          <w:sz w:val="24"/>
          <w:szCs w:val="24"/>
        </w:rPr>
        <w:t xml:space="preserve">, 2008; </w:t>
      </w:r>
      <w:proofErr w:type="spellStart"/>
      <w:r w:rsidR="00476C2B" w:rsidRPr="00476C2B">
        <w:rPr>
          <w:rFonts w:asciiTheme="minorHAnsi" w:hAnsiTheme="minorHAnsi" w:cstheme="minorHAnsi"/>
          <w:sz w:val="24"/>
          <w:szCs w:val="24"/>
        </w:rPr>
        <w:t>Schecter</w:t>
      </w:r>
      <w:proofErr w:type="spellEnd"/>
      <w:r w:rsidR="00476C2B" w:rsidRPr="00476C2B">
        <w:rPr>
          <w:rFonts w:asciiTheme="minorHAnsi" w:hAnsiTheme="minorHAnsi" w:cstheme="minorHAnsi"/>
          <w:sz w:val="24"/>
          <w:szCs w:val="24"/>
        </w:rPr>
        <w:t xml:space="preserve"> et al., 2004). Different PBDE formulations (</w:t>
      </w:r>
      <w:proofErr w:type="spellStart"/>
      <w:r w:rsidR="00476C2B" w:rsidRPr="00476C2B">
        <w:rPr>
          <w:rFonts w:asciiTheme="minorHAnsi" w:hAnsiTheme="minorHAnsi" w:cstheme="minorHAnsi"/>
          <w:sz w:val="24"/>
          <w:szCs w:val="24"/>
        </w:rPr>
        <w:t>penta</w:t>
      </w:r>
      <w:proofErr w:type="spellEnd"/>
      <w:r w:rsidR="00476C2B" w:rsidRPr="00476C2B">
        <w:rPr>
          <w:rFonts w:asciiTheme="minorHAnsi" w:hAnsiTheme="minorHAnsi" w:cstheme="minorHAnsi"/>
          <w:sz w:val="24"/>
          <w:szCs w:val="24"/>
        </w:rPr>
        <w:t xml:space="preserve">-, </w:t>
      </w:r>
      <w:proofErr w:type="spellStart"/>
      <w:r w:rsidR="00476C2B" w:rsidRPr="00476C2B">
        <w:rPr>
          <w:rFonts w:asciiTheme="minorHAnsi" w:hAnsiTheme="minorHAnsi" w:cstheme="minorHAnsi"/>
          <w:sz w:val="24"/>
          <w:szCs w:val="24"/>
        </w:rPr>
        <w:t>octa</w:t>
      </w:r>
      <w:proofErr w:type="spellEnd"/>
      <w:r w:rsidR="00476C2B" w:rsidRPr="00476C2B">
        <w:rPr>
          <w:rFonts w:asciiTheme="minorHAnsi" w:hAnsiTheme="minorHAnsi" w:cstheme="minorHAnsi"/>
          <w:sz w:val="24"/>
          <w:szCs w:val="24"/>
        </w:rPr>
        <w:t xml:space="preserve">-, </w:t>
      </w:r>
      <w:proofErr w:type="spellStart"/>
      <w:r w:rsidR="00476C2B" w:rsidRPr="00476C2B">
        <w:rPr>
          <w:rFonts w:asciiTheme="minorHAnsi" w:hAnsiTheme="minorHAnsi" w:cstheme="minorHAnsi"/>
          <w:sz w:val="24"/>
          <w:szCs w:val="24"/>
        </w:rPr>
        <w:t>deca</w:t>
      </w:r>
      <w:proofErr w:type="spellEnd"/>
      <w:r w:rsidR="00476C2B" w:rsidRPr="00476C2B">
        <w:rPr>
          <w:rFonts w:asciiTheme="minorHAnsi" w:hAnsiTheme="minorHAnsi" w:cstheme="minorHAnsi"/>
          <w:sz w:val="24"/>
          <w:szCs w:val="24"/>
        </w:rPr>
        <w:t>-PBDEs), PBDE congeners (e.g. 47, 99, 153, 209), and their metabolites have been shown to have endocrine</w:t>
      </w:r>
      <w:r w:rsidR="00FC717C">
        <w:rPr>
          <w:rFonts w:asciiTheme="minorHAnsi" w:hAnsiTheme="minorHAnsi" w:cstheme="minorHAnsi"/>
          <w:sz w:val="24"/>
          <w:szCs w:val="24"/>
        </w:rPr>
        <w:t>-</w:t>
      </w:r>
      <w:r w:rsidR="00476C2B" w:rsidRPr="00476C2B">
        <w:rPr>
          <w:rFonts w:asciiTheme="minorHAnsi" w:hAnsiTheme="minorHAnsi" w:cstheme="minorHAnsi"/>
          <w:sz w:val="24"/>
          <w:szCs w:val="24"/>
        </w:rPr>
        <w:t>disrupting effects</w:t>
      </w:r>
      <w:r w:rsidR="00FC717C">
        <w:rPr>
          <w:rFonts w:asciiTheme="minorHAnsi" w:hAnsiTheme="minorHAnsi" w:cstheme="minorHAnsi"/>
          <w:sz w:val="24"/>
          <w:szCs w:val="24"/>
        </w:rPr>
        <w:t>,</w:t>
      </w:r>
      <w:r w:rsidR="00476C2B" w:rsidRPr="00476C2B">
        <w:rPr>
          <w:rFonts w:asciiTheme="minorHAnsi" w:hAnsiTheme="minorHAnsi" w:cstheme="minorHAnsi"/>
          <w:sz w:val="24"/>
          <w:szCs w:val="24"/>
        </w:rPr>
        <w:t xml:space="preserve"> interacting with androgen, progesterone, estrogen, and thyroid receptors. PBDEs </w:t>
      </w:r>
      <w:proofErr w:type="gramStart"/>
      <w:r w:rsidR="00476C2B" w:rsidRPr="00476C2B">
        <w:rPr>
          <w:rFonts w:asciiTheme="minorHAnsi" w:hAnsiTheme="minorHAnsi" w:cstheme="minorHAnsi"/>
          <w:sz w:val="24"/>
          <w:szCs w:val="24"/>
        </w:rPr>
        <w:t>have been reported</w:t>
      </w:r>
      <w:proofErr w:type="gramEnd"/>
      <w:r w:rsidR="00476C2B" w:rsidRPr="00476C2B">
        <w:rPr>
          <w:rFonts w:asciiTheme="minorHAnsi" w:hAnsiTheme="minorHAnsi" w:cstheme="minorHAnsi"/>
          <w:sz w:val="24"/>
          <w:szCs w:val="24"/>
        </w:rPr>
        <w:t xml:space="preserve"> to decrease levels of total and free thyroxin in adult animals</w:t>
      </w:r>
      <w:r w:rsidR="00AF46E2">
        <w:rPr>
          <w:rFonts w:asciiTheme="minorHAnsi" w:hAnsiTheme="minorHAnsi" w:cstheme="minorHAnsi"/>
          <w:sz w:val="24"/>
          <w:szCs w:val="24"/>
        </w:rPr>
        <w:t>,</w:t>
      </w:r>
      <w:r w:rsidR="00476C2B" w:rsidRPr="00476C2B">
        <w:rPr>
          <w:rFonts w:asciiTheme="minorHAnsi" w:hAnsiTheme="minorHAnsi" w:cstheme="minorHAnsi"/>
          <w:sz w:val="24"/>
          <w:szCs w:val="24"/>
        </w:rPr>
        <w:t xml:space="preserve"> </w:t>
      </w:r>
      <w:r w:rsidR="00AF46E2">
        <w:rPr>
          <w:rFonts w:asciiTheme="minorHAnsi" w:hAnsiTheme="minorHAnsi" w:cstheme="minorHAnsi"/>
          <w:sz w:val="24"/>
          <w:szCs w:val="24"/>
        </w:rPr>
        <w:t xml:space="preserve">while </w:t>
      </w:r>
      <w:r w:rsidR="00476C2B" w:rsidRPr="00476C2B">
        <w:rPr>
          <w:rFonts w:asciiTheme="minorHAnsi" w:hAnsiTheme="minorHAnsi" w:cstheme="minorHAnsi"/>
          <w:sz w:val="24"/>
          <w:szCs w:val="24"/>
        </w:rPr>
        <w:t>chronic exposure in rats and mice also targeted liver and kidney</w:t>
      </w:r>
      <w:r w:rsidR="00AF46E2">
        <w:rPr>
          <w:rFonts w:asciiTheme="minorHAnsi" w:hAnsiTheme="minorHAnsi" w:cstheme="minorHAnsi"/>
          <w:sz w:val="24"/>
          <w:szCs w:val="24"/>
        </w:rPr>
        <w:t>s</w:t>
      </w:r>
      <w:r w:rsidR="00476C2B" w:rsidRPr="00476C2B">
        <w:rPr>
          <w:rFonts w:asciiTheme="minorHAnsi" w:hAnsiTheme="minorHAnsi" w:cstheme="minorHAnsi"/>
          <w:sz w:val="24"/>
          <w:szCs w:val="24"/>
        </w:rPr>
        <w:t xml:space="preserve"> (Costa et al., 2008). Mechanisms related to neurotoxicity of </w:t>
      </w:r>
      <w:proofErr w:type="gramStart"/>
      <w:r w:rsidR="00476C2B" w:rsidRPr="00476C2B">
        <w:rPr>
          <w:rFonts w:asciiTheme="minorHAnsi" w:hAnsiTheme="minorHAnsi" w:cstheme="minorHAnsi"/>
          <w:sz w:val="24"/>
          <w:szCs w:val="24"/>
        </w:rPr>
        <w:t xml:space="preserve">PBDEs and their </w:t>
      </w:r>
      <w:proofErr w:type="spellStart"/>
      <w:r w:rsidR="00476C2B" w:rsidRPr="00476C2B">
        <w:rPr>
          <w:rFonts w:asciiTheme="minorHAnsi" w:hAnsiTheme="minorHAnsi" w:cstheme="minorHAnsi"/>
          <w:sz w:val="24"/>
          <w:szCs w:val="24"/>
        </w:rPr>
        <w:t>hydroxylated</w:t>
      </w:r>
      <w:proofErr w:type="spellEnd"/>
      <w:r w:rsidR="00476C2B" w:rsidRPr="00476C2B">
        <w:rPr>
          <w:rFonts w:asciiTheme="minorHAnsi" w:hAnsiTheme="minorHAnsi" w:cstheme="minorHAnsi"/>
          <w:sz w:val="24"/>
          <w:szCs w:val="24"/>
        </w:rPr>
        <w:t xml:space="preserve"> metabolites have been described</w:t>
      </w:r>
      <w:r w:rsidR="00AF46E2">
        <w:rPr>
          <w:rFonts w:asciiTheme="minorHAnsi" w:hAnsiTheme="minorHAnsi" w:cstheme="minorHAnsi"/>
          <w:sz w:val="24"/>
          <w:szCs w:val="24"/>
        </w:rPr>
        <w:t>,</w:t>
      </w:r>
      <w:r w:rsidR="00476C2B" w:rsidRPr="00476C2B">
        <w:rPr>
          <w:rFonts w:asciiTheme="minorHAnsi" w:hAnsiTheme="minorHAnsi" w:cstheme="minorHAnsi"/>
          <w:sz w:val="24"/>
          <w:szCs w:val="24"/>
        </w:rPr>
        <w:t xml:space="preserve"> including binding to thyroid hormone receptors</w:t>
      </w:r>
      <w:proofErr w:type="gramEnd"/>
      <w:r w:rsidR="00476C2B" w:rsidRPr="00476C2B">
        <w:rPr>
          <w:rFonts w:asciiTheme="minorHAnsi" w:hAnsiTheme="minorHAnsi" w:cstheme="minorHAnsi"/>
          <w:sz w:val="24"/>
          <w:szCs w:val="24"/>
        </w:rPr>
        <w:t xml:space="preserve"> and transport proteins, disruption of Ca²⁺ homeostasis, and modulation of GABA and nicotinic acetylcholine receptor function (</w:t>
      </w:r>
      <w:proofErr w:type="spellStart"/>
      <w:r w:rsidR="00476C2B" w:rsidRPr="00476C2B">
        <w:rPr>
          <w:rFonts w:asciiTheme="minorHAnsi" w:hAnsiTheme="minorHAnsi" w:cstheme="minorHAnsi"/>
          <w:sz w:val="24"/>
          <w:szCs w:val="24"/>
        </w:rPr>
        <w:t>Dingemans</w:t>
      </w:r>
      <w:proofErr w:type="spellEnd"/>
      <w:r w:rsidR="00476C2B" w:rsidRPr="00476C2B">
        <w:rPr>
          <w:rFonts w:asciiTheme="minorHAnsi" w:hAnsiTheme="minorHAnsi" w:cstheme="minorHAnsi"/>
          <w:sz w:val="24"/>
          <w:szCs w:val="24"/>
        </w:rPr>
        <w:t xml:space="preserve"> et al., 2011).</w:t>
      </w:r>
      <w:r w:rsidR="005D3FCC">
        <w:rPr>
          <w:rFonts w:asciiTheme="minorHAnsi" w:hAnsiTheme="minorHAnsi" w:cstheme="minorHAnsi"/>
          <w:sz w:val="24"/>
          <w:szCs w:val="24"/>
        </w:rPr>
        <w:t xml:space="preserve"> </w:t>
      </w:r>
      <w:r w:rsidR="00476C2B" w:rsidRPr="00476C2B">
        <w:rPr>
          <w:rFonts w:asciiTheme="minorHAnsi" w:hAnsiTheme="minorHAnsi" w:cstheme="minorHAnsi"/>
          <w:sz w:val="24"/>
          <w:szCs w:val="24"/>
        </w:rPr>
        <w:t>There has been intensive study of human health outcomes related to exposures to brominated compounds in pregnancy and during prenatal, infant, and early childhood periods. Numerous recent studies reported on associations between PBDEs and neurodevelopmental (</w:t>
      </w:r>
      <w:proofErr w:type="spellStart"/>
      <w:r w:rsidR="00476C2B" w:rsidRPr="00476C2B">
        <w:rPr>
          <w:rFonts w:asciiTheme="minorHAnsi" w:hAnsiTheme="minorHAnsi" w:cstheme="minorHAnsi"/>
          <w:sz w:val="24"/>
          <w:szCs w:val="24"/>
        </w:rPr>
        <w:t>Gascon</w:t>
      </w:r>
      <w:proofErr w:type="spellEnd"/>
      <w:r w:rsidR="00476C2B" w:rsidRPr="00476C2B">
        <w:rPr>
          <w:rFonts w:asciiTheme="minorHAnsi" w:hAnsiTheme="minorHAnsi" w:cstheme="minorHAnsi"/>
          <w:sz w:val="24"/>
          <w:szCs w:val="24"/>
        </w:rPr>
        <w:t xml:space="preserve"> et al., 2012; </w:t>
      </w:r>
      <w:proofErr w:type="spellStart"/>
      <w:r w:rsidR="00476C2B" w:rsidRPr="00476C2B">
        <w:rPr>
          <w:rFonts w:asciiTheme="minorHAnsi" w:hAnsiTheme="minorHAnsi" w:cstheme="minorHAnsi"/>
          <w:sz w:val="24"/>
          <w:szCs w:val="24"/>
        </w:rPr>
        <w:t>Herbstman</w:t>
      </w:r>
      <w:proofErr w:type="spellEnd"/>
      <w:r w:rsidR="00476C2B" w:rsidRPr="00476C2B">
        <w:rPr>
          <w:rFonts w:asciiTheme="minorHAnsi" w:hAnsiTheme="minorHAnsi" w:cstheme="minorHAnsi"/>
          <w:sz w:val="24"/>
          <w:szCs w:val="24"/>
        </w:rPr>
        <w:t xml:space="preserve"> et al., 2010), reproductive (</w:t>
      </w:r>
      <w:proofErr w:type="spellStart"/>
      <w:r w:rsidR="00476C2B" w:rsidRPr="00476C2B">
        <w:rPr>
          <w:rFonts w:asciiTheme="minorHAnsi" w:hAnsiTheme="minorHAnsi" w:cstheme="minorHAnsi"/>
          <w:sz w:val="24"/>
          <w:szCs w:val="24"/>
        </w:rPr>
        <w:t>Abdelouahab</w:t>
      </w:r>
      <w:proofErr w:type="spellEnd"/>
      <w:r w:rsidR="00476C2B" w:rsidRPr="00476C2B">
        <w:rPr>
          <w:rFonts w:asciiTheme="minorHAnsi" w:hAnsiTheme="minorHAnsi" w:cstheme="minorHAnsi"/>
          <w:sz w:val="24"/>
          <w:szCs w:val="24"/>
        </w:rPr>
        <w:t xml:space="preserve"> et al., 2011; Harley et al., 2010; Main et al., 2007), and hormonal outcomes (</w:t>
      </w:r>
      <w:proofErr w:type="spellStart"/>
      <w:r w:rsidR="00476C2B" w:rsidRPr="00476C2B">
        <w:rPr>
          <w:rFonts w:asciiTheme="minorHAnsi" w:hAnsiTheme="minorHAnsi" w:cstheme="minorHAnsi"/>
          <w:sz w:val="24"/>
          <w:szCs w:val="24"/>
        </w:rPr>
        <w:t>Chevrier</w:t>
      </w:r>
      <w:proofErr w:type="spellEnd"/>
      <w:r w:rsidR="00476C2B" w:rsidRPr="00476C2B">
        <w:rPr>
          <w:rFonts w:asciiTheme="minorHAnsi" w:hAnsiTheme="minorHAnsi" w:cstheme="minorHAnsi"/>
          <w:sz w:val="24"/>
          <w:szCs w:val="24"/>
        </w:rPr>
        <w:t xml:space="preserve"> et al., 2010, 2011, </w:t>
      </w:r>
      <w:proofErr w:type="spellStart"/>
      <w:r w:rsidR="00476C2B" w:rsidRPr="00476C2B">
        <w:rPr>
          <w:rFonts w:asciiTheme="minorHAnsi" w:hAnsiTheme="minorHAnsi" w:cstheme="minorHAnsi"/>
          <w:sz w:val="24"/>
          <w:szCs w:val="24"/>
        </w:rPr>
        <w:t>Eggesbø</w:t>
      </w:r>
      <w:proofErr w:type="spellEnd"/>
      <w:r w:rsidR="00476C2B" w:rsidRPr="00476C2B">
        <w:rPr>
          <w:rFonts w:asciiTheme="minorHAnsi" w:hAnsiTheme="minorHAnsi" w:cstheme="minorHAnsi"/>
          <w:sz w:val="24"/>
          <w:szCs w:val="24"/>
        </w:rPr>
        <w:t xml:space="preserve"> et al., 2011; </w:t>
      </w:r>
      <w:proofErr w:type="spellStart"/>
      <w:r w:rsidR="00476C2B" w:rsidRPr="00476C2B">
        <w:rPr>
          <w:rFonts w:asciiTheme="minorHAnsi" w:hAnsiTheme="minorHAnsi" w:cstheme="minorHAnsi"/>
          <w:sz w:val="24"/>
          <w:szCs w:val="24"/>
        </w:rPr>
        <w:t>Leijs</w:t>
      </w:r>
      <w:proofErr w:type="spellEnd"/>
      <w:r w:rsidR="00476C2B" w:rsidRPr="00476C2B">
        <w:rPr>
          <w:rFonts w:asciiTheme="minorHAnsi" w:hAnsiTheme="minorHAnsi" w:cstheme="minorHAnsi"/>
          <w:sz w:val="24"/>
          <w:szCs w:val="24"/>
        </w:rPr>
        <w:t xml:space="preserve"> et al., 2012; Stapleton et al., 2011</w:t>
      </w:r>
      <w:r w:rsidR="00CB0F28">
        <w:rPr>
          <w:rFonts w:asciiTheme="minorHAnsi" w:hAnsiTheme="minorHAnsi" w:cstheme="minorHAnsi"/>
          <w:sz w:val="24"/>
          <w:szCs w:val="24"/>
        </w:rPr>
        <w:t>; Kim et al., 2013</w:t>
      </w:r>
      <w:r w:rsidR="00476C2B" w:rsidRPr="00476C2B">
        <w:rPr>
          <w:rFonts w:asciiTheme="minorHAnsi" w:hAnsiTheme="minorHAnsi" w:cstheme="minorHAnsi"/>
          <w:sz w:val="24"/>
          <w:szCs w:val="24"/>
        </w:rPr>
        <w:t xml:space="preserve">). To a lesser extent, environmental exposures to brominated </w:t>
      </w:r>
      <w:proofErr w:type="gramStart"/>
      <w:r w:rsidR="00476C2B" w:rsidRPr="00476C2B">
        <w:rPr>
          <w:rFonts w:asciiTheme="minorHAnsi" w:hAnsiTheme="minorHAnsi" w:cstheme="minorHAnsi"/>
          <w:sz w:val="24"/>
          <w:szCs w:val="24"/>
        </w:rPr>
        <w:t>flame retardants</w:t>
      </w:r>
      <w:proofErr w:type="gramEnd"/>
      <w:r w:rsidR="00476C2B" w:rsidRPr="00476C2B">
        <w:rPr>
          <w:rFonts w:asciiTheme="minorHAnsi" w:hAnsiTheme="minorHAnsi" w:cstheme="minorHAnsi"/>
          <w:sz w:val="24"/>
          <w:szCs w:val="24"/>
        </w:rPr>
        <w:t xml:space="preserve"> and hormone levels, atherosclerosis, diabetes and metabolic syndrome were also examined in studies of general populations (Lee et al., 2011; Lim et al., 2008; Lind et al., 2012; </w:t>
      </w:r>
      <w:proofErr w:type="spellStart"/>
      <w:r w:rsidR="00476C2B" w:rsidRPr="00476C2B">
        <w:rPr>
          <w:rFonts w:asciiTheme="minorHAnsi" w:hAnsiTheme="minorHAnsi" w:cstheme="minorHAnsi"/>
          <w:sz w:val="24"/>
          <w:szCs w:val="24"/>
        </w:rPr>
        <w:t>Turyk</w:t>
      </w:r>
      <w:proofErr w:type="spellEnd"/>
      <w:r w:rsidR="00476C2B" w:rsidRPr="00476C2B">
        <w:rPr>
          <w:rFonts w:asciiTheme="minorHAnsi" w:hAnsiTheme="minorHAnsi" w:cstheme="minorHAnsi"/>
          <w:sz w:val="24"/>
          <w:szCs w:val="24"/>
        </w:rPr>
        <w:t xml:space="preserve"> et al., 2008).</w:t>
      </w:r>
      <w:r w:rsidRPr="00F46D82">
        <w:rPr>
          <w:rFonts w:asciiTheme="minorHAnsi" w:hAnsiTheme="minorHAnsi" w:cstheme="minorHAnsi"/>
          <w:sz w:val="24"/>
          <w:szCs w:val="24"/>
        </w:rPr>
        <w:t xml:space="preserve">  </w:t>
      </w:r>
    </w:p>
    <w:p w:rsidR="005D3FCC" w:rsidRDefault="005D3FCC" w:rsidP="00476C2B">
      <w:pPr>
        <w:autoSpaceDE w:val="0"/>
        <w:autoSpaceDN w:val="0"/>
        <w:adjustRightInd w:val="0"/>
        <w:spacing w:after="0" w:line="240" w:lineRule="auto"/>
        <w:jc w:val="both"/>
        <w:rPr>
          <w:rFonts w:asciiTheme="minorHAnsi" w:hAnsiTheme="minorHAnsi" w:cstheme="minorHAnsi"/>
          <w:sz w:val="24"/>
          <w:szCs w:val="24"/>
        </w:rPr>
      </w:pPr>
    </w:p>
    <w:p w:rsidR="00D16BEF" w:rsidRDefault="00742E1C" w:rsidP="00476C2B">
      <w:pPr>
        <w:autoSpaceDE w:val="0"/>
        <w:autoSpaceDN w:val="0"/>
        <w:adjustRightInd w:val="0"/>
        <w:spacing w:after="0" w:line="240" w:lineRule="auto"/>
        <w:jc w:val="both"/>
        <w:rPr>
          <w:rFonts w:asciiTheme="minorHAnsi" w:hAnsiTheme="minorHAnsi" w:cstheme="minorHAnsi"/>
          <w:sz w:val="24"/>
          <w:szCs w:val="24"/>
        </w:rPr>
      </w:pPr>
      <w:r w:rsidRPr="00F46D82">
        <w:rPr>
          <w:rFonts w:asciiTheme="minorHAnsi" w:hAnsiTheme="minorHAnsi" w:cstheme="minorHAnsi"/>
          <w:sz w:val="24"/>
          <w:szCs w:val="24"/>
        </w:rPr>
        <w:t xml:space="preserve">Anniston has been the site of extensive lead pipe production since 1917, </w:t>
      </w:r>
      <w:r w:rsidR="00EC01D3">
        <w:rPr>
          <w:rFonts w:asciiTheme="minorHAnsi" w:hAnsiTheme="minorHAnsi" w:cstheme="minorHAnsi"/>
          <w:sz w:val="24"/>
          <w:szCs w:val="24"/>
        </w:rPr>
        <w:t xml:space="preserve">has </w:t>
      </w:r>
      <w:r w:rsidRPr="00F46D82">
        <w:rPr>
          <w:rFonts w:asciiTheme="minorHAnsi" w:hAnsiTheme="minorHAnsi" w:cstheme="minorHAnsi"/>
          <w:sz w:val="24"/>
          <w:szCs w:val="24"/>
        </w:rPr>
        <w:t xml:space="preserve">had </w:t>
      </w:r>
      <w:r w:rsidR="00EC01D3">
        <w:rPr>
          <w:rFonts w:asciiTheme="minorHAnsi" w:hAnsiTheme="minorHAnsi" w:cstheme="minorHAnsi"/>
          <w:sz w:val="24"/>
          <w:szCs w:val="24"/>
        </w:rPr>
        <w:t xml:space="preserve">a </w:t>
      </w:r>
      <w:r w:rsidRPr="00F46D82">
        <w:rPr>
          <w:rFonts w:asciiTheme="minorHAnsi" w:hAnsiTheme="minorHAnsi" w:cstheme="minorHAnsi"/>
          <w:sz w:val="24"/>
          <w:szCs w:val="24"/>
        </w:rPr>
        <w:t xml:space="preserve">long-term presence of </w:t>
      </w:r>
      <w:proofErr w:type="spellStart"/>
      <w:r w:rsidRPr="00F46D82">
        <w:rPr>
          <w:rFonts w:asciiTheme="minorHAnsi" w:hAnsiTheme="minorHAnsi" w:cstheme="minorHAnsi"/>
          <w:sz w:val="24"/>
          <w:szCs w:val="24"/>
        </w:rPr>
        <w:t>ferro</w:t>
      </w:r>
      <w:proofErr w:type="spellEnd"/>
      <w:r w:rsidRPr="00F46D82">
        <w:rPr>
          <w:rFonts w:asciiTheme="minorHAnsi" w:hAnsiTheme="minorHAnsi" w:cstheme="minorHAnsi"/>
          <w:sz w:val="24"/>
          <w:szCs w:val="24"/>
        </w:rPr>
        <w:t xml:space="preserve">-manganese smelters, </w:t>
      </w:r>
      <w:r w:rsidR="00171028">
        <w:rPr>
          <w:rFonts w:asciiTheme="minorHAnsi" w:hAnsiTheme="minorHAnsi" w:cstheme="minorHAnsi"/>
          <w:sz w:val="24"/>
          <w:szCs w:val="24"/>
        </w:rPr>
        <w:t xml:space="preserve">and also </w:t>
      </w:r>
      <w:r w:rsidRPr="00F46D82">
        <w:rPr>
          <w:rFonts w:asciiTheme="minorHAnsi" w:hAnsiTheme="minorHAnsi" w:cstheme="minorHAnsi"/>
          <w:sz w:val="24"/>
          <w:szCs w:val="24"/>
        </w:rPr>
        <w:t>mercury use and releases from PCB production.</w:t>
      </w:r>
      <w:r w:rsidR="005D3FCC" w:rsidRPr="005D3FCC">
        <w:t xml:space="preserve"> </w:t>
      </w:r>
      <w:r w:rsidR="005D3FCC" w:rsidRPr="005D3FCC">
        <w:rPr>
          <w:rFonts w:asciiTheme="minorHAnsi" w:hAnsiTheme="minorHAnsi" w:cstheme="minorHAnsi"/>
          <w:sz w:val="24"/>
          <w:szCs w:val="24"/>
        </w:rPr>
        <w:t xml:space="preserve">Environmental exposures to various heavy metals have been implicated in potentially contributing to the development of cardiovascular disease and diabetes, although </w:t>
      </w:r>
      <w:r w:rsidR="001E1D13">
        <w:rPr>
          <w:rFonts w:asciiTheme="minorHAnsi" w:hAnsiTheme="minorHAnsi" w:cstheme="minorHAnsi"/>
          <w:sz w:val="24"/>
          <w:szCs w:val="24"/>
        </w:rPr>
        <w:t xml:space="preserve">the </w:t>
      </w:r>
      <w:r w:rsidR="005D3FCC" w:rsidRPr="005D3FCC">
        <w:rPr>
          <w:rFonts w:asciiTheme="minorHAnsi" w:hAnsiTheme="minorHAnsi" w:cstheme="minorHAnsi"/>
          <w:sz w:val="24"/>
          <w:szCs w:val="24"/>
        </w:rPr>
        <w:t>precise mechanism</w:t>
      </w:r>
      <w:r w:rsidR="001E1D13">
        <w:rPr>
          <w:rFonts w:asciiTheme="minorHAnsi" w:hAnsiTheme="minorHAnsi" w:cstheme="minorHAnsi"/>
          <w:sz w:val="24"/>
          <w:szCs w:val="24"/>
        </w:rPr>
        <w:t>s</w:t>
      </w:r>
      <w:r w:rsidR="005D3FCC" w:rsidRPr="005D3FCC">
        <w:rPr>
          <w:rFonts w:asciiTheme="minorHAnsi" w:hAnsiTheme="minorHAnsi" w:cstheme="minorHAnsi"/>
          <w:sz w:val="24"/>
          <w:szCs w:val="24"/>
        </w:rPr>
        <w:t xml:space="preserve"> of action and interactions with other environmental exposures remain to be elucidated (</w:t>
      </w:r>
      <w:proofErr w:type="spellStart"/>
      <w:r w:rsidR="005D3FCC" w:rsidRPr="005D3FCC">
        <w:rPr>
          <w:rFonts w:asciiTheme="minorHAnsi" w:hAnsiTheme="minorHAnsi" w:cstheme="minorHAnsi"/>
          <w:sz w:val="24"/>
          <w:szCs w:val="24"/>
        </w:rPr>
        <w:t>Alissa</w:t>
      </w:r>
      <w:proofErr w:type="spellEnd"/>
      <w:r w:rsidR="005D3FCC" w:rsidRPr="005D3FCC">
        <w:rPr>
          <w:rFonts w:asciiTheme="minorHAnsi" w:hAnsiTheme="minorHAnsi" w:cstheme="minorHAnsi"/>
          <w:sz w:val="24"/>
          <w:szCs w:val="24"/>
        </w:rPr>
        <w:t xml:space="preserve"> and Ferns, 2011; Hectors et al., 2011)</w:t>
      </w:r>
      <w:r w:rsidR="005D3FCC">
        <w:rPr>
          <w:rFonts w:asciiTheme="minorHAnsi" w:hAnsiTheme="minorHAnsi" w:cstheme="minorHAnsi"/>
          <w:sz w:val="24"/>
          <w:szCs w:val="24"/>
        </w:rPr>
        <w:t>. We will study whether PBDEs a</w:t>
      </w:r>
      <w:r w:rsidR="00630734">
        <w:rPr>
          <w:rFonts w:asciiTheme="minorHAnsi" w:hAnsiTheme="minorHAnsi" w:cstheme="minorHAnsi"/>
          <w:sz w:val="24"/>
          <w:szCs w:val="24"/>
        </w:rPr>
        <w:t>nd heavy metals could act as co</w:t>
      </w:r>
      <w:r w:rsidR="005D3FCC">
        <w:rPr>
          <w:rFonts w:asciiTheme="minorHAnsi" w:hAnsiTheme="minorHAnsi" w:cstheme="minorHAnsi"/>
          <w:sz w:val="24"/>
          <w:szCs w:val="24"/>
        </w:rPr>
        <w:t>nfounders or effect modifiers of potential associations between health outcomes and PCBs (Supporting Statement B, Section B.4.).</w:t>
      </w:r>
    </w:p>
    <w:p w:rsidR="00956F69" w:rsidRDefault="00956F69" w:rsidP="002E799F">
      <w:pPr>
        <w:autoSpaceDE w:val="0"/>
        <w:autoSpaceDN w:val="0"/>
        <w:adjustRightInd w:val="0"/>
        <w:spacing w:after="0" w:line="240" w:lineRule="auto"/>
        <w:jc w:val="both"/>
        <w:rPr>
          <w:rFonts w:asciiTheme="minorHAnsi" w:hAnsiTheme="minorHAnsi" w:cstheme="minorHAnsi"/>
          <w:sz w:val="24"/>
          <w:szCs w:val="24"/>
        </w:rPr>
      </w:pPr>
    </w:p>
    <w:p w:rsidR="00513291" w:rsidRDefault="00513291" w:rsidP="0051329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Reportable clinical tests, action levels, and comparison values in the form of normal ranges or interpretive guidelines </w:t>
      </w:r>
      <w:proofErr w:type="gramStart"/>
      <w:r>
        <w:rPr>
          <w:rFonts w:asciiTheme="minorHAnsi" w:hAnsiTheme="minorHAnsi" w:cstheme="minorHAnsi"/>
          <w:sz w:val="24"/>
          <w:szCs w:val="24"/>
        </w:rPr>
        <w:t>are provided</w:t>
      </w:r>
      <w:proofErr w:type="gramEnd"/>
      <w:r>
        <w:rPr>
          <w:rFonts w:asciiTheme="minorHAnsi" w:hAnsiTheme="minorHAnsi" w:cstheme="minorHAnsi"/>
          <w:sz w:val="24"/>
          <w:szCs w:val="24"/>
        </w:rPr>
        <w:t xml:space="preserve"> in Attachment 4.2. The reportable tests include: 1) thyroid tests; 2) glycemic parameters; 3) lipid profiles; 4) liver function tests; 5) heavy metals</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and 6) trace metals. Comparison values and action levels for the heavy metals are based on the 50</w:t>
      </w:r>
      <w:r w:rsidRPr="00955810">
        <w:rPr>
          <w:rFonts w:asciiTheme="minorHAnsi" w:hAnsiTheme="minorHAnsi" w:cstheme="minorHAnsi"/>
          <w:sz w:val="24"/>
          <w:szCs w:val="24"/>
          <w:vertAlign w:val="superscript"/>
        </w:rPr>
        <w:t>th</w:t>
      </w:r>
      <w:r>
        <w:rPr>
          <w:rFonts w:asciiTheme="minorHAnsi" w:hAnsiTheme="minorHAnsi" w:cstheme="minorHAnsi"/>
          <w:sz w:val="24"/>
          <w:szCs w:val="24"/>
        </w:rPr>
        <w:t>-to-95</w:t>
      </w:r>
      <w:r w:rsidRPr="00314FCB">
        <w:rPr>
          <w:rFonts w:asciiTheme="minorHAnsi" w:hAnsiTheme="minorHAnsi" w:cstheme="minorHAnsi"/>
          <w:sz w:val="24"/>
          <w:szCs w:val="24"/>
          <w:vertAlign w:val="superscript"/>
        </w:rPr>
        <w:t>th</w:t>
      </w:r>
      <w:r>
        <w:rPr>
          <w:rFonts w:asciiTheme="minorHAnsi" w:hAnsiTheme="minorHAnsi" w:cstheme="minorHAnsi"/>
          <w:sz w:val="24"/>
          <w:szCs w:val="24"/>
        </w:rPr>
        <w:t xml:space="preserve"> percentiles from the National Health and Nutrition Examination Survey (NHANES); CDC/ATSDR guidelines, policies, and case definitions; or occupational standards. Until the time </w:t>
      </w:r>
      <w:r>
        <w:rPr>
          <w:rFonts w:asciiTheme="minorHAnsi" w:hAnsiTheme="minorHAnsi" w:cstheme="minorHAnsi"/>
          <w:sz w:val="24"/>
          <w:szCs w:val="24"/>
        </w:rPr>
        <w:lastRenderedPageBreak/>
        <w:t xml:space="preserve">that NHANES reference ranges </w:t>
      </w:r>
      <w:proofErr w:type="gramStart"/>
      <w:r>
        <w:rPr>
          <w:rFonts w:asciiTheme="minorHAnsi" w:hAnsiTheme="minorHAnsi" w:cstheme="minorHAnsi"/>
          <w:sz w:val="24"/>
          <w:szCs w:val="24"/>
        </w:rPr>
        <w:t>are released</w:t>
      </w:r>
      <w:proofErr w:type="gramEnd"/>
      <w:r>
        <w:rPr>
          <w:rFonts w:asciiTheme="minorHAnsi" w:hAnsiTheme="minorHAnsi" w:cstheme="minorHAnsi"/>
          <w:sz w:val="24"/>
          <w:szCs w:val="24"/>
        </w:rPr>
        <w:t xml:space="preserve"> for blood manganese and for blood selenium, external clinical chemistry references will be used</w:t>
      </w:r>
      <w:r w:rsidR="005764A7">
        <w:rPr>
          <w:rFonts w:asciiTheme="minorHAnsi" w:hAnsiTheme="minorHAnsi" w:cstheme="minorHAnsi"/>
          <w:sz w:val="24"/>
          <w:szCs w:val="24"/>
        </w:rPr>
        <w:t xml:space="preserve"> (see references in Attachment 4.2)</w:t>
      </w:r>
      <w:r>
        <w:rPr>
          <w:rFonts w:asciiTheme="minorHAnsi" w:hAnsiTheme="minorHAnsi" w:cstheme="minorHAnsi"/>
          <w:sz w:val="24"/>
          <w:szCs w:val="24"/>
        </w:rPr>
        <w:t>.</w:t>
      </w:r>
    </w:p>
    <w:p w:rsidR="00513291" w:rsidRDefault="00513291" w:rsidP="00513291">
      <w:pPr>
        <w:spacing w:after="0" w:line="240" w:lineRule="auto"/>
        <w:jc w:val="both"/>
        <w:rPr>
          <w:rFonts w:asciiTheme="minorHAnsi" w:hAnsiTheme="minorHAnsi" w:cstheme="minorHAnsi"/>
          <w:sz w:val="24"/>
          <w:szCs w:val="24"/>
        </w:rPr>
      </w:pPr>
    </w:p>
    <w:p w:rsidR="00513291" w:rsidRDefault="00513291" w:rsidP="00513291">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Reportable environmental chemicals (PCBs, dioxins, furans, pesticides, and PBDEs) </w:t>
      </w:r>
      <w:proofErr w:type="gramStart"/>
      <w:r>
        <w:rPr>
          <w:rFonts w:asciiTheme="minorHAnsi" w:hAnsiTheme="minorHAnsi" w:cstheme="minorHAnsi"/>
          <w:sz w:val="24"/>
          <w:szCs w:val="24"/>
        </w:rPr>
        <w:t>are listed</w:t>
      </w:r>
      <w:proofErr w:type="gramEnd"/>
      <w:r>
        <w:rPr>
          <w:rFonts w:asciiTheme="minorHAnsi" w:hAnsiTheme="minorHAnsi" w:cstheme="minorHAnsi"/>
          <w:sz w:val="24"/>
          <w:szCs w:val="24"/>
        </w:rPr>
        <w:t xml:space="preserve"> in Attachment 4.3. Reference ranges </w:t>
      </w:r>
      <w:proofErr w:type="gramStart"/>
      <w:r>
        <w:rPr>
          <w:rFonts w:asciiTheme="minorHAnsi" w:hAnsiTheme="minorHAnsi" w:cstheme="minorHAnsi"/>
          <w:sz w:val="24"/>
          <w:szCs w:val="24"/>
        </w:rPr>
        <w:t>are based</w:t>
      </w:r>
      <w:proofErr w:type="gramEnd"/>
      <w:r>
        <w:rPr>
          <w:rFonts w:asciiTheme="minorHAnsi" w:hAnsiTheme="minorHAnsi" w:cstheme="minorHAnsi"/>
          <w:sz w:val="24"/>
          <w:szCs w:val="24"/>
        </w:rPr>
        <w:t xml:space="preserve"> on the 50</w:t>
      </w:r>
      <w:r w:rsidRPr="00955810">
        <w:rPr>
          <w:rFonts w:asciiTheme="minorHAnsi" w:hAnsiTheme="minorHAnsi" w:cstheme="minorHAnsi"/>
          <w:sz w:val="24"/>
          <w:szCs w:val="24"/>
          <w:vertAlign w:val="superscript"/>
        </w:rPr>
        <w:t>th</w:t>
      </w:r>
      <w:r>
        <w:rPr>
          <w:rFonts w:asciiTheme="minorHAnsi" w:hAnsiTheme="minorHAnsi" w:cstheme="minorHAnsi"/>
          <w:sz w:val="24"/>
          <w:szCs w:val="24"/>
        </w:rPr>
        <w:t>-to-95</w:t>
      </w:r>
      <w:r w:rsidRPr="00955810">
        <w:rPr>
          <w:rFonts w:asciiTheme="minorHAnsi" w:hAnsiTheme="minorHAnsi" w:cstheme="minorHAnsi"/>
          <w:sz w:val="24"/>
          <w:szCs w:val="24"/>
          <w:vertAlign w:val="superscript"/>
        </w:rPr>
        <w:t>th</w:t>
      </w:r>
      <w:r>
        <w:rPr>
          <w:rFonts w:asciiTheme="minorHAnsi" w:hAnsiTheme="minorHAnsi" w:cstheme="minorHAnsi"/>
          <w:sz w:val="24"/>
          <w:szCs w:val="24"/>
        </w:rPr>
        <w:t xml:space="preserve"> percentiles from the NHANES </w:t>
      </w:r>
      <w:r w:rsidRPr="00D645EE">
        <w:rPr>
          <w:rFonts w:asciiTheme="minorHAnsi" w:hAnsiTheme="minorHAnsi" w:cstheme="minorHAnsi"/>
          <w:sz w:val="24"/>
          <w:szCs w:val="24"/>
        </w:rPr>
        <w:t>(</w:t>
      </w:r>
      <w:hyperlink r:id="rId9" w:history="1">
        <w:r w:rsidRPr="00D645EE">
          <w:rPr>
            <w:rStyle w:val="Hyperlink"/>
            <w:rFonts w:cs="Calibri"/>
            <w:sz w:val="24"/>
            <w:szCs w:val="24"/>
          </w:rPr>
          <w:t>http://www.cdc.gov/exposurereport/index.html</w:t>
        </w:r>
      </w:hyperlink>
      <w:r w:rsidRPr="00D645EE">
        <w:rPr>
          <w:rFonts w:cs="Calibri"/>
          <w:sz w:val="24"/>
          <w:szCs w:val="24"/>
        </w:rPr>
        <w:t>)</w:t>
      </w:r>
      <w:r w:rsidRPr="00D645EE">
        <w:rPr>
          <w:rFonts w:asciiTheme="minorHAnsi" w:hAnsiTheme="minorHAnsi" w:cstheme="minorHAnsi"/>
          <w:sz w:val="24"/>
          <w:szCs w:val="24"/>
        </w:rPr>
        <w:t>.</w:t>
      </w:r>
    </w:p>
    <w:p w:rsidR="001F7894" w:rsidRDefault="001F7894" w:rsidP="00513291">
      <w:pPr>
        <w:autoSpaceDE w:val="0"/>
        <w:autoSpaceDN w:val="0"/>
        <w:adjustRightInd w:val="0"/>
        <w:spacing w:after="0" w:line="240" w:lineRule="auto"/>
        <w:jc w:val="both"/>
        <w:rPr>
          <w:rFonts w:asciiTheme="minorHAnsi" w:hAnsiTheme="minorHAnsi" w:cstheme="minorHAnsi"/>
          <w:color w:val="000000"/>
          <w:sz w:val="24"/>
          <w:szCs w:val="24"/>
        </w:rPr>
      </w:pPr>
    </w:p>
    <w:p w:rsidR="00ED2D76" w:rsidRPr="00F65C97" w:rsidRDefault="00CF29CA" w:rsidP="00F65C97">
      <w:pPr>
        <w:pStyle w:val="Heading3"/>
        <w:rPr>
          <w:rFonts w:asciiTheme="minorHAnsi" w:hAnsiTheme="minorHAnsi"/>
        </w:rPr>
      </w:pPr>
      <w:bookmarkStart w:id="17" w:name="_Toc349489244"/>
      <w:r w:rsidRPr="00F65C97">
        <w:rPr>
          <w:rFonts w:asciiTheme="minorHAnsi" w:hAnsiTheme="minorHAnsi"/>
        </w:rPr>
        <w:t xml:space="preserve">A.2.1. </w:t>
      </w:r>
      <w:r w:rsidR="00ED2D76" w:rsidRPr="00F65C97">
        <w:rPr>
          <w:rFonts w:asciiTheme="minorHAnsi" w:hAnsiTheme="minorHAnsi"/>
        </w:rPr>
        <w:t>Privacy Impact Assessment Information</w:t>
      </w:r>
      <w:bookmarkEnd w:id="16"/>
      <w:bookmarkEnd w:id="17"/>
      <w:r w:rsidR="00ED2D76" w:rsidRPr="00F65C97">
        <w:rPr>
          <w:rFonts w:asciiTheme="minorHAnsi" w:hAnsiTheme="minorHAnsi"/>
        </w:rPr>
        <w:t xml:space="preserve"> </w:t>
      </w:r>
    </w:p>
    <w:p w:rsidR="00E36D74" w:rsidRDefault="00D36B84" w:rsidP="00F65C97">
      <w:pPr>
        <w:spacing w:before="240" w:line="240" w:lineRule="auto"/>
        <w:jc w:val="both"/>
        <w:rPr>
          <w:rFonts w:asciiTheme="minorHAnsi" w:hAnsiTheme="minorHAnsi" w:cstheme="minorHAnsi"/>
          <w:sz w:val="24"/>
          <w:szCs w:val="24"/>
        </w:rPr>
      </w:pPr>
      <w:r w:rsidRPr="00F46D82">
        <w:rPr>
          <w:rFonts w:asciiTheme="minorHAnsi" w:hAnsiTheme="minorHAnsi" w:cstheme="minorHAnsi"/>
          <w:i/>
          <w:sz w:val="24"/>
          <w:szCs w:val="24"/>
        </w:rPr>
        <w:t xml:space="preserve">Why this information </w:t>
      </w:r>
      <w:proofErr w:type="gramStart"/>
      <w:r w:rsidRPr="00F46D82">
        <w:rPr>
          <w:rFonts w:asciiTheme="minorHAnsi" w:hAnsiTheme="minorHAnsi" w:cstheme="minorHAnsi"/>
          <w:i/>
          <w:sz w:val="24"/>
          <w:szCs w:val="24"/>
        </w:rPr>
        <w:t>is being collected</w:t>
      </w:r>
      <w:proofErr w:type="gramEnd"/>
      <w:r w:rsidRPr="00F46D82">
        <w:rPr>
          <w:rFonts w:asciiTheme="minorHAnsi" w:hAnsiTheme="minorHAnsi" w:cstheme="minorHAnsi"/>
          <w:i/>
          <w:sz w:val="24"/>
          <w:szCs w:val="24"/>
        </w:rPr>
        <w:t>.</w:t>
      </w:r>
      <w:r w:rsidR="00742E1C" w:rsidRPr="00F46D82">
        <w:rPr>
          <w:rFonts w:asciiTheme="minorHAnsi" w:hAnsiTheme="minorHAnsi" w:cstheme="minorHAnsi"/>
          <w:i/>
          <w:sz w:val="24"/>
          <w:szCs w:val="24"/>
        </w:rPr>
        <w:t xml:space="preserve"> </w:t>
      </w:r>
      <w:r w:rsidR="00E36D74" w:rsidRPr="00F46D82">
        <w:rPr>
          <w:rFonts w:asciiTheme="minorHAnsi" w:hAnsiTheme="minorHAnsi" w:cstheme="minorHAnsi"/>
          <w:sz w:val="24"/>
          <w:szCs w:val="24"/>
        </w:rPr>
        <w:t xml:space="preserve">The data collected from this study will provide invaluable information on the </w:t>
      </w:r>
      <w:proofErr w:type="gramStart"/>
      <w:r w:rsidR="00E36D74" w:rsidRPr="00F46D82">
        <w:rPr>
          <w:rFonts w:asciiTheme="minorHAnsi" w:hAnsiTheme="minorHAnsi" w:cstheme="minorHAnsi"/>
          <w:sz w:val="24"/>
          <w:szCs w:val="24"/>
        </w:rPr>
        <w:t>current status</w:t>
      </w:r>
      <w:proofErr w:type="gramEnd"/>
      <w:r w:rsidR="00E36D74" w:rsidRPr="00F46D82">
        <w:rPr>
          <w:rFonts w:asciiTheme="minorHAnsi" w:hAnsiTheme="minorHAnsi" w:cstheme="minorHAnsi"/>
          <w:sz w:val="24"/>
          <w:szCs w:val="24"/>
        </w:rPr>
        <w:t xml:space="preserve"> of serum PCB levels in this community with historically high levels of environmental contamination. It will also provide informed estimates on whether serum PCB levels in this community have decreased, </w:t>
      </w:r>
      <w:r w:rsidR="004E421A">
        <w:rPr>
          <w:rFonts w:asciiTheme="minorHAnsi" w:hAnsiTheme="minorHAnsi" w:cstheme="minorHAnsi"/>
          <w:sz w:val="24"/>
          <w:szCs w:val="24"/>
        </w:rPr>
        <w:t xml:space="preserve">increased, or remained stable. </w:t>
      </w:r>
      <w:r w:rsidR="00E36D74" w:rsidRPr="00F46D82">
        <w:rPr>
          <w:rFonts w:asciiTheme="minorHAnsi" w:hAnsiTheme="minorHAnsi" w:cstheme="minorHAnsi"/>
          <w:sz w:val="24"/>
          <w:szCs w:val="24"/>
        </w:rPr>
        <w:t xml:space="preserve">In addition, a </w:t>
      </w:r>
      <w:r w:rsidR="000C2497">
        <w:rPr>
          <w:rFonts w:asciiTheme="minorHAnsi" w:hAnsiTheme="minorHAnsi" w:cstheme="minorHAnsi"/>
          <w:sz w:val="24"/>
          <w:szCs w:val="24"/>
        </w:rPr>
        <w:t xml:space="preserve">more complete </w:t>
      </w:r>
      <w:r w:rsidR="00E36D74" w:rsidRPr="00F46D82">
        <w:rPr>
          <w:rFonts w:asciiTheme="minorHAnsi" w:hAnsiTheme="minorHAnsi" w:cstheme="minorHAnsi"/>
          <w:sz w:val="24"/>
          <w:szCs w:val="24"/>
        </w:rPr>
        <w:t xml:space="preserve">assessment of current or ongoing exposures to PCBs </w:t>
      </w:r>
      <w:proofErr w:type="gramStart"/>
      <w:r w:rsidR="00BC735A">
        <w:rPr>
          <w:rFonts w:asciiTheme="minorHAnsi" w:hAnsiTheme="minorHAnsi" w:cstheme="minorHAnsi"/>
          <w:sz w:val="24"/>
          <w:szCs w:val="24"/>
        </w:rPr>
        <w:t>is planned</w:t>
      </w:r>
      <w:proofErr w:type="gramEnd"/>
      <w:r w:rsidR="00E36D74" w:rsidRPr="00F46D82">
        <w:rPr>
          <w:rFonts w:asciiTheme="minorHAnsi" w:hAnsiTheme="minorHAnsi" w:cstheme="minorHAnsi"/>
          <w:sz w:val="24"/>
          <w:szCs w:val="24"/>
        </w:rPr>
        <w:t xml:space="preserve">, </w:t>
      </w:r>
      <w:r w:rsidR="00BC735A">
        <w:rPr>
          <w:rFonts w:asciiTheme="minorHAnsi" w:hAnsiTheme="minorHAnsi" w:cstheme="minorHAnsi"/>
          <w:sz w:val="24"/>
          <w:szCs w:val="24"/>
        </w:rPr>
        <w:t>to determine</w:t>
      </w:r>
      <w:r w:rsidR="00E36D74" w:rsidRPr="00F46D82">
        <w:rPr>
          <w:rFonts w:asciiTheme="minorHAnsi" w:hAnsiTheme="minorHAnsi" w:cstheme="minorHAnsi"/>
          <w:sz w:val="24"/>
          <w:szCs w:val="24"/>
        </w:rPr>
        <w:t xml:space="preserve"> change</w:t>
      </w:r>
      <w:r w:rsidR="00BC735A">
        <w:rPr>
          <w:rFonts w:asciiTheme="minorHAnsi" w:hAnsiTheme="minorHAnsi" w:cstheme="minorHAnsi"/>
          <w:sz w:val="24"/>
          <w:szCs w:val="24"/>
        </w:rPr>
        <w:t>s</w:t>
      </w:r>
      <w:r w:rsidR="00E36D74" w:rsidRPr="00F46D82">
        <w:rPr>
          <w:rFonts w:asciiTheme="minorHAnsi" w:hAnsiTheme="minorHAnsi" w:cstheme="minorHAnsi"/>
          <w:sz w:val="24"/>
          <w:szCs w:val="24"/>
        </w:rPr>
        <w:t xml:space="preserve"> in congener profiles in </w:t>
      </w:r>
      <w:r w:rsidR="00E26A9A">
        <w:rPr>
          <w:rFonts w:asciiTheme="minorHAnsi" w:hAnsiTheme="minorHAnsi" w:cstheme="minorHAnsi"/>
          <w:bCs/>
          <w:sz w:val="24"/>
          <w:szCs w:val="24"/>
        </w:rPr>
        <w:t>responden</w:t>
      </w:r>
      <w:r w:rsidR="00E26A9A" w:rsidRPr="00F46D82">
        <w:rPr>
          <w:rFonts w:asciiTheme="minorHAnsi" w:hAnsiTheme="minorHAnsi" w:cstheme="minorHAnsi"/>
          <w:bCs/>
          <w:sz w:val="24"/>
          <w:szCs w:val="24"/>
        </w:rPr>
        <w:t>t</w:t>
      </w:r>
      <w:r w:rsidR="00E36D74" w:rsidRPr="00F46D82">
        <w:rPr>
          <w:rFonts w:asciiTheme="minorHAnsi" w:hAnsiTheme="minorHAnsi" w:cstheme="minorHAnsi"/>
          <w:sz w:val="24"/>
          <w:szCs w:val="24"/>
        </w:rPr>
        <w:t xml:space="preserve">s with and without a recognized chronic disease. </w:t>
      </w:r>
      <w:r w:rsidR="00231EA0">
        <w:rPr>
          <w:rFonts w:asciiTheme="minorHAnsi" w:hAnsiTheme="minorHAnsi" w:cstheme="minorHAnsi"/>
          <w:sz w:val="24"/>
          <w:szCs w:val="24"/>
        </w:rPr>
        <w:t>This novel information will ad</w:t>
      </w:r>
      <w:r w:rsidR="00E13A61">
        <w:rPr>
          <w:rFonts w:asciiTheme="minorHAnsi" w:hAnsiTheme="minorHAnsi" w:cstheme="minorHAnsi"/>
          <w:sz w:val="24"/>
          <w:szCs w:val="24"/>
        </w:rPr>
        <w:t>d</w:t>
      </w:r>
      <w:r w:rsidR="00231EA0">
        <w:rPr>
          <w:rFonts w:asciiTheme="minorHAnsi" w:hAnsiTheme="minorHAnsi" w:cstheme="minorHAnsi"/>
          <w:sz w:val="24"/>
          <w:szCs w:val="24"/>
        </w:rPr>
        <w:t xml:space="preserve">ress important research questions not addressed in other environmental research studies. </w:t>
      </w:r>
      <w:r w:rsidR="00E36D74" w:rsidRPr="00F46D82">
        <w:rPr>
          <w:rFonts w:asciiTheme="minorHAnsi" w:hAnsiTheme="minorHAnsi" w:cstheme="minorHAnsi"/>
          <w:sz w:val="24"/>
          <w:szCs w:val="24"/>
        </w:rPr>
        <w:t xml:space="preserve">It will also inform mechanistic understanding of whether the causative agents of the adverse effects are the dioxin-like compounds including co-PCBs, or the non-dioxin-like </w:t>
      </w:r>
      <w:proofErr w:type="spellStart"/>
      <w:r w:rsidR="00E36D74" w:rsidRPr="0023797B">
        <w:rPr>
          <w:rFonts w:asciiTheme="minorHAnsi" w:hAnsiTheme="minorHAnsi" w:cstheme="minorHAnsi"/>
          <w:i/>
          <w:sz w:val="24"/>
          <w:szCs w:val="24"/>
        </w:rPr>
        <w:t>ortho</w:t>
      </w:r>
      <w:proofErr w:type="spellEnd"/>
      <w:r w:rsidR="00E36D74" w:rsidRPr="00F46D82">
        <w:rPr>
          <w:rFonts w:asciiTheme="minorHAnsi" w:hAnsiTheme="minorHAnsi" w:cstheme="minorHAnsi"/>
          <w:sz w:val="24"/>
          <w:szCs w:val="24"/>
        </w:rPr>
        <w:t xml:space="preserve">-PCBs. Enhancement of the proposed list of </w:t>
      </w:r>
      <w:proofErr w:type="spellStart"/>
      <w:r w:rsidR="00E36D74" w:rsidRPr="00F46D82">
        <w:rPr>
          <w:rFonts w:asciiTheme="minorHAnsi" w:hAnsiTheme="minorHAnsi" w:cstheme="minorHAnsi"/>
          <w:sz w:val="24"/>
          <w:szCs w:val="24"/>
        </w:rPr>
        <w:t>analytes</w:t>
      </w:r>
      <w:proofErr w:type="spellEnd"/>
      <w:r w:rsidR="00E36D74" w:rsidRPr="00F46D82">
        <w:rPr>
          <w:rFonts w:asciiTheme="minorHAnsi" w:hAnsiTheme="minorHAnsi" w:cstheme="minorHAnsi"/>
          <w:sz w:val="24"/>
          <w:szCs w:val="24"/>
        </w:rPr>
        <w:t xml:space="preserve"> and questionnaire items will create a more complete profile of community exposures to chemicals other than PCBs.</w:t>
      </w:r>
    </w:p>
    <w:p w:rsidR="00C16CB5" w:rsidRPr="00F46D82" w:rsidRDefault="00C16CB5" w:rsidP="00F65C97">
      <w:pPr>
        <w:spacing w:before="240" w:line="240" w:lineRule="auto"/>
        <w:jc w:val="both"/>
        <w:rPr>
          <w:rFonts w:asciiTheme="minorHAnsi" w:hAnsiTheme="minorHAnsi" w:cstheme="minorHAnsi"/>
          <w:i/>
          <w:sz w:val="24"/>
          <w:szCs w:val="24"/>
        </w:rPr>
      </w:pPr>
      <w:r w:rsidRPr="00C16CB5">
        <w:rPr>
          <w:rFonts w:asciiTheme="minorHAnsi" w:hAnsiTheme="minorHAnsi" w:cstheme="minorHAnsi"/>
          <w:sz w:val="24"/>
          <w:szCs w:val="24"/>
        </w:rPr>
        <w:t xml:space="preserve">Most studies evaluate possible associations between persistent organic pollutants and diabetes, heart disease or other health outcomes using a single analytical measure </w:t>
      </w:r>
      <w:r>
        <w:rPr>
          <w:rFonts w:asciiTheme="minorHAnsi" w:hAnsiTheme="minorHAnsi" w:cstheme="minorHAnsi"/>
          <w:sz w:val="24"/>
          <w:szCs w:val="24"/>
        </w:rPr>
        <w:t>of serum or adipose tissue. The study</w:t>
      </w:r>
      <w:r w:rsidR="00234E18">
        <w:rPr>
          <w:rFonts w:asciiTheme="minorHAnsi" w:hAnsiTheme="minorHAnsi" w:cstheme="minorHAnsi"/>
          <w:sz w:val="24"/>
          <w:szCs w:val="24"/>
        </w:rPr>
        <w:t xml:space="preserve"> follow-</w:t>
      </w:r>
      <w:r w:rsidRPr="00C16CB5">
        <w:rPr>
          <w:rFonts w:asciiTheme="minorHAnsi" w:hAnsiTheme="minorHAnsi" w:cstheme="minorHAnsi"/>
          <w:sz w:val="24"/>
          <w:szCs w:val="24"/>
        </w:rPr>
        <w:t>up design provides advantages over a simple cross-sectional design in that actual measured change in</w:t>
      </w:r>
      <w:r>
        <w:rPr>
          <w:rFonts w:asciiTheme="minorHAnsi" w:hAnsiTheme="minorHAnsi" w:cstheme="minorHAnsi"/>
          <w:sz w:val="24"/>
          <w:szCs w:val="24"/>
        </w:rPr>
        <w:t xml:space="preserve"> many covariates of interest will be</w:t>
      </w:r>
      <w:r w:rsidRPr="00C16CB5">
        <w:rPr>
          <w:rFonts w:asciiTheme="minorHAnsi" w:hAnsiTheme="minorHAnsi" w:cstheme="minorHAnsi"/>
          <w:sz w:val="24"/>
          <w:szCs w:val="24"/>
        </w:rPr>
        <w:t xml:space="preserve"> available, especial</w:t>
      </w:r>
      <w:r>
        <w:rPr>
          <w:rFonts w:asciiTheme="minorHAnsi" w:hAnsiTheme="minorHAnsi" w:cstheme="minorHAnsi"/>
          <w:sz w:val="24"/>
          <w:szCs w:val="24"/>
        </w:rPr>
        <w:t xml:space="preserve">ly for the exposure variables. </w:t>
      </w:r>
      <w:r w:rsidRPr="00C16CB5">
        <w:rPr>
          <w:rFonts w:asciiTheme="minorHAnsi" w:hAnsiTheme="minorHAnsi" w:cstheme="minorHAnsi"/>
          <w:sz w:val="24"/>
          <w:szCs w:val="24"/>
        </w:rPr>
        <w:t>Having repeated measures available for PCBs and other chemicals of interest is th</w:t>
      </w:r>
      <w:r w:rsidR="00234E18">
        <w:rPr>
          <w:rFonts w:asciiTheme="minorHAnsi" w:hAnsiTheme="minorHAnsi" w:cstheme="minorHAnsi"/>
          <w:sz w:val="24"/>
          <w:szCs w:val="24"/>
        </w:rPr>
        <w:t>e major strength of this follow-</w:t>
      </w:r>
      <w:r w:rsidRPr="00C16CB5">
        <w:rPr>
          <w:rFonts w:asciiTheme="minorHAnsi" w:hAnsiTheme="minorHAnsi" w:cstheme="minorHAnsi"/>
          <w:sz w:val="24"/>
          <w:szCs w:val="24"/>
        </w:rPr>
        <w:t>up study. Avai</w:t>
      </w:r>
      <w:r w:rsidR="00970AB7">
        <w:rPr>
          <w:rFonts w:asciiTheme="minorHAnsi" w:hAnsiTheme="minorHAnsi" w:cstheme="minorHAnsi"/>
          <w:sz w:val="24"/>
          <w:szCs w:val="24"/>
        </w:rPr>
        <w:t>lability of repeated measures for</w:t>
      </w:r>
      <w:r w:rsidRPr="00C16CB5">
        <w:rPr>
          <w:rFonts w:asciiTheme="minorHAnsi" w:hAnsiTheme="minorHAnsi" w:cstheme="minorHAnsi"/>
          <w:sz w:val="24"/>
          <w:szCs w:val="24"/>
        </w:rPr>
        <w:t xml:space="preserve"> clinical </w:t>
      </w:r>
      <w:proofErr w:type="spellStart"/>
      <w:r w:rsidRPr="00C16CB5">
        <w:rPr>
          <w:rFonts w:asciiTheme="minorHAnsi" w:hAnsiTheme="minorHAnsi" w:cstheme="minorHAnsi"/>
          <w:sz w:val="24"/>
          <w:szCs w:val="24"/>
        </w:rPr>
        <w:t>analytes</w:t>
      </w:r>
      <w:proofErr w:type="spellEnd"/>
      <w:r w:rsidRPr="00C16CB5">
        <w:rPr>
          <w:rFonts w:asciiTheme="minorHAnsi" w:hAnsiTheme="minorHAnsi" w:cstheme="minorHAnsi"/>
          <w:sz w:val="24"/>
          <w:szCs w:val="24"/>
        </w:rPr>
        <w:t xml:space="preserve"> is an additional strength, together with the previously unmeasured potential confounders (such as heavy metals, PBDEs, </w:t>
      </w:r>
      <w:proofErr w:type="spellStart"/>
      <w:r w:rsidRPr="00C16CB5">
        <w:rPr>
          <w:rFonts w:asciiTheme="minorHAnsi" w:hAnsiTheme="minorHAnsi" w:cstheme="minorHAnsi"/>
          <w:sz w:val="24"/>
          <w:szCs w:val="24"/>
        </w:rPr>
        <w:t>glycated</w:t>
      </w:r>
      <w:proofErr w:type="spellEnd"/>
      <w:r w:rsidRPr="00C16CB5">
        <w:rPr>
          <w:rFonts w:asciiTheme="minorHAnsi" w:hAnsiTheme="minorHAnsi" w:cstheme="minorHAnsi"/>
          <w:sz w:val="24"/>
          <w:szCs w:val="24"/>
        </w:rPr>
        <w:t xml:space="preserve"> hemoglobin, and </w:t>
      </w:r>
      <w:proofErr w:type="gramStart"/>
      <w:r w:rsidRPr="00C16CB5">
        <w:rPr>
          <w:rFonts w:asciiTheme="minorHAnsi" w:hAnsiTheme="minorHAnsi" w:cstheme="minorHAnsi"/>
          <w:sz w:val="24"/>
          <w:szCs w:val="24"/>
        </w:rPr>
        <w:t>auto-immune</w:t>
      </w:r>
      <w:proofErr w:type="gramEnd"/>
      <w:r w:rsidRPr="00C16CB5">
        <w:rPr>
          <w:rFonts w:asciiTheme="minorHAnsi" w:hAnsiTheme="minorHAnsi" w:cstheme="minorHAnsi"/>
          <w:sz w:val="24"/>
          <w:szCs w:val="24"/>
        </w:rPr>
        <w:t xml:space="preserve"> parameters). </w:t>
      </w:r>
      <w:r>
        <w:rPr>
          <w:rFonts w:asciiTheme="minorHAnsi" w:hAnsiTheme="minorHAnsi" w:cstheme="minorHAnsi"/>
          <w:sz w:val="24"/>
          <w:szCs w:val="24"/>
        </w:rPr>
        <w:t>In addition, c</w:t>
      </w:r>
      <w:r w:rsidRPr="00C16CB5">
        <w:rPr>
          <w:rFonts w:asciiTheme="minorHAnsi" w:hAnsiTheme="minorHAnsi" w:cstheme="minorHAnsi"/>
          <w:sz w:val="24"/>
          <w:szCs w:val="24"/>
        </w:rPr>
        <w:t>hanges over time in body weight, BMI</w:t>
      </w:r>
      <w:r>
        <w:rPr>
          <w:rFonts w:asciiTheme="minorHAnsi" w:hAnsiTheme="minorHAnsi" w:cstheme="minorHAnsi"/>
          <w:sz w:val="24"/>
          <w:szCs w:val="24"/>
        </w:rPr>
        <w:t>,</w:t>
      </w:r>
      <w:r w:rsidRPr="00C16CB5">
        <w:rPr>
          <w:rFonts w:asciiTheme="minorHAnsi" w:hAnsiTheme="minorHAnsi" w:cstheme="minorHAnsi"/>
          <w:sz w:val="24"/>
          <w:szCs w:val="24"/>
        </w:rPr>
        <w:t xml:space="preserve"> and other </w:t>
      </w:r>
      <w:r w:rsidR="0082756B">
        <w:rPr>
          <w:rFonts w:asciiTheme="minorHAnsi" w:hAnsiTheme="minorHAnsi" w:cstheme="minorHAnsi"/>
          <w:sz w:val="24"/>
          <w:szCs w:val="24"/>
        </w:rPr>
        <w:t xml:space="preserve">health related </w:t>
      </w:r>
      <w:r w:rsidRPr="00C16CB5">
        <w:rPr>
          <w:rFonts w:asciiTheme="minorHAnsi" w:hAnsiTheme="minorHAnsi" w:cstheme="minorHAnsi"/>
          <w:sz w:val="24"/>
          <w:szCs w:val="24"/>
        </w:rPr>
        <w:t xml:space="preserve">variables </w:t>
      </w:r>
      <w:proofErr w:type="gramStart"/>
      <w:r w:rsidRPr="00C16CB5">
        <w:rPr>
          <w:rFonts w:asciiTheme="minorHAnsi" w:hAnsiTheme="minorHAnsi" w:cstheme="minorHAnsi"/>
          <w:sz w:val="24"/>
          <w:szCs w:val="24"/>
        </w:rPr>
        <w:t>can now be evaluated and tested</w:t>
      </w:r>
      <w:proofErr w:type="gramEnd"/>
      <w:r w:rsidRPr="00C16CB5">
        <w:rPr>
          <w:rFonts w:asciiTheme="minorHAnsi" w:hAnsiTheme="minorHAnsi" w:cstheme="minorHAnsi"/>
          <w:sz w:val="24"/>
          <w:szCs w:val="24"/>
        </w:rPr>
        <w:t>.</w:t>
      </w:r>
    </w:p>
    <w:p w:rsidR="00231EA0" w:rsidRDefault="007B3FDE" w:rsidP="002E799F">
      <w:pPr>
        <w:autoSpaceDE w:val="0"/>
        <w:autoSpaceDN w:val="0"/>
        <w:adjustRightInd w:val="0"/>
        <w:spacing w:after="0" w:line="240" w:lineRule="auto"/>
        <w:jc w:val="both"/>
        <w:rPr>
          <w:rFonts w:asciiTheme="minorHAnsi" w:hAnsiTheme="minorHAnsi" w:cstheme="minorHAnsi"/>
          <w:color w:val="000000"/>
          <w:sz w:val="24"/>
          <w:szCs w:val="24"/>
        </w:rPr>
      </w:pPr>
      <w:proofErr w:type="gramStart"/>
      <w:r w:rsidRPr="00F46D82">
        <w:rPr>
          <w:rFonts w:asciiTheme="minorHAnsi" w:hAnsiTheme="minorHAnsi" w:cstheme="minorHAnsi"/>
          <w:i/>
          <w:sz w:val="24"/>
          <w:szCs w:val="24"/>
        </w:rPr>
        <w:t>Intended use of the i</w:t>
      </w:r>
      <w:r w:rsidR="00D36B84" w:rsidRPr="00F46D82">
        <w:rPr>
          <w:rFonts w:asciiTheme="minorHAnsi" w:hAnsiTheme="minorHAnsi" w:cstheme="minorHAnsi"/>
          <w:i/>
          <w:sz w:val="24"/>
          <w:szCs w:val="24"/>
        </w:rPr>
        <w:t>nformation.</w:t>
      </w:r>
      <w:proofErr w:type="gramEnd"/>
      <w:r w:rsidR="00D36B84" w:rsidRPr="00F46D82">
        <w:rPr>
          <w:rFonts w:asciiTheme="minorHAnsi" w:hAnsiTheme="minorHAnsi" w:cstheme="minorHAnsi"/>
          <w:i/>
          <w:sz w:val="24"/>
          <w:szCs w:val="24"/>
        </w:rPr>
        <w:t xml:space="preserve"> </w:t>
      </w:r>
      <w:r w:rsidR="0097751C" w:rsidRPr="00F46D82">
        <w:rPr>
          <w:rFonts w:asciiTheme="minorHAnsi" w:hAnsiTheme="minorHAnsi" w:cstheme="minorHAnsi"/>
          <w:color w:val="000000"/>
          <w:sz w:val="24"/>
          <w:szCs w:val="24"/>
        </w:rPr>
        <w:t xml:space="preserve">The primary </w:t>
      </w:r>
      <w:r w:rsidR="00231EA0">
        <w:rPr>
          <w:rFonts w:asciiTheme="minorHAnsi" w:hAnsiTheme="minorHAnsi" w:cstheme="minorHAnsi"/>
          <w:color w:val="000000"/>
          <w:sz w:val="24"/>
          <w:szCs w:val="24"/>
        </w:rPr>
        <w:t xml:space="preserve">use of the </w:t>
      </w:r>
      <w:r w:rsidR="0097751C" w:rsidRPr="00F46D82">
        <w:rPr>
          <w:rFonts w:asciiTheme="minorHAnsi" w:hAnsiTheme="minorHAnsi" w:cstheme="minorHAnsi"/>
          <w:color w:val="000000"/>
          <w:sz w:val="24"/>
          <w:szCs w:val="24"/>
        </w:rPr>
        <w:t>ACHS-</w:t>
      </w:r>
      <w:r w:rsidR="00C30960" w:rsidRPr="00F46D82">
        <w:rPr>
          <w:rFonts w:asciiTheme="minorHAnsi" w:hAnsiTheme="minorHAnsi" w:cstheme="minorHAnsi"/>
          <w:color w:val="000000"/>
          <w:sz w:val="24"/>
          <w:szCs w:val="24"/>
        </w:rPr>
        <w:t xml:space="preserve">II </w:t>
      </w:r>
      <w:r w:rsidR="00231EA0">
        <w:rPr>
          <w:rFonts w:asciiTheme="minorHAnsi" w:hAnsiTheme="minorHAnsi" w:cstheme="minorHAnsi"/>
          <w:color w:val="000000"/>
          <w:sz w:val="24"/>
          <w:szCs w:val="24"/>
        </w:rPr>
        <w:t>data is for scientific research</w:t>
      </w:r>
      <w:r w:rsidR="004E421A">
        <w:rPr>
          <w:rFonts w:asciiTheme="minorHAnsi" w:hAnsiTheme="minorHAnsi" w:cstheme="minorHAnsi"/>
          <w:color w:val="000000"/>
          <w:sz w:val="24"/>
          <w:szCs w:val="24"/>
        </w:rPr>
        <w:t xml:space="preserve">. </w:t>
      </w:r>
      <w:r w:rsidR="00231EA0">
        <w:rPr>
          <w:rFonts w:asciiTheme="minorHAnsi" w:hAnsiTheme="minorHAnsi" w:cstheme="minorHAnsi"/>
          <w:color w:val="151515"/>
          <w:sz w:val="24"/>
          <w:szCs w:val="24"/>
        </w:rPr>
        <w:t>T</w:t>
      </w:r>
      <w:r w:rsidR="00231EA0" w:rsidRPr="00F46D82">
        <w:rPr>
          <w:rFonts w:asciiTheme="minorHAnsi" w:hAnsiTheme="minorHAnsi" w:cstheme="minorHAnsi"/>
          <w:color w:val="151515"/>
          <w:sz w:val="24"/>
          <w:szCs w:val="24"/>
        </w:rPr>
        <w:t>his research will</w:t>
      </w:r>
      <w:r w:rsidR="00231EA0" w:rsidRPr="00F46D82">
        <w:rPr>
          <w:rFonts w:asciiTheme="minorHAnsi" w:hAnsiTheme="minorHAnsi" w:cstheme="minorHAnsi"/>
          <w:sz w:val="24"/>
          <w:szCs w:val="24"/>
        </w:rPr>
        <w:t xml:space="preserve"> add to the weight of evidence about the</w:t>
      </w:r>
      <w:r w:rsidR="00231EA0">
        <w:rPr>
          <w:rFonts w:asciiTheme="minorHAnsi" w:hAnsiTheme="minorHAnsi" w:cstheme="minorHAnsi"/>
          <w:sz w:val="24"/>
          <w:szCs w:val="24"/>
        </w:rPr>
        <w:t xml:space="preserve"> potential</w:t>
      </w:r>
      <w:r w:rsidR="00231EA0" w:rsidRPr="00F46D82">
        <w:rPr>
          <w:rFonts w:asciiTheme="minorHAnsi" w:hAnsiTheme="minorHAnsi" w:cstheme="minorHAnsi"/>
          <w:sz w:val="24"/>
          <w:szCs w:val="24"/>
        </w:rPr>
        <w:t xml:space="preserve"> impact of these classes of chemi</w:t>
      </w:r>
      <w:r w:rsidR="00231EA0">
        <w:rPr>
          <w:rFonts w:asciiTheme="minorHAnsi" w:hAnsiTheme="minorHAnsi" w:cstheme="minorHAnsi"/>
          <w:sz w:val="24"/>
          <w:szCs w:val="24"/>
        </w:rPr>
        <w:t>cal exposures on human health</w:t>
      </w:r>
      <w:r w:rsidR="008141B2">
        <w:rPr>
          <w:rFonts w:asciiTheme="minorHAnsi" w:hAnsiTheme="minorHAnsi" w:cstheme="minorHAnsi"/>
          <w:sz w:val="24"/>
          <w:szCs w:val="24"/>
        </w:rPr>
        <w:t>,</w:t>
      </w:r>
      <w:r w:rsidR="00231EA0">
        <w:rPr>
          <w:rFonts w:asciiTheme="minorHAnsi" w:hAnsiTheme="minorHAnsi" w:cstheme="minorHAnsi"/>
          <w:sz w:val="24"/>
          <w:szCs w:val="24"/>
        </w:rPr>
        <w:t xml:space="preserve"> such as obesity, diabetes, </w:t>
      </w:r>
      <w:r w:rsidR="00A0746E">
        <w:rPr>
          <w:rFonts w:asciiTheme="minorHAnsi" w:hAnsiTheme="minorHAnsi" w:cstheme="minorHAnsi"/>
          <w:sz w:val="24"/>
          <w:szCs w:val="24"/>
        </w:rPr>
        <w:t xml:space="preserve">heart, autoimmune, and thyroid </w:t>
      </w:r>
      <w:r w:rsidR="00231EA0">
        <w:rPr>
          <w:rFonts w:asciiTheme="minorHAnsi" w:hAnsiTheme="minorHAnsi" w:cstheme="minorHAnsi"/>
          <w:sz w:val="24"/>
          <w:szCs w:val="24"/>
        </w:rPr>
        <w:t>disease</w:t>
      </w:r>
      <w:r w:rsidR="00A0746E">
        <w:rPr>
          <w:rFonts w:asciiTheme="minorHAnsi" w:hAnsiTheme="minorHAnsi" w:cstheme="minorHAnsi"/>
          <w:sz w:val="24"/>
          <w:szCs w:val="24"/>
        </w:rPr>
        <w:t>.</w:t>
      </w:r>
      <w:r w:rsidR="00231EA0">
        <w:rPr>
          <w:rFonts w:asciiTheme="minorHAnsi" w:hAnsiTheme="minorHAnsi" w:cstheme="minorHAnsi"/>
          <w:sz w:val="24"/>
          <w:szCs w:val="24"/>
        </w:rPr>
        <w:t xml:space="preserve"> These associations have only been addressed in a few </w:t>
      </w:r>
      <w:r w:rsidR="00A0746E">
        <w:rPr>
          <w:rFonts w:asciiTheme="minorHAnsi" w:hAnsiTheme="minorHAnsi" w:cstheme="minorHAnsi"/>
          <w:sz w:val="24"/>
          <w:szCs w:val="24"/>
        </w:rPr>
        <w:t>follow</w:t>
      </w:r>
      <w:r w:rsidR="008141B2">
        <w:rPr>
          <w:rFonts w:asciiTheme="minorHAnsi" w:hAnsiTheme="minorHAnsi" w:cstheme="minorHAnsi"/>
          <w:sz w:val="24"/>
          <w:szCs w:val="24"/>
        </w:rPr>
        <w:t>-</w:t>
      </w:r>
      <w:r w:rsidR="00A0746E">
        <w:rPr>
          <w:rFonts w:asciiTheme="minorHAnsi" w:hAnsiTheme="minorHAnsi" w:cstheme="minorHAnsi"/>
          <w:sz w:val="24"/>
          <w:szCs w:val="24"/>
        </w:rPr>
        <w:t>up</w:t>
      </w:r>
      <w:r w:rsidR="00231EA0">
        <w:rPr>
          <w:rFonts w:asciiTheme="minorHAnsi" w:hAnsiTheme="minorHAnsi" w:cstheme="minorHAnsi"/>
          <w:sz w:val="24"/>
          <w:szCs w:val="24"/>
        </w:rPr>
        <w:t xml:space="preserve"> cohorts based in the United States (</w:t>
      </w:r>
      <w:proofErr w:type="spellStart"/>
      <w:r w:rsidR="00231EA0">
        <w:rPr>
          <w:rFonts w:asciiTheme="minorHAnsi" w:hAnsiTheme="minorHAnsi" w:cstheme="minorHAnsi"/>
          <w:sz w:val="24"/>
          <w:szCs w:val="24"/>
        </w:rPr>
        <w:t>Turyk</w:t>
      </w:r>
      <w:proofErr w:type="spellEnd"/>
      <w:r w:rsidR="00231EA0">
        <w:rPr>
          <w:rFonts w:asciiTheme="minorHAnsi" w:hAnsiTheme="minorHAnsi" w:cstheme="minorHAnsi"/>
          <w:sz w:val="24"/>
          <w:szCs w:val="24"/>
        </w:rPr>
        <w:t xml:space="preserve"> et al., 2009; Lee et al., 2010; </w:t>
      </w:r>
      <w:proofErr w:type="spellStart"/>
      <w:r w:rsidR="00231EA0">
        <w:rPr>
          <w:rFonts w:asciiTheme="minorHAnsi" w:hAnsiTheme="minorHAnsi" w:cstheme="minorHAnsi"/>
          <w:sz w:val="24"/>
          <w:szCs w:val="24"/>
        </w:rPr>
        <w:t>Vasiliu</w:t>
      </w:r>
      <w:proofErr w:type="spellEnd"/>
      <w:r w:rsidR="00231EA0">
        <w:rPr>
          <w:rFonts w:asciiTheme="minorHAnsi" w:hAnsiTheme="minorHAnsi" w:cstheme="minorHAnsi"/>
          <w:sz w:val="24"/>
          <w:szCs w:val="24"/>
        </w:rPr>
        <w:t xml:space="preserve"> et al., 2006; Wu et al., 2013), </w:t>
      </w:r>
      <w:r w:rsidR="00A0746E">
        <w:rPr>
          <w:rFonts w:asciiTheme="minorHAnsi" w:hAnsiTheme="minorHAnsi" w:cstheme="minorHAnsi"/>
          <w:sz w:val="24"/>
          <w:szCs w:val="24"/>
        </w:rPr>
        <w:t xml:space="preserve">often as </w:t>
      </w:r>
      <w:r w:rsidR="00231EA0">
        <w:rPr>
          <w:rFonts w:asciiTheme="minorHAnsi" w:hAnsiTheme="minorHAnsi" w:cstheme="minorHAnsi"/>
          <w:sz w:val="24"/>
          <w:szCs w:val="24"/>
        </w:rPr>
        <w:t>secondary analyses of data collected for</w:t>
      </w:r>
      <w:r w:rsidR="00A0746E">
        <w:rPr>
          <w:rFonts w:asciiTheme="minorHAnsi" w:hAnsiTheme="minorHAnsi" w:cstheme="minorHAnsi"/>
          <w:sz w:val="24"/>
          <w:szCs w:val="24"/>
        </w:rPr>
        <w:t xml:space="preserve"> other purposes</w:t>
      </w:r>
      <w:r w:rsidR="00231EA0">
        <w:rPr>
          <w:rFonts w:asciiTheme="minorHAnsi" w:hAnsiTheme="minorHAnsi" w:cstheme="minorHAnsi"/>
          <w:sz w:val="24"/>
          <w:szCs w:val="24"/>
        </w:rPr>
        <w:t xml:space="preserve">. </w:t>
      </w:r>
      <w:r w:rsidR="00231EA0" w:rsidRPr="00F46D82">
        <w:rPr>
          <w:rFonts w:asciiTheme="minorHAnsi" w:hAnsiTheme="minorHAnsi" w:cstheme="minorHAnsi"/>
          <w:sz w:val="24"/>
          <w:szCs w:val="24"/>
        </w:rPr>
        <w:t>The scientific community may examine peer-reviewed study findings from the ACHS-II for consistency with the results of</w:t>
      </w:r>
      <w:r w:rsidR="00231EA0" w:rsidRPr="00F46D82">
        <w:rPr>
          <w:rFonts w:asciiTheme="minorHAnsi" w:hAnsiTheme="minorHAnsi" w:cstheme="minorHAnsi"/>
          <w:bCs/>
          <w:sz w:val="24"/>
          <w:szCs w:val="24"/>
        </w:rPr>
        <w:t xml:space="preserve"> different PCB studies and among different populations.</w:t>
      </w:r>
    </w:p>
    <w:p w:rsidR="00231EA0" w:rsidRDefault="00231EA0" w:rsidP="002E799F">
      <w:pPr>
        <w:autoSpaceDE w:val="0"/>
        <w:autoSpaceDN w:val="0"/>
        <w:adjustRightInd w:val="0"/>
        <w:spacing w:after="0" w:line="240" w:lineRule="auto"/>
        <w:jc w:val="both"/>
        <w:rPr>
          <w:rFonts w:asciiTheme="minorHAnsi" w:hAnsiTheme="minorHAnsi" w:cstheme="minorHAnsi"/>
          <w:color w:val="000000"/>
          <w:sz w:val="24"/>
          <w:szCs w:val="24"/>
        </w:rPr>
      </w:pPr>
    </w:p>
    <w:p w:rsidR="00C30960" w:rsidRPr="00C16CB5" w:rsidRDefault="00781524" w:rsidP="002E799F">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color w:val="000000"/>
          <w:sz w:val="24"/>
          <w:szCs w:val="24"/>
        </w:rPr>
        <w:lastRenderedPageBreak/>
        <w:t>More immediate</w:t>
      </w:r>
      <w:r w:rsidR="00632BC2">
        <w:rPr>
          <w:rFonts w:asciiTheme="minorHAnsi" w:hAnsiTheme="minorHAnsi" w:cstheme="minorHAnsi"/>
          <w:color w:val="000000"/>
          <w:sz w:val="24"/>
          <w:szCs w:val="24"/>
        </w:rPr>
        <w:t xml:space="preserve"> uses of the</w:t>
      </w:r>
      <w:r w:rsidR="00231EA0">
        <w:rPr>
          <w:rFonts w:asciiTheme="minorHAnsi" w:hAnsiTheme="minorHAnsi" w:cstheme="minorHAnsi"/>
          <w:color w:val="000000"/>
          <w:sz w:val="24"/>
          <w:szCs w:val="24"/>
        </w:rPr>
        <w:t xml:space="preserve"> s</w:t>
      </w:r>
      <w:r w:rsidR="00C30960" w:rsidRPr="00F46D82">
        <w:rPr>
          <w:rFonts w:asciiTheme="minorHAnsi" w:hAnsiTheme="minorHAnsi" w:cstheme="minorHAnsi"/>
          <w:color w:val="000000"/>
          <w:sz w:val="24"/>
          <w:szCs w:val="24"/>
        </w:rPr>
        <w:t>tudy findings will be to</w:t>
      </w:r>
      <w:r w:rsidR="00A0746E">
        <w:rPr>
          <w:rFonts w:asciiTheme="minorHAnsi" w:hAnsiTheme="minorHAnsi" w:cstheme="minorHAnsi"/>
          <w:color w:val="000000"/>
          <w:sz w:val="24"/>
          <w:szCs w:val="24"/>
        </w:rPr>
        <w:t xml:space="preserve"> </w:t>
      </w:r>
      <w:r w:rsidR="00C30960" w:rsidRPr="00F46D82">
        <w:rPr>
          <w:rFonts w:asciiTheme="minorHAnsi" w:hAnsiTheme="minorHAnsi" w:cstheme="minorHAnsi"/>
          <w:sz w:val="24"/>
          <w:szCs w:val="24"/>
        </w:rPr>
        <w:t xml:space="preserve">inform and educate </w:t>
      </w:r>
      <w:r w:rsidR="00632BC2">
        <w:rPr>
          <w:rFonts w:asciiTheme="minorHAnsi" w:hAnsiTheme="minorHAnsi" w:cstheme="minorHAnsi"/>
          <w:sz w:val="24"/>
          <w:szCs w:val="24"/>
        </w:rPr>
        <w:t xml:space="preserve">Anniston </w:t>
      </w:r>
      <w:r w:rsidR="00C30960" w:rsidRPr="00F46D82">
        <w:rPr>
          <w:rFonts w:asciiTheme="minorHAnsi" w:hAnsiTheme="minorHAnsi" w:cstheme="minorHAnsi"/>
          <w:sz w:val="24"/>
          <w:szCs w:val="24"/>
        </w:rPr>
        <w:t xml:space="preserve">residents </w:t>
      </w:r>
      <w:r w:rsidR="00257AA0">
        <w:rPr>
          <w:rFonts w:asciiTheme="minorHAnsi" w:hAnsiTheme="minorHAnsi" w:cstheme="minorHAnsi"/>
          <w:color w:val="000000"/>
          <w:sz w:val="24"/>
          <w:szCs w:val="24"/>
        </w:rPr>
        <w:t>further</w:t>
      </w:r>
      <w:r w:rsidR="00257AA0" w:rsidRPr="00F46D82">
        <w:rPr>
          <w:rFonts w:asciiTheme="minorHAnsi" w:hAnsiTheme="minorHAnsi" w:cstheme="minorHAnsi"/>
          <w:sz w:val="24"/>
          <w:szCs w:val="24"/>
        </w:rPr>
        <w:t xml:space="preserve"> </w:t>
      </w:r>
      <w:r w:rsidR="00C30960" w:rsidRPr="00F46D82">
        <w:rPr>
          <w:rFonts w:asciiTheme="minorHAnsi" w:hAnsiTheme="minorHAnsi" w:cstheme="minorHAnsi"/>
          <w:sz w:val="24"/>
          <w:szCs w:val="24"/>
        </w:rPr>
        <w:t xml:space="preserve">about </w:t>
      </w:r>
      <w:r w:rsidR="00632BC2">
        <w:rPr>
          <w:rFonts w:asciiTheme="minorHAnsi" w:hAnsiTheme="minorHAnsi" w:cstheme="minorHAnsi"/>
          <w:sz w:val="24"/>
          <w:szCs w:val="24"/>
        </w:rPr>
        <w:t xml:space="preserve">their own </w:t>
      </w:r>
      <w:r w:rsidR="00C30960" w:rsidRPr="00F46D82">
        <w:rPr>
          <w:rFonts w:asciiTheme="minorHAnsi" w:hAnsiTheme="minorHAnsi" w:cstheme="minorHAnsi"/>
          <w:sz w:val="24"/>
          <w:szCs w:val="24"/>
        </w:rPr>
        <w:t>exposure to PCB</w:t>
      </w:r>
      <w:r w:rsidR="00810D88">
        <w:rPr>
          <w:rFonts w:asciiTheme="minorHAnsi" w:hAnsiTheme="minorHAnsi" w:cstheme="minorHAnsi"/>
          <w:sz w:val="24"/>
          <w:szCs w:val="24"/>
        </w:rPr>
        <w:t>s</w:t>
      </w:r>
      <w:r w:rsidR="00C30960" w:rsidRPr="00F46D82">
        <w:rPr>
          <w:rFonts w:asciiTheme="minorHAnsi" w:hAnsiTheme="minorHAnsi" w:cstheme="minorHAnsi"/>
          <w:sz w:val="24"/>
          <w:szCs w:val="24"/>
        </w:rPr>
        <w:t>, a more extensive panel of dioxins, furans, and dioxin-like chemicals, and</w:t>
      </w:r>
      <w:r w:rsidR="00632BC2">
        <w:rPr>
          <w:rFonts w:asciiTheme="minorHAnsi" w:hAnsiTheme="minorHAnsi" w:cstheme="minorHAnsi"/>
          <w:sz w:val="24"/>
          <w:szCs w:val="24"/>
        </w:rPr>
        <w:t xml:space="preserve"> </w:t>
      </w:r>
      <w:r w:rsidR="00C30960" w:rsidRPr="00F46D82">
        <w:rPr>
          <w:rFonts w:asciiTheme="minorHAnsi" w:hAnsiTheme="minorHAnsi" w:cstheme="minorHAnsi"/>
          <w:sz w:val="24"/>
          <w:szCs w:val="24"/>
        </w:rPr>
        <w:t>a panel of heavy</w:t>
      </w:r>
      <w:r w:rsidR="00B512A3">
        <w:rPr>
          <w:rFonts w:asciiTheme="minorHAnsi" w:hAnsiTheme="minorHAnsi" w:cstheme="minorHAnsi"/>
          <w:sz w:val="24"/>
          <w:szCs w:val="24"/>
        </w:rPr>
        <w:t xml:space="preserve"> and trace</w:t>
      </w:r>
      <w:r w:rsidR="004E421A">
        <w:rPr>
          <w:rFonts w:asciiTheme="minorHAnsi" w:hAnsiTheme="minorHAnsi" w:cstheme="minorHAnsi"/>
          <w:sz w:val="24"/>
          <w:szCs w:val="24"/>
        </w:rPr>
        <w:t xml:space="preserve"> metals. </w:t>
      </w:r>
      <w:r w:rsidR="005058A9">
        <w:rPr>
          <w:rFonts w:asciiTheme="minorHAnsi" w:hAnsiTheme="minorHAnsi" w:cstheme="minorHAnsi"/>
          <w:sz w:val="24"/>
          <w:szCs w:val="24"/>
        </w:rPr>
        <w:t xml:space="preserve">We will also </w:t>
      </w:r>
      <w:r w:rsidR="006865A0">
        <w:rPr>
          <w:rFonts w:asciiTheme="minorHAnsi" w:hAnsiTheme="minorHAnsi" w:cstheme="minorHAnsi"/>
          <w:sz w:val="24"/>
          <w:szCs w:val="24"/>
        </w:rPr>
        <w:t>share</w:t>
      </w:r>
      <w:r w:rsidR="00FE501D">
        <w:rPr>
          <w:rFonts w:asciiTheme="minorHAnsi" w:hAnsiTheme="minorHAnsi" w:cstheme="minorHAnsi"/>
          <w:sz w:val="24"/>
          <w:szCs w:val="24"/>
        </w:rPr>
        <w:t xml:space="preserve"> </w:t>
      </w:r>
      <w:r w:rsidR="00034809">
        <w:rPr>
          <w:rFonts w:asciiTheme="minorHAnsi" w:hAnsiTheme="minorHAnsi" w:cstheme="minorHAnsi"/>
          <w:sz w:val="24"/>
          <w:szCs w:val="24"/>
        </w:rPr>
        <w:t xml:space="preserve">the </w:t>
      </w:r>
      <w:r w:rsidR="00FE501D">
        <w:rPr>
          <w:rFonts w:asciiTheme="minorHAnsi" w:hAnsiTheme="minorHAnsi" w:cstheme="minorHAnsi"/>
          <w:sz w:val="24"/>
          <w:szCs w:val="24"/>
        </w:rPr>
        <w:t xml:space="preserve">results of further analyses and potential findings of associations </w:t>
      </w:r>
      <w:r w:rsidR="00810D88">
        <w:rPr>
          <w:rFonts w:asciiTheme="minorHAnsi" w:hAnsiTheme="minorHAnsi" w:cstheme="minorHAnsi"/>
          <w:sz w:val="24"/>
          <w:szCs w:val="24"/>
        </w:rPr>
        <w:t xml:space="preserve">between health outcomes and exposure to </w:t>
      </w:r>
      <w:r w:rsidR="00FE501D">
        <w:rPr>
          <w:rFonts w:asciiTheme="minorHAnsi" w:hAnsiTheme="minorHAnsi" w:cstheme="minorHAnsi"/>
          <w:sz w:val="24"/>
          <w:szCs w:val="24"/>
        </w:rPr>
        <w:t>chemicals/metals</w:t>
      </w:r>
      <w:r w:rsidR="006865A0" w:rsidRPr="006865A0">
        <w:rPr>
          <w:rFonts w:asciiTheme="minorHAnsi" w:hAnsiTheme="minorHAnsi" w:cstheme="minorHAnsi"/>
          <w:sz w:val="24"/>
          <w:szCs w:val="24"/>
        </w:rPr>
        <w:t xml:space="preserve"> </w:t>
      </w:r>
      <w:r w:rsidR="006865A0">
        <w:rPr>
          <w:rFonts w:asciiTheme="minorHAnsi" w:hAnsiTheme="minorHAnsi" w:cstheme="minorHAnsi"/>
          <w:sz w:val="24"/>
          <w:szCs w:val="24"/>
        </w:rPr>
        <w:t>with the Anniston community, clearly conveying the limits of the study for drawing causal conclusions on either an individual or population level</w:t>
      </w:r>
      <w:r w:rsidR="00FE501D">
        <w:rPr>
          <w:rFonts w:asciiTheme="minorHAnsi" w:hAnsiTheme="minorHAnsi" w:cstheme="minorHAnsi"/>
          <w:sz w:val="24"/>
          <w:szCs w:val="24"/>
        </w:rPr>
        <w:t>.</w:t>
      </w:r>
      <w:r w:rsidR="00C16CB5">
        <w:rPr>
          <w:rFonts w:asciiTheme="minorHAnsi" w:hAnsiTheme="minorHAnsi" w:cstheme="minorHAnsi"/>
          <w:sz w:val="24"/>
          <w:szCs w:val="24"/>
        </w:rPr>
        <w:t xml:space="preserve"> </w:t>
      </w:r>
    </w:p>
    <w:p w:rsidR="00D36B84" w:rsidRPr="00F46D82" w:rsidRDefault="00D36B84" w:rsidP="002E799F">
      <w:pPr>
        <w:autoSpaceDE w:val="0"/>
        <w:autoSpaceDN w:val="0"/>
        <w:adjustRightInd w:val="0"/>
        <w:spacing w:after="0" w:line="240" w:lineRule="auto"/>
        <w:jc w:val="both"/>
        <w:rPr>
          <w:rFonts w:asciiTheme="minorHAnsi" w:hAnsiTheme="minorHAnsi" w:cstheme="minorHAnsi"/>
          <w:sz w:val="24"/>
          <w:szCs w:val="24"/>
        </w:rPr>
      </w:pPr>
    </w:p>
    <w:p w:rsidR="00F314C6" w:rsidRDefault="0066655A" w:rsidP="002E799F">
      <w:pPr>
        <w:autoSpaceDE w:val="0"/>
        <w:autoSpaceDN w:val="0"/>
        <w:adjustRightInd w:val="0"/>
        <w:spacing w:after="0" w:line="240" w:lineRule="auto"/>
        <w:jc w:val="both"/>
        <w:rPr>
          <w:rFonts w:asciiTheme="minorHAnsi" w:hAnsiTheme="minorHAnsi" w:cstheme="minorHAnsi"/>
          <w:color w:val="000000"/>
          <w:sz w:val="24"/>
          <w:szCs w:val="24"/>
        </w:rPr>
      </w:pPr>
      <w:proofErr w:type="gramStart"/>
      <w:r w:rsidRPr="00F46D82">
        <w:rPr>
          <w:rFonts w:asciiTheme="minorHAnsi" w:hAnsiTheme="minorHAnsi" w:cstheme="minorHAnsi"/>
          <w:i/>
          <w:sz w:val="24"/>
          <w:szCs w:val="24"/>
        </w:rPr>
        <w:t>Collection of information in identifiable form.</w:t>
      </w:r>
      <w:proofErr w:type="gramEnd"/>
      <w:r w:rsidRPr="00F46D82">
        <w:rPr>
          <w:rFonts w:asciiTheme="minorHAnsi" w:hAnsiTheme="minorHAnsi" w:cstheme="minorHAnsi"/>
          <w:sz w:val="24"/>
          <w:szCs w:val="24"/>
        </w:rPr>
        <w:t xml:space="preserve"> As previously described in Section A.1, </w:t>
      </w:r>
      <w:r w:rsidR="0056605D" w:rsidRPr="00F46D82">
        <w:rPr>
          <w:rFonts w:asciiTheme="minorHAnsi" w:hAnsiTheme="minorHAnsi" w:cstheme="minorHAnsi"/>
          <w:sz w:val="24"/>
          <w:szCs w:val="24"/>
        </w:rPr>
        <w:t xml:space="preserve">IIF will be collected, managed, and stored by the </w:t>
      </w:r>
      <w:r w:rsidR="00E36D74" w:rsidRPr="00F46D82">
        <w:rPr>
          <w:rFonts w:asciiTheme="minorHAnsi" w:hAnsiTheme="minorHAnsi" w:cstheme="minorHAnsi"/>
          <w:sz w:val="24"/>
          <w:szCs w:val="24"/>
        </w:rPr>
        <w:t>UAB</w:t>
      </w:r>
      <w:r w:rsidR="00866D45" w:rsidRPr="00F46D82">
        <w:rPr>
          <w:rFonts w:asciiTheme="minorHAnsi" w:hAnsiTheme="minorHAnsi" w:cstheme="minorHAnsi"/>
          <w:sz w:val="24"/>
          <w:szCs w:val="24"/>
        </w:rPr>
        <w:t xml:space="preserve"> in their already established record system.</w:t>
      </w:r>
      <w:r w:rsidR="000C4397">
        <w:rPr>
          <w:rFonts w:asciiTheme="minorHAnsi" w:hAnsiTheme="minorHAnsi" w:cstheme="minorHAnsi"/>
          <w:sz w:val="24"/>
          <w:szCs w:val="24"/>
        </w:rPr>
        <w:t xml:space="preserve"> </w:t>
      </w:r>
      <w:r w:rsidR="00CC4F2E">
        <w:rPr>
          <w:rFonts w:asciiTheme="minorHAnsi" w:hAnsiTheme="minorHAnsi" w:cstheme="minorHAnsi"/>
          <w:sz w:val="24"/>
          <w:szCs w:val="24"/>
        </w:rPr>
        <w:t>T</w:t>
      </w:r>
      <w:r w:rsidR="000C4397">
        <w:rPr>
          <w:rFonts w:asciiTheme="minorHAnsi" w:hAnsiTheme="minorHAnsi" w:cstheme="minorHAnsi"/>
          <w:sz w:val="24"/>
          <w:szCs w:val="24"/>
        </w:rPr>
        <w:t>he IIF will also be a deliverable to the ATSDR.</w:t>
      </w:r>
      <w:r w:rsidR="00F314C6" w:rsidRPr="00F46D82">
        <w:rPr>
          <w:rFonts w:asciiTheme="minorHAnsi" w:hAnsiTheme="minorHAnsi" w:cstheme="minorHAnsi"/>
          <w:sz w:val="24"/>
          <w:szCs w:val="24"/>
        </w:rPr>
        <w:t xml:space="preserve"> </w:t>
      </w:r>
      <w:r w:rsidR="00E36D74" w:rsidRPr="00F46D82">
        <w:rPr>
          <w:rFonts w:asciiTheme="minorHAnsi" w:eastAsia="Times New Roman" w:hAnsiTheme="minorHAnsi" w:cstheme="minorHAnsi"/>
          <w:sz w:val="24"/>
          <w:szCs w:val="24"/>
        </w:rPr>
        <w:t>UAB and ATSDR</w:t>
      </w:r>
      <w:r w:rsidR="005C20A9" w:rsidRPr="00F46D82">
        <w:rPr>
          <w:rFonts w:asciiTheme="minorHAnsi" w:hAnsiTheme="minorHAnsi" w:cstheme="minorHAnsi"/>
          <w:color w:val="000000"/>
          <w:sz w:val="24"/>
          <w:szCs w:val="24"/>
        </w:rPr>
        <w:t xml:space="preserve"> will use IIF for the purposes of sampling, </w:t>
      </w:r>
      <w:r w:rsidR="005C20A9" w:rsidRPr="00F46D82">
        <w:rPr>
          <w:rFonts w:asciiTheme="minorHAnsi" w:hAnsiTheme="minorHAnsi" w:cstheme="minorHAnsi"/>
          <w:bCs/>
          <w:sz w:val="24"/>
          <w:szCs w:val="24"/>
        </w:rPr>
        <w:t>screening, recruitment, and results reporting to respondents</w:t>
      </w:r>
      <w:r w:rsidR="005C20A9" w:rsidRPr="00F46D82">
        <w:rPr>
          <w:rFonts w:asciiTheme="minorHAnsi" w:eastAsia="Times New Roman" w:hAnsiTheme="minorHAnsi" w:cstheme="minorHAnsi"/>
          <w:sz w:val="24"/>
          <w:szCs w:val="24"/>
        </w:rPr>
        <w:t xml:space="preserve">. </w:t>
      </w:r>
      <w:r w:rsidR="006445B4">
        <w:rPr>
          <w:rFonts w:asciiTheme="minorHAnsi" w:eastAsia="Times New Roman" w:hAnsiTheme="minorHAnsi" w:cstheme="minorHAnsi"/>
          <w:sz w:val="24"/>
          <w:szCs w:val="24"/>
        </w:rPr>
        <w:t xml:space="preserve">For the ACHS-II records, </w:t>
      </w:r>
      <w:r w:rsidR="00E36D74" w:rsidRPr="00F46D82">
        <w:rPr>
          <w:rFonts w:asciiTheme="minorHAnsi" w:eastAsia="Times New Roman" w:hAnsiTheme="minorHAnsi" w:cstheme="minorHAnsi"/>
          <w:sz w:val="24"/>
          <w:szCs w:val="24"/>
        </w:rPr>
        <w:t xml:space="preserve">ATSDR will be the final recipient of the IIF (to keep for potential re-contacting of </w:t>
      </w:r>
      <w:r w:rsidR="00E26A9A">
        <w:rPr>
          <w:rFonts w:asciiTheme="minorHAnsi" w:hAnsiTheme="minorHAnsi" w:cstheme="minorHAnsi"/>
          <w:bCs/>
          <w:sz w:val="24"/>
          <w:szCs w:val="24"/>
        </w:rPr>
        <w:t>responden</w:t>
      </w:r>
      <w:r w:rsidR="00E26A9A" w:rsidRPr="00F46D82">
        <w:rPr>
          <w:rFonts w:asciiTheme="minorHAnsi" w:hAnsiTheme="minorHAnsi" w:cstheme="minorHAnsi"/>
          <w:bCs/>
          <w:sz w:val="24"/>
          <w:szCs w:val="24"/>
        </w:rPr>
        <w:t>t</w:t>
      </w:r>
      <w:r w:rsidR="00E36D74" w:rsidRPr="00F46D82">
        <w:rPr>
          <w:rFonts w:asciiTheme="minorHAnsi" w:eastAsia="Times New Roman" w:hAnsiTheme="minorHAnsi" w:cstheme="minorHAnsi"/>
          <w:sz w:val="24"/>
          <w:szCs w:val="24"/>
        </w:rPr>
        <w:t>s)</w:t>
      </w:r>
      <w:r w:rsidR="00F314C6" w:rsidRPr="00F46D82">
        <w:rPr>
          <w:rFonts w:asciiTheme="minorHAnsi" w:hAnsiTheme="minorHAnsi" w:cstheme="minorHAnsi"/>
          <w:color w:val="000000"/>
          <w:sz w:val="24"/>
          <w:szCs w:val="24"/>
        </w:rPr>
        <w:t>.</w:t>
      </w:r>
      <w:r w:rsidR="00F65E23">
        <w:rPr>
          <w:rFonts w:asciiTheme="minorHAnsi" w:hAnsiTheme="minorHAnsi" w:cstheme="minorHAnsi"/>
          <w:color w:val="000000"/>
          <w:sz w:val="24"/>
          <w:szCs w:val="24"/>
        </w:rPr>
        <w:t xml:space="preserve"> </w:t>
      </w:r>
    </w:p>
    <w:p w:rsidR="008D61FB" w:rsidRDefault="008D61FB" w:rsidP="002E799F">
      <w:pPr>
        <w:autoSpaceDE w:val="0"/>
        <w:autoSpaceDN w:val="0"/>
        <w:adjustRightInd w:val="0"/>
        <w:spacing w:after="0" w:line="240" w:lineRule="auto"/>
        <w:jc w:val="both"/>
        <w:rPr>
          <w:rFonts w:asciiTheme="minorHAnsi" w:hAnsiTheme="minorHAnsi" w:cstheme="minorHAnsi"/>
          <w:color w:val="000000"/>
          <w:sz w:val="24"/>
          <w:szCs w:val="24"/>
        </w:rPr>
      </w:pPr>
    </w:p>
    <w:p w:rsidR="00CE0573" w:rsidRPr="006C1146" w:rsidRDefault="008D61FB" w:rsidP="00CE0573">
      <w:pPr>
        <w:spacing w:after="0" w:line="240" w:lineRule="auto"/>
        <w:jc w:val="both"/>
        <w:rPr>
          <w:rFonts w:asciiTheme="minorHAnsi" w:eastAsia="Times New Roman" w:hAnsiTheme="minorHAnsi" w:cstheme="minorHAnsi"/>
          <w:sz w:val="24"/>
          <w:szCs w:val="24"/>
        </w:rPr>
      </w:pPr>
      <w:r w:rsidRPr="006C1146">
        <w:rPr>
          <w:rFonts w:asciiTheme="minorHAnsi" w:eastAsia="Times New Roman" w:hAnsiTheme="minorHAnsi" w:cstheme="minorHAnsi"/>
          <w:sz w:val="24"/>
          <w:szCs w:val="24"/>
        </w:rPr>
        <w:t xml:space="preserve">The UAB will deliver all field-collected records to the ATSDR at the end of the study. </w:t>
      </w:r>
      <w:r w:rsidRPr="00722159">
        <w:rPr>
          <w:rFonts w:asciiTheme="minorHAnsi" w:eastAsia="Times New Roman" w:hAnsiTheme="minorHAnsi" w:cstheme="minorHAnsi"/>
          <w:sz w:val="24"/>
          <w:szCs w:val="24"/>
        </w:rPr>
        <w:t>IIF such as nam</w:t>
      </w:r>
      <w:r w:rsidRPr="005F3738">
        <w:rPr>
          <w:rFonts w:asciiTheme="minorHAnsi" w:eastAsia="Times New Roman" w:hAnsiTheme="minorHAnsi" w:cstheme="minorHAnsi"/>
          <w:sz w:val="24"/>
          <w:szCs w:val="24"/>
        </w:rPr>
        <w:t>e, current address, phone number, date of birth, date of the ACHS interview, the original ACHS study ID number</w:t>
      </w:r>
      <w:r w:rsidRPr="00C23E36">
        <w:rPr>
          <w:rFonts w:asciiTheme="minorHAnsi" w:eastAsia="Times New Roman" w:hAnsiTheme="minorHAnsi" w:cstheme="minorHAnsi"/>
          <w:sz w:val="24"/>
          <w:szCs w:val="24"/>
        </w:rPr>
        <w:t xml:space="preserve"> </w:t>
      </w:r>
      <w:proofErr w:type="gramStart"/>
      <w:r w:rsidRPr="00C23E36">
        <w:rPr>
          <w:rFonts w:asciiTheme="minorHAnsi" w:eastAsia="Times New Roman" w:hAnsiTheme="minorHAnsi" w:cstheme="minorHAnsi"/>
          <w:sz w:val="24"/>
          <w:szCs w:val="24"/>
        </w:rPr>
        <w:t>will be retained</w:t>
      </w:r>
      <w:proofErr w:type="gramEnd"/>
      <w:r w:rsidRPr="00C23E36">
        <w:rPr>
          <w:rFonts w:asciiTheme="minorHAnsi" w:eastAsia="Times New Roman" w:hAnsiTheme="minorHAnsi" w:cstheme="minorHAnsi"/>
          <w:sz w:val="24"/>
          <w:szCs w:val="24"/>
        </w:rPr>
        <w:t>. D</w:t>
      </w:r>
      <w:r w:rsidRPr="006B2ED7">
        <w:rPr>
          <w:rFonts w:asciiTheme="minorHAnsi" w:eastAsia="Times New Roman" w:hAnsiTheme="minorHAnsi" w:cstheme="minorHAnsi"/>
          <w:sz w:val="24"/>
          <w:szCs w:val="24"/>
        </w:rPr>
        <w:t>ate of the ACHS-II interview and assigned ACHS-II study ID number will be stored</w:t>
      </w:r>
      <w:r w:rsidRPr="006C1146">
        <w:rPr>
          <w:rFonts w:asciiTheme="minorHAnsi" w:eastAsia="Times New Roman" w:hAnsiTheme="minorHAnsi" w:cstheme="minorHAnsi"/>
          <w:sz w:val="24"/>
          <w:szCs w:val="24"/>
        </w:rPr>
        <w:t xml:space="preserve"> along with all IIF in a separate master key dataset. </w:t>
      </w:r>
      <w:r w:rsidR="00CE0573" w:rsidRPr="006C1146">
        <w:rPr>
          <w:rFonts w:asciiTheme="minorHAnsi" w:eastAsia="Times New Roman" w:hAnsiTheme="minorHAnsi" w:cstheme="minorHAnsi"/>
          <w:sz w:val="24"/>
          <w:szCs w:val="24"/>
        </w:rPr>
        <w:t>IIF will not be linked with files used for statistical analysis and will not appear in any reports generated from this data set.</w:t>
      </w:r>
    </w:p>
    <w:p w:rsidR="00CE0573" w:rsidRPr="006C1146" w:rsidRDefault="00CE0573" w:rsidP="008D61FB">
      <w:pPr>
        <w:spacing w:after="0" w:line="240" w:lineRule="auto"/>
        <w:jc w:val="both"/>
        <w:rPr>
          <w:rFonts w:asciiTheme="minorHAnsi" w:eastAsia="Times New Roman" w:hAnsiTheme="minorHAnsi" w:cstheme="minorHAnsi"/>
          <w:sz w:val="24"/>
          <w:szCs w:val="24"/>
        </w:rPr>
      </w:pPr>
    </w:p>
    <w:p w:rsidR="006B67F9" w:rsidRPr="00F46D82" w:rsidRDefault="003A70CC" w:rsidP="002E799F">
      <w:pPr>
        <w:autoSpaceDE w:val="0"/>
        <w:autoSpaceDN w:val="0"/>
        <w:adjustRightInd w:val="0"/>
        <w:spacing w:after="0" w:line="240" w:lineRule="auto"/>
        <w:jc w:val="both"/>
        <w:rPr>
          <w:rFonts w:asciiTheme="minorHAnsi" w:hAnsiTheme="minorHAnsi" w:cstheme="minorHAnsi"/>
          <w:color w:val="000000"/>
          <w:sz w:val="24"/>
          <w:szCs w:val="24"/>
        </w:rPr>
      </w:pPr>
      <w:proofErr w:type="gramStart"/>
      <w:r w:rsidRPr="00F46D82">
        <w:rPr>
          <w:rFonts w:asciiTheme="minorHAnsi" w:hAnsiTheme="minorHAnsi" w:cstheme="minorHAnsi"/>
          <w:i/>
          <w:color w:val="000000"/>
          <w:sz w:val="24"/>
          <w:szCs w:val="24"/>
        </w:rPr>
        <w:t>Impact on privacy.</w:t>
      </w:r>
      <w:proofErr w:type="gramEnd"/>
      <w:r w:rsidR="00BB11F1" w:rsidRPr="00F46D82">
        <w:rPr>
          <w:rFonts w:asciiTheme="minorHAnsi" w:hAnsiTheme="minorHAnsi" w:cstheme="minorHAnsi"/>
          <w:color w:val="000000"/>
          <w:sz w:val="24"/>
          <w:szCs w:val="24"/>
        </w:rPr>
        <w:t xml:space="preserve"> </w:t>
      </w:r>
      <w:r w:rsidR="006B67F9" w:rsidRPr="00F46D82">
        <w:rPr>
          <w:rFonts w:asciiTheme="minorHAnsi" w:hAnsiTheme="minorHAnsi" w:cstheme="minorHAnsi"/>
          <w:color w:val="000000"/>
          <w:sz w:val="24"/>
          <w:szCs w:val="24"/>
        </w:rPr>
        <w:t xml:space="preserve">Because the </w:t>
      </w:r>
      <w:r w:rsidR="00E36D74" w:rsidRPr="00F46D82">
        <w:rPr>
          <w:rFonts w:asciiTheme="minorHAnsi" w:hAnsiTheme="minorHAnsi" w:cstheme="minorHAnsi"/>
          <w:color w:val="000000"/>
          <w:sz w:val="24"/>
          <w:szCs w:val="24"/>
        </w:rPr>
        <w:t>UAB will collect</w:t>
      </w:r>
      <w:r w:rsidR="00A7415A" w:rsidRPr="00F46D82">
        <w:rPr>
          <w:rFonts w:asciiTheme="minorHAnsi" w:hAnsiTheme="minorHAnsi" w:cstheme="minorHAnsi"/>
          <w:color w:val="000000"/>
          <w:sz w:val="24"/>
          <w:szCs w:val="24"/>
        </w:rPr>
        <w:t>,</w:t>
      </w:r>
      <w:r w:rsidR="006B67F9" w:rsidRPr="00F46D82">
        <w:rPr>
          <w:rFonts w:asciiTheme="minorHAnsi" w:hAnsiTheme="minorHAnsi" w:cstheme="minorHAnsi"/>
          <w:color w:val="000000"/>
          <w:sz w:val="24"/>
          <w:szCs w:val="24"/>
        </w:rPr>
        <w:t xml:space="preserve"> store, manage, and maintain IIF on their already established record system, there would be a likely effect on the respondent’s privac</w:t>
      </w:r>
      <w:r w:rsidR="00566E10" w:rsidRPr="00F46D82">
        <w:rPr>
          <w:rFonts w:asciiTheme="minorHAnsi" w:hAnsiTheme="minorHAnsi" w:cstheme="minorHAnsi"/>
          <w:color w:val="000000"/>
          <w:sz w:val="24"/>
          <w:szCs w:val="24"/>
        </w:rPr>
        <w:t>y if a breach of data security</w:t>
      </w:r>
      <w:r w:rsidR="006B67F9" w:rsidRPr="00F46D82">
        <w:rPr>
          <w:rFonts w:asciiTheme="minorHAnsi" w:hAnsiTheme="minorHAnsi" w:cstheme="minorHAnsi"/>
          <w:color w:val="000000"/>
          <w:sz w:val="24"/>
          <w:szCs w:val="24"/>
        </w:rPr>
        <w:t xml:space="preserve"> occurred. Therefore, </w:t>
      </w:r>
      <w:r w:rsidR="003930E6">
        <w:rPr>
          <w:rFonts w:asciiTheme="minorHAnsi" w:hAnsiTheme="minorHAnsi" w:cstheme="minorHAnsi"/>
          <w:color w:val="000000"/>
          <w:sz w:val="24"/>
          <w:szCs w:val="24"/>
        </w:rPr>
        <w:t>its</w:t>
      </w:r>
      <w:r w:rsidR="006B67F9" w:rsidRPr="00F46D82">
        <w:rPr>
          <w:rFonts w:asciiTheme="minorHAnsi" w:hAnsiTheme="minorHAnsi" w:cstheme="minorHAnsi"/>
          <w:color w:val="000000"/>
          <w:sz w:val="24"/>
          <w:szCs w:val="24"/>
        </w:rPr>
        <w:t xml:space="preserve"> </w:t>
      </w:r>
      <w:r w:rsidR="00545414" w:rsidRPr="00F46D82">
        <w:rPr>
          <w:rFonts w:asciiTheme="minorHAnsi" w:hAnsiTheme="minorHAnsi" w:cstheme="minorHAnsi"/>
          <w:color w:val="000000"/>
          <w:sz w:val="24"/>
          <w:szCs w:val="24"/>
        </w:rPr>
        <w:t xml:space="preserve">established </w:t>
      </w:r>
      <w:r w:rsidR="006B67F9" w:rsidRPr="00F46D82">
        <w:rPr>
          <w:rFonts w:asciiTheme="minorHAnsi" w:hAnsiTheme="minorHAnsi" w:cstheme="minorHAnsi"/>
          <w:color w:val="000000"/>
          <w:sz w:val="24"/>
          <w:szCs w:val="24"/>
        </w:rPr>
        <w:t>record system ha</w:t>
      </w:r>
      <w:r w:rsidR="00D31931">
        <w:rPr>
          <w:rFonts w:asciiTheme="minorHAnsi" w:hAnsiTheme="minorHAnsi" w:cstheme="minorHAnsi"/>
          <w:color w:val="000000"/>
          <w:sz w:val="24"/>
          <w:szCs w:val="24"/>
        </w:rPr>
        <w:t>s</w:t>
      </w:r>
      <w:r w:rsidR="006B67F9" w:rsidRPr="00F46D82">
        <w:rPr>
          <w:rFonts w:asciiTheme="minorHAnsi" w:hAnsiTheme="minorHAnsi" w:cstheme="minorHAnsi"/>
          <w:color w:val="000000"/>
          <w:sz w:val="24"/>
          <w:szCs w:val="24"/>
        </w:rPr>
        <w:t xml:space="preserve"> stringent safeguards in place as described in Section A.10.</w:t>
      </w:r>
    </w:p>
    <w:p w:rsidR="006B67F9" w:rsidRPr="00F46D82" w:rsidRDefault="006B67F9" w:rsidP="002E799F">
      <w:pPr>
        <w:autoSpaceDE w:val="0"/>
        <w:autoSpaceDN w:val="0"/>
        <w:adjustRightInd w:val="0"/>
        <w:spacing w:after="0" w:line="240" w:lineRule="auto"/>
        <w:jc w:val="both"/>
        <w:rPr>
          <w:rFonts w:asciiTheme="minorHAnsi" w:hAnsiTheme="minorHAnsi" w:cstheme="minorHAnsi"/>
          <w:color w:val="000000"/>
          <w:sz w:val="24"/>
          <w:szCs w:val="24"/>
        </w:rPr>
      </w:pPr>
    </w:p>
    <w:p w:rsidR="00A67E00" w:rsidRDefault="006B67F9" w:rsidP="00955810">
      <w:pPr>
        <w:spacing w:after="0" w:line="240" w:lineRule="auto"/>
        <w:jc w:val="both"/>
        <w:rPr>
          <w:rFonts w:asciiTheme="minorHAnsi" w:hAnsiTheme="minorHAnsi" w:cstheme="minorHAnsi"/>
          <w:color w:val="000000"/>
          <w:sz w:val="24"/>
          <w:szCs w:val="24"/>
        </w:rPr>
      </w:pPr>
      <w:r w:rsidRPr="00F46D82">
        <w:rPr>
          <w:rFonts w:asciiTheme="minorHAnsi" w:hAnsiTheme="minorHAnsi" w:cstheme="minorHAnsi"/>
          <w:color w:val="000000"/>
          <w:sz w:val="24"/>
          <w:szCs w:val="24"/>
        </w:rPr>
        <w:t xml:space="preserve">For ATSDR, </w:t>
      </w:r>
      <w:r w:rsidR="00E36D74" w:rsidRPr="00F46D82">
        <w:rPr>
          <w:rFonts w:asciiTheme="minorHAnsi" w:hAnsiTheme="minorHAnsi" w:cstheme="minorHAnsi"/>
          <w:color w:val="000000"/>
          <w:sz w:val="24"/>
          <w:szCs w:val="24"/>
        </w:rPr>
        <w:t xml:space="preserve">research datasets will include only </w:t>
      </w:r>
      <w:proofErr w:type="spellStart"/>
      <w:r w:rsidR="00FC382A" w:rsidRPr="00F46D82">
        <w:rPr>
          <w:rFonts w:asciiTheme="minorHAnsi" w:hAnsiTheme="minorHAnsi" w:cstheme="minorHAnsi"/>
          <w:color w:val="000000"/>
          <w:sz w:val="24"/>
          <w:szCs w:val="24"/>
        </w:rPr>
        <w:t>deidentified</w:t>
      </w:r>
      <w:proofErr w:type="spellEnd"/>
      <w:r w:rsidRPr="00F46D82">
        <w:rPr>
          <w:rFonts w:asciiTheme="minorHAnsi" w:hAnsiTheme="minorHAnsi" w:cstheme="minorHAnsi"/>
          <w:color w:val="000000"/>
          <w:sz w:val="24"/>
          <w:szCs w:val="24"/>
        </w:rPr>
        <w:t xml:space="preserve"> information that </w:t>
      </w:r>
      <w:proofErr w:type="gramStart"/>
      <w:r w:rsidRPr="00F46D82">
        <w:rPr>
          <w:rFonts w:asciiTheme="minorHAnsi" w:hAnsiTheme="minorHAnsi" w:cstheme="minorHAnsi"/>
          <w:color w:val="000000"/>
          <w:sz w:val="24"/>
          <w:szCs w:val="24"/>
        </w:rPr>
        <w:t>might be considered</w:t>
      </w:r>
      <w:proofErr w:type="gramEnd"/>
      <w:r w:rsidR="00D36B84" w:rsidRPr="00F46D82">
        <w:rPr>
          <w:rFonts w:asciiTheme="minorHAnsi" w:hAnsiTheme="minorHAnsi" w:cstheme="minorHAnsi"/>
          <w:color w:val="000000"/>
          <w:sz w:val="24"/>
          <w:szCs w:val="24"/>
        </w:rPr>
        <w:t xml:space="preserve"> sensiti</w:t>
      </w:r>
      <w:r w:rsidRPr="00F46D82">
        <w:rPr>
          <w:rFonts w:asciiTheme="minorHAnsi" w:hAnsiTheme="minorHAnsi" w:cstheme="minorHAnsi"/>
          <w:color w:val="000000"/>
          <w:sz w:val="24"/>
          <w:szCs w:val="24"/>
        </w:rPr>
        <w:t>ve, such as pregnancy status in the past year among female respondents</w:t>
      </w:r>
      <w:r w:rsidR="00D31931">
        <w:rPr>
          <w:rFonts w:asciiTheme="minorHAnsi" w:hAnsiTheme="minorHAnsi" w:cstheme="minorHAnsi"/>
          <w:color w:val="000000"/>
          <w:sz w:val="24"/>
          <w:szCs w:val="24"/>
        </w:rPr>
        <w:t xml:space="preserve"> or sensitive questions on reproductive outcomes, fertility, or </w:t>
      </w:r>
      <w:proofErr w:type="spellStart"/>
      <w:r w:rsidR="00D31931">
        <w:rPr>
          <w:rFonts w:asciiTheme="minorHAnsi" w:hAnsiTheme="minorHAnsi" w:cstheme="minorHAnsi"/>
          <w:color w:val="000000"/>
          <w:sz w:val="24"/>
          <w:szCs w:val="24"/>
        </w:rPr>
        <w:t>fecundability</w:t>
      </w:r>
      <w:proofErr w:type="spellEnd"/>
      <w:r w:rsidR="00A67E00">
        <w:rPr>
          <w:rFonts w:asciiTheme="minorHAnsi" w:hAnsiTheme="minorHAnsi" w:cstheme="minorHAnsi"/>
          <w:color w:val="000000"/>
          <w:sz w:val="24"/>
          <w:szCs w:val="24"/>
        </w:rPr>
        <w:t>. These files</w:t>
      </w:r>
      <w:r w:rsidR="00E36D74" w:rsidRPr="00F46D82">
        <w:rPr>
          <w:rFonts w:asciiTheme="minorHAnsi" w:hAnsiTheme="minorHAnsi" w:cstheme="minorHAnsi"/>
          <w:color w:val="000000"/>
          <w:sz w:val="24"/>
          <w:szCs w:val="24"/>
        </w:rPr>
        <w:t xml:space="preserve"> </w:t>
      </w:r>
      <w:r w:rsidRPr="00F46D82">
        <w:rPr>
          <w:rFonts w:asciiTheme="minorHAnsi" w:hAnsiTheme="minorHAnsi" w:cstheme="minorHAnsi"/>
          <w:color w:val="000000"/>
          <w:sz w:val="24"/>
          <w:szCs w:val="24"/>
        </w:rPr>
        <w:t xml:space="preserve">will not have </w:t>
      </w:r>
      <w:r w:rsidR="007F33B0" w:rsidRPr="00F46D82">
        <w:rPr>
          <w:rFonts w:asciiTheme="minorHAnsi" w:hAnsiTheme="minorHAnsi" w:cstheme="minorHAnsi"/>
          <w:color w:val="000000"/>
          <w:sz w:val="24"/>
          <w:szCs w:val="24"/>
        </w:rPr>
        <w:t xml:space="preserve">associated </w:t>
      </w:r>
      <w:r w:rsidRPr="00F46D82">
        <w:rPr>
          <w:rFonts w:asciiTheme="minorHAnsi" w:hAnsiTheme="minorHAnsi" w:cstheme="minorHAnsi"/>
          <w:color w:val="000000"/>
          <w:sz w:val="24"/>
          <w:szCs w:val="24"/>
        </w:rPr>
        <w:t>information that might directly identify these respondents</w:t>
      </w:r>
      <w:r w:rsidR="00E46590">
        <w:rPr>
          <w:rFonts w:asciiTheme="minorHAnsi" w:hAnsiTheme="minorHAnsi" w:cstheme="minorHAnsi"/>
          <w:color w:val="000000"/>
          <w:sz w:val="24"/>
          <w:szCs w:val="24"/>
        </w:rPr>
        <w:t>.</w:t>
      </w:r>
      <w:r w:rsidRPr="00F46D82">
        <w:rPr>
          <w:rFonts w:asciiTheme="minorHAnsi" w:hAnsiTheme="minorHAnsi" w:cstheme="minorHAnsi"/>
          <w:color w:val="000000"/>
          <w:sz w:val="24"/>
          <w:szCs w:val="24"/>
        </w:rPr>
        <w:t xml:space="preserve"> </w:t>
      </w:r>
      <w:r w:rsidR="00E36D74" w:rsidRPr="00F46D82">
        <w:rPr>
          <w:rFonts w:asciiTheme="minorHAnsi" w:hAnsiTheme="minorHAnsi" w:cstheme="minorHAnsi"/>
          <w:color w:val="000000"/>
          <w:sz w:val="24"/>
          <w:szCs w:val="24"/>
        </w:rPr>
        <w:t xml:space="preserve">IIF will be stored in a separate master key </w:t>
      </w:r>
      <w:r w:rsidR="00A67E00" w:rsidRPr="00F46D82">
        <w:rPr>
          <w:rFonts w:asciiTheme="minorHAnsi" w:hAnsiTheme="minorHAnsi" w:cstheme="minorHAnsi"/>
          <w:color w:val="000000"/>
          <w:sz w:val="24"/>
          <w:szCs w:val="24"/>
        </w:rPr>
        <w:t>dataset, which</w:t>
      </w:r>
      <w:r w:rsidR="00E36D74" w:rsidRPr="00F46D82">
        <w:rPr>
          <w:rFonts w:asciiTheme="minorHAnsi" w:hAnsiTheme="minorHAnsi" w:cstheme="minorHAnsi"/>
          <w:color w:val="000000"/>
          <w:sz w:val="24"/>
          <w:szCs w:val="24"/>
        </w:rPr>
        <w:t xml:space="preserve"> will enable </w:t>
      </w:r>
      <w:r w:rsidR="00E46590">
        <w:rPr>
          <w:rFonts w:asciiTheme="minorHAnsi" w:hAnsiTheme="minorHAnsi" w:cstheme="minorHAnsi"/>
          <w:color w:val="000000"/>
          <w:sz w:val="24"/>
          <w:szCs w:val="24"/>
        </w:rPr>
        <w:t xml:space="preserve">investigators </w:t>
      </w:r>
      <w:r w:rsidR="00E36D74" w:rsidRPr="00F46D82">
        <w:rPr>
          <w:rFonts w:asciiTheme="minorHAnsi" w:hAnsiTheme="minorHAnsi" w:cstheme="minorHAnsi"/>
          <w:color w:val="000000"/>
          <w:sz w:val="24"/>
          <w:szCs w:val="24"/>
        </w:rPr>
        <w:t xml:space="preserve">to link the </w:t>
      </w:r>
      <w:r w:rsidR="00E46590">
        <w:rPr>
          <w:rFonts w:asciiTheme="minorHAnsi" w:hAnsiTheme="minorHAnsi" w:cstheme="minorHAnsi"/>
          <w:color w:val="000000"/>
          <w:sz w:val="24"/>
          <w:szCs w:val="24"/>
        </w:rPr>
        <w:t xml:space="preserve">respondent’s </w:t>
      </w:r>
      <w:r w:rsidR="00E36D74" w:rsidRPr="00F46D82">
        <w:rPr>
          <w:rFonts w:asciiTheme="minorHAnsi" w:hAnsiTheme="minorHAnsi" w:cstheme="minorHAnsi"/>
          <w:color w:val="000000"/>
          <w:sz w:val="24"/>
          <w:szCs w:val="24"/>
        </w:rPr>
        <w:t xml:space="preserve">research data with </w:t>
      </w:r>
      <w:r w:rsidR="00E46590">
        <w:rPr>
          <w:rFonts w:asciiTheme="minorHAnsi" w:hAnsiTheme="minorHAnsi" w:cstheme="minorHAnsi"/>
          <w:color w:val="000000"/>
          <w:sz w:val="24"/>
          <w:szCs w:val="24"/>
        </w:rPr>
        <w:t xml:space="preserve">his or her </w:t>
      </w:r>
      <w:r w:rsidR="00E36D74" w:rsidRPr="00F46D82">
        <w:rPr>
          <w:rFonts w:asciiTheme="minorHAnsi" w:hAnsiTheme="minorHAnsi" w:cstheme="minorHAnsi"/>
          <w:color w:val="000000"/>
          <w:sz w:val="24"/>
          <w:szCs w:val="24"/>
        </w:rPr>
        <w:t>IIF</w:t>
      </w:r>
      <w:r w:rsidR="00E46590">
        <w:rPr>
          <w:rFonts w:asciiTheme="minorHAnsi" w:hAnsiTheme="minorHAnsi" w:cstheme="minorHAnsi"/>
          <w:color w:val="000000"/>
          <w:sz w:val="24"/>
          <w:szCs w:val="24"/>
        </w:rPr>
        <w:t>. Maintaining this</w:t>
      </w:r>
      <w:r w:rsidR="00E36D74" w:rsidRPr="00F46D82">
        <w:rPr>
          <w:rFonts w:asciiTheme="minorHAnsi" w:hAnsiTheme="minorHAnsi" w:cstheme="minorHAnsi"/>
          <w:color w:val="000000"/>
          <w:sz w:val="24"/>
          <w:szCs w:val="24"/>
        </w:rPr>
        <w:t xml:space="preserve"> contact information</w:t>
      </w:r>
      <w:r w:rsidR="00E46590">
        <w:rPr>
          <w:rFonts w:asciiTheme="minorHAnsi" w:hAnsiTheme="minorHAnsi" w:cstheme="minorHAnsi"/>
          <w:color w:val="000000"/>
          <w:sz w:val="24"/>
          <w:szCs w:val="24"/>
        </w:rPr>
        <w:t xml:space="preserve"> is necessary</w:t>
      </w:r>
      <w:r w:rsidR="00E36D74" w:rsidRPr="00F46D82">
        <w:rPr>
          <w:rFonts w:asciiTheme="minorHAnsi" w:hAnsiTheme="minorHAnsi" w:cstheme="minorHAnsi"/>
          <w:color w:val="000000"/>
          <w:sz w:val="24"/>
          <w:szCs w:val="24"/>
        </w:rPr>
        <w:t xml:space="preserve"> to provide results of the tests or re-contact them.</w:t>
      </w:r>
      <w:r w:rsidR="00E46590">
        <w:rPr>
          <w:rFonts w:asciiTheme="minorHAnsi" w:hAnsiTheme="minorHAnsi" w:cstheme="minorHAnsi"/>
          <w:color w:val="000000"/>
          <w:sz w:val="24"/>
          <w:szCs w:val="24"/>
        </w:rPr>
        <w:t xml:space="preserve"> Therefore, a</w:t>
      </w:r>
      <w:r w:rsidR="00E46590" w:rsidRPr="00F46D82">
        <w:rPr>
          <w:rFonts w:asciiTheme="minorHAnsi" w:hAnsiTheme="minorHAnsi" w:cstheme="minorHAnsi"/>
          <w:color w:val="000000"/>
          <w:sz w:val="24"/>
          <w:szCs w:val="24"/>
        </w:rPr>
        <w:t>fter delivery</w:t>
      </w:r>
      <w:r w:rsidR="00E46590">
        <w:rPr>
          <w:rFonts w:asciiTheme="minorHAnsi" w:hAnsiTheme="minorHAnsi" w:cstheme="minorHAnsi"/>
          <w:color w:val="000000"/>
          <w:sz w:val="24"/>
          <w:szCs w:val="24"/>
        </w:rPr>
        <w:t xml:space="preserve"> of data to the ATSDR,</w:t>
      </w:r>
      <w:r w:rsidR="00E46590" w:rsidRPr="00F46D82">
        <w:rPr>
          <w:rFonts w:asciiTheme="minorHAnsi" w:hAnsiTheme="minorHAnsi" w:cstheme="minorHAnsi"/>
          <w:color w:val="000000"/>
          <w:sz w:val="24"/>
          <w:szCs w:val="24"/>
        </w:rPr>
        <w:t xml:space="preserve"> </w:t>
      </w:r>
      <w:r w:rsidR="000C4397">
        <w:rPr>
          <w:rFonts w:asciiTheme="minorHAnsi" w:hAnsiTheme="minorHAnsi" w:cstheme="minorHAnsi"/>
          <w:color w:val="000000"/>
          <w:sz w:val="24"/>
          <w:szCs w:val="24"/>
        </w:rPr>
        <w:t>the data will become part of the Privacy Act System of Records Notice (SORN 09-19-0001 – “Records of Persons Exposed or Potentially Exposed to Hazardous Substances”). S</w:t>
      </w:r>
      <w:r w:rsidR="00E46590">
        <w:rPr>
          <w:rFonts w:asciiTheme="minorHAnsi" w:hAnsiTheme="minorHAnsi" w:cstheme="minorHAnsi"/>
          <w:color w:val="000000"/>
          <w:sz w:val="24"/>
          <w:szCs w:val="24"/>
        </w:rPr>
        <w:t>tringent d</w:t>
      </w:r>
      <w:r w:rsidR="00E46590" w:rsidRPr="00F46D82">
        <w:rPr>
          <w:rFonts w:asciiTheme="minorHAnsi" w:hAnsiTheme="minorHAnsi" w:cstheme="minorHAnsi"/>
          <w:sz w:val="24"/>
          <w:szCs w:val="24"/>
        </w:rPr>
        <w:t>ata security</w:t>
      </w:r>
      <w:r w:rsidR="00E46590">
        <w:rPr>
          <w:rFonts w:asciiTheme="minorHAnsi" w:hAnsiTheme="minorHAnsi" w:cstheme="minorHAnsi"/>
          <w:sz w:val="24"/>
          <w:szCs w:val="24"/>
        </w:rPr>
        <w:t xml:space="preserve"> measures</w:t>
      </w:r>
      <w:r w:rsidR="00E46590" w:rsidRPr="00F46D82">
        <w:rPr>
          <w:rFonts w:asciiTheme="minorHAnsi" w:hAnsiTheme="minorHAnsi" w:cstheme="minorHAnsi"/>
          <w:sz w:val="24"/>
          <w:szCs w:val="24"/>
        </w:rPr>
        <w:t xml:space="preserve"> will</w:t>
      </w:r>
      <w:r w:rsidR="00E46590">
        <w:rPr>
          <w:rFonts w:asciiTheme="minorHAnsi" w:hAnsiTheme="minorHAnsi" w:cstheme="minorHAnsi"/>
          <w:sz w:val="24"/>
          <w:szCs w:val="24"/>
        </w:rPr>
        <w:t xml:space="preserve"> be in place, including</w:t>
      </w:r>
      <w:r w:rsidR="00E46590" w:rsidRPr="00F46D82">
        <w:rPr>
          <w:rFonts w:asciiTheme="minorHAnsi" w:hAnsiTheme="minorHAnsi" w:cstheme="minorHAnsi"/>
          <w:sz w:val="24"/>
          <w:szCs w:val="24"/>
        </w:rPr>
        <w:t xml:space="preserve"> administrative, physical, and technical contro</w:t>
      </w:r>
      <w:r w:rsidR="00E46590">
        <w:rPr>
          <w:rFonts w:asciiTheme="minorHAnsi" w:hAnsiTheme="minorHAnsi" w:cstheme="minorHAnsi"/>
          <w:sz w:val="24"/>
          <w:szCs w:val="24"/>
        </w:rPr>
        <w:t>ls as described in Section A.10</w:t>
      </w:r>
      <w:r w:rsidR="00E46590" w:rsidRPr="00F46D82">
        <w:rPr>
          <w:rFonts w:asciiTheme="minorHAnsi" w:hAnsiTheme="minorHAnsi" w:cstheme="minorHAnsi"/>
          <w:color w:val="000000"/>
          <w:sz w:val="24"/>
          <w:szCs w:val="24"/>
        </w:rPr>
        <w:t xml:space="preserve">. </w:t>
      </w:r>
    </w:p>
    <w:p w:rsidR="006C0DD8" w:rsidRDefault="006C0DD8" w:rsidP="00955810">
      <w:pPr>
        <w:spacing w:after="0" w:line="240" w:lineRule="auto"/>
        <w:jc w:val="both"/>
        <w:rPr>
          <w:rFonts w:asciiTheme="minorHAnsi" w:hAnsiTheme="minorHAnsi" w:cstheme="minorHAnsi"/>
          <w:color w:val="000000"/>
          <w:sz w:val="24"/>
          <w:szCs w:val="24"/>
        </w:rPr>
      </w:pPr>
    </w:p>
    <w:p w:rsidR="00E608E5" w:rsidRDefault="006C0DD8" w:rsidP="00955810">
      <w:pPr>
        <w:spacing w:after="0" w:line="240" w:lineRule="auto"/>
        <w:jc w:val="both"/>
        <w:rPr>
          <w:rFonts w:asciiTheme="minorHAnsi" w:hAnsiTheme="minorHAnsi" w:cstheme="minorHAnsi"/>
          <w:color w:val="000000"/>
          <w:sz w:val="24"/>
          <w:szCs w:val="24"/>
        </w:rPr>
      </w:pPr>
      <w:proofErr w:type="gramStart"/>
      <w:r w:rsidRPr="000F5023">
        <w:rPr>
          <w:rFonts w:asciiTheme="minorHAnsi" w:hAnsiTheme="minorHAnsi" w:cstheme="minorHAnsi"/>
          <w:i/>
          <w:color w:val="000000"/>
          <w:sz w:val="24"/>
          <w:szCs w:val="24"/>
        </w:rPr>
        <w:t>Data Sharing.</w:t>
      </w:r>
      <w:proofErr w:type="gramEnd"/>
      <w:r>
        <w:rPr>
          <w:rFonts w:asciiTheme="minorHAnsi" w:hAnsiTheme="minorHAnsi" w:cstheme="minorHAnsi"/>
          <w:color w:val="000000"/>
          <w:sz w:val="24"/>
          <w:szCs w:val="24"/>
        </w:rPr>
        <w:t xml:space="preserve"> </w:t>
      </w:r>
      <w:r w:rsidRPr="006C0DD8">
        <w:rPr>
          <w:rFonts w:asciiTheme="minorHAnsi" w:hAnsiTheme="minorHAnsi" w:cstheme="minorHAnsi"/>
          <w:color w:val="000000"/>
          <w:sz w:val="24"/>
          <w:szCs w:val="24"/>
        </w:rPr>
        <w:t>De-identified research datasets will be available to all study inve</w:t>
      </w:r>
      <w:r>
        <w:rPr>
          <w:rFonts w:asciiTheme="minorHAnsi" w:hAnsiTheme="minorHAnsi" w:cstheme="minorHAnsi"/>
          <w:color w:val="000000"/>
          <w:sz w:val="24"/>
          <w:szCs w:val="24"/>
        </w:rPr>
        <w:t>stigators listed in</w:t>
      </w:r>
      <w:r w:rsidRPr="006C0DD8">
        <w:rPr>
          <w:rFonts w:asciiTheme="minorHAnsi" w:hAnsiTheme="minorHAnsi" w:cstheme="minorHAnsi"/>
          <w:color w:val="000000"/>
          <w:sz w:val="24"/>
          <w:szCs w:val="24"/>
        </w:rPr>
        <w:t xml:space="preserve"> Table 1. </w:t>
      </w:r>
      <w:r w:rsidR="00E608E5">
        <w:rPr>
          <w:rFonts w:asciiTheme="minorHAnsi" w:hAnsiTheme="minorHAnsi" w:cstheme="minorHAnsi"/>
          <w:color w:val="000000"/>
          <w:sz w:val="24"/>
          <w:szCs w:val="24"/>
        </w:rPr>
        <w:t xml:space="preserve">We will de-identify the datasets by removing the following: date of birth, address, former </w:t>
      </w:r>
      <w:proofErr w:type="gramStart"/>
      <w:r w:rsidR="00E608E5">
        <w:rPr>
          <w:rFonts w:asciiTheme="minorHAnsi" w:hAnsiTheme="minorHAnsi" w:cstheme="minorHAnsi"/>
          <w:color w:val="000000"/>
          <w:sz w:val="24"/>
          <w:szCs w:val="24"/>
        </w:rPr>
        <w:t>address</w:t>
      </w:r>
      <w:r w:rsidR="00705220">
        <w:rPr>
          <w:rFonts w:asciiTheme="minorHAnsi" w:hAnsiTheme="minorHAnsi" w:cstheme="minorHAnsi"/>
          <w:color w:val="000000"/>
          <w:sz w:val="24"/>
          <w:szCs w:val="24"/>
        </w:rPr>
        <w:t>(</w:t>
      </w:r>
      <w:proofErr w:type="spellStart"/>
      <w:proofErr w:type="gramEnd"/>
      <w:r w:rsidR="00E608E5">
        <w:rPr>
          <w:rFonts w:asciiTheme="minorHAnsi" w:hAnsiTheme="minorHAnsi" w:cstheme="minorHAnsi"/>
          <w:color w:val="000000"/>
          <w:sz w:val="24"/>
          <w:szCs w:val="24"/>
        </w:rPr>
        <w:t>es</w:t>
      </w:r>
      <w:proofErr w:type="spellEnd"/>
      <w:r w:rsidR="00705220">
        <w:rPr>
          <w:rFonts w:asciiTheme="minorHAnsi" w:hAnsiTheme="minorHAnsi" w:cstheme="minorHAnsi"/>
          <w:color w:val="000000"/>
          <w:sz w:val="24"/>
          <w:szCs w:val="24"/>
        </w:rPr>
        <w:t>), phone number</w:t>
      </w:r>
      <w:r w:rsidR="00E608E5">
        <w:rPr>
          <w:rFonts w:asciiTheme="minorHAnsi" w:hAnsiTheme="minorHAnsi" w:cstheme="minorHAnsi"/>
          <w:color w:val="000000"/>
          <w:sz w:val="24"/>
          <w:szCs w:val="24"/>
        </w:rPr>
        <w:t xml:space="preserve">, </w:t>
      </w:r>
      <w:r w:rsidR="00E608E5" w:rsidRPr="00E608E5">
        <w:rPr>
          <w:rFonts w:asciiTheme="minorHAnsi" w:hAnsiTheme="minorHAnsi" w:cstheme="minorHAnsi"/>
          <w:color w:val="000000"/>
          <w:sz w:val="24"/>
          <w:szCs w:val="24"/>
        </w:rPr>
        <w:t xml:space="preserve">date of the ACHS interview, </w:t>
      </w:r>
      <w:r w:rsidR="000F5023">
        <w:rPr>
          <w:rFonts w:asciiTheme="minorHAnsi" w:hAnsiTheme="minorHAnsi" w:cstheme="minorHAnsi"/>
          <w:color w:val="000000"/>
          <w:sz w:val="24"/>
          <w:szCs w:val="24"/>
        </w:rPr>
        <w:t xml:space="preserve">and </w:t>
      </w:r>
      <w:r w:rsidR="00E608E5" w:rsidRPr="00E608E5">
        <w:rPr>
          <w:rFonts w:asciiTheme="minorHAnsi" w:hAnsiTheme="minorHAnsi" w:cstheme="minorHAnsi"/>
          <w:color w:val="000000"/>
          <w:sz w:val="24"/>
          <w:szCs w:val="24"/>
        </w:rPr>
        <w:t>the original ACHS study ID number</w:t>
      </w:r>
      <w:r w:rsidR="00E608E5">
        <w:rPr>
          <w:rFonts w:asciiTheme="minorHAnsi" w:hAnsiTheme="minorHAnsi" w:cstheme="minorHAnsi"/>
          <w:color w:val="000000"/>
          <w:sz w:val="24"/>
          <w:szCs w:val="24"/>
        </w:rPr>
        <w:t xml:space="preserve">. </w:t>
      </w:r>
      <w:proofErr w:type="gramStart"/>
      <w:r w:rsidR="00E608E5">
        <w:rPr>
          <w:rFonts w:asciiTheme="minorHAnsi" w:hAnsiTheme="minorHAnsi" w:cstheme="minorHAnsi"/>
          <w:color w:val="000000"/>
          <w:sz w:val="24"/>
          <w:szCs w:val="24"/>
        </w:rPr>
        <w:t>Social security number</w:t>
      </w:r>
      <w:r w:rsidR="000F5023">
        <w:rPr>
          <w:rFonts w:asciiTheme="minorHAnsi" w:hAnsiTheme="minorHAnsi" w:cstheme="minorHAnsi"/>
          <w:color w:val="000000"/>
          <w:sz w:val="24"/>
          <w:szCs w:val="24"/>
        </w:rPr>
        <w:t>s</w:t>
      </w:r>
      <w:r w:rsidR="00E608E5">
        <w:rPr>
          <w:rFonts w:asciiTheme="minorHAnsi" w:hAnsiTheme="minorHAnsi" w:cstheme="minorHAnsi"/>
          <w:color w:val="000000"/>
          <w:sz w:val="24"/>
          <w:szCs w:val="24"/>
        </w:rPr>
        <w:t xml:space="preserve"> w</w:t>
      </w:r>
      <w:r w:rsidR="000F5023">
        <w:rPr>
          <w:rFonts w:asciiTheme="minorHAnsi" w:hAnsiTheme="minorHAnsi" w:cstheme="minorHAnsi"/>
          <w:color w:val="000000"/>
          <w:sz w:val="24"/>
          <w:szCs w:val="24"/>
        </w:rPr>
        <w:t>ere</w:t>
      </w:r>
      <w:r w:rsidR="00E608E5">
        <w:rPr>
          <w:rFonts w:asciiTheme="minorHAnsi" w:hAnsiTheme="minorHAnsi" w:cstheme="minorHAnsi"/>
          <w:color w:val="000000"/>
          <w:sz w:val="24"/>
          <w:szCs w:val="24"/>
        </w:rPr>
        <w:t xml:space="preserve"> not collected in </w:t>
      </w:r>
      <w:r w:rsidR="00EF5B11">
        <w:rPr>
          <w:rFonts w:asciiTheme="minorHAnsi" w:hAnsiTheme="minorHAnsi" w:cstheme="minorHAnsi"/>
          <w:color w:val="000000"/>
          <w:sz w:val="24"/>
          <w:szCs w:val="24"/>
        </w:rPr>
        <w:t xml:space="preserve">original </w:t>
      </w:r>
      <w:r w:rsidR="00E608E5">
        <w:rPr>
          <w:rFonts w:asciiTheme="minorHAnsi" w:hAnsiTheme="minorHAnsi" w:cstheme="minorHAnsi"/>
          <w:color w:val="000000"/>
          <w:sz w:val="24"/>
          <w:szCs w:val="24"/>
        </w:rPr>
        <w:t>ACHS and will not be collected in ACHS II either</w:t>
      </w:r>
      <w:r w:rsidR="00705220">
        <w:rPr>
          <w:rFonts w:asciiTheme="minorHAnsi" w:hAnsiTheme="minorHAnsi" w:cstheme="minorHAnsi"/>
          <w:color w:val="000000"/>
          <w:sz w:val="24"/>
          <w:szCs w:val="24"/>
        </w:rPr>
        <w:t>.</w:t>
      </w:r>
      <w:proofErr w:type="gramEnd"/>
      <w:r w:rsidR="00705220">
        <w:rPr>
          <w:rFonts w:asciiTheme="minorHAnsi" w:hAnsiTheme="minorHAnsi" w:cstheme="minorHAnsi"/>
          <w:color w:val="000000"/>
          <w:sz w:val="24"/>
          <w:szCs w:val="24"/>
        </w:rPr>
        <w:t xml:space="preserve"> </w:t>
      </w:r>
      <w:r w:rsidR="00EF5B11">
        <w:rPr>
          <w:rFonts w:asciiTheme="minorHAnsi" w:hAnsiTheme="minorHAnsi" w:cstheme="minorHAnsi"/>
          <w:color w:val="000000"/>
          <w:sz w:val="24"/>
          <w:szCs w:val="24"/>
        </w:rPr>
        <w:t>Age will replace date of birth because it is the necessary variable in exposure and health outcome analyses</w:t>
      </w:r>
      <w:r w:rsidR="00E608E5">
        <w:rPr>
          <w:rFonts w:asciiTheme="minorHAnsi" w:hAnsiTheme="minorHAnsi" w:cstheme="minorHAnsi"/>
          <w:color w:val="000000"/>
          <w:sz w:val="24"/>
          <w:szCs w:val="24"/>
        </w:rPr>
        <w:t xml:space="preserve">. </w:t>
      </w:r>
    </w:p>
    <w:p w:rsidR="00E608E5" w:rsidRDefault="00E608E5" w:rsidP="00955810">
      <w:pPr>
        <w:spacing w:after="0" w:line="240" w:lineRule="auto"/>
        <w:jc w:val="both"/>
        <w:rPr>
          <w:rFonts w:asciiTheme="minorHAnsi" w:hAnsiTheme="minorHAnsi" w:cstheme="minorHAnsi"/>
          <w:color w:val="000000"/>
          <w:sz w:val="24"/>
          <w:szCs w:val="24"/>
        </w:rPr>
      </w:pPr>
    </w:p>
    <w:p w:rsidR="00E608E5" w:rsidRDefault="00E608E5" w:rsidP="00EF5B11">
      <w:pPr>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There will be no public use dataset. </w:t>
      </w:r>
      <w:r w:rsidR="000F5023">
        <w:rPr>
          <w:rFonts w:asciiTheme="minorHAnsi" w:hAnsiTheme="minorHAnsi" w:cstheme="minorHAnsi"/>
          <w:color w:val="000000"/>
          <w:sz w:val="24"/>
          <w:szCs w:val="24"/>
        </w:rPr>
        <w:t>R</w:t>
      </w:r>
      <w:r>
        <w:rPr>
          <w:rFonts w:asciiTheme="minorHAnsi" w:hAnsiTheme="minorHAnsi" w:cstheme="minorHAnsi"/>
          <w:color w:val="000000"/>
          <w:sz w:val="24"/>
          <w:szCs w:val="24"/>
        </w:rPr>
        <w:t xml:space="preserve">elease </w:t>
      </w:r>
      <w:r w:rsidR="000F5023">
        <w:rPr>
          <w:rFonts w:asciiTheme="minorHAnsi" w:hAnsiTheme="minorHAnsi" w:cstheme="minorHAnsi"/>
          <w:color w:val="000000"/>
          <w:sz w:val="24"/>
          <w:szCs w:val="24"/>
        </w:rPr>
        <w:t xml:space="preserve">of </w:t>
      </w:r>
      <w:r>
        <w:rPr>
          <w:rFonts w:asciiTheme="minorHAnsi" w:hAnsiTheme="minorHAnsi" w:cstheme="minorHAnsi"/>
          <w:color w:val="000000"/>
          <w:sz w:val="24"/>
          <w:szCs w:val="24"/>
        </w:rPr>
        <w:t>the de-identified data to outside invest</w:t>
      </w:r>
      <w:r w:rsidR="00EF5B11">
        <w:rPr>
          <w:rFonts w:asciiTheme="minorHAnsi" w:hAnsiTheme="minorHAnsi" w:cstheme="minorHAnsi"/>
          <w:color w:val="000000"/>
          <w:sz w:val="24"/>
          <w:szCs w:val="24"/>
        </w:rPr>
        <w:t xml:space="preserve">igators will have to </w:t>
      </w:r>
      <w:proofErr w:type="gramStart"/>
      <w:r w:rsidR="00EF5B11">
        <w:rPr>
          <w:rFonts w:asciiTheme="minorHAnsi" w:hAnsiTheme="minorHAnsi" w:cstheme="minorHAnsi"/>
          <w:color w:val="000000"/>
          <w:sz w:val="24"/>
          <w:szCs w:val="24"/>
        </w:rPr>
        <w:t>be approved</w:t>
      </w:r>
      <w:proofErr w:type="gramEnd"/>
      <w:r w:rsidR="00EF5B11">
        <w:rPr>
          <w:rFonts w:asciiTheme="minorHAnsi" w:hAnsiTheme="minorHAnsi" w:cstheme="minorHAnsi"/>
          <w:color w:val="000000"/>
          <w:sz w:val="24"/>
          <w:szCs w:val="24"/>
        </w:rPr>
        <w:t xml:space="preserve"> by</w:t>
      </w:r>
      <w:r>
        <w:rPr>
          <w:rFonts w:asciiTheme="minorHAnsi" w:hAnsiTheme="minorHAnsi" w:cstheme="minorHAnsi"/>
          <w:color w:val="000000"/>
          <w:sz w:val="24"/>
          <w:szCs w:val="24"/>
        </w:rPr>
        <w:t xml:space="preserve"> b</w:t>
      </w:r>
      <w:r w:rsidR="006C0DD8" w:rsidRPr="006C0DD8">
        <w:rPr>
          <w:rFonts w:asciiTheme="minorHAnsi" w:hAnsiTheme="minorHAnsi" w:cstheme="minorHAnsi"/>
          <w:color w:val="000000"/>
          <w:sz w:val="24"/>
          <w:szCs w:val="24"/>
        </w:rPr>
        <w:t>oth the ATSDR PI and the lead co-investigator a</w:t>
      </w:r>
      <w:r w:rsidR="00EF5B11">
        <w:rPr>
          <w:rFonts w:asciiTheme="minorHAnsi" w:hAnsiTheme="minorHAnsi" w:cstheme="minorHAnsi"/>
          <w:color w:val="000000"/>
          <w:sz w:val="24"/>
          <w:szCs w:val="24"/>
        </w:rPr>
        <w:t>t NIH (Dr. Linda Birnbaum)</w:t>
      </w:r>
      <w:r w:rsidR="006C0DD8" w:rsidRPr="006C0DD8">
        <w:rPr>
          <w:rFonts w:asciiTheme="minorHAnsi" w:hAnsiTheme="minorHAnsi" w:cstheme="minorHAnsi"/>
          <w:color w:val="000000"/>
          <w:sz w:val="24"/>
          <w:szCs w:val="24"/>
        </w:rPr>
        <w:t>. A data use agreement</w:t>
      </w:r>
      <w:r w:rsidR="00EF5B11">
        <w:rPr>
          <w:rFonts w:asciiTheme="minorHAnsi" w:hAnsiTheme="minorHAnsi" w:cstheme="minorHAnsi"/>
          <w:color w:val="000000"/>
          <w:sz w:val="24"/>
          <w:szCs w:val="24"/>
        </w:rPr>
        <w:t xml:space="preserve"> (DUA)</w:t>
      </w:r>
      <w:r w:rsidR="006C0DD8" w:rsidRPr="006C0DD8">
        <w:rPr>
          <w:rFonts w:asciiTheme="minorHAnsi" w:hAnsiTheme="minorHAnsi" w:cstheme="minorHAnsi"/>
          <w:color w:val="000000"/>
          <w:sz w:val="24"/>
          <w:szCs w:val="24"/>
        </w:rPr>
        <w:t xml:space="preserve"> will be prepared</w:t>
      </w:r>
      <w:r w:rsidR="000F5023">
        <w:rPr>
          <w:rFonts w:asciiTheme="minorHAnsi" w:hAnsiTheme="minorHAnsi" w:cstheme="minorHAnsi"/>
          <w:color w:val="000000"/>
          <w:sz w:val="24"/>
          <w:szCs w:val="24"/>
        </w:rPr>
        <w:t>,</w:t>
      </w:r>
      <w:r w:rsidR="006C0DD8" w:rsidRPr="006C0DD8">
        <w:rPr>
          <w:rFonts w:asciiTheme="minorHAnsi" w:hAnsiTheme="minorHAnsi" w:cstheme="minorHAnsi"/>
          <w:color w:val="000000"/>
          <w:sz w:val="24"/>
          <w:szCs w:val="24"/>
        </w:rPr>
        <w:t xml:space="preserve"> detailing the condition of use of the data and proposed analyses for each outside project. </w:t>
      </w:r>
      <w:proofErr w:type="gramStart"/>
      <w:r w:rsidR="00EF5B11" w:rsidRPr="00EF5B11">
        <w:rPr>
          <w:rFonts w:asciiTheme="minorHAnsi" w:hAnsiTheme="minorHAnsi" w:cstheme="minorHAnsi"/>
          <w:color w:val="000000"/>
          <w:sz w:val="24"/>
          <w:szCs w:val="24"/>
        </w:rPr>
        <w:t xml:space="preserve">The DUA </w:t>
      </w:r>
      <w:r w:rsidR="003D5D84">
        <w:rPr>
          <w:rFonts w:asciiTheme="minorHAnsi" w:hAnsiTheme="minorHAnsi" w:cstheme="minorHAnsi"/>
          <w:color w:val="000000"/>
          <w:sz w:val="24"/>
          <w:szCs w:val="24"/>
        </w:rPr>
        <w:t>condition of use will specify</w:t>
      </w:r>
      <w:r w:rsidR="00EF5B11">
        <w:rPr>
          <w:rFonts w:asciiTheme="minorHAnsi" w:hAnsiTheme="minorHAnsi" w:cstheme="minorHAnsi"/>
          <w:color w:val="000000"/>
          <w:sz w:val="24"/>
          <w:szCs w:val="24"/>
        </w:rPr>
        <w:t xml:space="preserve"> that: 1. O</w:t>
      </w:r>
      <w:r w:rsidR="00EF5B11" w:rsidRPr="00EF5B11">
        <w:rPr>
          <w:rFonts w:asciiTheme="minorHAnsi" w:hAnsiTheme="minorHAnsi" w:cstheme="minorHAnsi"/>
          <w:color w:val="000000"/>
          <w:sz w:val="24"/>
          <w:szCs w:val="24"/>
        </w:rPr>
        <w:t>ur data cannot be merged with public data in such a w</w:t>
      </w:r>
      <w:r w:rsidR="000F5023">
        <w:rPr>
          <w:rFonts w:asciiTheme="minorHAnsi" w:hAnsiTheme="minorHAnsi" w:cstheme="minorHAnsi"/>
          <w:color w:val="000000"/>
          <w:sz w:val="24"/>
          <w:szCs w:val="24"/>
        </w:rPr>
        <w:t>ay</w:t>
      </w:r>
      <w:r w:rsidR="00EF5B11" w:rsidRPr="00EF5B11">
        <w:rPr>
          <w:rFonts w:asciiTheme="minorHAnsi" w:hAnsiTheme="minorHAnsi" w:cstheme="minorHAnsi"/>
          <w:color w:val="000000"/>
          <w:sz w:val="24"/>
          <w:szCs w:val="24"/>
        </w:rPr>
        <w:t xml:space="preserve"> tha</w:t>
      </w:r>
      <w:r w:rsidR="00EF5B11">
        <w:rPr>
          <w:rFonts w:asciiTheme="minorHAnsi" w:hAnsiTheme="minorHAnsi" w:cstheme="minorHAnsi"/>
          <w:color w:val="000000"/>
          <w:sz w:val="24"/>
          <w:szCs w:val="24"/>
        </w:rPr>
        <w:t>t individuals may be identified; 2. O</w:t>
      </w:r>
      <w:r w:rsidR="00EF5B11" w:rsidRPr="00EF5B11">
        <w:rPr>
          <w:rFonts w:asciiTheme="minorHAnsi" w:hAnsiTheme="minorHAnsi" w:cstheme="minorHAnsi"/>
          <w:color w:val="000000"/>
          <w:sz w:val="24"/>
          <w:szCs w:val="24"/>
        </w:rPr>
        <w:t>ur data cannot be enhanced with public data sets with identifiable, or</w:t>
      </w:r>
      <w:r w:rsidR="00EF5B11">
        <w:rPr>
          <w:rFonts w:asciiTheme="minorHAnsi" w:hAnsiTheme="minorHAnsi" w:cstheme="minorHAnsi"/>
          <w:color w:val="000000"/>
          <w:sz w:val="24"/>
          <w:szCs w:val="24"/>
        </w:rPr>
        <w:t xml:space="preserve"> potentially identifiable, data; 3.</w:t>
      </w:r>
      <w:r w:rsidR="003D5D84">
        <w:rPr>
          <w:rFonts w:asciiTheme="minorHAnsi" w:hAnsiTheme="minorHAnsi" w:cstheme="minorHAnsi"/>
          <w:color w:val="000000"/>
          <w:sz w:val="24"/>
          <w:szCs w:val="24"/>
        </w:rPr>
        <w:t xml:space="preserve"> </w:t>
      </w:r>
      <w:r w:rsidR="00EF5B11">
        <w:rPr>
          <w:rFonts w:asciiTheme="minorHAnsi" w:hAnsiTheme="minorHAnsi" w:cstheme="minorHAnsi"/>
          <w:color w:val="000000"/>
          <w:sz w:val="24"/>
          <w:szCs w:val="24"/>
        </w:rPr>
        <w:t xml:space="preserve">One of </w:t>
      </w:r>
      <w:r w:rsidR="000F5023">
        <w:rPr>
          <w:rFonts w:asciiTheme="minorHAnsi" w:hAnsiTheme="minorHAnsi" w:cstheme="minorHAnsi"/>
          <w:color w:val="000000"/>
          <w:sz w:val="24"/>
          <w:szCs w:val="24"/>
        </w:rPr>
        <w:t xml:space="preserve">the </w:t>
      </w:r>
      <w:r w:rsidR="00EF5B11">
        <w:rPr>
          <w:rFonts w:asciiTheme="minorHAnsi" w:hAnsiTheme="minorHAnsi" w:cstheme="minorHAnsi"/>
          <w:color w:val="000000"/>
          <w:sz w:val="24"/>
          <w:szCs w:val="24"/>
        </w:rPr>
        <w:t xml:space="preserve">study investigators listed in Table 1 must be a co-investigator on </w:t>
      </w:r>
      <w:r w:rsidR="000F5023">
        <w:rPr>
          <w:rFonts w:asciiTheme="minorHAnsi" w:hAnsiTheme="minorHAnsi" w:cstheme="minorHAnsi"/>
          <w:color w:val="000000"/>
          <w:sz w:val="24"/>
          <w:szCs w:val="24"/>
        </w:rPr>
        <w:t xml:space="preserve">any </w:t>
      </w:r>
      <w:r w:rsidR="00DA5BCF">
        <w:rPr>
          <w:rFonts w:asciiTheme="minorHAnsi" w:hAnsiTheme="minorHAnsi" w:cstheme="minorHAnsi"/>
          <w:color w:val="000000"/>
          <w:sz w:val="24"/>
          <w:szCs w:val="24"/>
        </w:rPr>
        <w:t>outside</w:t>
      </w:r>
      <w:r w:rsidR="00EF5B11">
        <w:rPr>
          <w:rFonts w:asciiTheme="minorHAnsi" w:hAnsiTheme="minorHAnsi" w:cstheme="minorHAnsi"/>
          <w:color w:val="000000"/>
          <w:sz w:val="24"/>
          <w:szCs w:val="24"/>
        </w:rPr>
        <w:t xml:space="preserve"> research project to guarantee adherence to </w:t>
      </w:r>
      <w:r w:rsidR="00DA5BCF">
        <w:rPr>
          <w:rFonts w:asciiTheme="minorHAnsi" w:hAnsiTheme="minorHAnsi" w:cstheme="minorHAnsi"/>
          <w:color w:val="000000"/>
          <w:sz w:val="24"/>
          <w:szCs w:val="24"/>
        </w:rPr>
        <w:t xml:space="preserve">the </w:t>
      </w:r>
      <w:r w:rsidR="00EF5B11">
        <w:rPr>
          <w:rFonts w:asciiTheme="minorHAnsi" w:hAnsiTheme="minorHAnsi" w:cstheme="minorHAnsi"/>
          <w:color w:val="000000"/>
          <w:sz w:val="24"/>
          <w:szCs w:val="24"/>
        </w:rPr>
        <w:t>agreed conditions of use; 4. E</w:t>
      </w:r>
      <w:r w:rsidR="00EF5B11" w:rsidRPr="006C0DD8">
        <w:rPr>
          <w:rFonts w:asciiTheme="minorHAnsi" w:hAnsiTheme="minorHAnsi" w:cstheme="minorHAnsi"/>
          <w:color w:val="000000"/>
          <w:sz w:val="24"/>
          <w:szCs w:val="24"/>
        </w:rPr>
        <w:t>ach data release will be cleared by a specific IRB request to the investigator’s home institutio</w:t>
      </w:r>
      <w:r w:rsidR="00EF5B11">
        <w:rPr>
          <w:rFonts w:asciiTheme="minorHAnsi" w:hAnsiTheme="minorHAnsi" w:cstheme="minorHAnsi"/>
          <w:color w:val="000000"/>
          <w:sz w:val="24"/>
          <w:szCs w:val="24"/>
        </w:rPr>
        <w:t>n prior to data release.</w:t>
      </w:r>
      <w:proofErr w:type="gramEnd"/>
    </w:p>
    <w:p w:rsidR="00E608E5" w:rsidRDefault="00E608E5" w:rsidP="00955810">
      <w:pPr>
        <w:spacing w:after="0" w:line="240" w:lineRule="auto"/>
        <w:jc w:val="both"/>
        <w:rPr>
          <w:rFonts w:asciiTheme="minorHAnsi" w:hAnsiTheme="minorHAnsi" w:cstheme="minorHAnsi"/>
          <w:color w:val="000000"/>
          <w:sz w:val="24"/>
          <w:szCs w:val="24"/>
        </w:rPr>
      </w:pPr>
    </w:p>
    <w:p w:rsidR="006C0DD8" w:rsidRPr="00F46D82" w:rsidRDefault="006C0DD8" w:rsidP="00955810">
      <w:pPr>
        <w:spacing w:after="0" w:line="240" w:lineRule="auto"/>
        <w:jc w:val="both"/>
        <w:rPr>
          <w:rFonts w:asciiTheme="minorHAnsi" w:hAnsiTheme="minorHAnsi" w:cstheme="minorHAnsi"/>
          <w:color w:val="000000"/>
          <w:sz w:val="24"/>
          <w:szCs w:val="24"/>
        </w:rPr>
      </w:pPr>
      <w:r w:rsidRPr="006C0DD8">
        <w:rPr>
          <w:rFonts w:asciiTheme="minorHAnsi" w:hAnsiTheme="minorHAnsi" w:cstheme="minorHAnsi"/>
          <w:color w:val="000000"/>
          <w:sz w:val="24"/>
          <w:szCs w:val="24"/>
        </w:rPr>
        <w:t xml:space="preserve">After the approved project with the outside researchers is completed, further or secondary analyses of electronic datasets will not </w:t>
      </w:r>
      <w:proofErr w:type="gramStart"/>
      <w:r w:rsidRPr="006C0DD8">
        <w:rPr>
          <w:rFonts w:asciiTheme="minorHAnsi" w:hAnsiTheme="minorHAnsi" w:cstheme="minorHAnsi"/>
          <w:color w:val="000000"/>
          <w:sz w:val="24"/>
          <w:szCs w:val="24"/>
        </w:rPr>
        <w:t>be permitted</w:t>
      </w:r>
      <w:proofErr w:type="gramEnd"/>
      <w:r w:rsidRPr="006C0DD8">
        <w:rPr>
          <w:rFonts w:asciiTheme="minorHAnsi" w:hAnsiTheme="minorHAnsi" w:cstheme="minorHAnsi"/>
          <w:color w:val="000000"/>
          <w:sz w:val="24"/>
          <w:szCs w:val="24"/>
        </w:rPr>
        <w:t xml:space="preserve"> and can only be undertaken with additional approval(s). Written confirmation of understanding the conditions of use </w:t>
      </w:r>
      <w:r w:rsidR="000F5023" w:rsidRPr="006C0DD8">
        <w:rPr>
          <w:rFonts w:asciiTheme="minorHAnsi" w:hAnsiTheme="minorHAnsi" w:cstheme="minorHAnsi"/>
          <w:color w:val="000000"/>
          <w:sz w:val="24"/>
          <w:szCs w:val="24"/>
        </w:rPr>
        <w:t xml:space="preserve">will be required </w:t>
      </w:r>
      <w:r w:rsidRPr="006C0DD8">
        <w:rPr>
          <w:rFonts w:asciiTheme="minorHAnsi" w:hAnsiTheme="minorHAnsi" w:cstheme="minorHAnsi"/>
          <w:color w:val="000000"/>
          <w:sz w:val="24"/>
          <w:szCs w:val="24"/>
        </w:rPr>
        <w:t xml:space="preserve">from the lead scientist and institution. Copies of statistical code and datasets used in statistical analyses by the outside investigators </w:t>
      </w:r>
      <w:proofErr w:type="gramStart"/>
      <w:r w:rsidRPr="006C0DD8">
        <w:rPr>
          <w:rFonts w:asciiTheme="minorHAnsi" w:hAnsiTheme="minorHAnsi" w:cstheme="minorHAnsi"/>
          <w:color w:val="000000"/>
          <w:sz w:val="24"/>
          <w:szCs w:val="24"/>
        </w:rPr>
        <w:t>will be kept</w:t>
      </w:r>
      <w:proofErr w:type="gramEnd"/>
      <w:r w:rsidRPr="006C0DD8">
        <w:rPr>
          <w:rFonts w:asciiTheme="minorHAnsi" w:hAnsiTheme="minorHAnsi" w:cstheme="minorHAnsi"/>
          <w:color w:val="000000"/>
          <w:sz w:val="24"/>
          <w:szCs w:val="24"/>
        </w:rPr>
        <w:t xml:space="preserve"> by ATSDR</w:t>
      </w:r>
      <w:r>
        <w:rPr>
          <w:rFonts w:asciiTheme="minorHAnsi" w:hAnsiTheme="minorHAnsi" w:cstheme="minorHAnsi"/>
          <w:color w:val="000000"/>
          <w:sz w:val="24"/>
          <w:szCs w:val="24"/>
        </w:rPr>
        <w:t>/NIH</w:t>
      </w:r>
      <w:r w:rsidRPr="006C0DD8">
        <w:rPr>
          <w:rFonts w:asciiTheme="minorHAnsi" w:hAnsiTheme="minorHAnsi" w:cstheme="minorHAnsi"/>
          <w:color w:val="000000"/>
          <w:sz w:val="24"/>
          <w:szCs w:val="24"/>
        </w:rPr>
        <w:t>.</w:t>
      </w:r>
    </w:p>
    <w:p w:rsidR="0064210D" w:rsidRPr="00F46D82" w:rsidRDefault="00063A39" w:rsidP="00CD6773">
      <w:pPr>
        <w:pStyle w:val="Heading2"/>
        <w:spacing w:before="360" w:line="240" w:lineRule="auto"/>
        <w:rPr>
          <w:rFonts w:asciiTheme="minorHAnsi" w:hAnsiTheme="minorHAnsi" w:cstheme="minorHAnsi"/>
        </w:rPr>
      </w:pPr>
      <w:bookmarkStart w:id="18" w:name="_Toc296699087"/>
      <w:bookmarkStart w:id="19" w:name="_Toc349489245"/>
      <w:r w:rsidRPr="00F46D82">
        <w:rPr>
          <w:rFonts w:asciiTheme="minorHAnsi" w:hAnsiTheme="minorHAnsi" w:cstheme="minorHAnsi"/>
        </w:rPr>
        <w:t>A.</w:t>
      </w:r>
      <w:r w:rsidR="00020EFF" w:rsidRPr="00F46D82">
        <w:rPr>
          <w:rFonts w:asciiTheme="minorHAnsi" w:hAnsiTheme="minorHAnsi" w:cstheme="minorHAnsi"/>
        </w:rPr>
        <w:t>3. Use of Improved Information Technology and Burden Reduction</w:t>
      </w:r>
      <w:bookmarkEnd w:id="18"/>
      <w:bookmarkEnd w:id="19"/>
      <w:r w:rsidR="00020EFF" w:rsidRPr="00F46D82">
        <w:rPr>
          <w:rFonts w:asciiTheme="minorHAnsi" w:hAnsiTheme="minorHAnsi" w:cstheme="minorHAnsi"/>
        </w:rPr>
        <w:t xml:space="preserve"> </w:t>
      </w:r>
    </w:p>
    <w:p w:rsidR="0064210D" w:rsidRPr="00F46D82" w:rsidRDefault="0064210D" w:rsidP="002E799F">
      <w:pPr>
        <w:autoSpaceDE w:val="0"/>
        <w:autoSpaceDN w:val="0"/>
        <w:adjustRightInd w:val="0"/>
        <w:spacing w:after="0" w:line="240" w:lineRule="auto"/>
        <w:jc w:val="both"/>
        <w:rPr>
          <w:rFonts w:asciiTheme="minorHAnsi" w:hAnsiTheme="minorHAnsi" w:cstheme="minorHAnsi"/>
          <w:color w:val="000000"/>
          <w:sz w:val="24"/>
          <w:szCs w:val="24"/>
        </w:rPr>
      </w:pPr>
    </w:p>
    <w:p w:rsidR="001935A6" w:rsidRPr="007403CB" w:rsidRDefault="004A1EF6" w:rsidP="007403CB">
      <w:pPr>
        <w:pStyle w:val="PlainText"/>
        <w:jc w:val="both"/>
        <w:rPr>
          <w:rFonts w:asciiTheme="minorHAnsi" w:hAnsiTheme="minorHAnsi" w:cstheme="minorHAnsi"/>
          <w:sz w:val="24"/>
          <w:szCs w:val="24"/>
        </w:rPr>
      </w:pPr>
      <w:r w:rsidRPr="00F46D82">
        <w:rPr>
          <w:rFonts w:asciiTheme="minorHAnsi" w:hAnsiTheme="minorHAnsi" w:cstheme="minorHAnsi"/>
          <w:color w:val="000000"/>
          <w:sz w:val="24"/>
          <w:szCs w:val="24"/>
        </w:rPr>
        <w:t xml:space="preserve">This IC will use a variety of </w:t>
      </w:r>
      <w:r w:rsidR="00AC3A33">
        <w:rPr>
          <w:rFonts w:asciiTheme="minorHAnsi" w:hAnsiTheme="minorHAnsi" w:cstheme="minorHAnsi"/>
          <w:color w:val="000000"/>
          <w:sz w:val="24"/>
          <w:szCs w:val="24"/>
        </w:rPr>
        <w:t xml:space="preserve">IC </w:t>
      </w:r>
      <w:r w:rsidRPr="00F46D82">
        <w:rPr>
          <w:rFonts w:asciiTheme="minorHAnsi" w:hAnsiTheme="minorHAnsi" w:cstheme="minorHAnsi"/>
          <w:color w:val="000000"/>
          <w:sz w:val="24"/>
          <w:szCs w:val="24"/>
        </w:rPr>
        <w:t>modes to assure data quality</w:t>
      </w:r>
      <w:r w:rsidR="0074459E">
        <w:rPr>
          <w:rFonts w:asciiTheme="minorHAnsi" w:hAnsiTheme="minorHAnsi" w:cstheme="minorHAnsi"/>
          <w:color w:val="000000"/>
          <w:sz w:val="24"/>
          <w:szCs w:val="24"/>
        </w:rPr>
        <w:t xml:space="preserve"> and to reduce burden</w:t>
      </w:r>
      <w:r w:rsidRPr="00F46D82">
        <w:rPr>
          <w:rFonts w:asciiTheme="minorHAnsi" w:hAnsiTheme="minorHAnsi" w:cstheme="minorHAnsi"/>
          <w:color w:val="000000"/>
          <w:sz w:val="24"/>
          <w:szCs w:val="24"/>
        </w:rPr>
        <w:t xml:space="preserve">. </w:t>
      </w:r>
      <w:r w:rsidR="00915FF1" w:rsidRPr="00F46D82">
        <w:rPr>
          <w:rFonts w:asciiTheme="minorHAnsi" w:hAnsiTheme="minorHAnsi" w:cstheme="minorHAnsi"/>
          <w:color w:val="000000"/>
          <w:sz w:val="24"/>
          <w:szCs w:val="24"/>
        </w:rPr>
        <w:t>T</w:t>
      </w:r>
      <w:r w:rsidR="00C8187A" w:rsidRPr="00F46D82">
        <w:rPr>
          <w:rFonts w:asciiTheme="minorHAnsi" w:hAnsiTheme="minorHAnsi" w:cstheme="minorHAnsi"/>
          <w:color w:val="000000"/>
          <w:sz w:val="24"/>
          <w:szCs w:val="24"/>
        </w:rPr>
        <w:t>he estimated annualized burden for this IC is 2</w:t>
      </w:r>
      <w:r w:rsidR="00CC4F2E">
        <w:rPr>
          <w:rFonts w:asciiTheme="minorHAnsi" w:hAnsiTheme="minorHAnsi" w:cstheme="minorHAnsi"/>
          <w:color w:val="000000"/>
          <w:sz w:val="24"/>
          <w:szCs w:val="24"/>
        </w:rPr>
        <w:t>26</w:t>
      </w:r>
      <w:r w:rsidR="00C8187A" w:rsidRPr="00F46D82">
        <w:rPr>
          <w:rFonts w:asciiTheme="minorHAnsi" w:hAnsiTheme="minorHAnsi" w:cstheme="minorHAnsi"/>
          <w:color w:val="000000"/>
          <w:sz w:val="24"/>
          <w:szCs w:val="24"/>
        </w:rPr>
        <w:t xml:space="preserve"> hours</w:t>
      </w:r>
      <w:r w:rsidR="00915FF1" w:rsidRPr="00F46D82">
        <w:rPr>
          <w:rFonts w:asciiTheme="minorHAnsi" w:hAnsiTheme="minorHAnsi" w:cstheme="minorHAnsi"/>
          <w:color w:val="000000"/>
          <w:sz w:val="24"/>
          <w:szCs w:val="24"/>
        </w:rPr>
        <w:t xml:space="preserve"> (see Section A.12)</w:t>
      </w:r>
      <w:r w:rsidR="00C8187A" w:rsidRPr="00F46D82">
        <w:rPr>
          <w:rFonts w:asciiTheme="minorHAnsi" w:hAnsiTheme="minorHAnsi" w:cstheme="minorHAnsi"/>
          <w:color w:val="000000"/>
          <w:sz w:val="24"/>
          <w:szCs w:val="24"/>
        </w:rPr>
        <w:t xml:space="preserve">. Of these hours, </w:t>
      </w:r>
      <w:proofErr w:type="gramStart"/>
      <w:r w:rsidR="00742E1C" w:rsidRPr="00F46D82">
        <w:rPr>
          <w:rFonts w:asciiTheme="minorHAnsi" w:hAnsiTheme="minorHAnsi" w:cstheme="minorHAnsi"/>
          <w:color w:val="000000"/>
          <w:sz w:val="24"/>
          <w:szCs w:val="24"/>
        </w:rPr>
        <w:t xml:space="preserve">an estimated </w:t>
      </w:r>
      <w:r w:rsidR="000376FF">
        <w:rPr>
          <w:rFonts w:asciiTheme="minorHAnsi" w:hAnsiTheme="minorHAnsi" w:cstheme="minorHAnsi"/>
          <w:color w:val="000000"/>
          <w:sz w:val="24"/>
          <w:szCs w:val="24"/>
        </w:rPr>
        <w:t>91.2</w:t>
      </w:r>
      <w:r w:rsidR="00C8187A" w:rsidRPr="00F46D82">
        <w:rPr>
          <w:rFonts w:asciiTheme="minorHAnsi" w:hAnsiTheme="minorHAnsi" w:cstheme="minorHAnsi"/>
          <w:color w:val="000000"/>
          <w:sz w:val="24"/>
          <w:szCs w:val="24"/>
        </w:rPr>
        <w:t>%</w:t>
      </w:r>
      <w:r w:rsidR="00FB5420" w:rsidRPr="00F46D82">
        <w:rPr>
          <w:rFonts w:asciiTheme="minorHAnsi" w:hAnsiTheme="minorHAnsi" w:cstheme="minorHAnsi"/>
          <w:color w:val="000000"/>
          <w:sz w:val="24"/>
          <w:szCs w:val="24"/>
        </w:rPr>
        <w:t xml:space="preserve"> percent of </w:t>
      </w:r>
      <w:r w:rsidR="00F82859" w:rsidRPr="00F46D82">
        <w:rPr>
          <w:rFonts w:asciiTheme="minorHAnsi" w:hAnsiTheme="minorHAnsi" w:cstheme="minorHAnsi"/>
          <w:color w:val="000000"/>
          <w:sz w:val="24"/>
          <w:szCs w:val="24"/>
        </w:rPr>
        <w:t xml:space="preserve">the </w:t>
      </w:r>
      <w:r w:rsidR="005C1D9B" w:rsidRPr="00F46D82">
        <w:rPr>
          <w:rFonts w:asciiTheme="minorHAnsi" w:hAnsiTheme="minorHAnsi" w:cstheme="minorHAnsi"/>
          <w:color w:val="000000"/>
          <w:sz w:val="24"/>
          <w:szCs w:val="24"/>
        </w:rPr>
        <w:t xml:space="preserve">total </w:t>
      </w:r>
      <w:r w:rsidR="00F82859" w:rsidRPr="00F46D82">
        <w:rPr>
          <w:rFonts w:asciiTheme="minorHAnsi" w:hAnsiTheme="minorHAnsi" w:cstheme="minorHAnsi"/>
          <w:color w:val="000000"/>
          <w:sz w:val="24"/>
          <w:szCs w:val="24"/>
        </w:rPr>
        <w:t xml:space="preserve">burden hours for </w:t>
      </w:r>
      <w:r w:rsidR="00FB5420" w:rsidRPr="00F46D82">
        <w:rPr>
          <w:rFonts w:asciiTheme="minorHAnsi" w:hAnsiTheme="minorHAnsi" w:cstheme="minorHAnsi"/>
          <w:color w:val="000000"/>
          <w:sz w:val="24"/>
          <w:szCs w:val="24"/>
        </w:rPr>
        <w:t>this IC will be collected by electronic reporting</w:t>
      </w:r>
      <w:proofErr w:type="gramEnd"/>
      <w:r w:rsidR="00C8187A" w:rsidRPr="00F46D82">
        <w:rPr>
          <w:rFonts w:asciiTheme="minorHAnsi" w:hAnsiTheme="minorHAnsi" w:cstheme="minorHAnsi"/>
          <w:color w:val="000000"/>
          <w:sz w:val="24"/>
          <w:szCs w:val="24"/>
        </w:rPr>
        <w:t>. The</w:t>
      </w:r>
      <w:r w:rsidR="00A04E40" w:rsidRPr="00F46D82">
        <w:rPr>
          <w:rFonts w:asciiTheme="minorHAnsi" w:hAnsiTheme="minorHAnsi" w:cstheme="minorHAnsi"/>
          <w:color w:val="000000"/>
          <w:sz w:val="24"/>
          <w:szCs w:val="24"/>
        </w:rPr>
        <w:t xml:space="preserve"> following forms </w:t>
      </w:r>
      <w:proofErr w:type="gramStart"/>
      <w:r w:rsidR="00A04E40" w:rsidRPr="00F46D82">
        <w:rPr>
          <w:rFonts w:asciiTheme="minorHAnsi" w:hAnsiTheme="minorHAnsi" w:cstheme="minorHAnsi"/>
          <w:color w:val="000000"/>
          <w:sz w:val="24"/>
          <w:szCs w:val="24"/>
        </w:rPr>
        <w:t>will be administer</w:t>
      </w:r>
      <w:r w:rsidR="00C8187A" w:rsidRPr="00F46D82">
        <w:rPr>
          <w:rFonts w:asciiTheme="minorHAnsi" w:hAnsiTheme="minorHAnsi" w:cstheme="minorHAnsi"/>
          <w:color w:val="000000"/>
          <w:sz w:val="24"/>
          <w:szCs w:val="24"/>
        </w:rPr>
        <w:t>ed</w:t>
      </w:r>
      <w:proofErr w:type="gramEnd"/>
      <w:r w:rsidR="00C8187A" w:rsidRPr="00F46D82">
        <w:rPr>
          <w:rFonts w:asciiTheme="minorHAnsi" w:hAnsiTheme="minorHAnsi" w:cstheme="minorHAnsi"/>
          <w:color w:val="000000"/>
          <w:sz w:val="24"/>
          <w:szCs w:val="24"/>
        </w:rPr>
        <w:t xml:space="preserve"> by CATI: Recruitment Telephone Script (Attachment </w:t>
      </w:r>
      <w:r w:rsidR="004B7C49" w:rsidRPr="00F46D82">
        <w:rPr>
          <w:rFonts w:asciiTheme="minorHAnsi" w:hAnsiTheme="minorHAnsi" w:cstheme="minorHAnsi"/>
          <w:color w:val="000000"/>
          <w:sz w:val="24"/>
          <w:szCs w:val="24"/>
        </w:rPr>
        <w:t>3.3) and Survey for Refusals (Attachment 3.4). The following form</w:t>
      </w:r>
      <w:r w:rsidR="000F3E0A" w:rsidRPr="00F46D82">
        <w:rPr>
          <w:rFonts w:asciiTheme="minorHAnsi" w:hAnsiTheme="minorHAnsi" w:cstheme="minorHAnsi"/>
          <w:color w:val="000000"/>
          <w:sz w:val="24"/>
          <w:szCs w:val="24"/>
        </w:rPr>
        <w:t>s</w:t>
      </w:r>
      <w:r w:rsidR="00A04E40" w:rsidRPr="00F46D82">
        <w:rPr>
          <w:rFonts w:asciiTheme="minorHAnsi" w:hAnsiTheme="minorHAnsi" w:cstheme="minorHAnsi"/>
          <w:color w:val="000000"/>
          <w:sz w:val="24"/>
          <w:szCs w:val="24"/>
        </w:rPr>
        <w:t xml:space="preserve"> </w:t>
      </w:r>
      <w:proofErr w:type="gramStart"/>
      <w:r w:rsidR="00A04E40" w:rsidRPr="00F46D82">
        <w:rPr>
          <w:rFonts w:asciiTheme="minorHAnsi" w:hAnsiTheme="minorHAnsi" w:cstheme="minorHAnsi"/>
          <w:color w:val="000000"/>
          <w:sz w:val="24"/>
          <w:szCs w:val="24"/>
        </w:rPr>
        <w:t xml:space="preserve">will be </w:t>
      </w:r>
      <w:r w:rsidR="00A04E40" w:rsidRPr="00E23EFE">
        <w:rPr>
          <w:rFonts w:asciiTheme="minorHAnsi" w:hAnsiTheme="minorHAnsi" w:cstheme="minorHAnsi"/>
          <w:color w:val="000000"/>
          <w:sz w:val="24"/>
          <w:szCs w:val="24"/>
        </w:rPr>
        <w:t>administer</w:t>
      </w:r>
      <w:r w:rsidR="004B7C49" w:rsidRPr="00E23EFE">
        <w:rPr>
          <w:rFonts w:asciiTheme="minorHAnsi" w:hAnsiTheme="minorHAnsi" w:cstheme="minorHAnsi"/>
          <w:color w:val="000000"/>
          <w:sz w:val="24"/>
          <w:szCs w:val="24"/>
        </w:rPr>
        <w:t>ed</w:t>
      </w:r>
      <w:proofErr w:type="gramEnd"/>
      <w:r w:rsidR="004B7C49" w:rsidRPr="00E23EFE">
        <w:rPr>
          <w:rFonts w:asciiTheme="minorHAnsi" w:hAnsiTheme="minorHAnsi" w:cstheme="minorHAnsi"/>
          <w:color w:val="000000"/>
          <w:sz w:val="24"/>
          <w:szCs w:val="24"/>
        </w:rPr>
        <w:t xml:space="preserve"> by CAPI: Update Contact Information Form (Attachment 3.9) and Questionnaire (Attachment 3.13).</w:t>
      </w:r>
      <w:r w:rsidR="00E23EFE" w:rsidRPr="00493321">
        <w:rPr>
          <w:rFonts w:asciiTheme="minorHAnsi" w:hAnsiTheme="minorHAnsi" w:cstheme="minorHAnsi"/>
          <w:color w:val="000000"/>
          <w:sz w:val="24"/>
          <w:szCs w:val="24"/>
        </w:rPr>
        <w:t xml:space="preserve"> </w:t>
      </w:r>
      <w:r w:rsidR="001935A6" w:rsidRPr="007403CB">
        <w:rPr>
          <w:rFonts w:asciiTheme="minorHAnsi" w:hAnsiTheme="minorHAnsi" w:cstheme="minorHAnsi"/>
          <w:sz w:val="24"/>
          <w:szCs w:val="24"/>
        </w:rPr>
        <w:t xml:space="preserve">The following IC forms </w:t>
      </w:r>
      <w:proofErr w:type="gramStart"/>
      <w:r w:rsidR="001935A6" w:rsidRPr="007403CB">
        <w:rPr>
          <w:rFonts w:asciiTheme="minorHAnsi" w:hAnsiTheme="minorHAnsi" w:cstheme="minorHAnsi"/>
          <w:sz w:val="24"/>
          <w:szCs w:val="24"/>
        </w:rPr>
        <w:t>will be administered</w:t>
      </w:r>
      <w:proofErr w:type="gramEnd"/>
      <w:r w:rsidR="001935A6" w:rsidRPr="007403CB">
        <w:rPr>
          <w:rFonts w:asciiTheme="minorHAnsi" w:hAnsiTheme="minorHAnsi" w:cstheme="minorHAnsi"/>
          <w:sz w:val="24"/>
          <w:szCs w:val="24"/>
        </w:rPr>
        <w:t xml:space="preserve"> by paper-and-pencil: Medications Form (Attachment 3.10), and Blood Draw Form (Attachment 3.12).</w:t>
      </w:r>
    </w:p>
    <w:p w:rsidR="00C744FE" w:rsidRPr="00E23EFE" w:rsidRDefault="00C744FE" w:rsidP="002E799F">
      <w:pPr>
        <w:pStyle w:val="PlainText"/>
        <w:jc w:val="both"/>
        <w:rPr>
          <w:rFonts w:asciiTheme="minorHAnsi" w:hAnsiTheme="minorHAnsi" w:cstheme="minorHAnsi"/>
          <w:color w:val="000000"/>
          <w:sz w:val="24"/>
          <w:szCs w:val="24"/>
        </w:rPr>
      </w:pPr>
    </w:p>
    <w:p w:rsidR="00FC2010" w:rsidRPr="00E23EFE" w:rsidRDefault="001935A6" w:rsidP="00821235">
      <w:pPr>
        <w:pStyle w:val="PlainText"/>
        <w:jc w:val="both"/>
        <w:rPr>
          <w:rFonts w:asciiTheme="minorHAnsi" w:eastAsia="MS Mincho" w:hAnsiTheme="minorHAnsi" w:cstheme="minorHAnsi"/>
          <w:sz w:val="24"/>
          <w:szCs w:val="24"/>
        </w:rPr>
      </w:pPr>
      <w:r w:rsidRPr="006F19A9">
        <w:rPr>
          <w:rFonts w:asciiTheme="minorHAnsi" w:eastAsia="MS Mincho" w:hAnsiTheme="minorHAnsi" w:cstheme="minorHAnsi"/>
          <w:sz w:val="24"/>
          <w:szCs w:val="24"/>
        </w:rPr>
        <w:t>Under its contract with the ATSDR, t</w:t>
      </w:r>
      <w:r w:rsidR="004B7C49" w:rsidRPr="00D47A6E">
        <w:rPr>
          <w:rFonts w:asciiTheme="minorHAnsi" w:eastAsia="MS Mincho" w:hAnsiTheme="minorHAnsi" w:cstheme="minorHAnsi"/>
          <w:sz w:val="24"/>
          <w:szCs w:val="24"/>
        </w:rPr>
        <w:t>h</w:t>
      </w:r>
      <w:r w:rsidR="004B7C49" w:rsidRPr="00EE7C47">
        <w:rPr>
          <w:rFonts w:asciiTheme="minorHAnsi" w:eastAsia="MS Mincho" w:hAnsiTheme="minorHAnsi" w:cstheme="minorHAnsi"/>
          <w:sz w:val="24"/>
          <w:szCs w:val="24"/>
        </w:rPr>
        <w:t xml:space="preserve">e </w:t>
      </w:r>
      <w:r w:rsidR="00915FF1" w:rsidRPr="00565FAA">
        <w:rPr>
          <w:rFonts w:asciiTheme="minorHAnsi" w:eastAsia="MS Mincho" w:hAnsiTheme="minorHAnsi" w:cstheme="minorHAnsi"/>
          <w:sz w:val="24"/>
          <w:szCs w:val="24"/>
        </w:rPr>
        <w:t xml:space="preserve">UAB </w:t>
      </w:r>
      <w:r w:rsidR="00915FF1" w:rsidRPr="00A66CED">
        <w:rPr>
          <w:rFonts w:asciiTheme="minorHAnsi" w:eastAsia="MS Mincho" w:hAnsiTheme="minorHAnsi" w:cstheme="minorHAnsi"/>
          <w:sz w:val="24"/>
          <w:szCs w:val="24"/>
        </w:rPr>
        <w:t xml:space="preserve">offers </w:t>
      </w:r>
      <w:r w:rsidRPr="00A66CED">
        <w:rPr>
          <w:rFonts w:asciiTheme="minorHAnsi" w:eastAsia="MS Mincho" w:hAnsiTheme="minorHAnsi" w:cstheme="minorHAnsi"/>
          <w:sz w:val="24"/>
          <w:szCs w:val="24"/>
        </w:rPr>
        <w:t xml:space="preserve">its </w:t>
      </w:r>
      <w:r w:rsidR="00915FF1" w:rsidRPr="00A66CED">
        <w:rPr>
          <w:rFonts w:asciiTheme="minorHAnsi" w:eastAsia="MS Mincho" w:hAnsiTheme="minorHAnsi" w:cstheme="minorHAnsi"/>
          <w:sz w:val="24"/>
          <w:szCs w:val="24"/>
        </w:rPr>
        <w:t xml:space="preserve">established information </w:t>
      </w:r>
      <w:r w:rsidR="00FC2010" w:rsidRPr="00A66CED">
        <w:rPr>
          <w:rFonts w:asciiTheme="minorHAnsi" w:eastAsia="MS Mincho" w:hAnsiTheme="minorHAnsi" w:cstheme="minorHAnsi"/>
          <w:sz w:val="24"/>
          <w:szCs w:val="24"/>
        </w:rPr>
        <w:t xml:space="preserve">and research </w:t>
      </w:r>
      <w:r w:rsidR="00915FF1" w:rsidRPr="00A66CED">
        <w:rPr>
          <w:rFonts w:asciiTheme="minorHAnsi" w:eastAsia="MS Mincho" w:hAnsiTheme="minorHAnsi" w:cstheme="minorHAnsi"/>
          <w:sz w:val="24"/>
          <w:szCs w:val="24"/>
        </w:rPr>
        <w:t xml:space="preserve">technology services through its Survey Research Unit (SRU – see </w:t>
      </w:r>
      <w:hyperlink r:id="rId10" w:history="1">
        <w:r w:rsidR="00915FF1" w:rsidRPr="00E23EFE">
          <w:rPr>
            <w:rStyle w:val="Hyperlink"/>
            <w:rFonts w:asciiTheme="minorHAnsi" w:eastAsia="MS Mincho" w:hAnsiTheme="minorHAnsi" w:cstheme="minorHAnsi"/>
            <w:sz w:val="24"/>
            <w:szCs w:val="24"/>
          </w:rPr>
          <w:t>http://www.uab.edu/cores/survey-research-unit</w:t>
        </w:r>
      </w:hyperlink>
      <w:r w:rsidR="00915FF1" w:rsidRPr="00E23EFE">
        <w:rPr>
          <w:rFonts w:asciiTheme="minorHAnsi" w:eastAsia="MS Mincho" w:hAnsiTheme="minorHAnsi" w:cstheme="minorHAnsi"/>
          <w:sz w:val="24"/>
          <w:szCs w:val="24"/>
        </w:rPr>
        <w:t>)</w:t>
      </w:r>
      <w:r w:rsidR="00D1667D" w:rsidRPr="00E23EFE">
        <w:rPr>
          <w:rFonts w:asciiTheme="minorHAnsi" w:eastAsia="MS Mincho" w:hAnsiTheme="minorHAnsi" w:cstheme="minorHAnsi"/>
          <w:sz w:val="24"/>
          <w:szCs w:val="24"/>
        </w:rPr>
        <w:t>. A</w:t>
      </w:r>
      <w:r w:rsidR="00915FF1" w:rsidRPr="00E23EFE">
        <w:rPr>
          <w:rFonts w:asciiTheme="minorHAnsi" w:eastAsia="MS Mincho" w:hAnsiTheme="minorHAnsi" w:cstheme="minorHAnsi"/>
          <w:sz w:val="24"/>
          <w:szCs w:val="24"/>
        </w:rPr>
        <w:t xml:space="preserve">s part of the university’s Research Core </w:t>
      </w:r>
      <w:r w:rsidR="00732F46" w:rsidRPr="00E23EFE">
        <w:rPr>
          <w:rFonts w:asciiTheme="minorHAnsi" w:eastAsia="MS Mincho" w:hAnsiTheme="minorHAnsi" w:cstheme="minorHAnsi"/>
          <w:sz w:val="24"/>
          <w:szCs w:val="24"/>
        </w:rPr>
        <w:t>Facilities</w:t>
      </w:r>
      <w:r w:rsidR="00D1667D" w:rsidRPr="00E23EFE">
        <w:rPr>
          <w:rFonts w:asciiTheme="minorHAnsi" w:eastAsia="MS Mincho" w:hAnsiTheme="minorHAnsi" w:cstheme="minorHAnsi"/>
          <w:sz w:val="24"/>
          <w:szCs w:val="24"/>
        </w:rPr>
        <w:t>, t</w:t>
      </w:r>
      <w:r w:rsidR="00FC2010" w:rsidRPr="00E23EFE">
        <w:rPr>
          <w:rFonts w:asciiTheme="minorHAnsi" w:eastAsia="MS Mincho" w:hAnsiTheme="minorHAnsi" w:cstheme="minorHAnsi"/>
          <w:sz w:val="24"/>
          <w:szCs w:val="24"/>
        </w:rPr>
        <w:t xml:space="preserve">he </w:t>
      </w:r>
      <w:r w:rsidRPr="00E23EFE">
        <w:rPr>
          <w:rFonts w:asciiTheme="minorHAnsi" w:eastAsia="MS Mincho" w:hAnsiTheme="minorHAnsi" w:cstheme="minorHAnsi"/>
          <w:sz w:val="24"/>
          <w:szCs w:val="24"/>
        </w:rPr>
        <w:t>S</w:t>
      </w:r>
      <w:r w:rsidR="00FC2010" w:rsidRPr="00E23EFE">
        <w:rPr>
          <w:rFonts w:asciiTheme="minorHAnsi" w:eastAsia="MS Mincho" w:hAnsiTheme="minorHAnsi" w:cstheme="minorHAnsi"/>
          <w:sz w:val="24"/>
          <w:szCs w:val="24"/>
        </w:rPr>
        <w:t>RU</w:t>
      </w:r>
      <w:r w:rsidR="00FC2010" w:rsidRPr="00E23EFE">
        <w:rPr>
          <w:rFonts w:asciiTheme="minorHAnsi" w:eastAsia="Times New Roman" w:hAnsiTheme="minorHAnsi" w:cstheme="minorHAnsi"/>
          <w:color w:val="000000"/>
          <w:sz w:val="24"/>
          <w:szCs w:val="24"/>
        </w:rPr>
        <w:t xml:space="preserve"> mission is to produce scientifically vali</w:t>
      </w:r>
      <w:r w:rsidRPr="00E23EFE">
        <w:rPr>
          <w:rFonts w:asciiTheme="minorHAnsi" w:eastAsia="Times New Roman" w:hAnsiTheme="minorHAnsi" w:cstheme="minorHAnsi"/>
          <w:color w:val="000000"/>
          <w:sz w:val="24"/>
          <w:szCs w:val="24"/>
        </w:rPr>
        <w:t xml:space="preserve">d survey results to achieve </w:t>
      </w:r>
      <w:r w:rsidR="00FC2010" w:rsidRPr="00E23EFE">
        <w:rPr>
          <w:rFonts w:asciiTheme="minorHAnsi" w:eastAsia="Times New Roman" w:hAnsiTheme="minorHAnsi" w:cstheme="minorHAnsi"/>
          <w:color w:val="000000"/>
          <w:sz w:val="24"/>
          <w:szCs w:val="24"/>
        </w:rPr>
        <w:t>researc</w:t>
      </w:r>
      <w:r w:rsidRPr="00E23EFE">
        <w:rPr>
          <w:rFonts w:asciiTheme="minorHAnsi" w:eastAsia="Times New Roman" w:hAnsiTheme="minorHAnsi" w:cstheme="minorHAnsi"/>
          <w:color w:val="000000"/>
          <w:sz w:val="24"/>
          <w:szCs w:val="24"/>
        </w:rPr>
        <w:t>h goals. For this IC, UAB will provide</w:t>
      </w:r>
      <w:r w:rsidR="00FC2010" w:rsidRPr="00E23EFE">
        <w:rPr>
          <w:rFonts w:asciiTheme="minorHAnsi" w:eastAsia="Times New Roman" w:hAnsiTheme="minorHAnsi" w:cstheme="minorHAnsi"/>
          <w:color w:val="000000"/>
          <w:sz w:val="24"/>
          <w:szCs w:val="24"/>
        </w:rPr>
        <w:t xml:space="preserve"> expertise in</w:t>
      </w:r>
      <w:r w:rsidRPr="00E23EFE">
        <w:rPr>
          <w:rFonts w:asciiTheme="minorHAnsi" w:eastAsia="Times New Roman" w:hAnsiTheme="minorHAnsi" w:cstheme="minorHAnsi"/>
          <w:color w:val="000000"/>
          <w:sz w:val="24"/>
          <w:szCs w:val="24"/>
        </w:rPr>
        <w:t xml:space="preserve"> survey design, interviewing, and reporting</w:t>
      </w:r>
      <w:r w:rsidR="00CB1BD3" w:rsidRPr="00E23EFE">
        <w:rPr>
          <w:rFonts w:asciiTheme="minorHAnsi" w:eastAsia="Times New Roman" w:hAnsiTheme="minorHAnsi" w:cstheme="minorHAnsi"/>
          <w:color w:val="000000"/>
          <w:sz w:val="24"/>
          <w:szCs w:val="24"/>
        </w:rPr>
        <w:t xml:space="preserve"> from</w:t>
      </w:r>
      <w:r w:rsidRPr="00E23EFE">
        <w:rPr>
          <w:rFonts w:asciiTheme="minorHAnsi" w:eastAsia="Times New Roman" w:hAnsiTheme="minorHAnsi" w:cstheme="minorHAnsi"/>
          <w:color w:val="000000"/>
          <w:sz w:val="24"/>
          <w:szCs w:val="24"/>
        </w:rPr>
        <w:t xml:space="preserve"> CATI stations, field-based face-to-face interviewing</w:t>
      </w:r>
      <w:r w:rsidR="00DD6F70" w:rsidRPr="00E23EFE">
        <w:rPr>
          <w:rFonts w:asciiTheme="minorHAnsi" w:eastAsia="Times New Roman" w:hAnsiTheme="minorHAnsi" w:cstheme="minorHAnsi"/>
          <w:color w:val="000000"/>
          <w:sz w:val="24"/>
          <w:szCs w:val="24"/>
        </w:rPr>
        <w:t xml:space="preserve">, and mailing </w:t>
      </w:r>
      <w:r w:rsidR="005A31B9" w:rsidRPr="00E23EFE">
        <w:rPr>
          <w:rFonts w:asciiTheme="minorHAnsi" w:eastAsia="Times New Roman" w:hAnsiTheme="minorHAnsi" w:cstheme="minorHAnsi"/>
          <w:color w:val="000000"/>
          <w:sz w:val="24"/>
          <w:szCs w:val="24"/>
        </w:rPr>
        <w:t xml:space="preserve">and recruitment </w:t>
      </w:r>
      <w:r w:rsidRPr="00E23EFE">
        <w:rPr>
          <w:rFonts w:asciiTheme="minorHAnsi" w:eastAsia="Times New Roman" w:hAnsiTheme="minorHAnsi" w:cstheme="minorHAnsi"/>
          <w:color w:val="000000"/>
          <w:sz w:val="24"/>
          <w:szCs w:val="24"/>
        </w:rPr>
        <w:t>services.</w:t>
      </w:r>
    </w:p>
    <w:p w:rsidR="004B7C49" w:rsidRPr="00E23EFE" w:rsidRDefault="004B7C49" w:rsidP="002E799F">
      <w:pPr>
        <w:pStyle w:val="PlainText"/>
        <w:jc w:val="both"/>
        <w:rPr>
          <w:rFonts w:asciiTheme="minorHAnsi" w:eastAsia="MS Mincho" w:hAnsiTheme="minorHAnsi" w:cstheme="minorHAnsi"/>
          <w:sz w:val="24"/>
          <w:szCs w:val="24"/>
        </w:rPr>
      </w:pPr>
    </w:p>
    <w:p w:rsidR="00736FCB" w:rsidRPr="00736FCB" w:rsidRDefault="00241777" w:rsidP="002E799F">
      <w:pPr>
        <w:pStyle w:val="PlainText"/>
        <w:jc w:val="both"/>
        <w:rPr>
          <w:rFonts w:asciiTheme="minorHAnsi" w:hAnsiTheme="minorHAnsi" w:cs="Calibri"/>
          <w:sz w:val="24"/>
          <w:szCs w:val="24"/>
        </w:rPr>
      </w:pPr>
      <w:r w:rsidRPr="00E23EFE">
        <w:rPr>
          <w:rFonts w:asciiTheme="minorHAnsi" w:eastAsia="MS Mincho" w:hAnsiTheme="minorHAnsi" w:cstheme="minorHAnsi"/>
          <w:sz w:val="24"/>
          <w:szCs w:val="24"/>
        </w:rPr>
        <w:t>For both CATI and CAPI</w:t>
      </w:r>
      <w:r w:rsidRPr="00BA0310">
        <w:rPr>
          <w:rFonts w:asciiTheme="minorHAnsi" w:eastAsia="MS Mincho" w:hAnsiTheme="minorHAnsi" w:cstheme="minorHAnsi"/>
          <w:sz w:val="24"/>
          <w:szCs w:val="24"/>
        </w:rPr>
        <w:t>,</w:t>
      </w:r>
      <w:r w:rsidRPr="00BA0310">
        <w:rPr>
          <w:rFonts w:asciiTheme="minorHAnsi" w:hAnsiTheme="minorHAnsi" w:cstheme="minorHAnsi"/>
          <w:color w:val="000000"/>
          <w:sz w:val="24"/>
          <w:szCs w:val="24"/>
        </w:rPr>
        <w:t xml:space="preserve"> </w:t>
      </w:r>
      <w:r w:rsidRPr="00736FCB">
        <w:rPr>
          <w:rFonts w:asciiTheme="minorHAnsi" w:hAnsiTheme="minorHAnsi" w:cstheme="minorHAnsi"/>
          <w:color w:val="000000"/>
          <w:sz w:val="24"/>
          <w:szCs w:val="24"/>
        </w:rPr>
        <w:t>t</w:t>
      </w:r>
      <w:r w:rsidR="00852D8F" w:rsidRPr="00736FCB">
        <w:rPr>
          <w:rFonts w:asciiTheme="minorHAnsi" w:hAnsiTheme="minorHAnsi" w:cstheme="minorHAnsi"/>
          <w:color w:val="000000"/>
          <w:sz w:val="24"/>
          <w:szCs w:val="24"/>
        </w:rPr>
        <w:t xml:space="preserve">rained </w:t>
      </w:r>
      <w:r w:rsidR="001935A6" w:rsidRPr="00736FCB">
        <w:rPr>
          <w:rFonts w:asciiTheme="minorHAnsi" w:hAnsiTheme="minorHAnsi" w:cstheme="minorHAnsi"/>
          <w:color w:val="000000"/>
          <w:sz w:val="24"/>
          <w:szCs w:val="24"/>
        </w:rPr>
        <w:t xml:space="preserve">SRU </w:t>
      </w:r>
      <w:r w:rsidR="00852D8F" w:rsidRPr="00736FCB">
        <w:rPr>
          <w:rFonts w:asciiTheme="minorHAnsi" w:hAnsiTheme="minorHAnsi" w:cstheme="minorHAnsi"/>
          <w:color w:val="000000"/>
          <w:sz w:val="24"/>
          <w:szCs w:val="24"/>
        </w:rPr>
        <w:t>interviewer</w:t>
      </w:r>
      <w:r w:rsidR="00A27657" w:rsidRPr="00736FCB">
        <w:rPr>
          <w:rFonts w:asciiTheme="minorHAnsi" w:hAnsiTheme="minorHAnsi" w:cstheme="minorHAnsi"/>
          <w:color w:val="000000"/>
          <w:sz w:val="24"/>
          <w:szCs w:val="24"/>
        </w:rPr>
        <w:t>s will ask</w:t>
      </w:r>
      <w:r w:rsidR="00852D8F" w:rsidRPr="00736FCB">
        <w:rPr>
          <w:rFonts w:asciiTheme="minorHAnsi" w:hAnsiTheme="minorHAnsi" w:cstheme="minorHAnsi"/>
          <w:color w:val="000000"/>
          <w:sz w:val="24"/>
          <w:szCs w:val="24"/>
        </w:rPr>
        <w:t xml:space="preserve"> each question and will record responses using portable </w:t>
      </w:r>
      <w:r w:rsidR="00DD41D2" w:rsidRPr="00736FCB">
        <w:rPr>
          <w:rFonts w:asciiTheme="minorHAnsi" w:hAnsiTheme="minorHAnsi" w:cstheme="minorHAnsi"/>
          <w:color w:val="000000"/>
          <w:sz w:val="24"/>
          <w:szCs w:val="24"/>
        </w:rPr>
        <w:t xml:space="preserve">or desktop </w:t>
      </w:r>
      <w:r w:rsidR="00852D8F" w:rsidRPr="00736FCB">
        <w:rPr>
          <w:rFonts w:asciiTheme="minorHAnsi" w:hAnsiTheme="minorHAnsi" w:cstheme="minorHAnsi"/>
          <w:color w:val="000000"/>
          <w:sz w:val="24"/>
          <w:szCs w:val="24"/>
        </w:rPr>
        <w:t xml:space="preserve">personal computers. </w:t>
      </w:r>
      <w:r w:rsidR="00BA0310" w:rsidRPr="00736FCB">
        <w:rPr>
          <w:rFonts w:asciiTheme="minorHAnsi" w:hAnsiTheme="minorHAnsi" w:cs="Calibri"/>
          <w:sz w:val="24"/>
          <w:szCs w:val="24"/>
        </w:rPr>
        <w:t>Responses</w:t>
      </w:r>
      <w:r w:rsidR="00BA0310" w:rsidRPr="00F65C97">
        <w:rPr>
          <w:rFonts w:asciiTheme="minorHAnsi" w:hAnsiTheme="minorHAnsi" w:cs="Calibri"/>
          <w:sz w:val="24"/>
          <w:szCs w:val="24"/>
        </w:rPr>
        <w:t xml:space="preserve"> will be recorded using </w:t>
      </w:r>
      <w:r w:rsidR="00BA0310" w:rsidRPr="00F65C97">
        <w:rPr>
          <w:rFonts w:asciiTheme="minorHAnsi" w:hAnsiTheme="minorHAnsi" w:cs="Calibri"/>
          <w:bCs/>
          <w:sz w:val="24"/>
          <w:szCs w:val="24"/>
        </w:rPr>
        <w:t xml:space="preserve">computer-assisted </w:t>
      </w:r>
      <w:r w:rsidR="008C20FF" w:rsidRPr="00736FCB">
        <w:rPr>
          <w:rFonts w:asciiTheme="minorHAnsi" w:hAnsiTheme="minorHAnsi" w:cs="Calibri"/>
          <w:bCs/>
          <w:sz w:val="24"/>
          <w:szCs w:val="24"/>
        </w:rPr>
        <w:t xml:space="preserve">personal and </w:t>
      </w:r>
      <w:r w:rsidR="00BA0310" w:rsidRPr="00F65C97">
        <w:rPr>
          <w:rFonts w:asciiTheme="minorHAnsi" w:hAnsiTheme="minorHAnsi" w:cs="Calibri"/>
          <w:bCs/>
          <w:sz w:val="24"/>
          <w:szCs w:val="24"/>
        </w:rPr>
        <w:t>telephone interview (</w:t>
      </w:r>
      <w:r w:rsidR="008C20FF" w:rsidRPr="00736FCB">
        <w:rPr>
          <w:rFonts w:asciiTheme="minorHAnsi" w:hAnsiTheme="minorHAnsi" w:cs="Calibri"/>
          <w:bCs/>
          <w:sz w:val="24"/>
          <w:szCs w:val="24"/>
        </w:rPr>
        <w:t xml:space="preserve">CAPI &amp; </w:t>
      </w:r>
      <w:r w:rsidR="00BA0310" w:rsidRPr="00F65C97">
        <w:rPr>
          <w:rFonts w:asciiTheme="minorHAnsi" w:hAnsiTheme="minorHAnsi" w:cs="Calibri"/>
          <w:sz w:val="24"/>
          <w:szCs w:val="24"/>
        </w:rPr>
        <w:t>CATI</w:t>
      </w:r>
      <w:r w:rsidR="00BA0310" w:rsidRPr="00736FCB">
        <w:rPr>
          <w:rFonts w:asciiTheme="minorHAnsi" w:hAnsiTheme="minorHAnsi" w:cs="Calibri"/>
          <w:sz w:val="24"/>
          <w:szCs w:val="24"/>
        </w:rPr>
        <w:t>) software (</w:t>
      </w:r>
      <w:proofErr w:type="spellStart"/>
      <w:r w:rsidR="00BA0310" w:rsidRPr="00F65C97">
        <w:rPr>
          <w:rFonts w:asciiTheme="minorHAnsi" w:hAnsiTheme="minorHAnsi" w:cs="Calibri"/>
          <w:sz w:val="24"/>
          <w:szCs w:val="24"/>
        </w:rPr>
        <w:t>WinCati</w:t>
      </w:r>
      <w:proofErr w:type="spellEnd"/>
      <w:r w:rsidR="00736FCB" w:rsidRPr="00736FCB">
        <w:rPr>
          <w:rFonts w:asciiTheme="minorHAnsi" w:hAnsiTheme="minorHAnsi" w:cs="Calibri"/>
          <w:sz w:val="24"/>
          <w:szCs w:val="24"/>
        </w:rPr>
        <w:t xml:space="preserve">, </w:t>
      </w:r>
      <w:proofErr w:type="spellStart"/>
      <w:r w:rsidR="00736FCB" w:rsidRPr="00736FCB">
        <w:rPr>
          <w:rFonts w:asciiTheme="minorHAnsi" w:hAnsiTheme="minorHAnsi" w:cs="Calibri"/>
          <w:sz w:val="24"/>
          <w:szCs w:val="24"/>
        </w:rPr>
        <w:t>Sawtooth</w:t>
      </w:r>
      <w:proofErr w:type="spellEnd"/>
      <w:r w:rsidR="00736FCB" w:rsidRPr="00736FCB">
        <w:rPr>
          <w:rFonts w:asciiTheme="minorHAnsi" w:hAnsiTheme="minorHAnsi" w:cs="Calibri"/>
          <w:sz w:val="24"/>
          <w:szCs w:val="24"/>
        </w:rPr>
        <w:t xml:space="preserve"> Technology, Northbrook, IL. </w:t>
      </w:r>
      <w:proofErr w:type="gramStart"/>
      <w:r w:rsidR="00736FCB" w:rsidRPr="00736FCB">
        <w:rPr>
          <w:rFonts w:asciiTheme="minorHAnsi" w:hAnsiTheme="minorHAnsi" w:cs="Calibri"/>
          <w:sz w:val="24"/>
          <w:szCs w:val="24"/>
        </w:rPr>
        <w:t xml:space="preserve">See </w:t>
      </w:r>
      <w:r w:rsidR="00736FCB" w:rsidRPr="00F65C97">
        <w:rPr>
          <w:rFonts w:asciiTheme="minorHAnsi" w:hAnsiTheme="minorHAnsi" w:cs="Calibri"/>
          <w:sz w:val="24"/>
          <w:szCs w:val="24"/>
        </w:rPr>
        <w:t xml:space="preserve">(see general </w:t>
      </w:r>
      <w:r w:rsidR="00055266" w:rsidRPr="00F65C97">
        <w:rPr>
          <w:rFonts w:asciiTheme="minorHAnsi" w:hAnsiTheme="minorHAnsi" w:cs="Calibri"/>
          <w:sz w:val="24"/>
          <w:szCs w:val="24"/>
        </w:rPr>
        <w:t>information at</w:t>
      </w:r>
      <w:r w:rsidR="00736FCB" w:rsidRPr="00F65C97">
        <w:rPr>
          <w:rFonts w:asciiTheme="minorHAnsi" w:hAnsiTheme="minorHAnsi" w:cs="Calibri"/>
          <w:sz w:val="24"/>
          <w:szCs w:val="24"/>
        </w:rPr>
        <w:t xml:space="preserve"> </w:t>
      </w:r>
      <w:hyperlink r:id="rId11" w:history="1">
        <w:r w:rsidR="00736FCB" w:rsidRPr="00F65C97">
          <w:rPr>
            <w:rStyle w:val="Hyperlink"/>
            <w:rFonts w:asciiTheme="minorHAnsi" w:hAnsiTheme="minorHAnsi" w:cs="Calibri"/>
            <w:sz w:val="24"/>
            <w:szCs w:val="24"/>
          </w:rPr>
          <w:t>http://www.sawtooth.com/index.php/software/products/wincati/</w:t>
        </w:r>
      </w:hyperlink>
      <w:r w:rsidR="00736FCB" w:rsidRPr="00F65C97">
        <w:rPr>
          <w:rFonts w:asciiTheme="minorHAnsi" w:hAnsiTheme="minorHAnsi" w:cs="Calibri"/>
          <w:sz w:val="24"/>
          <w:szCs w:val="24"/>
        </w:rPr>
        <w:t xml:space="preserve"> and privacy policy at </w:t>
      </w:r>
      <w:hyperlink r:id="rId12" w:history="1">
        <w:r w:rsidR="00736FCB" w:rsidRPr="00F65C97">
          <w:rPr>
            <w:rStyle w:val="Hyperlink"/>
            <w:rFonts w:asciiTheme="minorHAnsi" w:hAnsiTheme="minorHAnsi"/>
            <w:sz w:val="24"/>
          </w:rPr>
          <w:t>http://www.sawtooth.com/index.php/site-information/privacy-policy/</w:t>
        </w:r>
      </w:hyperlink>
      <w:r w:rsidR="00736FCB" w:rsidRPr="00F65C97">
        <w:rPr>
          <w:rFonts w:asciiTheme="minorHAnsi" w:hAnsiTheme="minorHAnsi" w:cs="Calibri"/>
          <w:sz w:val="32"/>
          <w:szCs w:val="24"/>
        </w:rPr>
        <w:t>).</w:t>
      </w:r>
      <w:proofErr w:type="gramEnd"/>
      <w:r w:rsidR="00736FCB" w:rsidRPr="00F65C97">
        <w:rPr>
          <w:rFonts w:asciiTheme="minorHAnsi" w:hAnsiTheme="minorHAnsi" w:cs="Calibri"/>
          <w:sz w:val="32"/>
          <w:szCs w:val="24"/>
        </w:rPr>
        <w:t xml:space="preserve"> </w:t>
      </w:r>
      <w:r w:rsidR="00736FCB" w:rsidRPr="00736FCB">
        <w:rPr>
          <w:rFonts w:asciiTheme="minorHAnsi" w:hAnsiTheme="minorHAnsi" w:cs="Calibri"/>
          <w:sz w:val="24"/>
          <w:szCs w:val="24"/>
        </w:rPr>
        <w:t xml:space="preserve">The </w:t>
      </w:r>
      <w:r w:rsidR="00736FCB">
        <w:rPr>
          <w:rFonts w:asciiTheme="minorHAnsi" w:hAnsiTheme="minorHAnsi" w:cs="Calibri"/>
          <w:sz w:val="24"/>
          <w:szCs w:val="24"/>
        </w:rPr>
        <w:t>software</w:t>
      </w:r>
      <w:r w:rsidR="00736FCB" w:rsidRPr="00F65C97">
        <w:rPr>
          <w:rFonts w:asciiTheme="minorHAnsi" w:hAnsiTheme="minorHAnsi" w:cs="Calibri"/>
          <w:sz w:val="24"/>
          <w:szCs w:val="24"/>
        </w:rPr>
        <w:t xml:space="preserve"> </w:t>
      </w:r>
      <w:r w:rsidR="00736FCB" w:rsidRPr="00F65C97">
        <w:rPr>
          <w:rFonts w:asciiTheme="minorHAnsi" w:hAnsiTheme="minorHAnsi" w:cs="Calibri"/>
          <w:sz w:val="24"/>
          <w:szCs w:val="24"/>
        </w:rPr>
        <w:lastRenderedPageBreak/>
        <w:t>appli</w:t>
      </w:r>
      <w:r w:rsidR="006C467E" w:rsidRPr="006C467E">
        <w:rPr>
          <w:rFonts w:asciiTheme="minorHAnsi" w:hAnsiTheme="minorHAnsi" w:cs="Calibri"/>
          <w:sz w:val="24"/>
          <w:szCs w:val="24"/>
        </w:rPr>
        <w:t>cation</w:t>
      </w:r>
      <w:r w:rsidR="00736FCB" w:rsidRPr="00F65C97">
        <w:rPr>
          <w:rFonts w:asciiTheme="minorHAnsi" w:hAnsiTheme="minorHAnsi" w:cs="Calibri"/>
          <w:sz w:val="24"/>
          <w:szCs w:val="24"/>
        </w:rPr>
        <w:t xml:space="preserve"> is a custom suite of </w:t>
      </w:r>
      <w:proofErr w:type="spellStart"/>
      <w:r w:rsidR="00736FCB" w:rsidRPr="00F65C97">
        <w:rPr>
          <w:rFonts w:asciiTheme="minorHAnsi" w:hAnsiTheme="minorHAnsi" w:cs="Calibri"/>
          <w:sz w:val="24"/>
          <w:szCs w:val="24"/>
        </w:rPr>
        <w:t>HyperText</w:t>
      </w:r>
      <w:proofErr w:type="spellEnd"/>
      <w:r w:rsidR="00736FCB" w:rsidRPr="00F65C97">
        <w:rPr>
          <w:rFonts w:asciiTheme="minorHAnsi" w:hAnsiTheme="minorHAnsi" w:cs="Calibri"/>
          <w:sz w:val="24"/>
          <w:szCs w:val="24"/>
        </w:rPr>
        <w:t xml:space="preserve"> Markup Language (HTML) tools created by the Multimedia Information Technology Services of UAB’s School of Public Health.</w:t>
      </w:r>
    </w:p>
    <w:p w:rsidR="00736FCB" w:rsidRPr="006C467E" w:rsidRDefault="00736FCB" w:rsidP="002E799F">
      <w:pPr>
        <w:pStyle w:val="PlainText"/>
        <w:jc w:val="both"/>
        <w:rPr>
          <w:rFonts w:asciiTheme="minorHAnsi" w:hAnsiTheme="minorHAnsi" w:cs="Calibri"/>
          <w:sz w:val="24"/>
          <w:szCs w:val="24"/>
        </w:rPr>
      </w:pPr>
    </w:p>
    <w:p w:rsidR="00241777" w:rsidRPr="00F46D82" w:rsidRDefault="00736FCB" w:rsidP="002E799F">
      <w:pPr>
        <w:pStyle w:val="PlainText"/>
        <w:jc w:val="both"/>
        <w:rPr>
          <w:rFonts w:asciiTheme="minorHAnsi" w:hAnsiTheme="minorHAnsi" w:cstheme="minorHAnsi"/>
          <w:sz w:val="24"/>
          <w:szCs w:val="24"/>
        </w:rPr>
      </w:pPr>
      <w:r w:rsidRPr="006C467E">
        <w:rPr>
          <w:rFonts w:asciiTheme="minorHAnsi" w:hAnsiTheme="minorHAnsi" w:cstheme="minorHAnsi"/>
          <w:color w:val="000000"/>
          <w:sz w:val="24"/>
          <w:szCs w:val="24"/>
        </w:rPr>
        <w:t>UAB d</w:t>
      </w:r>
      <w:r w:rsidR="00852D8F" w:rsidRPr="006C467E">
        <w:rPr>
          <w:rFonts w:asciiTheme="minorHAnsi" w:hAnsiTheme="minorHAnsi" w:cstheme="minorHAnsi"/>
          <w:color w:val="000000"/>
          <w:sz w:val="24"/>
          <w:szCs w:val="24"/>
        </w:rPr>
        <w:t xml:space="preserve">evelopers </w:t>
      </w:r>
      <w:r w:rsidR="00852D8F" w:rsidRPr="006C467E">
        <w:rPr>
          <w:rFonts w:asciiTheme="minorHAnsi" w:hAnsiTheme="minorHAnsi" w:cstheme="minorHAnsi"/>
          <w:sz w:val="24"/>
          <w:szCs w:val="24"/>
        </w:rPr>
        <w:t>will program skip logic and editing functionality such as field restrictions and automatic validity checks to help ensure data quality and minimize missing data</w:t>
      </w:r>
      <w:r w:rsidR="00852D8F" w:rsidRPr="00736FCB">
        <w:rPr>
          <w:rFonts w:asciiTheme="minorHAnsi" w:hAnsiTheme="minorHAnsi" w:cstheme="minorHAnsi"/>
          <w:sz w:val="24"/>
          <w:szCs w:val="24"/>
        </w:rPr>
        <w:t xml:space="preserve">.  The </w:t>
      </w:r>
      <w:r w:rsidR="00241777" w:rsidRPr="00736FCB">
        <w:rPr>
          <w:rFonts w:asciiTheme="minorHAnsi" w:hAnsiTheme="minorHAnsi" w:cstheme="minorHAnsi"/>
          <w:sz w:val="24"/>
          <w:szCs w:val="24"/>
        </w:rPr>
        <w:t>CATI</w:t>
      </w:r>
      <w:r w:rsidR="007359F3" w:rsidRPr="00736FCB">
        <w:rPr>
          <w:rFonts w:asciiTheme="minorHAnsi" w:hAnsiTheme="minorHAnsi" w:cstheme="minorHAnsi"/>
          <w:sz w:val="24"/>
          <w:szCs w:val="24"/>
        </w:rPr>
        <w:t xml:space="preserve"> and </w:t>
      </w:r>
      <w:r w:rsidR="00852D8F" w:rsidRPr="00736FCB">
        <w:rPr>
          <w:rFonts w:asciiTheme="minorHAnsi" w:hAnsiTheme="minorHAnsi" w:cstheme="minorHAnsi"/>
          <w:sz w:val="24"/>
          <w:szCs w:val="24"/>
        </w:rPr>
        <w:t>CAPI data method</w:t>
      </w:r>
      <w:r w:rsidR="00DA3C86" w:rsidRPr="00736FCB">
        <w:rPr>
          <w:rFonts w:asciiTheme="minorHAnsi" w:hAnsiTheme="minorHAnsi" w:cstheme="minorHAnsi"/>
          <w:sz w:val="24"/>
          <w:szCs w:val="24"/>
        </w:rPr>
        <w:t>s</w:t>
      </w:r>
      <w:r w:rsidR="00852D8F" w:rsidRPr="00736FCB">
        <w:rPr>
          <w:rFonts w:asciiTheme="minorHAnsi" w:hAnsiTheme="minorHAnsi" w:cstheme="minorHAnsi"/>
          <w:sz w:val="24"/>
          <w:szCs w:val="24"/>
        </w:rPr>
        <w:t xml:space="preserve"> will also eliminate </w:t>
      </w:r>
      <w:proofErr w:type="gramStart"/>
      <w:r w:rsidR="001935A6" w:rsidRPr="00736FCB">
        <w:rPr>
          <w:rFonts w:asciiTheme="minorHAnsi" w:hAnsiTheme="minorHAnsi" w:cstheme="minorHAnsi"/>
          <w:sz w:val="24"/>
          <w:szCs w:val="24"/>
        </w:rPr>
        <w:t>question sequencing</w:t>
      </w:r>
      <w:proofErr w:type="gramEnd"/>
      <w:r w:rsidR="001935A6" w:rsidRPr="00BA0310">
        <w:rPr>
          <w:rFonts w:asciiTheme="minorHAnsi" w:hAnsiTheme="minorHAnsi" w:cstheme="minorHAnsi"/>
          <w:sz w:val="24"/>
          <w:szCs w:val="24"/>
        </w:rPr>
        <w:t xml:space="preserve"> </w:t>
      </w:r>
      <w:r w:rsidR="00852D8F" w:rsidRPr="00BA0310">
        <w:rPr>
          <w:rFonts w:asciiTheme="minorHAnsi" w:hAnsiTheme="minorHAnsi" w:cstheme="minorHAnsi"/>
          <w:sz w:val="24"/>
          <w:szCs w:val="24"/>
        </w:rPr>
        <w:t>errors</w:t>
      </w:r>
      <w:r w:rsidR="00DA5BCF">
        <w:rPr>
          <w:rFonts w:asciiTheme="minorHAnsi" w:hAnsiTheme="minorHAnsi" w:cstheme="minorHAnsi"/>
          <w:sz w:val="24"/>
          <w:szCs w:val="24"/>
        </w:rPr>
        <w:t xml:space="preserve">. </w:t>
      </w:r>
      <w:r w:rsidR="007359F3" w:rsidRPr="00F46D82">
        <w:rPr>
          <w:rFonts w:asciiTheme="minorHAnsi" w:hAnsiTheme="minorHAnsi" w:cstheme="minorHAnsi"/>
          <w:sz w:val="24"/>
          <w:szCs w:val="24"/>
        </w:rPr>
        <w:t>It</w:t>
      </w:r>
      <w:r w:rsidR="00852D8F" w:rsidRPr="00F46D82">
        <w:rPr>
          <w:rFonts w:asciiTheme="minorHAnsi" w:hAnsiTheme="minorHAnsi" w:cstheme="minorHAnsi"/>
          <w:sz w:val="24"/>
          <w:szCs w:val="24"/>
        </w:rPr>
        <w:t xml:space="preserve"> will improve respondent reporting and reduce the number of data errors especially since responses to a large number of potential questions regarding food consumption will </w:t>
      </w:r>
      <w:r w:rsidR="00DA5BCF">
        <w:rPr>
          <w:rFonts w:asciiTheme="minorHAnsi" w:hAnsiTheme="minorHAnsi" w:cstheme="minorHAnsi"/>
          <w:sz w:val="24"/>
          <w:szCs w:val="24"/>
        </w:rPr>
        <w:t xml:space="preserve">not apply to every respondent. </w:t>
      </w:r>
      <w:r w:rsidR="00852D8F" w:rsidRPr="00F46D82">
        <w:rPr>
          <w:rFonts w:asciiTheme="minorHAnsi" w:hAnsiTheme="minorHAnsi" w:cstheme="minorHAnsi"/>
          <w:sz w:val="24"/>
          <w:szCs w:val="24"/>
        </w:rPr>
        <w:t xml:space="preserve">Using the </w:t>
      </w:r>
      <w:r w:rsidR="00241777" w:rsidRPr="00F46D82">
        <w:rPr>
          <w:rFonts w:asciiTheme="minorHAnsi" w:hAnsiTheme="minorHAnsi" w:cstheme="minorHAnsi"/>
          <w:sz w:val="24"/>
          <w:szCs w:val="24"/>
        </w:rPr>
        <w:t>CATI</w:t>
      </w:r>
      <w:r w:rsidR="007359F3" w:rsidRPr="00F46D82">
        <w:rPr>
          <w:rFonts w:asciiTheme="minorHAnsi" w:hAnsiTheme="minorHAnsi" w:cstheme="minorHAnsi"/>
          <w:sz w:val="24"/>
          <w:szCs w:val="24"/>
        </w:rPr>
        <w:t xml:space="preserve"> and </w:t>
      </w:r>
      <w:r w:rsidR="00852D8F" w:rsidRPr="00F46D82">
        <w:rPr>
          <w:rFonts w:asciiTheme="minorHAnsi" w:hAnsiTheme="minorHAnsi" w:cstheme="minorHAnsi"/>
          <w:sz w:val="24"/>
          <w:szCs w:val="24"/>
        </w:rPr>
        <w:t xml:space="preserve">CAPI, the interview </w:t>
      </w:r>
      <w:proofErr w:type="gramStart"/>
      <w:r w:rsidR="00852D8F" w:rsidRPr="00F46D82">
        <w:rPr>
          <w:rFonts w:asciiTheme="minorHAnsi" w:hAnsiTheme="minorHAnsi" w:cstheme="minorHAnsi"/>
          <w:sz w:val="24"/>
          <w:szCs w:val="24"/>
        </w:rPr>
        <w:t>will be automatically tailored</w:t>
      </w:r>
      <w:proofErr w:type="gramEnd"/>
      <w:r w:rsidR="00852D8F" w:rsidRPr="00F46D82">
        <w:rPr>
          <w:rFonts w:asciiTheme="minorHAnsi" w:hAnsiTheme="minorHAnsi" w:cstheme="minorHAnsi"/>
          <w:sz w:val="24"/>
          <w:szCs w:val="24"/>
        </w:rPr>
        <w:t xml:space="preserve"> to each specific individual.</w:t>
      </w:r>
      <w:r w:rsidR="00AB4FE9" w:rsidRPr="00F46D82">
        <w:rPr>
          <w:rFonts w:asciiTheme="minorHAnsi" w:hAnsiTheme="minorHAnsi" w:cstheme="minorHAnsi"/>
          <w:sz w:val="24"/>
          <w:szCs w:val="24"/>
        </w:rPr>
        <w:t xml:space="preserve"> </w:t>
      </w:r>
    </w:p>
    <w:p w:rsidR="004B7C49" w:rsidRDefault="004B7C49" w:rsidP="002E799F">
      <w:pPr>
        <w:pStyle w:val="PlainText"/>
        <w:jc w:val="both"/>
        <w:rPr>
          <w:rFonts w:asciiTheme="minorHAnsi" w:hAnsiTheme="minorHAnsi" w:cstheme="minorHAnsi"/>
          <w:sz w:val="24"/>
          <w:szCs w:val="24"/>
        </w:rPr>
      </w:pPr>
    </w:p>
    <w:p w:rsidR="00E77622" w:rsidRPr="00F65C97" w:rsidRDefault="00CA29A9" w:rsidP="00F65C97">
      <w:pPr>
        <w:autoSpaceDE w:val="0"/>
        <w:autoSpaceDN w:val="0"/>
        <w:adjustRightInd w:val="0"/>
        <w:spacing w:after="0" w:line="240" w:lineRule="auto"/>
        <w:jc w:val="both"/>
        <w:rPr>
          <w:rFonts w:cs="Calibri"/>
          <w:sz w:val="24"/>
          <w:szCs w:val="24"/>
        </w:rPr>
      </w:pPr>
      <w:r w:rsidRPr="003C4F3A">
        <w:rPr>
          <w:rFonts w:cs="Calibri"/>
          <w:sz w:val="24"/>
          <w:szCs w:val="24"/>
        </w:rPr>
        <w:t xml:space="preserve">Interviewers will conduct interviews with </w:t>
      </w:r>
      <w:r w:rsidR="00E26A9A">
        <w:rPr>
          <w:rFonts w:asciiTheme="minorHAnsi" w:hAnsiTheme="minorHAnsi" w:cstheme="minorHAnsi"/>
          <w:bCs/>
          <w:sz w:val="24"/>
          <w:szCs w:val="24"/>
        </w:rPr>
        <w:t>responden</w:t>
      </w:r>
      <w:r w:rsidR="00E26A9A" w:rsidRPr="00F46D82">
        <w:rPr>
          <w:rFonts w:asciiTheme="minorHAnsi" w:hAnsiTheme="minorHAnsi" w:cstheme="minorHAnsi"/>
          <w:bCs/>
          <w:sz w:val="24"/>
          <w:szCs w:val="24"/>
        </w:rPr>
        <w:t>t</w:t>
      </w:r>
      <w:r w:rsidR="00E26A9A">
        <w:rPr>
          <w:rFonts w:asciiTheme="minorHAnsi" w:hAnsiTheme="minorHAnsi" w:cstheme="minorHAnsi"/>
          <w:bCs/>
          <w:sz w:val="24"/>
          <w:szCs w:val="24"/>
        </w:rPr>
        <w:t>s</w:t>
      </w:r>
      <w:r w:rsidR="00DA5BCF">
        <w:rPr>
          <w:rFonts w:cs="Calibri"/>
          <w:sz w:val="24"/>
          <w:szCs w:val="24"/>
        </w:rPr>
        <w:t xml:space="preserve"> using tablet computers. </w:t>
      </w:r>
      <w:r w:rsidRPr="003C4F3A">
        <w:rPr>
          <w:rFonts w:cs="Calibri"/>
          <w:sz w:val="24"/>
          <w:szCs w:val="24"/>
        </w:rPr>
        <w:t xml:space="preserve">Data collected </w:t>
      </w:r>
      <w:proofErr w:type="gramStart"/>
      <w:r w:rsidRPr="003C4F3A">
        <w:rPr>
          <w:rFonts w:cs="Calibri"/>
          <w:sz w:val="24"/>
          <w:szCs w:val="24"/>
        </w:rPr>
        <w:t>will be immediately uploaded and stored on secure servers housed within UAB’s School of Public Health</w:t>
      </w:r>
      <w:proofErr w:type="gramEnd"/>
      <w:r w:rsidRPr="003C4F3A">
        <w:rPr>
          <w:rFonts w:cs="Calibri"/>
          <w:sz w:val="24"/>
          <w:szCs w:val="24"/>
        </w:rPr>
        <w:t xml:space="preserve">. No interview data will remain on the tablet computers. A small supply of paper questionnaires </w:t>
      </w:r>
      <w:proofErr w:type="gramStart"/>
      <w:r w:rsidRPr="003C4F3A">
        <w:rPr>
          <w:rFonts w:cs="Calibri"/>
          <w:sz w:val="24"/>
          <w:szCs w:val="24"/>
        </w:rPr>
        <w:t>will be maintained</w:t>
      </w:r>
      <w:proofErr w:type="gramEnd"/>
      <w:r w:rsidRPr="003C4F3A">
        <w:rPr>
          <w:rFonts w:cs="Calibri"/>
          <w:sz w:val="24"/>
          <w:szCs w:val="24"/>
        </w:rPr>
        <w:t xml:space="preserve"> for use in case of unforeseen computer problems. However, it </w:t>
      </w:r>
      <w:proofErr w:type="gramStart"/>
      <w:r w:rsidRPr="003C4F3A">
        <w:rPr>
          <w:rFonts w:cs="Calibri"/>
          <w:sz w:val="24"/>
          <w:szCs w:val="24"/>
        </w:rPr>
        <w:t>is not expected</w:t>
      </w:r>
      <w:proofErr w:type="gramEnd"/>
      <w:r w:rsidRPr="003C4F3A">
        <w:rPr>
          <w:rFonts w:cs="Calibri"/>
          <w:sz w:val="24"/>
          <w:szCs w:val="24"/>
        </w:rPr>
        <w:t xml:space="preserve"> that paper-based questionnaire administration will be r</w:t>
      </w:r>
      <w:r>
        <w:rPr>
          <w:rFonts w:cs="Calibri"/>
          <w:sz w:val="24"/>
          <w:szCs w:val="24"/>
        </w:rPr>
        <w:t>equired</w:t>
      </w:r>
      <w:r w:rsidR="005C2221">
        <w:rPr>
          <w:rFonts w:cs="Calibri"/>
          <w:sz w:val="24"/>
          <w:szCs w:val="24"/>
        </w:rPr>
        <w:t>.</w:t>
      </w:r>
    </w:p>
    <w:p w:rsidR="00CA29A9" w:rsidRPr="00F46D82" w:rsidRDefault="00CA29A9" w:rsidP="002E799F">
      <w:pPr>
        <w:pStyle w:val="PlainText"/>
        <w:jc w:val="both"/>
        <w:rPr>
          <w:rFonts w:asciiTheme="minorHAnsi" w:hAnsiTheme="minorHAnsi" w:cstheme="minorHAnsi"/>
          <w:sz w:val="24"/>
          <w:szCs w:val="24"/>
        </w:rPr>
      </w:pPr>
    </w:p>
    <w:p w:rsidR="00CF367B" w:rsidRPr="00F46D82" w:rsidRDefault="00CF367B" w:rsidP="002E799F">
      <w:pPr>
        <w:spacing w:after="0" w:line="240" w:lineRule="auto"/>
        <w:jc w:val="both"/>
        <w:rPr>
          <w:rFonts w:asciiTheme="minorHAnsi" w:hAnsiTheme="minorHAnsi" w:cstheme="minorHAnsi"/>
          <w:sz w:val="24"/>
          <w:szCs w:val="24"/>
        </w:rPr>
      </w:pPr>
      <w:r w:rsidRPr="00F46D82">
        <w:rPr>
          <w:rFonts w:asciiTheme="minorHAnsi" w:hAnsiTheme="minorHAnsi" w:cstheme="minorHAnsi"/>
          <w:sz w:val="24"/>
          <w:szCs w:val="24"/>
        </w:rPr>
        <w:t xml:space="preserve">Study information </w:t>
      </w:r>
      <w:proofErr w:type="gramStart"/>
      <w:r w:rsidRPr="00F46D82">
        <w:rPr>
          <w:rFonts w:asciiTheme="minorHAnsi" w:hAnsiTheme="minorHAnsi" w:cstheme="minorHAnsi"/>
          <w:sz w:val="24"/>
          <w:szCs w:val="24"/>
        </w:rPr>
        <w:t>will be entered</w:t>
      </w:r>
      <w:proofErr w:type="gramEnd"/>
      <w:r w:rsidRPr="00F46D82">
        <w:rPr>
          <w:rFonts w:asciiTheme="minorHAnsi" w:hAnsiTheme="minorHAnsi" w:cstheme="minorHAnsi"/>
          <w:sz w:val="24"/>
          <w:szCs w:val="24"/>
        </w:rPr>
        <w:t xml:space="preserve"> in the study dataset by the trained interviewers following the checks and quality control procedures for data entry. Only the authorized UAB SRU personnel </w:t>
      </w:r>
      <w:proofErr w:type="gramStart"/>
      <w:r w:rsidRPr="00F46D82">
        <w:rPr>
          <w:rFonts w:asciiTheme="minorHAnsi" w:hAnsiTheme="minorHAnsi" w:cstheme="minorHAnsi"/>
          <w:sz w:val="24"/>
          <w:szCs w:val="24"/>
        </w:rPr>
        <w:t>will be allowed</w:t>
      </w:r>
      <w:proofErr w:type="gramEnd"/>
      <w:r w:rsidRPr="00F46D82">
        <w:rPr>
          <w:rFonts w:asciiTheme="minorHAnsi" w:hAnsiTheme="minorHAnsi" w:cstheme="minorHAnsi"/>
          <w:sz w:val="24"/>
          <w:szCs w:val="24"/>
        </w:rPr>
        <w:t xml:space="preserve"> to manipulate the study data to prepare the </w:t>
      </w:r>
      <w:r w:rsidR="00DA3C86" w:rsidRPr="00F46D82">
        <w:rPr>
          <w:rFonts w:asciiTheme="minorHAnsi" w:hAnsiTheme="minorHAnsi" w:cstheme="minorHAnsi"/>
          <w:sz w:val="24"/>
          <w:szCs w:val="24"/>
        </w:rPr>
        <w:t xml:space="preserve">study </w:t>
      </w:r>
      <w:r w:rsidRPr="00F46D82">
        <w:rPr>
          <w:rFonts w:asciiTheme="minorHAnsi" w:hAnsiTheme="minorHAnsi" w:cstheme="minorHAnsi"/>
          <w:sz w:val="24"/>
          <w:szCs w:val="24"/>
        </w:rPr>
        <w:t>dataset</w:t>
      </w:r>
      <w:r w:rsidR="00DA3C86" w:rsidRPr="00F46D82">
        <w:rPr>
          <w:rFonts w:asciiTheme="minorHAnsi" w:hAnsiTheme="minorHAnsi" w:cstheme="minorHAnsi"/>
          <w:sz w:val="24"/>
          <w:szCs w:val="24"/>
        </w:rPr>
        <w:t>s</w:t>
      </w:r>
      <w:r w:rsidRPr="00F46D82">
        <w:rPr>
          <w:rFonts w:asciiTheme="minorHAnsi" w:hAnsiTheme="minorHAnsi" w:cstheme="minorHAnsi"/>
          <w:sz w:val="24"/>
          <w:szCs w:val="24"/>
        </w:rPr>
        <w:t xml:space="preserve">. Data from hardcopy documents </w:t>
      </w:r>
      <w:proofErr w:type="gramStart"/>
      <w:r w:rsidRPr="00F46D82">
        <w:rPr>
          <w:rFonts w:asciiTheme="minorHAnsi" w:hAnsiTheme="minorHAnsi" w:cstheme="minorHAnsi"/>
          <w:sz w:val="24"/>
          <w:szCs w:val="24"/>
        </w:rPr>
        <w:t>will be double entered</w:t>
      </w:r>
      <w:proofErr w:type="gramEnd"/>
      <w:r w:rsidRPr="00F46D82">
        <w:rPr>
          <w:rFonts w:asciiTheme="minorHAnsi" w:hAnsiTheme="minorHAnsi" w:cstheme="minorHAnsi"/>
          <w:sz w:val="24"/>
          <w:szCs w:val="24"/>
        </w:rPr>
        <w:t xml:space="preserve"> with discrepancies compared and corrected.</w:t>
      </w:r>
    </w:p>
    <w:p w:rsidR="00CF367B" w:rsidRPr="00F46D82" w:rsidRDefault="00CF367B" w:rsidP="002E799F">
      <w:pPr>
        <w:spacing w:after="0" w:line="240" w:lineRule="auto"/>
        <w:jc w:val="both"/>
        <w:rPr>
          <w:rFonts w:asciiTheme="minorHAnsi" w:hAnsiTheme="minorHAnsi" w:cstheme="minorHAnsi"/>
          <w:sz w:val="24"/>
          <w:szCs w:val="24"/>
        </w:rPr>
      </w:pPr>
    </w:p>
    <w:p w:rsidR="00CF367B" w:rsidRPr="00F46D82" w:rsidRDefault="00CF367B" w:rsidP="002E799F">
      <w:pPr>
        <w:spacing w:after="0" w:line="240" w:lineRule="auto"/>
        <w:jc w:val="both"/>
        <w:rPr>
          <w:rFonts w:asciiTheme="minorHAnsi" w:hAnsiTheme="minorHAnsi" w:cstheme="minorHAnsi"/>
          <w:sz w:val="24"/>
          <w:szCs w:val="24"/>
        </w:rPr>
      </w:pPr>
      <w:r w:rsidRPr="00F46D82">
        <w:rPr>
          <w:rFonts w:asciiTheme="minorHAnsi" w:hAnsiTheme="minorHAnsi" w:cstheme="minorHAnsi"/>
          <w:sz w:val="24"/>
          <w:szCs w:val="24"/>
        </w:rPr>
        <w:t xml:space="preserve">UAB will prepare draft datasets to record </w:t>
      </w:r>
      <w:r w:rsidR="00E26A9A">
        <w:rPr>
          <w:rFonts w:asciiTheme="minorHAnsi" w:hAnsiTheme="minorHAnsi" w:cstheme="minorHAnsi"/>
          <w:sz w:val="24"/>
          <w:szCs w:val="24"/>
        </w:rPr>
        <w:t>response</w:t>
      </w:r>
      <w:r w:rsidRPr="00F46D82">
        <w:rPr>
          <w:rFonts w:asciiTheme="minorHAnsi" w:hAnsiTheme="minorHAnsi" w:cstheme="minorHAnsi"/>
          <w:sz w:val="24"/>
          <w:szCs w:val="24"/>
        </w:rPr>
        <w:t xml:space="preserve"> rates and questionnaire responses to send to ATSDR for review and approval. UAB will also keep and deliver a shipping log of blood samples sent to the CDC laboratory in Microsoft Excel format.  The log will include the include vial type, volume, ID code, date, and carrier details. Lab results </w:t>
      </w:r>
      <w:proofErr w:type="gramStart"/>
      <w:r w:rsidRPr="00F46D82">
        <w:rPr>
          <w:rFonts w:asciiTheme="minorHAnsi" w:hAnsiTheme="minorHAnsi" w:cstheme="minorHAnsi"/>
          <w:sz w:val="24"/>
          <w:szCs w:val="24"/>
        </w:rPr>
        <w:t>will be delivered</w:t>
      </w:r>
      <w:proofErr w:type="gramEnd"/>
      <w:r w:rsidRPr="00F46D82">
        <w:rPr>
          <w:rFonts w:asciiTheme="minorHAnsi" w:hAnsiTheme="minorHAnsi" w:cstheme="minorHAnsi"/>
          <w:sz w:val="24"/>
          <w:szCs w:val="24"/>
        </w:rPr>
        <w:t xml:space="preserve"> to ATSDR by the participating laboratories. The lab dataset </w:t>
      </w:r>
      <w:proofErr w:type="gramStart"/>
      <w:r w:rsidRPr="00F46D82">
        <w:rPr>
          <w:rFonts w:asciiTheme="minorHAnsi" w:hAnsiTheme="minorHAnsi" w:cstheme="minorHAnsi"/>
          <w:sz w:val="24"/>
          <w:szCs w:val="24"/>
        </w:rPr>
        <w:t>will be merged</w:t>
      </w:r>
      <w:proofErr w:type="gramEnd"/>
      <w:r w:rsidRPr="00F46D82">
        <w:rPr>
          <w:rFonts w:asciiTheme="minorHAnsi" w:hAnsiTheme="minorHAnsi" w:cstheme="minorHAnsi"/>
          <w:sz w:val="24"/>
          <w:szCs w:val="24"/>
        </w:rPr>
        <w:t xml:space="preserve"> by study ID with the questionnaire data to create a combined questionnaire and lab dataset. UAB will work with ATSDR to resolve missing values. </w:t>
      </w:r>
    </w:p>
    <w:p w:rsidR="00CF367B" w:rsidRPr="00F46D82" w:rsidRDefault="00CF367B" w:rsidP="002E799F">
      <w:pPr>
        <w:spacing w:after="0" w:line="240" w:lineRule="auto"/>
        <w:jc w:val="both"/>
        <w:rPr>
          <w:rFonts w:asciiTheme="minorHAnsi" w:hAnsiTheme="minorHAnsi" w:cstheme="minorHAnsi"/>
          <w:sz w:val="24"/>
          <w:szCs w:val="24"/>
        </w:rPr>
      </w:pPr>
    </w:p>
    <w:p w:rsidR="004670FC" w:rsidRPr="00F46D82" w:rsidRDefault="00852D8F" w:rsidP="002E799F">
      <w:pPr>
        <w:spacing w:after="0" w:line="240" w:lineRule="auto"/>
        <w:jc w:val="both"/>
        <w:rPr>
          <w:rFonts w:asciiTheme="minorHAnsi" w:hAnsiTheme="minorHAnsi" w:cstheme="minorHAnsi"/>
          <w:sz w:val="24"/>
          <w:szCs w:val="24"/>
        </w:rPr>
      </w:pPr>
      <w:r w:rsidRPr="00F46D82">
        <w:rPr>
          <w:rFonts w:asciiTheme="minorHAnsi" w:hAnsiTheme="minorHAnsi" w:cstheme="minorHAnsi"/>
          <w:sz w:val="24"/>
          <w:szCs w:val="24"/>
        </w:rPr>
        <w:t xml:space="preserve">Consent forms that collect the signature of </w:t>
      </w:r>
      <w:r w:rsidR="00E26A9A">
        <w:rPr>
          <w:rFonts w:asciiTheme="minorHAnsi" w:hAnsiTheme="minorHAnsi" w:cstheme="minorHAnsi"/>
          <w:bCs/>
          <w:sz w:val="24"/>
          <w:szCs w:val="24"/>
        </w:rPr>
        <w:t>responden</w:t>
      </w:r>
      <w:r w:rsidR="00E26A9A" w:rsidRPr="00F46D82">
        <w:rPr>
          <w:rFonts w:asciiTheme="minorHAnsi" w:hAnsiTheme="minorHAnsi" w:cstheme="minorHAnsi"/>
          <w:bCs/>
          <w:sz w:val="24"/>
          <w:szCs w:val="24"/>
        </w:rPr>
        <w:t>t</w:t>
      </w:r>
      <w:r w:rsidR="00E26A9A">
        <w:rPr>
          <w:rFonts w:asciiTheme="minorHAnsi" w:hAnsiTheme="minorHAnsi" w:cstheme="minorHAnsi"/>
          <w:sz w:val="24"/>
          <w:szCs w:val="24"/>
        </w:rPr>
        <w:t>s</w:t>
      </w:r>
      <w:r w:rsidRPr="00F46D82">
        <w:rPr>
          <w:rFonts w:asciiTheme="minorHAnsi" w:hAnsiTheme="minorHAnsi" w:cstheme="minorHAnsi"/>
          <w:sz w:val="24"/>
          <w:szCs w:val="24"/>
        </w:rPr>
        <w:t xml:space="preserve"> will be paper instruments and a copy </w:t>
      </w:r>
      <w:proofErr w:type="gramStart"/>
      <w:r w:rsidRPr="00F46D82">
        <w:rPr>
          <w:rFonts w:asciiTheme="minorHAnsi" w:hAnsiTheme="minorHAnsi" w:cstheme="minorHAnsi"/>
          <w:sz w:val="24"/>
          <w:szCs w:val="24"/>
        </w:rPr>
        <w:t>will be given</w:t>
      </w:r>
      <w:proofErr w:type="gramEnd"/>
      <w:r w:rsidR="00B32937" w:rsidRPr="00F46D82">
        <w:rPr>
          <w:rFonts w:asciiTheme="minorHAnsi" w:hAnsiTheme="minorHAnsi" w:cstheme="minorHAnsi"/>
          <w:sz w:val="24"/>
          <w:szCs w:val="24"/>
        </w:rPr>
        <w:t xml:space="preserve"> to each res</w:t>
      </w:r>
      <w:r w:rsidR="004E421A">
        <w:rPr>
          <w:rFonts w:asciiTheme="minorHAnsi" w:hAnsiTheme="minorHAnsi" w:cstheme="minorHAnsi"/>
          <w:sz w:val="24"/>
          <w:szCs w:val="24"/>
        </w:rPr>
        <w:t xml:space="preserve">pondent. </w:t>
      </w:r>
      <w:r w:rsidR="00B32937" w:rsidRPr="00F46D82">
        <w:rPr>
          <w:rFonts w:asciiTheme="minorHAnsi" w:hAnsiTheme="minorHAnsi" w:cstheme="minorHAnsi"/>
          <w:sz w:val="24"/>
          <w:szCs w:val="24"/>
        </w:rPr>
        <w:t>Height,</w:t>
      </w:r>
      <w:r w:rsidRPr="00F46D82">
        <w:rPr>
          <w:rFonts w:asciiTheme="minorHAnsi" w:hAnsiTheme="minorHAnsi" w:cstheme="minorHAnsi"/>
          <w:sz w:val="24"/>
          <w:szCs w:val="24"/>
        </w:rPr>
        <w:t xml:space="preserve"> weight</w:t>
      </w:r>
      <w:r w:rsidR="00B32937" w:rsidRPr="00F46D82">
        <w:rPr>
          <w:rFonts w:asciiTheme="minorHAnsi" w:hAnsiTheme="minorHAnsi" w:cstheme="minorHAnsi"/>
          <w:sz w:val="24"/>
          <w:szCs w:val="24"/>
        </w:rPr>
        <w:t>, and other applicable body measures</w:t>
      </w:r>
      <w:r w:rsidR="00CF367B" w:rsidRPr="00F46D82">
        <w:rPr>
          <w:rFonts w:asciiTheme="minorHAnsi" w:hAnsiTheme="minorHAnsi" w:cstheme="minorHAnsi"/>
          <w:sz w:val="24"/>
          <w:szCs w:val="24"/>
        </w:rPr>
        <w:t xml:space="preserve"> and blood pressure</w:t>
      </w:r>
      <w:r w:rsidRPr="00F46D82">
        <w:rPr>
          <w:rFonts w:asciiTheme="minorHAnsi" w:hAnsiTheme="minorHAnsi" w:cstheme="minorHAnsi"/>
          <w:sz w:val="24"/>
          <w:szCs w:val="24"/>
        </w:rPr>
        <w:t xml:space="preserve"> </w:t>
      </w:r>
      <w:proofErr w:type="gramStart"/>
      <w:r w:rsidRPr="00F46D82">
        <w:rPr>
          <w:rFonts w:asciiTheme="minorHAnsi" w:hAnsiTheme="minorHAnsi" w:cstheme="minorHAnsi"/>
          <w:sz w:val="24"/>
          <w:szCs w:val="24"/>
        </w:rPr>
        <w:t>will be recorded on a paper form</w:t>
      </w:r>
      <w:r w:rsidR="00CF367B" w:rsidRPr="00F46D82">
        <w:rPr>
          <w:rFonts w:asciiTheme="minorHAnsi" w:hAnsiTheme="minorHAnsi" w:cstheme="minorHAnsi"/>
          <w:sz w:val="24"/>
          <w:szCs w:val="24"/>
        </w:rPr>
        <w:t xml:space="preserve"> and tran</w:t>
      </w:r>
      <w:r w:rsidR="004E421A">
        <w:rPr>
          <w:rFonts w:asciiTheme="minorHAnsi" w:hAnsiTheme="minorHAnsi" w:cstheme="minorHAnsi"/>
          <w:sz w:val="24"/>
          <w:szCs w:val="24"/>
        </w:rPr>
        <w:t>sferred to an electronic form</w:t>
      </w:r>
      <w:proofErr w:type="gramEnd"/>
      <w:r w:rsidR="004E421A">
        <w:rPr>
          <w:rFonts w:asciiTheme="minorHAnsi" w:hAnsiTheme="minorHAnsi" w:cstheme="minorHAnsi"/>
          <w:sz w:val="24"/>
          <w:szCs w:val="24"/>
        </w:rPr>
        <w:t xml:space="preserve">. </w:t>
      </w:r>
      <w:r w:rsidR="00CF367B" w:rsidRPr="00F46D82">
        <w:rPr>
          <w:rFonts w:asciiTheme="minorHAnsi" w:hAnsiTheme="minorHAnsi" w:cstheme="minorHAnsi"/>
          <w:sz w:val="24"/>
          <w:szCs w:val="24"/>
        </w:rPr>
        <w:t xml:space="preserve">Data on medication use </w:t>
      </w:r>
      <w:proofErr w:type="gramStart"/>
      <w:r w:rsidR="00CF367B" w:rsidRPr="00F46D82">
        <w:rPr>
          <w:rFonts w:asciiTheme="minorHAnsi" w:hAnsiTheme="minorHAnsi" w:cstheme="minorHAnsi"/>
          <w:sz w:val="24"/>
          <w:szCs w:val="24"/>
        </w:rPr>
        <w:t>will be collected</w:t>
      </w:r>
      <w:proofErr w:type="gramEnd"/>
      <w:r w:rsidR="00CF367B" w:rsidRPr="00F46D82">
        <w:rPr>
          <w:rFonts w:asciiTheme="minorHAnsi" w:hAnsiTheme="minorHAnsi" w:cstheme="minorHAnsi"/>
          <w:sz w:val="24"/>
          <w:szCs w:val="24"/>
        </w:rPr>
        <w:t xml:space="preserve"> directly </w:t>
      </w:r>
      <w:r w:rsidR="009C4E40">
        <w:rPr>
          <w:rFonts w:asciiTheme="minorHAnsi" w:hAnsiTheme="minorHAnsi" w:cstheme="minorHAnsi"/>
          <w:sz w:val="24"/>
          <w:szCs w:val="24"/>
        </w:rPr>
        <w:t>in</w:t>
      </w:r>
      <w:r w:rsidR="00CF367B" w:rsidRPr="00F46D82">
        <w:rPr>
          <w:rFonts w:asciiTheme="minorHAnsi" w:hAnsiTheme="minorHAnsi" w:cstheme="minorHAnsi"/>
          <w:sz w:val="24"/>
          <w:szCs w:val="24"/>
        </w:rPr>
        <w:t xml:space="preserve"> electronic form</w:t>
      </w:r>
      <w:r w:rsidR="009C4E40">
        <w:rPr>
          <w:rFonts w:asciiTheme="minorHAnsi" w:hAnsiTheme="minorHAnsi" w:cstheme="minorHAnsi"/>
          <w:sz w:val="24"/>
          <w:szCs w:val="24"/>
        </w:rPr>
        <w:t>at</w:t>
      </w:r>
      <w:r w:rsidR="00CF367B" w:rsidRPr="00F46D82">
        <w:rPr>
          <w:rFonts w:asciiTheme="minorHAnsi" w:hAnsiTheme="minorHAnsi" w:cstheme="minorHAnsi"/>
          <w:sz w:val="24"/>
          <w:szCs w:val="24"/>
        </w:rPr>
        <w:t xml:space="preserve"> </w:t>
      </w:r>
      <w:r w:rsidR="009C4E40">
        <w:rPr>
          <w:rFonts w:asciiTheme="minorHAnsi" w:hAnsiTheme="minorHAnsi" w:cstheme="minorHAnsi"/>
          <w:sz w:val="24"/>
          <w:szCs w:val="24"/>
        </w:rPr>
        <w:t>using a</w:t>
      </w:r>
      <w:r w:rsidR="00CF367B" w:rsidRPr="00F46D82">
        <w:rPr>
          <w:rFonts w:asciiTheme="minorHAnsi" w:hAnsiTheme="minorHAnsi" w:cstheme="minorHAnsi"/>
          <w:sz w:val="24"/>
          <w:szCs w:val="24"/>
        </w:rPr>
        <w:t xml:space="preserve"> CATI.</w:t>
      </w:r>
    </w:p>
    <w:p w:rsidR="00B80A46" w:rsidRPr="00F46D82" w:rsidRDefault="00063A39" w:rsidP="00CD6773">
      <w:pPr>
        <w:pStyle w:val="Heading2"/>
        <w:spacing w:before="360" w:line="240" w:lineRule="auto"/>
        <w:rPr>
          <w:rFonts w:asciiTheme="minorHAnsi" w:hAnsiTheme="minorHAnsi" w:cstheme="minorHAnsi"/>
        </w:rPr>
      </w:pPr>
      <w:bookmarkStart w:id="20" w:name="_Toc296699088"/>
      <w:bookmarkStart w:id="21" w:name="_Toc349489246"/>
      <w:r w:rsidRPr="00F46D82">
        <w:rPr>
          <w:rFonts w:asciiTheme="minorHAnsi" w:hAnsiTheme="minorHAnsi" w:cstheme="minorHAnsi"/>
        </w:rPr>
        <w:t>A.</w:t>
      </w:r>
      <w:r w:rsidR="00020EFF" w:rsidRPr="00F46D82">
        <w:rPr>
          <w:rFonts w:asciiTheme="minorHAnsi" w:hAnsiTheme="minorHAnsi" w:cstheme="minorHAnsi"/>
        </w:rPr>
        <w:t>4. Efforts to Identify Duplication and Use of Similar Information</w:t>
      </w:r>
      <w:bookmarkEnd w:id="20"/>
      <w:bookmarkEnd w:id="21"/>
      <w:r w:rsidR="00020EFF" w:rsidRPr="00F46D82">
        <w:rPr>
          <w:rFonts w:asciiTheme="minorHAnsi" w:hAnsiTheme="minorHAnsi" w:cstheme="minorHAnsi"/>
        </w:rPr>
        <w:t xml:space="preserve"> </w:t>
      </w:r>
      <w:bookmarkStart w:id="22" w:name="_Toc296699089"/>
    </w:p>
    <w:p w:rsidR="00F90B11" w:rsidRPr="00F46D82" w:rsidRDefault="00F90B11" w:rsidP="00CD6773">
      <w:pPr>
        <w:spacing w:after="0" w:line="240" w:lineRule="auto"/>
        <w:rPr>
          <w:rFonts w:asciiTheme="minorHAnsi" w:hAnsiTheme="minorHAnsi" w:cstheme="minorHAnsi"/>
          <w:i/>
          <w:sz w:val="24"/>
          <w:szCs w:val="24"/>
        </w:rPr>
      </w:pPr>
    </w:p>
    <w:p w:rsidR="00915C8D" w:rsidRPr="00955810" w:rsidRDefault="00404FFD" w:rsidP="004E421A">
      <w:pPr>
        <w:spacing w:after="0" w:line="240" w:lineRule="auto"/>
        <w:jc w:val="both"/>
        <w:rPr>
          <w:rFonts w:asciiTheme="minorHAnsi" w:hAnsiTheme="minorHAnsi" w:cstheme="minorHAnsi"/>
          <w:sz w:val="24"/>
          <w:szCs w:val="24"/>
        </w:rPr>
      </w:pPr>
      <w:r w:rsidRPr="00F46D82">
        <w:rPr>
          <w:rFonts w:asciiTheme="minorHAnsi" w:hAnsiTheme="minorHAnsi" w:cstheme="minorHAnsi"/>
          <w:sz w:val="24"/>
          <w:szCs w:val="24"/>
        </w:rPr>
        <w:t>The ATSDR efforts to identify duplication of the propose</w:t>
      </w:r>
      <w:r w:rsidR="00447C54" w:rsidRPr="00F46D82">
        <w:rPr>
          <w:rFonts w:asciiTheme="minorHAnsi" w:hAnsiTheme="minorHAnsi" w:cstheme="minorHAnsi"/>
          <w:sz w:val="24"/>
          <w:szCs w:val="24"/>
        </w:rPr>
        <w:t xml:space="preserve">d IC included </w:t>
      </w:r>
      <w:r w:rsidRPr="00F46D82">
        <w:rPr>
          <w:rFonts w:asciiTheme="minorHAnsi" w:hAnsiTheme="minorHAnsi" w:cstheme="minorHAnsi"/>
          <w:sz w:val="24"/>
          <w:szCs w:val="24"/>
        </w:rPr>
        <w:t>attendance at national meetings</w:t>
      </w:r>
      <w:r w:rsidR="00A72625" w:rsidRPr="00F46D82">
        <w:rPr>
          <w:rFonts w:asciiTheme="minorHAnsi" w:hAnsiTheme="minorHAnsi" w:cstheme="minorHAnsi"/>
          <w:sz w:val="24"/>
          <w:szCs w:val="24"/>
        </w:rPr>
        <w:t xml:space="preserve">, </w:t>
      </w:r>
      <w:r w:rsidR="00447C54" w:rsidRPr="00F46D82">
        <w:rPr>
          <w:rFonts w:asciiTheme="minorHAnsi" w:hAnsiTheme="minorHAnsi" w:cstheme="minorHAnsi"/>
          <w:sz w:val="24"/>
          <w:szCs w:val="24"/>
        </w:rPr>
        <w:t xml:space="preserve">and </w:t>
      </w:r>
      <w:r w:rsidR="00A72625" w:rsidRPr="00F46D82">
        <w:rPr>
          <w:rFonts w:asciiTheme="minorHAnsi" w:hAnsiTheme="minorHAnsi" w:cstheme="minorHAnsi"/>
          <w:sz w:val="24"/>
          <w:szCs w:val="24"/>
        </w:rPr>
        <w:t xml:space="preserve">consultations with </w:t>
      </w:r>
      <w:r w:rsidR="002E4E8E" w:rsidRPr="00F46D82">
        <w:rPr>
          <w:rFonts w:asciiTheme="minorHAnsi" w:hAnsiTheme="minorHAnsi" w:cstheme="minorHAnsi"/>
          <w:sz w:val="24"/>
          <w:szCs w:val="24"/>
        </w:rPr>
        <w:t xml:space="preserve">state and </w:t>
      </w:r>
      <w:r w:rsidR="00A72625" w:rsidRPr="00F46D82">
        <w:rPr>
          <w:rFonts w:asciiTheme="minorHAnsi" w:hAnsiTheme="minorHAnsi" w:cstheme="minorHAnsi"/>
          <w:sz w:val="24"/>
          <w:szCs w:val="24"/>
        </w:rPr>
        <w:t>other agencies and community representatives.</w:t>
      </w:r>
      <w:r w:rsidR="00325C1A" w:rsidRPr="00F46D82">
        <w:rPr>
          <w:rFonts w:asciiTheme="minorHAnsi" w:hAnsiTheme="minorHAnsi" w:cstheme="minorHAnsi"/>
          <w:sz w:val="24"/>
          <w:szCs w:val="24"/>
        </w:rPr>
        <w:t xml:space="preserve"> </w:t>
      </w:r>
      <w:r w:rsidR="00E1236B">
        <w:rPr>
          <w:rFonts w:asciiTheme="minorHAnsi" w:hAnsiTheme="minorHAnsi" w:cstheme="minorHAnsi"/>
          <w:sz w:val="24"/>
          <w:szCs w:val="24"/>
        </w:rPr>
        <w:t>Based on information gathered from these activities</w:t>
      </w:r>
      <w:r w:rsidR="00643A9A" w:rsidRPr="00F46D82">
        <w:rPr>
          <w:rFonts w:asciiTheme="minorHAnsi" w:hAnsiTheme="minorHAnsi" w:cstheme="minorHAnsi"/>
          <w:sz w:val="24"/>
          <w:szCs w:val="24"/>
        </w:rPr>
        <w:t>, ATSDR worked with</w:t>
      </w:r>
      <w:r w:rsidR="00325C1A" w:rsidRPr="00F46D82">
        <w:rPr>
          <w:rFonts w:asciiTheme="minorHAnsi" w:hAnsiTheme="minorHAnsi" w:cstheme="minorHAnsi"/>
          <w:sz w:val="24"/>
          <w:szCs w:val="24"/>
        </w:rPr>
        <w:t xml:space="preserve"> </w:t>
      </w:r>
      <w:r w:rsidR="00752C5B" w:rsidRPr="00F46D82">
        <w:rPr>
          <w:rFonts w:asciiTheme="minorHAnsi" w:hAnsiTheme="minorHAnsi" w:cstheme="minorHAnsi"/>
          <w:sz w:val="24"/>
          <w:szCs w:val="24"/>
        </w:rPr>
        <w:t>the NI</w:t>
      </w:r>
      <w:r w:rsidR="000150B1">
        <w:rPr>
          <w:rFonts w:asciiTheme="minorHAnsi" w:hAnsiTheme="minorHAnsi" w:cstheme="minorHAnsi"/>
          <w:sz w:val="24"/>
          <w:szCs w:val="24"/>
        </w:rPr>
        <w:t>H</w:t>
      </w:r>
      <w:r w:rsidR="00752C5B" w:rsidRPr="00F46D82">
        <w:rPr>
          <w:rFonts w:asciiTheme="minorHAnsi" w:hAnsiTheme="minorHAnsi" w:cstheme="minorHAnsi"/>
          <w:sz w:val="24"/>
          <w:szCs w:val="24"/>
        </w:rPr>
        <w:t xml:space="preserve"> </w:t>
      </w:r>
      <w:r w:rsidR="0067260B">
        <w:rPr>
          <w:rFonts w:asciiTheme="minorHAnsi" w:hAnsiTheme="minorHAnsi" w:cstheme="minorHAnsi"/>
          <w:sz w:val="24"/>
          <w:szCs w:val="24"/>
        </w:rPr>
        <w:t>and its other key personnel</w:t>
      </w:r>
      <w:r w:rsidR="00315554">
        <w:rPr>
          <w:rFonts w:asciiTheme="minorHAnsi" w:hAnsiTheme="minorHAnsi" w:cstheme="minorHAnsi"/>
          <w:sz w:val="24"/>
          <w:szCs w:val="24"/>
        </w:rPr>
        <w:t xml:space="preserve"> </w:t>
      </w:r>
      <w:r w:rsidR="00AC05A2">
        <w:rPr>
          <w:rFonts w:asciiTheme="minorHAnsi" w:hAnsiTheme="minorHAnsi" w:cstheme="minorHAnsi"/>
          <w:sz w:val="24"/>
          <w:szCs w:val="24"/>
        </w:rPr>
        <w:t>to develop the study design, data collection methods, and privacy protections</w:t>
      </w:r>
      <w:r w:rsidR="00113BFC" w:rsidRPr="00F46D82">
        <w:rPr>
          <w:rFonts w:asciiTheme="minorHAnsi" w:hAnsiTheme="minorHAnsi" w:cstheme="minorHAnsi"/>
          <w:sz w:val="24"/>
          <w:szCs w:val="24"/>
        </w:rPr>
        <w:t>.</w:t>
      </w:r>
      <w:r w:rsidR="00915C8D">
        <w:rPr>
          <w:rFonts w:asciiTheme="minorHAnsi" w:hAnsiTheme="minorHAnsi" w:cstheme="minorHAnsi"/>
          <w:sz w:val="24"/>
          <w:szCs w:val="24"/>
        </w:rPr>
        <w:t xml:space="preserve"> </w:t>
      </w:r>
      <w:r w:rsidR="00915C8D">
        <w:rPr>
          <w:rFonts w:asciiTheme="minorHAnsi" w:hAnsiTheme="minorHAnsi" w:cstheme="minorHAnsi"/>
          <w:color w:val="000000"/>
          <w:sz w:val="24"/>
          <w:szCs w:val="24"/>
        </w:rPr>
        <w:t>The following table presents the ACHS-II research team.</w:t>
      </w:r>
    </w:p>
    <w:p w:rsidR="00915C8D" w:rsidRDefault="00915C8D" w:rsidP="00915C8D">
      <w:pPr>
        <w:spacing w:after="0" w:line="240" w:lineRule="auto"/>
        <w:rPr>
          <w:rFonts w:asciiTheme="minorHAnsi" w:hAnsiTheme="minorHAnsi" w:cstheme="minorHAnsi"/>
          <w:color w:val="000000"/>
          <w:sz w:val="24"/>
          <w:szCs w:val="24"/>
        </w:rPr>
      </w:pPr>
    </w:p>
    <w:p w:rsidR="00915C8D" w:rsidRDefault="00915C8D" w:rsidP="00915C8D">
      <w:pPr>
        <w:spacing w:after="0" w:line="240" w:lineRule="auto"/>
        <w:rPr>
          <w:sz w:val="24"/>
          <w:szCs w:val="24"/>
        </w:rPr>
      </w:pPr>
      <w:bookmarkStart w:id="23" w:name="_Toc329944762"/>
      <w:proofErr w:type="gramStart"/>
      <w:r w:rsidRPr="000C4397">
        <w:rPr>
          <w:b/>
          <w:sz w:val="24"/>
          <w:szCs w:val="24"/>
        </w:rPr>
        <w:lastRenderedPageBreak/>
        <w:t>Table 1.</w:t>
      </w:r>
      <w:proofErr w:type="gramEnd"/>
      <w:r w:rsidRPr="000C4397">
        <w:rPr>
          <w:sz w:val="24"/>
          <w:szCs w:val="24"/>
        </w:rPr>
        <w:t xml:space="preserve"> </w:t>
      </w:r>
      <w:bookmarkEnd w:id="23"/>
      <w:r w:rsidRPr="000C4397">
        <w:rPr>
          <w:sz w:val="24"/>
          <w:szCs w:val="24"/>
        </w:rPr>
        <w:t>Investigators and Key Study Personnel</w:t>
      </w:r>
    </w:p>
    <w:p w:rsidR="000C4397" w:rsidRPr="000C4397" w:rsidRDefault="000C4397" w:rsidP="00915C8D">
      <w:pPr>
        <w:spacing w:after="0" w:line="240" w:lineRule="auto"/>
        <w:rPr>
          <w:b/>
          <w:sz w:val="24"/>
          <w:szCs w:val="24"/>
        </w:rPr>
      </w:pPr>
    </w:p>
    <w:tbl>
      <w:tblPr>
        <w:tblStyle w:val="TableGrid"/>
        <w:tblW w:w="0" w:type="auto"/>
        <w:tblLook w:val="04A0" w:firstRow="1" w:lastRow="0" w:firstColumn="1" w:lastColumn="0" w:noHBand="0" w:noVBand="1"/>
      </w:tblPr>
      <w:tblGrid>
        <w:gridCol w:w="3438"/>
        <w:gridCol w:w="6138"/>
      </w:tblGrid>
      <w:tr w:rsidR="00915C8D" w:rsidRPr="00D9363A" w:rsidTr="00915C8D">
        <w:tc>
          <w:tcPr>
            <w:tcW w:w="3438" w:type="dxa"/>
            <w:tcBorders>
              <w:bottom w:val="single" w:sz="4" w:space="0" w:color="auto"/>
            </w:tcBorders>
          </w:tcPr>
          <w:p w:rsidR="00915C8D" w:rsidRPr="00D25F04" w:rsidRDefault="00915C8D" w:rsidP="00915C8D">
            <w:pPr>
              <w:spacing w:after="0" w:line="240" w:lineRule="auto"/>
              <w:rPr>
                <w:sz w:val="20"/>
                <w:szCs w:val="20"/>
              </w:rPr>
            </w:pPr>
            <w:r w:rsidRPr="00D25F04">
              <w:rPr>
                <w:sz w:val="20"/>
                <w:szCs w:val="20"/>
              </w:rPr>
              <w:t xml:space="preserve">Name </w:t>
            </w:r>
          </w:p>
        </w:tc>
        <w:tc>
          <w:tcPr>
            <w:tcW w:w="6138" w:type="dxa"/>
            <w:tcBorders>
              <w:bottom w:val="single" w:sz="4" w:space="0" w:color="auto"/>
            </w:tcBorders>
          </w:tcPr>
          <w:p w:rsidR="00915C8D" w:rsidRPr="00D25F04" w:rsidRDefault="00915C8D" w:rsidP="00915C8D">
            <w:pPr>
              <w:spacing w:after="0" w:line="240" w:lineRule="auto"/>
              <w:rPr>
                <w:sz w:val="20"/>
                <w:szCs w:val="20"/>
              </w:rPr>
            </w:pPr>
            <w:r w:rsidRPr="00D25F04">
              <w:rPr>
                <w:sz w:val="20"/>
                <w:szCs w:val="20"/>
              </w:rPr>
              <w:t>Affiliation</w:t>
            </w:r>
          </w:p>
        </w:tc>
      </w:tr>
      <w:tr w:rsidR="00915C8D" w:rsidRPr="00D9363A" w:rsidTr="00915C8D">
        <w:tc>
          <w:tcPr>
            <w:tcW w:w="9576" w:type="dxa"/>
            <w:gridSpan w:val="2"/>
            <w:shd w:val="clear" w:color="auto" w:fill="D9D9D9" w:themeFill="background1" w:themeFillShade="D9"/>
          </w:tcPr>
          <w:p w:rsidR="00915C8D" w:rsidRPr="00D25F04" w:rsidRDefault="00915C8D" w:rsidP="00915C8D">
            <w:pPr>
              <w:spacing w:after="0" w:line="240" w:lineRule="auto"/>
              <w:rPr>
                <w:sz w:val="20"/>
                <w:szCs w:val="20"/>
              </w:rPr>
            </w:pPr>
            <w:r w:rsidRPr="00D25F04">
              <w:rPr>
                <w:sz w:val="20"/>
                <w:szCs w:val="20"/>
              </w:rPr>
              <w:t>PRINCIPAL INVESTIGATORS</w:t>
            </w:r>
          </w:p>
        </w:tc>
      </w:tr>
      <w:tr w:rsidR="00915C8D" w:rsidRPr="00D9363A" w:rsidTr="00915C8D">
        <w:tc>
          <w:tcPr>
            <w:tcW w:w="3438" w:type="dxa"/>
          </w:tcPr>
          <w:p w:rsidR="00915C8D" w:rsidRPr="00D25F04" w:rsidRDefault="00915C8D" w:rsidP="00915C8D">
            <w:pPr>
              <w:spacing w:after="0" w:line="240" w:lineRule="auto"/>
              <w:rPr>
                <w:sz w:val="20"/>
                <w:szCs w:val="20"/>
              </w:rPr>
            </w:pPr>
            <w:r w:rsidRPr="00D25F04">
              <w:rPr>
                <w:sz w:val="20"/>
                <w:szCs w:val="20"/>
              </w:rPr>
              <w:t>Marian Pavuk, MD, PhD</w:t>
            </w:r>
          </w:p>
        </w:tc>
        <w:tc>
          <w:tcPr>
            <w:tcW w:w="6138" w:type="dxa"/>
          </w:tcPr>
          <w:p w:rsidR="00915C8D" w:rsidRPr="00D25F04" w:rsidRDefault="00915C8D" w:rsidP="00915C8D">
            <w:pPr>
              <w:spacing w:after="0" w:line="240" w:lineRule="auto"/>
              <w:rPr>
                <w:sz w:val="20"/>
                <w:szCs w:val="20"/>
              </w:rPr>
            </w:pPr>
            <w:r w:rsidRPr="00D25F04">
              <w:rPr>
                <w:sz w:val="20"/>
                <w:szCs w:val="20"/>
              </w:rPr>
              <w:t>ATSDR – Principal Investigator; Senior Epidemiologist</w:t>
            </w:r>
          </w:p>
        </w:tc>
      </w:tr>
      <w:tr w:rsidR="00915C8D" w:rsidRPr="00D9363A" w:rsidTr="00915C8D">
        <w:tc>
          <w:tcPr>
            <w:tcW w:w="3438" w:type="dxa"/>
            <w:tcBorders>
              <w:bottom w:val="single" w:sz="4" w:space="0" w:color="auto"/>
            </w:tcBorders>
          </w:tcPr>
          <w:p w:rsidR="00915C8D" w:rsidRPr="00D25F04" w:rsidRDefault="00915C8D" w:rsidP="00915C8D">
            <w:pPr>
              <w:spacing w:after="0" w:line="240" w:lineRule="auto"/>
              <w:rPr>
                <w:sz w:val="20"/>
                <w:szCs w:val="20"/>
              </w:rPr>
            </w:pPr>
            <w:r w:rsidRPr="00D25F04">
              <w:rPr>
                <w:sz w:val="20"/>
                <w:szCs w:val="20"/>
              </w:rPr>
              <w:t>Stephen Mennemeyer, PhD</w:t>
            </w:r>
          </w:p>
        </w:tc>
        <w:tc>
          <w:tcPr>
            <w:tcW w:w="6138" w:type="dxa"/>
            <w:tcBorders>
              <w:bottom w:val="single" w:sz="4" w:space="0" w:color="auto"/>
            </w:tcBorders>
          </w:tcPr>
          <w:p w:rsidR="00915C8D" w:rsidRPr="00D25F04" w:rsidRDefault="00915C8D" w:rsidP="00915C8D">
            <w:pPr>
              <w:spacing w:after="0" w:line="240" w:lineRule="auto"/>
              <w:rPr>
                <w:sz w:val="20"/>
                <w:szCs w:val="20"/>
              </w:rPr>
            </w:pPr>
            <w:r w:rsidRPr="00D25F04">
              <w:rPr>
                <w:sz w:val="20"/>
                <w:szCs w:val="20"/>
              </w:rPr>
              <w:t xml:space="preserve">UAB – </w:t>
            </w:r>
            <w:r w:rsidR="00A4731B">
              <w:rPr>
                <w:sz w:val="20"/>
                <w:szCs w:val="20"/>
              </w:rPr>
              <w:t>Co-</w:t>
            </w:r>
            <w:r w:rsidRPr="00D25F04">
              <w:rPr>
                <w:sz w:val="20"/>
                <w:szCs w:val="20"/>
              </w:rPr>
              <w:t>Principal Investigator; Professor, School of Public Health</w:t>
            </w:r>
          </w:p>
        </w:tc>
      </w:tr>
      <w:tr w:rsidR="00915C8D" w:rsidRPr="00D9363A" w:rsidTr="00915C8D">
        <w:tc>
          <w:tcPr>
            <w:tcW w:w="9576" w:type="dxa"/>
            <w:gridSpan w:val="2"/>
            <w:shd w:val="clear" w:color="auto" w:fill="D9D9D9" w:themeFill="background1" w:themeFillShade="D9"/>
            <w:vAlign w:val="center"/>
          </w:tcPr>
          <w:p w:rsidR="00915C8D" w:rsidRPr="00D25F04" w:rsidRDefault="00915C8D" w:rsidP="00915C8D">
            <w:pPr>
              <w:spacing w:after="0" w:line="240" w:lineRule="auto"/>
              <w:rPr>
                <w:sz w:val="20"/>
                <w:szCs w:val="20"/>
              </w:rPr>
            </w:pPr>
            <w:r w:rsidRPr="00D25F04">
              <w:rPr>
                <w:sz w:val="20"/>
                <w:szCs w:val="20"/>
              </w:rPr>
              <w:t>CO-INVESTIGATORS</w:t>
            </w:r>
          </w:p>
        </w:tc>
      </w:tr>
      <w:tr w:rsidR="00A4731B" w:rsidRPr="00D9363A" w:rsidTr="00BE20FD">
        <w:tc>
          <w:tcPr>
            <w:tcW w:w="3438" w:type="dxa"/>
          </w:tcPr>
          <w:p w:rsidR="00A4731B" w:rsidRPr="00D25F04" w:rsidRDefault="00A4731B" w:rsidP="00D237E5">
            <w:pPr>
              <w:spacing w:after="0" w:line="240" w:lineRule="auto"/>
              <w:rPr>
                <w:sz w:val="20"/>
                <w:szCs w:val="20"/>
              </w:rPr>
            </w:pPr>
            <w:r w:rsidRPr="00D25F04">
              <w:rPr>
                <w:sz w:val="20"/>
                <w:szCs w:val="20"/>
              </w:rPr>
              <w:t>Linda Birnbaum, PhD, DABT, ATS *</w:t>
            </w:r>
          </w:p>
        </w:tc>
        <w:tc>
          <w:tcPr>
            <w:tcW w:w="6138" w:type="dxa"/>
          </w:tcPr>
          <w:p w:rsidR="00A4731B" w:rsidRPr="00D25F04" w:rsidRDefault="00A4731B" w:rsidP="00A4731B">
            <w:pPr>
              <w:spacing w:after="0" w:line="240" w:lineRule="auto"/>
              <w:rPr>
                <w:sz w:val="20"/>
                <w:szCs w:val="20"/>
              </w:rPr>
            </w:pPr>
            <w:r>
              <w:rPr>
                <w:sz w:val="20"/>
                <w:szCs w:val="20"/>
              </w:rPr>
              <w:t>NIH – Investigator</w:t>
            </w:r>
            <w:r w:rsidRPr="00D25F04">
              <w:rPr>
                <w:sz w:val="20"/>
                <w:szCs w:val="20"/>
              </w:rPr>
              <w:t>; Director, NIEHS/NTP</w:t>
            </w:r>
          </w:p>
        </w:tc>
      </w:tr>
      <w:tr w:rsidR="00A4731B" w:rsidRPr="00D9363A" w:rsidTr="00BE20FD">
        <w:tc>
          <w:tcPr>
            <w:tcW w:w="3438" w:type="dxa"/>
          </w:tcPr>
          <w:p w:rsidR="00A4731B" w:rsidRPr="00D25F04" w:rsidRDefault="00A4731B" w:rsidP="00BE20FD">
            <w:pPr>
              <w:spacing w:after="0" w:line="240" w:lineRule="auto"/>
              <w:rPr>
                <w:sz w:val="20"/>
                <w:szCs w:val="20"/>
              </w:rPr>
            </w:pPr>
            <w:r>
              <w:rPr>
                <w:sz w:val="20"/>
                <w:szCs w:val="20"/>
              </w:rPr>
              <w:t>Paul Wolff</w:t>
            </w:r>
          </w:p>
        </w:tc>
        <w:tc>
          <w:tcPr>
            <w:tcW w:w="6138" w:type="dxa"/>
          </w:tcPr>
          <w:p w:rsidR="00A4731B" w:rsidRPr="00D25F04" w:rsidRDefault="00A4731B" w:rsidP="000C4397">
            <w:pPr>
              <w:spacing w:after="0" w:line="240" w:lineRule="auto"/>
              <w:rPr>
                <w:sz w:val="20"/>
                <w:szCs w:val="20"/>
              </w:rPr>
            </w:pPr>
            <w:r>
              <w:rPr>
                <w:sz w:val="20"/>
                <w:szCs w:val="20"/>
              </w:rPr>
              <w:t>UAB – Research Coordinator</w:t>
            </w:r>
          </w:p>
        </w:tc>
      </w:tr>
      <w:tr w:rsidR="00A4731B" w:rsidRPr="00D9363A" w:rsidTr="00915C8D">
        <w:tc>
          <w:tcPr>
            <w:tcW w:w="3438" w:type="dxa"/>
            <w:vAlign w:val="center"/>
          </w:tcPr>
          <w:p w:rsidR="00A4731B" w:rsidRPr="00D25F04" w:rsidRDefault="00A4731B" w:rsidP="00915C8D">
            <w:pPr>
              <w:spacing w:after="0" w:line="240" w:lineRule="auto"/>
              <w:rPr>
                <w:sz w:val="20"/>
                <w:szCs w:val="20"/>
              </w:rPr>
            </w:pPr>
            <w:r w:rsidRPr="00D25F04">
              <w:rPr>
                <w:sz w:val="20"/>
                <w:szCs w:val="20"/>
              </w:rPr>
              <w:t>Paul Jung, MD, MPH, MBA, MA *</w:t>
            </w:r>
          </w:p>
        </w:tc>
        <w:tc>
          <w:tcPr>
            <w:tcW w:w="6138" w:type="dxa"/>
          </w:tcPr>
          <w:p w:rsidR="00A4731B" w:rsidRPr="00D25F04" w:rsidRDefault="00A4731B" w:rsidP="00915C8D">
            <w:pPr>
              <w:spacing w:after="0" w:line="240" w:lineRule="auto"/>
              <w:rPr>
                <w:sz w:val="20"/>
                <w:szCs w:val="20"/>
              </w:rPr>
            </w:pPr>
            <w:r w:rsidRPr="00D25F04">
              <w:rPr>
                <w:sz w:val="20"/>
                <w:szCs w:val="20"/>
              </w:rPr>
              <w:t>NIH – Chief of Staff, NIEHS</w:t>
            </w:r>
          </w:p>
        </w:tc>
      </w:tr>
      <w:tr w:rsidR="00A4731B" w:rsidRPr="00D9363A" w:rsidTr="00915C8D">
        <w:tc>
          <w:tcPr>
            <w:tcW w:w="3438" w:type="dxa"/>
            <w:vAlign w:val="center"/>
          </w:tcPr>
          <w:p w:rsidR="00A4731B" w:rsidRPr="00D25F04" w:rsidRDefault="00A4731B" w:rsidP="00915C8D">
            <w:pPr>
              <w:spacing w:after="0" w:line="240" w:lineRule="auto"/>
              <w:rPr>
                <w:sz w:val="20"/>
                <w:szCs w:val="20"/>
              </w:rPr>
            </w:pPr>
            <w:r w:rsidRPr="00D25F04">
              <w:rPr>
                <w:sz w:val="20"/>
                <w:szCs w:val="20"/>
              </w:rPr>
              <w:t>Mike Sanders, PhD, DABT *</w:t>
            </w:r>
          </w:p>
        </w:tc>
        <w:tc>
          <w:tcPr>
            <w:tcW w:w="6138" w:type="dxa"/>
          </w:tcPr>
          <w:p w:rsidR="00A4731B" w:rsidRPr="00D25F04" w:rsidRDefault="00A4731B" w:rsidP="00915C8D">
            <w:pPr>
              <w:spacing w:after="0" w:line="240" w:lineRule="auto"/>
              <w:rPr>
                <w:sz w:val="20"/>
                <w:szCs w:val="20"/>
              </w:rPr>
            </w:pPr>
            <w:r w:rsidRPr="00D25F04">
              <w:rPr>
                <w:sz w:val="20"/>
                <w:szCs w:val="20"/>
              </w:rPr>
              <w:t>NIH – Director, NCI Laboratory of Toxico</w:t>
            </w:r>
            <w:r>
              <w:rPr>
                <w:sz w:val="20"/>
                <w:szCs w:val="20"/>
              </w:rPr>
              <w:t xml:space="preserve">logy and </w:t>
            </w:r>
            <w:proofErr w:type="spellStart"/>
            <w:r>
              <w:rPr>
                <w:sz w:val="20"/>
                <w:szCs w:val="20"/>
              </w:rPr>
              <w:t>Toxicokinetics</w:t>
            </w:r>
            <w:proofErr w:type="spellEnd"/>
            <w:r w:rsidR="00A2559B">
              <w:rPr>
                <w:sz w:val="20"/>
                <w:szCs w:val="20"/>
              </w:rPr>
              <w:t xml:space="preserve"> </w:t>
            </w:r>
          </w:p>
        </w:tc>
      </w:tr>
      <w:tr w:rsidR="00A4731B" w:rsidRPr="00D9363A" w:rsidTr="00915C8D">
        <w:tc>
          <w:tcPr>
            <w:tcW w:w="3438" w:type="dxa"/>
            <w:vAlign w:val="center"/>
          </w:tcPr>
          <w:p w:rsidR="00A4731B" w:rsidRPr="00D25F04" w:rsidRDefault="00A4731B" w:rsidP="00915C8D">
            <w:pPr>
              <w:spacing w:after="0" w:line="240" w:lineRule="auto"/>
              <w:rPr>
                <w:sz w:val="20"/>
                <w:szCs w:val="20"/>
              </w:rPr>
            </w:pPr>
            <w:r w:rsidRPr="00D25F04">
              <w:rPr>
                <w:sz w:val="20"/>
                <w:szCs w:val="20"/>
              </w:rPr>
              <w:t>Stephanie Davis, MSPH</w:t>
            </w:r>
          </w:p>
        </w:tc>
        <w:tc>
          <w:tcPr>
            <w:tcW w:w="6138" w:type="dxa"/>
          </w:tcPr>
          <w:p w:rsidR="00A4731B" w:rsidRPr="00D25F04" w:rsidRDefault="00A4731B" w:rsidP="00915C8D">
            <w:pPr>
              <w:spacing w:after="0" w:line="240" w:lineRule="auto"/>
              <w:rPr>
                <w:sz w:val="20"/>
                <w:szCs w:val="20"/>
              </w:rPr>
            </w:pPr>
            <w:r w:rsidRPr="00D25F04">
              <w:rPr>
                <w:sz w:val="20"/>
                <w:szCs w:val="20"/>
              </w:rPr>
              <w:t>ATSDR, Epidemiologist</w:t>
            </w:r>
          </w:p>
        </w:tc>
      </w:tr>
      <w:tr w:rsidR="00A4731B" w:rsidRPr="00D9363A" w:rsidTr="00915C8D">
        <w:tc>
          <w:tcPr>
            <w:tcW w:w="3438" w:type="dxa"/>
            <w:vAlign w:val="center"/>
          </w:tcPr>
          <w:p w:rsidR="00A4731B" w:rsidRPr="00D25F04" w:rsidRDefault="00A4731B" w:rsidP="00915C8D">
            <w:pPr>
              <w:spacing w:after="0" w:line="240" w:lineRule="auto"/>
              <w:rPr>
                <w:sz w:val="20"/>
                <w:szCs w:val="20"/>
              </w:rPr>
            </w:pPr>
            <w:r w:rsidRPr="00D25F04">
              <w:rPr>
                <w:sz w:val="20"/>
                <w:szCs w:val="20"/>
              </w:rPr>
              <w:t>Michael Lewin, MS</w:t>
            </w:r>
          </w:p>
        </w:tc>
        <w:tc>
          <w:tcPr>
            <w:tcW w:w="6138" w:type="dxa"/>
          </w:tcPr>
          <w:p w:rsidR="00A4731B" w:rsidRPr="00D25F04" w:rsidRDefault="00A4731B" w:rsidP="00915C8D">
            <w:pPr>
              <w:spacing w:after="0" w:line="240" w:lineRule="auto"/>
              <w:rPr>
                <w:sz w:val="20"/>
                <w:szCs w:val="20"/>
              </w:rPr>
            </w:pPr>
            <w:r w:rsidRPr="00D25F04">
              <w:rPr>
                <w:sz w:val="20"/>
                <w:szCs w:val="20"/>
              </w:rPr>
              <w:t>ATSDR, Mathematical Statistician</w:t>
            </w:r>
          </w:p>
        </w:tc>
      </w:tr>
      <w:tr w:rsidR="00A4731B" w:rsidRPr="00D9363A" w:rsidTr="00915C8D">
        <w:tc>
          <w:tcPr>
            <w:tcW w:w="9576" w:type="dxa"/>
            <w:gridSpan w:val="2"/>
            <w:shd w:val="clear" w:color="auto" w:fill="D9D9D9" w:themeFill="background1" w:themeFillShade="D9"/>
            <w:vAlign w:val="center"/>
          </w:tcPr>
          <w:p w:rsidR="00A4731B" w:rsidRPr="00D25F04" w:rsidRDefault="00A4731B" w:rsidP="00915C8D">
            <w:pPr>
              <w:spacing w:after="0" w:line="240" w:lineRule="auto"/>
              <w:rPr>
                <w:sz w:val="20"/>
                <w:szCs w:val="20"/>
              </w:rPr>
            </w:pPr>
            <w:r w:rsidRPr="00D25F04">
              <w:rPr>
                <w:sz w:val="20"/>
                <w:szCs w:val="20"/>
              </w:rPr>
              <w:t>COLLABORATORS (UNDER CONTRACT)</w:t>
            </w:r>
          </w:p>
        </w:tc>
      </w:tr>
      <w:tr w:rsidR="0009675D" w:rsidRPr="00D25F04" w:rsidTr="00CA29A9">
        <w:tc>
          <w:tcPr>
            <w:tcW w:w="3438" w:type="dxa"/>
            <w:vAlign w:val="center"/>
          </w:tcPr>
          <w:p w:rsidR="0009675D" w:rsidRPr="00D25F04" w:rsidRDefault="0009675D" w:rsidP="00CA29A9">
            <w:pPr>
              <w:spacing w:after="0" w:line="240" w:lineRule="auto"/>
              <w:rPr>
                <w:sz w:val="20"/>
                <w:szCs w:val="20"/>
              </w:rPr>
            </w:pPr>
            <w:r w:rsidRPr="00D25F04">
              <w:rPr>
                <w:sz w:val="20"/>
                <w:szCs w:val="20"/>
              </w:rPr>
              <w:t>Lori Bell</w:t>
            </w:r>
          </w:p>
        </w:tc>
        <w:tc>
          <w:tcPr>
            <w:tcW w:w="6138" w:type="dxa"/>
          </w:tcPr>
          <w:p w:rsidR="0009675D" w:rsidRPr="00D25F04" w:rsidRDefault="0009675D" w:rsidP="00CA29A9">
            <w:pPr>
              <w:spacing w:after="0" w:line="240" w:lineRule="auto"/>
              <w:rPr>
                <w:sz w:val="20"/>
                <w:szCs w:val="20"/>
              </w:rPr>
            </w:pPr>
            <w:r>
              <w:rPr>
                <w:sz w:val="20"/>
                <w:szCs w:val="20"/>
              </w:rPr>
              <w:t>C</w:t>
            </w:r>
            <w:r w:rsidR="00FC4732">
              <w:rPr>
                <w:sz w:val="20"/>
                <w:szCs w:val="20"/>
              </w:rPr>
              <w:t xml:space="preserve">alhoun </w:t>
            </w:r>
            <w:r>
              <w:rPr>
                <w:sz w:val="20"/>
                <w:szCs w:val="20"/>
              </w:rPr>
              <w:t>C</w:t>
            </w:r>
            <w:r w:rsidR="00FC4732">
              <w:rPr>
                <w:sz w:val="20"/>
                <w:szCs w:val="20"/>
              </w:rPr>
              <w:t xml:space="preserve">ounty </w:t>
            </w:r>
            <w:r>
              <w:rPr>
                <w:sz w:val="20"/>
                <w:szCs w:val="20"/>
              </w:rPr>
              <w:t>H</w:t>
            </w:r>
            <w:r w:rsidR="00FC4732">
              <w:rPr>
                <w:sz w:val="20"/>
                <w:szCs w:val="20"/>
              </w:rPr>
              <w:t xml:space="preserve">ealth </w:t>
            </w:r>
            <w:r>
              <w:rPr>
                <w:sz w:val="20"/>
                <w:szCs w:val="20"/>
              </w:rPr>
              <w:t>D</w:t>
            </w:r>
            <w:r w:rsidR="00FC4732">
              <w:rPr>
                <w:sz w:val="20"/>
                <w:szCs w:val="20"/>
              </w:rPr>
              <w:t>epartment</w:t>
            </w:r>
            <w:r>
              <w:rPr>
                <w:sz w:val="20"/>
                <w:szCs w:val="20"/>
              </w:rPr>
              <w:t xml:space="preserve"> - Director</w:t>
            </w:r>
            <w:r w:rsidRPr="00D25F04">
              <w:rPr>
                <w:sz w:val="20"/>
                <w:szCs w:val="20"/>
              </w:rPr>
              <w:t xml:space="preserve"> (UAB subcontract)</w:t>
            </w:r>
          </w:p>
        </w:tc>
      </w:tr>
      <w:tr w:rsidR="00A4731B" w:rsidRPr="00D9363A" w:rsidTr="00915C8D">
        <w:tc>
          <w:tcPr>
            <w:tcW w:w="3438" w:type="dxa"/>
            <w:vAlign w:val="center"/>
          </w:tcPr>
          <w:p w:rsidR="00A4731B" w:rsidRPr="00D25F04" w:rsidRDefault="00A4731B" w:rsidP="00915C8D">
            <w:pPr>
              <w:spacing w:after="0" w:line="240" w:lineRule="auto"/>
              <w:rPr>
                <w:sz w:val="20"/>
                <w:szCs w:val="20"/>
              </w:rPr>
            </w:pPr>
            <w:r w:rsidRPr="00D25F04">
              <w:rPr>
                <w:sz w:val="20"/>
                <w:szCs w:val="20"/>
              </w:rPr>
              <w:t xml:space="preserve">Andreas </w:t>
            </w:r>
            <w:proofErr w:type="spellStart"/>
            <w:r w:rsidRPr="00D25F04">
              <w:rPr>
                <w:sz w:val="20"/>
                <w:szCs w:val="20"/>
              </w:rPr>
              <w:t>Sjödin</w:t>
            </w:r>
            <w:proofErr w:type="spellEnd"/>
            <w:r w:rsidRPr="00D25F04">
              <w:rPr>
                <w:sz w:val="20"/>
                <w:szCs w:val="20"/>
              </w:rPr>
              <w:t>, PhD *</w:t>
            </w:r>
          </w:p>
        </w:tc>
        <w:tc>
          <w:tcPr>
            <w:tcW w:w="6138" w:type="dxa"/>
          </w:tcPr>
          <w:p w:rsidR="00A4731B" w:rsidRPr="00D25F04" w:rsidRDefault="00A4731B" w:rsidP="00915C8D">
            <w:pPr>
              <w:spacing w:after="0" w:line="240" w:lineRule="auto"/>
              <w:rPr>
                <w:sz w:val="20"/>
                <w:szCs w:val="20"/>
              </w:rPr>
            </w:pPr>
            <w:r w:rsidRPr="00D25F04">
              <w:rPr>
                <w:sz w:val="20"/>
                <w:szCs w:val="20"/>
              </w:rPr>
              <w:t>CDC NCEH Division of Laboratory Sciences</w:t>
            </w:r>
          </w:p>
        </w:tc>
      </w:tr>
      <w:tr w:rsidR="00A4731B" w:rsidRPr="00D9363A" w:rsidTr="00915C8D">
        <w:tc>
          <w:tcPr>
            <w:tcW w:w="3438" w:type="dxa"/>
            <w:vAlign w:val="center"/>
          </w:tcPr>
          <w:p w:rsidR="00A4731B" w:rsidRPr="00D25F04" w:rsidRDefault="00A4731B" w:rsidP="00915C8D">
            <w:pPr>
              <w:spacing w:after="0" w:line="240" w:lineRule="auto"/>
              <w:rPr>
                <w:sz w:val="20"/>
                <w:szCs w:val="20"/>
              </w:rPr>
            </w:pPr>
            <w:r w:rsidRPr="00D25F04">
              <w:rPr>
                <w:sz w:val="20"/>
                <w:szCs w:val="20"/>
              </w:rPr>
              <w:t>Kathleen Caldwell, PhD *</w:t>
            </w:r>
          </w:p>
        </w:tc>
        <w:tc>
          <w:tcPr>
            <w:tcW w:w="6138" w:type="dxa"/>
          </w:tcPr>
          <w:p w:rsidR="00A4731B" w:rsidRPr="00D25F04" w:rsidRDefault="00A4731B" w:rsidP="00915C8D">
            <w:pPr>
              <w:spacing w:after="0" w:line="240" w:lineRule="auto"/>
              <w:rPr>
                <w:sz w:val="20"/>
                <w:szCs w:val="20"/>
              </w:rPr>
            </w:pPr>
            <w:r w:rsidRPr="00D25F04">
              <w:rPr>
                <w:sz w:val="20"/>
                <w:szCs w:val="20"/>
              </w:rPr>
              <w:t>CDC NCEH Division of Laboratory Sciences</w:t>
            </w:r>
          </w:p>
        </w:tc>
      </w:tr>
      <w:tr w:rsidR="00A4731B" w:rsidRPr="00D9363A" w:rsidTr="00915C8D">
        <w:tc>
          <w:tcPr>
            <w:tcW w:w="3438" w:type="dxa"/>
            <w:vAlign w:val="center"/>
          </w:tcPr>
          <w:p w:rsidR="00A4731B" w:rsidRPr="00D25F04" w:rsidRDefault="00A4731B" w:rsidP="00915C8D">
            <w:pPr>
              <w:spacing w:after="0" w:line="240" w:lineRule="auto"/>
              <w:rPr>
                <w:sz w:val="20"/>
                <w:szCs w:val="20"/>
              </w:rPr>
            </w:pPr>
            <w:r w:rsidRPr="00D25F04">
              <w:rPr>
                <w:sz w:val="20"/>
                <w:szCs w:val="20"/>
              </w:rPr>
              <w:t>Matt Cave, MD *</w:t>
            </w:r>
          </w:p>
        </w:tc>
        <w:tc>
          <w:tcPr>
            <w:tcW w:w="6138" w:type="dxa"/>
          </w:tcPr>
          <w:p w:rsidR="00A4731B" w:rsidRPr="00D25F04" w:rsidRDefault="00A4731B" w:rsidP="00915C8D">
            <w:pPr>
              <w:spacing w:after="0" w:line="240" w:lineRule="auto"/>
              <w:rPr>
                <w:sz w:val="20"/>
                <w:szCs w:val="20"/>
              </w:rPr>
            </w:pPr>
            <w:r w:rsidRPr="00D25F04">
              <w:rPr>
                <w:sz w:val="20"/>
                <w:szCs w:val="20"/>
              </w:rPr>
              <w:t>University of Louisville, Louisville, KY</w:t>
            </w:r>
          </w:p>
        </w:tc>
      </w:tr>
      <w:tr w:rsidR="00A4731B" w:rsidRPr="00D9363A" w:rsidTr="00915C8D">
        <w:tc>
          <w:tcPr>
            <w:tcW w:w="3438" w:type="dxa"/>
            <w:vAlign w:val="center"/>
          </w:tcPr>
          <w:p w:rsidR="00A4731B" w:rsidRPr="00D25F04" w:rsidRDefault="00A4731B" w:rsidP="00915C8D">
            <w:pPr>
              <w:spacing w:after="0" w:line="240" w:lineRule="auto"/>
              <w:rPr>
                <w:sz w:val="20"/>
                <w:szCs w:val="20"/>
              </w:rPr>
            </w:pPr>
            <w:r w:rsidRPr="00D25F04">
              <w:rPr>
                <w:sz w:val="20"/>
                <w:szCs w:val="20"/>
              </w:rPr>
              <w:t>Santica Marcovina, PhD *</w:t>
            </w:r>
          </w:p>
        </w:tc>
        <w:tc>
          <w:tcPr>
            <w:tcW w:w="6138" w:type="dxa"/>
          </w:tcPr>
          <w:p w:rsidR="00A4731B" w:rsidRPr="00D25F04" w:rsidRDefault="00A4731B" w:rsidP="00915C8D">
            <w:pPr>
              <w:spacing w:after="0" w:line="240" w:lineRule="auto"/>
              <w:rPr>
                <w:sz w:val="20"/>
                <w:szCs w:val="20"/>
              </w:rPr>
            </w:pPr>
            <w:r w:rsidRPr="00D25F04">
              <w:rPr>
                <w:sz w:val="20"/>
                <w:szCs w:val="20"/>
              </w:rPr>
              <w:t>Northwest Lipid Metabolism and Diabetes Research Laboratories, Seattle, WA</w:t>
            </w:r>
          </w:p>
        </w:tc>
      </w:tr>
      <w:tr w:rsidR="00A4731B" w:rsidRPr="00D9363A" w:rsidTr="00915C8D">
        <w:tc>
          <w:tcPr>
            <w:tcW w:w="3438" w:type="dxa"/>
            <w:vAlign w:val="center"/>
          </w:tcPr>
          <w:p w:rsidR="00A4731B" w:rsidRPr="00D25F04" w:rsidRDefault="00A4731B" w:rsidP="00915C8D">
            <w:pPr>
              <w:spacing w:after="0" w:line="240" w:lineRule="auto"/>
              <w:rPr>
                <w:sz w:val="20"/>
                <w:szCs w:val="20"/>
              </w:rPr>
            </w:pPr>
            <w:proofErr w:type="spellStart"/>
            <w:r w:rsidRPr="009B1FEA">
              <w:rPr>
                <w:sz w:val="20"/>
                <w:szCs w:val="20"/>
              </w:rPr>
              <w:t>Arlon</w:t>
            </w:r>
            <w:proofErr w:type="spellEnd"/>
            <w:r w:rsidRPr="009B1FEA">
              <w:rPr>
                <w:sz w:val="20"/>
                <w:szCs w:val="20"/>
              </w:rPr>
              <w:t xml:space="preserve"> Sheffield</w:t>
            </w:r>
            <w:r w:rsidRPr="00D25F04">
              <w:rPr>
                <w:sz w:val="20"/>
                <w:szCs w:val="20"/>
              </w:rPr>
              <w:t xml:space="preserve"> *</w:t>
            </w:r>
          </w:p>
        </w:tc>
        <w:tc>
          <w:tcPr>
            <w:tcW w:w="6138" w:type="dxa"/>
          </w:tcPr>
          <w:p w:rsidR="00A4731B" w:rsidRPr="00D25F04" w:rsidRDefault="00A4731B" w:rsidP="00915C8D">
            <w:pPr>
              <w:spacing w:after="0" w:line="240" w:lineRule="auto"/>
              <w:rPr>
                <w:sz w:val="20"/>
                <w:szCs w:val="20"/>
              </w:rPr>
            </w:pPr>
            <w:r w:rsidRPr="00D25F04">
              <w:rPr>
                <w:sz w:val="20"/>
                <w:szCs w:val="20"/>
              </w:rPr>
              <w:t>Jacksonville Medical Center, Jacksonville, AL</w:t>
            </w:r>
          </w:p>
        </w:tc>
      </w:tr>
      <w:tr w:rsidR="00A4731B" w:rsidRPr="00D9363A" w:rsidTr="00915C8D">
        <w:tc>
          <w:tcPr>
            <w:tcW w:w="3438" w:type="dxa"/>
            <w:vAlign w:val="center"/>
          </w:tcPr>
          <w:p w:rsidR="00A4731B" w:rsidRPr="00D25F04" w:rsidRDefault="00A4731B" w:rsidP="00915C8D">
            <w:pPr>
              <w:spacing w:after="0" w:line="240" w:lineRule="auto"/>
              <w:rPr>
                <w:sz w:val="20"/>
                <w:szCs w:val="20"/>
              </w:rPr>
            </w:pPr>
            <w:r w:rsidRPr="00D25F04">
              <w:rPr>
                <w:sz w:val="20"/>
                <w:szCs w:val="20"/>
              </w:rPr>
              <w:t>Allen Silverstone, PhD *</w:t>
            </w:r>
          </w:p>
        </w:tc>
        <w:tc>
          <w:tcPr>
            <w:tcW w:w="6138" w:type="dxa"/>
          </w:tcPr>
          <w:p w:rsidR="00A4731B" w:rsidRPr="00D25F04" w:rsidRDefault="00A4731B" w:rsidP="00915C8D">
            <w:pPr>
              <w:spacing w:after="0" w:line="240" w:lineRule="auto"/>
              <w:rPr>
                <w:sz w:val="20"/>
                <w:szCs w:val="20"/>
              </w:rPr>
            </w:pPr>
            <w:r w:rsidRPr="00D25F04">
              <w:rPr>
                <w:sz w:val="20"/>
                <w:szCs w:val="20"/>
              </w:rPr>
              <w:t>SUNY Upstate Medical Center, Syracuse, NY</w:t>
            </w:r>
          </w:p>
        </w:tc>
      </w:tr>
      <w:tr w:rsidR="00A4731B" w:rsidRPr="00D9363A" w:rsidTr="00915C8D">
        <w:tc>
          <w:tcPr>
            <w:tcW w:w="3438" w:type="dxa"/>
            <w:tcBorders>
              <w:bottom w:val="single" w:sz="4" w:space="0" w:color="auto"/>
            </w:tcBorders>
            <w:vAlign w:val="center"/>
          </w:tcPr>
          <w:p w:rsidR="00A4731B" w:rsidRPr="00D25F04" w:rsidRDefault="00A4731B" w:rsidP="00915C8D">
            <w:pPr>
              <w:spacing w:after="0" w:line="240" w:lineRule="auto"/>
              <w:rPr>
                <w:sz w:val="20"/>
                <w:szCs w:val="20"/>
              </w:rPr>
            </w:pPr>
            <w:r w:rsidRPr="00D25F04">
              <w:rPr>
                <w:sz w:val="20"/>
                <w:szCs w:val="20"/>
              </w:rPr>
              <w:t>Carol Spencer, PhD *</w:t>
            </w:r>
          </w:p>
        </w:tc>
        <w:tc>
          <w:tcPr>
            <w:tcW w:w="6138" w:type="dxa"/>
            <w:tcBorders>
              <w:bottom w:val="single" w:sz="4" w:space="0" w:color="auto"/>
            </w:tcBorders>
          </w:tcPr>
          <w:p w:rsidR="00A4731B" w:rsidRPr="00D25F04" w:rsidRDefault="00A4731B" w:rsidP="00915C8D">
            <w:pPr>
              <w:spacing w:after="0" w:line="240" w:lineRule="auto"/>
              <w:rPr>
                <w:sz w:val="20"/>
                <w:szCs w:val="20"/>
              </w:rPr>
            </w:pPr>
            <w:r w:rsidRPr="00D25F04">
              <w:rPr>
                <w:sz w:val="20"/>
                <w:szCs w:val="20"/>
              </w:rPr>
              <w:t>University of Southern California, Los Angeles, CA</w:t>
            </w:r>
          </w:p>
        </w:tc>
      </w:tr>
      <w:tr w:rsidR="00A4731B" w:rsidRPr="00D9363A" w:rsidTr="00915C8D">
        <w:tc>
          <w:tcPr>
            <w:tcW w:w="9576" w:type="dxa"/>
            <w:gridSpan w:val="2"/>
            <w:shd w:val="clear" w:color="auto" w:fill="D9D9D9" w:themeFill="background1" w:themeFillShade="D9"/>
            <w:vAlign w:val="center"/>
          </w:tcPr>
          <w:p w:rsidR="00A4731B" w:rsidRPr="00D25F04" w:rsidRDefault="00A4731B" w:rsidP="00915C8D">
            <w:pPr>
              <w:spacing w:after="0" w:line="240" w:lineRule="auto"/>
              <w:rPr>
                <w:sz w:val="20"/>
                <w:szCs w:val="20"/>
              </w:rPr>
            </w:pPr>
            <w:r w:rsidRPr="00D25F04">
              <w:rPr>
                <w:sz w:val="20"/>
                <w:szCs w:val="20"/>
              </w:rPr>
              <w:t>CONSULTANTS</w:t>
            </w:r>
          </w:p>
        </w:tc>
      </w:tr>
      <w:tr w:rsidR="00A4731B" w:rsidRPr="00D9363A" w:rsidTr="00915C8D">
        <w:tc>
          <w:tcPr>
            <w:tcW w:w="3438" w:type="dxa"/>
            <w:vAlign w:val="center"/>
          </w:tcPr>
          <w:p w:rsidR="00A4731B" w:rsidRPr="00D25F04" w:rsidRDefault="00A4731B" w:rsidP="00915C8D">
            <w:pPr>
              <w:spacing w:after="0" w:line="240" w:lineRule="auto"/>
              <w:rPr>
                <w:sz w:val="20"/>
                <w:szCs w:val="20"/>
              </w:rPr>
            </w:pPr>
            <w:r w:rsidRPr="00D25F04">
              <w:rPr>
                <w:sz w:val="20"/>
                <w:szCs w:val="20"/>
              </w:rPr>
              <w:t>Scott Bartell, PhD *</w:t>
            </w:r>
          </w:p>
        </w:tc>
        <w:tc>
          <w:tcPr>
            <w:tcW w:w="6138" w:type="dxa"/>
          </w:tcPr>
          <w:p w:rsidR="00A4731B" w:rsidRPr="00D25F04" w:rsidRDefault="00A4731B" w:rsidP="00915C8D">
            <w:pPr>
              <w:spacing w:after="0" w:line="240" w:lineRule="auto"/>
              <w:rPr>
                <w:sz w:val="20"/>
                <w:szCs w:val="20"/>
              </w:rPr>
            </w:pPr>
            <w:r w:rsidRPr="00D25F04">
              <w:rPr>
                <w:sz w:val="20"/>
                <w:szCs w:val="20"/>
              </w:rPr>
              <w:t>University of California Irvine, Irvine, CA</w:t>
            </w:r>
          </w:p>
        </w:tc>
      </w:tr>
      <w:tr w:rsidR="00A4731B" w:rsidRPr="00D9363A" w:rsidTr="00915C8D">
        <w:tc>
          <w:tcPr>
            <w:tcW w:w="3438" w:type="dxa"/>
            <w:tcBorders>
              <w:bottom w:val="single" w:sz="4" w:space="0" w:color="auto"/>
            </w:tcBorders>
            <w:vAlign w:val="center"/>
          </w:tcPr>
          <w:p w:rsidR="00A4731B" w:rsidRPr="00D25F04" w:rsidRDefault="00A4731B" w:rsidP="00915C8D">
            <w:pPr>
              <w:spacing w:after="0" w:line="240" w:lineRule="auto"/>
              <w:rPr>
                <w:sz w:val="20"/>
                <w:szCs w:val="20"/>
              </w:rPr>
            </w:pPr>
            <w:r w:rsidRPr="00D25F04">
              <w:rPr>
                <w:sz w:val="20"/>
                <w:szCs w:val="20"/>
              </w:rPr>
              <w:t>Christie Shelton, PhD *</w:t>
            </w:r>
          </w:p>
        </w:tc>
        <w:tc>
          <w:tcPr>
            <w:tcW w:w="6138" w:type="dxa"/>
            <w:tcBorders>
              <w:bottom w:val="single" w:sz="4" w:space="0" w:color="auto"/>
            </w:tcBorders>
          </w:tcPr>
          <w:p w:rsidR="00A4731B" w:rsidRPr="00D25F04" w:rsidRDefault="00A4731B" w:rsidP="00915C8D">
            <w:pPr>
              <w:spacing w:after="0" w:line="240" w:lineRule="auto"/>
              <w:rPr>
                <w:sz w:val="20"/>
                <w:szCs w:val="20"/>
              </w:rPr>
            </w:pPr>
            <w:r w:rsidRPr="00D25F04">
              <w:rPr>
                <w:sz w:val="20"/>
                <w:szCs w:val="20"/>
              </w:rPr>
              <w:t xml:space="preserve">Jacksonville State University, Jacksonville, AL </w:t>
            </w:r>
          </w:p>
        </w:tc>
      </w:tr>
      <w:tr w:rsidR="00A4731B" w:rsidRPr="00D9363A" w:rsidTr="00915C8D">
        <w:tc>
          <w:tcPr>
            <w:tcW w:w="9576" w:type="dxa"/>
            <w:gridSpan w:val="2"/>
            <w:tcBorders>
              <w:left w:val="nil"/>
              <w:bottom w:val="nil"/>
              <w:right w:val="nil"/>
            </w:tcBorders>
            <w:vAlign w:val="center"/>
          </w:tcPr>
          <w:p w:rsidR="00A4731B" w:rsidRPr="00422E82" w:rsidRDefault="00A4731B" w:rsidP="00915C8D">
            <w:pPr>
              <w:spacing w:after="0" w:line="240" w:lineRule="auto"/>
              <w:rPr>
                <w:sz w:val="20"/>
                <w:szCs w:val="20"/>
              </w:rPr>
            </w:pPr>
            <w:r w:rsidRPr="00422E82">
              <w:rPr>
                <w:sz w:val="20"/>
                <w:szCs w:val="20"/>
              </w:rPr>
              <w:t xml:space="preserve">* Will not receive IIF; will handle </w:t>
            </w:r>
            <w:proofErr w:type="spellStart"/>
            <w:r w:rsidRPr="00422E82">
              <w:rPr>
                <w:sz w:val="20"/>
                <w:szCs w:val="20"/>
              </w:rPr>
              <w:t>deidentified</w:t>
            </w:r>
            <w:proofErr w:type="spellEnd"/>
            <w:r w:rsidRPr="00422E82">
              <w:rPr>
                <w:sz w:val="20"/>
                <w:szCs w:val="20"/>
              </w:rPr>
              <w:t xml:space="preserve"> specimens or records only</w:t>
            </w:r>
          </w:p>
        </w:tc>
      </w:tr>
    </w:tbl>
    <w:p w:rsidR="00915C8D" w:rsidRDefault="00915C8D" w:rsidP="00915C8D">
      <w:pPr>
        <w:spacing w:after="0" w:line="240" w:lineRule="auto"/>
        <w:rPr>
          <w:rFonts w:asciiTheme="minorHAnsi" w:hAnsiTheme="minorHAnsi" w:cstheme="minorHAnsi"/>
          <w:sz w:val="24"/>
          <w:szCs w:val="24"/>
        </w:rPr>
      </w:pPr>
    </w:p>
    <w:p w:rsidR="00915C8D" w:rsidRPr="00F46D82" w:rsidRDefault="00915C8D" w:rsidP="00E46777">
      <w:pPr>
        <w:spacing w:after="0" w:line="240" w:lineRule="auto"/>
        <w:jc w:val="both"/>
        <w:rPr>
          <w:rStyle w:val="A4"/>
          <w:rFonts w:asciiTheme="minorHAnsi" w:hAnsiTheme="minorHAnsi" w:cstheme="minorHAnsi"/>
          <w:color w:val="auto"/>
          <w:sz w:val="24"/>
          <w:szCs w:val="24"/>
          <w:u w:val="none"/>
        </w:rPr>
      </w:pPr>
      <w:r w:rsidRPr="00F46D82">
        <w:rPr>
          <w:rFonts w:asciiTheme="minorHAnsi" w:hAnsiTheme="minorHAnsi" w:cstheme="minorHAnsi"/>
          <w:sz w:val="24"/>
          <w:szCs w:val="24"/>
        </w:rPr>
        <w:t xml:space="preserve">Since 2008 when the first results from the ACHS were presented at the Anniston </w:t>
      </w:r>
      <w:r>
        <w:rPr>
          <w:rFonts w:asciiTheme="minorHAnsi" w:hAnsiTheme="minorHAnsi" w:cstheme="minorHAnsi"/>
          <w:sz w:val="24"/>
          <w:szCs w:val="24"/>
        </w:rPr>
        <w:t xml:space="preserve">Community Meeting and at the </w:t>
      </w:r>
      <w:proofErr w:type="gramStart"/>
      <w:r>
        <w:rPr>
          <w:rFonts w:asciiTheme="minorHAnsi" w:hAnsiTheme="minorHAnsi" w:cstheme="minorHAnsi"/>
          <w:sz w:val="24"/>
          <w:szCs w:val="24"/>
        </w:rPr>
        <w:t>6</w:t>
      </w:r>
      <w:r w:rsidRPr="00D25F04">
        <w:rPr>
          <w:rFonts w:asciiTheme="minorHAnsi" w:hAnsiTheme="minorHAnsi" w:cstheme="minorHAnsi"/>
          <w:sz w:val="24"/>
          <w:szCs w:val="24"/>
          <w:vertAlign w:val="superscript"/>
        </w:rPr>
        <w:t>th</w:t>
      </w:r>
      <w:proofErr w:type="gramEnd"/>
      <w:r>
        <w:rPr>
          <w:rFonts w:asciiTheme="minorHAnsi" w:hAnsiTheme="minorHAnsi" w:cstheme="minorHAnsi"/>
          <w:sz w:val="24"/>
          <w:szCs w:val="24"/>
        </w:rPr>
        <w:t xml:space="preserve"> </w:t>
      </w:r>
      <w:r w:rsidRPr="00F46D82">
        <w:rPr>
          <w:rFonts w:asciiTheme="minorHAnsi" w:hAnsiTheme="minorHAnsi" w:cstheme="minorHAnsi"/>
          <w:sz w:val="24"/>
          <w:szCs w:val="24"/>
        </w:rPr>
        <w:t xml:space="preserve">PCB Workshop organized by the University of Iowa, the need for </w:t>
      </w:r>
      <w:r>
        <w:rPr>
          <w:rFonts w:asciiTheme="minorHAnsi" w:hAnsiTheme="minorHAnsi" w:cstheme="minorHAnsi"/>
          <w:sz w:val="24"/>
          <w:szCs w:val="24"/>
        </w:rPr>
        <w:t xml:space="preserve">an </w:t>
      </w:r>
      <w:r w:rsidRPr="00F46D82">
        <w:rPr>
          <w:rFonts w:asciiTheme="minorHAnsi" w:hAnsiTheme="minorHAnsi" w:cstheme="minorHAnsi"/>
          <w:sz w:val="24"/>
          <w:szCs w:val="24"/>
        </w:rPr>
        <w:t xml:space="preserve">extended panel </w:t>
      </w:r>
      <w:r w:rsidR="004E421A">
        <w:rPr>
          <w:rFonts w:asciiTheme="minorHAnsi" w:hAnsiTheme="minorHAnsi" w:cstheme="minorHAnsi"/>
          <w:sz w:val="24"/>
          <w:szCs w:val="24"/>
        </w:rPr>
        <w:t xml:space="preserve">of contaminants was discussed. </w:t>
      </w:r>
      <w:r w:rsidRPr="00F46D82">
        <w:rPr>
          <w:rFonts w:asciiTheme="minorHAnsi" w:hAnsiTheme="minorHAnsi" w:cstheme="minorHAnsi"/>
          <w:sz w:val="24"/>
          <w:szCs w:val="24"/>
        </w:rPr>
        <w:t xml:space="preserve">When the additional results on hypertension </w:t>
      </w:r>
      <w:proofErr w:type="gramStart"/>
      <w:r w:rsidRPr="00F46D82">
        <w:rPr>
          <w:rFonts w:asciiTheme="minorHAnsi" w:hAnsiTheme="minorHAnsi" w:cstheme="minorHAnsi"/>
          <w:sz w:val="24"/>
          <w:szCs w:val="24"/>
        </w:rPr>
        <w:t>were presented</w:t>
      </w:r>
      <w:proofErr w:type="gramEnd"/>
      <w:r w:rsidRPr="00F46D82">
        <w:rPr>
          <w:rFonts w:asciiTheme="minorHAnsi" w:hAnsiTheme="minorHAnsi" w:cstheme="minorHAnsi"/>
          <w:sz w:val="24"/>
          <w:szCs w:val="24"/>
        </w:rPr>
        <w:t xml:space="preserve"> at the 2009 International Dioxin Symposium, the idea of </w:t>
      </w:r>
      <w:r>
        <w:rPr>
          <w:rFonts w:asciiTheme="minorHAnsi" w:hAnsiTheme="minorHAnsi" w:cstheme="minorHAnsi"/>
          <w:sz w:val="24"/>
          <w:szCs w:val="24"/>
        </w:rPr>
        <w:t xml:space="preserve">a </w:t>
      </w:r>
      <w:r w:rsidRPr="00F46D82">
        <w:rPr>
          <w:rFonts w:asciiTheme="minorHAnsi" w:hAnsiTheme="minorHAnsi" w:cstheme="minorHAnsi"/>
          <w:sz w:val="24"/>
          <w:szCs w:val="24"/>
        </w:rPr>
        <w:t>follow</w:t>
      </w:r>
      <w:r>
        <w:rPr>
          <w:rFonts w:asciiTheme="minorHAnsi" w:hAnsiTheme="minorHAnsi" w:cstheme="minorHAnsi"/>
          <w:sz w:val="24"/>
          <w:szCs w:val="24"/>
        </w:rPr>
        <w:t>-</w:t>
      </w:r>
      <w:r w:rsidRPr="00F46D82">
        <w:rPr>
          <w:rFonts w:asciiTheme="minorHAnsi" w:hAnsiTheme="minorHAnsi" w:cstheme="minorHAnsi"/>
          <w:sz w:val="24"/>
          <w:szCs w:val="24"/>
        </w:rPr>
        <w:t xml:space="preserve">up study was discussed for the first time in view of </w:t>
      </w:r>
      <w:r>
        <w:rPr>
          <w:rFonts w:asciiTheme="minorHAnsi" w:hAnsiTheme="minorHAnsi" w:cstheme="minorHAnsi"/>
          <w:sz w:val="24"/>
          <w:szCs w:val="24"/>
        </w:rPr>
        <w:t xml:space="preserve">the </w:t>
      </w:r>
      <w:r w:rsidRPr="00F46D82">
        <w:rPr>
          <w:rFonts w:asciiTheme="minorHAnsi" w:hAnsiTheme="minorHAnsi" w:cstheme="minorHAnsi"/>
          <w:sz w:val="24"/>
          <w:szCs w:val="24"/>
        </w:rPr>
        <w:t>strong associations reported for hy</w:t>
      </w:r>
      <w:r w:rsidR="004E421A">
        <w:rPr>
          <w:rFonts w:asciiTheme="minorHAnsi" w:hAnsiTheme="minorHAnsi" w:cstheme="minorHAnsi"/>
          <w:sz w:val="24"/>
          <w:szCs w:val="24"/>
        </w:rPr>
        <w:t xml:space="preserve">pertension and blood pressure. </w:t>
      </w:r>
      <w:r w:rsidRPr="00F46D82">
        <w:rPr>
          <w:rFonts w:asciiTheme="minorHAnsi" w:hAnsiTheme="minorHAnsi" w:cstheme="minorHAnsi"/>
          <w:sz w:val="24"/>
          <w:szCs w:val="24"/>
        </w:rPr>
        <w:t xml:space="preserve">Investigators from NIH, </w:t>
      </w:r>
      <w:r>
        <w:rPr>
          <w:rFonts w:asciiTheme="minorHAnsi" w:hAnsiTheme="minorHAnsi" w:cstheme="minorHAnsi"/>
          <w:sz w:val="24"/>
          <w:szCs w:val="24"/>
        </w:rPr>
        <w:t>ATSDR</w:t>
      </w:r>
      <w:r w:rsidRPr="00F46D82">
        <w:rPr>
          <w:rFonts w:asciiTheme="minorHAnsi" w:hAnsiTheme="minorHAnsi" w:cstheme="minorHAnsi"/>
          <w:sz w:val="24"/>
          <w:szCs w:val="24"/>
        </w:rPr>
        <w:t>, and various academic institutions were involved in comprehensive discussion related to undertaking such complex effort.</w:t>
      </w:r>
    </w:p>
    <w:p w:rsidR="00915C8D" w:rsidRPr="00F46D82" w:rsidRDefault="00915C8D" w:rsidP="00E46777">
      <w:pPr>
        <w:autoSpaceDE w:val="0"/>
        <w:autoSpaceDN w:val="0"/>
        <w:adjustRightInd w:val="0"/>
        <w:spacing w:after="0" w:line="240" w:lineRule="auto"/>
        <w:jc w:val="both"/>
        <w:rPr>
          <w:rStyle w:val="A4"/>
          <w:rFonts w:asciiTheme="minorHAnsi" w:hAnsiTheme="minorHAnsi" w:cstheme="minorHAnsi"/>
          <w:color w:val="auto"/>
          <w:sz w:val="24"/>
          <w:szCs w:val="24"/>
          <w:u w:val="none"/>
        </w:rPr>
      </w:pPr>
    </w:p>
    <w:p w:rsidR="00915C8D" w:rsidRPr="00F46D82" w:rsidRDefault="00915C8D" w:rsidP="00E46777">
      <w:pPr>
        <w:autoSpaceDE w:val="0"/>
        <w:autoSpaceDN w:val="0"/>
        <w:adjustRightInd w:val="0"/>
        <w:spacing w:after="0" w:line="240" w:lineRule="auto"/>
        <w:jc w:val="both"/>
        <w:rPr>
          <w:rFonts w:asciiTheme="minorHAnsi" w:hAnsiTheme="minorHAnsi" w:cstheme="minorHAnsi"/>
          <w:sz w:val="24"/>
          <w:szCs w:val="24"/>
        </w:rPr>
      </w:pPr>
      <w:r w:rsidRPr="00F46D82">
        <w:rPr>
          <w:rStyle w:val="A4"/>
          <w:rFonts w:asciiTheme="minorHAnsi" w:hAnsiTheme="minorHAnsi" w:cstheme="minorHAnsi"/>
          <w:color w:val="auto"/>
          <w:sz w:val="24"/>
          <w:szCs w:val="24"/>
          <w:u w:val="none"/>
        </w:rPr>
        <w:t>The following year, ATSDR investigators organized a</w:t>
      </w:r>
      <w:r w:rsidRPr="00F46D82">
        <w:rPr>
          <w:rFonts w:asciiTheme="minorHAnsi" w:hAnsiTheme="minorHAnsi" w:cstheme="minorHAnsi"/>
          <w:sz w:val="24"/>
          <w:szCs w:val="24"/>
        </w:rPr>
        <w:t xml:space="preserve"> special session on Anniston at the 2010 International Dioxin Symposium in San Antonio, TX</w:t>
      </w:r>
      <w:r>
        <w:rPr>
          <w:rFonts w:asciiTheme="minorHAnsi" w:hAnsiTheme="minorHAnsi" w:cstheme="minorHAnsi"/>
          <w:sz w:val="24"/>
          <w:szCs w:val="24"/>
        </w:rPr>
        <w:t>. The symposium</w:t>
      </w:r>
      <w:r w:rsidRPr="00F46D82">
        <w:rPr>
          <w:rFonts w:asciiTheme="minorHAnsi" w:hAnsiTheme="minorHAnsi" w:cstheme="minorHAnsi"/>
          <w:sz w:val="24"/>
          <w:szCs w:val="24"/>
        </w:rPr>
        <w:t xml:space="preserve"> also included face-to-face meetings and discussions with consultants and other stakeholders interested in evaluat</w:t>
      </w:r>
      <w:r>
        <w:rPr>
          <w:rFonts w:asciiTheme="minorHAnsi" w:hAnsiTheme="minorHAnsi" w:cstheme="minorHAnsi"/>
          <w:sz w:val="24"/>
          <w:szCs w:val="24"/>
        </w:rPr>
        <w:t>ing</w:t>
      </w:r>
      <w:r w:rsidRPr="00F46D82">
        <w:rPr>
          <w:rFonts w:asciiTheme="minorHAnsi" w:hAnsiTheme="minorHAnsi" w:cstheme="minorHAnsi"/>
          <w:sz w:val="24"/>
          <w:szCs w:val="24"/>
        </w:rPr>
        <w:t xml:space="preserve"> the need and possibility for </w:t>
      </w:r>
      <w:r>
        <w:rPr>
          <w:rFonts w:asciiTheme="minorHAnsi" w:hAnsiTheme="minorHAnsi" w:cstheme="minorHAnsi"/>
          <w:sz w:val="24"/>
          <w:szCs w:val="24"/>
        </w:rPr>
        <w:t>an</w:t>
      </w:r>
      <w:r w:rsidRPr="00F46D82">
        <w:rPr>
          <w:rFonts w:asciiTheme="minorHAnsi" w:hAnsiTheme="minorHAnsi" w:cstheme="minorHAnsi"/>
          <w:sz w:val="24"/>
          <w:szCs w:val="24"/>
        </w:rPr>
        <w:t xml:space="preserve"> Anniston follow</w:t>
      </w:r>
      <w:r>
        <w:rPr>
          <w:rFonts w:asciiTheme="minorHAnsi" w:hAnsiTheme="minorHAnsi" w:cstheme="minorHAnsi"/>
          <w:sz w:val="24"/>
          <w:szCs w:val="24"/>
        </w:rPr>
        <w:t>-</w:t>
      </w:r>
      <w:r w:rsidR="004E421A">
        <w:rPr>
          <w:rFonts w:asciiTheme="minorHAnsi" w:hAnsiTheme="minorHAnsi" w:cstheme="minorHAnsi"/>
          <w:sz w:val="24"/>
          <w:szCs w:val="24"/>
        </w:rPr>
        <w:t>up study.</w:t>
      </w:r>
      <w:r w:rsidRPr="00F46D82">
        <w:rPr>
          <w:rFonts w:asciiTheme="minorHAnsi" w:hAnsiTheme="minorHAnsi" w:cstheme="minorHAnsi"/>
          <w:sz w:val="24"/>
          <w:szCs w:val="24"/>
        </w:rPr>
        <w:t xml:space="preserve"> These consultations with NIH and other investigators familiar with the design and results of the ACHS continued over the course of 2011 when the first steps </w:t>
      </w:r>
      <w:proofErr w:type="gramStart"/>
      <w:r w:rsidRPr="00F46D82">
        <w:rPr>
          <w:rFonts w:asciiTheme="minorHAnsi" w:hAnsiTheme="minorHAnsi" w:cstheme="minorHAnsi"/>
          <w:sz w:val="24"/>
          <w:szCs w:val="24"/>
        </w:rPr>
        <w:t>were taken</w:t>
      </w:r>
      <w:proofErr w:type="gramEnd"/>
      <w:r w:rsidRPr="00F46D82">
        <w:rPr>
          <w:rFonts w:asciiTheme="minorHAnsi" w:hAnsiTheme="minorHAnsi" w:cstheme="minorHAnsi"/>
          <w:sz w:val="24"/>
          <w:szCs w:val="24"/>
        </w:rPr>
        <w:t xml:space="preserve"> in the development of design, protocol, and analytical plan</w:t>
      </w:r>
      <w:r>
        <w:rPr>
          <w:rFonts w:asciiTheme="minorHAnsi" w:hAnsiTheme="minorHAnsi" w:cstheme="minorHAnsi"/>
          <w:sz w:val="24"/>
          <w:szCs w:val="24"/>
        </w:rPr>
        <w:t>s</w:t>
      </w:r>
      <w:r w:rsidR="006B213D">
        <w:rPr>
          <w:rFonts w:asciiTheme="minorHAnsi" w:hAnsiTheme="minorHAnsi" w:cstheme="minorHAnsi"/>
          <w:sz w:val="24"/>
          <w:szCs w:val="24"/>
        </w:rPr>
        <w:t xml:space="preserve"> for the proposed study. </w:t>
      </w:r>
      <w:r w:rsidRPr="00F46D82">
        <w:rPr>
          <w:rFonts w:asciiTheme="minorHAnsi" w:hAnsiTheme="minorHAnsi" w:cstheme="minorHAnsi"/>
          <w:sz w:val="24"/>
          <w:szCs w:val="24"/>
        </w:rPr>
        <w:t>UAB investigators invol</w:t>
      </w:r>
      <w:r>
        <w:rPr>
          <w:rFonts w:asciiTheme="minorHAnsi" w:hAnsiTheme="minorHAnsi" w:cstheme="minorHAnsi"/>
          <w:sz w:val="24"/>
          <w:szCs w:val="24"/>
        </w:rPr>
        <w:t>ved in the first Anniston study</w:t>
      </w:r>
      <w:r w:rsidRPr="00F46D82">
        <w:rPr>
          <w:rFonts w:asciiTheme="minorHAnsi" w:hAnsiTheme="minorHAnsi" w:cstheme="minorHAnsi"/>
          <w:sz w:val="24"/>
          <w:szCs w:val="24"/>
        </w:rPr>
        <w:t xml:space="preserve"> </w:t>
      </w:r>
      <w:proofErr w:type="gramStart"/>
      <w:r w:rsidRPr="00F46D82">
        <w:rPr>
          <w:rFonts w:asciiTheme="minorHAnsi" w:hAnsiTheme="minorHAnsi" w:cstheme="minorHAnsi"/>
          <w:sz w:val="24"/>
          <w:szCs w:val="24"/>
        </w:rPr>
        <w:t>were consulted</w:t>
      </w:r>
      <w:proofErr w:type="gramEnd"/>
      <w:r w:rsidRPr="00F46D82">
        <w:rPr>
          <w:rFonts w:asciiTheme="minorHAnsi" w:hAnsiTheme="minorHAnsi" w:cstheme="minorHAnsi"/>
          <w:sz w:val="24"/>
          <w:szCs w:val="24"/>
        </w:rPr>
        <w:t xml:space="preserve"> over possib</w:t>
      </w:r>
      <w:r>
        <w:rPr>
          <w:rFonts w:asciiTheme="minorHAnsi" w:hAnsiTheme="minorHAnsi" w:cstheme="minorHAnsi"/>
          <w:sz w:val="24"/>
          <w:szCs w:val="24"/>
        </w:rPr>
        <w:t>le</w:t>
      </w:r>
      <w:r w:rsidRPr="00F46D82">
        <w:rPr>
          <w:rFonts w:asciiTheme="minorHAnsi" w:hAnsiTheme="minorHAnsi" w:cstheme="minorHAnsi"/>
          <w:sz w:val="24"/>
          <w:szCs w:val="24"/>
        </w:rPr>
        <w:t xml:space="preserve"> co</w:t>
      </w:r>
      <w:r>
        <w:rPr>
          <w:rFonts w:asciiTheme="minorHAnsi" w:hAnsiTheme="minorHAnsi" w:cstheme="minorHAnsi"/>
          <w:sz w:val="24"/>
          <w:szCs w:val="24"/>
        </w:rPr>
        <w:t>llaboration</w:t>
      </w:r>
      <w:r w:rsidRPr="00F46D82">
        <w:rPr>
          <w:rFonts w:asciiTheme="minorHAnsi" w:hAnsiTheme="minorHAnsi" w:cstheme="minorHAnsi"/>
          <w:sz w:val="24"/>
          <w:szCs w:val="24"/>
        </w:rPr>
        <w:t xml:space="preserve"> on the follow</w:t>
      </w:r>
      <w:r>
        <w:rPr>
          <w:rFonts w:asciiTheme="minorHAnsi" w:hAnsiTheme="minorHAnsi" w:cstheme="minorHAnsi"/>
          <w:sz w:val="24"/>
          <w:szCs w:val="24"/>
        </w:rPr>
        <w:t>-</w:t>
      </w:r>
      <w:r w:rsidR="00BE20FD">
        <w:rPr>
          <w:rFonts w:asciiTheme="minorHAnsi" w:hAnsiTheme="minorHAnsi" w:cstheme="minorHAnsi"/>
          <w:sz w:val="24"/>
          <w:szCs w:val="24"/>
        </w:rPr>
        <w:t xml:space="preserve">up study. </w:t>
      </w:r>
      <w:r>
        <w:rPr>
          <w:rFonts w:asciiTheme="minorHAnsi" w:hAnsiTheme="minorHAnsi" w:cstheme="minorHAnsi"/>
          <w:sz w:val="24"/>
          <w:szCs w:val="24"/>
        </w:rPr>
        <w:t>Several factors were crucial to the planning efforts. These included t</w:t>
      </w:r>
      <w:r w:rsidRPr="00F46D82">
        <w:rPr>
          <w:rFonts w:asciiTheme="minorHAnsi" w:hAnsiTheme="minorHAnsi" w:cstheme="minorHAnsi"/>
          <w:sz w:val="24"/>
          <w:szCs w:val="24"/>
        </w:rPr>
        <w:t>he close relationship developed with the Anniston community and their representatives during the ACHS</w:t>
      </w:r>
      <w:r>
        <w:rPr>
          <w:rFonts w:asciiTheme="minorHAnsi" w:hAnsiTheme="minorHAnsi" w:cstheme="minorHAnsi"/>
          <w:sz w:val="24"/>
          <w:szCs w:val="24"/>
        </w:rPr>
        <w:t>.</w:t>
      </w:r>
      <w:r w:rsidRPr="00F46D82">
        <w:rPr>
          <w:rFonts w:asciiTheme="minorHAnsi" w:hAnsiTheme="minorHAnsi" w:cstheme="minorHAnsi"/>
          <w:sz w:val="24"/>
          <w:szCs w:val="24"/>
        </w:rPr>
        <w:t xml:space="preserve"> </w:t>
      </w:r>
      <w:r>
        <w:rPr>
          <w:rFonts w:asciiTheme="minorHAnsi" w:hAnsiTheme="minorHAnsi" w:cstheme="minorHAnsi"/>
          <w:sz w:val="24"/>
          <w:szCs w:val="24"/>
        </w:rPr>
        <w:t>Many</w:t>
      </w:r>
      <w:r w:rsidRPr="00F46D82">
        <w:rPr>
          <w:rFonts w:asciiTheme="minorHAnsi" w:hAnsiTheme="minorHAnsi" w:cstheme="minorHAnsi"/>
          <w:sz w:val="24"/>
          <w:szCs w:val="24"/>
        </w:rPr>
        <w:t xml:space="preserve"> years </w:t>
      </w:r>
      <w:proofErr w:type="gramStart"/>
      <w:r>
        <w:rPr>
          <w:rFonts w:asciiTheme="minorHAnsi" w:hAnsiTheme="minorHAnsi" w:cstheme="minorHAnsi"/>
          <w:sz w:val="24"/>
          <w:szCs w:val="24"/>
        </w:rPr>
        <w:t>were spent</w:t>
      </w:r>
      <w:proofErr w:type="gramEnd"/>
      <w:r w:rsidRPr="00F46D82">
        <w:rPr>
          <w:rFonts w:asciiTheme="minorHAnsi" w:hAnsiTheme="minorHAnsi" w:cstheme="minorHAnsi"/>
          <w:sz w:val="24"/>
          <w:szCs w:val="24"/>
        </w:rPr>
        <w:t xml:space="preserve"> interacting with the </w:t>
      </w:r>
      <w:r w:rsidRPr="00F46D82">
        <w:rPr>
          <w:rFonts w:asciiTheme="minorHAnsi" w:hAnsiTheme="minorHAnsi" w:cstheme="minorHAnsi"/>
          <w:sz w:val="24"/>
          <w:szCs w:val="24"/>
        </w:rPr>
        <w:lastRenderedPageBreak/>
        <w:t xml:space="preserve">community through community meetings, personal communications, </w:t>
      </w:r>
      <w:r>
        <w:rPr>
          <w:rFonts w:asciiTheme="minorHAnsi" w:hAnsiTheme="minorHAnsi" w:cstheme="minorHAnsi"/>
          <w:sz w:val="24"/>
          <w:szCs w:val="24"/>
        </w:rPr>
        <w:t xml:space="preserve">and </w:t>
      </w:r>
      <w:r w:rsidRPr="00F46D82">
        <w:rPr>
          <w:rFonts w:asciiTheme="minorHAnsi" w:hAnsiTheme="minorHAnsi" w:cstheme="minorHAnsi"/>
          <w:sz w:val="24"/>
          <w:szCs w:val="24"/>
        </w:rPr>
        <w:t>radio programs</w:t>
      </w:r>
      <w:r>
        <w:rPr>
          <w:rFonts w:asciiTheme="minorHAnsi" w:hAnsiTheme="minorHAnsi" w:cstheme="minorHAnsi"/>
          <w:sz w:val="24"/>
          <w:szCs w:val="24"/>
        </w:rPr>
        <w:t>. In addition, during these years, c</w:t>
      </w:r>
      <w:r w:rsidRPr="00F46D82">
        <w:rPr>
          <w:rFonts w:asciiTheme="minorHAnsi" w:hAnsiTheme="minorHAnsi" w:cstheme="minorHAnsi"/>
          <w:sz w:val="24"/>
          <w:szCs w:val="24"/>
        </w:rPr>
        <w:t>ommunity representatives</w:t>
      </w:r>
      <w:r>
        <w:rPr>
          <w:rFonts w:asciiTheme="minorHAnsi" w:hAnsiTheme="minorHAnsi" w:cstheme="minorHAnsi"/>
          <w:sz w:val="24"/>
          <w:szCs w:val="24"/>
        </w:rPr>
        <w:t xml:space="preserve"> were involved in agency presentations, briefings, and discussions.</w:t>
      </w:r>
      <w:r w:rsidRPr="00F46D82">
        <w:rPr>
          <w:rFonts w:asciiTheme="minorHAnsi" w:hAnsiTheme="minorHAnsi" w:cstheme="minorHAnsi"/>
          <w:sz w:val="24"/>
          <w:szCs w:val="24"/>
        </w:rPr>
        <w:t xml:space="preserve">  </w:t>
      </w:r>
    </w:p>
    <w:p w:rsidR="00915C8D" w:rsidRDefault="00915C8D" w:rsidP="00E46777">
      <w:pPr>
        <w:autoSpaceDE w:val="0"/>
        <w:autoSpaceDN w:val="0"/>
        <w:adjustRightInd w:val="0"/>
        <w:spacing w:after="0" w:line="240" w:lineRule="auto"/>
        <w:jc w:val="both"/>
        <w:rPr>
          <w:rFonts w:asciiTheme="minorHAnsi" w:hAnsiTheme="minorHAnsi" w:cstheme="minorHAnsi"/>
          <w:sz w:val="24"/>
          <w:szCs w:val="24"/>
        </w:rPr>
      </w:pPr>
    </w:p>
    <w:p w:rsidR="00915C8D" w:rsidRPr="00F46D82" w:rsidRDefault="00915C8D" w:rsidP="00E46777">
      <w:pPr>
        <w:autoSpaceDE w:val="0"/>
        <w:autoSpaceDN w:val="0"/>
        <w:adjustRightInd w:val="0"/>
        <w:spacing w:after="0" w:line="240" w:lineRule="auto"/>
        <w:jc w:val="both"/>
        <w:rPr>
          <w:rFonts w:asciiTheme="minorHAnsi" w:hAnsiTheme="minorHAnsi" w:cstheme="minorHAnsi"/>
          <w:sz w:val="24"/>
          <w:szCs w:val="24"/>
        </w:rPr>
      </w:pPr>
      <w:r w:rsidRPr="00F46D82">
        <w:rPr>
          <w:rFonts w:asciiTheme="minorHAnsi" w:hAnsiTheme="minorHAnsi" w:cstheme="minorHAnsi"/>
          <w:sz w:val="24"/>
          <w:szCs w:val="24"/>
        </w:rPr>
        <w:t>EPA cleanup e</w:t>
      </w:r>
      <w:r>
        <w:rPr>
          <w:rFonts w:asciiTheme="minorHAnsi" w:hAnsiTheme="minorHAnsi" w:cstheme="minorHAnsi"/>
          <w:sz w:val="24"/>
          <w:szCs w:val="24"/>
        </w:rPr>
        <w:t>fforts in Anniston also provide</w:t>
      </w:r>
      <w:r w:rsidRPr="00F46D82">
        <w:rPr>
          <w:rFonts w:asciiTheme="minorHAnsi" w:hAnsiTheme="minorHAnsi" w:cstheme="minorHAnsi"/>
          <w:sz w:val="24"/>
          <w:szCs w:val="24"/>
        </w:rPr>
        <w:t xml:space="preserve"> a background to the </w:t>
      </w:r>
      <w:r>
        <w:rPr>
          <w:rFonts w:asciiTheme="minorHAnsi" w:hAnsiTheme="minorHAnsi" w:cstheme="minorHAnsi"/>
          <w:sz w:val="24"/>
          <w:szCs w:val="24"/>
        </w:rPr>
        <w:t xml:space="preserve">ATSDR </w:t>
      </w:r>
      <w:r w:rsidRPr="00F46D82">
        <w:rPr>
          <w:rFonts w:asciiTheme="minorHAnsi" w:hAnsiTheme="minorHAnsi" w:cstheme="minorHAnsi"/>
          <w:sz w:val="24"/>
          <w:szCs w:val="24"/>
        </w:rPr>
        <w:t>study activities</w:t>
      </w:r>
      <w:r>
        <w:rPr>
          <w:rFonts w:asciiTheme="minorHAnsi" w:hAnsiTheme="minorHAnsi" w:cstheme="minorHAnsi"/>
          <w:sz w:val="24"/>
          <w:szCs w:val="24"/>
        </w:rPr>
        <w:t>. C</w:t>
      </w:r>
      <w:r w:rsidRPr="00F46D82">
        <w:rPr>
          <w:rFonts w:asciiTheme="minorHAnsi" w:hAnsiTheme="minorHAnsi" w:cstheme="minorHAnsi"/>
          <w:sz w:val="24"/>
          <w:szCs w:val="24"/>
        </w:rPr>
        <w:t xml:space="preserve">onsultation with EPA on the ongoing activities in Anniston as well as participation at </w:t>
      </w:r>
      <w:r>
        <w:rPr>
          <w:rFonts w:asciiTheme="minorHAnsi" w:hAnsiTheme="minorHAnsi" w:cstheme="minorHAnsi"/>
          <w:sz w:val="24"/>
          <w:szCs w:val="24"/>
        </w:rPr>
        <w:t>the EPA community meetings helped to identify</w:t>
      </w:r>
      <w:r w:rsidRPr="00F46D82">
        <w:rPr>
          <w:rFonts w:asciiTheme="minorHAnsi" w:hAnsiTheme="minorHAnsi" w:cstheme="minorHAnsi"/>
          <w:sz w:val="24"/>
          <w:szCs w:val="24"/>
        </w:rPr>
        <w:t xml:space="preserve"> study goals and priorities. </w:t>
      </w:r>
    </w:p>
    <w:p w:rsidR="00915C8D" w:rsidRPr="00F46D82" w:rsidRDefault="00915C8D" w:rsidP="00915C8D">
      <w:pPr>
        <w:autoSpaceDE w:val="0"/>
        <w:autoSpaceDN w:val="0"/>
        <w:adjustRightInd w:val="0"/>
        <w:spacing w:after="0" w:line="240" w:lineRule="auto"/>
        <w:jc w:val="both"/>
        <w:rPr>
          <w:rFonts w:asciiTheme="minorHAnsi" w:hAnsiTheme="minorHAnsi" w:cstheme="minorHAnsi"/>
          <w:sz w:val="24"/>
          <w:szCs w:val="24"/>
        </w:rPr>
      </w:pPr>
    </w:p>
    <w:p w:rsidR="00915C8D" w:rsidRDefault="00915C8D" w:rsidP="00915C8D">
      <w:pPr>
        <w:autoSpaceDE w:val="0"/>
        <w:autoSpaceDN w:val="0"/>
        <w:adjustRightInd w:val="0"/>
        <w:spacing w:after="0" w:line="240" w:lineRule="auto"/>
        <w:jc w:val="both"/>
        <w:rPr>
          <w:rFonts w:asciiTheme="minorHAnsi" w:hAnsiTheme="minorHAnsi" w:cstheme="minorHAnsi"/>
          <w:color w:val="000000"/>
          <w:sz w:val="24"/>
          <w:szCs w:val="24"/>
        </w:rPr>
      </w:pPr>
      <w:proofErr w:type="gramStart"/>
      <w:r w:rsidRPr="000C4397">
        <w:rPr>
          <w:rFonts w:asciiTheme="minorHAnsi" w:hAnsiTheme="minorHAnsi" w:cstheme="minorHAnsi"/>
          <w:b/>
          <w:color w:val="000000"/>
          <w:sz w:val="24"/>
          <w:szCs w:val="24"/>
        </w:rPr>
        <w:t>Table 2.</w:t>
      </w:r>
      <w:proofErr w:type="gramEnd"/>
      <w:r w:rsidRPr="000C4397">
        <w:rPr>
          <w:rFonts w:asciiTheme="minorHAnsi" w:hAnsiTheme="minorHAnsi" w:cstheme="minorHAnsi"/>
          <w:color w:val="000000"/>
          <w:sz w:val="24"/>
          <w:szCs w:val="24"/>
        </w:rPr>
        <w:t xml:space="preserve"> ATSDR External Consultations</w:t>
      </w:r>
    </w:p>
    <w:p w:rsidR="000C4397" w:rsidRPr="000C4397" w:rsidRDefault="000C4397" w:rsidP="00915C8D">
      <w:pPr>
        <w:autoSpaceDE w:val="0"/>
        <w:autoSpaceDN w:val="0"/>
        <w:adjustRightInd w:val="0"/>
        <w:spacing w:after="0" w:line="240" w:lineRule="auto"/>
        <w:jc w:val="both"/>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060"/>
        <w:gridCol w:w="1620"/>
        <w:gridCol w:w="2628"/>
      </w:tblGrid>
      <w:tr w:rsidR="00915C8D" w:rsidRPr="00F46D82" w:rsidTr="00915C8D">
        <w:tc>
          <w:tcPr>
            <w:tcW w:w="2268" w:type="dxa"/>
            <w:tcBorders>
              <w:top w:val="single" w:sz="8" w:space="0" w:color="auto"/>
              <w:left w:val="nil"/>
              <w:bottom w:val="single" w:sz="8" w:space="0" w:color="auto"/>
              <w:right w:val="nil"/>
            </w:tcBorders>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rPr>
            </w:pPr>
            <w:r w:rsidRPr="00F46D82">
              <w:rPr>
                <w:rFonts w:asciiTheme="minorHAnsi" w:hAnsiTheme="minorHAnsi" w:cstheme="minorHAnsi"/>
                <w:color w:val="000000"/>
              </w:rPr>
              <w:t>Name</w:t>
            </w:r>
          </w:p>
        </w:tc>
        <w:tc>
          <w:tcPr>
            <w:tcW w:w="3060" w:type="dxa"/>
            <w:tcBorders>
              <w:top w:val="single" w:sz="8" w:space="0" w:color="auto"/>
              <w:left w:val="nil"/>
              <w:bottom w:val="single" w:sz="8" w:space="0" w:color="auto"/>
              <w:right w:val="nil"/>
            </w:tcBorders>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rPr>
            </w:pPr>
            <w:r w:rsidRPr="00F46D82">
              <w:rPr>
                <w:rFonts w:asciiTheme="minorHAnsi" w:hAnsiTheme="minorHAnsi" w:cstheme="minorHAnsi"/>
                <w:color w:val="000000"/>
              </w:rPr>
              <w:t>Affiliation</w:t>
            </w:r>
          </w:p>
        </w:tc>
        <w:tc>
          <w:tcPr>
            <w:tcW w:w="1620" w:type="dxa"/>
            <w:tcBorders>
              <w:top w:val="single" w:sz="8" w:space="0" w:color="auto"/>
              <w:left w:val="nil"/>
              <w:bottom w:val="single" w:sz="8" w:space="0" w:color="auto"/>
              <w:right w:val="nil"/>
            </w:tcBorders>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rPr>
            </w:pPr>
            <w:r w:rsidRPr="00F46D82">
              <w:rPr>
                <w:rFonts w:asciiTheme="minorHAnsi" w:hAnsiTheme="minorHAnsi" w:cstheme="minorHAnsi"/>
                <w:color w:val="000000"/>
              </w:rPr>
              <w:t>Phone</w:t>
            </w:r>
          </w:p>
        </w:tc>
        <w:tc>
          <w:tcPr>
            <w:tcW w:w="2628" w:type="dxa"/>
            <w:tcBorders>
              <w:top w:val="single" w:sz="8" w:space="0" w:color="auto"/>
              <w:left w:val="nil"/>
              <w:bottom w:val="single" w:sz="8" w:space="0" w:color="auto"/>
              <w:right w:val="nil"/>
            </w:tcBorders>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rPr>
            </w:pPr>
            <w:r w:rsidRPr="00F46D82">
              <w:rPr>
                <w:rFonts w:asciiTheme="minorHAnsi" w:hAnsiTheme="minorHAnsi" w:cstheme="minorHAnsi"/>
                <w:color w:val="000000"/>
              </w:rPr>
              <w:t>Email</w:t>
            </w:r>
          </w:p>
        </w:tc>
      </w:tr>
      <w:tr w:rsidR="00915C8D" w:rsidRPr="00F46D82" w:rsidTr="00915C8D">
        <w:tc>
          <w:tcPr>
            <w:tcW w:w="9576" w:type="dxa"/>
            <w:gridSpan w:val="4"/>
            <w:tcBorders>
              <w:top w:val="single" w:sz="8" w:space="0" w:color="auto"/>
              <w:left w:val="nil"/>
              <w:bottom w:val="single" w:sz="8" w:space="0" w:color="auto"/>
              <w:right w:val="nil"/>
            </w:tcBorders>
            <w:shd w:val="clear" w:color="auto" w:fill="D9D9D9" w:themeFill="background1" w:themeFillShade="D9"/>
            <w:vAlign w:val="center"/>
          </w:tcPr>
          <w:p w:rsidR="00915C8D" w:rsidRPr="00074D63" w:rsidRDefault="00915C8D" w:rsidP="00915C8D">
            <w:pPr>
              <w:autoSpaceDE w:val="0"/>
              <w:autoSpaceDN w:val="0"/>
              <w:adjustRightInd w:val="0"/>
              <w:spacing w:after="0" w:line="240" w:lineRule="auto"/>
              <w:jc w:val="both"/>
              <w:rPr>
                <w:rFonts w:asciiTheme="minorHAnsi" w:hAnsiTheme="minorHAnsi" w:cstheme="minorHAnsi"/>
                <w:i/>
                <w:color w:val="000000"/>
                <w:sz w:val="20"/>
                <w:szCs w:val="20"/>
              </w:rPr>
            </w:pPr>
            <w:r w:rsidRPr="00074D63">
              <w:rPr>
                <w:rFonts w:asciiTheme="minorHAnsi" w:hAnsiTheme="minorHAnsi" w:cstheme="minorHAnsi"/>
                <w:i/>
                <w:color w:val="000000"/>
                <w:sz w:val="20"/>
                <w:szCs w:val="20"/>
              </w:rPr>
              <w:t>OUTSIDE CONSULTANTS</w:t>
            </w:r>
          </w:p>
        </w:tc>
      </w:tr>
      <w:tr w:rsidR="00915C8D" w:rsidRPr="00F46D82" w:rsidTr="00915C8D">
        <w:tc>
          <w:tcPr>
            <w:tcW w:w="2268"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sz w:val="20"/>
                <w:szCs w:val="20"/>
              </w:rPr>
            </w:pPr>
            <w:r w:rsidRPr="00F46D82">
              <w:rPr>
                <w:rFonts w:asciiTheme="minorHAnsi" w:hAnsiTheme="minorHAnsi" w:cstheme="minorHAnsi"/>
                <w:color w:val="000000"/>
                <w:sz w:val="20"/>
                <w:szCs w:val="20"/>
              </w:rPr>
              <w:t xml:space="preserve">John Schell </w:t>
            </w:r>
          </w:p>
        </w:tc>
        <w:tc>
          <w:tcPr>
            <w:tcW w:w="3060"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sz w:val="20"/>
                <w:szCs w:val="20"/>
              </w:rPr>
            </w:pPr>
            <w:r w:rsidRPr="00F46D82">
              <w:rPr>
                <w:rFonts w:asciiTheme="minorHAnsi" w:hAnsiTheme="minorHAnsi" w:cstheme="minorHAnsi"/>
                <w:color w:val="000000"/>
                <w:sz w:val="20"/>
                <w:szCs w:val="20"/>
              </w:rPr>
              <w:t>Exponent</w:t>
            </w:r>
          </w:p>
        </w:tc>
        <w:tc>
          <w:tcPr>
            <w:tcW w:w="1620"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sz w:val="20"/>
                <w:szCs w:val="20"/>
              </w:rPr>
            </w:pPr>
            <w:r w:rsidRPr="00F46D82">
              <w:rPr>
                <w:rFonts w:asciiTheme="minorHAnsi" w:hAnsiTheme="minorHAnsi" w:cstheme="minorHAnsi"/>
                <w:color w:val="000000"/>
                <w:sz w:val="20"/>
                <w:szCs w:val="20"/>
              </w:rPr>
              <w:t>(832) 325-5703</w:t>
            </w:r>
          </w:p>
        </w:tc>
        <w:tc>
          <w:tcPr>
            <w:tcW w:w="2628" w:type="dxa"/>
            <w:tcBorders>
              <w:top w:val="single" w:sz="8" w:space="0" w:color="auto"/>
              <w:left w:val="nil"/>
              <w:bottom w:val="single" w:sz="8" w:space="0" w:color="auto"/>
              <w:right w:val="nil"/>
            </w:tcBorders>
            <w:vAlign w:val="center"/>
          </w:tcPr>
          <w:p w:rsidR="00915C8D" w:rsidRPr="00F46D82" w:rsidRDefault="000425C4" w:rsidP="00915C8D">
            <w:pPr>
              <w:autoSpaceDE w:val="0"/>
              <w:autoSpaceDN w:val="0"/>
              <w:adjustRightInd w:val="0"/>
              <w:spacing w:after="0" w:line="240" w:lineRule="auto"/>
              <w:jc w:val="both"/>
              <w:rPr>
                <w:rFonts w:asciiTheme="minorHAnsi" w:hAnsiTheme="minorHAnsi" w:cstheme="minorHAnsi"/>
                <w:color w:val="000000"/>
                <w:sz w:val="20"/>
                <w:szCs w:val="20"/>
              </w:rPr>
            </w:pPr>
            <w:hyperlink r:id="rId13" w:history="1">
              <w:r w:rsidR="00915C8D" w:rsidRPr="00F46D82">
                <w:rPr>
                  <w:rStyle w:val="Hyperlink"/>
                  <w:rFonts w:asciiTheme="minorHAnsi" w:hAnsiTheme="minorHAnsi" w:cstheme="minorHAnsi"/>
                  <w:sz w:val="20"/>
                  <w:szCs w:val="20"/>
                </w:rPr>
                <w:t>jshell@exponent.com</w:t>
              </w:r>
            </w:hyperlink>
          </w:p>
        </w:tc>
      </w:tr>
      <w:tr w:rsidR="00915C8D" w:rsidRPr="00F46D82" w:rsidTr="00915C8D">
        <w:tc>
          <w:tcPr>
            <w:tcW w:w="9576" w:type="dxa"/>
            <w:gridSpan w:val="4"/>
            <w:tcBorders>
              <w:top w:val="single" w:sz="8" w:space="0" w:color="auto"/>
              <w:left w:val="nil"/>
              <w:bottom w:val="single" w:sz="8" w:space="0" w:color="auto"/>
              <w:right w:val="nil"/>
            </w:tcBorders>
            <w:shd w:val="clear" w:color="auto" w:fill="D9D9D9" w:themeFill="background1" w:themeFillShade="D9"/>
            <w:vAlign w:val="center"/>
          </w:tcPr>
          <w:p w:rsidR="00915C8D" w:rsidRPr="00F46D82" w:rsidRDefault="00915C8D" w:rsidP="00915C8D">
            <w:pPr>
              <w:pStyle w:val="PlainText"/>
              <w:jc w:val="both"/>
              <w:rPr>
                <w:rFonts w:asciiTheme="minorHAnsi" w:hAnsiTheme="minorHAnsi" w:cstheme="minorHAnsi"/>
                <w:sz w:val="20"/>
                <w:szCs w:val="20"/>
              </w:rPr>
            </w:pPr>
            <w:r w:rsidRPr="00F46D82">
              <w:rPr>
                <w:rFonts w:asciiTheme="minorHAnsi" w:hAnsiTheme="minorHAnsi" w:cstheme="minorHAnsi"/>
                <w:i/>
                <w:color w:val="000000"/>
                <w:sz w:val="20"/>
                <w:szCs w:val="20"/>
              </w:rPr>
              <w:t>ACADEMIC INSTITUTIONS</w:t>
            </w:r>
          </w:p>
        </w:tc>
      </w:tr>
      <w:tr w:rsidR="00915C8D" w:rsidRPr="00F46D82" w:rsidTr="00915C8D">
        <w:tc>
          <w:tcPr>
            <w:tcW w:w="2268"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rPr>
                <w:rFonts w:asciiTheme="minorHAnsi" w:hAnsiTheme="minorHAnsi" w:cstheme="minorHAnsi"/>
                <w:color w:val="000000"/>
                <w:sz w:val="20"/>
                <w:szCs w:val="20"/>
              </w:rPr>
            </w:pPr>
            <w:r w:rsidRPr="00F46D82">
              <w:rPr>
                <w:rFonts w:asciiTheme="minorHAnsi" w:hAnsiTheme="minorHAnsi" w:cstheme="minorHAnsi"/>
                <w:color w:val="000000"/>
                <w:sz w:val="20"/>
                <w:szCs w:val="20"/>
              </w:rPr>
              <w:t>Allen Silverstone</w:t>
            </w:r>
            <w:r>
              <w:rPr>
                <w:rFonts w:asciiTheme="minorHAnsi" w:hAnsiTheme="minorHAnsi" w:cstheme="minorHAnsi"/>
                <w:color w:val="000000"/>
                <w:sz w:val="20"/>
                <w:szCs w:val="20"/>
              </w:rPr>
              <w:t>, PhD</w:t>
            </w:r>
          </w:p>
        </w:tc>
        <w:tc>
          <w:tcPr>
            <w:tcW w:w="3060"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rPr>
                <w:rFonts w:asciiTheme="minorHAnsi" w:hAnsiTheme="minorHAnsi" w:cstheme="minorHAnsi"/>
                <w:color w:val="000000"/>
                <w:sz w:val="20"/>
                <w:szCs w:val="20"/>
              </w:rPr>
            </w:pPr>
            <w:r w:rsidRPr="00F46D82">
              <w:rPr>
                <w:rFonts w:asciiTheme="minorHAnsi" w:hAnsiTheme="minorHAnsi" w:cstheme="minorHAnsi"/>
                <w:color w:val="000000"/>
                <w:sz w:val="20"/>
                <w:szCs w:val="20"/>
              </w:rPr>
              <w:t>SUNY Upstate Medical University</w:t>
            </w:r>
          </w:p>
        </w:tc>
        <w:tc>
          <w:tcPr>
            <w:tcW w:w="1620"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sz w:val="20"/>
                <w:szCs w:val="20"/>
              </w:rPr>
            </w:pPr>
            <w:r w:rsidRPr="00F46D82">
              <w:rPr>
                <w:rFonts w:asciiTheme="minorHAnsi" w:hAnsiTheme="minorHAnsi" w:cstheme="minorHAnsi"/>
                <w:color w:val="000000"/>
                <w:sz w:val="20"/>
                <w:szCs w:val="20"/>
              </w:rPr>
              <w:t>(518) 402-7800</w:t>
            </w:r>
          </w:p>
        </w:tc>
        <w:tc>
          <w:tcPr>
            <w:tcW w:w="2628" w:type="dxa"/>
            <w:tcBorders>
              <w:top w:val="single" w:sz="8" w:space="0" w:color="auto"/>
              <w:left w:val="nil"/>
              <w:bottom w:val="single" w:sz="8" w:space="0" w:color="auto"/>
              <w:right w:val="nil"/>
            </w:tcBorders>
            <w:vAlign w:val="center"/>
          </w:tcPr>
          <w:p w:rsidR="00915C8D" w:rsidRPr="00F46D82" w:rsidRDefault="000425C4" w:rsidP="00915C8D">
            <w:pPr>
              <w:autoSpaceDE w:val="0"/>
              <w:autoSpaceDN w:val="0"/>
              <w:adjustRightInd w:val="0"/>
              <w:spacing w:after="0" w:line="240" w:lineRule="auto"/>
              <w:jc w:val="both"/>
              <w:rPr>
                <w:rFonts w:asciiTheme="minorHAnsi" w:hAnsiTheme="minorHAnsi" w:cstheme="minorHAnsi"/>
                <w:color w:val="000000"/>
                <w:sz w:val="20"/>
                <w:szCs w:val="20"/>
              </w:rPr>
            </w:pPr>
            <w:hyperlink r:id="rId14" w:history="1">
              <w:r w:rsidR="00915C8D" w:rsidRPr="00F46D82">
                <w:rPr>
                  <w:rStyle w:val="Hyperlink"/>
                  <w:rFonts w:asciiTheme="minorHAnsi" w:hAnsiTheme="minorHAnsi" w:cstheme="minorHAnsi"/>
                  <w:sz w:val="20"/>
                  <w:szCs w:val="20"/>
                </w:rPr>
                <w:t>ajf01@health.state.ny.us</w:t>
              </w:r>
            </w:hyperlink>
            <w:r w:rsidR="00915C8D" w:rsidRPr="00F46D82">
              <w:rPr>
                <w:rFonts w:asciiTheme="minorHAnsi" w:hAnsiTheme="minorHAnsi" w:cstheme="minorHAnsi"/>
                <w:color w:val="000000"/>
                <w:sz w:val="20"/>
                <w:szCs w:val="20"/>
              </w:rPr>
              <w:t xml:space="preserve"> </w:t>
            </w:r>
          </w:p>
        </w:tc>
      </w:tr>
      <w:tr w:rsidR="00915C8D" w:rsidRPr="00F46D82" w:rsidTr="00915C8D">
        <w:tc>
          <w:tcPr>
            <w:tcW w:w="2268"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sz w:val="20"/>
                <w:szCs w:val="20"/>
              </w:rPr>
            </w:pPr>
            <w:r w:rsidRPr="00F46D82">
              <w:rPr>
                <w:rFonts w:asciiTheme="minorHAnsi" w:hAnsiTheme="minorHAnsi" w:cstheme="minorHAnsi"/>
                <w:color w:val="000000"/>
                <w:sz w:val="20"/>
                <w:szCs w:val="20"/>
              </w:rPr>
              <w:t>Jim Olson</w:t>
            </w:r>
          </w:p>
        </w:tc>
        <w:tc>
          <w:tcPr>
            <w:tcW w:w="3060"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sz w:val="20"/>
                <w:szCs w:val="20"/>
              </w:rPr>
            </w:pPr>
            <w:r w:rsidRPr="00F46D82">
              <w:rPr>
                <w:rFonts w:asciiTheme="minorHAnsi" w:hAnsiTheme="minorHAnsi" w:cstheme="minorHAnsi"/>
                <w:color w:val="333333"/>
                <w:sz w:val="20"/>
                <w:szCs w:val="20"/>
              </w:rPr>
              <w:t xml:space="preserve">SUNY Buffalo </w:t>
            </w:r>
          </w:p>
        </w:tc>
        <w:tc>
          <w:tcPr>
            <w:tcW w:w="1620"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sz w:val="20"/>
                <w:szCs w:val="20"/>
              </w:rPr>
            </w:pPr>
            <w:r w:rsidRPr="00F46D82">
              <w:rPr>
                <w:rFonts w:asciiTheme="minorHAnsi" w:hAnsiTheme="minorHAnsi" w:cstheme="minorHAnsi"/>
                <w:color w:val="151515"/>
                <w:sz w:val="20"/>
                <w:szCs w:val="20"/>
              </w:rPr>
              <w:t>(717) 787-9614</w:t>
            </w:r>
          </w:p>
        </w:tc>
        <w:tc>
          <w:tcPr>
            <w:tcW w:w="2628" w:type="dxa"/>
            <w:tcBorders>
              <w:top w:val="single" w:sz="8" w:space="0" w:color="auto"/>
              <w:left w:val="nil"/>
              <w:bottom w:val="single" w:sz="8" w:space="0" w:color="auto"/>
              <w:right w:val="nil"/>
            </w:tcBorders>
            <w:vAlign w:val="center"/>
          </w:tcPr>
          <w:p w:rsidR="00915C8D" w:rsidRPr="00F46D82" w:rsidRDefault="000425C4" w:rsidP="00915C8D">
            <w:pPr>
              <w:autoSpaceDE w:val="0"/>
              <w:autoSpaceDN w:val="0"/>
              <w:adjustRightInd w:val="0"/>
              <w:spacing w:after="0" w:line="240" w:lineRule="auto"/>
              <w:jc w:val="both"/>
              <w:rPr>
                <w:rFonts w:asciiTheme="minorHAnsi" w:hAnsiTheme="minorHAnsi" w:cstheme="minorHAnsi"/>
                <w:color w:val="000000"/>
                <w:sz w:val="20"/>
                <w:szCs w:val="20"/>
              </w:rPr>
            </w:pPr>
            <w:hyperlink r:id="rId15" w:history="1">
              <w:r w:rsidR="00915C8D" w:rsidRPr="00F46D82">
                <w:rPr>
                  <w:rStyle w:val="Hyperlink"/>
                  <w:rFonts w:asciiTheme="minorHAnsi" w:hAnsiTheme="minorHAnsi" w:cstheme="minorHAnsi"/>
                  <w:sz w:val="20"/>
                  <w:szCs w:val="20"/>
                </w:rPr>
                <w:t>tbarron@state.pa.us</w:t>
              </w:r>
            </w:hyperlink>
            <w:r w:rsidR="00915C8D" w:rsidRPr="00F46D82">
              <w:rPr>
                <w:rFonts w:asciiTheme="minorHAnsi" w:hAnsiTheme="minorHAnsi" w:cstheme="minorHAnsi"/>
                <w:color w:val="000000"/>
                <w:sz w:val="20"/>
                <w:szCs w:val="20"/>
              </w:rPr>
              <w:t xml:space="preserve"> </w:t>
            </w:r>
          </w:p>
        </w:tc>
      </w:tr>
      <w:tr w:rsidR="00915C8D" w:rsidRPr="00F46D82" w:rsidTr="00915C8D">
        <w:tc>
          <w:tcPr>
            <w:tcW w:w="2268"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sz w:val="20"/>
                <w:szCs w:val="20"/>
              </w:rPr>
            </w:pPr>
            <w:r w:rsidRPr="00F46D82">
              <w:rPr>
                <w:rFonts w:asciiTheme="minorHAnsi" w:hAnsiTheme="minorHAnsi" w:cstheme="minorHAnsi"/>
                <w:color w:val="000000"/>
                <w:sz w:val="20"/>
                <w:szCs w:val="20"/>
              </w:rPr>
              <w:t>Scott Bartell</w:t>
            </w:r>
            <w:r>
              <w:rPr>
                <w:rFonts w:asciiTheme="minorHAnsi" w:hAnsiTheme="minorHAnsi" w:cstheme="minorHAnsi"/>
                <w:color w:val="000000"/>
                <w:sz w:val="20"/>
                <w:szCs w:val="20"/>
              </w:rPr>
              <w:t>, PhD</w:t>
            </w:r>
          </w:p>
        </w:tc>
        <w:tc>
          <w:tcPr>
            <w:tcW w:w="3060"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sz w:val="20"/>
                <w:szCs w:val="20"/>
              </w:rPr>
            </w:pPr>
            <w:r w:rsidRPr="00F46D82">
              <w:rPr>
                <w:rFonts w:asciiTheme="minorHAnsi" w:hAnsiTheme="minorHAnsi" w:cstheme="minorHAnsi"/>
                <w:color w:val="000000"/>
                <w:sz w:val="20"/>
                <w:szCs w:val="20"/>
              </w:rPr>
              <w:t>University of California Irvine</w:t>
            </w:r>
          </w:p>
        </w:tc>
        <w:tc>
          <w:tcPr>
            <w:tcW w:w="1620"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jc w:val="both"/>
              <w:rPr>
                <w:rFonts w:asciiTheme="minorHAnsi" w:hAnsiTheme="minorHAnsi" w:cstheme="minorHAnsi"/>
                <w:i/>
                <w:color w:val="000000"/>
                <w:sz w:val="20"/>
                <w:szCs w:val="20"/>
              </w:rPr>
            </w:pPr>
            <w:r w:rsidRPr="00F46D82">
              <w:rPr>
                <w:rStyle w:val="Emphasis"/>
                <w:rFonts w:asciiTheme="minorHAnsi" w:hAnsiTheme="minorHAnsi" w:cstheme="minorHAnsi"/>
                <w:i w:val="0"/>
                <w:color w:val="000000"/>
                <w:sz w:val="20"/>
                <w:szCs w:val="20"/>
              </w:rPr>
              <w:t>(608) 266-1253</w:t>
            </w:r>
          </w:p>
        </w:tc>
        <w:tc>
          <w:tcPr>
            <w:tcW w:w="2628" w:type="dxa"/>
            <w:tcBorders>
              <w:top w:val="single" w:sz="8" w:space="0" w:color="auto"/>
              <w:left w:val="nil"/>
              <w:bottom w:val="single" w:sz="8" w:space="0" w:color="auto"/>
              <w:right w:val="nil"/>
            </w:tcBorders>
            <w:vAlign w:val="center"/>
          </w:tcPr>
          <w:p w:rsidR="00915C8D" w:rsidRPr="00F46D82" w:rsidRDefault="000425C4" w:rsidP="00915C8D">
            <w:pPr>
              <w:autoSpaceDE w:val="0"/>
              <w:autoSpaceDN w:val="0"/>
              <w:adjustRightInd w:val="0"/>
              <w:spacing w:after="0" w:line="240" w:lineRule="auto"/>
              <w:jc w:val="both"/>
              <w:rPr>
                <w:rFonts w:asciiTheme="minorHAnsi" w:hAnsiTheme="minorHAnsi" w:cstheme="minorHAnsi"/>
                <w:color w:val="000000"/>
                <w:sz w:val="20"/>
                <w:szCs w:val="20"/>
              </w:rPr>
            </w:pPr>
            <w:hyperlink r:id="rId16" w:history="1">
              <w:r w:rsidR="00915C8D" w:rsidRPr="00F46D82">
                <w:rPr>
                  <w:rStyle w:val="Hyperlink"/>
                  <w:rFonts w:asciiTheme="minorHAnsi" w:hAnsiTheme="minorHAnsi" w:cstheme="minorHAnsi"/>
                  <w:sz w:val="20"/>
                  <w:szCs w:val="20"/>
                </w:rPr>
                <w:t>anderha@dhfs.state.wi.us</w:t>
              </w:r>
            </w:hyperlink>
            <w:r w:rsidR="00915C8D" w:rsidRPr="00F46D82">
              <w:rPr>
                <w:rStyle w:val="Emphasis"/>
                <w:rFonts w:asciiTheme="minorHAnsi" w:hAnsiTheme="minorHAnsi" w:cstheme="minorHAnsi"/>
                <w:color w:val="000000"/>
                <w:sz w:val="20"/>
                <w:szCs w:val="20"/>
              </w:rPr>
              <w:t xml:space="preserve"> </w:t>
            </w:r>
          </w:p>
        </w:tc>
      </w:tr>
    </w:tbl>
    <w:p w:rsidR="00915C8D" w:rsidRDefault="00915C8D" w:rsidP="00915C8D">
      <w:pPr>
        <w:autoSpaceDE w:val="0"/>
        <w:autoSpaceDN w:val="0"/>
        <w:adjustRightInd w:val="0"/>
        <w:spacing w:after="0" w:line="240" w:lineRule="auto"/>
        <w:jc w:val="both"/>
        <w:rPr>
          <w:rFonts w:asciiTheme="minorHAnsi" w:hAnsiTheme="minorHAnsi" w:cstheme="minorHAnsi"/>
          <w:sz w:val="24"/>
          <w:szCs w:val="24"/>
        </w:rPr>
      </w:pPr>
    </w:p>
    <w:p w:rsidR="00915C8D" w:rsidRPr="00F46D82" w:rsidRDefault="00915C8D" w:rsidP="00915C8D">
      <w:pPr>
        <w:autoSpaceDE w:val="0"/>
        <w:autoSpaceDN w:val="0"/>
        <w:adjustRightInd w:val="0"/>
        <w:spacing w:after="0" w:line="240" w:lineRule="auto"/>
        <w:jc w:val="both"/>
        <w:rPr>
          <w:rStyle w:val="A4"/>
          <w:rFonts w:asciiTheme="minorHAnsi" w:hAnsiTheme="minorHAnsi" w:cstheme="minorHAnsi"/>
          <w:sz w:val="23"/>
          <w:szCs w:val="23"/>
          <w:u w:val="none"/>
        </w:rPr>
      </w:pPr>
      <w:r w:rsidRPr="00F46D82">
        <w:rPr>
          <w:rFonts w:asciiTheme="minorHAnsi" w:hAnsiTheme="minorHAnsi" w:cstheme="minorHAnsi"/>
          <w:sz w:val="24"/>
          <w:szCs w:val="24"/>
        </w:rPr>
        <w:t xml:space="preserve">Since 2009, ATSDR has also had ongoing consultations with CDC laboratory scientists to determine appropriate sample collection and analytical methods, and choice of </w:t>
      </w:r>
      <w:proofErr w:type="spellStart"/>
      <w:r w:rsidRPr="00F46D82">
        <w:rPr>
          <w:rFonts w:asciiTheme="minorHAnsi" w:hAnsiTheme="minorHAnsi" w:cstheme="minorHAnsi"/>
          <w:sz w:val="24"/>
          <w:szCs w:val="24"/>
        </w:rPr>
        <w:t>analytes</w:t>
      </w:r>
      <w:proofErr w:type="spellEnd"/>
      <w:r w:rsidRPr="00F46D82">
        <w:rPr>
          <w:rFonts w:asciiTheme="minorHAnsi" w:hAnsiTheme="minorHAnsi" w:cstheme="minorHAnsi"/>
          <w:sz w:val="24"/>
          <w:szCs w:val="24"/>
        </w:rPr>
        <w:t xml:space="preserve">.  The CDC NCEH Division of Laboratory Sciences (DLS) </w:t>
      </w:r>
      <w:r w:rsidRPr="00F46D82">
        <w:rPr>
          <w:rStyle w:val="A3"/>
          <w:rFonts w:asciiTheme="minorHAnsi" w:hAnsiTheme="minorHAnsi" w:cstheme="minorHAnsi"/>
          <w:i w:val="0"/>
          <w:sz w:val="24"/>
          <w:szCs w:val="24"/>
        </w:rPr>
        <w:t xml:space="preserve">produces periodic </w:t>
      </w:r>
      <w:proofErr w:type="spellStart"/>
      <w:r w:rsidRPr="00F46D82">
        <w:rPr>
          <w:rStyle w:val="A3"/>
          <w:rFonts w:asciiTheme="minorHAnsi" w:hAnsiTheme="minorHAnsi" w:cstheme="minorHAnsi"/>
          <w:i w:val="0"/>
          <w:sz w:val="24"/>
          <w:szCs w:val="24"/>
        </w:rPr>
        <w:t>biomonitoring</w:t>
      </w:r>
      <w:proofErr w:type="spellEnd"/>
      <w:r w:rsidRPr="00F46D82">
        <w:rPr>
          <w:rStyle w:val="A3"/>
          <w:rFonts w:asciiTheme="minorHAnsi" w:hAnsiTheme="minorHAnsi" w:cstheme="minorHAnsi"/>
          <w:i w:val="0"/>
          <w:sz w:val="24"/>
          <w:szCs w:val="24"/>
        </w:rPr>
        <w:t xml:space="preserve"> reports and national reference values on the U.S. general population exposure to environmental chemicals, such as the </w:t>
      </w:r>
      <w:r w:rsidRPr="00F46D82">
        <w:rPr>
          <w:rStyle w:val="Emphasis"/>
          <w:rFonts w:asciiTheme="minorHAnsi" w:hAnsiTheme="minorHAnsi" w:cstheme="minorHAnsi"/>
          <w:color w:val="000000"/>
          <w:sz w:val="24"/>
          <w:szCs w:val="24"/>
        </w:rPr>
        <w:t>Fourth National Report on Human Exposure to Environmental Chemicals 2009</w:t>
      </w:r>
      <w:r w:rsidRPr="00F46D82">
        <w:rPr>
          <w:rFonts w:asciiTheme="minorHAnsi" w:hAnsiTheme="minorHAnsi" w:cstheme="minorHAnsi"/>
          <w:color w:val="000000"/>
          <w:sz w:val="24"/>
          <w:szCs w:val="24"/>
        </w:rPr>
        <w:t xml:space="preserve"> </w:t>
      </w:r>
      <w:r w:rsidR="00055266">
        <w:rPr>
          <w:rFonts w:asciiTheme="minorHAnsi" w:hAnsiTheme="minorHAnsi" w:cstheme="minorHAnsi"/>
          <w:color w:val="000000"/>
          <w:sz w:val="24"/>
          <w:szCs w:val="24"/>
        </w:rPr>
        <w:t xml:space="preserve">(CDC, 2009) </w:t>
      </w:r>
      <w:r w:rsidRPr="00F46D82">
        <w:rPr>
          <w:rFonts w:asciiTheme="minorHAnsi" w:hAnsiTheme="minorHAnsi" w:cstheme="minorHAnsi"/>
          <w:color w:val="000000"/>
          <w:sz w:val="24"/>
          <w:szCs w:val="24"/>
        </w:rPr>
        <w:t xml:space="preserve">and the </w:t>
      </w:r>
      <w:r w:rsidRPr="00F46D82">
        <w:rPr>
          <w:rStyle w:val="Emphasis"/>
          <w:rFonts w:asciiTheme="minorHAnsi" w:hAnsiTheme="minorHAnsi" w:cstheme="minorHAnsi"/>
          <w:color w:val="000000"/>
          <w:sz w:val="24"/>
          <w:szCs w:val="24"/>
        </w:rPr>
        <w:t>Updated Tables, February 2011</w:t>
      </w:r>
      <w:r w:rsidRPr="00F46D82">
        <w:rPr>
          <w:rStyle w:val="A3"/>
          <w:rFonts w:asciiTheme="minorHAnsi" w:hAnsiTheme="minorHAnsi" w:cstheme="minorHAnsi"/>
          <w:i w:val="0"/>
          <w:sz w:val="24"/>
          <w:szCs w:val="24"/>
        </w:rPr>
        <w:t xml:space="preserve"> (see </w:t>
      </w:r>
      <w:hyperlink r:id="rId17" w:history="1">
        <w:r w:rsidRPr="00F46D82">
          <w:rPr>
            <w:rStyle w:val="Hyperlink"/>
            <w:rFonts w:asciiTheme="minorHAnsi" w:eastAsia="Times New Roman" w:hAnsiTheme="minorHAnsi" w:cstheme="minorHAnsi"/>
            <w:sz w:val="24"/>
            <w:szCs w:val="24"/>
          </w:rPr>
          <w:t>http://www.cdc.gov/exposurereport</w:t>
        </w:r>
      </w:hyperlink>
      <w:r w:rsidRPr="00F46D82">
        <w:rPr>
          <w:rFonts w:asciiTheme="minorHAnsi" w:hAnsiTheme="minorHAnsi" w:cstheme="minorHAnsi"/>
        </w:rPr>
        <w:t>)</w:t>
      </w:r>
      <w:r w:rsidRPr="00F46D82">
        <w:rPr>
          <w:rStyle w:val="A4"/>
          <w:rFonts w:asciiTheme="minorHAnsi" w:hAnsiTheme="minorHAnsi" w:cstheme="minorHAnsi"/>
          <w:sz w:val="24"/>
          <w:szCs w:val="24"/>
          <w:u w:val="none"/>
        </w:rPr>
        <w:t>.</w:t>
      </w:r>
    </w:p>
    <w:p w:rsidR="00915C8D" w:rsidRPr="00F46D82" w:rsidRDefault="00915C8D" w:rsidP="00915C8D">
      <w:pPr>
        <w:spacing w:after="0" w:line="240" w:lineRule="auto"/>
        <w:jc w:val="both"/>
        <w:rPr>
          <w:rFonts w:asciiTheme="minorHAnsi" w:hAnsiTheme="minorHAnsi" w:cstheme="minorHAnsi"/>
        </w:rPr>
      </w:pPr>
    </w:p>
    <w:p w:rsidR="00915C8D" w:rsidRDefault="00915C8D" w:rsidP="00915C8D">
      <w:pPr>
        <w:autoSpaceDE w:val="0"/>
        <w:autoSpaceDN w:val="0"/>
        <w:adjustRightInd w:val="0"/>
        <w:spacing w:after="0" w:line="240" w:lineRule="auto"/>
        <w:jc w:val="both"/>
        <w:rPr>
          <w:rFonts w:asciiTheme="minorHAnsi" w:hAnsiTheme="minorHAnsi" w:cstheme="minorHAnsi"/>
          <w:color w:val="000000"/>
          <w:sz w:val="24"/>
          <w:szCs w:val="24"/>
        </w:rPr>
      </w:pPr>
      <w:proofErr w:type="gramStart"/>
      <w:r w:rsidRPr="000C4397">
        <w:rPr>
          <w:rFonts w:asciiTheme="minorHAnsi" w:hAnsiTheme="minorHAnsi" w:cstheme="minorHAnsi"/>
          <w:b/>
          <w:color w:val="000000"/>
          <w:sz w:val="24"/>
          <w:szCs w:val="24"/>
        </w:rPr>
        <w:t>Table 3.</w:t>
      </w:r>
      <w:proofErr w:type="gramEnd"/>
      <w:r w:rsidRPr="000C4397">
        <w:rPr>
          <w:rFonts w:asciiTheme="minorHAnsi" w:hAnsiTheme="minorHAnsi" w:cstheme="minorHAnsi"/>
          <w:color w:val="000000"/>
          <w:sz w:val="24"/>
          <w:szCs w:val="24"/>
        </w:rPr>
        <w:t xml:space="preserve"> Consultations with CDC NCEH Laboratories</w:t>
      </w:r>
    </w:p>
    <w:p w:rsidR="000C4397" w:rsidRPr="000C4397" w:rsidRDefault="000C4397" w:rsidP="00915C8D">
      <w:pPr>
        <w:autoSpaceDE w:val="0"/>
        <w:autoSpaceDN w:val="0"/>
        <w:adjustRightInd w:val="0"/>
        <w:spacing w:after="0" w:line="240" w:lineRule="auto"/>
        <w:jc w:val="both"/>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790"/>
        <w:gridCol w:w="1609"/>
        <w:gridCol w:w="2999"/>
      </w:tblGrid>
      <w:tr w:rsidR="00915C8D" w:rsidRPr="00F46D82" w:rsidTr="00915C8D">
        <w:tc>
          <w:tcPr>
            <w:tcW w:w="2178" w:type="dxa"/>
            <w:tcBorders>
              <w:top w:val="single" w:sz="8" w:space="0" w:color="auto"/>
              <w:left w:val="nil"/>
              <w:bottom w:val="single" w:sz="8" w:space="0" w:color="auto"/>
              <w:right w:val="nil"/>
            </w:tcBorders>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rPr>
            </w:pPr>
            <w:r w:rsidRPr="00F46D82">
              <w:rPr>
                <w:rFonts w:asciiTheme="minorHAnsi" w:hAnsiTheme="minorHAnsi" w:cstheme="minorHAnsi"/>
                <w:color w:val="000000"/>
              </w:rPr>
              <w:t>Name</w:t>
            </w:r>
          </w:p>
        </w:tc>
        <w:tc>
          <w:tcPr>
            <w:tcW w:w="2790" w:type="dxa"/>
            <w:tcBorders>
              <w:top w:val="single" w:sz="8" w:space="0" w:color="auto"/>
              <w:left w:val="nil"/>
              <w:bottom w:val="single" w:sz="8" w:space="0" w:color="auto"/>
              <w:right w:val="nil"/>
            </w:tcBorders>
          </w:tcPr>
          <w:p w:rsidR="00915C8D" w:rsidRPr="00F46D82" w:rsidRDefault="00A46105" w:rsidP="00915C8D">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Affiliation</w:t>
            </w:r>
          </w:p>
        </w:tc>
        <w:tc>
          <w:tcPr>
            <w:tcW w:w="1609" w:type="dxa"/>
            <w:tcBorders>
              <w:top w:val="single" w:sz="8" w:space="0" w:color="auto"/>
              <w:left w:val="nil"/>
              <w:bottom w:val="single" w:sz="8" w:space="0" w:color="auto"/>
              <w:right w:val="nil"/>
            </w:tcBorders>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rPr>
            </w:pPr>
            <w:r w:rsidRPr="00F46D82">
              <w:rPr>
                <w:rFonts w:asciiTheme="minorHAnsi" w:hAnsiTheme="minorHAnsi" w:cstheme="minorHAnsi"/>
                <w:color w:val="000000"/>
              </w:rPr>
              <w:t>Phone</w:t>
            </w:r>
          </w:p>
        </w:tc>
        <w:tc>
          <w:tcPr>
            <w:tcW w:w="2999" w:type="dxa"/>
            <w:tcBorders>
              <w:top w:val="single" w:sz="8" w:space="0" w:color="auto"/>
              <w:left w:val="nil"/>
              <w:bottom w:val="single" w:sz="8" w:space="0" w:color="auto"/>
              <w:right w:val="nil"/>
            </w:tcBorders>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rPr>
            </w:pPr>
            <w:r w:rsidRPr="00F46D82">
              <w:rPr>
                <w:rFonts w:asciiTheme="minorHAnsi" w:hAnsiTheme="minorHAnsi" w:cstheme="minorHAnsi"/>
                <w:color w:val="000000"/>
              </w:rPr>
              <w:t>Email</w:t>
            </w:r>
          </w:p>
        </w:tc>
      </w:tr>
      <w:tr w:rsidR="00915C8D" w:rsidRPr="00F46D82" w:rsidTr="00915C8D">
        <w:tc>
          <w:tcPr>
            <w:tcW w:w="2178"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rPr>
                <w:rFonts w:asciiTheme="minorHAnsi" w:hAnsiTheme="minorHAnsi" w:cstheme="minorHAnsi"/>
                <w:color w:val="000000"/>
                <w:sz w:val="20"/>
                <w:szCs w:val="20"/>
              </w:rPr>
            </w:pPr>
            <w:r w:rsidRPr="00F46D82">
              <w:rPr>
                <w:rFonts w:asciiTheme="minorHAnsi" w:hAnsiTheme="minorHAnsi" w:cstheme="minorHAnsi"/>
                <w:color w:val="000000"/>
                <w:sz w:val="20"/>
                <w:szCs w:val="20"/>
              </w:rPr>
              <w:t>Kathleen Caldwell, PhD</w:t>
            </w:r>
          </w:p>
        </w:tc>
        <w:tc>
          <w:tcPr>
            <w:tcW w:w="2790"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rPr>
                <w:rFonts w:asciiTheme="minorHAnsi" w:hAnsiTheme="minorHAnsi" w:cstheme="minorHAnsi"/>
                <w:color w:val="000000"/>
                <w:sz w:val="20"/>
                <w:szCs w:val="20"/>
              </w:rPr>
            </w:pPr>
            <w:r w:rsidRPr="00F46D82">
              <w:rPr>
                <w:rFonts w:asciiTheme="minorHAnsi" w:hAnsiTheme="minorHAnsi" w:cstheme="minorHAnsi"/>
                <w:color w:val="000000"/>
                <w:sz w:val="20"/>
                <w:szCs w:val="20"/>
              </w:rPr>
              <w:t>Inorganic and Radiation Toxicology Branch</w:t>
            </w:r>
          </w:p>
        </w:tc>
        <w:tc>
          <w:tcPr>
            <w:tcW w:w="1609" w:type="dxa"/>
            <w:tcBorders>
              <w:top w:val="single" w:sz="8" w:space="0" w:color="auto"/>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jc w:val="both"/>
              <w:rPr>
                <w:rStyle w:val="Emphasis"/>
                <w:rFonts w:asciiTheme="minorHAnsi" w:hAnsiTheme="minorHAnsi" w:cstheme="minorHAnsi"/>
                <w:i w:val="0"/>
                <w:color w:val="000000"/>
                <w:sz w:val="20"/>
                <w:szCs w:val="20"/>
              </w:rPr>
            </w:pPr>
            <w:r w:rsidRPr="00F46D82">
              <w:rPr>
                <w:rStyle w:val="Emphasis"/>
                <w:rFonts w:asciiTheme="minorHAnsi" w:hAnsiTheme="minorHAnsi" w:cstheme="minorHAnsi"/>
                <w:i w:val="0"/>
                <w:color w:val="000000"/>
                <w:sz w:val="20"/>
                <w:szCs w:val="20"/>
              </w:rPr>
              <w:t>(770) 488-7990</w:t>
            </w:r>
          </w:p>
        </w:tc>
        <w:tc>
          <w:tcPr>
            <w:tcW w:w="2999" w:type="dxa"/>
            <w:tcBorders>
              <w:top w:val="single" w:sz="8" w:space="0" w:color="auto"/>
              <w:left w:val="nil"/>
              <w:bottom w:val="single" w:sz="8" w:space="0" w:color="auto"/>
              <w:right w:val="nil"/>
            </w:tcBorders>
            <w:vAlign w:val="center"/>
          </w:tcPr>
          <w:p w:rsidR="00915C8D" w:rsidRPr="00F46D82" w:rsidRDefault="000425C4" w:rsidP="00915C8D">
            <w:pPr>
              <w:autoSpaceDE w:val="0"/>
              <w:autoSpaceDN w:val="0"/>
              <w:adjustRightInd w:val="0"/>
              <w:spacing w:after="0" w:line="240" w:lineRule="auto"/>
              <w:jc w:val="both"/>
              <w:rPr>
                <w:rStyle w:val="Emphasis"/>
                <w:rFonts w:asciiTheme="minorHAnsi" w:hAnsiTheme="minorHAnsi" w:cstheme="minorHAnsi"/>
                <w:color w:val="000000"/>
                <w:sz w:val="20"/>
                <w:szCs w:val="20"/>
              </w:rPr>
            </w:pPr>
            <w:hyperlink r:id="rId18" w:history="1">
              <w:r w:rsidR="00915C8D" w:rsidRPr="00F46D82">
                <w:rPr>
                  <w:rStyle w:val="Hyperlink"/>
                  <w:rFonts w:asciiTheme="minorHAnsi" w:hAnsiTheme="minorHAnsi" w:cstheme="minorHAnsi"/>
                  <w:sz w:val="20"/>
                  <w:szCs w:val="20"/>
                </w:rPr>
                <w:t>kcaldwell@cdc.gov</w:t>
              </w:r>
            </w:hyperlink>
            <w:r w:rsidR="00915C8D" w:rsidRPr="00F46D82">
              <w:rPr>
                <w:rStyle w:val="Emphasis"/>
                <w:rFonts w:asciiTheme="minorHAnsi" w:hAnsiTheme="minorHAnsi" w:cstheme="minorHAnsi"/>
                <w:color w:val="000000"/>
                <w:sz w:val="20"/>
                <w:szCs w:val="20"/>
              </w:rPr>
              <w:t xml:space="preserve"> </w:t>
            </w:r>
          </w:p>
        </w:tc>
      </w:tr>
      <w:tr w:rsidR="00915C8D" w:rsidRPr="00F46D82" w:rsidTr="00915C8D">
        <w:tc>
          <w:tcPr>
            <w:tcW w:w="2178" w:type="dxa"/>
            <w:tcBorders>
              <w:top w:val="single" w:sz="8" w:space="0" w:color="auto"/>
              <w:left w:val="nil"/>
              <w:bottom w:val="nil"/>
              <w:right w:val="nil"/>
            </w:tcBorders>
            <w:vAlign w:val="center"/>
          </w:tcPr>
          <w:p w:rsidR="00915C8D" w:rsidRPr="00F46D82" w:rsidRDefault="00915C8D" w:rsidP="00915C8D">
            <w:pPr>
              <w:autoSpaceDE w:val="0"/>
              <w:autoSpaceDN w:val="0"/>
              <w:adjustRightInd w:val="0"/>
              <w:spacing w:after="0" w:line="240" w:lineRule="auto"/>
              <w:rPr>
                <w:rFonts w:asciiTheme="minorHAnsi" w:hAnsiTheme="minorHAnsi" w:cstheme="minorHAnsi"/>
                <w:color w:val="000000"/>
                <w:sz w:val="20"/>
                <w:szCs w:val="20"/>
              </w:rPr>
            </w:pPr>
            <w:r w:rsidRPr="00F46D82">
              <w:rPr>
                <w:rFonts w:asciiTheme="minorHAnsi" w:hAnsiTheme="minorHAnsi" w:cstheme="minorHAnsi"/>
                <w:color w:val="000000"/>
                <w:sz w:val="20"/>
                <w:szCs w:val="20"/>
              </w:rPr>
              <w:t>Antonia Calafat, PhD</w:t>
            </w:r>
          </w:p>
        </w:tc>
        <w:tc>
          <w:tcPr>
            <w:tcW w:w="2790" w:type="dxa"/>
            <w:vMerge w:val="restart"/>
            <w:tcBorders>
              <w:top w:val="single" w:sz="8" w:space="0" w:color="auto"/>
              <w:left w:val="nil"/>
              <w:bottom w:val="nil"/>
              <w:right w:val="nil"/>
            </w:tcBorders>
            <w:vAlign w:val="center"/>
          </w:tcPr>
          <w:p w:rsidR="00915C8D" w:rsidRPr="00F46D82" w:rsidRDefault="00915C8D" w:rsidP="00915C8D">
            <w:pPr>
              <w:autoSpaceDE w:val="0"/>
              <w:autoSpaceDN w:val="0"/>
              <w:adjustRightInd w:val="0"/>
              <w:spacing w:after="0" w:line="240" w:lineRule="auto"/>
              <w:rPr>
                <w:rFonts w:asciiTheme="minorHAnsi" w:hAnsiTheme="minorHAnsi" w:cstheme="minorHAnsi"/>
                <w:color w:val="000000"/>
                <w:sz w:val="20"/>
                <w:szCs w:val="20"/>
              </w:rPr>
            </w:pPr>
            <w:r w:rsidRPr="00F46D82">
              <w:rPr>
                <w:rFonts w:asciiTheme="minorHAnsi" w:hAnsiTheme="minorHAnsi" w:cstheme="minorHAnsi"/>
                <w:color w:val="000000"/>
                <w:sz w:val="20"/>
                <w:szCs w:val="20"/>
              </w:rPr>
              <w:t>Organic Analytical Toxicology Branch</w:t>
            </w:r>
          </w:p>
        </w:tc>
        <w:tc>
          <w:tcPr>
            <w:tcW w:w="1609" w:type="dxa"/>
            <w:tcBorders>
              <w:top w:val="single" w:sz="8" w:space="0" w:color="auto"/>
              <w:left w:val="nil"/>
              <w:bottom w:val="nil"/>
              <w:right w:val="nil"/>
            </w:tcBorders>
            <w:vAlign w:val="center"/>
          </w:tcPr>
          <w:p w:rsidR="00915C8D" w:rsidRPr="00F46D82" w:rsidRDefault="00915C8D" w:rsidP="00915C8D">
            <w:pPr>
              <w:autoSpaceDE w:val="0"/>
              <w:autoSpaceDN w:val="0"/>
              <w:adjustRightInd w:val="0"/>
              <w:spacing w:after="0" w:line="240" w:lineRule="auto"/>
              <w:jc w:val="both"/>
              <w:rPr>
                <w:rStyle w:val="Emphasis"/>
                <w:rFonts w:asciiTheme="minorHAnsi" w:hAnsiTheme="minorHAnsi" w:cstheme="minorHAnsi"/>
                <w:i w:val="0"/>
                <w:color w:val="000000"/>
                <w:sz w:val="20"/>
                <w:szCs w:val="20"/>
              </w:rPr>
            </w:pPr>
            <w:r w:rsidRPr="00F46D82">
              <w:rPr>
                <w:rStyle w:val="Emphasis"/>
                <w:rFonts w:asciiTheme="minorHAnsi" w:hAnsiTheme="minorHAnsi" w:cstheme="minorHAnsi"/>
                <w:i w:val="0"/>
                <w:color w:val="000000"/>
                <w:sz w:val="20"/>
                <w:szCs w:val="20"/>
              </w:rPr>
              <w:t>(770) 488-7891</w:t>
            </w:r>
          </w:p>
        </w:tc>
        <w:tc>
          <w:tcPr>
            <w:tcW w:w="2999" w:type="dxa"/>
            <w:tcBorders>
              <w:top w:val="single" w:sz="8" w:space="0" w:color="auto"/>
              <w:left w:val="nil"/>
              <w:bottom w:val="nil"/>
              <w:right w:val="nil"/>
            </w:tcBorders>
            <w:vAlign w:val="center"/>
          </w:tcPr>
          <w:p w:rsidR="00915C8D" w:rsidRPr="00F46D82" w:rsidRDefault="000425C4" w:rsidP="00915C8D">
            <w:pPr>
              <w:autoSpaceDE w:val="0"/>
              <w:autoSpaceDN w:val="0"/>
              <w:adjustRightInd w:val="0"/>
              <w:spacing w:after="0" w:line="240" w:lineRule="auto"/>
              <w:jc w:val="both"/>
              <w:rPr>
                <w:rStyle w:val="Emphasis"/>
                <w:rFonts w:asciiTheme="minorHAnsi" w:hAnsiTheme="minorHAnsi" w:cstheme="minorHAnsi"/>
                <w:color w:val="000000"/>
                <w:sz w:val="20"/>
                <w:szCs w:val="20"/>
              </w:rPr>
            </w:pPr>
            <w:hyperlink r:id="rId19" w:history="1">
              <w:r w:rsidR="00915C8D" w:rsidRPr="00F46D82">
                <w:rPr>
                  <w:rStyle w:val="Hyperlink"/>
                  <w:rFonts w:asciiTheme="minorHAnsi" w:hAnsiTheme="minorHAnsi" w:cstheme="minorHAnsi"/>
                  <w:sz w:val="20"/>
                  <w:szCs w:val="20"/>
                </w:rPr>
                <w:t>acalafat@cdc.gov</w:t>
              </w:r>
            </w:hyperlink>
            <w:r w:rsidR="00915C8D" w:rsidRPr="00F46D82">
              <w:rPr>
                <w:rStyle w:val="Emphasis"/>
                <w:rFonts w:asciiTheme="minorHAnsi" w:hAnsiTheme="minorHAnsi" w:cstheme="minorHAnsi"/>
                <w:color w:val="000000"/>
                <w:sz w:val="20"/>
                <w:szCs w:val="20"/>
              </w:rPr>
              <w:t xml:space="preserve"> </w:t>
            </w:r>
          </w:p>
        </w:tc>
      </w:tr>
      <w:tr w:rsidR="00915C8D" w:rsidRPr="00F46D82" w:rsidTr="00915C8D">
        <w:tc>
          <w:tcPr>
            <w:tcW w:w="2178" w:type="dxa"/>
            <w:tcBorders>
              <w:top w:val="nil"/>
              <w:left w:val="nil"/>
              <w:bottom w:val="nil"/>
              <w:right w:val="nil"/>
            </w:tcBorders>
            <w:vAlign w:val="center"/>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sz w:val="20"/>
                <w:szCs w:val="20"/>
              </w:rPr>
            </w:pPr>
            <w:r w:rsidRPr="00F46D82">
              <w:rPr>
                <w:rFonts w:asciiTheme="minorHAnsi" w:hAnsiTheme="minorHAnsi" w:cstheme="minorHAnsi"/>
                <w:color w:val="000000"/>
                <w:sz w:val="20"/>
                <w:szCs w:val="20"/>
              </w:rPr>
              <w:t>Andreas Sjodin, PhD</w:t>
            </w:r>
          </w:p>
        </w:tc>
        <w:tc>
          <w:tcPr>
            <w:tcW w:w="2790" w:type="dxa"/>
            <w:vMerge/>
            <w:tcBorders>
              <w:top w:val="nil"/>
              <w:left w:val="nil"/>
              <w:bottom w:val="nil"/>
              <w:right w:val="nil"/>
            </w:tcBorders>
            <w:vAlign w:val="center"/>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sz w:val="20"/>
                <w:szCs w:val="20"/>
              </w:rPr>
            </w:pPr>
          </w:p>
        </w:tc>
        <w:tc>
          <w:tcPr>
            <w:tcW w:w="1609" w:type="dxa"/>
            <w:tcBorders>
              <w:top w:val="nil"/>
              <w:left w:val="nil"/>
              <w:bottom w:val="nil"/>
              <w:right w:val="nil"/>
            </w:tcBorders>
            <w:vAlign w:val="center"/>
          </w:tcPr>
          <w:p w:rsidR="00915C8D" w:rsidRPr="00F46D82" w:rsidRDefault="00915C8D" w:rsidP="00915C8D">
            <w:pPr>
              <w:autoSpaceDE w:val="0"/>
              <w:autoSpaceDN w:val="0"/>
              <w:adjustRightInd w:val="0"/>
              <w:spacing w:after="0" w:line="240" w:lineRule="auto"/>
              <w:jc w:val="both"/>
              <w:rPr>
                <w:rStyle w:val="Emphasis"/>
                <w:rFonts w:asciiTheme="minorHAnsi" w:hAnsiTheme="minorHAnsi" w:cstheme="minorHAnsi"/>
                <w:i w:val="0"/>
                <w:color w:val="000000"/>
                <w:sz w:val="20"/>
                <w:szCs w:val="20"/>
              </w:rPr>
            </w:pPr>
            <w:r w:rsidRPr="00F46D82">
              <w:rPr>
                <w:rStyle w:val="Emphasis"/>
                <w:rFonts w:asciiTheme="minorHAnsi" w:hAnsiTheme="minorHAnsi" w:cstheme="minorHAnsi"/>
                <w:i w:val="0"/>
                <w:color w:val="000000"/>
                <w:sz w:val="20"/>
                <w:szCs w:val="20"/>
              </w:rPr>
              <w:t>(770) 488-4711</w:t>
            </w:r>
          </w:p>
        </w:tc>
        <w:tc>
          <w:tcPr>
            <w:tcW w:w="2999" w:type="dxa"/>
            <w:tcBorders>
              <w:top w:val="nil"/>
              <w:left w:val="nil"/>
              <w:bottom w:val="nil"/>
              <w:right w:val="nil"/>
            </w:tcBorders>
            <w:vAlign w:val="center"/>
          </w:tcPr>
          <w:p w:rsidR="00915C8D" w:rsidRPr="00F46D82" w:rsidRDefault="000425C4" w:rsidP="00915C8D">
            <w:pPr>
              <w:autoSpaceDE w:val="0"/>
              <w:autoSpaceDN w:val="0"/>
              <w:adjustRightInd w:val="0"/>
              <w:spacing w:after="0" w:line="240" w:lineRule="auto"/>
              <w:jc w:val="both"/>
              <w:rPr>
                <w:rStyle w:val="Emphasis"/>
                <w:rFonts w:asciiTheme="minorHAnsi" w:hAnsiTheme="minorHAnsi" w:cstheme="minorHAnsi"/>
                <w:color w:val="000000"/>
                <w:sz w:val="20"/>
                <w:szCs w:val="20"/>
              </w:rPr>
            </w:pPr>
            <w:hyperlink r:id="rId20" w:history="1">
              <w:r w:rsidR="00915C8D" w:rsidRPr="00F46D82">
                <w:rPr>
                  <w:rStyle w:val="Hyperlink"/>
                  <w:rFonts w:asciiTheme="minorHAnsi" w:hAnsiTheme="minorHAnsi" w:cstheme="minorHAnsi"/>
                  <w:sz w:val="20"/>
                  <w:szCs w:val="20"/>
                </w:rPr>
                <w:t>asjodin@cdc.gov</w:t>
              </w:r>
            </w:hyperlink>
            <w:r w:rsidR="00915C8D" w:rsidRPr="00F46D82">
              <w:rPr>
                <w:rStyle w:val="Emphasis"/>
                <w:rFonts w:asciiTheme="minorHAnsi" w:hAnsiTheme="minorHAnsi" w:cstheme="minorHAnsi"/>
                <w:color w:val="000000"/>
                <w:sz w:val="20"/>
                <w:szCs w:val="20"/>
              </w:rPr>
              <w:t xml:space="preserve"> </w:t>
            </w:r>
          </w:p>
        </w:tc>
      </w:tr>
      <w:tr w:rsidR="00915C8D" w:rsidRPr="00F46D82" w:rsidTr="00915C8D">
        <w:tc>
          <w:tcPr>
            <w:tcW w:w="2178" w:type="dxa"/>
            <w:tcBorders>
              <w:top w:val="nil"/>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sz w:val="20"/>
                <w:szCs w:val="20"/>
              </w:rPr>
            </w:pPr>
            <w:r w:rsidRPr="00F46D82">
              <w:rPr>
                <w:rFonts w:asciiTheme="minorHAnsi" w:hAnsiTheme="minorHAnsi" w:cstheme="minorHAnsi"/>
                <w:color w:val="000000"/>
                <w:sz w:val="20"/>
                <w:szCs w:val="20"/>
              </w:rPr>
              <w:t>Wayman Turner, PhD</w:t>
            </w:r>
          </w:p>
        </w:tc>
        <w:tc>
          <w:tcPr>
            <w:tcW w:w="2790" w:type="dxa"/>
            <w:vMerge/>
            <w:tcBorders>
              <w:top w:val="nil"/>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jc w:val="both"/>
              <w:rPr>
                <w:rFonts w:asciiTheme="minorHAnsi" w:hAnsiTheme="minorHAnsi" w:cstheme="minorHAnsi"/>
                <w:color w:val="000000"/>
                <w:sz w:val="20"/>
                <w:szCs w:val="20"/>
              </w:rPr>
            </w:pPr>
          </w:p>
        </w:tc>
        <w:tc>
          <w:tcPr>
            <w:tcW w:w="1609" w:type="dxa"/>
            <w:tcBorders>
              <w:top w:val="nil"/>
              <w:left w:val="nil"/>
              <w:bottom w:val="single" w:sz="8" w:space="0" w:color="auto"/>
              <w:right w:val="nil"/>
            </w:tcBorders>
            <w:vAlign w:val="center"/>
          </w:tcPr>
          <w:p w:rsidR="00915C8D" w:rsidRPr="00F46D82" w:rsidRDefault="00915C8D" w:rsidP="00915C8D">
            <w:pPr>
              <w:autoSpaceDE w:val="0"/>
              <w:autoSpaceDN w:val="0"/>
              <w:adjustRightInd w:val="0"/>
              <w:spacing w:after="0" w:line="240" w:lineRule="auto"/>
              <w:jc w:val="both"/>
              <w:rPr>
                <w:rStyle w:val="Emphasis"/>
                <w:rFonts w:asciiTheme="minorHAnsi" w:hAnsiTheme="minorHAnsi" w:cstheme="minorHAnsi"/>
                <w:i w:val="0"/>
                <w:color w:val="000000"/>
                <w:sz w:val="20"/>
                <w:szCs w:val="20"/>
              </w:rPr>
            </w:pPr>
            <w:r w:rsidRPr="00F46D82">
              <w:rPr>
                <w:rStyle w:val="Emphasis"/>
                <w:rFonts w:asciiTheme="minorHAnsi" w:hAnsiTheme="minorHAnsi" w:cstheme="minorHAnsi"/>
                <w:i w:val="0"/>
                <w:color w:val="000000"/>
                <w:sz w:val="20"/>
                <w:szCs w:val="20"/>
              </w:rPr>
              <w:t>(770) 488-7974</w:t>
            </w:r>
          </w:p>
        </w:tc>
        <w:tc>
          <w:tcPr>
            <w:tcW w:w="2999" w:type="dxa"/>
            <w:tcBorders>
              <w:top w:val="nil"/>
              <w:left w:val="nil"/>
              <w:bottom w:val="single" w:sz="8" w:space="0" w:color="auto"/>
              <w:right w:val="nil"/>
            </w:tcBorders>
            <w:vAlign w:val="center"/>
          </w:tcPr>
          <w:p w:rsidR="00915C8D" w:rsidRPr="00F46D82" w:rsidRDefault="000425C4" w:rsidP="00915C8D">
            <w:pPr>
              <w:autoSpaceDE w:val="0"/>
              <w:autoSpaceDN w:val="0"/>
              <w:adjustRightInd w:val="0"/>
              <w:spacing w:after="0" w:line="240" w:lineRule="auto"/>
              <w:jc w:val="both"/>
              <w:rPr>
                <w:rStyle w:val="Emphasis"/>
                <w:rFonts w:asciiTheme="minorHAnsi" w:hAnsiTheme="minorHAnsi" w:cstheme="minorHAnsi"/>
                <w:color w:val="000000"/>
                <w:sz w:val="20"/>
                <w:szCs w:val="20"/>
              </w:rPr>
            </w:pPr>
            <w:hyperlink r:id="rId21" w:history="1">
              <w:r w:rsidR="00915C8D" w:rsidRPr="00F46D82">
                <w:rPr>
                  <w:rStyle w:val="Hyperlink"/>
                  <w:rFonts w:asciiTheme="minorHAnsi" w:hAnsiTheme="minorHAnsi" w:cstheme="minorHAnsi"/>
                  <w:sz w:val="20"/>
                  <w:szCs w:val="20"/>
                </w:rPr>
                <w:t>wturner@cdc.gov</w:t>
              </w:r>
            </w:hyperlink>
            <w:r w:rsidR="00915C8D" w:rsidRPr="00F46D82">
              <w:rPr>
                <w:rStyle w:val="Emphasis"/>
                <w:rFonts w:asciiTheme="minorHAnsi" w:hAnsiTheme="minorHAnsi" w:cstheme="minorHAnsi"/>
                <w:color w:val="000000"/>
                <w:sz w:val="20"/>
                <w:szCs w:val="20"/>
              </w:rPr>
              <w:t xml:space="preserve"> </w:t>
            </w:r>
          </w:p>
        </w:tc>
      </w:tr>
    </w:tbl>
    <w:p w:rsidR="00915C8D" w:rsidRPr="00F46D82" w:rsidRDefault="00915C8D" w:rsidP="00915C8D">
      <w:pPr>
        <w:spacing w:line="240" w:lineRule="auto"/>
        <w:jc w:val="both"/>
        <w:rPr>
          <w:rFonts w:asciiTheme="minorHAnsi" w:hAnsiTheme="minorHAnsi" w:cstheme="minorHAnsi"/>
        </w:rPr>
      </w:pPr>
    </w:p>
    <w:p w:rsidR="00915C8D" w:rsidRPr="00F46D82" w:rsidRDefault="00915C8D" w:rsidP="00915C8D">
      <w:pPr>
        <w:spacing w:line="240" w:lineRule="auto"/>
        <w:jc w:val="both"/>
        <w:rPr>
          <w:rFonts w:asciiTheme="minorHAnsi" w:hAnsiTheme="minorHAnsi" w:cstheme="minorHAnsi"/>
          <w:color w:val="000000"/>
          <w:sz w:val="24"/>
          <w:szCs w:val="24"/>
        </w:rPr>
      </w:pPr>
      <w:proofErr w:type="gramStart"/>
      <w:r w:rsidRPr="00F46D82">
        <w:rPr>
          <w:rFonts w:asciiTheme="minorHAnsi" w:hAnsiTheme="minorHAnsi" w:cstheme="minorHAnsi"/>
          <w:i/>
          <w:color w:val="000000"/>
          <w:sz w:val="24"/>
          <w:szCs w:val="24"/>
        </w:rPr>
        <w:t xml:space="preserve">Ongoing Consultations with </w:t>
      </w:r>
      <w:r>
        <w:rPr>
          <w:rFonts w:asciiTheme="minorHAnsi" w:hAnsiTheme="minorHAnsi" w:cstheme="minorHAnsi"/>
          <w:i/>
          <w:color w:val="000000"/>
          <w:sz w:val="24"/>
          <w:szCs w:val="24"/>
        </w:rPr>
        <w:t>O</w:t>
      </w:r>
      <w:r w:rsidRPr="00F46D82">
        <w:rPr>
          <w:rFonts w:asciiTheme="minorHAnsi" w:hAnsiTheme="minorHAnsi" w:cstheme="minorHAnsi"/>
          <w:i/>
          <w:color w:val="000000"/>
          <w:sz w:val="24"/>
          <w:szCs w:val="24"/>
        </w:rPr>
        <w:t>ther Analytical Laboratories.</w:t>
      </w:r>
      <w:proofErr w:type="gramEnd"/>
      <w:r w:rsidRPr="00F46D82">
        <w:rPr>
          <w:rFonts w:asciiTheme="minorHAnsi" w:hAnsiTheme="minorHAnsi" w:cstheme="minorHAnsi"/>
          <w:i/>
          <w:color w:val="000000"/>
          <w:sz w:val="24"/>
          <w:szCs w:val="24"/>
        </w:rPr>
        <w:t xml:space="preserve"> </w:t>
      </w:r>
      <w:r w:rsidRPr="00F46D82">
        <w:rPr>
          <w:rFonts w:asciiTheme="minorHAnsi" w:hAnsiTheme="minorHAnsi" w:cstheme="minorHAnsi"/>
          <w:color w:val="000000"/>
          <w:sz w:val="24"/>
          <w:szCs w:val="24"/>
        </w:rPr>
        <w:t xml:space="preserve">Associations with diabetes reported in the ACHS results warranted repeated measures of </w:t>
      </w:r>
      <w:r>
        <w:rPr>
          <w:rFonts w:asciiTheme="minorHAnsi" w:hAnsiTheme="minorHAnsi" w:cstheme="minorHAnsi"/>
          <w:color w:val="000000"/>
          <w:sz w:val="24"/>
          <w:szCs w:val="24"/>
        </w:rPr>
        <w:t xml:space="preserve">a </w:t>
      </w:r>
      <w:r w:rsidRPr="00F46D82">
        <w:rPr>
          <w:rFonts w:asciiTheme="minorHAnsi" w:hAnsiTheme="minorHAnsi" w:cstheme="minorHAnsi"/>
          <w:color w:val="000000"/>
          <w:sz w:val="24"/>
          <w:szCs w:val="24"/>
        </w:rPr>
        <w:t>glycemic panel</w:t>
      </w:r>
      <w:r w:rsidR="006B213D">
        <w:rPr>
          <w:rFonts w:asciiTheme="minorHAnsi" w:hAnsiTheme="minorHAnsi" w:cstheme="minorHAnsi"/>
          <w:color w:val="000000"/>
          <w:sz w:val="24"/>
          <w:szCs w:val="24"/>
        </w:rPr>
        <w:t>.</w:t>
      </w:r>
      <w:r>
        <w:rPr>
          <w:rFonts w:asciiTheme="minorHAnsi" w:hAnsiTheme="minorHAnsi" w:cstheme="minorHAnsi"/>
          <w:color w:val="000000"/>
          <w:sz w:val="24"/>
          <w:szCs w:val="24"/>
        </w:rPr>
        <w:t xml:space="preserve"> In consultation</w:t>
      </w:r>
      <w:r w:rsidRPr="00F46D82">
        <w:rPr>
          <w:rFonts w:asciiTheme="minorHAnsi" w:hAnsiTheme="minorHAnsi" w:cstheme="minorHAnsi"/>
          <w:color w:val="000000"/>
          <w:sz w:val="24"/>
          <w:szCs w:val="24"/>
        </w:rPr>
        <w:t xml:space="preserve">, </w:t>
      </w:r>
      <w:proofErr w:type="spellStart"/>
      <w:r w:rsidRPr="00F46D82">
        <w:rPr>
          <w:rFonts w:asciiTheme="minorHAnsi" w:hAnsiTheme="minorHAnsi" w:cstheme="minorHAnsi"/>
          <w:color w:val="000000"/>
          <w:sz w:val="24"/>
          <w:szCs w:val="24"/>
        </w:rPr>
        <w:t>glycated</w:t>
      </w:r>
      <w:proofErr w:type="spellEnd"/>
      <w:r w:rsidRPr="00F46D82">
        <w:rPr>
          <w:rFonts w:asciiTheme="minorHAnsi" w:hAnsiTheme="minorHAnsi" w:cstheme="minorHAnsi"/>
          <w:color w:val="000000"/>
          <w:sz w:val="24"/>
          <w:szCs w:val="24"/>
        </w:rPr>
        <w:t xml:space="preserve"> hemoglobin </w:t>
      </w:r>
      <w:proofErr w:type="gramStart"/>
      <w:r w:rsidRPr="00F46D82">
        <w:rPr>
          <w:rFonts w:asciiTheme="minorHAnsi" w:hAnsiTheme="minorHAnsi" w:cstheme="minorHAnsi"/>
          <w:color w:val="000000"/>
          <w:sz w:val="24"/>
          <w:szCs w:val="24"/>
        </w:rPr>
        <w:t xml:space="preserve">was </w:t>
      </w:r>
      <w:r w:rsidR="006B213D">
        <w:rPr>
          <w:rFonts w:asciiTheme="minorHAnsi" w:hAnsiTheme="minorHAnsi" w:cstheme="minorHAnsi"/>
          <w:color w:val="000000"/>
          <w:sz w:val="24"/>
          <w:szCs w:val="24"/>
        </w:rPr>
        <w:t>added</w:t>
      </w:r>
      <w:proofErr w:type="gramEnd"/>
      <w:r w:rsidR="006B213D">
        <w:rPr>
          <w:rFonts w:asciiTheme="minorHAnsi" w:hAnsiTheme="minorHAnsi" w:cstheme="minorHAnsi"/>
          <w:color w:val="000000"/>
          <w:sz w:val="24"/>
          <w:szCs w:val="24"/>
        </w:rPr>
        <w:t xml:space="preserve"> to the list of </w:t>
      </w:r>
      <w:proofErr w:type="spellStart"/>
      <w:r w:rsidR="006B213D">
        <w:rPr>
          <w:rFonts w:asciiTheme="minorHAnsi" w:hAnsiTheme="minorHAnsi" w:cstheme="minorHAnsi"/>
          <w:color w:val="000000"/>
          <w:sz w:val="24"/>
          <w:szCs w:val="24"/>
        </w:rPr>
        <w:t>analytes</w:t>
      </w:r>
      <w:proofErr w:type="spellEnd"/>
      <w:r w:rsidR="006B213D">
        <w:rPr>
          <w:rFonts w:asciiTheme="minorHAnsi" w:hAnsiTheme="minorHAnsi" w:cstheme="minorHAnsi"/>
          <w:color w:val="000000"/>
          <w:sz w:val="24"/>
          <w:szCs w:val="24"/>
        </w:rPr>
        <w:t xml:space="preserve">. </w:t>
      </w:r>
      <w:r>
        <w:rPr>
          <w:rFonts w:asciiTheme="minorHAnsi" w:hAnsiTheme="minorHAnsi" w:cstheme="minorHAnsi"/>
          <w:color w:val="000000"/>
          <w:sz w:val="24"/>
          <w:szCs w:val="24"/>
        </w:rPr>
        <w:t>A m</w:t>
      </w:r>
      <w:r w:rsidRPr="00F46D82">
        <w:rPr>
          <w:rFonts w:asciiTheme="minorHAnsi" w:hAnsiTheme="minorHAnsi" w:cstheme="minorHAnsi"/>
          <w:color w:val="000000"/>
          <w:sz w:val="24"/>
          <w:szCs w:val="24"/>
        </w:rPr>
        <w:t xml:space="preserve">ore extensive lipid profile was also suggested in light of results related to blood pressure and hypertension where </w:t>
      </w:r>
      <w:proofErr w:type="gramStart"/>
      <w:r w:rsidRPr="00F46D82">
        <w:rPr>
          <w:rFonts w:asciiTheme="minorHAnsi" w:hAnsiTheme="minorHAnsi" w:cstheme="minorHAnsi"/>
          <w:color w:val="000000"/>
          <w:sz w:val="24"/>
          <w:szCs w:val="24"/>
        </w:rPr>
        <w:t>lipid lowering</w:t>
      </w:r>
      <w:proofErr w:type="gramEnd"/>
      <w:r w:rsidRPr="00F46D82">
        <w:rPr>
          <w:rFonts w:asciiTheme="minorHAnsi" w:hAnsiTheme="minorHAnsi" w:cstheme="minorHAnsi"/>
          <w:color w:val="000000"/>
          <w:sz w:val="24"/>
          <w:szCs w:val="24"/>
        </w:rPr>
        <w:t xml:space="preserve"> medications </w:t>
      </w:r>
      <w:r>
        <w:rPr>
          <w:rFonts w:asciiTheme="minorHAnsi" w:hAnsiTheme="minorHAnsi" w:cstheme="minorHAnsi"/>
          <w:color w:val="000000"/>
          <w:sz w:val="24"/>
          <w:szCs w:val="24"/>
        </w:rPr>
        <w:t xml:space="preserve">were noted </w:t>
      </w:r>
      <w:r w:rsidRPr="00F46D82">
        <w:rPr>
          <w:rFonts w:asciiTheme="minorHAnsi" w:hAnsiTheme="minorHAnsi" w:cstheme="minorHAnsi"/>
          <w:color w:val="000000"/>
          <w:sz w:val="24"/>
          <w:szCs w:val="24"/>
        </w:rPr>
        <w:t>effect modifi</w:t>
      </w:r>
      <w:r>
        <w:rPr>
          <w:rFonts w:asciiTheme="minorHAnsi" w:hAnsiTheme="minorHAnsi" w:cstheme="minorHAnsi"/>
          <w:color w:val="000000"/>
          <w:sz w:val="24"/>
          <w:szCs w:val="24"/>
        </w:rPr>
        <w:t>ers</w:t>
      </w:r>
      <w:r w:rsidRPr="00F46D82">
        <w:rPr>
          <w:rFonts w:asciiTheme="minorHAnsi" w:hAnsiTheme="minorHAnsi" w:cstheme="minorHAnsi"/>
          <w:color w:val="000000"/>
          <w:sz w:val="24"/>
          <w:szCs w:val="24"/>
        </w:rPr>
        <w:t>.</w:t>
      </w:r>
      <w:r>
        <w:rPr>
          <w:rFonts w:asciiTheme="minorHAnsi" w:hAnsiTheme="minorHAnsi" w:cstheme="minorHAnsi"/>
          <w:color w:val="000000"/>
          <w:sz w:val="24"/>
          <w:szCs w:val="24"/>
        </w:rPr>
        <w:t xml:space="preserve"> The addition of</w:t>
      </w:r>
      <w:r w:rsidRPr="00F46D82">
        <w:rPr>
          <w:rFonts w:asciiTheme="minorHAnsi" w:hAnsiTheme="minorHAnsi" w:cstheme="minorHAnsi"/>
          <w:color w:val="000000"/>
          <w:sz w:val="24"/>
          <w:szCs w:val="24"/>
        </w:rPr>
        <w:t xml:space="preserve"> phospholipid and free fatty acids </w:t>
      </w:r>
      <w:proofErr w:type="gramStart"/>
      <w:r>
        <w:rPr>
          <w:rFonts w:asciiTheme="minorHAnsi" w:hAnsiTheme="minorHAnsi" w:cstheme="minorHAnsi"/>
          <w:color w:val="000000"/>
          <w:sz w:val="24"/>
          <w:szCs w:val="24"/>
        </w:rPr>
        <w:t>were suggested</w:t>
      </w:r>
      <w:proofErr w:type="gramEnd"/>
      <w:r>
        <w:rPr>
          <w:rFonts w:asciiTheme="minorHAnsi" w:hAnsiTheme="minorHAnsi" w:cstheme="minorHAnsi"/>
          <w:color w:val="000000"/>
          <w:sz w:val="24"/>
          <w:szCs w:val="24"/>
        </w:rPr>
        <w:t xml:space="preserve"> </w:t>
      </w:r>
      <w:r w:rsidRPr="00F46D82">
        <w:rPr>
          <w:rFonts w:asciiTheme="minorHAnsi" w:hAnsiTheme="minorHAnsi" w:cstheme="minorHAnsi"/>
          <w:color w:val="000000"/>
          <w:sz w:val="24"/>
          <w:szCs w:val="24"/>
        </w:rPr>
        <w:t>to better estimate total lipid concentrations</w:t>
      </w:r>
      <w:r>
        <w:rPr>
          <w:rFonts w:asciiTheme="minorHAnsi" w:hAnsiTheme="minorHAnsi" w:cstheme="minorHAnsi"/>
          <w:color w:val="000000"/>
          <w:sz w:val="24"/>
          <w:szCs w:val="24"/>
        </w:rPr>
        <w:t>; they would also better</w:t>
      </w:r>
      <w:r w:rsidRPr="00F46D82">
        <w:rPr>
          <w:rFonts w:asciiTheme="minorHAnsi" w:hAnsiTheme="minorHAnsi" w:cstheme="minorHAnsi"/>
          <w:color w:val="000000"/>
          <w:sz w:val="24"/>
          <w:szCs w:val="24"/>
        </w:rPr>
        <w:t xml:space="preserve"> acco</w:t>
      </w:r>
      <w:r w:rsidR="006B213D">
        <w:rPr>
          <w:rFonts w:asciiTheme="minorHAnsi" w:hAnsiTheme="minorHAnsi" w:cstheme="minorHAnsi"/>
          <w:color w:val="000000"/>
          <w:sz w:val="24"/>
          <w:szCs w:val="24"/>
        </w:rPr>
        <w:t xml:space="preserve">unt for poor diabetes control. </w:t>
      </w:r>
      <w:r w:rsidRPr="00F46D82">
        <w:rPr>
          <w:rFonts w:asciiTheme="minorHAnsi" w:hAnsiTheme="minorHAnsi" w:cstheme="minorHAnsi"/>
          <w:color w:val="000000"/>
          <w:sz w:val="24"/>
          <w:szCs w:val="24"/>
        </w:rPr>
        <w:t xml:space="preserve">New markers of inflammation and liver damage </w:t>
      </w:r>
      <w:proofErr w:type="gramStart"/>
      <w:r w:rsidRPr="00F46D82">
        <w:rPr>
          <w:rFonts w:asciiTheme="minorHAnsi" w:hAnsiTheme="minorHAnsi" w:cstheme="minorHAnsi"/>
          <w:color w:val="000000"/>
          <w:sz w:val="24"/>
          <w:szCs w:val="24"/>
        </w:rPr>
        <w:t>were identified</w:t>
      </w:r>
      <w:proofErr w:type="gramEnd"/>
      <w:r>
        <w:rPr>
          <w:rFonts w:asciiTheme="minorHAnsi" w:hAnsiTheme="minorHAnsi" w:cstheme="minorHAnsi"/>
          <w:color w:val="000000"/>
          <w:sz w:val="24"/>
          <w:szCs w:val="24"/>
        </w:rPr>
        <w:t xml:space="preserve"> in relation to PCB exposures; therefore,</w:t>
      </w:r>
      <w:r w:rsidRPr="00F46D82">
        <w:rPr>
          <w:rFonts w:asciiTheme="minorHAnsi" w:hAnsiTheme="minorHAnsi" w:cstheme="minorHAnsi"/>
          <w:color w:val="000000"/>
          <w:sz w:val="24"/>
          <w:szCs w:val="24"/>
        </w:rPr>
        <w:t xml:space="preserve"> </w:t>
      </w:r>
      <w:r>
        <w:rPr>
          <w:rFonts w:asciiTheme="minorHAnsi" w:hAnsiTheme="minorHAnsi" w:cstheme="minorHAnsi"/>
          <w:color w:val="000000"/>
          <w:sz w:val="24"/>
          <w:szCs w:val="24"/>
        </w:rPr>
        <w:t>these were</w:t>
      </w:r>
      <w:r w:rsidRPr="00F46D82">
        <w:rPr>
          <w:rFonts w:asciiTheme="minorHAnsi" w:hAnsiTheme="minorHAnsi" w:cstheme="minorHAnsi"/>
          <w:color w:val="000000"/>
          <w:sz w:val="24"/>
          <w:szCs w:val="24"/>
        </w:rPr>
        <w:t xml:space="preserve"> discussed in detail </w:t>
      </w:r>
      <w:r>
        <w:rPr>
          <w:rFonts w:asciiTheme="minorHAnsi" w:hAnsiTheme="minorHAnsi" w:cstheme="minorHAnsi"/>
          <w:color w:val="000000"/>
          <w:sz w:val="24"/>
          <w:szCs w:val="24"/>
        </w:rPr>
        <w:t xml:space="preserve">as </w:t>
      </w:r>
      <w:r w:rsidRPr="00F46D82">
        <w:rPr>
          <w:rFonts w:asciiTheme="minorHAnsi" w:hAnsiTheme="minorHAnsi" w:cstheme="minorHAnsi"/>
          <w:color w:val="000000"/>
          <w:sz w:val="24"/>
          <w:szCs w:val="24"/>
        </w:rPr>
        <w:t>possib</w:t>
      </w:r>
      <w:r>
        <w:rPr>
          <w:rFonts w:asciiTheme="minorHAnsi" w:hAnsiTheme="minorHAnsi" w:cstheme="minorHAnsi"/>
          <w:color w:val="000000"/>
          <w:sz w:val="24"/>
          <w:szCs w:val="24"/>
        </w:rPr>
        <w:t xml:space="preserve">le </w:t>
      </w:r>
      <w:r w:rsidRPr="00F46D82">
        <w:rPr>
          <w:rFonts w:asciiTheme="minorHAnsi" w:hAnsiTheme="minorHAnsi" w:cstheme="minorHAnsi"/>
          <w:color w:val="000000"/>
          <w:sz w:val="24"/>
          <w:szCs w:val="24"/>
        </w:rPr>
        <w:t xml:space="preserve">biomarkers in </w:t>
      </w:r>
      <w:r>
        <w:rPr>
          <w:rFonts w:asciiTheme="minorHAnsi" w:hAnsiTheme="minorHAnsi" w:cstheme="minorHAnsi"/>
          <w:color w:val="000000"/>
          <w:sz w:val="24"/>
          <w:szCs w:val="24"/>
        </w:rPr>
        <w:t xml:space="preserve">this </w:t>
      </w:r>
      <w:r w:rsidR="006B213D">
        <w:rPr>
          <w:rFonts w:asciiTheme="minorHAnsi" w:hAnsiTheme="minorHAnsi" w:cstheme="minorHAnsi"/>
          <w:color w:val="000000"/>
          <w:sz w:val="24"/>
          <w:szCs w:val="24"/>
        </w:rPr>
        <w:t xml:space="preserve">study. </w:t>
      </w:r>
      <w:r w:rsidRPr="00F46D82">
        <w:rPr>
          <w:rFonts w:asciiTheme="minorHAnsi" w:hAnsiTheme="minorHAnsi" w:cstheme="minorHAnsi"/>
          <w:color w:val="000000"/>
          <w:sz w:val="24"/>
          <w:szCs w:val="24"/>
        </w:rPr>
        <w:t xml:space="preserve">Repeated measurements of thyroid hormones and antibodies </w:t>
      </w:r>
      <w:proofErr w:type="gramStart"/>
      <w:r>
        <w:rPr>
          <w:rFonts w:asciiTheme="minorHAnsi" w:hAnsiTheme="minorHAnsi" w:cstheme="minorHAnsi"/>
          <w:color w:val="000000"/>
          <w:sz w:val="24"/>
          <w:szCs w:val="24"/>
        </w:rPr>
        <w:t>we</w:t>
      </w:r>
      <w:r w:rsidRPr="00F46D82">
        <w:rPr>
          <w:rFonts w:asciiTheme="minorHAnsi" w:hAnsiTheme="minorHAnsi" w:cstheme="minorHAnsi"/>
          <w:color w:val="000000"/>
          <w:sz w:val="24"/>
          <w:szCs w:val="24"/>
        </w:rPr>
        <w:t>re</w:t>
      </w:r>
      <w:r>
        <w:rPr>
          <w:rFonts w:asciiTheme="minorHAnsi" w:hAnsiTheme="minorHAnsi" w:cstheme="minorHAnsi"/>
          <w:color w:val="000000"/>
          <w:sz w:val="24"/>
          <w:szCs w:val="24"/>
        </w:rPr>
        <w:t xml:space="preserve"> also discussed</w:t>
      </w:r>
      <w:proofErr w:type="gramEnd"/>
      <w:r>
        <w:rPr>
          <w:rFonts w:asciiTheme="minorHAnsi" w:hAnsiTheme="minorHAnsi" w:cstheme="minorHAnsi"/>
          <w:color w:val="000000"/>
          <w:sz w:val="24"/>
          <w:szCs w:val="24"/>
        </w:rPr>
        <w:t xml:space="preserve"> as</w:t>
      </w:r>
      <w:r w:rsidRPr="00F46D82">
        <w:rPr>
          <w:rFonts w:asciiTheme="minorHAnsi" w:hAnsiTheme="minorHAnsi" w:cstheme="minorHAnsi"/>
          <w:color w:val="000000"/>
          <w:sz w:val="24"/>
          <w:szCs w:val="24"/>
        </w:rPr>
        <w:t xml:space="preserve"> crucial in </w:t>
      </w:r>
      <w:r w:rsidRPr="00F46D82">
        <w:rPr>
          <w:rFonts w:asciiTheme="minorHAnsi" w:hAnsiTheme="minorHAnsi" w:cstheme="minorHAnsi"/>
          <w:color w:val="000000"/>
          <w:sz w:val="24"/>
          <w:szCs w:val="24"/>
        </w:rPr>
        <w:lastRenderedPageBreak/>
        <w:t xml:space="preserve">relationship </w:t>
      </w:r>
      <w:r>
        <w:rPr>
          <w:rFonts w:asciiTheme="minorHAnsi" w:hAnsiTheme="minorHAnsi" w:cstheme="minorHAnsi"/>
          <w:color w:val="000000"/>
          <w:sz w:val="24"/>
          <w:szCs w:val="24"/>
        </w:rPr>
        <w:t>to exposures to</w:t>
      </w:r>
      <w:r w:rsidRPr="00F46D82">
        <w:rPr>
          <w:rFonts w:asciiTheme="minorHAnsi" w:hAnsiTheme="minorHAnsi" w:cstheme="minorHAnsi"/>
          <w:color w:val="000000"/>
          <w:sz w:val="24"/>
          <w:szCs w:val="24"/>
        </w:rPr>
        <w:t xml:space="preserve"> PCBs and other dioxins</w:t>
      </w:r>
      <w:r>
        <w:rPr>
          <w:rFonts w:asciiTheme="minorHAnsi" w:hAnsiTheme="minorHAnsi" w:cstheme="minorHAnsi"/>
          <w:color w:val="000000"/>
          <w:sz w:val="24"/>
          <w:szCs w:val="24"/>
        </w:rPr>
        <w:t>. T</w:t>
      </w:r>
      <w:r w:rsidRPr="00F46D82">
        <w:rPr>
          <w:rFonts w:asciiTheme="minorHAnsi" w:hAnsiTheme="minorHAnsi" w:cstheme="minorHAnsi"/>
          <w:color w:val="000000"/>
          <w:sz w:val="24"/>
          <w:szCs w:val="24"/>
        </w:rPr>
        <w:t>he same analytical laboratory</w:t>
      </w:r>
      <w:r>
        <w:rPr>
          <w:rFonts w:asciiTheme="minorHAnsi" w:hAnsiTheme="minorHAnsi" w:cstheme="minorHAnsi"/>
          <w:color w:val="000000"/>
          <w:sz w:val="24"/>
          <w:szCs w:val="24"/>
        </w:rPr>
        <w:t>, USC,</w:t>
      </w:r>
      <w:r w:rsidRPr="00F46D82">
        <w:rPr>
          <w:rFonts w:asciiTheme="minorHAnsi" w:hAnsiTheme="minorHAnsi" w:cstheme="minorHAnsi"/>
          <w:color w:val="000000"/>
          <w:sz w:val="24"/>
          <w:szCs w:val="24"/>
        </w:rPr>
        <w:t xml:space="preserve"> was engaged in the ongoing discussion about the analytical plans </w:t>
      </w:r>
      <w:r>
        <w:rPr>
          <w:rFonts w:asciiTheme="minorHAnsi" w:hAnsiTheme="minorHAnsi" w:cstheme="minorHAnsi"/>
          <w:color w:val="000000"/>
          <w:sz w:val="24"/>
          <w:szCs w:val="24"/>
        </w:rPr>
        <w:t>for</w:t>
      </w:r>
      <w:r w:rsidRPr="00F46D82">
        <w:rPr>
          <w:rFonts w:asciiTheme="minorHAnsi" w:hAnsiTheme="minorHAnsi" w:cstheme="minorHAnsi"/>
          <w:color w:val="000000"/>
          <w:sz w:val="24"/>
          <w:szCs w:val="24"/>
        </w:rPr>
        <w:t xml:space="preserve"> the A</w:t>
      </w:r>
      <w:r w:rsidR="003B20BE">
        <w:rPr>
          <w:rFonts w:asciiTheme="minorHAnsi" w:hAnsiTheme="minorHAnsi" w:cstheme="minorHAnsi"/>
          <w:color w:val="000000"/>
          <w:sz w:val="24"/>
          <w:szCs w:val="24"/>
        </w:rPr>
        <w:t>CHS</w:t>
      </w:r>
      <w:r w:rsidR="00540C00">
        <w:rPr>
          <w:rFonts w:asciiTheme="minorHAnsi" w:hAnsiTheme="minorHAnsi" w:cstheme="minorHAnsi"/>
          <w:color w:val="000000"/>
          <w:sz w:val="24"/>
          <w:szCs w:val="24"/>
        </w:rPr>
        <w:t>-</w:t>
      </w:r>
      <w:r w:rsidR="003B20BE">
        <w:rPr>
          <w:rFonts w:asciiTheme="minorHAnsi" w:hAnsiTheme="minorHAnsi" w:cstheme="minorHAnsi"/>
          <w:color w:val="000000"/>
          <w:sz w:val="24"/>
          <w:szCs w:val="24"/>
        </w:rPr>
        <w:t>II</w:t>
      </w:r>
      <w:r w:rsidRPr="00F46D82">
        <w:rPr>
          <w:rFonts w:asciiTheme="minorHAnsi" w:hAnsiTheme="minorHAnsi" w:cstheme="minorHAnsi"/>
          <w:color w:val="000000"/>
          <w:sz w:val="24"/>
          <w:szCs w:val="24"/>
        </w:rPr>
        <w:t>.</w:t>
      </w:r>
      <w:r>
        <w:rPr>
          <w:rFonts w:asciiTheme="minorHAnsi" w:hAnsiTheme="minorHAnsi" w:cstheme="minorHAnsi"/>
          <w:color w:val="000000"/>
          <w:sz w:val="24"/>
          <w:szCs w:val="24"/>
        </w:rPr>
        <w:t xml:space="preserve"> Attachment 4 presents the analytical plan for the ACHS</w:t>
      </w:r>
      <w:r w:rsidR="00540C00">
        <w:rPr>
          <w:rFonts w:asciiTheme="minorHAnsi" w:hAnsiTheme="minorHAnsi" w:cstheme="minorHAnsi"/>
          <w:color w:val="000000"/>
          <w:sz w:val="24"/>
          <w:szCs w:val="24"/>
        </w:rPr>
        <w:t>-</w:t>
      </w:r>
      <w:r>
        <w:rPr>
          <w:rFonts w:asciiTheme="minorHAnsi" w:hAnsiTheme="minorHAnsi" w:cstheme="minorHAnsi"/>
          <w:color w:val="000000"/>
          <w:sz w:val="24"/>
          <w:szCs w:val="24"/>
        </w:rPr>
        <w:t>II.</w:t>
      </w:r>
    </w:p>
    <w:p w:rsidR="00915C8D" w:rsidRDefault="00915C8D" w:rsidP="00915C8D">
      <w:pPr>
        <w:autoSpaceDE w:val="0"/>
        <w:autoSpaceDN w:val="0"/>
        <w:adjustRightInd w:val="0"/>
        <w:spacing w:after="0" w:line="240" w:lineRule="auto"/>
        <w:rPr>
          <w:rFonts w:asciiTheme="minorHAnsi" w:hAnsiTheme="minorHAnsi" w:cstheme="minorHAnsi"/>
          <w:color w:val="000000"/>
          <w:sz w:val="24"/>
          <w:szCs w:val="24"/>
        </w:rPr>
      </w:pPr>
      <w:proofErr w:type="gramStart"/>
      <w:r w:rsidRPr="000C4397">
        <w:rPr>
          <w:rFonts w:asciiTheme="minorHAnsi" w:hAnsiTheme="minorHAnsi" w:cstheme="minorHAnsi"/>
          <w:b/>
          <w:color w:val="000000"/>
          <w:sz w:val="24"/>
          <w:szCs w:val="24"/>
        </w:rPr>
        <w:t>Table 4.</w:t>
      </w:r>
      <w:proofErr w:type="gramEnd"/>
      <w:r w:rsidRPr="000C4397">
        <w:rPr>
          <w:rFonts w:asciiTheme="minorHAnsi" w:hAnsiTheme="minorHAnsi" w:cstheme="minorHAnsi"/>
          <w:color w:val="000000"/>
          <w:sz w:val="24"/>
          <w:szCs w:val="24"/>
        </w:rPr>
        <w:t xml:space="preserve"> Consultations with External Laboratories</w:t>
      </w:r>
    </w:p>
    <w:p w:rsidR="000C4397" w:rsidRPr="000C4397" w:rsidRDefault="000C4397" w:rsidP="00915C8D">
      <w:pPr>
        <w:autoSpaceDE w:val="0"/>
        <w:autoSpaceDN w:val="0"/>
        <w:adjustRightInd w:val="0"/>
        <w:spacing w:after="0" w:line="240" w:lineRule="auto"/>
        <w:rPr>
          <w:rFonts w:asciiTheme="minorHAnsi" w:hAnsiTheme="minorHAnsi" w:cstheme="minorHAnsi"/>
          <w:color w:val="000000"/>
          <w:sz w:val="24"/>
          <w:szCs w:val="24"/>
        </w:rPr>
      </w:pPr>
    </w:p>
    <w:tbl>
      <w:tblPr>
        <w:tblW w:w="0" w:type="auto"/>
        <w:tblBorders>
          <w:top w:val="single" w:sz="8" w:space="0" w:color="auto"/>
          <w:bottom w:val="single" w:sz="8" w:space="0" w:color="auto"/>
          <w:insideH w:val="single" w:sz="8" w:space="0" w:color="auto"/>
        </w:tblBorders>
        <w:tblLook w:val="04A0" w:firstRow="1" w:lastRow="0" w:firstColumn="1" w:lastColumn="0" w:noHBand="0" w:noVBand="1"/>
      </w:tblPr>
      <w:tblGrid>
        <w:gridCol w:w="2178"/>
        <w:gridCol w:w="2790"/>
        <w:gridCol w:w="1609"/>
        <w:gridCol w:w="2999"/>
      </w:tblGrid>
      <w:tr w:rsidR="00915C8D" w:rsidRPr="00F46D82" w:rsidTr="00915C8D">
        <w:tc>
          <w:tcPr>
            <w:tcW w:w="2178" w:type="dxa"/>
          </w:tcPr>
          <w:p w:rsidR="00915C8D" w:rsidRPr="00F46D82" w:rsidRDefault="00915C8D" w:rsidP="00915C8D">
            <w:pPr>
              <w:autoSpaceDE w:val="0"/>
              <w:autoSpaceDN w:val="0"/>
              <w:adjustRightInd w:val="0"/>
              <w:spacing w:after="0" w:line="240" w:lineRule="auto"/>
              <w:rPr>
                <w:rFonts w:asciiTheme="minorHAnsi" w:hAnsiTheme="minorHAnsi" w:cstheme="minorHAnsi"/>
                <w:color w:val="000000"/>
              </w:rPr>
            </w:pPr>
            <w:r w:rsidRPr="00F46D82">
              <w:rPr>
                <w:rFonts w:asciiTheme="minorHAnsi" w:hAnsiTheme="minorHAnsi" w:cstheme="minorHAnsi"/>
                <w:color w:val="000000"/>
              </w:rPr>
              <w:t>Name</w:t>
            </w:r>
          </w:p>
        </w:tc>
        <w:tc>
          <w:tcPr>
            <w:tcW w:w="2790" w:type="dxa"/>
          </w:tcPr>
          <w:p w:rsidR="00915C8D" w:rsidRPr="00F46D82" w:rsidRDefault="00A46105" w:rsidP="00915C8D">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Affiliation</w:t>
            </w:r>
          </w:p>
        </w:tc>
        <w:tc>
          <w:tcPr>
            <w:tcW w:w="1609" w:type="dxa"/>
          </w:tcPr>
          <w:p w:rsidR="00915C8D" w:rsidRPr="00F46D82" w:rsidRDefault="00915C8D" w:rsidP="00915C8D">
            <w:pPr>
              <w:autoSpaceDE w:val="0"/>
              <w:autoSpaceDN w:val="0"/>
              <w:adjustRightInd w:val="0"/>
              <w:spacing w:after="0" w:line="240" w:lineRule="auto"/>
              <w:rPr>
                <w:rFonts w:asciiTheme="minorHAnsi" w:hAnsiTheme="minorHAnsi" w:cstheme="minorHAnsi"/>
                <w:color w:val="000000"/>
              </w:rPr>
            </w:pPr>
            <w:r w:rsidRPr="00F46D82">
              <w:rPr>
                <w:rFonts w:asciiTheme="minorHAnsi" w:hAnsiTheme="minorHAnsi" w:cstheme="minorHAnsi"/>
                <w:color w:val="000000"/>
              </w:rPr>
              <w:t>Phone</w:t>
            </w:r>
          </w:p>
        </w:tc>
        <w:tc>
          <w:tcPr>
            <w:tcW w:w="2999" w:type="dxa"/>
          </w:tcPr>
          <w:p w:rsidR="00915C8D" w:rsidRPr="00F46D82" w:rsidRDefault="00915C8D" w:rsidP="00915C8D">
            <w:pPr>
              <w:autoSpaceDE w:val="0"/>
              <w:autoSpaceDN w:val="0"/>
              <w:adjustRightInd w:val="0"/>
              <w:spacing w:after="0" w:line="240" w:lineRule="auto"/>
              <w:rPr>
                <w:rFonts w:asciiTheme="minorHAnsi" w:hAnsiTheme="minorHAnsi" w:cstheme="minorHAnsi"/>
                <w:color w:val="000000"/>
              </w:rPr>
            </w:pPr>
            <w:r w:rsidRPr="00F46D82">
              <w:rPr>
                <w:rFonts w:asciiTheme="minorHAnsi" w:hAnsiTheme="minorHAnsi" w:cstheme="minorHAnsi"/>
                <w:color w:val="000000"/>
              </w:rPr>
              <w:t>Email</w:t>
            </w:r>
          </w:p>
        </w:tc>
      </w:tr>
      <w:tr w:rsidR="00915C8D" w:rsidRPr="00F46D82" w:rsidTr="00915C8D">
        <w:tc>
          <w:tcPr>
            <w:tcW w:w="2178" w:type="dxa"/>
            <w:vAlign w:val="center"/>
          </w:tcPr>
          <w:p w:rsidR="00915C8D" w:rsidRPr="00F46D82" w:rsidRDefault="00915C8D" w:rsidP="00915C8D">
            <w:pPr>
              <w:autoSpaceDE w:val="0"/>
              <w:autoSpaceDN w:val="0"/>
              <w:adjustRightInd w:val="0"/>
              <w:spacing w:after="0" w:line="240" w:lineRule="auto"/>
              <w:rPr>
                <w:rFonts w:asciiTheme="minorHAnsi" w:hAnsiTheme="minorHAnsi" w:cstheme="minorHAnsi"/>
                <w:color w:val="000000"/>
                <w:sz w:val="20"/>
                <w:szCs w:val="20"/>
              </w:rPr>
            </w:pPr>
            <w:r w:rsidRPr="00F46D82">
              <w:rPr>
                <w:rFonts w:asciiTheme="minorHAnsi" w:hAnsiTheme="minorHAnsi" w:cstheme="minorHAnsi"/>
                <w:color w:val="000000"/>
                <w:sz w:val="20"/>
                <w:szCs w:val="20"/>
              </w:rPr>
              <w:t>Carol Spencer</w:t>
            </w:r>
            <w:r>
              <w:rPr>
                <w:rFonts w:asciiTheme="minorHAnsi" w:hAnsiTheme="minorHAnsi" w:cstheme="minorHAnsi"/>
                <w:color w:val="000000"/>
                <w:sz w:val="20"/>
                <w:szCs w:val="20"/>
              </w:rPr>
              <w:t>, PhD</w:t>
            </w:r>
          </w:p>
        </w:tc>
        <w:tc>
          <w:tcPr>
            <w:tcW w:w="2790" w:type="dxa"/>
            <w:vAlign w:val="center"/>
          </w:tcPr>
          <w:p w:rsidR="00915C8D" w:rsidRPr="00F46D82" w:rsidRDefault="00915C8D" w:rsidP="00915C8D">
            <w:pPr>
              <w:autoSpaceDE w:val="0"/>
              <w:autoSpaceDN w:val="0"/>
              <w:adjustRightInd w:val="0"/>
              <w:spacing w:after="0" w:line="240" w:lineRule="auto"/>
              <w:rPr>
                <w:rFonts w:asciiTheme="minorHAnsi" w:hAnsiTheme="minorHAnsi" w:cstheme="minorHAnsi"/>
                <w:color w:val="000000"/>
                <w:sz w:val="20"/>
                <w:szCs w:val="20"/>
              </w:rPr>
            </w:pPr>
            <w:r w:rsidRPr="00F46D82">
              <w:rPr>
                <w:rFonts w:asciiTheme="minorHAnsi" w:hAnsiTheme="minorHAnsi" w:cstheme="minorHAnsi"/>
                <w:color w:val="000000"/>
                <w:sz w:val="20"/>
                <w:szCs w:val="20"/>
              </w:rPr>
              <w:t>U</w:t>
            </w:r>
            <w:r>
              <w:rPr>
                <w:rFonts w:asciiTheme="minorHAnsi" w:hAnsiTheme="minorHAnsi" w:cstheme="minorHAnsi"/>
                <w:color w:val="000000"/>
                <w:sz w:val="20"/>
                <w:szCs w:val="20"/>
              </w:rPr>
              <w:t>niversity of Southern California</w:t>
            </w:r>
          </w:p>
        </w:tc>
        <w:tc>
          <w:tcPr>
            <w:tcW w:w="1609" w:type="dxa"/>
            <w:vAlign w:val="center"/>
          </w:tcPr>
          <w:p w:rsidR="00915C8D" w:rsidRPr="00F46D82" w:rsidRDefault="00915C8D" w:rsidP="00915C8D">
            <w:pPr>
              <w:autoSpaceDE w:val="0"/>
              <w:autoSpaceDN w:val="0"/>
              <w:adjustRightInd w:val="0"/>
              <w:spacing w:after="0" w:line="240" w:lineRule="auto"/>
              <w:rPr>
                <w:rStyle w:val="Emphasis"/>
                <w:rFonts w:asciiTheme="minorHAnsi" w:hAnsiTheme="minorHAnsi" w:cstheme="minorHAnsi"/>
                <w:i w:val="0"/>
                <w:color w:val="000000"/>
                <w:sz w:val="20"/>
                <w:szCs w:val="20"/>
              </w:rPr>
            </w:pPr>
            <w:r>
              <w:rPr>
                <w:rStyle w:val="Emphasis"/>
                <w:rFonts w:asciiTheme="minorHAnsi" w:hAnsiTheme="minorHAnsi" w:cstheme="minorHAnsi"/>
                <w:i w:val="0"/>
                <w:color w:val="000000"/>
                <w:sz w:val="20"/>
                <w:szCs w:val="20"/>
              </w:rPr>
              <w:t>(626) 993-2809</w:t>
            </w:r>
          </w:p>
        </w:tc>
        <w:tc>
          <w:tcPr>
            <w:tcW w:w="2999" w:type="dxa"/>
            <w:vAlign w:val="center"/>
          </w:tcPr>
          <w:p w:rsidR="00915C8D" w:rsidRPr="00BC685B" w:rsidRDefault="00915C8D" w:rsidP="00915C8D">
            <w:pPr>
              <w:autoSpaceDE w:val="0"/>
              <w:autoSpaceDN w:val="0"/>
              <w:adjustRightInd w:val="0"/>
              <w:spacing w:after="0" w:line="240" w:lineRule="auto"/>
              <w:rPr>
                <w:rStyle w:val="Emphasis"/>
                <w:rFonts w:asciiTheme="minorHAnsi" w:hAnsiTheme="minorHAnsi" w:cstheme="minorHAnsi"/>
                <w:i w:val="0"/>
                <w:color w:val="000000"/>
                <w:sz w:val="20"/>
                <w:szCs w:val="20"/>
              </w:rPr>
            </w:pPr>
            <w:r>
              <w:rPr>
                <w:rStyle w:val="Emphasis"/>
                <w:rFonts w:asciiTheme="minorHAnsi" w:hAnsiTheme="minorHAnsi" w:cstheme="minorHAnsi"/>
                <w:i w:val="0"/>
                <w:color w:val="000000"/>
                <w:sz w:val="20"/>
                <w:szCs w:val="20"/>
              </w:rPr>
              <w:t>cspencer@usc.edu</w:t>
            </w:r>
          </w:p>
        </w:tc>
      </w:tr>
      <w:tr w:rsidR="00915C8D" w:rsidRPr="00F46D82" w:rsidTr="00915C8D">
        <w:tc>
          <w:tcPr>
            <w:tcW w:w="2178" w:type="dxa"/>
            <w:vAlign w:val="center"/>
          </w:tcPr>
          <w:p w:rsidR="00915C8D" w:rsidRPr="00F46D82" w:rsidRDefault="00915C8D" w:rsidP="00915C8D">
            <w:pPr>
              <w:autoSpaceDE w:val="0"/>
              <w:autoSpaceDN w:val="0"/>
              <w:adjustRightInd w:val="0"/>
              <w:spacing w:after="0" w:line="240" w:lineRule="auto"/>
              <w:rPr>
                <w:rFonts w:asciiTheme="minorHAnsi" w:hAnsiTheme="minorHAnsi" w:cstheme="minorHAnsi"/>
                <w:color w:val="000000"/>
                <w:sz w:val="20"/>
                <w:szCs w:val="20"/>
              </w:rPr>
            </w:pPr>
            <w:r w:rsidRPr="00F46D82">
              <w:rPr>
                <w:rFonts w:asciiTheme="minorHAnsi" w:hAnsiTheme="minorHAnsi" w:cstheme="minorHAnsi"/>
                <w:color w:val="000000"/>
                <w:sz w:val="20"/>
                <w:szCs w:val="20"/>
              </w:rPr>
              <w:t>Matt Cave</w:t>
            </w:r>
            <w:r>
              <w:rPr>
                <w:rFonts w:asciiTheme="minorHAnsi" w:hAnsiTheme="minorHAnsi" w:cstheme="minorHAnsi"/>
                <w:color w:val="000000"/>
                <w:sz w:val="20"/>
                <w:szCs w:val="20"/>
              </w:rPr>
              <w:t>, MD</w:t>
            </w:r>
          </w:p>
        </w:tc>
        <w:tc>
          <w:tcPr>
            <w:tcW w:w="2790" w:type="dxa"/>
            <w:vAlign w:val="center"/>
          </w:tcPr>
          <w:p w:rsidR="00915C8D" w:rsidRPr="00F46D82" w:rsidRDefault="00915C8D" w:rsidP="00915C8D">
            <w:pPr>
              <w:autoSpaceDE w:val="0"/>
              <w:autoSpaceDN w:val="0"/>
              <w:adjustRightInd w:val="0"/>
              <w:spacing w:after="0" w:line="240" w:lineRule="auto"/>
              <w:rPr>
                <w:rFonts w:asciiTheme="minorHAnsi" w:hAnsiTheme="minorHAnsi" w:cstheme="minorHAnsi"/>
                <w:color w:val="000000"/>
                <w:sz w:val="20"/>
                <w:szCs w:val="20"/>
              </w:rPr>
            </w:pPr>
            <w:r w:rsidRPr="00F46D82">
              <w:rPr>
                <w:rFonts w:asciiTheme="minorHAnsi" w:hAnsiTheme="minorHAnsi" w:cstheme="minorHAnsi"/>
                <w:color w:val="000000"/>
                <w:sz w:val="20"/>
                <w:szCs w:val="20"/>
              </w:rPr>
              <w:t>University of Louisville</w:t>
            </w:r>
          </w:p>
        </w:tc>
        <w:tc>
          <w:tcPr>
            <w:tcW w:w="1609" w:type="dxa"/>
            <w:vAlign w:val="center"/>
          </w:tcPr>
          <w:p w:rsidR="00915C8D" w:rsidRPr="00F46D82" w:rsidRDefault="00915C8D" w:rsidP="00915C8D">
            <w:pPr>
              <w:autoSpaceDE w:val="0"/>
              <w:autoSpaceDN w:val="0"/>
              <w:adjustRightInd w:val="0"/>
              <w:spacing w:after="0" w:line="240" w:lineRule="auto"/>
              <w:rPr>
                <w:rStyle w:val="Emphasis"/>
                <w:rFonts w:asciiTheme="minorHAnsi" w:hAnsiTheme="minorHAnsi" w:cstheme="minorHAnsi"/>
                <w:i w:val="0"/>
                <w:color w:val="000000"/>
                <w:sz w:val="20"/>
                <w:szCs w:val="20"/>
              </w:rPr>
            </w:pPr>
            <w:r>
              <w:rPr>
                <w:rStyle w:val="Emphasis"/>
                <w:rFonts w:asciiTheme="minorHAnsi" w:hAnsiTheme="minorHAnsi" w:cstheme="minorHAnsi"/>
                <w:i w:val="0"/>
                <w:color w:val="000000"/>
                <w:sz w:val="20"/>
                <w:szCs w:val="20"/>
              </w:rPr>
              <w:t>(502) 852-5252</w:t>
            </w:r>
          </w:p>
        </w:tc>
        <w:tc>
          <w:tcPr>
            <w:tcW w:w="2999" w:type="dxa"/>
            <w:vAlign w:val="center"/>
          </w:tcPr>
          <w:p w:rsidR="00915C8D" w:rsidRPr="00074D63" w:rsidRDefault="00915C8D" w:rsidP="00915C8D">
            <w:pPr>
              <w:autoSpaceDE w:val="0"/>
              <w:autoSpaceDN w:val="0"/>
              <w:adjustRightInd w:val="0"/>
              <w:spacing w:after="0" w:line="240" w:lineRule="auto"/>
              <w:rPr>
                <w:rStyle w:val="Emphasis"/>
                <w:rFonts w:asciiTheme="minorHAnsi" w:hAnsiTheme="minorHAnsi" w:cstheme="minorHAnsi"/>
                <w:i w:val="0"/>
                <w:color w:val="000000"/>
                <w:sz w:val="20"/>
                <w:szCs w:val="20"/>
              </w:rPr>
            </w:pPr>
            <w:r>
              <w:rPr>
                <w:rStyle w:val="Emphasis"/>
                <w:rFonts w:asciiTheme="minorHAnsi" w:hAnsiTheme="minorHAnsi" w:cstheme="minorHAnsi"/>
                <w:i w:val="0"/>
                <w:color w:val="000000"/>
                <w:sz w:val="20"/>
                <w:szCs w:val="20"/>
              </w:rPr>
              <w:t>matt.cave@louisville.edu</w:t>
            </w:r>
          </w:p>
        </w:tc>
      </w:tr>
      <w:tr w:rsidR="00915C8D" w:rsidRPr="00F46D82" w:rsidTr="00915C8D">
        <w:trPr>
          <w:trHeight w:val="488"/>
        </w:trPr>
        <w:tc>
          <w:tcPr>
            <w:tcW w:w="2178" w:type="dxa"/>
            <w:vAlign w:val="center"/>
          </w:tcPr>
          <w:p w:rsidR="00915C8D" w:rsidRPr="00F46D82" w:rsidRDefault="00915C8D" w:rsidP="00915C8D">
            <w:pPr>
              <w:autoSpaceDE w:val="0"/>
              <w:autoSpaceDN w:val="0"/>
              <w:adjustRightInd w:val="0"/>
              <w:spacing w:after="0" w:line="240" w:lineRule="auto"/>
              <w:rPr>
                <w:rFonts w:asciiTheme="minorHAnsi" w:hAnsiTheme="minorHAnsi" w:cstheme="minorHAnsi"/>
                <w:color w:val="000000"/>
                <w:sz w:val="20"/>
                <w:szCs w:val="20"/>
              </w:rPr>
            </w:pPr>
            <w:r w:rsidRPr="00F46D82">
              <w:rPr>
                <w:rFonts w:asciiTheme="minorHAnsi" w:hAnsiTheme="minorHAnsi" w:cstheme="minorHAnsi"/>
                <w:color w:val="000000"/>
                <w:sz w:val="20"/>
                <w:szCs w:val="20"/>
              </w:rPr>
              <w:t>Santica Marcovina</w:t>
            </w:r>
            <w:r>
              <w:rPr>
                <w:rFonts w:asciiTheme="minorHAnsi" w:hAnsiTheme="minorHAnsi" w:cstheme="minorHAnsi"/>
                <w:color w:val="000000"/>
                <w:sz w:val="20"/>
                <w:szCs w:val="20"/>
              </w:rPr>
              <w:t>, PhD, ScD</w:t>
            </w:r>
          </w:p>
        </w:tc>
        <w:tc>
          <w:tcPr>
            <w:tcW w:w="2790" w:type="dxa"/>
            <w:vAlign w:val="center"/>
          </w:tcPr>
          <w:p w:rsidR="00915C8D" w:rsidRPr="00F46D82" w:rsidRDefault="00915C8D" w:rsidP="00915C8D">
            <w:pPr>
              <w:autoSpaceDE w:val="0"/>
              <w:autoSpaceDN w:val="0"/>
              <w:adjustRightInd w:val="0"/>
              <w:spacing w:after="0" w:line="240" w:lineRule="auto"/>
              <w:rPr>
                <w:rFonts w:asciiTheme="minorHAnsi" w:hAnsiTheme="minorHAnsi" w:cstheme="minorHAnsi"/>
                <w:color w:val="000000"/>
                <w:sz w:val="20"/>
                <w:szCs w:val="20"/>
              </w:rPr>
            </w:pPr>
            <w:r w:rsidRPr="00F46D82">
              <w:rPr>
                <w:rFonts w:asciiTheme="minorHAnsi" w:hAnsiTheme="minorHAnsi" w:cstheme="minorHAnsi"/>
                <w:color w:val="000000"/>
                <w:sz w:val="20"/>
                <w:szCs w:val="20"/>
              </w:rPr>
              <w:t>Northwestern Lipid Research Laboratory</w:t>
            </w:r>
          </w:p>
        </w:tc>
        <w:tc>
          <w:tcPr>
            <w:tcW w:w="1609" w:type="dxa"/>
            <w:vAlign w:val="center"/>
          </w:tcPr>
          <w:p w:rsidR="00915C8D" w:rsidRPr="00F46D82" w:rsidRDefault="00915C8D" w:rsidP="00915C8D">
            <w:pPr>
              <w:autoSpaceDE w:val="0"/>
              <w:autoSpaceDN w:val="0"/>
              <w:adjustRightInd w:val="0"/>
              <w:spacing w:after="0" w:line="240" w:lineRule="auto"/>
              <w:rPr>
                <w:rStyle w:val="Emphasis"/>
                <w:rFonts w:asciiTheme="minorHAnsi" w:hAnsiTheme="minorHAnsi" w:cstheme="minorHAnsi"/>
                <w:i w:val="0"/>
                <w:color w:val="000000"/>
                <w:sz w:val="20"/>
                <w:szCs w:val="20"/>
              </w:rPr>
            </w:pPr>
            <w:r>
              <w:rPr>
                <w:rStyle w:val="Emphasis"/>
                <w:rFonts w:asciiTheme="minorHAnsi" w:hAnsiTheme="minorHAnsi" w:cstheme="minorHAnsi"/>
                <w:i w:val="0"/>
                <w:color w:val="000000"/>
                <w:sz w:val="20"/>
                <w:szCs w:val="20"/>
              </w:rPr>
              <w:t>(206) 685-3331</w:t>
            </w:r>
          </w:p>
        </w:tc>
        <w:tc>
          <w:tcPr>
            <w:tcW w:w="2999" w:type="dxa"/>
            <w:vAlign w:val="center"/>
          </w:tcPr>
          <w:p w:rsidR="00915C8D" w:rsidRPr="00BC685B" w:rsidRDefault="00915C8D" w:rsidP="00915C8D">
            <w:pPr>
              <w:autoSpaceDE w:val="0"/>
              <w:autoSpaceDN w:val="0"/>
              <w:adjustRightInd w:val="0"/>
              <w:spacing w:after="0" w:line="240" w:lineRule="auto"/>
              <w:rPr>
                <w:rStyle w:val="Emphasis"/>
                <w:rFonts w:asciiTheme="minorHAnsi" w:hAnsiTheme="minorHAnsi" w:cstheme="minorHAnsi"/>
                <w:i w:val="0"/>
                <w:color w:val="000000"/>
                <w:sz w:val="20"/>
                <w:szCs w:val="20"/>
              </w:rPr>
            </w:pPr>
            <w:r>
              <w:rPr>
                <w:rStyle w:val="Emphasis"/>
                <w:rFonts w:asciiTheme="minorHAnsi" w:hAnsiTheme="minorHAnsi" w:cstheme="minorHAnsi"/>
                <w:i w:val="0"/>
                <w:color w:val="000000"/>
                <w:sz w:val="20"/>
                <w:szCs w:val="20"/>
              </w:rPr>
              <w:t>smm@u.washington.edu</w:t>
            </w:r>
          </w:p>
        </w:tc>
      </w:tr>
      <w:tr w:rsidR="00915C8D" w:rsidRPr="00F46D82" w:rsidTr="00915C8D">
        <w:trPr>
          <w:trHeight w:val="63"/>
        </w:trPr>
        <w:tc>
          <w:tcPr>
            <w:tcW w:w="2178" w:type="dxa"/>
            <w:vAlign w:val="center"/>
          </w:tcPr>
          <w:p w:rsidR="00915C8D" w:rsidRPr="00F46D82" w:rsidRDefault="00915C8D" w:rsidP="00915C8D">
            <w:pPr>
              <w:autoSpaceDE w:val="0"/>
              <w:autoSpaceDN w:val="0"/>
              <w:adjustRightInd w:val="0"/>
              <w:spacing w:after="0" w:line="240" w:lineRule="auto"/>
              <w:rPr>
                <w:rFonts w:asciiTheme="minorHAnsi" w:hAnsiTheme="minorHAnsi" w:cstheme="minorHAnsi"/>
                <w:color w:val="000000"/>
                <w:sz w:val="20"/>
                <w:szCs w:val="20"/>
              </w:rPr>
            </w:pPr>
            <w:proofErr w:type="spellStart"/>
            <w:r>
              <w:rPr>
                <w:rFonts w:asciiTheme="minorHAnsi" w:hAnsiTheme="minorHAnsi" w:cstheme="minorHAnsi"/>
                <w:color w:val="000000"/>
                <w:sz w:val="20"/>
                <w:szCs w:val="20"/>
              </w:rPr>
              <w:t>Arlon</w:t>
            </w:r>
            <w:proofErr w:type="spellEnd"/>
            <w:r>
              <w:rPr>
                <w:rFonts w:asciiTheme="minorHAnsi" w:hAnsiTheme="minorHAnsi" w:cstheme="minorHAnsi"/>
                <w:color w:val="000000"/>
                <w:sz w:val="20"/>
                <w:szCs w:val="20"/>
              </w:rPr>
              <w:t xml:space="preserve"> Sheffield</w:t>
            </w:r>
          </w:p>
        </w:tc>
        <w:tc>
          <w:tcPr>
            <w:tcW w:w="2790" w:type="dxa"/>
            <w:vAlign w:val="center"/>
          </w:tcPr>
          <w:p w:rsidR="00915C8D" w:rsidRPr="00F46D82" w:rsidRDefault="00915C8D" w:rsidP="00915C8D">
            <w:pPr>
              <w:autoSpaceDE w:val="0"/>
              <w:autoSpaceDN w:val="0"/>
              <w:adjustRightInd w:val="0"/>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Jacksonville Medical Center Clinical Biochemistry Laboratory</w:t>
            </w:r>
          </w:p>
        </w:tc>
        <w:tc>
          <w:tcPr>
            <w:tcW w:w="1609" w:type="dxa"/>
            <w:vAlign w:val="center"/>
          </w:tcPr>
          <w:p w:rsidR="00915C8D" w:rsidRDefault="00915C8D" w:rsidP="00915C8D">
            <w:pPr>
              <w:autoSpaceDE w:val="0"/>
              <w:autoSpaceDN w:val="0"/>
              <w:adjustRightInd w:val="0"/>
              <w:spacing w:after="0" w:line="240" w:lineRule="auto"/>
              <w:rPr>
                <w:rStyle w:val="Emphasis"/>
                <w:rFonts w:asciiTheme="minorHAnsi" w:hAnsiTheme="minorHAnsi" w:cstheme="minorHAnsi"/>
                <w:i w:val="0"/>
                <w:color w:val="000000"/>
                <w:sz w:val="20"/>
                <w:szCs w:val="20"/>
              </w:rPr>
            </w:pPr>
            <w:r>
              <w:rPr>
                <w:rStyle w:val="Emphasis"/>
                <w:rFonts w:asciiTheme="minorHAnsi" w:hAnsiTheme="minorHAnsi" w:cstheme="minorHAnsi"/>
                <w:i w:val="0"/>
                <w:color w:val="000000"/>
                <w:sz w:val="20"/>
                <w:szCs w:val="20"/>
              </w:rPr>
              <w:t>(256) 782-4196</w:t>
            </w:r>
          </w:p>
        </w:tc>
        <w:tc>
          <w:tcPr>
            <w:tcW w:w="2999" w:type="dxa"/>
            <w:vAlign w:val="center"/>
          </w:tcPr>
          <w:p w:rsidR="00915C8D" w:rsidRDefault="00915C8D" w:rsidP="00915C8D">
            <w:pPr>
              <w:autoSpaceDE w:val="0"/>
              <w:autoSpaceDN w:val="0"/>
              <w:adjustRightInd w:val="0"/>
              <w:spacing w:after="0" w:line="240" w:lineRule="auto"/>
              <w:rPr>
                <w:rStyle w:val="Emphasis"/>
                <w:rFonts w:asciiTheme="minorHAnsi" w:hAnsiTheme="minorHAnsi" w:cstheme="minorHAnsi"/>
                <w:i w:val="0"/>
                <w:color w:val="000000"/>
                <w:sz w:val="20"/>
                <w:szCs w:val="20"/>
              </w:rPr>
            </w:pPr>
            <w:r w:rsidRPr="00BC685B">
              <w:rPr>
                <w:rStyle w:val="Emphasis"/>
                <w:rFonts w:asciiTheme="minorHAnsi" w:hAnsiTheme="minorHAnsi" w:cstheme="minorHAnsi"/>
                <w:i w:val="0"/>
                <w:color w:val="000000"/>
                <w:sz w:val="20"/>
                <w:szCs w:val="20"/>
              </w:rPr>
              <w:t>Arlon.Sheffield@JMCHealth.com</w:t>
            </w:r>
          </w:p>
        </w:tc>
      </w:tr>
      <w:tr w:rsidR="00915C8D" w:rsidRPr="00F46D82" w:rsidTr="00915C8D">
        <w:trPr>
          <w:trHeight w:val="63"/>
        </w:trPr>
        <w:tc>
          <w:tcPr>
            <w:tcW w:w="2178" w:type="dxa"/>
            <w:vAlign w:val="center"/>
          </w:tcPr>
          <w:p w:rsidR="00915C8D" w:rsidRDefault="00915C8D" w:rsidP="00915C8D">
            <w:pPr>
              <w:autoSpaceDE w:val="0"/>
              <w:autoSpaceDN w:val="0"/>
              <w:adjustRightInd w:val="0"/>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Allen Silverstone, PhD</w:t>
            </w:r>
          </w:p>
        </w:tc>
        <w:tc>
          <w:tcPr>
            <w:tcW w:w="2790" w:type="dxa"/>
            <w:vAlign w:val="center"/>
          </w:tcPr>
          <w:p w:rsidR="00915C8D" w:rsidRDefault="00915C8D" w:rsidP="00915C8D">
            <w:pPr>
              <w:autoSpaceDE w:val="0"/>
              <w:autoSpaceDN w:val="0"/>
              <w:adjustRightInd w:val="0"/>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State University of New York Upstate Medical University</w:t>
            </w:r>
          </w:p>
        </w:tc>
        <w:tc>
          <w:tcPr>
            <w:tcW w:w="1609" w:type="dxa"/>
            <w:vAlign w:val="center"/>
          </w:tcPr>
          <w:p w:rsidR="00915C8D" w:rsidRDefault="00915C8D" w:rsidP="00915C8D">
            <w:pPr>
              <w:autoSpaceDE w:val="0"/>
              <w:autoSpaceDN w:val="0"/>
              <w:adjustRightInd w:val="0"/>
              <w:spacing w:after="0" w:line="240" w:lineRule="auto"/>
              <w:rPr>
                <w:rStyle w:val="Emphasis"/>
                <w:rFonts w:asciiTheme="minorHAnsi" w:hAnsiTheme="minorHAnsi" w:cstheme="minorHAnsi"/>
                <w:i w:val="0"/>
                <w:color w:val="000000"/>
                <w:sz w:val="20"/>
                <w:szCs w:val="20"/>
              </w:rPr>
            </w:pPr>
            <w:r>
              <w:rPr>
                <w:rStyle w:val="Emphasis"/>
                <w:rFonts w:asciiTheme="minorHAnsi" w:hAnsiTheme="minorHAnsi" w:cstheme="minorHAnsi"/>
                <w:i w:val="0"/>
                <w:color w:val="000000"/>
                <w:sz w:val="20"/>
                <w:szCs w:val="20"/>
              </w:rPr>
              <w:t>(315) 464-5440</w:t>
            </w:r>
          </w:p>
        </w:tc>
        <w:tc>
          <w:tcPr>
            <w:tcW w:w="2999" w:type="dxa"/>
            <w:vAlign w:val="center"/>
          </w:tcPr>
          <w:p w:rsidR="00915C8D" w:rsidRPr="00BC685B" w:rsidRDefault="00915C8D" w:rsidP="00915C8D">
            <w:pPr>
              <w:autoSpaceDE w:val="0"/>
              <w:autoSpaceDN w:val="0"/>
              <w:adjustRightInd w:val="0"/>
              <w:spacing w:after="0" w:line="240" w:lineRule="auto"/>
              <w:rPr>
                <w:rStyle w:val="Emphasis"/>
                <w:rFonts w:asciiTheme="minorHAnsi" w:hAnsiTheme="minorHAnsi" w:cstheme="minorHAnsi"/>
                <w:i w:val="0"/>
                <w:color w:val="000000"/>
                <w:sz w:val="20"/>
                <w:szCs w:val="20"/>
              </w:rPr>
            </w:pPr>
            <w:r>
              <w:rPr>
                <w:rStyle w:val="Emphasis"/>
                <w:rFonts w:asciiTheme="minorHAnsi" w:hAnsiTheme="minorHAnsi" w:cstheme="minorHAnsi"/>
                <w:i w:val="0"/>
                <w:color w:val="000000"/>
                <w:sz w:val="20"/>
                <w:szCs w:val="20"/>
              </w:rPr>
              <w:t>silversa@upstate.edu</w:t>
            </w:r>
          </w:p>
        </w:tc>
      </w:tr>
    </w:tbl>
    <w:p w:rsidR="00915C8D" w:rsidRDefault="00915C8D" w:rsidP="00915C8D">
      <w:pPr>
        <w:autoSpaceDE w:val="0"/>
        <w:autoSpaceDN w:val="0"/>
        <w:adjustRightInd w:val="0"/>
        <w:spacing w:line="240" w:lineRule="auto"/>
        <w:rPr>
          <w:rFonts w:asciiTheme="minorHAnsi" w:hAnsiTheme="minorHAnsi" w:cstheme="minorHAnsi"/>
          <w:color w:val="000000"/>
          <w:sz w:val="24"/>
          <w:szCs w:val="24"/>
        </w:rPr>
      </w:pPr>
    </w:p>
    <w:p w:rsidR="00CE7914" w:rsidRDefault="00CE7914" w:rsidP="00CE791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For the most part, the same laboratories will perform the analyses of the same specific </w:t>
      </w:r>
      <w:proofErr w:type="spellStart"/>
      <w:r>
        <w:rPr>
          <w:rFonts w:asciiTheme="minorHAnsi" w:hAnsiTheme="minorHAnsi" w:cstheme="minorHAnsi"/>
          <w:sz w:val="24"/>
          <w:szCs w:val="24"/>
        </w:rPr>
        <w:t>analytes</w:t>
      </w:r>
      <w:proofErr w:type="spellEnd"/>
      <w:r>
        <w:rPr>
          <w:rFonts w:asciiTheme="minorHAnsi" w:hAnsiTheme="minorHAnsi" w:cstheme="minorHAnsi"/>
          <w:sz w:val="24"/>
          <w:szCs w:val="24"/>
        </w:rPr>
        <w:t xml:space="preserve"> [PCBs and pesticides – NCEH/Division of Laboratory Sciences; thyroid tests – University of Southern California (USC), Clinical Laboratories Endocrine Services; glycemic parameters – Northwest Lipid Metabolism and Diabetes Research Laboratories (NWLRL); autoimmune parameters – SUNY Upstate Medical University; Attachment 4.1]. </w:t>
      </w:r>
    </w:p>
    <w:p w:rsidR="00CE7914" w:rsidRDefault="00CE7914" w:rsidP="00CE7914">
      <w:pPr>
        <w:spacing w:after="0" w:line="240" w:lineRule="auto"/>
        <w:jc w:val="both"/>
        <w:rPr>
          <w:rFonts w:asciiTheme="minorHAnsi" w:hAnsiTheme="minorHAnsi" w:cstheme="minorHAnsi"/>
          <w:sz w:val="24"/>
          <w:szCs w:val="24"/>
        </w:rPr>
      </w:pPr>
    </w:p>
    <w:p w:rsidR="00CE7914" w:rsidRDefault="00CE7914" w:rsidP="00CE791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Because we expanded the lipid profiles, adding phospholipids and free fatty acids to more precisely adjust for total lipid levels and diabetes-related changes, NWLRL will now perform these tests instead of Jacksonville Medical Center Clinical Biochemistry Laboratory (JMC). The results of total cholesterol, triglycerides, and HDL and LDL cholesterols should be comparable between two Clinical Laboratory Improvement Amendments (CLIA)-certified laboratories. We can also adjust for the inter-laboratory variability in the statistical analyses. </w:t>
      </w:r>
    </w:p>
    <w:p w:rsidR="00CE7914" w:rsidRDefault="00CE7914" w:rsidP="00CE7914">
      <w:pPr>
        <w:spacing w:after="0" w:line="240" w:lineRule="auto"/>
        <w:jc w:val="both"/>
        <w:rPr>
          <w:rFonts w:asciiTheme="minorHAnsi" w:hAnsiTheme="minorHAnsi" w:cstheme="minorHAnsi"/>
          <w:sz w:val="24"/>
          <w:szCs w:val="24"/>
        </w:rPr>
      </w:pPr>
    </w:p>
    <w:p w:rsidR="00CE7914" w:rsidRDefault="00CE7914" w:rsidP="00CE791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New laboratory </w:t>
      </w:r>
      <w:proofErr w:type="spellStart"/>
      <w:r>
        <w:rPr>
          <w:rFonts w:asciiTheme="minorHAnsi" w:hAnsiTheme="minorHAnsi" w:cstheme="minorHAnsi"/>
          <w:sz w:val="24"/>
          <w:szCs w:val="24"/>
        </w:rPr>
        <w:t>analytes</w:t>
      </w:r>
      <w:proofErr w:type="spellEnd"/>
      <w:r>
        <w:rPr>
          <w:rFonts w:asciiTheme="minorHAnsi" w:hAnsiTheme="minorHAnsi" w:cstheme="minorHAnsi"/>
          <w:sz w:val="24"/>
          <w:szCs w:val="24"/>
        </w:rPr>
        <w:t xml:space="preserve"> include dioxins, furans, and co-PCBs (NCEH/Division of Laboratory Sciences), </w:t>
      </w:r>
      <w:proofErr w:type="spellStart"/>
      <w:r>
        <w:rPr>
          <w:rFonts w:asciiTheme="minorHAnsi" w:hAnsiTheme="minorHAnsi" w:cstheme="minorHAnsi"/>
          <w:sz w:val="24"/>
          <w:szCs w:val="24"/>
        </w:rPr>
        <w:t>polybrominated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diphenyl</w:t>
      </w:r>
      <w:proofErr w:type="spellEnd"/>
      <w:r>
        <w:rPr>
          <w:rFonts w:asciiTheme="minorHAnsi" w:hAnsiTheme="minorHAnsi" w:cstheme="minorHAnsi"/>
          <w:sz w:val="24"/>
          <w:szCs w:val="24"/>
        </w:rPr>
        <w:t xml:space="preserve"> ethers (NCEH/Division of Laboratory Sciences), heavy and trace metals (NCEH/Division of Laboratory Sciences), standard liver tests (JMC), and inflammatory and liver cytokines (University of Louisville).</w:t>
      </w:r>
    </w:p>
    <w:p w:rsidR="00CE7914" w:rsidRDefault="00CE7914" w:rsidP="002E799F">
      <w:pPr>
        <w:autoSpaceDE w:val="0"/>
        <w:autoSpaceDN w:val="0"/>
        <w:adjustRightInd w:val="0"/>
        <w:spacing w:after="0" w:line="240" w:lineRule="auto"/>
        <w:jc w:val="both"/>
        <w:rPr>
          <w:rFonts w:asciiTheme="minorHAnsi" w:hAnsiTheme="minorHAnsi" w:cstheme="minorHAnsi"/>
          <w:sz w:val="24"/>
          <w:szCs w:val="24"/>
        </w:rPr>
      </w:pPr>
    </w:p>
    <w:p w:rsidR="00102079" w:rsidRDefault="00FE3862" w:rsidP="002E799F">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The ATSDR is </w:t>
      </w:r>
      <w:r w:rsidR="00915C8D">
        <w:rPr>
          <w:rFonts w:asciiTheme="minorHAnsi" w:hAnsiTheme="minorHAnsi" w:cstheme="minorHAnsi"/>
          <w:sz w:val="24"/>
          <w:szCs w:val="24"/>
        </w:rPr>
        <w:t xml:space="preserve">also </w:t>
      </w:r>
      <w:r>
        <w:rPr>
          <w:rFonts w:asciiTheme="minorHAnsi" w:hAnsiTheme="minorHAnsi" w:cstheme="minorHAnsi"/>
          <w:sz w:val="24"/>
          <w:szCs w:val="24"/>
        </w:rPr>
        <w:t>providing a r</w:t>
      </w:r>
      <w:r w:rsidRPr="00F46D82">
        <w:rPr>
          <w:rFonts w:asciiTheme="minorHAnsi" w:hAnsiTheme="minorHAnsi" w:cstheme="minorHAnsi"/>
          <w:sz w:val="24"/>
          <w:szCs w:val="24"/>
        </w:rPr>
        <w:t>eview of existing reports and publications</w:t>
      </w:r>
      <w:r>
        <w:rPr>
          <w:rFonts w:asciiTheme="minorHAnsi" w:hAnsiTheme="minorHAnsi" w:cstheme="minorHAnsi"/>
          <w:sz w:val="24"/>
          <w:szCs w:val="24"/>
        </w:rPr>
        <w:t xml:space="preserve"> related to the Anniston PCB site, including the results of the ACHS.</w:t>
      </w:r>
      <w:r w:rsidRPr="00F46D82">
        <w:rPr>
          <w:rFonts w:asciiTheme="minorHAnsi" w:hAnsiTheme="minorHAnsi" w:cstheme="minorHAnsi"/>
          <w:sz w:val="24"/>
          <w:szCs w:val="24"/>
        </w:rPr>
        <w:t xml:space="preserve"> </w:t>
      </w:r>
      <w:r w:rsidR="00E1236B">
        <w:rPr>
          <w:rFonts w:asciiTheme="minorHAnsi" w:hAnsiTheme="minorHAnsi" w:cstheme="minorHAnsi"/>
          <w:sz w:val="24"/>
          <w:szCs w:val="24"/>
        </w:rPr>
        <w:t>A</w:t>
      </w:r>
      <w:r w:rsidR="005A7115">
        <w:rPr>
          <w:rFonts w:asciiTheme="minorHAnsi" w:hAnsiTheme="minorHAnsi" w:cstheme="minorHAnsi"/>
          <w:sz w:val="24"/>
          <w:szCs w:val="24"/>
        </w:rPr>
        <w:t xml:space="preserve">lthough the ACHS </w:t>
      </w:r>
      <w:r w:rsidR="00E1236B">
        <w:rPr>
          <w:rFonts w:asciiTheme="minorHAnsi" w:hAnsiTheme="minorHAnsi" w:cstheme="minorHAnsi"/>
          <w:sz w:val="24"/>
          <w:szCs w:val="24"/>
        </w:rPr>
        <w:t xml:space="preserve">previously </w:t>
      </w:r>
      <w:r w:rsidR="005A7115">
        <w:rPr>
          <w:rFonts w:asciiTheme="minorHAnsi" w:hAnsiTheme="minorHAnsi" w:cstheme="minorHAnsi"/>
          <w:sz w:val="24"/>
          <w:szCs w:val="24"/>
        </w:rPr>
        <w:t>provided a one-time cross-sectional picture of PCBs and health in Anniston, AL,</w:t>
      </w:r>
      <w:r w:rsidR="005A7115" w:rsidRPr="00F46D82">
        <w:rPr>
          <w:rFonts w:asciiTheme="minorHAnsi" w:hAnsiTheme="minorHAnsi" w:cstheme="minorHAnsi"/>
          <w:sz w:val="24"/>
          <w:szCs w:val="24"/>
        </w:rPr>
        <w:t xml:space="preserve"> n</w:t>
      </w:r>
      <w:r w:rsidR="005A7115">
        <w:rPr>
          <w:rFonts w:asciiTheme="minorHAnsi" w:hAnsiTheme="minorHAnsi" w:cstheme="minorHAnsi"/>
          <w:sz w:val="24"/>
          <w:szCs w:val="24"/>
        </w:rPr>
        <w:t xml:space="preserve">o similar data </w:t>
      </w:r>
      <w:r w:rsidR="00102079">
        <w:rPr>
          <w:rFonts w:asciiTheme="minorHAnsi" w:hAnsiTheme="minorHAnsi" w:cstheme="minorHAnsi"/>
          <w:sz w:val="24"/>
          <w:szCs w:val="24"/>
        </w:rPr>
        <w:t>on repeated measures in this</w:t>
      </w:r>
      <w:r w:rsidR="0045663B">
        <w:rPr>
          <w:rFonts w:asciiTheme="minorHAnsi" w:hAnsiTheme="minorHAnsi" w:cstheme="minorHAnsi"/>
          <w:sz w:val="24"/>
          <w:szCs w:val="24"/>
        </w:rPr>
        <w:t xml:space="preserve"> uniquely exposed community </w:t>
      </w:r>
      <w:r w:rsidR="005A7115">
        <w:rPr>
          <w:rFonts w:asciiTheme="minorHAnsi" w:hAnsiTheme="minorHAnsi" w:cstheme="minorHAnsi"/>
          <w:sz w:val="24"/>
          <w:szCs w:val="24"/>
        </w:rPr>
        <w:t>currently exists.</w:t>
      </w:r>
      <w:r w:rsidR="0045663B">
        <w:rPr>
          <w:rFonts w:asciiTheme="minorHAnsi" w:hAnsiTheme="minorHAnsi" w:cstheme="minorHAnsi"/>
          <w:sz w:val="24"/>
          <w:szCs w:val="24"/>
        </w:rPr>
        <w:t xml:space="preserve"> In particular, this study aims to examine the relationship between health and a much more complete panel of chemical exposures than before.</w:t>
      </w:r>
      <w:r w:rsidR="00E1236B">
        <w:rPr>
          <w:rFonts w:asciiTheme="minorHAnsi" w:hAnsiTheme="minorHAnsi" w:cstheme="minorHAnsi"/>
          <w:sz w:val="24"/>
          <w:szCs w:val="24"/>
        </w:rPr>
        <w:t xml:space="preserve"> This new information will enable a more detailed examination of the association between health and toxic exposures.</w:t>
      </w:r>
    </w:p>
    <w:p w:rsidR="00102079" w:rsidRDefault="00102079" w:rsidP="002E799F">
      <w:pPr>
        <w:autoSpaceDE w:val="0"/>
        <w:autoSpaceDN w:val="0"/>
        <w:adjustRightInd w:val="0"/>
        <w:spacing w:after="0" w:line="240" w:lineRule="auto"/>
        <w:jc w:val="both"/>
        <w:rPr>
          <w:rFonts w:asciiTheme="minorHAnsi" w:hAnsiTheme="minorHAnsi" w:cstheme="minorHAnsi"/>
          <w:sz w:val="24"/>
          <w:szCs w:val="24"/>
        </w:rPr>
      </w:pPr>
    </w:p>
    <w:p w:rsidR="00586805" w:rsidRPr="00F46D82" w:rsidRDefault="00586805" w:rsidP="002E799F">
      <w:pPr>
        <w:autoSpaceDE w:val="0"/>
        <w:autoSpaceDN w:val="0"/>
        <w:adjustRightInd w:val="0"/>
        <w:spacing w:after="0" w:line="240" w:lineRule="auto"/>
        <w:jc w:val="both"/>
        <w:rPr>
          <w:rFonts w:asciiTheme="minorHAnsi" w:hAnsiTheme="minorHAnsi" w:cstheme="minorHAnsi"/>
          <w:color w:val="000000"/>
          <w:sz w:val="24"/>
          <w:szCs w:val="24"/>
        </w:rPr>
      </w:pPr>
      <w:r w:rsidRPr="00F46D82">
        <w:rPr>
          <w:rFonts w:asciiTheme="minorHAnsi" w:hAnsiTheme="minorHAnsi" w:cstheme="minorHAnsi"/>
          <w:color w:val="000000"/>
          <w:sz w:val="24"/>
          <w:szCs w:val="24"/>
        </w:rPr>
        <w:lastRenderedPageBreak/>
        <w:t xml:space="preserve">To evaluate whether PCB levels in residents of Anniston were elevated, ATSDR sampled 103 volunteers in </w:t>
      </w:r>
      <w:r w:rsidR="009B4402">
        <w:rPr>
          <w:rFonts w:asciiTheme="minorHAnsi" w:hAnsiTheme="minorHAnsi" w:cstheme="minorHAnsi"/>
          <w:color w:val="000000"/>
          <w:sz w:val="24"/>
          <w:szCs w:val="24"/>
        </w:rPr>
        <w:t>Anniston in 1995 (ADPH</w:t>
      </w:r>
      <w:r w:rsidR="009C31AD">
        <w:rPr>
          <w:rFonts w:asciiTheme="minorHAnsi" w:hAnsiTheme="minorHAnsi" w:cstheme="minorHAnsi"/>
          <w:color w:val="000000"/>
          <w:sz w:val="24"/>
          <w:szCs w:val="24"/>
        </w:rPr>
        <w:t>, 2001</w:t>
      </w:r>
      <w:r w:rsidR="00C71DA7">
        <w:rPr>
          <w:rFonts w:asciiTheme="minorHAnsi" w:hAnsiTheme="minorHAnsi" w:cstheme="minorHAnsi"/>
          <w:color w:val="000000"/>
          <w:sz w:val="24"/>
          <w:szCs w:val="24"/>
        </w:rPr>
        <w:t>).</w:t>
      </w:r>
      <w:r w:rsidRPr="00F46D82">
        <w:rPr>
          <w:rFonts w:asciiTheme="minorHAnsi" w:hAnsiTheme="minorHAnsi" w:cstheme="minorHAnsi"/>
          <w:color w:val="000000"/>
          <w:sz w:val="24"/>
          <w:szCs w:val="24"/>
        </w:rPr>
        <w:t xml:space="preserve"> The volunteers </w:t>
      </w:r>
      <w:proofErr w:type="gramStart"/>
      <w:r w:rsidRPr="00F46D82">
        <w:rPr>
          <w:rFonts w:asciiTheme="minorHAnsi" w:hAnsiTheme="minorHAnsi" w:cstheme="minorHAnsi"/>
          <w:color w:val="000000"/>
          <w:sz w:val="24"/>
          <w:szCs w:val="24"/>
        </w:rPr>
        <w:t>were selected</w:t>
      </w:r>
      <w:proofErr w:type="gramEnd"/>
      <w:r w:rsidRPr="00F46D82">
        <w:rPr>
          <w:rFonts w:asciiTheme="minorHAnsi" w:hAnsiTheme="minorHAnsi" w:cstheme="minorHAnsi"/>
          <w:color w:val="000000"/>
          <w:sz w:val="24"/>
          <w:szCs w:val="24"/>
        </w:rPr>
        <w:t xml:space="preserve"> based on the proximity of </w:t>
      </w:r>
      <w:r w:rsidR="00C71DA7">
        <w:rPr>
          <w:rFonts w:asciiTheme="minorHAnsi" w:hAnsiTheme="minorHAnsi" w:cstheme="minorHAnsi"/>
          <w:color w:val="000000"/>
          <w:sz w:val="24"/>
          <w:szCs w:val="24"/>
        </w:rPr>
        <w:t xml:space="preserve">their residences to the plant. </w:t>
      </w:r>
      <w:r w:rsidRPr="00F46D82">
        <w:rPr>
          <w:rFonts w:asciiTheme="minorHAnsi" w:hAnsiTheme="minorHAnsi" w:cstheme="minorHAnsi"/>
          <w:color w:val="000000"/>
          <w:sz w:val="24"/>
          <w:szCs w:val="24"/>
        </w:rPr>
        <w:t xml:space="preserve">Ten milliliters of blood were collected, and </w:t>
      </w:r>
      <w:proofErr w:type="gramStart"/>
      <w:r w:rsidRPr="00F46D82">
        <w:rPr>
          <w:rFonts w:asciiTheme="minorHAnsi" w:hAnsiTheme="minorHAnsi" w:cstheme="minorHAnsi"/>
          <w:color w:val="000000"/>
          <w:sz w:val="24"/>
          <w:szCs w:val="24"/>
        </w:rPr>
        <w:t xml:space="preserve">analyses were conducted by the </w:t>
      </w:r>
      <w:r w:rsidR="00C71DA7">
        <w:rPr>
          <w:rFonts w:asciiTheme="minorHAnsi" w:hAnsiTheme="minorHAnsi" w:cstheme="minorHAnsi"/>
          <w:color w:val="000000"/>
          <w:sz w:val="24"/>
          <w:szCs w:val="24"/>
        </w:rPr>
        <w:t>Pacific Toxicology Laboratory</w:t>
      </w:r>
      <w:proofErr w:type="gramEnd"/>
      <w:r w:rsidR="00C71DA7">
        <w:rPr>
          <w:rFonts w:asciiTheme="minorHAnsi" w:hAnsiTheme="minorHAnsi" w:cstheme="minorHAnsi"/>
          <w:color w:val="000000"/>
          <w:sz w:val="24"/>
          <w:szCs w:val="24"/>
        </w:rPr>
        <w:t xml:space="preserve">. </w:t>
      </w:r>
      <w:r w:rsidRPr="00F46D82">
        <w:rPr>
          <w:rFonts w:asciiTheme="minorHAnsi" w:hAnsiTheme="minorHAnsi" w:cstheme="minorHAnsi"/>
          <w:color w:val="000000"/>
          <w:sz w:val="24"/>
          <w:szCs w:val="24"/>
        </w:rPr>
        <w:t xml:space="preserve">PCB blood levels (total PCBs based on </w:t>
      </w:r>
      <w:proofErr w:type="spellStart"/>
      <w:r w:rsidRPr="00F46D82">
        <w:rPr>
          <w:rFonts w:asciiTheme="minorHAnsi" w:hAnsiTheme="minorHAnsi" w:cstheme="minorHAnsi"/>
          <w:color w:val="000000"/>
          <w:sz w:val="24"/>
          <w:szCs w:val="24"/>
        </w:rPr>
        <w:t>Aroclor</w:t>
      </w:r>
      <w:proofErr w:type="spellEnd"/>
      <w:r w:rsidRPr="00F46D82">
        <w:rPr>
          <w:rFonts w:asciiTheme="minorHAnsi" w:hAnsiTheme="minorHAnsi" w:cstheme="minorHAnsi"/>
          <w:color w:val="000000"/>
          <w:sz w:val="24"/>
          <w:szCs w:val="24"/>
        </w:rPr>
        <w:t xml:space="preserve"> standards) ranged from non-detected (&lt;5 ppb) t</w:t>
      </w:r>
      <w:r w:rsidR="00C71DA7">
        <w:rPr>
          <w:rFonts w:asciiTheme="minorHAnsi" w:hAnsiTheme="minorHAnsi" w:cstheme="minorHAnsi"/>
          <w:color w:val="000000"/>
          <w:sz w:val="24"/>
          <w:szCs w:val="24"/>
        </w:rPr>
        <w:t>o 303 ppb (</w:t>
      </w:r>
      <w:proofErr w:type="spellStart"/>
      <w:r w:rsidR="00C71DA7">
        <w:rPr>
          <w:rFonts w:asciiTheme="minorHAnsi" w:hAnsiTheme="minorHAnsi" w:cstheme="minorHAnsi"/>
          <w:color w:val="000000"/>
          <w:sz w:val="24"/>
          <w:szCs w:val="24"/>
        </w:rPr>
        <w:t>ng</w:t>
      </w:r>
      <w:proofErr w:type="spellEnd"/>
      <w:r w:rsidR="00C71DA7">
        <w:rPr>
          <w:rFonts w:asciiTheme="minorHAnsi" w:hAnsiTheme="minorHAnsi" w:cstheme="minorHAnsi"/>
          <w:color w:val="000000"/>
          <w:sz w:val="24"/>
          <w:szCs w:val="24"/>
        </w:rPr>
        <w:t xml:space="preserve">/g whole weight). </w:t>
      </w:r>
      <w:r w:rsidRPr="00F46D82">
        <w:rPr>
          <w:rFonts w:asciiTheme="minorHAnsi" w:hAnsiTheme="minorHAnsi" w:cstheme="minorHAnsi"/>
          <w:color w:val="000000"/>
          <w:sz w:val="24"/>
          <w:szCs w:val="24"/>
        </w:rPr>
        <w:t>Thirty</w:t>
      </w:r>
      <w:r w:rsidR="000142C7" w:rsidRPr="00F46D82">
        <w:rPr>
          <w:rFonts w:asciiTheme="minorHAnsi" w:hAnsiTheme="minorHAnsi" w:cstheme="minorHAnsi"/>
          <w:color w:val="000000"/>
          <w:sz w:val="24"/>
          <w:szCs w:val="24"/>
        </w:rPr>
        <w:t>-</w:t>
      </w:r>
      <w:r w:rsidRPr="00F46D82">
        <w:rPr>
          <w:rFonts w:asciiTheme="minorHAnsi" w:hAnsiTheme="minorHAnsi" w:cstheme="minorHAnsi"/>
          <w:color w:val="000000"/>
          <w:sz w:val="24"/>
          <w:szCs w:val="24"/>
        </w:rPr>
        <w:t xml:space="preserve">one of 103 persons had undetectable levels; 28 people had levels above 20 ppb; and </w:t>
      </w:r>
      <w:proofErr w:type="gramStart"/>
      <w:r w:rsidRPr="00F46D82">
        <w:rPr>
          <w:rFonts w:asciiTheme="minorHAnsi" w:hAnsiTheme="minorHAnsi" w:cstheme="minorHAnsi"/>
          <w:color w:val="000000"/>
          <w:sz w:val="24"/>
          <w:szCs w:val="24"/>
        </w:rPr>
        <w:t>5</w:t>
      </w:r>
      <w:proofErr w:type="gramEnd"/>
      <w:r w:rsidRPr="00F46D82">
        <w:rPr>
          <w:rFonts w:asciiTheme="minorHAnsi" w:hAnsiTheme="minorHAnsi" w:cstheme="minorHAnsi"/>
          <w:color w:val="000000"/>
          <w:sz w:val="24"/>
          <w:szCs w:val="24"/>
        </w:rPr>
        <w:t xml:space="preserve"> per</w:t>
      </w:r>
      <w:r w:rsidR="006B213D">
        <w:rPr>
          <w:rFonts w:asciiTheme="minorHAnsi" w:hAnsiTheme="minorHAnsi" w:cstheme="minorHAnsi"/>
          <w:color w:val="000000"/>
          <w:sz w:val="24"/>
          <w:szCs w:val="24"/>
        </w:rPr>
        <w:t xml:space="preserve">sons had levels above 100 ppb. </w:t>
      </w:r>
      <w:r w:rsidRPr="00F46D82">
        <w:rPr>
          <w:rFonts w:asciiTheme="minorHAnsi" w:hAnsiTheme="minorHAnsi" w:cstheme="minorHAnsi"/>
          <w:color w:val="000000"/>
          <w:sz w:val="24"/>
          <w:szCs w:val="24"/>
        </w:rPr>
        <w:t xml:space="preserve">Age was a major determinant of PCB levels, with 61% of those above 50 years of age having levels above 20 ppb while no person below 28 years of age had PCB levels above 20 ppb. </w:t>
      </w:r>
    </w:p>
    <w:p w:rsidR="00586805" w:rsidRPr="00F46D82" w:rsidRDefault="00586805" w:rsidP="002E799F">
      <w:pPr>
        <w:autoSpaceDE w:val="0"/>
        <w:autoSpaceDN w:val="0"/>
        <w:adjustRightInd w:val="0"/>
        <w:spacing w:after="0" w:line="240" w:lineRule="auto"/>
        <w:jc w:val="both"/>
        <w:rPr>
          <w:rFonts w:asciiTheme="minorHAnsi" w:hAnsiTheme="minorHAnsi" w:cstheme="minorHAnsi"/>
          <w:color w:val="000000"/>
          <w:sz w:val="24"/>
          <w:szCs w:val="24"/>
        </w:rPr>
      </w:pPr>
    </w:p>
    <w:p w:rsidR="00586805" w:rsidRPr="00F46D82" w:rsidRDefault="00586805" w:rsidP="002E799F">
      <w:pPr>
        <w:autoSpaceDE w:val="0"/>
        <w:autoSpaceDN w:val="0"/>
        <w:adjustRightInd w:val="0"/>
        <w:spacing w:after="0" w:line="240" w:lineRule="auto"/>
        <w:jc w:val="both"/>
        <w:rPr>
          <w:rFonts w:asciiTheme="minorHAnsi" w:hAnsiTheme="minorHAnsi" w:cstheme="minorHAnsi"/>
          <w:color w:val="000000"/>
          <w:sz w:val="24"/>
          <w:szCs w:val="24"/>
        </w:rPr>
      </w:pPr>
      <w:r w:rsidRPr="00F46D82">
        <w:rPr>
          <w:rFonts w:asciiTheme="minorHAnsi" w:hAnsiTheme="minorHAnsi" w:cstheme="minorHAnsi"/>
          <w:color w:val="000000"/>
          <w:sz w:val="24"/>
          <w:szCs w:val="24"/>
        </w:rPr>
        <w:t xml:space="preserve">Data collected between 1996 and 1998 from over 3,000 plaintiffs in one of the litigation efforts in Anniston (Abernathy vs. Monsanto) were submitted for ATSDR </w:t>
      </w:r>
      <w:r w:rsidR="00522F32">
        <w:rPr>
          <w:rFonts w:asciiTheme="minorHAnsi" w:hAnsiTheme="minorHAnsi" w:cstheme="minorHAnsi"/>
          <w:color w:val="000000"/>
          <w:sz w:val="24"/>
          <w:szCs w:val="24"/>
        </w:rPr>
        <w:t>review in 1999 (ATSDR, 2000</w:t>
      </w:r>
      <w:r w:rsidR="006B213D">
        <w:rPr>
          <w:rFonts w:asciiTheme="minorHAnsi" w:hAnsiTheme="minorHAnsi" w:cstheme="minorHAnsi"/>
          <w:color w:val="000000"/>
          <w:sz w:val="24"/>
          <w:szCs w:val="24"/>
        </w:rPr>
        <w:t>). A</w:t>
      </w:r>
      <w:r w:rsidRPr="00F46D82">
        <w:rPr>
          <w:rFonts w:asciiTheme="minorHAnsi" w:hAnsiTheme="minorHAnsi" w:cstheme="minorHAnsi"/>
          <w:color w:val="000000"/>
          <w:sz w:val="24"/>
          <w:szCs w:val="24"/>
        </w:rPr>
        <w:t xml:space="preserve">lmost half of the samples were below the detection limit (3 to 5 </w:t>
      </w:r>
      <w:proofErr w:type="spellStart"/>
      <w:r w:rsidRPr="00F46D82">
        <w:rPr>
          <w:rFonts w:asciiTheme="minorHAnsi" w:hAnsiTheme="minorHAnsi" w:cstheme="minorHAnsi"/>
          <w:color w:val="000000"/>
          <w:sz w:val="24"/>
          <w:szCs w:val="24"/>
        </w:rPr>
        <w:t>ng</w:t>
      </w:r>
      <w:proofErr w:type="spellEnd"/>
      <w:r w:rsidRPr="00F46D82">
        <w:rPr>
          <w:rFonts w:asciiTheme="minorHAnsi" w:hAnsiTheme="minorHAnsi" w:cstheme="minorHAnsi"/>
          <w:color w:val="000000"/>
          <w:sz w:val="24"/>
          <w:szCs w:val="24"/>
        </w:rPr>
        <w:t>/g whole weight)</w:t>
      </w:r>
      <w:proofErr w:type="gramStart"/>
      <w:r w:rsidRPr="00F46D82">
        <w:rPr>
          <w:rFonts w:asciiTheme="minorHAnsi" w:hAnsiTheme="minorHAnsi" w:cstheme="minorHAnsi"/>
          <w:color w:val="000000"/>
          <w:sz w:val="24"/>
          <w:szCs w:val="24"/>
        </w:rPr>
        <w:t>,</w:t>
      </w:r>
      <w:proofErr w:type="gramEnd"/>
      <w:r w:rsidRPr="00F46D82">
        <w:rPr>
          <w:rFonts w:asciiTheme="minorHAnsi" w:hAnsiTheme="minorHAnsi" w:cstheme="minorHAnsi"/>
          <w:color w:val="000000"/>
          <w:sz w:val="24"/>
          <w:szCs w:val="24"/>
        </w:rPr>
        <w:t xml:space="preserve"> the remaining sa</w:t>
      </w:r>
      <w:r w:rsidR="006B213D">
        <w:rPr>
          <w:rFonts w:asciiTheme="minorHAnsi" w:hAnsiTheme="minorHAnsi" w:cstheme="minorHAnsi"/>
          <w:color w:val="000000"/>
          <w:sz w:val="24"/>
          <w:szCs w:val="24"/>
        </w:rPr>
        <w:t xml:space="preserve">mples had measured PCB levels. </w:t>
      </w:r>
      <w:r w:rsidRPr="00F46D82">
        <w:rPr>
          <w:rFonts w:asciiTheme="minorHAnsi" w:hAnsiTheme="minorHAnsi" w:cstheme="minorHAnsi"/>
          <w:color w:val="000000"/>
          <w:sz w:val="24"/>
          <w:szCs w:val="24"/>
        </w:rPr>
        <w:t xml:space="preserve">Samples </w:t>
      </w:r>
      <w:proofErr w:type="gramStart"/>
      <w:r w:rsidRPr="00F46D82">
        <w:rPr>
          <w:rFonts w:asciiTheme="minorHAnsi" w:hAnsiTheme="minorHAnsi" w:cstheme="minorHAnsi"/>
          <w:color w:val="000000"/>
          <w:sz w:val="24"/>
          <w:szCs w:val="24"/>
        </w:rPr>
        <w:t>were analyzed</w:t>
      </w:r>
      <w:proofErr w:type="gramEnd"/>
      <w:r w:rsidRPr="00F46D82">
        <w:rPr>
          <w:rFonts w:asciiTheme="minorHAnsi" w:hAnsiTheme="minorHAnsi" w:cstheme="minorHAnsi"/>
          <w:color w:val="000000"/>
          <w:sz w:val="24"/>
          <w:szCs w:val="24"/>
        </w:rPr>
        <w:t xml:space="preserve"> as total PCB based on </w:t>
      </w:r>
      <w:proofErr w:type="spellStart"/>
      <w:r w:rsidRPr="00F46D82">
        <w:rPr>
          <w:rFonts w:asciiTheme="minorHAnsi" w:hAnsiTheme="minorHAnsi" w:cstheme="minorHAnsi"/>
          <w:color w:val="000000"/>
          <w:sz w:val="24"/>
          <w:szCs w:val="24"/>
        </w:rPr>
        <w:t>Aroclor</w:t>
      </w:r>
      <w:proofErr w:type="spellEnd"/>
      <w:r w:rsidRPr="00F46D82">
        <w:rPr>
          <w:rFonts w:asciiTheme="minorHAnsi" w:hAnsiTheme="minorHAnsi" w:cstheme="minorHAnsi"/>
          <w:color w:val="000000"/>
          <w:sz w:val="24"/>
          <w:szCs w:val="24"/>
        </w:rPr>
        <w:t xml:space="preserve"> standards by the </w:t>
      </w:r>
      <w:proofErr w:type="spellStart"/>
      <w:r w:rsidRPr="00F46D82">
        <w:rPr>
          <w:rFonts w:asciiTheme="minorHAnsi" w:hAnsiTheme="minorHAnsi" w:cstheme="minorHAnsi"/>
          <w:color w:val="000000"/>
          <w:sz w:val="24"/>
          <w:szCs w:val="24"/>
        </w:rPr>
        <w:t>LabCorp</w:t>
      </w:r>
      <w:proofErr w:type="spellEnd"/>
      <w:r w:rsidRPr="00F46D82">
        <w:rPr>
          <w:rFonts w:asciiTheme="minorHAnsi" w:hAnsiTheme="minorHAnsi" w:cstheme="minorHAnsi"/>
          <w:color w:val="000000"/>
          <w:sz w:val="24"/>
          <w:szCs w:val="24"/>
        </w:rPr>
        <w:t xml:space="preserve"> laboratory </w:t>
      </w:r>
      <w:r w:rsidR="006B213D">
        <w:rPr>
          <w:rFonts w:asciiTheme="minorHAnsi" w:hAnsiTheme="minorHAnsi" w:cstheme="minorHAnsi"/>
          <w:color w:val="000000"/>
          <w:sz w:val="24"/>
          <w:szCs w:val="24"/>
        </w:rPr>
        <w:t xml:space="preserve">in Burlington, North Carolina. </w:t>
      </w:r>
      <w:r w:rsidRPr="00F46D82">
        <w:rPr>
          <w:rFonts w:asciiTheme="minorHAnsi" w:hAnsiTheme="minorHAnsi" w:cstheme="minorHAnsi"/>
          <w:color w:val="000000"/>
          <w:sz w:val="24"/>
          <w:szCs w:val="24"/>
        </w:rPr>
        <w:t xml:space="preserve">Over 17% of the </w:t>
      </w:r>
      <w:r w:rsidR="00AE0D5E">
        <w:rPr>
          <w:rFonts w:asciiTheme="minorHAnsi" w:hAnsiTheme="minorHAnsi" w:cstheme="minorHAnsi"/>
          <w:color w:val="000000"/>
          <w:sz w:val="24"/>
          <w:szCs w:val="24"/>
        </w:rPr>
        <w:t>subject</w:t>
      </w:r>
      <w:r w:rsidRPr="00F46D82">
        <w:rPr>
          <w:rFonts w:asciiTheme="minorHAnsi" w:hAnsiTheme="minorHAnsi" w:cstheme="minorHAnsi"/>
          <w:color w:val="000000"/>
          <w:sz w:val="24"/>
          <w:szCs w:val="24"/>
        </w:rPr>
        <w:t>s had PCB levels abo</w:t>
      </w:r>
      <w:r w:rsidR="006B213D">
        <w:rPr>
          <w:rFonts w:asciiTheme="minorHAnsi" w:hAnsiTheme="minorHAnsi" w:cstheme="minorHAnsi"/>
          <w:color w:val="000000"/>
          <w:sz w:val="24"/>
          <w:szCs w:val="24"/>
        </w:rPr>
        <w:t>ve 20 ppb (</w:t>
      </w:r>
      <w:proofErr w:type="spellStart"/>
      <w:r w:rsidR="006B213D">
        <w:rPr>
          <w:rFonts w:asciiTheme="minorHAnsi" w:hAnsiTheme="minorHAnsi" w:cstheme="minorHAnsi"/>
          <w:color w:val="000000"/>
          <w:sz w:val="24"/>
          <w:szCs w:val="24"/>
        </w:rPr>
        <w:t>ng</w:t>
      </w:r>
      <w:proofErr w:type="spellEnd"/>
      <w:r w:rsidR="006B213D">
        <w:rPr>
          <w:rFonts w:asciiTheme="minorHAnsi" w:hAnsiTheme="minorHAnsi" w:cstheme="minorHAnsi"/>
          <w:color w:val="000000"/>
          <w:sz w:val="24"/>
          <w:szCs w:val="24"/>
        </w:rPr>
        <w:t xml:space="preserve">/g whole weight). </w:t>
      </w:r>
      <w:r w:rsidRPr="00F46D82">
        <w:rPr>
          <w:rFonts w:asciiTheme="minorHAnsi" w:hAnsiTheme="minorHAnsi" w:cstheme="minorHAnsi"/>
          <w:color w:val="000000"/>
          <w:sz w:val="24"/>
          <w:szCs w:val="24"/>
        </w:rPr>
        <w:t xml:space="preserve">Data verification and quality control </w:t>
      </w:r>
      <w:r w:rsidR="006B213D">
        <w:rPr>
          <w:rFonts w:asciiTheme="minorHAnsi" w:hAnsiTheme="minorHAnsi" w:cstheme="minorHAnsi"/>
          <w:color w:val="000000"/>
          <w:sz w:val="24"/>
          <w:szCs w:val="24"/>
        </w:rPr>
        <w:t xml:space="preserve">procedures, if any, </w:t>
      </w:r>
      <w:proofErr w:type="gramStart"/>
      <w:r w:rsidRPr="00F46D82">
        <w:rPr>
          <w:rFonts w:asciiTheme="minorHAnsi" w:hAnsiTheme="minorHAnsi" w:cstheme="minorHAnsi"/>
          <w:color w:val="000000"/>
          <w:sz w:val="24"/>
          <w:szCs w:val="24"/>
        </w:rPr>
        <w:t xml:space="preserve">were </w:t>
      </w:r>
      <w:r w:rsidR="006B213D">
        <w:rPr>
          <w:rFonts w:asciiTheme="minorHAnsi" w:hAnsiTheme="minorHAnsi" w:cstheme="minorHAnsi"/>
          <w:color w:val="000000"/>
          <w:sz w:val="24"/>
          <w:szCs w:val="24"/>
        </w:rPr>
        <w:t>not described</w:t>
      </w:r>
      <w:proofErr w:type="gramEnd"/>
      <w:r w:rsidRPr="00F46D82">
        <w:rPr>
          <w:rFonts w:asciiTheme="minorHAnsi" w:hAnsiTheme="minorHAnsi" w:cstheme="minorHAnsi"/>
          <w:color w:val="000000"/>
          <w:sz w:val="24"/>
          <w:szCs w:val="24"/>
        </w:rPr>
        <w:t xml:space="preserve"> in the </w:t>
      </w:r>
      <w:r w:rsidR="006B213D">
        <w:rPr>
          <w:rFonts w:asciiTheme="minorHAnsi" w:hAnsiTheme="minorHAnsi" w:cstheme="minorHAnsi"/>
          <w:color w:val="000000"/>
          <w:sz w:val="24"/>
          <w:szCs w:val="24"/>
        </w:rPr>
        <w:t>dataset provided to the agency.</w:t>
      </w:r>
      <w:r w:rsidRPr="00F46D82">
        <w:rPr>
          <w:rFonts w:asciiTheme="minorHAnsi" w:hAnsiTheme="minorHAnsi" w:cstheme="minorHAnsi"/>
          <w:color w:val="000000"/>
          <w:sz w:val="24"/>
          <w:szCs w:val="24"/>
        </w:rPr>
        <w:t xml:space="preserve"> In a smaller study by Hansen et al. (2003), authors identified up to</w:t>
      </w:r>
      <w:r w:rsidR="006B213D">
        <w:rPr>
          <w:rFonts w:asciiTheme="minorHAnsi" w:hAnsiTheme="minorHAnsi" w:cstheme="minorHAnsi"/>
          <w:color w:val="000000"/>
          <w:sz w:val="24"/>
          <w:szCs w:val="24"/>
        </w:rPr>
        <w:t xml:space="preserve"> </w:t>
      </w:r>
      <w:r w:rsidRPr="00F46D82">
        <w:rPr>
          <w:rFonts w:asciiTheme="minorHAnsi" w:hAnsiTheme="minorHAnsi" w:cstheme="minorHAnsi"/>
          <w:color w:val="000000"/>
          <w:sz w:val="24"/>
          <w:szCs w:val="24"/>
        </w:rPr>
        <w:t xml:space="preserve">47 PCB congeners or pair of congeners in one or more of the 12 blood samples collected from Anniston residents in 2000.  The sum of these PCBs ranged from 0.68 </w:t>
      </w:r>
      <w:proofErr w:type="spellStart"/>
      <w:r w:rsidRPr="00F46D82">
        <w:rPr>
          <w:rFonts w:asciiTheme="minorHAnsi" w:hAnsiTheme="minorHAnsi" w:cstheme="minorHAnsi"/>
          <w:color w:val="000000"/>
          <w:sz w:val="24"/>
          <w:szCs w:val="24"/>
        </w:rPr>
        <w:t>ng</w:t>
      </w:r>
      <w:proofErr w:type="spellEnd"/>
      <w:r w:rsidRPr="00F46D82">
        <w:rPr>
          <w:rFonts w:asciiTheme="minorHAnsi" w:hAnsiTheme="minorHAnsi" w:cstheme="minorHAnsi"/>
          <w:color w:val="000000"/>
          <w:sz w:val="24"/>
          <w:szCs w:val="24"/>
        </w:rPr>
        <w:t xml:space="preserve">/g whole weight in an </w:t>
      </w:r>
      <w:proofErr w:type="gramStart"/>
      <w:r w:rsidRPr="00F46D82">
        <w:rPr>
          <w:rFonts w:asciiTheme="minorHAnsi" w:hAnsiTheme="minorHAnsi" w:cstheme="minorHAnsi"/>
          <w:color w:val="000000"/>
          <w:sz w:val="24"/>
          <w:szCs w:val="24"/>
        </w:rPr>
        <w:t>8 year old</w:t>
      </w:r>
      <w:proofErr w:type="gramEnd"/>
      <w:r w:rsidRPr="00F46D82">
        <w:rPr>
          <w:rFonts w:asciiTheme="minorHAnsi" w:hAnsiTheme="minorHAnsi" w:cstheme="minorHAnsi"/>
          <w:color w:val="000000"/>
          <w:sz w:val="24"/>
          <w:szCs w:val="24"/>
        </w:rPr>
        <w:t xml:space="preserve"> child to 71.6 </w:t>
      </w:r>
      <w:proofErr w:type="spellStart"/>
      <w:r w:rsidRPr="00F46D82">
        <w:rPr>
          <w:rFonts w:asciiTheme="minorHAnsi" w:hAnsiTheme="minorHAnsi" w:cstheme="minorHAnsi"/>
          <w:color w:val="000000"/>
          <w:sz w:val="24"/>
          <w:szCs w:val="24"/>
        </w:rPr>
        <w:t>ng</w:t>
      </w:r>
      <w:proofErr w:type="spellEnd"/>
      <w:r w:rsidRPr="00F46D82">
        <w:rPr>
          <w:rFonts w:asciiTheme="minorHAnsi" w:hAnsiTheme="minorHAnsi" w:cstheme="minorHAnsi"/>
          <w:color w:val="000000"/>
          <w:sz w:val="24"/>
          <w:szCs w:val="24"/>
        </w:rPr>
        <w:t xml:space="preserve">/g whole weight in a 69-year old female.  </w:t>
      </w:r>
    </w:p>
    <w:p w:rsidR="00586805" w:rsidRPr="00F46D82" w:rsidRDefault="00586805" w:rsidP="002E799F">
      <w:pPr>
        <w:autoSpaceDE w:val="0"/>
        <w:autoSpaceDN w:val="0"/>
        <w:adjustRightInd w:val="0"/>
        <w:spacing w:after="0" w:line="240" w:lineRule="auto"/>
        <w:jc w:val="both"/>
        <w:rPr>
          <w:rFonts w:asciiTheme="minorHAnsi" w:hAnsiTheme="minorHAnsi" w:cstheme="minorHAnsi"/>
          <w:i/>
          <w:color w:val="000000"/>
          <w:sz w:val="24"/>
          <w:szCs w:val="24"/>
        </w:rPr>
      </w:pPr>
    </w:p>
    <w:p w:rsidR="00E039F4" w:rsidRPr="00F46D82" w:rsidRDefault="00586805" w:rsidP="002E799F">
      <w:pPr>
        <w:autoSpaceDE w:val="0"/>
        <w:autoSpaceDN w:val="0"/>
        <w:adjustRightInd w:val="0"/>
        <w:spacing w:after="0" w:line="240" w:lineRule="auto"/>
        <w:jc w:val="both"/>
        <w:rPr>
          <w:rFonts w:asciiTheme="minorHAnsi" w:hAnsiTheme="minorHAnsi" w:cstheme="minorHAnsi"/>
          <w:color w:val="000000"/>
          <w:sz w:val="24"/>
          <w:szCs w:val="24"/>
        </w:rPr>
      </w:pPr>
      <w:r w:rsidRPr="00F46D82">
        <w:rPr>
          <w:rFonts w:asciiTheme="minorHAnsi" w:hAnsiTheme="minorHAnsi" w:cstheme="minorHAnsi"/>
          <w:color w:val="000000"/>
          <w:sz w:val="24"/>
          <w:szCs w:val="24"/>
        </w:rPr>
        <w:t>All of the above s</w:t>
      </w:r>
      <w:r w:rsidR="00E039F4" w:rsidRPr="00F46D82">
        <w:rPr>
          <w:rFonts w:asciiTheme="minorHAnsi" w:hAnsiTheme="minorHAnsi" w:cstheme="minorHAnsi"/>
          <w:color w:val="000000"/>
          <w:sz w:val="24"/>
          <w:szCs w:val="24"/>
        </w:rPr>
        <w:t>tudies were non-systematic, using</w:t>
      </w:r>
      <w:r w:rsidRPr="00F46D82">
        <w:rPr>
          <w:rFonts w:asciiTheme="minorHAnsi" w:hAnsiTheme="minorHAnsi" w:cstheme="minorHAnsi"/>
          <w:color w:val="000000"/>
          <w:sz w:val="24"/>
          <w:szCs w:val="24"/>
        </w:rPr>
        <w:t xml:space="preserve"> a convenience sample or volunteers and did not collect any information (other than age) on variables that may confou</w:t>
      </w:r>
      <w:r w:rsidR="006B213D">
        <w:rPr>
          <w:rFonts w:asciiTheme="minorHAnsi" w:hAnsiTheme="minorHAnsi" w:cstheme="minorHAnsi"/>
          <w:color w:val="000000"/>
          <w:sz w:val="24"/>
          <w:szCs w:val="24"/>
        </w:rPr>
        <w:t xml:space="preserve">nd the assessment of exposure. </w:t>
      </w:r>
      <w:r w:rsidR="00E039F4" w:rsidRPr="00F46D82">
        <w:rPr>
          <w:rFonts w:asciiTheme="minorHAnsi" w:hAnsiTheme="minorHAnsi" w:cstheme="minorHAnsi"/>
          <w:color w:val="000000"/>
          <w:sz w:val="24"/>
          <w:szCs w:val="24"/>
        </w:rPr>
        <w:t>No exposure data other than PCBs were collected other than in on</w:t>
      </w:r>
      <w:r w:rsidR="00332C88">
        <w:rPr>
          <w:rFonts w:asciiTheme="minorHAnsi" w:hAnsiTheme="minorHAnsi" w:cstheme="minorHAnsi"/>
          <w:color w:val="000000"/>
          <w:sz w:val="24"/>
          <w:szCs w:val="24"/>
        </w:rPr>
        <w:t>ly a few individuals. No follow-</w:t>
      </w:r>
      <w:r w:rsidR="00E039F4" w:rsidRPr="00F46D82">
        <w:rPr>
          <w:rFonts w:asciiTheme="minorHAnsi" w:hAnsiTheme="minorHAnsi" w:cstheme="minorHAnsi"/>
          <w:color w:val="000000"/>
          <w:sz w:val="24"/>
          <w:szCs w:val="24"/>
        </w:rPr>
        <w:t>up data or repeated measurements of PCBs or other contaminants exist in this population.</w:t>
      </w:r>
    </w:p>
    <w:p w:rsidR="00E039F4" w:rsidRPr="00F46D82" w:rsidRDefault="00E039F4" w:rsidP="002E799F">
      <w:pPr>
        <w:autoSpaceDE w:val="0"/>
        <w:autoSpaceDN w:val="0"/>
        <w:adjustRightInd w:val="0"/>
        <w:spacing w:after="0" w:line="240" w:lineRule="auto"/>
        <w:jc w:val="both"/>
        <w:rPr>
          <w:rFonts w:asciiTheme="minorHAnsi" w:hAnsiTheme="minorHAnsi" w:cstheme="minorHAnsi"/>
          <w:color w:val="000000"/>
          <w:sz w:val="24"/>
          <w:szCs w:val="24"/>
        </w:rPr>
      </w:pPr>
    </w:p>
    <w:p w:rsidR="004748A6" w:rsidRDefault="00E039F4" w:rsidP="002E799F">
      <w:pPr>
        <w:autoSpaceDE w:val="0"/>
        <w:autoSpaceDN w:val="0"/>
        <w:adjustRightInd w:val="0"/>
        <w:spacing w:after="0" w:line="240" w:lineRule="auto"/>
        <w:jc w:val="both"/>
        <w:rPr>
          <w:rFonts w:asciiTheme="minorHAnsi" w:hAnsiTheme="minorHAnsi" w:cstheme="minorHAnsi"/>
          <w:color w:val="000000"/>
          <w:sz w:val="24"/>
          <w:szCs w:val="24"/>
        </w:rPr>
      </w:pPr>
      <w:r w:rsidRPr="00F46D82">
        <w:rPr>
          <w:rFonts w:asciiTheme="minorHAnsi" w:hAnsiTheme="minorHAnsi" w:cstheme="minorHAnsi"/>
          <w:color w:val="000000"/>
          <w:sz w:val="24"/>
          <w:szCs w:val="24"/>
        </w:rPr>
        <w:t>The results of exposure investigations that documented the presence of elevated levels of PCBs in some Anniston residents and in various environmental matrices caused community concerns over potential healt</w:t>
      </w:r>
      <w:r w:rsidR="006B213D">
        <w:rPr>
          <w:rFonts w:asciiTheme="minorHAnsi" w:hAnsiTheme="minorHAnsi" w:cstheme="minorHAnsi"/>
          <w:color w:val="000000"/>
          <w:sz w:val="24"/>
          <w:szCs w:val="24"/>
        </w:rPr>
        <w:t>h effects due to PCBs exposure.</w:t>
      </w:r>
      <w:r w:rsidRPr="00F46D82">
        <w:rPr>
          <w:rFonts w:asciiTheme="minorHAnsi" w:hAnsiTheme="minorHAnsi" w:cstheme="minorHAnsi"/>
          <w:color w:val="000000"/>
          <w:sz w:val="24"/>
          <w:szCs w:val="24"/>
        </w:rPr>
        <w:t xml:space="preserve"> In response to those concerns and following congressional hearings, the A</w:t>
      </w:r>
      <w:r w:rsidR="00B00E53">
        <w:rPr>
          <w:rFonts w:asciiTheme="minorHAnsi" w:hAnsiTheme="minorHAnsi" w:cstheme="minorHAnsi"/>
          <w:color w:val="000000"/>
          <w:sz w:val="24"/>
          <w:szCs w:val="24"/>
        </w:rPr>
        <w:t>TSDR</w:t>
      </w:r>
      <w:r w:rsidRPr="00F46D82">
        <w:rPr>
          <w:rFonts w:asciiTheme="minorHAnsi" w:hAnsiTheme="minorHAnsi" w:cstheme="minorHAnsi"/>
          <w:color w:val="000000"/>
          <w:sz w:val="24"/>
          <w:szCs w:val="24"/>
        </w:rPr>
        <w:t xml:space="preserve"> funded the Anniston Consortium to conduct exposure and health studies in Anniston</w:t>
      </w:r>
      <w:r w:rsidR="004748A6">
        <w:rPr>
          <w:rFonts w:asciiTheme="minorHAnsi" w:hAnsiTheme="minorHAnsi" w:cstheme="minorHAnsi"/>
          <w:color w:val="000000"/>
          <w:sz w:val="24"/>
          <w:szCs w:val="24"/>
        </w:rPr>
        <w:t xml:space="preserve">, which </w:t>
      </w:r>
      <w:proofErr w:type="gramStart"/>
      <w:r w:rsidR="004748A6">
        <w:rPr>
          <w:rFonts w:asciiTheme="minorHAnsi" w:hAnsiTheme="minorHAnsi" w:cstheme="minorHAnsi"/>
          <w:color w:val="000000"/>
          <w:sz w:val="24"/>
          <w:szCs w:val="24"/>
        </w:rPr>
        <w:t>became known</w:t>
      </w:r>
      <w:proofErr w:type="gramEnd"/>
      <w:r w:rsidR="004748A6">
        <w:rPr>
          <w:rFonts w:asciiTheme="minorHAnsi" w:hAnsiTheme="minorHAnsi" w:cstheme="minorHAnsi"/>
          <w:color w:val="000000"/>
          <w:sz w:val="24"/>
          <w:szCs w:val="24"/>
        </w:rPr>
        <w:t xml:space="preserve"> as the </w:t>
      </w:r>
      <w:r w:rsidRPr="00F46D82">
        <w:rPr>
          <w:rFonts w:asciiTheme="minorHAnsi" w:hAnsiTheme="minorHAnsi" w:cstheme="minorHAnsi"/>
          <w:color w:val="000000"/>
          <w:sz w:val="24"/>
          <w:szCs w:val="24"/>
        </w:rPr>
        <w:t xml:space="preserve">ACHS.  </w:t>
      </w:r>
    </w:p>
    <w:p w:rsidR="004748A6" w:rsidRDefault="004748A6" w:rsidP="002E799F">
      <w:pPr>
        <w:autoSpaceDE w:val="0"/>
        <w:autoSpaceDN w:val="0"/>
        <w:adjustRightInd w:val="0"/>
        <w:spacing w:after="0" w:line="240" w:lineRule="auto"/>
        <w:jc w:val="both"/>
        <w:rPr>
          <w:rFonts w:asciiTheme="minorHAnsi" w:hAnsiTheme="minorHAnsi" w:cstheme="minorHAnsi"/>
          <w:color w:val="000000"/>
          <w:sz w:val="24"/>
          <w:szCs w:val="24"/>
        </w:rPr>
      </w:pPr>
    </w:p>
    <w:p w:rsidR="004E530D" w:rsidRDefault="004748A6" w:rsidP="00953C5A">
      <w:pPr>
        <w:autoSpaceDE w:val="0"/>
        <w:autoSpaceDN w:val="0"/>
        <w:adjustRightInd w:val="0"/>
        <w:spacing w:before="120"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The ACHS was the first opportunity to collect health outcome data among Anniston residents. It was the first time that </w:t>
      </w:r>
      <w:r w:rsidR="00586805" w:rsidRPr="00F46D82">
        <w:rPr>
          <w:rFonts w:asciiTheme="minorHAnsi" w:hAnsiTheme="minorHAnsi" w:cstheme="minorHAnsi"/>
          <w:color w:val="000000"/>
          <w:sz w:val="24"/>
          <w:szCs w:val="24"/>
        </w:rPr>
        <w:t>hypertension</w:t>
      </w:r>
      <w:r w:rsidR="00E039F4" w:rsidRPr="00F46D82">
        <w:rPr>
          <w:rFonts w:asciiTheme="minorHAnsi" w:hAnsiTheme="minorHAnsi" w:cstheme="minorHAnsi"/>
          <w:color w:val="000000"/>
          <w:sz w:val="24"/>
          <w:szCs w:val="24"/>
        </w:rPr>
        <w:t xml:space="preserve"> (</w:t>
      </w:r>
      <w:proofErr w:type="spellStart"/>
      <w:r w:rsidR="00E039F4" w:rsidRPr="00F46D82">
        <w:rPr>
          <w:rFonts w:asciiTheme="minorHAnsi" w:hAnsiTheme="minorHAnsi" w:cstheme="minorHAnsi"/>
          <w:color w:val="000000"/>
          <w:sz w:val="24"/>
          <w:szCs w:val="24"/>
        </w:rPr>
        <w:t>Goncharov</w:t>
      </w:r>
      <w:proofErr w:type="spellEnd"/>
      <w:r w:rsidR="00E039F4" w:rsidRPr="00F46D82">
        <w:rPr>
          <w:rFonts w:asciiTheme="minorHAnsi" w:hAnsiTheme="minorHAnsi" w:cstheme="minorHAnsi"/>
          <w:color w:val="000000"/>
          <w:sz w:val="24"/>
          <w:szCs w:val="24"/>
        </w:rPr>
        <w:t xml:space="preserve"> et al., 2010)</w:t>
      </w:r>
      <w:r w:rsidR="00586805" w:rsidRPr="00F46D82">
        <w:rPr>
          <w:rFonts w:asciiTheme="minorHAnsi" w:hAnsiTheme="minorHAnsi" w:cstheme="minorHAnsi"/>
          <w:color w:val="000000"/>
          <w:sz w:val="24"/>
          <w:szCs w:val="24"/>
        </w:rPr>
        <w:t>, blood pressure</w:t>
      </w:r>
      <w:r w:rsidR="00E039F4" w:rsidRPr="00F46D82">
        <w:rPr>
          <w:rFonts w:asciiTheme="minorHAnsi" w:hAnsiTheme="minorHAnsi" w:cstheme="minorHAnsi"/>
          <w:color w:val="000000"/>
          <w:sz w:val="24"/>
          <w:szCs w:val="24"/>
        </w:rPr>
        <w:t xml:space="preserve"> (</w:t>
      </w:r>
      <w:proofErr w:type="spellStart"/>
      <w:r w:rsidR="00E039F4" w:rsidRPr="00F46D82">
        <w:rPr>
          <w:rFonts w:asciiTheme="minorHAnsi" w:hAnsiTheme="minorHAnsi" w:cstheme="minorHAnsi"/>
          <w:color w:val="000000"/>
          <w:sz w:val="24"/>
          <w:szCs w:val="24"/>
        </w:rPr>
        <w:t>Goncharov</w:t>
      </w:r>
      <w:proofErr w:type="spellEnd"/>
      <w:r w:rsidR="00E039F4" w:rsidRPr="00F46D82">
        <w:rPr>
          <w:rFonts w:asciiTheme="minorHAnsi" w:hAnsiTheme="minorHAnsi" w:cstheme="minorHAnsi"/>
          <w:color w:val="000000"/>
          <w:sz w:val="24"/>
          <w:szCs w:val="24"/>
        </w:rPr>
        <w:t xml:space="preserve"> et al., 2011)</w:t>
      </w:r>
      <w:r w:rsidR="00586805" w:rsidRPr="00F46D82">
        <w:rPr>
          <w:rFonts w:asciiTheme="minorHAnsi" w:hAnsiTheme="minorHAnsi" w:cstheme="minorHAnsi"/>
          <w:color w:val="000000"/>
          <w:sz w:val="24"/>
          <w:szCs w:val="24"/>
        </w:rPr>
        <w:t xml:space="preserve"> and type 2 diabetes</w:t>
      </w:r>
      <w:r>
        <w:rPr>
          <w:rFonts w:asciiTheme="minorHAnsi" w:hAnsiTheme="minorHAnsi" w:cstheme="minorHAnsi"/>
          <w:color w:val="000000"/>
          <w:sz w:val="24"/>
          <w:szCs w:val="24"/>
        </w:rPr>
        <w:t xml:space="preserve"> were </w:t>
      </w:r>
      <w:r w:rsidR="003D62F6">
        <w:rPr>
          <w:rFonts w:asciiTheme="minorHAnsi" w:hAnsiTheme="minorHAnsi" w:cstheme="minorHAnsi"/>
          <w:color w:val="000000"/>
          <w:sz w:val="24"/>
          <w:szCs w:val="24"/>
        </w:rPr>
        <w:t xml:space="preserve">shown to be </w:t>
      </w:r>
      <w:r>
        <w:rPr>
          <w:rFonts w:asciiTheme="minorHAnsi" w:hAnsiTheme="minorHAnsi" w:cstheme="minorHAnsi"/>
          <w:color w:val="000000"/>
          <w:sz w:val="24"/>
          <w:szCs w:val="24"/>
        </w:rPr>
        <w:t>associated with PCB exposures</w:t>
      </w:r>
      <w:r w:rsidR="00586805" w:rsidRPr="00F46D82">
        <w:rPr>
          <w:rFonts w:asciiTheme="minorHAnsi" w:hAnsiTheme="minorHAnsi" w:cstheme="minorHAnsi"/>
          <w:color w:val="000000"/>
          <w:sz w:val="24"/>
          <w:szCs w:val="24"/>
        </w:rPr>
        <w:t xml:space="preserve"> in this population</w:t>
      </w:r>
      <w:r w:rsidR="00E039F4" w:rsidRPr="00F46D82">
        <w:rPr>
          <w:rFonts w:asciiTheme="minorHAnsi" w:hAnsiTheme="minorHAnsi" w:cstheme="minorHAnsi"/>
          <w:color w:val="000000"/>
          <w:sz w:val="24"/>
          <w:szCs w:val="24"/>
        </w:rPr>
        <w:t xml:space="preserve"> (Silverstone et al., 2012)</w:t>
      </w:r>
      <w:r w:rsidR="006B213D">
        <w:rPr>
          <w:rFonts w:asciiTheme="minorHAnsi" w:hAnsiTheme="minorHAnsi" w:cstheme="minorHAnsi"/>
          <w:color w:val="000000"/>
          <w:sz w:val="24"/>
          <w:szCs w:val="24"/>
        </w:rPr>
        <w:t>.</w:t>
      </w:r>
      <w:r w:rsidR="00586805" w:rsidRPr="00F46D82">
        <w:rPr>
          <w:rFonts w:asciiTheme="minorHAnsi" w:hAnsiTheme="minorHAnsi" w:cstheme="minorHAnsi"/>
          <w:color w:val="000000"/>
          <w:sz w:val="24"/>
          <w:szCs w:val="24"/>
        </w:rPr>
        <w:t xml:space="preserve"> </w:t>
      </w:r>
      <w:r w:rsidR="003D62F6">
        <w:rPr>
          <w:rFonts w:asciiTheme="minorHAnsi" w:hAnsiTheme="minorHAnsi" w:cstheme="minorHAnsi"/>
          <w:color w:val="000000"/>
          <w:sz w:val="24"/>
          <w:szCs w:val="24"/>
        </w:rPr>
        <w:t>T</w:t>
      </w:r>
      <w:r w:rsidR="00BC531E">
        <w:rPr>
          <w:rFonts w:asciiTheme="minorHAnsi" w:hAnsiTheme="minorHAnsi" w:cstheme="minorHAnsi"/>
          <w:color w:val="000000"/>
          <w:sz w:val="24"/>
          <w:szCs w:val="24"/>
        </w:rPr>
        <w:t>his</w:t>
      </w:r>
      <w:r w:rsidR="00E039F4" w:rsidRPr="00F46D82">
        <w:rPr>
          <w:rFonts w:asciiTheme="minorHAnsi" w:hAnsiTheme="minorHAnsi" w:cstheme="minorHAnsi"/>
          <w:color w:val="000000"/>
          <w:sz w:val="24"/>
          <w:szCs w:val="24"/>
        </w:rPr>
        <w:t xml:space="preserve"> current study represents a unique opportunity to obtain longitudinal data in this sample of Anniston residents that can contrast the change in PCB levels with newly developed and prevalent health outcomes</w:t>
      </w:r>
      <w:r w:rsidR="00BC531E">
        <w:rPr>
          <w:rFonts w:asciiTheme="minorHAnsi" w:hAnsiTheme="minorHAnsi" w:cstheme="minorHAnsi"/>
          <w:color w:val="000000"/>
          <w:sz w:val="24"/>
          <w:szCs w:val="24"/>
        </w:rPr>
        <w:t>. It is also an opportunity to</w:t>
      </w:r>
      <w:r w:rsidR="00E039F4" w:rsidRPr="00F46D82">
        <w:rPr>
          <w:rFonts w:asciiTheme="minorHAnsi" w:hAnsiTheme="minorHAnsi" w:cstheme="minorHAnsi"/>
          <w:color w:val="000000"/>
          <w:sz w:val="24"/>
          <w:szCs w:val="24"/>
        </w:rPr>
        <w:t xml:space="preserve"> evaluate confounding with </w:t>
      </w:r>
      <w:r w:rsidR="00BC531E">
        <w:rPr>
          <w:rFonts w:asciiTheme="minorHAnsi" w:hAnsiTheme="minorHAnsi" w:cstheme="minorHAnsi"/>
          <w:color w:val="000000"/>
          <w:sz w:val="24"/>
          <w:szCs w:val="24"/>
        </w:rPr>
        <w:t xml:space="preserve">a more </w:t>
      </w:r>
      <w:r w:rsidR="00E039F4" w:rsidRPr="00F46D82">
        <w:rPr>
          <w:rFonts w:asciiTheme="minorHAnsi" w:hAnsiTheme="minorHAnsi" w:cstheme="minorHAnsi"/>
          <w:color w:val="000000"/>
          <w:sz w:val="24"/>
          <w:szCs w:val="24"/>
        </w:rPr>
        <w:t>focused collection of risk</w:t>
      </w:r>
      <w:r w:rsidR="00D86942">
        <w:rPr>
          <w:rFonts w:asciiTheme="minorHAnsi" w:hAnsiTheme="minorHAnsi" w:cstheme="minorHAnsi"/>
          <w:color w:val="000000"/>
          <w:sz w:val="24"/>
          <w:szCs w:val="24"/>
        </w:rPr>
        <w:t xml:space="preserve"> factor information</w:t>
      </w:r>
    </w:p>
    <w:p w:rsidR="00CE7914" w:rsidRDefault="00CE7914" w:rsidP="00953C5A">
      <w:pPr>
        <w:autoSpaceDE w:val="0"/>
        <w:autoSpaceDN w:val="0"/>
        <w:adjustRightInd w:val="0"/>
        <w:spacing w:before="120" w:after="0" w:line="240" w:lineRule="auto"/>
        <w:jc w:val="both"/>
        <w:rPr>
          <w:rFonts w:asciiTheme="minorHAnsi" w:hAnsiTheme="minorHAnsi" w:cstheme="minorHAnsi"/>
          <w:color w:val="000000"/>
          <w:sz w:val="24"/>
          <w:szCs w:val="24"/>
        </w:rPr>
      </w:pPr>
    </w:p>
    <w:p w:rsidR="004E530D" w:rsidRDefault="00063A39" w:rsidP="00575D9A">
      <w:pPr>
        <w:pStyle w:val="Heading2"/>
        <w:spacing w:before="120" w:line="240" w:lineRule="auto"/>
        <w:rPr>
          <w:rFonts w:asciiTheme="minorHAnsi" w:hAnsiTheme="minorHAnsi" w:cstheme="minorHAnsi"/>
        </w:rPr>
      </w:pPr>
      <w:bookmarkStart w:id="24" w:name="_Toc349489247"/>
      <w:r w:rsidRPr="00F46D82">
        <w:rPr>
          <w:rFonts w:asciiTheme="minorHAnsi" w:hAnsiTheme="minorHAnsi" w:cstheme="minorHAnsi"/>
        </w:rPr>
        <w:lastRenderedPageBreak/>
        <w:t>A.</w:t>
      </w:r>
      <w:r w:rsidR="00020EFF" w:rsidRPr="00F46D82">
        <w:rPr>
          <w:rFonts w:asciiTheme="minorHAnsi" w:hAnsiTheme="minorHAnsi" w:cstheme="minorHAnsi"/>
        </w:rPr>
        <w:t>5. Impact on Small Businesses or Other Small Entities</w:t>
      </w:r>
      <w:bookmarkEnd w:id="22"/>
      <w:bookmarkEnd w:id="24"/>
      <w:r w:rsidR="00020EFF" w:rsidRPr="00F46D82">
        <w:rPr>
          <w:rFonts w:asciiTheme="minorHAnsi" w:hAnsiTheme="minorHAnsi" w:cstheme="minorHAnsi"/>
        </w:rPr>
        <w:t xml:space="preserve"> </w:t>
      </w:r>
      <w:bookmarkStart w:id="25" w:name="_Toc296699090"/>
    </w:p>
    <w:p w:rsidR="00953C5A" w:rsidRDefault="00953C5A" w:rsidP="00575D9A">
      <w:pPr>
        <w:spacing w:before="120" w:after="0" w:line="240" w:lineRule="auto"/>
        <w:rPr>
          <w:sz w:val="24"/>
        </w:rPr>
      </w:pPr>
      <w:r w:rsidRPr="00953C5A">
        <w:rPr>
          <w:sz w:val="24"/>
        </w:rPr>
        <w:t>No small businesses will be involved in this data collection.</w:t>
      </w:r>
    </w:p>
    <w:p w:rsidR="00953C5A" w:rsidRPr="00953C5A" w:rsidRDefault="00953C5A" w:rsidP="00575D9A">
      <w:pPr>
        <w:spacing w:before="120" w:after="0" w:line="240" w:lineRule="auto"/>
        <w:rPr>
          <w:sz w:val="24"/>
        </w:rPr>
      </w:pPr>
    </w:p>
    <w:p w:rsidR="00F279B7" w:rsidRPr="004E530D" w:rsidRDefault="00063A39" w:rsidP="00575D9A">
      <w:pPr>
        <w:pStyle w:val="Heading2"/>
        <w:spacing w:before="120" w:line="240" w:lineRule="auto"/>
        <w:rPr>
          <w:rFonts w:asciiTheme="minorHAnsi" w:eastAsia="Calibri" w:hAnsiTheme="minorHAnsi" w:cstheme="minorHAnsi"/>
          <w:b w:val="0"/>
          <w:bCs w:val="0"/>
          <w:color w:val="000000"/>
          <w:sz w:val="24"/>
          <w:szCs w:val="24"/>
        </w:rPr>
      </w:pPr>
      <w:bookmarkStart w:id="26" w:name="_Toc349489248"/>
      <w:r w:rsidRPr="00F46D82">
        <w:rPr>
          <w:rFonts w:asciiTheme="minorHAnsi" w:hAnsiTheme="minorHAnsi" w:cstheme="minorHAnsi"/>
        </w:rPr>
        <w:t>A.</w:t>
      </w:r>
      <w:r w:rsidR="00020EFF" w:rsidRPr="00F46D82">
        <w:rPr>
          <w:rFonts w:asciiTheme="minorHAnsi" w:hAnsiTheme="minorHAnsi" w:cstheme="minorHAnsi"/>
        </w:rPr>
        <w:t>6. Consequences of Collecting the Information Less Frequently</w:t>
      </w:r>
      <w:bookmarkEnd w:id="25"/>
      <w:bookmarkEnd w:id="26"/>
    </w:p>
    <w:p w:rsidR="00354AC7" w:rsidRPr="00F46D82" w:rsidRDefault="005C4177" w:rsidP="00575D9A">
      <w:pPr>
        <w:autoSpaceDE w:val="0"/>
        <w:autoSpaceDN w:val="0"/>
        <w:adjustRightInd w:val="0"/>
        <w:spacing w:before="120" w:after="0" w:line="240" w:lineRule="auto"/>
        <w:rPr>
          <w:rFonts w:asciiTheme="minorHAnsi" w:hAnsiTheme="minorHAnsi" w:cstheme="minorHAnsi"/>
          <w:bCs/>
          <w:sz w:val="24"/>
          <w:szCs w:val="24"/>
        </w:rPr>
      </w:pPr>
      <w:r w:rsidRPr="00F46D82">
        <w:rPr>
          <w:rFonts w:asciiTheme="minorHAnsi" w:hAnsiTheme="minorHAnsi" w:cstheme="minorHAnsi"/>
          <w:sz w:val="24"/>
          <w:szCs w:val="24"/>
        </w:rPr>
        <w:t xml:space="preserve">The </w:t>
      </w:r>
      <w:r w:rsidR="00CD17ED" w:rsidRPr="00F46D82">
        <w:rPr>
          <w:rFonts w:asciiTheme="minorHAnsi" w:hAnsiTheme="minorHAnsi" w:cstheme="minorHAnsi"/>
          <w:sz w:val="24"/>
          <w:szCs w:val="24"/>
        </w:rPr>
        <w:t>ACHS</w:t>
      </w:r>
      <w:r w:rsidR="007F5DF7" w:rsidRPr="00F46D82">
        <w:rPr>
          <w:rFonts w:asciiTheme="minorHAnsi" w:hAnsiTheme="minorHAnsi" w:cstheme="minorHAnsi"/>
          <w:sz w:val="24"/>
          <w:szCs w:val="24"/>
        </w:rPr>
        <w:t>-</w:t>
      </w:r>
      <w:r w:rsidR="00CD17ED" w:rsidRPr="00F46D82">
        <w:rPr>
          <w:rFonts w:asciiTheme="minorHAnsi" w:hAnsiTheme="minorHAnsi" w:cstheme="minorHAnsi"/>
          <w:sz w:val="24"/>
          <w:szCs w:val="24"/>
        </w:rPr>
        <w:t>II</w:t>
      </w:r>
      <w:r w:rsidRPr="00F46D82">
        <w:rPr>
          <w:rFonts w:asciiTheme="minorHAnsi" w:hAnsiTheme="minorHAnsi" w:cstheme="minorHAnsi"/>
          <w:bCs/>
          <w:sz w:val="24"/>
          <w:szCs w:val="24"/>
        </w:rPr>
        <w:t xml:space="preserve"> is a one-time data collection.</w:t>
      </w:r>
      <w:r w:rsidR="006664B8" w:rsidRPr="00F46D82">
        <w:rPr>
          <w:rFonts w:asciiTheme="minorHAnsi" w:hAnsiTheme="minorHAnsi" w:cstheme="minorHAnsi"/>
          <w:bCs/>
          <w:sz w:val="24"/>
          <w:szCs w:val="24"/>
        </w:rPr>
        <w:t xml:space="preserve"> </w:t>
      </w:r>
      <w:r w:rsidR="00020EFF" w:rsidRPr="00F46D82">
        <w:rPr>
          <w:rFonts w:asciiTheme="minorHAnsi" w:hAnsiTheme="minorHAnsi" w:cstheme="minorHAnsi"/>
          <w:color w:val="000000"/>
          <w:sz w:val="24"/>
          <w:szCs w:val="24"/>
        </w:rPr>
        <w:t>There are no legal obstacles to reduce the burden.</w:t>
      </w:r>
    </w:p>
    <w:p w:rsidR="004E530D" w:rsidRDefault="004E530D" w:rsidP="00575D9A">
      <w:pPr>
        <w:pStyle w:val="Heading2"/>
        <w:spacing w:before="120" w:line="240" w:lineRule="auto"/>
        <w:rPr>
          <w:rFonts w:asciiTheme="minorHAnsi" w:hAnsiTheme="minorHAnsi" w:cstheme="minorHAnsi"/>
        </w:rPr>
      </w:pPr>
      <w:bookmarkStart w:id="27" w:name="_Toc296699091"/>
    </w:p>
    <w:p w:rsidR="003E0E8F" w:rsidRPr="00F46D82" w:rsidRDefault="00063A39" w:rsidP="00575D9A">
      <w:pPr>
        <w:pStyle w:val="Heading2"/>
        <w:spacing w:before="120" w:line="240" w:lineRule="auto"/>
        <w:rPr>
          <w:rFonts w:asciiTheme="minorHAnsi" w:hAnsiTheme="minorHAnsi" w:cstheme="minorHAnsi"/>
        </w:rPr>
      </w:pPr>
      <w:bookmarkStart w:id="28" w:name="_Toc349489249"/>
      <w:r w:rsidRPr="00F46D82">
        <w:rPr>
          <w:rFonts w:asciiTheme="minorHAnsi" w:hAnsiTheme="minorHAnsi" w:cstheme="minorHAnsi"/>
        </w:rPr>
        <w:t>A.</w:t>
      </w:r>
      <w:r w:rsidR="00020EFF" w:rsidRPr="00F46D82">
        <w:rPr>
          <w:rFonts w:asciiTheme="minorHAnsi" w:hAnsiTheme="minorHAnsi" w:cstheme="minorHAnsi"/>
        </w:rPr>
        <w:t>7. Special Circumstances Relating to</w:t>
      </w:r>
      <w:r w:rsidR="00692DAC" w:rsidRPr="00F46D82">
        <w:rPr>
          <w:rFonts w:asciiTheme="minorHAnsi" w:hAnsiTheme="minorHAnsi" w:cstheme="minorHAnsi"/>
        </w:rPr>
        <w:t xml:space="preserve"> the Guidelines of 5 CFR 1320.5</w:t>
      </w:r>
      <w:bookmarkEnd w:id="27"/>
      <w:bookmarkEnd w:id="28"/>
    </w:p>
    <w:p w:rsidR="00020EFF" w:rsidRPr="00F46D82" w:rsidRDefault="00020EFF" w:rsidP="00575D9A">
      <w:pPr>
        <w:autoSpaceDE w:val="0"/>
        <w:autoSpaceDN w:val="0"/>
        <w:adjustRightInd w:val="0"/>
        <w:spacing w:before="120" w:after="0" w:line="240" w:lineRule="auto"/>
        <w:rPr>
          <w:rFonts w:asciiTheme="minorHAnsi" w:hAnsiTheme="minorHAnsi" w:cstheme="minorHAnsi"/>
          <w:color w:val="000000"/>
          <w:sz w:val="24"/>
          <w:szCs w:val="24"/>
        </w:rPr>
      </w:pPr>
      <w:r w:rsidRPr="00F46D82">
        <w:rPr>
          <w:rFonts w:asciiTheme="minorHAnsi" w:hAnsiTheme="minorHAnsi" w:cstheme="minorHAnsi"/>
          <w:color w:val="000000"/>
          <w:sz w:val="24"/>
          <w:szCs w:val="24"/>
        </w:rPr>
        <w:t>This request fully complies wit</w:t>
      </w:r>
      <w:r w:rsidR="00F50299" w:rsidRPr="00F46D82">
        <w:rPr>
          <w:rFonts w:asciiTheme="minorHAnsi" w:hAnsiTheme="minorHAnsi" w:cstheme="minorHAnsi"/>
          <w:color w:val="000000"/>
          <w:sz w:val="24"/>
          <w:szCs w:val="24"/>
        </w:rPr>
        <w:t>h the regulation 5 CFR 1320.5.</w:t>
      </w:r>
    </w:p>
    <w:p w:rsidR="004E530D" w:rsidRDefault="004E530D" w:rsidP="00953C5A">
      <w:pPr>
        <w:pStyle w:val="Heading2"/>
        <w:spacing w:before="120" w:line="240" w:lineRule="auto"/>
        <w:rPr>
          <w:rFonts w:asciiTheme="minorHAnsi" w:hAnsiTheme="minorHAnsi" w:cstheme="minorHAnsi"/>
        </w:rPr>
      </w:pPr>
      <w:bookmarkStart w:id="29" w:name="_Toc296699092"/>
    </w:p>
    <w:p w:rsidR="00692DAC" w:rsidRPr="004E530D" w:rsidRDefault="00063A39" w:rsidP="00953C5A">
      <w:pPr>
        <w:pStyle w:val="Heading2"/>
        <w:spacing w:before="120" w:line="240" w:lineRule="auto"/>
        <w:rPr>
          <w:rFonts w:asciiTheme="minorHAnsi" w:hAnsiTheme="minorHAnsi" w:cstheme="minorHAnsi"/>
        </w:rPr>
      </w:pPr>
      <w:bookmarkStart w:id="30" w:name="_Toc349489250"/>
      <w:r w:rsidRPr="00F46D82">
        <w:rPr>
          <w:rFonts w:asciiTheme="minorHAnsi" w:hAnsiTheme="minorHAnsi" w:cstheme="minorHAnsi"/>
        </w:rPr>
        <w:t>A.</w:t>
      </w:r>
      <w:r w:rsidR="00020EFF" w:rsidRPr="00F46D82">
        <w:rPr>
          <w:rFonts w:asciiTheme="minorHAnsi" w:hAnsiTheme="minorHAnsi" w:cstheme="minorHAnsi"/>
        </w:rPr>
        <w:t>8. Comments in Response to the Federal Register Notice and Efforts to Consult Outside the Agency</w:t>
      </w:r>
      <w:bookmarkEnd w:id="29"/>
      <w:bookmarkEnd w:id="30"/>
    </w:p>
    <w:p w:rsidR="00923068" w:rsidRPr="00AA1695" w:rsidRDefault="009F41EF" w:rsidP="004E530D">
      <w:pPr>
        <w:spacing w:before="120" w:line="240" w:lineRule="auto"/>
        <w:jc w:val="both"/>
        <w:rPr>
          <w:rFonts w:asciiTheme="minorHAnsi" w:hAnsiTheme="minorHAnsi" w:cstheme="minorHAnsi"/>
          <w:sz w:val="24"/>
          <w:szCs w:val="24"/>
        </w:rPr>
      </w:pPr>
      <w:r w:rsidRPr="00F46D82">
        <w:rPr>
          <w:rFonts w:asciiTheme="minorHAnsi" w:hAnsiTheme="minorHAnsi" w:cstheme="minorHAnsi"/>
          <w:color w:val="000000"/>
          <w:sz w:val="24"/>
          <w:szCs w:val="24"/>
        </w:rPr>
        <w:t>A</w:t>
      </w:r>
      <w:r w:rsidR="004C3AE6" w:rsidRPr="00F46D82">
        <w:rPr>
          <w:rFonts w:asciiTheme="minorHAnsi" w:hAnsiTheme="minorHAnsi" w:cstheme="minorHAnsi"/>
          <w:color w:val="000000"/>
          <w:sz w:val="24"/>
          <w:szCs w:val="24"/>
        </w:rPr>
        <w:t xml:space="preserve">. </w:t>
      </w:r>
      <w:r w:rsidRPr="00F46D82">
        <w:rPr>
          <w:rFonts w:asciiTheme="minorHAnsi" w:hAnsiTheme="minorHAnsi" w:cstheme="minorHAnsi"/>
          <w:color w:val="000000"/>
          <w:sz w:val="24"/>
          <w:szCs w:val="24"/>
        </w:rPr>
        <w:t>60-day Federal Regis</w:t>
      </w:r>
      <w:r w:rsidR="008965B7" w:rsidRPr="00F46D82">
        <w:rPr>
          <w:rFonts w:asciiTheme="minorHAnsi" w:hAnsiTheme="minorHAnsi" w:cstheme="minorHAnsi"/>
          <w:color w:val="000000"/>
          <w:sz w:val="24"/>
          <w:szCs w:val="24"/>
        </w:rPr>
        <w:t>ter Notice was published</w:t>
      </w:r>
      <w:r w:rsidRPr="00F46D82">
        <w:rPr>
          <w:rFonts w:asciiTheme="minorHAnsi" w:hAnsiTheme="minorHAnsi" w:cstheme="minorHAnsi"/>
          <w:iCs/>
          <w:color w:val="000000"/>
          <w:sz w:val="24"/>
          <w:szCs w:val="24"/>
        </w:rPr>
        <w:t xml:space="preserve"> </w:t>
      </w:r>
      <w:r w:rsidRPr="00F46D82">
        <w:rPr>
          <w:rFonts w:asciiTheme="minorHAnsi" w:hAnsiTheme="minorHAnsi" w:cstheme="minorHAnsi"/>
          <w:color w:val="000000"/>
          <w:sz w:val="24"/>
          <w:szCs w:val="24"/>
        </w:rPr>
        <w:t>on</w:t>
      </w:r>
      <w:r w:rsidR="006B213D">
        <w:rPr>
          <w:rFonts w:asciiTheme="minorHAnsi" w:hAnsiTheme="minorHAnsi" w:cstheme="minorHAnsi"/>
          <w:color w:val="000000"/>
          <w:sz w:val="24"/>
          <w:szCs w:val="24"/>
        </w:rPr>
        <w:t xml:space="preserve"> September 20, 2012, Vol. 77, No. 18</w:t>
      </w:r>
      <w:r w:rsidR="0013514C">
        <w:rPr>
          <w:rFonts w:asciiTheme="minorHAnsi" w:hAnsiTheme="minorHAnsi" w:cstheme="minorHAnsi"/>
          <w:color w:val="000000"/>
          <w:sz w:val="24"/>
          <w:szCs w:val="24"/>
        </w:rPr>
        <w:t>3</w:t>
      </w:r>
      <w:r w:rsidR="006B213D">
        <w:rPr>
          <w:rFonts w:asciiTheme="minorHAnsi" w:hAnsiTheme="minorHAnsi" w:cstheme="minorHAnsi"/>
          <w:color w:val="000000"/>
          <w:sz w:val="24"/>
          <w:szCs w:val="24"/>
        </w:rPr>
        <w:t>, pp. 58394-5</w:t>
      </w:r>
      <w:r w:rsidR="00D645EE">
        <w:rPr>
          <w:rFonts w:asciiTheme="minorHAnsi" w:hAnsiTheme="minorHAnsi" w:cstheme="minorHAnsi"/>
          <w:color w:val="000000"/>
          <w:sz w:val="24"/>
          <w:szCs w:val="24"/>
        </w:rPr>
        <w:t xml:space="preserve"> </w:t>
      </w:r>
      <w:r w:rsidR="006B213D">
        <w:rPr>
          <w:rFonts w:asciiTheme="minorHAnsi" w:hAnsiTheme="minorHAnsi" w:cstheme="minorHAnsi"/>
          <w:color w:val="000000"/>
          <w:sz w:val="24"/>
          <w:szCs w:val="24"/>
        </w:rPr>
        <w:t xml:space="preserve">(Attachment 2). </w:t>
      </w:r>
      <w:r w:rsidR="00C346A9" w:rsidRPr="006B213D">
        <w:rPr>
          <w:rFonts w:asciiTheme="minorHAnsi" w:hAnsiTheme="minorHAnsi" w:cstheme="minorHAnsi"/>
          <w:color w:val="000000"/>
          <w:sz w:val="24"/>
          <w:szCs w:val="24"/>
        </w:rPr>
        <w:t xml:space="preserve">No </w:t>
      </w:r>
      <w:r w:rsidRPr="006B213D">
        <w:rPr>
          <w:rFonts w:asciiTheme="minorHAnsi" w:hAnsiTheme="minorHAnsi" w:cstheme="minorHAnsi"/>
          <w:color w:val="000000"/>
          <w:sz w:val="24"/>
          <w:szCs w:val="24"/>
        </w:rPr>
        <w:t>c</w:t>
      </w:r>
      <w:r w:rsidR="002E799F" w:rsidRPr="006B213D">
        <w:rPr>
          <w:rFonts w:asciiTheme="minorHAnsi" w:hAnsiTheme="minorHAnsi" w:cstheme="minorHAnsi"/>
          <w:color w:val="000000"/>
          <w:sz w:val="24"/>
          <w:szCs w:val="24"/>
        </w:rPr>
        <w:t>omments</w:t>
      </w:r>
      <w:r w:rsidR="00C346A9" w:rsidRPr="006B213D">
        <w:rPr>
          <w:rFonts w:asciiTheme="minorHAnsi" w:hAnsiTheme="minorHAnsi" w:cstheme="minorHAnsi"/>
          <w:color w:val="000000"/>
          <w:sz w:val="24"/>
          <w:szCs w:val="24"/>
        </w:rPr>
        <w:t xml:space="preserve"> or inquiries</w:t>
      </w:r>
      <w:r w:rsidRPr="006B213D">
        <w:rPr>
          <w:rFonts w:asciiTheme="minorHAnsi" w:hAnsiTheme="minorHAnsi" w:cstheme="minorHAnsi"/>
          <w:color w:val="000000"/>
          <w:sz w:val="24"/>
          <w:szCs w:val="24"/>
        </w:rPr>
        <w:t xml:space="preserve"> </w:t>
      </w:r>
      <w:proofErr w:type="gramStart"/>
      <w:r w:rsidRPr="006B213D">
        <w:rPr>
          <w:rFonts w:asciiTheme="minorHAnsi" w:hAnsiTheme="minorHAnsi" w:cstheme="minorHAnsi"/>
          <w:color w:val="000000"/>
          <w:sz w:val="24"/>
          <w:szCs w:val="24"/>
        </w:rPr>
        <w:t>were received</w:t>
      </w:r>
      <w:proofErr w:type="gramEnd"/>
      <w:r w:rsidR="00C346A9" w:rsidRPr="006B213D">
        <w:rPr>
          <w:rFonts w:asciiTheme="minorHAnsi" w:hAnsiTheme="minorHAnsi" w:cstheme="minorHAnsi"/>
          <w:color w:val="000000"/>
          <w:sz w:val="24"/>
          <w:szCs w:val="24"/>
        </w:rPr>
        <w:t xml:space="preserve"> during the public comment period</w:t>
      </w:r>
      <w:r w:rsidR="006B213D">
        <w:rPr>
          <w:rFonts w:asciiTheme="minorHAnsi" w:hAnsiTheme="minorHAnsi" w:cstheme="minorHAnsi"/>
          <w:color w:val="000000"/>
          <w:sz w:val="24"/>
          <w:szCs w:val="24"/>
        </w:rPr>
        <w:t xml:space="preserve">. </w:t>
      </w:r>
    </w:p>
    <w:p w:rsidR="00350634" w:rsidRPr="00955810" w:rsidRDefault="00020EFF" w:rsidP="006B213D">
      <w:pPr>
        <w:spacing w:after="0" w:line="240" w:lineRule="auto"/>
        <w:jc w:val="both"/>
        <w:rPr>
          <w:rFonts w:asciiTheme="minorHAnsi" w:hAnsiTheme="minorHAnsi" w:cstheme="minorHAnsi"/>
          <w:color w:val="000000"/>
          <w:sz w:val="24"/>
          <w:szCs w:val="24"/>
        </w:rPr>
      </w:pPr>
      <w:r w:rsidRPr="00F46D82">
        <w:rPr>
          <w:rFonts w:asciiTheme="minorHAnsi" w:hAnsiTheme="minorHAnsi" w:cstheme="minorHAnsi"/>
          <w:color w:val="000000"/>
          <w:sz w:val="24"/>
          <w:szCs w:val="24"/>
        </w:rPr>
        <w:t xml:space="preserve">B. </w:t>
      </w:r>
      <w:r w:rsidR="004D7665">
        <w:rPr>
          <w:rFonts w:asciiTheme="minorHAnsi" w:hAnsiTheme="minorHAnsi" w:cstheme="minorHAnsi"/>
          <w:sz w:val="24"/>
          <w:szCs w:val="24"/>
        </w:rPr>
        <w:t>In addition to the consultations discussed in Section A.4, t</w:t>
      </w:r>
      <w:r w:rsidR="00350634" w:rsidRPr="00350634">
        <w:rPr>
          <w:rFonts w:asciiTheme="minorHAnsi" w:hAnsiTheme="minorHAnsi" w:cstheme="minorHAnsi"/>
          <w:sz w:val="24"/>
          <w:szCs w:val="24"/>
        </w:rPr>
        <w:t>he ATSDR consulted with subject matter experts from appropriate state agencies and programs in Alabama on various topics related to the developme</w:t>
      </w:r>
      <w:r w:rsidR="00AA1695">
        <w:rPr>
          <w:rFonts w:asciiTheme="minorHAnsi" w:hAnsiTheme="minorHAnsi" w:cstheme="minorHAnsi"/>
          <w:sz w:val="24"/>
          <w:szCs w:val="24"/>
        </w:rPr>
        <w:t>nt of the ACHS-II questionnaire</w:t>
      </w:r>
      <w:r w:rsidR="00352D21">
        <w:rPr>
          <w:rFonts w:asciiTheme="minorHAnsi" w:hAnsiTheme="minorHAnsi" w:cstheme="minorHAnsi"/>
          <w:sz w:val="24"/>
          <w:szCs w:val="24"/>
        </w:rPr>
        <w:t xml:space="preserve"> and for heavy metals reporting requirements.</w:t>
      </w:r>
      <w:r w:rsidR="00BD1C58">
        <w:rPr>
          <w:rFonts w:asciiTheme="minorHAnsi" w:hAnsiTheme="minorHAnsi" w:cstheme="minorHAnsi"/>
          <w:sz w:val="24"/>
          <w:szCs w:val="24"/>
        </w:rPr>
        <w:t xml:space="preserve"> These consultations were crucial, as detailed information on dietary exposures to environmental chemicals </w:t>
      </w:r>
      <w:proofErr w:type="gramStart"/>
      <w:r w:rsidR="00BD1C58">
        <w:rPr>
          <w:rFonts w:asciiTheme="minorHAnsi" w:hAnsiTheme="minorHAnsi" w:cstheme="minorHAnsi"/>
          <w:sz w:val="24"/>
          <w:szCs w:val="24"/>
        </w:rPr>
        <w:t>was not collected</w:t>
      </w:r>
      <w:proofErr w:type="gramEnd"/>
      <w:r w:rsidR="00BD1C58">
        <w:rPr>
          <w:rFonts w:asciiTheme="minorHAnsi" w:hAnsiTheme="minorHAnsi" w:cstheme="minorHAnsi"/>
          <w:sz w:val="24"/>
          <w:szCs w:val="24"/>
        </w:rPr>
        <w:t xml:space="preserve"> in the first Anniston survey.</w:t>
      </w:r>
    </w:p>
    <w:p w:rsidR="005C75A7" w:rsidRDefault="005C75A7" w:rsidP="00F2020A">
      <w:pPr>
        <w:autoSpaceDE w:val="0"/>
        <w:autoSpaceDN w:val="0"/>
        <w:adjustRightInd w:val="0"/>
        <w:spacing w:after="0" w:line="240" w:lineRule="auto"/>
        <w:rPr>
          <w:rFonts w:asciiTheme="minorHAnsi" w:hAnsiTheme="minorHAnsi" w:cstheme="minorHAnsi"/>
          <w:color w:val="000000"/>
          <w:sz w:val="24"/>
          <w:szCs w:val="24"/>
        </w:rPr>
      </w:pPr>
    </w:p>
    <w:p w:rsidR="00F2020A" w:rsidRDefault="00220F79" w:rsidP="00F2020A">
      <w:pPr>
        <w:autoSpaceDE w:val="0"/>
        <w:autoSpaceDN w:val="0"/>
        <w:adjustRightInd w:val="0"/>
        <w:spacing w:after="0" w:line="240" w:lineRule="auto"/>
        <w:rPr>
          <w:rFonts w:asciiTheme="minorHAnsi" w:hAnsiTheme="minorHAnsi" w:cstheme="minorHAnsi"/>
          <w:color w:val="000000"/>
          <w:sz w:val="24"/>
          <w:szCs w:val="24"/>
        </w:rPr>
      </w:pPr>
      <w:proofErr w:type="gramStart"/>
      <w:r w:rsidRPr="000C4397">
        <w:rPr>
          <w:rFonts w:asciiTheme="minorHAnsi" w:hAnsiTheme="minorHAnsi" w:cstheme="minorHAnsi"/>
          <w:b/>
          <w:color w:val="000000"/>
          <w:sz w:val="24"/>
          <w:szCs w:val="24"/>
        </w:rPr>
        <w:t>Table 5</w:t>
      </w:r>
      <w:r w:rsidR="00F2020A" w:rsidRPr="000C4397">
        <w:rPr>
          <w:rFonts w:asciiTheme="minorHAnsi" w:hAnsiTheme="minorHAnsi" w:cstheme="minorHAnsi"/>
          <w:b/>
          <w:color w:val="000000"/>
          <w:sz w:val="24"/>
          <w:szCs w:val="24"/>
        </w:rPr>
        <w:t>.</w:t>
      </w:r>
      <w:proofErr w:type="gramEnd"/>
      <w:r w:rsidR="00F2020A" w:rsidRPr="000C4397">
        <w:rPr>
          <w:rFonts w:asciiTheme="minorHAnsi" w:hAnsiTheme="minorHAnsi" w:cstheme="minorHAnsi"/>
          <w:color w:val="000000"/>
          <w:sz w:val="24"/>
          <w:szCs w:val="24"/>
        </w:rPr>
        <w:t xml:space="preserve"> </w:t>
      </w:r>
      <w:r w:rsidRPr="000C4397">
        <w:rPr>
          <w:rFonts w:asciiTheme="minorHAnsi" w:hAnsiTheme="minorHAnsi" w:cstheme="minorHAnsi"/>
          <w:color w:val="000000"/>
          <w:sz w:val="24"/>
          <w:szCs w:val="24"/>
        </w:rPr>
        <w:t>Consultations with Alabama State Agencies</w:t>
      </w:r>
    </w:p>
    <w:p w:rsidR="000C4397" w:rsidRPr="000C4397" w:rsidRDefault="000C4397" w:rsidP="00F2020A">
      <w:pPr>
        <w:autoSpaceDE w:val="0"/>
        <w:autoSpaceDN w:val="0"/>
        <w:adjustRightInd w:val="0"/>
        <w:spacing w:after="0" w:line="240" w:lineRule="auto"/>
        <w:rPr>
          <w:rFonts w:asciiTheme="minorHAnsi" w:hAnsiTheme="minorHAnsi" w:cstheme="minorHAnsi"/>
          <w:color w:val="000000"/>
          <w:sz w:val="24"/>
          <w:szCs w:val="24"/>
        </w:rPr>
      </w:pPr>
    </w:p>
    <w:tbl>
      <w:tblPr>
        <w:tblW w:w="0" w:type="auto"/>
        <w:tblBorders>
          <w:top w:val="single" w:sz="8" w:space="0" w:color="auto"/>
          <w:bottom w:val="single" w:sz="8" w:space="0" w:color="auto"/>
          <w:insideH w:val="single" w:sz="8" w:space="0" w:color="auto"/>
        </w:tblBorders>
        <w:tblLook w:val="04A0" w:firstRow="1" w:lastRow="0" w:firstColumn="1" w:lastColumn="0" w:noHBand="0" w:noVBand="1"/>
      </w:tblPr>
      <w:tblGrid>
        <w:gridCol w:w="2178"/>
        <w:gridCol w:w="2790"/>
        <w:gridCol w:w="1609"/>
        <w:gridCol w:w="2999"/>
      </w:tblGrid>
      <w:tr w:rsidR="00F2020A" w:rsidRPr="00F46D82" w:rsidTr="00F80C8A">
        <w:tc>
          <w:tcPr>
            <w:tcW w:w="2178" w:type="dxa"/>
            <w:tcBorders>
              <w:bottom w:val="single" w:sz="8" w:space="0" w:color="auto"/>
            </w:tcBorders>
          </w:tcPr>
          <w:p w:rsidR="00F2020A" w:rsidRPr="00F46D82" w:rsidRDefault="00F2020A" w:rsidP="00220F79">
            <w:pPr>
              <w:autoSpaceDE w:val="0"/>
              <w:autoSpaceDN w:val="0"/>
              <w:adjustRightInd w:val="0"/>
              <w:spacing w:after="0" w:line="240" w:lineRule="auto"/>
              <w:rPr>
                <w:rFonts w:asciiTheme="minorHAnsi" w:hAnsiTheme="minorHAnsi" w:cstheme="minorHAnsi"/>
                <w:color w:val="000000"/>
              </w:rPr>
            </w:pPr>
            <w:r w:rsidRPr="00F46D82">
              <w:rPr>
                <w:rFonts w:asciiTheme="minorHAnsi" w:hAnsiTheme="minorHAnsi" w:cstheme="minorHAnsi"/>
                <w:color w:val="000000"/>
              </w:rPr>
              <w:t>Name</w:t>
            </w:r>
          </w:p>
        </w:tc>
        <w:tc>
          <w:tcPr>
            <w:tcW w:w="2790" w:type="dxa"/>
            <w:tcBorders>
              <w:bottom w:val="single" w:sz="8" w:space="0" w:color="auto"/>
            </w:tcBorders>
          </w:tcPr>
          <w:p w:rsidR="00F2020A" w:rsidRPr="00F46D82" w:rsidRDefault="00F2020A" w:rsidP="00220F79">
            <w:pPr>
              <w:autoSpaceDE w:val="0"/>
              <w:autoSpaceDN w:val="0"/>
              <w:adjustRightInd w:val="0"/>
              <w:spacing w:after="0" w:line="240" w:lineRule="auto"/>
              <w:rPr>
                <w:rFonts w:asciiTheme="minorHAnsi" w:hAnsiTheme="minorHAnsi" w:cstheme="minorHAnsi"/>
                <w:color w:val="000000"/>
              </w:rPr>
            </w:pPr>
            <w:r w:rsidRPr="00F46D82">
              <w:rPr>
                <w:rFonts w:asciiTheme="minorHAnsi" w:hAnsiTheme="minorHAnsi" w:cstheme="minorHAnsi"/>
                <w:color w:val="000000"/>
              </w:rPr>
              <w:t>Title</w:t>
            </w:r>
          </w:p>
        </w:tc>
        <w:tc>
          <w:tcPr>
            <w:tcW w:w="1609" w:type="dxa"/>
            <w:tcBorders>
              <w:bottom w:val="single" w:sz="8" w:space="0" w:color="auto"/>
            </w:tcBorders>
          </w:tcPr>
          <w:p w:rsidR="00F2020A" w:rsidRPr="00F46D82" w:rsidRDefault="00F2020A" w:rsidP="00220F79">
            <w:pPr>
              <w:autoSpaceDE w:val="0"/>
              <w:autoSpaceDN w:val="0"/>
              <w:adjustRightInd w:val="0"/>
              <w:spacing w:after="0" w:line="240" w:lineRule="auto"/>
              <w:rPr>
                <w:rFonts w:asciiTheme="minorHAnsi" w:hAnsiTheme="minorHAnsi" w:cstheme="minorHAnsi"/>
                <w:color w:val="000000"/>
              </w:rPr>
            </w:pPr>
            <w:r w:rsidRPr="00F46D82">
              <w:rPr>
                <w:rFonts w:asciiTheme="minorHAnsi" w:hAnsiTheme="minorHAnsi" w:cstheme="minorHAnsi"/>
                <w:color w:val="000000"/>
              </w:rPr>
              <w:t>Phone</w:t>
            </w:r>
          </w:p>
        </w:tc>
        <w:tc>
          <w:tcPr>
            <w:tcW w:w="2999" w:type="dxa"/>
            <w:tcBorders>
              <w:bottom w:val="single" w:sz="8" w:space="0" w:color="auto"/>
            </w:tcBorders>
          </w:tcPr>
          <w:p w:rsidR="00F2020A" w:rsidRPr="00F46D82" w:rsidRDefault="00F2020A" w:rsidP="00220F79">
            <w:pPr>
              <w:autoSpaceDE w:val="0"/>
              <w:autoSpaceDN w:val="0"/>
              <w:adjustRightInd w:val="0"/>
              <w:spacing w:after="0" w:line="240" w:lineRule="auto"/>
              <w:rPr>
                <w:rFonts w:asciiTheme="minorHAnsi" w:hAnsiTheme="minorHAnsi" w:cstheme="minorHAnsi"/>
                <w:color w:val="000000"/>
              </w:rPr>
            </w:pPr>
            <w:r w:rsidRPr="00F46D82">
              <w:rPr>
                <w:rFonts w:asciiTheme="minorHAnsi" w:hAnsiTheme="minorHAnsi" w:cstheme="minorHAnsi"/>
                <w:color w:val="000000"/>
              </w:rPr>
              <w:t>Email</w:t>
            </w:r>
          </w:p>
        </w:tc>
      </w:tr>
      <w:tr w:rsidR="00220F79" w:rsidRPr="00F46D82" w:rsidTr="00F80C8A">
        <w:tc>
          <w:tcPr>
            <w:tcW w:w="9576" w:type="dxa"/>
            <w:gridSpan w:val="4"/>
            <w:shd w:val="clear" w:color="auto" w:fill="D9D9D9" w:themeFill="background1" w:themeFillShade="D9"/>
            <w:vAlign w:val="center"/>
          </w:tcPr>
          <w:p w:rsidR="00220F79" w:rsidRPr="000C092E" w:rsidRDefault="00F80C8A" w:rsidP="00220F79">
            <w:pPr>
              <w:autoSpaceDE w:val="0"/>
              <w:autoSpaceDN w:val="0"/>
              <w:adjustRightInd w:val="0"/>
              <w:spacing w:after="0" w:line="240" w:lineRule="auto"/>
              <w:rPr>
                <w:rFonts w:asciiTheme="minorHAnsi" w:hAnsiTheme="minorHAnsi" w:cstheme="minorHAnsi"/>
                <w:i/>
                <w:color w:val="000000"/>
                <w:sz w:val="20"/>
                <w:szCs w:val="20"/>
                <w:lang w:val="en"/>
              </w:rPr>
            </w:pPr>
            <w:r w:rsidRPr="000C092E">
              <w:rPr>
                <w:rFonts w:asciiTheme="minorHAnsi" w:hAnsiTheme="minorHAnsi" w:cstheme="minorHAnsi"/>
                <w:i/>
                <w:color w:val="000000"/>
                <w:sz w:val="20"/>
                <w:szCs w:val="20"/>
                <w:lang w:val="en"/>
              </w:rPr>
              <w:t>ALABAMA DEPARTMENT OF PUBLIC</w:t>
            </w:r>
            <w:r>
              <w:rPr>
                <w:rFonts w:asciiTheme="minorHAnsi" w:hAnsiTheme="minorHAnsi" w:cstheme="minorHAnsi"/>
                <w:i/>
                <w:color w:val="000000"/>
                <w:sz w:val="20"/>
                <w:szCs w:val="20"/>
                <w:lang w:val="en"/>
              </w:rPr>
              <w:t xml:space="preserve"> HEALTH (ADPH)</w:t>
            </w:r>
          </w:p>
        </w:tc>
      </w:tr>
      <w:tr w:rsidR="00F2020A" w:rsidRPr="00F46D82" w:rsidTr="00220F79">
        <w:tc>
          <w:tcPr>
            <w:tcW w:w="2178" w:type="dxa"/>
            <w:vAlign w:val="center"/>
          </w:tcPr>
          <w:p w:rsidR="00F2020A" w:rsidRPr="000C092E" w:rsidRDefault="00220F79" w:rsidP="00220F79">
            <w:pPr>
              <w:autoSpaceDE w:val="0"/>
              <w:autoSpaceDN w:val="0"/>
              <w:adjustRightInd w:val="0"/>
              <w:spacing w:after="0" w:line="240" w:lineRule="auto"/>
              <w:rPr>
                <w:rFonts w:asciiTheme="minorHAnsi" w:hAnsiTheme="minorHAnsi" w:cstheme="minorHAnsi"/>
                <w:color w:val="000000"/>
                <w:sz w:val="20"/>
                <w:szCs w:val="20"/>
              </w:rPr>
            </w:pPr>
            <w:proofErr w:type="spellStart"/>
            <w:r w:rsidRPr="000C092E">
              <w:rPr>
                <w:rFonts w:asciiTheme="minorHAnsi" w:hAnsiTheme="minorHAnsi" w:cstheme="minorHAnsi"/>
                <w:color w:val="000000"/>
                <w:sz w:val="20"/>
                <w:szCs w:val="20"/>
              </w:rPr>
              <w:t>Karon</w:t>
            </w:r>
            <w:proofErr w:type="spellEnd"/>
            <w:r w:rsidRPr="000C092E">
              <w:rPr>
                <w:rFonts w:asciiTheme="minorHAnsi" w:hAnsiTheme="minorHAnsi" w:cstheme="minorHAnsi"/>
                <w:color w:val="000000"/>
                <w:sz w:val="20"/>
                <w:szCs w:val="20"/>
              </w:rPr>
              <w:t xml:space="preserve"> C. Lewis, MS, MPH</w:t>
            </w:r>
          </w:p>
        </w:tc>
        <w:tc>
          <w:tcPr>
            <w:tcW w:w="2790" w:type="dxa"/>
            <w:vAlign w:val="center"/>
          </w:tcPr>
          <w:p w:rsidR="00F2020A" w:rsidRPr="000C092E" w:rsidRDefault="00220F79" w:rsidP="00220F79">
            <w:pPr>
              <w:autoSpaceDE w:val="0"/>
              <w:autoSpaceDN w:val="0"/>
              <w:adjustRightInd w:val="0"/>
              <w:spacing w:after="0" w:line="240" w:lineRule="auto"/>
              <w:rPr>
                <w:rFonts w:asciiTheme="minorHAnsi" w:hAnsiTheme="minorHAnsi" w:cstheme="minorHAnsi"/>
                <w:color w:val="000000"/>
                <w:sz w:val="20"/>
                <w:szCs w:val="20"/>
              </w:rPr>
            </w:pPr>
            <w:r w:rsidRPr="000C092E">
              <w:rPr>
                <w:rFonts w:asciiTheme="minorHAnsi" w:hAnsiTheme="minorHAnsi" w:cstheme="minorHAnsi"/>
                <w:color w:val="000000"/>
                <w:sz w:val="20"/>
                <w:szCs w:val="20"/>
              </w:rPr>
              <w:t>Adult Blood Lead Epidemiology and Surveillance (ABLES</w:t>
            </w:r>
            <w:r w:rsidR="0013514C">
              <w:rPr>
                <w:rFonts w:asciiTheme="minorHAnsi" w:hAnsiTheme="minorHAnsi" w:cstheme="minorHAnsi"/>
                <w:color w:val="000000"/>
                <w:sz w:val="20"/>
                <w:szCs w:val="20"/>
              </w:rPr>
              <w:t>-</w:t>
            </w:r>
            <w:r w:rsidR="00364218">
              <w:rPr>
                <w:rFonts w:asciiTheme="minorHAnsi" w:hAnsiTheme="minorHAnsi" w:cstheme="minorHAnsi"/>
                <w:color w:val="000000"/>
                <w:sz w:val="20"/>
                <w:szCs w:val="20"/>
              </w:rPr>
              <w:t xml:space="preserve">CDC </w:t>
            </w:r>
            <w:r w:rsidR="0013514C">
              <w:rPr>
                <w:rFonts w:asciiTheme="minorHAnsi" w:hAnsiTheme="minorHAnsi" w:cstheme="minorHAnsi"/>
                <w:color w:val="000000"/>
                <w:sz w:val="20"/>
                <w:szCs w:val="20"/>
              </w:rPr>
              <w:t>NIOSH</w:t>
            </w:r>
            <w:r w:rsidRPr="000C092E">
              <w:rPr>
                <w:rFonts w:asciiTheme="minorHAnsi" w:hAnsiTheme="minorHAnsi" w:cstheme="minorHAnsi"/>
                <w:color w:val="000000"/>
                <w:sz w:val="20"/>
                <w:szCs w:val="20"/>
              </w:rPr>
              <w:t>)</w:t>
            </w:r>
            <w:r w:rsidR="00E34506">
              <w:rPr>
                <w:rFonts w:asciiTheme="minorHAnsi" w:hAnsiTheme="minorHAnsi" w:cstheme="minorHAnsi"/>
                <w:color w:val="000000"/>
                <w:sz w:val="20"/>
                <w:szCs w:val="20"/>
              </w:rPr>
              <w:t xml:space="preserve"> </w:t>
            </w:r>
          </w:p>
        </w:tc>
        <w:tc>
          <w:tcPr>
            <w:tcW w:w="1609" w:type="dxa"/>
            <w:vAlign w:val="center"/>
          </w:tcPr>
          <w:p w:rsidR="00F2020A" w:rsidRPr="000C092E" w:rsidRDefault="00220F79" w:rsidP="00220F79">
            <w:pPr>
              <w:autoSpaceDE w:val="0"/>
              <w:autoSpaceDN w:val="0"/>
              <w:adjustRightInd w:val="0"/>
              <w:spacing w:after="0" w:line="240" w:lineRule="auto"/>
              <w:rPr>
                <w:rStyle w:val="Emphasis"/>
                <w:rFonts w:asciiTheme="minorHAnsi" w:hAnsiTheme="minorHAnsi" w:cstheme="minorHAnsi"/>
                <w:i w:val="0"/>
                <w:color w:val="000000"/>
                <w:sz w:val="20"/>
                <w:szCs w:val="20"/>
              </w:rPr>
            </w:pPr>
            <w:r w:rsidRPr="000C092E">
              <w:rPr>
                <w:rStyle w:val="Emphasis"/>
                <w:rFonts w:asciiTheme="minorHAnsi" w:hAnsiTheme="minorHAnsi" w:cstheme="minorHAnsi"/>
                <w:i w:val="0"/>
                <w:color w:val="000000"/>
                <w:sz w:val="20"/>
                <w:szCs w:val="20"/>
              </w:rPr>
              <w:t>(334) 206-2026</w:t>
            </w:r>
          </w:p>
        </w:tc>
        <w:tc>
          <w:tcPr>
            <w:tcW w:w="2999" w:type="dxa"/>
            <w:vAlign w:val="center"/>
          </w:tcPr>
          <w:p w:rsidR="00F2020A" w:rsidRPr="000C092E" w:rsidRDefault="000425C4" w:rsidP="00220F79">
            <w:pPr>
              <w:autoSpaceDE w:val="0"/>
              <w:autoSpaceDN w:val="0"/>
              <w:adjustRightInd w:val="0"/>
              <w:spacing w:after="0" w:line="240" w:lineRule="auto"/>
              <w:rPr>
                <w:rStyle w:val="Emphasis"/>
                <w:rFonts w:asciiTheme="minorHAnsi" w:hAnsiTheme="minorHAnsi" w:cstheme="minorHAnsi"/>
                <w:i w:val="0"/>
                <w:iCs w:val="0"/>
                <w:color w:val="000000"/>
                <w:sz w:val="20"/>
                <w:szCs w:val="20"/>
                <w:u w:val="single"/>
                <w:lang w:val="en"/>
              </w:rPr>
            </w:pPr>
            <w:hyperlink r:id="rId22" w:history="1">
              <w:r w:rsidR="006A47AD" w:rsidRPr="004034A7">
                <w:rPr>
                  <w:rStyle w:val="Hyperlink"/>
                  <w:rFonts w:asciiTheme="minorHAnsi" w:hAnsiTheme="minorHAnsi" w:cstheme="minorHAnsi"/>
                  <w:sz w:val="20"/>
                  <w:szCs w:val="20"/>
                  <w:lang w:val="en"/>
                </w:rPr>
                <w:t>karon.lewis@adph.state.al.us</w:t>
              </w:r>
            </w:hyperlink>
            <w:r w:rsidR="000C092E">
              <w:rPr>
                <w:rFonts w:asciiTheme="minorHAnsi" w:hAnsiTheme="minorHAnsi" w:cstheme="minorHAnsi"/>
                <w:color w:val="000000"/>
                <w:sz w:val="20"/>
                <w:szCs w:val="20"/>
                <w:u w:val="single"/>
                <w:lang w:val="en"/>
              </w:rPr>
              <w:t xml:space="preserve"> </w:t>
            </w:r>
          </w:p>
        </w:tc>
      </w:tr>
      <w:tr w:rsidR="00F2020A" w:rsidRPr="00F46D82" w:rsidTr="00F80C8A">
        <w:tc>
          <w:tcPr>
            <w:tcW w:w="2178" w:type="dxa"/>
            <w:tcBorders>
              <w:bottom w:val="single" w:sz="8" w:space="0" w:color="auto"/>
            </w:tcBorders>
            <w:vAlign w:val="center"/>
          </w:tcPr>
          <w:p w:rsidR="00F2020A" w:rsidRPr="000C092E" w:rsidRDefault="00220F79" w:rsidP="00220F79">
            <w:pPr>
              <w:pStyle w:val="PlainText"/>
              <w:rPr>
                <w:rFonts w:asciiTheme="minorHAnsi" w:hAnsiTheme="minorHAnsi" w:cstheme="minorHAnsi"/>
                <w:sz w:val="20"/>
                <w:szCs w:val="20"/>
              </w:rPr>
            </w:pPr>
            <w:r w:rsidRPr="000C092E">
              <w:rPr>
                <w:rFonts w:asciiTheme="minorHAnsi" w:hAnsiTheme="minorHAnsi" w:cstheme="minorHAnsi"/>
                <w:sz w:val="20"/>
                <w:szCs w:val="20"/>
              </w:rPr>
              <w:t xml:space="preserve">John A. </w:t>
            </w:r>
            <w:proofErr w:type="spellStart"/>
            <w:r w:rsidRPr="000C092E">
              <w:rPr>
                <w:rFonts w:asciiTheme="minorHAnsi" w:hAnsiTheme="minorHAnsi" w:cstheme="minorHAnsi"/>
                <w:sz w:val="20"/>
                <w:szCs w:val="20"/>
              </w:rPr>
              <w:t>Guarisco</w:t>
            </w:r>
            <w:proofErr w:type="spellEnd"/>
            <w:r w:rsidRPr="000C092E">
              <w:rPr>
                <w:rFonts w:asciiTheme="minorHAnsi" w:hAnsiTheme="minorHAnsi" w:cstheme="minorHAnsi"/>
                <w:sz w:val="20"/>
                <w:szCs w:val="20"/>
              </w:rPr>
              <w:t>, Ph.D.</w:t>
            </w:r>
          </w:p>
        </w:tc>
        <w:tc>
          <w:tcPr>
            <w:tcW w:w="2790" w:type="dxa"/>
            <w:tcBorders>
              <w:bottom w:val="single" w:sz="8" w:space="0" w:color="auto"/>
            </w:tcBorders>
            <w:vAlign w:val="center"/>
          </w:tcPr>
          <w:p w:rsidR="00F2020A" w:rsidRPr="000C092E" w:rsidRDefault="00220F79" w:rsidP="00220F79">
            <w:pPr>
              <w:autoSpaceDE w:val="0"/>
              <w:autoSpaceDN w:val="0"/>
              <w:adjustRightInd w:val="0"/>
              <w:spacing w:after="0" w:line="240" w:lineRule="auto"/>
              <w:rPr>
                <w:rFonts w:asciiTheme="minorHAnsi" w:hAnsiTheme="minorHAnsi" w:cstheme="minorHAnsi"/>
                <w:color w:val="000000"/>
                <w:sz w:val="20"/>
                <w:szCs w:val="20"/>
              </w:rPr>
            </w:pPr>
            <w:r w:rsidRPr="000C092E">
              <w:rPr>
                <w:rFonts w:asciiTheme="minorHAnsi" w:hAnsiTheme="minorHAnsi" w:cstheme="minorHAnsi"/>
                <w:color w:val="000000"/>
                <w:sz w:val="20"/>
                <w:szCs w:val="20"/>
              </w:rPr>
              <w:t>Environmental Toxicology</w:t>
            </w:r>
          </w:p>
        </w:tc>
        <w:tc>
          <w:tcPr>
            <w:tcW w:w="1609" w:type="dxa"/>
            <w:tcBorders>
              <w:bottom w:val="single" w:sz="8" w:space="0" w:color="auto"/>
            </w:tcBorders>
            <w:vAlign w:val="center"/>
          </w:tcPr>
          <w:p w:rsidR="00F2020A" w:rsidRPr="000C092E" w:rsidRDefault="00F2020A" w:rsidP="00220F79">
            <w:pPr>
              <w:autoSpaceDE w:val="0"/>
              <w:autoSpaceDN w:val="0"/>
              <w:adjustRightInd w:val="0"/>
              <w:spacing w:after="0" w:line="240" w:lineRule="auto"/>
              <w:rPr>
                <w:rStyle w:val="Emphasis"/>
                <w:rFonts w:asciiTheme="minorHAnsi" w:hAnsiTheme="minorHAnsi" w:cstheme="minorHAnsi"/>
                <w:i w:val="0"/>
                <w:color w:val="000000"/>
                <w:sz w:val="20"/>
                <w:szCs w:val="20"/>
              </w:rPr>
            </w:pPr>
            <w:r w:rsidRPr="000C092E">
              <w:rPr>
                <w:rStyle w:val="Emphasis"/>
                <w:rFonts w:asciiTheme="minorHAnsi" w:hAnsiTheme="minorHAnsi" w:cstheme="minorHAnsi"/>
                <w:i w:val="0"/>
                <w:color w:val="000000"/>
                <w:sz w:val="20"/>
                <w:szCs w:val="20"/>
              </w:rPr>
              <w:t>(502) 852-5252</w:t>
            </w:r>
          </w:p>
        </w:tc>
        <w:tc>
          <w:tcPr>
            <w:tcW w:w="2999" w:type="dxa"/>
            <w:tcBorders>
              <w:bottom w:val="single" w:sz="8" w:space="0" w:color="auto"/>
            </w:tcBorders>
            <w:vAlign w:val="center"/>
          </w:tcPr>
          <w:p w:rsidR="00F2020A" w:rsidRPr="000C092E" w:rsidRDefault="000425C4" w:rsidP="00220F79">
            <w:pPr>
              <w:autoSpaceDE w:val="0"/>
              <w:autoSpaceDN w:val="0"/>
              <w:adjustRightInd w:val="0"/>
              <w:spacing w:after="0" w:line="240" w:lineRule="auto"/>
              <w:rPr>
                <w:rStyle w:val="Emphasis"/>
                <w:rFonts w:asciiTheme="minorHAnsi" w:hAnsiTheme="minorHAnsi" w:cstheme="minorHAnsi"/>
                <w:i w:val="0"/>
                <w:color w:val="000000"/>
                <w:sz w:val="20"/>
                <w:szCs w:val="20"/>
              </w:rPr>
            </w:pPr>
            <w:hyperlink r:id="rId23" w:history="1">
              <w:r w:rsidR="000C092E" w:rsidRPr="004034A7">
                <w:rPr>
                  <w:rStyle w:val="Hyperlink"/>
                  <w:rFonts w:asciiTheme="minorHAnsi" w:hAnsiTheme="minorHAnsi" w:cstheme="minorHAnsi"/>
                  <w:sz w:val="20"/>
                  <w:szCs w:val="20"/>
                </w:rPr>
                <w:t>john.guarisco@adph.state.al.us</w:t>
              </w:r>
            </w:hyperlink>
            <w:r w:rsidR="000C092E">
              <w:rPr>
                <w:rStyle w:val="Emphasis"/>
                <w:rFonts w:asciiTheme="minorHAnsi" w:hAnsiTheme="minorHAnsi" w:cstheme="minorHAnsi"/>
                <w:i w:val="0"/>
                <w:color w:val="000000"/>
                <w:sz w:val="20"/>
                <w:szCs w:val="20"/>
              </w:rPr>
              <w:t xml:space="preserve"> </w:t>
            </w:r>
          </w:p>
        </w:tc>
      </w:tr>
      <w:tr w:rsidR="000C092E" w:rsidRPr="00F46D82" w:rsidTr="00F80C8A">
        <w:trPr>
          <w:trHeight w:val="63"/>
        </w:trPr>
        <w:tc>
          <w:tcPr>
            <w:tcW w:w="9576" w:type="dxa"/>
            <w:gridSpan w:val="4"/>
            <w:shd w:val="clear" w:color="auto" w:fill="D9D9D9" w:themeFill="background1" w:themeFillShade="D9"/>
            <w:vAlign w:val="center"/>
          </w:tcPr>
          <w:p w:rsidR="000C092E" w:rsidRPr="000C092E" w:rsidRDefault="00F80C8A" w:rsidP="00220F79">
            <w:pPr>
              <w:autoSpaceDE w:val="0"/>
              <w:autoSpaceDN w:val="0"/>
              <w:adjustRightInd w:val="0"/>
              <w:spacing w:after="0" w:line="240" w:lineRule="auto"/>
              <w:rPr>
                <w:rStyle w:val="Emphasis"/>
                <w:rFonts w:asciiTheme="minorHAnsi" w:hAnsiTheme="minorHAnsi" w:cstheme="minorHAnsi"/>
                <w:i w:val="0"/>
                <w:color w:val="000000"/>
                <w:sz w:val="20"/>
                <w:szCs w:val="20"/>
              </w:rPr>
            </w:pPr>
            <w:r w:rsidRPr="000C092E">
              <w:rPr>
                <w:rFonts w:asciiTheme="minorHAnsi" w:hAnsiTheme="minorHAnsi" w:cstheme="minorHAnsi"/>
                <w:i/>
                <w:color w:val="000000"/>
                <w:sz w:val="20"/>
                <w:szCs w:val="20"/>
              </w:rPr>
              <w:t>ALABAMA DEPARTMENT OF CONSERVATION AND NATURAL RESOURCES</w:t>
            </w:r>
            <w:r>
              <w:rPr>
                <w:rFonts w:asciiTheme="minorHAnsi" w:hAnsiTheme="minorHAnsi" w:cstheme="minorHAnsi"/>
                <w:i/>
                <w:color w:val="000000"/>
                <w:sz w:val="20"/>
                <w:szCs w:val="20"/>
              </w:rPr>
              <w:t xml:space="preserve"> (ADCNR)</w:t>
            </w:r>
          </w:p>
        </w:tc>
      </w:tr>
      <w:tr w:rsidR="00F2020A" w:rsidRPr="00F46D82" w:rsidTr="00220F79">
        <w:trPr>
          <w:trHeight w:val="63"/>
        </w:trPr>
        <w:tc>
          <w:tcPr>
            <w:tcW w:w="2178" w:type="dxa"/>
            <w:vAlign w:val="center"/>
          </w:tcPr>
          <w:p w:rsidR="00F2020A" w:rsidRPr="000C092E" w:rsidRDefault="000C092E" w:rsidP="00220F79">
            <w:pPr>
              <w:autoSpaceDE w:val="0"/>
              <w:autoSpaceDN w:val="0"/>
              <w:adjustRightInd w:val="0"/>
              <w:spacing w:after="0" w:line="240" w:lineRule="auto"/>
              <w:rPr>
                <w:rFonts w:asciiTheme="minorHAnsi" w:hAnsiTheme="minorHAnsi" w:cstheme="minorHAnsi"/>
                <w:color w:val="000000"/>
                <w:sz w:val="20"/>
                <w:szCs w:val="20"/>
              </w:rPr>
            </w:pPr>
            <w:r w:rsidRPr="000C092E">
              <w:rPr>
                <w:rFonts w:asciiTheme="minorHAnsi" w:hAnsiTheme="minorHAnsi" w:cstheme="minorHAnsi"/>
                <w:color w:val="000000"/>
                <w:sz w:val="20"/>
                <w:szCs w:val="20"/>
              </w:rPr>
              <w:t>William C. Nichols</w:t>
            </w:r>
          </w:p>
        </w:tc>
        <w:tc>
          <w:tcPr>
            <w:tcW w:w="2790" w:type="dxa"/>
            <w:vAlign w:val="center"/>
          </w:tcPr>
          <w:p w:rsidR="00F2020A" w:rsidRPr="000C092E" w:rsidRDefault="000C092E" w:rsidP="00220F79">
            <w:pPr>
              <w:autoSpaceDE w:val="0"/>
              <w:autoSpaceDN w:val="0"/>
              <w:adjustRightInd w:val="0"/>
              <w:spacing w:after="0" w:line="240" w:lineRule="auto"/>
              <w:rPr>
                <w:rFonts w:asciiTheme="minorHAnsi" w:hAnsiTheme="minorHAnsi" w:cstheme="minorHAnsi"/>
                <w:color w:val="000000"/>
                <w:sz w:val="20"/>
                <w:szCs w:val="20"/>
              </w:rPr>
            </w:pPr>
            <w:r w:rsidRPr="000C092E">
              <w:rPr>
                <w:rFonts w:asciiTheme="minorHAnsi" w:hAnsiTheme="minorHAnsi" w:cstheme="minorHAnsi"/>
                <w:color w:val="000000"/>
                <w:sz w:val="20"/>
                <w:szCs w:val="20"/>
              </w:rPr>
              <w:t>Division of Wildlife &amp; Freshwater Fisheries</w:t>
            </w:r>
          </w:p>
        </w:tc>
        <w:tc>
          <w:tcPr>
            <w:tcW w:w="1609" w:type="dxa"/>
            <w:vAlign w:val="center"/>
          </w:tcPr>
          <w:p w:rsidR="00F2020A" w:rsidRPr="000C092E" w:rsidRDefault="000C092E" w:rsidP="00220F79">
            <w:pPr>
              <w:autoSpaceDE w:val="0"/>
              <w:autoSpaceDN w:val="0"/>
              <w:adjustRightInd w:val="0"/>
              <w:spacing w:after="0" w:line="240" w:lineRule="auto"/>
              <w:rPr>
                <w:rStyle w:val="Emphasis"/>
                <w:rFonts w:asciiTheme="minorHAnsi" w:hAnsiTheme="minorHAnsi" w:cstheme="minorHAnsi"/>
                <w:i w:val="0"/>
                <w:color w:val="000000"/>
                <w:sz w:val="20"/>
                <w:szCs w:val="20"/>
              </w:rPr>
            </w:pPr>
            <w:r w:rsidRPr="000C092E">
              <w:rPr>
                <w:rFonts w:asciiTheme="minorHAnsi" w:hAnsiTheme="minorHAnsi" w:cstheme="minorHAnsi"/>
                <w:color w:val="000000"/>
                <w:sz w:val="20"/>
                <w:szCs w:val="20"/>
              </w:rPr>
              <w:t>(334) 242-3883</w:t>
            </w:r>
          </w:p>
        </w:tc>
        <w:tc>
          <w:tcPr>
            <w:tcW w:w="2999" w:type="dxa"/>
            <w:vAlign w:val="center"/>
          </w:tcPr>
          <w:p w:rsidR="00F2020A" w:rsidRPr="000C092E" w:rsidRDefault="000425C4" w:rsidP="00220F79">
            <w:pPr>
              <w:autoSpaceDE w:val="0"/>
              <w:autoSpaceDN w:val="0"/>
              <w:adjustRightInd w:val="0"/>
              <w:spacing w:after="0" w:line="240" w:lineRule="auto"/>
              <w:rPr>
                <w:rStyle w:val="Emphasis"/>
                <w:rFonts w:asciiTheme="minorHAnsi" w:hAnsiTheme="minorHAnsi" w:cstheme="minorHAnsi"/>
                <w:i w:val="0"/>
                <w:color w:val="000000"/>
                <w:sz w:val="20"/>
                <w:szCs w:val="20"/>
              </w:rPr>
            </w:pPr>
            <w:hyperlink r:id="rId24" w:history="1">
              <w:r w:rsidR="000C092E" w:rsidRPr="000C092E">
                <w:rPr>
                  <w:rStyle w:val="Hyperlink"/>
                  <w:rFonts w:asciiTheme="minorHAnsi" w:hAnsiTheme="minorHAnsi" w:cstheme="minorHAnsi"/>
                  <w:sz w:val="20"/>
                  <w:szCs w:val="20"/>
                </w:rPr>
                <w:t>Nick.Nichols@dcnr.alabama.gov</w:t>
              </w:r>
            </w:hyperlink>
          </w:p>
        </w:tc>
      </w:tr>
      <w:tr w:rsidR="00220F79" w:rsidRPr="00F46D82" w:rsidTr="00F80C8A">
        <w:trPr>
          <w:trHeight w:val="63"/>
        </w:trPr>
        <w:tc>
          <w:tcPr>
            <w:tcW w:w="2178" w:type="dxa"/>
            <w:tcBorders>
              <w:bottom w:val="single" w:sz="8" w:space="0" w:color="auto"/>
            </w:tcBorders>
            <w:vAlign w:val="center"/>
          </w:tcPr>
          <w:p w:rsidR="00220F79" w:rsidRPr="000C092E" w:rsidRDefault="000C092E" w:rsidP="00220F79">
            <w:pPr>
              <w:autoSpaceDE w:val="0"/>
              <w:autoSpaceDN w:val="0"/>
              <w:adjustRightInd w:val="0"/>
              <w:spacing w:after="0" w:line="240" w:lineRule="auto"/>
              <w:rPr>
                <w:rFonts w:asciiTheme="minorHAnsi" w:hAnsiTheme="minorHAnsi" w:cstheme="minorHAnsi"/>
                <w:color w:val="000000"/>
                <w:sz w:val="20"/>
                <w:szCs w:val="20"/>
              </w:rPr>
            </w:pPr>
            <w:r w:rsidRPr="000C092E">
              <w:rPr>
                <w:rFonts w:asciiTheme="minorHAnsi" w:hAnsiTheme="minorHAnsi" w:cstheme="minorHAnsi"/>
                <w:color w:val="000000"/>
                <w:sz w:val="20"/>
                <w:szCs w:val="20"/>
              </w:rPr>
              <w:t>David Hayden</w:t>
            </w:r>
          </w:p>
        </w:tc>
        <w:tc>
          <w:tcPr>
            <w:tcW w:w="2790" w:type="dxa"/>
            <w:tcBorders>
              <w:bottom w:val="single" w:sz="8" w:space="0" w:color="auto"/>
            </w:tcBorders>
            <w:vAlign w:val="center"/>
          </w:tcPr>
          <w:p w:rsidR="00220F79" w:rsidRPr="000C092E" w:rsidRDefault="000C092E" w:rsidP="00220F79">
            <w:pPr>
              <w:autoSpaceDE w:val="0"/>
              <w:autoSpaceDN w:val="0"/>
              <w:adjustRightInd w:val="0"/>
              <w:spacing w:after="0" w:line="240" w:lineRule="auto"/>
              <w:rPr>
                <w:rFonts w:asciiTheme="minorHAnsi" w:hAnsiTheme="minorHAnsi" w:cstheme="minorHAnsi"/>
                <w:color w:val="000000"/>
                <w:sz w:val="20"/>
                <w:szCs w:val="20"/>
              </w:rPr>
            </w:pPr>
            <w:r w:rsidRPr="000C092E">
              <w:rPr>
                <w:rFonts w:asciiTheme="minorHAnsi" w:hAnsiTheme="minorHAnsi" w:cstheme="minorHAnsi"/>
                <w:color w:val="000000"/>
                <w:sz w:val="20"/>
                <w:szCs w:val="20"/>
              </w:rPr>
              <w:t>Division of Wildlife &amp; Freshwater Fisheries</w:t>
            </w:r>
          </w:p>
        </w:tc>
        <w:tc>
          <w:tcPr>
            <w:tcW w:w="1609" w:type="dxa"/>
            <w:tcBorders>
              <w:bottom w:val="single" w:sz="8" w:space="0" w:color="auto"/>
            </w:tcBorders>
            <w:vAlign w:val="center"/>
          </w:tcPr>
          <w:p w:rsidR="00220F79" w:rsidRPr="000C092E" w:rsidRDefault="000C092E" w:rsidP="00220F79">
            <w:pPr>
              <w:autoSpaceDE w:val="0"/>
              <w:autoSpaceDN w:val="0"/>
              <w:adjustRightInd w:val="0"/>
              <w:spacing w:after="0" w:line="240" w:lineRule="auto"/>
              <w:rPr>
                <w:rStyle w:val="Emphasis"/>
                <w:rFonts w:asciiTheme="minorHAnsi" w:hAnsiTheme="minorHAnsi" w:cstheme="minorHAnsi"/>
                <w:i w:val="0"/>
                <w:color w:val="000000"/>
                <w:sz w:val="20"/>
                <w:szCs w:val="20"/>
              </w:rPr>
            </w:pPr>
            <w:r w:rsidRPr="000C092E">
              <w:rPr>
                <w:rStyle w:val="Strong"/>
                <w:rFonts w:asciiTheme="minorHAnsi" w:hAnsiTheme="minorHAnsi" w:cstheme="minorHAnsi"/>
                <w:b w:val="0"/>
                <w:bCs w:val="0"/>
                <w:sz w:val="20"/>
                <w:szCs w:val="20"/>
              </w:rPr>
              <w:t>(334)242-3469</w:t>
            </w:r>
          </w:p>
        </w:tc>
        <w:tc>
          <w:tcPr>
            <w:tcW w:w="2999" w:type="dxa"/>
            <w:tcBorders>
              <w:bottom w:val="single" w:sz="8" w:space="0" w:color="auto"/>
            </w:tcBorders>
            <w:vAlign w:val="center"/>
          </w:tcPr>
          <w:p w:rsidR="00220F79" w:rsidRPr="000C092E" w:rsidRDefault="000425C4" w:rsidP="00220F79">
            <w:pPr>
              <w:autoSpaceDE w:val="0"/>
              <w:autoSpaceDN w:val="0"/>
              <w:adjustRightInd w:val="0"/>
              <w:spacing w:after="0" w:line="240" w:lineRule="auto"/>
              <w:rPr>
                <w:rStyle w:val="Emphasis"/>
                <w:rFonts w:asciiTheme="minorHAnsi" w:hAnsiTheme="minorHAnsi" w:cstheme="minorHAnsi"/>
                <w:i w:val="0"/>
                <w:color w:val="000000"/>
                <w:sz w:val="20"/>
                <w:szCs w:val="20"/>
              </w:rPr>
            </w:pPr>
            <w:hyperlink r:id="rId25" w:history="1">
              <w:r w:rsidR="000C092E" w:rsidRPr="000C092E">
                <w:rPr>
                  <w:rStyle w:val="Hyperlink"/>
                  <w:rFonts w:asciiTheme="minorHAnsi" w:hAnsiTheme="minorHAnsi" w:cstheme="minorHAnsi"/>
                  <w:sz w:val="20"/>
                  <w:szCs w:val="20"/>
                  <w:lang w:val="en"/>
                </w:rPr>
                <w:t>David.Hayden@dcnr.alabama.gov</w:t>
              </w:r>
            </w:hyperlink>
          </w:p>
        </w:tc>
      </w:tr>
      <w:tr w:rsidR="006A47AD" w:rsidRPr="00F46D82" w:rsidTr="00F80C8A">
        <w:trPr>
          <w:trHeight w:val="63"/>
        </w:trPr>
        <w:tc>
          <w:tcPr>
            <w:tcW w:w="9576" w:type="dxa"/>
            <w:gridSpan w:val="4"/>
            <w:shd w:val="clear" w:color="auto" w:fill="D9D9D9" w:themeFill="background1" w:themeFillShade="D9"/>
            <w:vAlign w:val="center"/>
          </w:tcPr>
          <w:p w:rsidR="006A47AD" w:rsidRPr="006A47AD" w:rsidRDefault="00F80C8A" w:rsidP="00220F79">
            <w:pPr>
              <w:autoSpaceDE w:val="0"/>
              <w:autoSpaceDN w:val="0"/>
              <w:adjustRightInd w:val="0"/>
              <w:spacing w:after="0" w:line="240" w:lineRule="auto"/>
              <w:rPr>
                <w:rStyle w:val="Emphasis"/>
                <w:rFonts w:asciiTheme="minorHAnsi" w:hAnsiTheme="minorHAnsi" w:cstheme="minorHAnsi"/>
                <w:color w:val="000000"/>
                <w:sz w:val="20"/>
                <w:szCs w:val="20"/>
              </w:rPr>
            </w:pPr>
            <w:r>
              <w:rPr>
                <w:rStyle w:val="Emphasis"/>
                <w:rFonts w:asciiTheme="minorHAnsi" w:hAnsiTheme="minorHAnsi" w:cstheme="minorHAnsi"/>
                <w:color w:val="000000"/>
                <w:sz w:val="20"/>
                <w:szCs w:val="20"/>
              </w:rPr>
              <w:t>ALABAMA DEPARTMENT OF ENVIRONMENTAL MANAGEMENT (ADEM)</w:t>
            </w:r>
          </w:p>
        </w:tc>
      </w:tr>
      <w:tr w:rsidR="00220F79" w:rsidRPr="00F46D82" w:rsidTr="00220F79">
        <w:trPr>
          <w:trHeight w:val="63"/>
        </w:trPr>
        <w:tc>
          <w:tcPr>
            <w:tcW w:w="2178" w:type="dxa"/>
            <w:vAlign w:val="center"/>
          </w:tcPr>
          <w:p w:rsidR="00220F79" w:rsidRPr="006A47AD" w:rsidRDefault="006A47AD" w:rsidP="00220F79">
            <w:pPr>
              <w:autoSpaceDE w:val="0"/>
              <w:autoSpaceDN w:val="0"/>
              <w:adjustRightInd w:val="0"/>
              <w:spacing w:after="0" w:line="240" w:lineRule="auto"/>
              <w:rPr>
                <w:rFonts w:asciiTheme="minorHAnsi" w:hAnsiTheme="minorHAnsi" w:cstheme="minorHAnsi"/>
                <w:color w:val="000000"/>
                <w:sz w:val="20"/>
                <w:szCs w:val="20"/>
              </w:rPr>
            </w:pPr>
            <w:r w:rsidRPr="006A47AD">
              <w:rPr>
                <w:rFonts w:asciiTheme="minorHAnsi" w:hAnsiTheme="minorHAnsi" w:cstheme="minorHAnsi"/>
                <w:color w:val="000000"/>
                <w:sz w:val="20"/>
                <w:szCs w:val="20"/>
              </w:rPr>
              <w:t>Michael Len</w:t>
            </w:r>
          </w:p>
        </w:tc>
        <w:tc>
          <w:tcPr>
            <w:tcW w:w="2790" w:type="dxa"/>
            <w:vAlign w:val="center"/>
          </w:tcPr>
          <w:p w:rsidR="00220F79" w:rsidRPr="006A47AD" w:rsidRDefault="006A47AD" w:rsidP="00220F79">
            <w:pPr>
              <w:autoSpaceDE w:val="0"/>
              <w:autoSpaceDN w:val="0"/>
              <w:adjustRightInd w:val="0"/>
              <w:spacing w:after="0" w:line="240" w:lineRule="auto"/>
              <w:rPr>
                <w:rFonts w:asciiTheme="minorHAnsi" w:hAnsiTheme="minorHAnsi" w:cstheme="minorHAnsi"/>
                <w:color w:val="000000"/>
                <w:sz w:val="20"/>
                <w:szCs w:val="20"/>
              </w:rPr>
            </w:pPr>
            <w:r w:rsidRPr="006A47AD">
              <w:rPr>
                <w:rFonts w:asciiTheme="minorHAnsi" w:hAnsiTheme="minorHAnsi" w:cstheme="minorHAnsi"/>
                <w:color w:val="000000"/>
                <w:sz w:val="20"/>
                <w:szCs w:val="20"/>
              </w:rPr>
              <w:t>Aquatic Assessment Unit</w:t>
            </w:r>
          </w:p>
        </w:tc>
        <w:tc>
          <w:tcPr>
            <w:tcW w:w="1609" w:type="dxa"/>
            <w:vAlign w:val="center"/>
          </w:tcPr>
          <w:p w:rsidR="00220F79" w:rsidRPr="006A47AD" w:rsidRDefault="006A47AD" w:rsidP="00220F79">
            <w:pPr>
              <w:autoSpaceDE w:val="0"/>
              <w:autoSpaceDN w:val="0"/>
              <w:adjustRightInd w:val="0"/>
              <w:spacing w:after="0" w:line="240" w:lineRule="auto"/>
              <w:rPr>
                <w:rStyle w:val="Emphasis"/>
                <w:rFonts w:asciiTheme="minorHAnsi" w:hAnsiTheme="minorHAnsi" w:cstheme="minorHAnsi"/>
                <w:i w:val="0"/>
                <w:color w:val="000000"/>
                <w:sz w:val="20"/>
                <w:szCs w:val="20"/>
              </w:rPr>
            </w:pPr>
            <w:r w:rsidRPr="006A47AD">
              <w:rPr>
                <w:rFonts w:asciiTheme="minorHAnsi" w:hAnsiTheme="minorHAnsi" w:cstheme="minorHAnsi"/>
                <w:sz w:val="20"/>
                <w:szCs w:val="20"/>
              </w:rPr>
              <w:t>(334) 260-2787</w:t>
            </w:r>
          </w:p>
        </w:tc>
        <w:tc>
          <w:tcPr>
            <w:tcW w:w="2999" w:type="dxa"/>
            <w:vAlign w:val="center"/>
          </w:tcPr>
          <w:p w:rsidR="00220F79" w:rsidRPr="006A47AD" w:rsidRDefault="000425C4" w:rsidP="006A47AD">
            <w:pPr>
              <w:spacing w:after="0"/>
              <w:rPr>
                <w:rStyle w:val="Emphasis"/>
                <w:rFonts w:asciiTheme="minorHAnsi" w:hAnsiTheme="minorHAnsi" w:cstheme="minorHAnsi"/>
                <w:i w:val="0"/>
                <w:iCs w:val="0"/>
                <w:sz w:val="20"/>
                <w:szCs w:val="20"/>
              </w:rPr>
            </w:pPr>
            <w:hyperlink r:id="rId26" w:history="1">
              <w:r w:rsidR="006A47AD" w:rsidRPr="006A47AD">
                <w:rPr>
                  <w:rStyle w:val="Hyperlink"/>
                  <w:rFonts w:asciiTheme="minorHAnsi" w:hAnsiTheme="minorHAnsi" w:cstheme="minorHAnsi"/>
                  <w:sz w:val="20"/>
                  <w:szCs w:val="20"/>
                </w:rPr>
                <w:t>mlen@adem.state.al.us</w:t>
              </w:r>
            </w:hyperlink>
          </w:p>
        </w:tc>
      </w:tr>
    </w:tbl>
    <w:p w:rsidR="000A0596" w:rsidRDefault="000A0596" w:rsidP="009879BB">
      <w:pPr>
        <w:spacing w:after="0" w:line="240" w:lineRule="auto"/>
        <w:rPr>
          <w:rFonts w:asciiTheme="minorHAnsi" w:hAnsiTheme="minorHAnsi" w:cstheme="minorHAnsi"/>
          <w:sz w:val="24"/>
          <w:szCs w:val="24"/>
        </w:rPr>
      </w:pPr>
    </w:p>
    <w:p w:rsidR="009879BB" w:rsidRPr="007807DB" w:rsidRDefault="003A4D31" w:rsidP="00C71DA7">
      <w:pPr>
        <w:spacing w:line="240" w:lineRule="auto"/>
        <w:jc w:val="both"/>
        <w:rPr>
          <w:rFonts w:asciiTheme="minorHAnsi" w:hAnsiTheme="minorHAnsi" w:cstheme="minorHAnsi"/>
          <w:sz w:val="24"/>
          <w:szCs w:val="24"/>
        </w:rPr>
      </w:pPr>
      <w:r>
        <w:rPr>
          <w:rFonts w:asciiTheme="minorHAnsi" w:hAnsiTheme="minorHAnsi" w:cstheme="minorHAnsi"/>
          <w:sz w:val="24"/>
          <w:szCs w:val="24"/>
        </w:rPr>
        <w:t>In 2012, q</w:t>
      </w:r>
      <w:r w:rsidR="009879BB" w:rsidRPr="007807DB">
        <w:rPr>
          <w:rFonts w:asciiTheme="minorHAnsi" w:hAnsiTheme="minorHAnsi" w:cstheme="minorHAnsi"/>
          <w:sz w:val="24"/>
          <w:szCs w:val="24"/>
        </w:rPr>
        <w:t>uestion</w:t>
      </w:r>
      <w:r>
        <w:rPr>
          <w:rFonts w:asciiTheme="minorHAnsi" w:hAnsiTheme="minorHAnsi" w:cstheme="minorHAnsi"/>
          <w:sz w:val="24"/>
          <w:szCs w:val="24"/>
        </w:rPr>
        <w:t>naire item</w:t>
      </w:r>
      <w:r w:rsidR="009879BB" w:rsidRPr="007807DB">
        <w:rPr>
          <w:rFonts w:asciiTheme="minorHAnsi" w:hAnsiTheme="minorHAnsi" w:cstheme="minorHAnsi"/>
          <w:sz w:val="24"/>
          <w:szCs w:val="24"/>
        </w:rPr>
        <w:t xml:space="preserve">s on fish, game, and wildlife </w:t>
      </w:r>
      <w:proofErr w:type="gramStart"/>
      <w:r>
        <w:rPr>
          <w:rFonts w:asciiTheme="minorHAnsi" w:hAnsiTheme="minorHAnsi" w:cstheme="minorHAnsi"/>
          <w:sz w:val="24"/>
          <w:szCs w:val="24"/>
        </w:rPr>
        <w:t xml:space="preserve">were </w:t>
      </w:r>
      <w:r w:rsidR="009879BB" w:rsidRPr="007807DB">
        <w:rPr>
          <w:rFonts w:asciiTheme="minorHAnsi" w:hAnsiTheme="minorHAnsi" w:cstheme="minorHAnsi"/>
          <w:sz w:val="24"/>
          <w:szCs w:val="24"/>
        </w:rPr>
        <w:t>developed</w:t>
      </w:r>
      <w:proofErr w:type="gramEnd"/>
      <w:r w:rsidR="009879BB" w:rsidRPr="007807DB">
        <w:rPr>
          <w:rFonts w:asciiTheme="minorHAnsi" w:hAnsiTheme="minorHAnsi" w:cstheme="minorHAnsi"/>
          <w:sz w:val="24"/>
          <w:szCs w:val="24"/>
        </w:rPr>
        <w:t xml:space="preserve"> with input from Alabama Department of Public Health</w:t>
      </w:r>
      <w:r w:rsidR="009879BB">
        <w:rPr>
          <w:rFonts w:asciiTheme="minorHAnsi" w:hAnsiTheme="minorHAnsi" w:cstheme="minorHAnsi"/>
          <w:sz w:val="24"/>
          <w:szCs w:val="24"/>
        </w:rPr>
        <w:t xml:space="preserve"> (ADPH)</w:t>
      </w:r>
      <w:r w:rsidR="009879BB" w:rsidRPr="007807DB">
        <w:rPr>
          <w:rFonts w:asciiTheme="minorHAnsi" w:hAnsiTheme="minorHAnsi" w:cstheme="minorHAnsi"/>
          <w:sz w:val="24"/>
          <w:szCs w:val="24"/>
        </w:rPr>
        <w:t>, Alabama Department of Conservation and Natural Resources</w:t>
      </w:r>
      <w:r w:rsidR="009879BB">
        <w:rPr>
          <w:rFonts w:asciiTheme="minorHAnsi" w:hAnsiTheme="minorHAnsi" w:cstheme="minorHAnsi"/>
          <w:sz w:val="24"/>
          <w:szCs w:val="24"/>
        </w:rPr>
        <w:t xml:space="preserve"> (ADCNR)</w:t>
      </w:r>
      <w:r w:rsidR="009879BB" w:rsidRPr="007807DB">
        <w:rPr>
          <w:rFonts w:asciiTheme="minorHAnsi" w:hAnsiTheme="minorHAnsi" w:cstheme="minorHAnsi"/>
          <w:sz w:val="24"/>
          <w:szCs w:val="24"/>
        </w:rPr>
        <w:t>, and the Alabama Department of Environmental Management</w:t>
      </w:r>
      <w:r w:rsidR="009879BB">
        <w:rPr>
          <w:rFonts w:asciiTheme="minorHAnsi" w:hAnsiTheme="minorHAnsi" w:cstheme="minorHAnsi"/>
          <w:sz w:val="24"/>
          <w:szCs w:val="24"/>
        </w:rPr>
        <w:t xml:space="preserve"> </w:t>
      </w:r>
      <w:r w:rsidR="009879BB">
        <w:rPr>
          <w:rFonts w:asciiTheme="minorHAnsi" w:hAnsiTheme="minorHAnsi" w:cstheme="minorHAnsi"/>
          <w:sz w:val="24"/>
          <w:szCs w:val="24"/>
        </w:rPr>
        <w:lastRenderedPageBreak/>
        <w:t>(ADEM)</w:t>
      </w:r>
      <w:r w:rsidR="009879BB" w:rsidRPr="007807DB">
        <w:rPr>
          <w:rFonts w:asciiTheme="minorHAnsi" w:hAnsiTheme="minorHAnsi" w:cstheme="minorHAnsi"/>
          <w:sz w:val="24"/>
          <w:szCs w:val="24"/>
        </w:rPr>
        <w:t>.</w:t>
      </w:r>
      <w:r w:rsidR="009879BB">
        <w:rPr>
          <w:rFonts w:asciiTheme="minorHAnsi" w:hAnsiTheme="minorHAnsi" w:cstheme="minorHAnsi"/>
          <w:sz w:val="24"/>
          <w:szCs w:val="24"/>
        </w:rPr>
        <w:t xml:space="preserve"> Particular focus </w:t>
      </w:r>
      <w:proofErr w:type="gramStart"/>
      <w:r w:rsidR="009879BB">
        <w:rPr>
          <w:rFonts w:asciiTheme="minorHAnsi" w:hAnsiTheme="minorHAnsi" w:cstheme="minorHAnsi"/>
          <w:sz w:val="24"/>
          <w:szCs w:val="24"/>
        </w:rPr>
        <w:t>was placed</w:t>
      </w:r>
      <w:proofErr w:type="gramEnd"/>
      <w:r w:rsidR="009879BB">
        <w:rPr>
          <w:rFonts w:asciiTheme="minorHAnsi" w:hAnsiTheme="minorHAnsi" w:cstheme="minorHAnsi"/>
          <w:sz w:val="24"/>
          <w:szCs w:val="24"/>
        </w:rPr>
        <w:t xml:space="preserve"> on the assessment of consumption of l</w:t>
      </w:r>
      <w:r w:rsidR="009879BB" w:rsidRPr="007807DB">
        <w:rPr>
          <w:rFonts w:asciiTheme="minorHAnsi" w:hAnsiTheme="minorHAnsi" w:cstheme="minorHAnsi"/>
          <w:sz w:val="24"/>
          <w:szCs w:val="24"/>
        </w:rPr>
        <w:t>ocally grown foods, wildlife, and game from the Coosa River Basin</w:t>
      </w:r>
      <w:r w:rsidR="009879BB">
        <w:rPr>
          <w:rFonts w:asciiTheme="minorHAnsi" w:hAnsiTheme="minorHAnsi" w:cstheme="minorHAnsi"/>
          <w:sz w:val="24"/>
          <w:szCs w:val="24"/>
        </w:rPr>
        <w:t>, the site of the greatest source of environmental PCB contamination.</w:t>
      </w:r>
    </w:p>
    <w:p w:rsidR="00AA1695" w:rsidRDefault="00AA1695" w:rsidP="00C71DA7">
      <w:pPr>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ATSDR contacted </w:t>
      </w:r>
      <w:r w:rsidR="00416341">
        <w:rPr>
          <w:rFonts w:asciiTheme="minorHAnsi" w:hAnsiTheme="minorHAnsi" w:cstheme="minorHAnsi"/>
          <w:sz w:val="24"/>
          <w:szCs w:val="24"/>
        </w:rPr>
        <w:t xml:space="preserve">environmental toxicology </w:t>
      </w:r>
      <w:r>
        <w:rPr>
          <w:rFonts w:asciiTheme="minorHAnsi" w:hAnsiTheme="minorHAnsi" w:cstheme="minorHAnsi"/>
          <w:sz w:val="24"/>
          <w:szCs w:val="24"/>
        </w:rPr>
        <w:t>staff from the ADPH Division of Epidemiology</w:t>
      </w:r>
      <w:r w:rsidR="00416341">
        <w:rPr>
          <w:rFonts w:asciiTheme="minorHAnsi" w:hAnsiTheme="minorHAnsi" w:cstheme="minorHAnsi"/>
          <w:sz w:val="24"/>
          <w:szCs w:val="24"/>
        </w:rPr>
        <w:t xml:space="preserve"> to develop</w:t>
      </w:r>
      <w:r>
        <w:rPr>
          <w:rFonts w:asciiTheme="minorHAnsi" w:hAnsiTheme="minorHAnsi" w:cstheme="minorHAnsi"/>
          <w:sz w:val="24"/>
          <w:szCs w:val="24"/>
        </w:rPr>
        <w:t xml:space="preserve"> the </w:t>
      </w:r>
      <w:r w:rsidR="00416341">
        <w:rPr>
          <w:rFonts w:asciiTheme="minorHAnsi" w:hAnsiTheme="minorHAnsi" w:cstheme="minorHAnsi"/>
          <w:sz w:val="24"/>
          <w:szCs w:val="24"/>
        </w:rPr>
        <w:t>diet module for the questionnaire. In particular, ATSDR sought advice on the dietary assessment of fish and</w:t>
      </w:r>
      <w:r w:rsidR="000A0596">
        <w:rPr>
          <w:rFonts w:asciiTheme="minorHAnsi" w:hAnsiTheme="minorHAnsi" w:cstheme="minorHAnsi"/>
          <w:sz w:val="24"/>
          <w:szCs w:val="24"/>
        </w:rPr>
        <w:t xml:space="preserve"> wildlife. </w:t>
      </w:r>
      <w:r w:rsidR="001C594B" w:rsidRPr="007807DB">
        <w:rPr>
          <w:rFonts w:asciiTheme="minorHAnsi" w:hAnsiTheme="minorHAnsi" w:cstheme="minorHAnsi"/>
          <w:sz w:val="24"/>
          <w:szCs w:val="24"/>
        </w:rPr>
        <w:t>Fish an</w:t>
      </w:r>
      <w:r w:rsidR="001C594B">
        <w:rPr>
          <w:rFonts w:asciiTheme="minorHAnsi" w:hAnsiTheme="minorHAnsi" w:cstheme="minorHAnsi"/>
          <w:sz w:val="24"/>
          <w:szCs w:val="24"/>
        </w:rPr>
        <w:t xml:space="preserve">d shellfish intake questions </w:t>
      </w:r>
      <w:proofErr w:type="gramStart"/>
      <w:r w:rsidR="001C594B">
        <w:rPr>
          <w:rFonts w:asciiTheme="minorHAnsi" w:hAnsiTheme="minorHAnsi" w:cstheme="minorHAnsi"/>
          <w:sz w:val="24"/>
          <w:szCs w:val="24"/>
        </w:rPr>
        <w:t>will be</w:t>
      </w:r>
      <w:r w:rsidR="001C594B" w:rsidRPr="007807DB">
        <w:rPr>
          <w:rFonts w:asciiTheme="minorHAnsi" w:hAnsiTheme="minorHAnsi" w:cstheme="minorHAnsi"/>
          <w:sz w:val="24"/>
          <w:szCs w:val="24"/>
        </w:rPr>
        <w:t xml:space="preserve"> used</w:t>
      </w:r>
      <w:proofErr w:type="gramEnd"/>
      <w:r w:rsidR="001C594B" w:rsidRPr="007807DB">
        <w:rPr>
          <w:rFonts w:asciiTheme="minorHAnsi" w:hAnsiTheme="minorHAnsi" w:cstheme="minorHAnsi"/>
          <w:sz w:val="24"/>
          <w:szCs w:val="24"/>
        </w:rPr>
        <w:t xml:space="preserve"> to assess relationships between </w:t>
      </w:r>
      <w:r w:rsidR="008B47EA">
        <w:rPr>
          <w:rFonts w:asciiTheme="minorHAnsi" w:hAnsiTheme="minorHAnsi" w:cstheme="minorHAnsi"/>
          <w:sz w:val="24"/>
          <w:szCs w:val="24"/>
        </w:rPr>
        <w:t xml:space="preserve">past-week and past 12-month </w:t>
      </w:r>
      <w:r w:rsidR="001C594B" w:rsidRPr="007807DB">
        <w:rPr>
          <w:rFonts w:asciiTheme="minorHAnsi" w:hAnsiTheme="minorHAnsi" w:cstheme="minorHAnsi"/>
          <w:sz w:val="24"/>
          <w:szCs w:val="24"/>
        </w:rPr>
        <w:t xml:space="preserve">dietary habits with chemical analytical measures. </w:t>
      </w:r>
      <w:r w:rsidR="001C594B">
        <w:rPr>
          <w:rFonts w:asciiTheme="minorHAnsi" w:hAnsiTheme="minorHAnsi" w:cstheme="minorHAnsi"/>
          <w:sz w:val="24"/>
          <w:szCs w:val="24"/>
        </w:rPr>
        <w:t>Dietary f</w:t>
      </w:r>
      <w:r w:rsidR="001C594B" w:rsidRPr="007807DB">
        <w:rPr>
          <w:rFonts w:asciiTheme="minorHAnsi" w:hAnsiTheme="minorHAnsi" w:cstheme="minorHAnsi"/>
          <w:sz w:val="24"/>
          <w:szCs w:val="24"/>
        </w:rPr>
        <w:t xml:space="preserve">ish modules </w:t>
      </w:r>
      <w:proofErr w:type="gramStart"/>
      <w:r w:rsidR="001C594B" w:rsidRPr="007807DB">
        <w:rPr>
          <w:rFonts w:asciiTheme="minorHAnsi" w:hAnsiTheme="minorHAnsi" w:cstheme="minorHAnsi"/>
          <w:sz w:val="24"/>
          <w:szCs w:val="24"/>
        </w:rPr>
        <w:t>are designed</w:t>
      </w:r>
      <w:proofErr w:type="gramEnd"/>
      <w:r w:rsidR="001C594B" w:rsidRPr="007807DB">
        <w:rPr>
          <w:rFonts w:asciiTheme="minorHAnsi" w:hAnsiTheme="minorHAnsi" w:cstheme="minorHAnsi"/>
          <w:sz w:val="24"/>
          <w:szCs w:val="24"/>
        </w:rPr>
        <w:t xml:space="preserve"> for consistency with Alabama Department of Public Health advisories o</w:t>
      </w:r>
      <w:r w:rsidR="001C594B">
        <w:rPr>
          <w:rFonts w:asciiTheme="minorHAnsi" w:hAnsiTheme="minorHAnsi" w:cstheme="minorHAnsi"/>
          <w:sz w:val="24"/>
          <w:szCs w:val="24"/>
        </w:rPr>
        <w:t>n cooking and cleaning methods</w:t>
      </w:r>
      <w:r w:rsidR="00873AF0">
        <w:rPr>
          <w:rFonts w:asciiTheme="minorHAnsi" w:hAnsiTheme="minorHAnsi" w:cstheme="minorHAnsi"/>
          <w:sz w:val="24"/>
          <w:szCs w:val="24"/>
        </w:rPr>
        <w:t>.</w:t>
      </w:r>
    </w:p>
    <w:p w:rsidR="0065236A" w:rsidRDefault="00095880" w:rsidP="00C71DA7">
      <w:pPr>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ATSDR contacted ADEM environmental scientists to understand the patterns of ecological PCB and mercury monitoring data in Alabama lakes, rivers, and streams collected by the ADEM. </w:t>
      </w:r>
      <w:r w:rsidR="00CF369F">
        <w:rPr>
          <w:rFonts w:asciiTheme="minorHAnsi" w:hAnsiTheme="minorHAnsi" w:cstheme="minorHAnsi"/>
          <w:sz w:val="24"/>
          <w:szCs w:val="24"/>
        </w:rPr>
        <w:t>The ADPH and the ADEM use this</w:t>
      </w:r>
      <w:r w:rsidR="0049476C">
        <w:rPr>
          <w:rFonts w:asciiTheme="minorHAnsi" w:hAnsiTheme="minorHAnsi" w:cstheme="minorHAnsi"/>
          <w:sz w:val="24"/>
          <w:szCs w:val="24"/>
        </w:rPr>
        <w:t xml:space="preserve"> state monitoring</w:t>
      </w:r>
      <w:r w:rsidR="00CF369F">
        <w:rPr>
          <w:rFonts w:asciiTheme="minorHAnsi" w:hAnsiTheme="minorHAnsi" w:cstheme="minorHAnsi"/>
          <w:sz w:val="24"/>
          <w:szCs w:val="24"/>
        </w:rPr>
        <w:t xml:space="preserve"> information to develop fish advisories throughout the state, and in particular for the Anniston area. </w:t>
      </w:r>
      <w:r>
        <w:rPr>
          <w:rFonts w:asciiTheme="minorHAnsi" w:hAnsiTheme="minorHAnsi" w:cstheme="minorHAnsi"/>
          <w:sz w:val="24"/>
          <w:szCs w:val="24"/>
        </w:rPr>
        <w:t xml:space="preserve">In this manner, ATSDR developed the questionnaire items for the </w:t>
      </w:r>
      <w:r w:rsidR="0049476C">
        <w:rPr>
          <w:rFonts w:asciiTheme="minorHAnsi" w:hAnsiTheme="minorHAnsi" w:cstheme="minorHAnsi"/>
          <w:sz w:val="24"/>
          <w:szCs w:val="24"/>
        </w:rPr>
        <w:t>relevant</w:t>
      </w:r>
      <w:r>
        <w:rPr>
          <w:rFonts w:asciiTheme="minorHAnsi" w:hAnsiTheme="minorHAnsi" w:cstheme="minorHAnsi"/>
          <w:sz w:val="24"/>
          <w:szCs w:val="24"/>
        </w:rPr>
        <w:t xml:space="preserve"> Alabama </w:t>
      </w:r>
      <w:proofErr w:type="gramStart"/>
      <w:r>
        <w:rPr>
          <w:rFonts w:asciiTheme="minorHAnsi" w:hAnsiTheme="minorHAnsi" w:cstheme="minorHAnsi"/>
          <w:sz w:val="24"/>
          <w:szCs w:val="24"/>
        </w:rPr>
        <w:t>river</w:t>
      </w:r>
      <w:proofErr w:type="gramEnd"/>
      <w:r>
        <w:rPr>
          <w:rFonts w:asciiTheme="minorHAnsi" w:hAnsiTheme="minorHAnsi" w:cstheme="minorHAnsi"/>
          <w:sz w:val="24"/>
          <w:szCs w:val="24"/>
        </w:rPr>
        <w:t xml:space="preserve"> basins</w:t>
      </w:r>
      <w:r w:rsidR="00B30A78">
        <w:rPr>
          <w:rFonts w:asciiTheme="minorHAnsi" w:hAnsiTheme="minorHAnsi" w:cstheme="minorHAnsi"/>
          <w:sz w:val="24"/>
          <w:szCs w:val="24"/>
        </w:rPr>
        <w:t xml:space="preserve"> w</w:t>
      </w:r>
      <w:r w:rsidR="003A7127">
        <w:rPr>
          <w:rFonts w:asciiTheme="minorHAnsi" w:hAnsiTheme="minorHAnsi" w:cstheme="minorHAnsi"/>
          <w:sz w:val="24"/>
          <w:szCs w:val="24"/>
        </w:rPr>
        <w:t>h</w:t>
      </w:r>
      <w:r w:rsidR="00B30A78">
        <w:rPr>
          <w:rFonts w:asciiTheme="minorHAnsi" w:hAnsiTheme="minorHAnsi" w:cstheme="minorHAnsi"/>
          <w:sz w:val="24"/>
          <w:szCs w:val="24"/>
        </w:rPr>
        <w:t>ere PCB contamination was greatest</w:t>
      </w:r>
      <w:r>
        <w:rPr>
          <w:rFonts w:asciiTheme="minorHAnsi" w:hAnsiTheme="minorHAnsi" w:cstheme="minorHAnsi"/>
          <w:sz w:val="24"/>
          <w:szCs w:val="24"/>
        </w:rPr>
        <w:t>.</w:t>
      </w:r>
    </w:p>
    <w:p w:rsidR="001C594B" w:rsidRDefault="00997455" w:rsidP="00C71DA7">
      <w:pPr>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ATSDR contacted the ADCNR fisheries staff to identify the appropriate wild caught fish species most likely to </w:t>
      </w:r>
      <w:proofErr w:type="gramStart"/>
      <w:r>
        <w:rPr>
          <w:rFonts w:asciiTheme="minorHAnsi" w:hAnsiTheme="minorHAnsi" w:cstheme="minorHAnsi"/>
          <w:sz w:val="24"/>
          <w:szCs w:val="24"/>
        </w:rPr>
        <w:t>be consumed</w:t>
      </w:r>
      <w:proofErr w:type="gramEnd"/>
      <w:r>
        <w:rPr>
          <w:rFonts w:asciiTheme="minorHAnsi" w:hAnsiTheme="minorHAnsi" w:cstheme="minorHAnsi"/>
          <w:sz w:val="24"/>
          <w:szCs w:val="24"/>
        </w:rPr>
        <w:t xml:space="preserve"> from Alabama waters. In addition, state experts </w:t>
      </w:r>
      <w:proofErr w:type="gramStart"/>
      <w:r>
        <w:rPr>
          <w:rFonts w:asciiTheme="minorHAnsi" w:hAnsiTheme="minorHAnsi" w:cstheme="minorHAnsi"/>
          <w:sz w:val="24"/>
          <w:szCs w:val="24"/>
        </w:rPr>
        <w:t>were consulted</w:t>
      </w:r>
      <w:proofErr w:type="gramEnd"/>
      <w:r>
        <w:rPr>
          <w:rFonts w:asciiTheme="minorHAnsi" w:hAnsiTheme="minorHAnsi" w:cstheme="minorHAnsi"/>
          <w:sz w:val="24"/>
          <w:szCs w:val="24"/>
        </w:rPr>
        <w:t xml:space="preserve"> on wild fowl and wildlife most likely to be hunted and consumed by Alabama sport</w:t>
      </w:r>
      <w:r w:rsidR="00A46EA1">
        <w:rPr>
          <w:rFonts w:asciiTheme="minorHAnsi" w:hAnsiTheme="minorHAnsi" w:cstheme="minorHAnsi"/>
          <w:sz w:val="24"/>
          <w:szCs w:val="24"/>
        </w:rPr>
        <w:t>s</w:t>
      </w:r>
      <w:r>
        <w:rPr>
          <w:rFonts w:asciiTheme="minorHAnsi" w:hAnsiTheme="minorHAnsi" w:cstheme="minorHAnsi"/>
          <w:sz w:val="24"/>
          <w:szCs w:val="24"/>
        </w:rPr>
        <w:t>men. In particular, ADCNR advised ATSDR about migratory vs. resident species of wild fowl, and their aquatic vs. terrestrial habitats.</w:t>
      </w:r>
    </w:p>
    <w:p w:rsidR="00873AF0" w:rsidRDefault="00192461" w:rsidP="00C71DA7">
      <w:pPr>
        <w:spacing w:line="240" w:lineRule="auto"/>
        <w:jc w:val="both"/>
        <w:rPr>
          <w:rFonts w:asciiTheme="minorHAnsi" w:hAnsiTheme="minorHAnsi" w:cstheme="minorHAnsi"/>
          <w:sz w:val="24"/>
          <w:szCs w:val="24"/>
        </w:rPr>
      </w:pPr>
      <w:r>
        <w:rPr>
          <w:rFonts w:asciiTheme="minorHAnsi" w:hAnsiTheme="minorHAnsi" w:cstheme="minorHAnsi"/>
          <w:sz w:val="24"/>
          <w:szCs w:val="24"/>
        </w:rPr>
        <w:t>Because of the proposed</w:t>
      </w:r>
      <w:r w:rsidR="00D645EE">
        <w:rPr>
          <w:rFonts w:asciiTheme="minorHAnsi" w:hAnsiTheme="minorHAnsi" w:cstheme="minorHAnsi"/>
          <w:sz w:val="24"/>
          <w:szCs w:val="24"/>
        </w:rPr>
        <w:t xml:space="preserve"> inclusion of</w:t>
      </w:r>
      <w:r w:rsidR="008F23B3">
        <w:rPr>
          <w:rFonts w:asciiTheme="minorHAnsi" w:hAnsiTheme="minorHAnsi" w:cstheme="minorHAnsi"/>
          <w:sz w:val="24"/>
          <w:szCs w:val="24"/>
        </w:rPr>
        <w:t xml:space="preserve"> heavy and trace metals, </w:t>
      </w:r>
      <w:r w:rsidR="00873AF0">
        <w:rPr>
          <w:rFonts w:asciiTheme="minorHAnsi" w:hAnsiTheme="minorHAnsi" w:cstheme="minorHAnsi"/>
          <w:sz w:val="24"/>
          <w:szCs w:val="24"/>
        </w:rPr>
        <w:t xml:space="preserve">ATSDR contacted ADPH staff in the Division of Epidemiology to learn about the state’s reporting requirements for adult blood lead </w:t>
      </w:r>
      <w:r w:rsidR="008F23B3">
        <w:rPr>
          <w:rFonts w:asciiTheme="minorHAnsi" w:hAnsiTheme="minorHAnsi" w:cstheme="minorHAnsi"/>
          <w:sz w:val="24"/>
          <w:szCs w:val="24"/>
        </w:rPr>
        <w:t>surveillance</w:t>
      </w:r>
      <w:r w:rsidR="00873AF0">
        <w:rPr>
          <w:rFonts w:asciiTheme="minorHAnsi" w:hAnsiTheme="minorHAnsi" w:cstheme="minorHAnsi"/>
          <w:sz w:val="24"/>
          <w:szCs w:val="24"/>
        </w:rPr>
        <w:t xml:space="preserve">. These </w:t>
      </w:r>
      <w:r w:rsidR="008F23B3">
        <w:rPr>
          <w:rFonts w:asciiTheme="minorHAnsi" w:hAnsiTheme="minorHAnsi" w:cstheme="minorHAnsi"/>
          <w:sz w:val="24"/>
          <w:szCs w:val="24"/>
        </w:rPr>
        <w:t xml:space="preserve">state-and-CDC </w:t>
      </w:r>
      <w:r w:rsidR="00873AF0">
        <w:rPr>
          <w:rFonts w:asciiTheme="minorHAnsi" w:hAnsiTheme="minorHAnsi" w:cstheme="minorHAnsi"/>
          <w:sz w:val="24"/>
          <w:szCs w:val="24"/>
        </w:rPr>
        <w:t xml:space="preserve">reporting practices </w:t>
      </w:r>
      <w:proofErr w:type="gramStart"/>
      <w:r w:rsidR="00873AF0">
        <w:rPr>
          <w:rFonts w:asciiTheme="minorHAnsi" w:hAnsiTheme="minorHAnsi" w:cstheme="minorHAnsi"/>
          <w:sz w:val="24"/>
          <w:szCs w:val="24"/>
        </w:rPr>
        <w:t>were taken</w:t>
      </w:r>
      <w:proofErr w:type="gramEnd"/>
      <w:r w:rsidR="00873AF0">
        <w:rPr>
          <w:rFonts w:asciiTheme="minorHAnsi" w:hAnsiTheme="minorHAnsi" w:cstheme="minorHAnsi"/>
          <w:sz w:val="24"/>
          <w:szCs w:val="24"/>
        </w:rPr>
        <w:t xml:space="preserve"> into consideration in the development of reporting thresholds for</w:t>
      </w:r>
      <w:r w:rsidR="00AE0D5E">
        <w:rPr>
          <w:rFonts w:asciiTheme="minorHAnsi" w:hAnsiTheme="minorHAnsi" w:cstheme="minorHAnsi"/>
          <w:sz w:val="24"/>
          <w:szCs w:val="24"/>
        </w:rPr>
        <w:t xml:space="preserve"> respondent</w:t>
      </w:r>
      <w:r w:rsidR="00873AF0">
        <w:rPr>
          <w:rFonts w:asciiTheme="minorHAnsi" w:hAnsiTheme="minorHAnsi" w:cstheme="minorHAnsi"/>
          <w:sz w:val="24"/>
          <w:szCs w:val="24"/>
        </w:rPr>
        <w:t xml:space="preserve"> results from the analytical labs. As part of the CDC </w:t>
      </w:r>
      <w:r w:rsidR="00AC72B4">
        <w:rPr>
          <w:rFonts w:asciiTheme="minorHAnsi" w:hAnsiTheme="minorHAnsi" w:cstheme="minorHAnsi"/>
          <w:sz w:val="24"/>
          <w:szCs w:val="24"/>
        </w:rPr>
        <w:t xml:space="preserve">NIOSH </w:t>
      </w:r>
      <w:r w:rsidR="002F4593">
        <w:rPr>
          <w:rFonts w:asciiTheme="minorHAnsi" w:hAnsiTheme="minorHAnsi" w:cstheme="minorHAnsi"/>
          <w:sz w:val="24"/>
          <w:szCs w:val="24"/>
        </w:rPr>
        <w:t>ABLES</w:t>
      </w:r>
      <w:r w:rsidR="00AC72B4">
        <w:rPr>
          <w:rFonts w:asciiTheme="minorHAnsi" w:hAnsiTheme="minorHAnsi" w:cstheme="minorHAnsi"/>
          <w:sz w:val="24"/>
          <w:szCs w:val="24"/>
        </w:rPr>
        <w:t xml:space="preserve"> program, following this advice</w:t>
      </w:r>
      <w:r w:rsidR="00873AF0">
        <w:rPr>
          <w:rFonts w:asciiTheme="minorHAnsi" w:hAnsiTheme="minorHAnsi" w:cstheme="minorHAnsi"/>
          <w:sz w:val="24"/>
          <w:szCs w:val="24"/>
        </w:rPr>
        <w:t xml:space="preserve"> assured that consistency with </w:t>
      </w:r>
      <w:r w:rsidR="00AC72B4">
        <w:rPr>
          <w:rFonts w:asciiTheme="minorHAnsi" w:hAnsiTheme="minorHAnsi" w:cstheme="minorHAnsi"/>
          <w:sz w:val="24"/>
          <w:szCs w:val="24"/>
        </w:rPr>
        <w:t xml:space="preserve">guidance from </w:t>
      </w:r>
      <w:r w:rsidR="00873AF0">
        <w:rPr>
          <w:rFonts w:asciiTheme="minorHAnsi" w:hAnsiTheme="minorHAnsi" w:cstheme="minorHAnsi"/>
          <w:sz w:val="24"/>
          <w:szCs w:val="24"/>
        </w:rPr>
        <w:t xml:space="preserve">CDC/ATSDR </w:t>
      </w:r>
      <w:r w:rsidR="00AC72B4">
        <w:rPr>
          <w:rFonts w:asciiTheme="minorHAnsi" w:hAnsiTheme="minorHAnsi" w:cstheme="minorHAnsi"/>
          <w:sz w:val="24"/>
          <w:szCs w:val="24"/>
        </w:rPr>
        <w:t xml:space="preserve">environmental </w:t>
      </w:r>
      <w:r w:rsidR="00873AF0">
        <w:rPr>
          <w:rFonts w:asciiTheme="minorHAnsi" w:hAnsiTheme="minorHAnsi" w:cstheme="minorHAnsi"/>
          <w:sz w:val="24"/>
          <w:szCs w:val="24"/>
        </w:rPr>
        <w:t>programs was achieved</w:t>
      </w:r>
      <w:r w:rsidR="00B3385D">
        <w:rPr>
          <w:rFonts w:asciiTheme="minorHAnsi" w:hAnsiTheme="minorHAnsi" w:cstheme="minorHAnsi"/>
          <w:sz w:val="24"/>
          <w:szCs w:val="24"/>
        </w:rPr>
        <w:t xml:space="preserve"> (Attachment</w:t>
      </w:r>
      <w:r w:rsidR="009451D5">
        <w:rPr>
          <w:rFonts w:asciiTheme="minorHAnsi" w:hAnsiTheme="minorHAnsi" w:cstheme="minorHAnsi"/>
          <w:sz w:val="24"/>
          <w:szCs w:val="24"/>
        </w:rPr>
        <w:t>s</w:t>
      </w:r>
      <w:r w:rsidR="00B3385D">
        <w:rPr>
          <w:rFonts w:asciiTheme="minorHAnsi" w:hAnsiTheme="minorHAnsi" w:cstheme="minorHAnsi"/>
          <w:sz w:val="24"/>
          <w:szCs w:val="24"/>
        </w:rPr>
        <w:t xml:space="preserve"> 4.2</w:t>
      </w:r>
      <w:r w:rsidR="009451D5">
        <w:rPr>
          <w:rFonts w:asciiTheme="minorHAnsi" w:hAnsiTheme="minorHAnsi" w:cstheme="minorHAnsi"/>
          <w:sz w:val="24"/>
          <w:szCs w:val="24"/>
        </w:rPr>
        <w:t xml:space="preserve"> &amp; 4.3</w:t>
      </w:r>
      <w:r w:rsidR="00B3385D">
        <w:rPr>
          <w:rFonts w:asciiTheme="minorHAnsi" w:hAnsiTheme="minorHAnsi" w:cstheme="minorHAnsi"/>
          <w:sz w:val="24"/>
          <w:szCs w:val="24"/>
        </w:rPr>
        <w:t>)</w:t>
      </w:r>
      <w:r w:rsidR="006874B0">
        <w:rPr>
          <w:rFonts w:asciiTheme="minorHAnsi" w:hAnsiTheme="minorHAnsi" w:cstheme="minorHAnsi"/>
          <w:sz w:val="24"/>
          <w:szCs w:val="24"/>
        </w:rPr>
        <w:t xml:space="preserve">. </w:t>
      </w:r>
    </w:p>
    <w:p w:rsidR="00020EFF" w:rsidRPr="00F46D82" w:rsidRDefault="00F27FF9" w:rsidP="00CD6773">
      <w:pPr>
        <w:pStyle w:val="Heading2"/>
        <w:spacing w:before="360" w:line="240" w:lineRule="auto"/>
        <w:rPr>
          <w:rFonts w:asciiTheme="minorHAnsi" w:hAnsiTheme="minorHAnsi" w:cstheme="minorHAnsi"/>
        </w:rPr>
      </w:pPr>
      <w:bookmarkStart w:id="31" w:name="_Toc296699093"/>
      <w:bookmarkStart w:id="32" w:name="_Toc349489251"/>
      <w:r w:rsidRPr="00F46D82">
        <w:rPr>
          <w:rFonts w:asciiTheme="minorHAnsi" w:hAnsiTheme="minorHAnsi" w:cstheme="minorHAnsi"/>
        </w:rPr>
        <w:t>A.</w:t>
      </w:r>
      <w:r w:rsidR="00020EFF" w:rsidRPr="00F46D82">
        <w:rPr>
          <w:rFonts w:asciiTheme="minorHAnsi" w:hAnsiTheme="minorHAnsi" w:cstheme="minorHAnsi"/>
        </w:rPr>
        <w:t>9. Explanation of Any Payment or Gift to Respondents</w:t>
      </w:r>
      <w:bookmarkEnd w:id="31"/>
      <w:bookmarkEnd w:id="32"/>
    </w:p>
    <w:p w:rsidR="001D504E" w:rsidRPr="003C4F3A" w:rsidRDefault="001D504E" w:rsidP="001D504E">
      <w:pPr>
        <w:widowControl w:val="0"/>
        <w:autoSpaceDE w:val="0"/>
        <w:autoSpaceDN w:val="0"/>
        <w:adjustRightInd w:val="0"/>
        <w:spacing w:after="0" w:line="240" w:lineRule="auto"/>
        <w:jc w:val="both"/>
        <w:rPr>
          <w:rFonts w:cs="Calibri"/>
          <w:sz w:val="24"/>
          <w:szCs w:val="24"/>
        </w:rPr>
      </w:pPr>
      <w:bookmarkStart w:id="33" w:name="_Toc296699094"/>
    </w:p>
    <w:p w:rsidR="00A41639" w:rsidRDefault="00F252DF" w:rsidP="00BB4749">
      <w:pPr>
        <w:spacing w:after="0" w:line="240" w:lineRule="auto"/>
        <w:jc w:val="both"/>
        <w:rPr>
          <w:rFonts w:cs="Calibri"/>
          <w:sz w:val="24"/>
          <w:szCs w:val="24"/>
        </w:rPr>
      </w:pPr>
      <w:r>
        <w:rPr>
          <w:rFonts w:cs="Calibri"/>
          <w:sz w:val="24"/>
          <w:szCs w:val="24"/>
        </w:rPr>
        <w:t>A</w:t>
      </w:r>
      <w:r w:rsidR="001D504E" w:rsidRPr="003C4F3A">
        <w:rPr>
          <w:rFonts w:cs="Calibri"/>
          <w:sz w:val="24"/>
          <w:szCs w:val="24"/>
        </w:rPr>
        <w:t xml:space="preserve">s a token of thanks for </w:t>
      </w:r>
      <w:r w:rsidR="00AE0D5E">
        <w:rPr>
          <w:rFonts w:cs="Calibri"/>
          <w:sz w:val="24"/>
          <w:szCs w:val="24"/>
        </w:rPr>
        <w:t>respondent</w:t>
      </w:r>
      <w:r w:rsidR="001D504E" w:rsidRPr="003C4F3A">
        <w:rPr>
          <w:rFonts w:cs="Calibri"/>
          <w:sz w:val="24"/>
          <w:szCs w:val="24"/>
        </w:rPr>
        <w:t xml:space="preserve">s’ interest and for their willingness to </w:t>
      </w:r>
      <w:r w:rsidR="00EC3F7B">
        <w:rPr>
          <w:rFonts w:cs="Calibri"/>
          <w:sz w:val="24"/>
          <w:szCs w:val="24"/>
        </w:rPr>
        <w:t>participate</w:t>
      </w:r>
      <w:r w:rsidR="001D504E" w:rsidRPr="003C4F3A">
        <w:rPr>
          <w:rFonts w:cs="Calibri"/>
          <w:sz w:val="24"/>
          <w:szCs w:val="24"/>
        </w:rPr>
        <w:t>, a $</w:t>
      </w:r>
      <w:r w:rsidR="00A0746E">
        <w:rPr>
          <w:rFonts w:cs="Calibri"/>
          <w:sz w:val="24"/>
          <w:szCs w:val="24"/>
        </w:rPr>
        <w:t>100</w:t>
      </w:r>
      <w:r w:rsidR="001D504E" w:rsidRPr="003C4F3A">
        <w:rPr>
          <w:rFonts w:cs="Calibri"/>
          <w:sz w:val="24"/>
          <w:szCs w:val="24"/>
        </w:rPr>
        <w:t xml:space="preserve"> gift card </w:t>
      </w:r>
      <w:proofErr w:type="gramStart"/>
      <w:r w:rsidR="001D504E" w:rsidRPr="003C4F3A">
        <w:rPr>
          <w:rFonts w:cs="Calibri"/>
          <w:sz w:val="24"/>
          <w:szCs w:val="24"/>
        </w:rPr>
        <w:t>will be offered</w:t>
      </w:r>
      <w:proofErr w:type="gramEnd"/>
      <w:r w:rsidR="001D504E" w:rsidRPr="003C4F3A">
        <w:rPr>
          <w:rFonts w:cs="Calibri"/>
          <w:sz w:val="24"/>
          <w:szCs w:val="24"/>
        </w:rPr>
        <w:t xml:space="preserve"> to each </w:t>
      </w:r>
      <w:r w:rsidR="00AE0D5E">
        <w:rPr>
          <w:rFonts w:cs="Calibri"/>
          <w:sz w:val="24"/>
          <w:szCs w:val="24"/>
        </w:rPr>
        <w:t>respondent</w:t>
      </w:r>
      <w:r w:rsidR="001D504E" w:rsidRPr="003C4F3A">
        <w:rPr>
          <w:rFonts w:cs="Calibri"/>
          <w:sz w:val="24"/>
          <w:szCs w:val="24"/>
        </w:rPr>
        <w:t xml:space="preserve"> who takes part in both the interview and the blood draw. </w:t>
      </w:r>
      <w:r w:rsidR="00575D9A">
        <w:rPr>
          <w:rFonts w:cs="Calibri"/>
          <w:sz w:val="24"/>
          <w:szCs w:val="24"/>
        </w:rPr>
        <w:t>This token of appreciation</w:t>
      </w:r>
      <w:r w:rsidR="001A6108">
        <w:rPr>
          <w:rFonts w:cs="Calibri"/>
          <w:sz w:val="24"/>
          <w:szCs w:val="24"/>
        </w:rPr>
        <w:t xml:space="preserve"> </w:t>
      </w:r>
      <w:proofErr w:type="gramStart"/>
      <w:r w:rsidR="001A6108">
        <w:rPr>
          <w:rFonts w:cs="Calibri"/>
          <w:sz w:val="24"/>
          <w:szCs w:val="24"/>
        </w:rPr>
        <w:t xml:space="preserve">is </w:t>
      </w:r>
      <w:r w:rsidR="00BB4749">
        <w:rPr>
          <w:rFonts w:cs="Calibri"/>
          <w:sz w:val="24"/>
          <w:szCs w:val="24"/>
        </w:rPr>
        <w:t>recommended</w:t>
      </w:r>
      <w:proofErr w:type="gramEnd"/>
      <w:r w:rsidR="001A6108">
        <w:rPr>
          <w:rFonts w:cs="Calibri"/>
          <w:sz w:val="24"/>
          <w:szCs w:val="24"/>
        </w:rPr>
        <w:t xml:space="preserve"> </w:t>
      </w:r>
      <w:r w:rsidR="00912116">
        <w:rPr>
          <w:rFonts w:cs="Calibri"/>
          <w:sz w:val="24"/>
          <w:szCs w:val="24"/>
        </w:rPr>
        <w:t>for a number of reasons.</w:t>
      </w:r>
    </w:p>
    <w:p w:rsidR="00A41639" w:rsidRDefault="00912116" w:rsidP="00BB4749">
      <w:pPr>
        <w:spacing w:after="0" w:line="240" w:lineRule="auto"/>
        <w:jc w:val="both"/>
        <w:rPr>
          <w:rFonts w:cs="Calibri"/>
          <w:sz w:val="24"/>
          <w:szCs w:val="24"/>
        </w:rPr>
      </w:pPr>
      <w:r>
        <w:rPr>
          <w:rFonts w:cs="Calibri"/>
          <w:sz w:val="24"/>
          <w:szCs w:val="24"/>
        </w:rPr>
        <w:t xml:space="preserve"> </w:t>
      </w:r>
    </w:p>
    <w:p w:rsidR="00A41639" w:rsidRDefault="00912116" w:rsidP="000425C4">
      <w:pPr>
        <w:pStyle w:val="ListParagraph"/>
        <w:rPr>
          <w:rFonts w:cs="Calibri"/>
          <w:sz w:val="24"/>
          <w:szCs w:val="24"/>
        </w:rPr>
      </w:pPr>
      <w:r w:rsidRPr="000425C4">
        <w:rPr>
          <w:rFonts w:cs="Calibri"/>
          <w:sz w:val="24"/>
          <w:szCs w:val="24"/>
        </w:rPr>
        <w:t xml:space="preserve">First, </w:t>
      </w:r>
      <w:r w:rsidR="00BB4749" w:rsidRPr="000425C4">
        <w:rPr>
          <w:rFonts w:cs="Calibri"/>
          <w:sz w:val="24"/>
          <w:szCs w:val="24"/>
        </w:rPr>
        <w:t>the population is extremely fatigued, yet the longitudinal design of this research</w:t>
      </w:r>
      <w:r w:rsidRPr="000425C4">
        <w:rPr>
          <w:rFonts w:cs="Calibri"/>
          <w:sz w:val="24"/>
          <w:szCs w:val="24"/>
        </w:rPr>
        <w:t xml:space="preserve"> design does not allow for replacement respondents from the </w:t>
      </w:r>
      <w:proofErr w:type="gramStart"/>
      <w:r w:rsidRPr="000425C4">
        <w:rPr>
          <w:rFonts w:cs="Calibri"/>
          <w:sz w:val="24"/>
          <w:szCs w:val="24"/>
        </w:rPr>
        <w:t>general public</w:t>
      </w:r>
      <w:proofErr w:type="gramEnd"/>
      <w:r w:rsidRPr="000425C4">
        <w:rPr>
          <w:rFonts w:cs="Calibri"/>
          <w:sz w:val="24"/>
          <w:szCs w:val="24"/>
        </w:rPr>
        <w:t xml:space="preserve">. If the </w:t>
      </w:r>
      <w:r w:rsidR="00EE1C9D" w:rsidRPr="000425C4">
        <w:rPr>
          <w:rFonts w:cs="Calibri"/>
          <w:sz w:val="24"/>
          <w:szCs w:val="24"/>
        </w:rPr>
        <w:t>c</w:t>
      </w:r>
      <w:r w:rsidRPr="000425C4">
        <w:rPr>
          <w:rFonts w:cs="Calibri"/>
          <w:sz w:val="24"/>
          <w:szCs w:val="24"/>
        </w:rPr>
        <w:t xml:space="preserve">ohort members refuse to be involved, we have no way of replacing these individuals. </w:t>
      </w:r>
      <w:r w:rsidR="00BB4749" w:rsidRPr="000425C4">
        <w:rPr>
          <w:rFonts w:cs="Calibri"/>
          <w:sz w:val="24"/>
          <w:szCs w:val="24"/>
        </w:rPr>
        <w:t xml:space="preserve"> </w:t>
      </w:r>
    </w:p>
    <w:p w:rsidR="00A41639" w:rsidRDefault="00A41639" w:rsidP="000425C4">
      <w:pPr>
        <w:pStyle w:val="ListParagraph"/>
        <w:rPr>
          <w:rFonts w:cs="Calibri"/>
          <w:sz w:val="24"/>
          <w:szCs w:val="24"/>
        </w:rPr>
      </w:pPr>
    </w:p>
    <w:p w:rsidR="00A41639" w:rsidRDefault="00BB4749" w:rsidP="000425C4">
      <w:pPr>
        <w:pStyle w:val="ListParagraph"/>
        <w:rPr>
          <w:rFonts w:cs="Calibri"/>
          <w:sz w:val="24"/>
          <w:szCs w:val="24"/>
        </w:rPr>
      </w:pPr>
      <w:r w:rsidRPr="000425C4">
        <w:rPr>
          <w:rFonts w:cs="Calibri"/>
          <w:sz w:val="24"/>
          <w:szCs w:val="24"/>
        </w:rPr>
        <w:t xml:space="preserve">Second, the size of the incentive </w:t>
      </w:r>
      <w:proofErr w:type="gramStart"/>
      <w:r w:rsidRPr="000425C4">
        <w:rPr>
          <w:rFonts w:cs="Calibri"/>
          <w:sz w:val="24"/>
          <w:szCs w:val="24"/>
        </w:rPr>
        <w:t>is designed</w:t>
      </w:r>
      <w:proofErr w:type="gramEnd"/>
      <w:r w:rsidRPr="000425C4">
        <w:rPr>
          <w:rFonts w:cs="Calibri"/>
          <w:sz w:val="24"/>
          <w:szCs w:val="24"/>
        </w:rPr>
        <w:t xml:space="preserve"> to motivate the </w:t>
      </w:r>
      <w:r w:rsidR="00EF472F">
        <w:rPr>
          <w:rFonts w:cs="Calibri"/>
          <w:sz w:val="24"/>
          <w:szCs w:val="24"/>
        </w:rPr>
        <w:t>respondent</w:t>
      </w:r>
      <w:r w:rsidRPr="000425C4">
        <w:rPr>
          <w:rFonts w:cs="Calibri"/>
          <w:sz w:val="24"/>
          <w:szCs w:val="24"/>
        </w:rPr>
        <w:t xml:space="preserve"> to travel to the clinic, as well as cover travel costs</w:t>
      </w:r>
      <w:r w:rsidR="00A41639" w:rsidRPr="000425C4">
        <w:rPr>
          <w:rFonts w:cs="Calibri"/>
          <w:sz w:val="24"/>
          <w:szCs w:val="24"/>
        </w:rPr>
        <w:t xml:space="preserve">. </w:t>
      </w:r>
    </w:p>
    <w:p w:rsidR="00A41639" w:rsidRDefault="00A41639" w:rsidP="00A41639">
      <w:pPr>
        <w:pStyle w:val="ListParagraph"/>
      </w:pPr>
      <w:r w:rsidRPr="000425C4">
        <w:rPr>
          <w:rFonts w:cs="Calibri"/>
          <w:sz w:val="24"/>
          <w:szCs w:val="24"/>
        </w:rPr>
        <w:lastRenderedPageBreak/>
        <w:t xml:space="preserve">Third, </w:t>
      </w:r>
      <w:r>
        <w:t>t</w:t>
      </w:r>
      <w:r w:rsidR="00BB4749">
        <w:t xml:space="preserve">he questionnaire is more extensive questionnaire than administered in the ACHS. Some respondents may spend more time on these questions based on their personal histories. The ACHS-II includes detailed questions on health and reproductive history information, physical activity, weight loss or gain, personal behaviors, work, and hobbies. </w:t>
      </w:r>
      <w:r>
        <w:t xml:space="preserve"> T</w:t>
      </w:r>
      <w:r w:rsidR="00BB4749">
        <w:t>he ACHS-II includes a more extensive exposure history such as patterns of dietary intake, cooking practices, and sources of local foods.</w:t>
      </w:r>
    </w:p>
    <w:p w:rsidR="00A41639" w:rsidRDefault="00A41639" w:rsidP="000425C4">
      <w:pPr>
        <w:pStyle w:val="ListParagraph"/>
      </w:pPr>
    </w:p>
    <w:p w:rsidR="00A41639" w:rsidRDefault="00A41639" w:rsidP="000425C4">
      <w:pPr>
        <w:pStyle w:val="ListParagraph"/>
      </w:pPr>
      <w:r>
        <w:t xml:space="preserve">Fourth, </w:t>
      </w:r>
      <w:r w:rsidR="00BB4749">
        <w:t>the study exam includes anthropometric and blood pressure measurements, as well as a detailed review of all current medications (Attachment 3.13).</w:t>
      </w:r>
      <w:r w:rsidR="00BB4749" w:rsidRPr="00BB4749">
        <w:t xml:space="preserve"> </w:t>
      </w:r>
      <w:r>
        <w:t xml:space="preserve"> </w:t>
      </w:r>
    </w:p>
    <w:p w:rsidR="00A41639" w:rsidRDefault="00A41639" w:rsidP="000425C4">
      <w:pPr>
        <w:pStyle w:val="ListParagraph"/>
      </w:pPr>
    </w:p>
    <w:p w:rsidR="00BB4749" w:rsidRPr="003C4F3A" w:rsidRDefault="00A41639" w:rsidP="000425C4">
      <w:pPr>
        <w:pStyle w:val="ListParagraph"/>
      </w:pPr>
      <w:r>
        <w:t xml:space="preserve">Fifth, </w:t>
      </w:r>
      <w:r w:rsidR="00BB4749">
        <w:t>d</w:t>
      </w:r>
      <w:r w:rsidR="00BB4749">
        <w:t xml:space="preserve">ue to the extensive number of analytical measurements, the respondents </w:t>
      </w:r>
      <w:proofErr w:type="gramStart"/>
      <w:r w:rsidR="00BB4749">
        <w:t>will be asked</w:t>
      </w:r>
      <w:proofErr w:type="gramEnd"/>
      <w:r w:rsidR="00BB4749">
        <w:t xml:space="preserve"> to provide an amount of blood (125-mL) that is larger than most other </w:t>
      </w:r>
      <w:proofErr w:type="spellStart"/>
      <w:r w:rsidR="00BB4749">
        <w:t>biomonitoring</w:t>
      </w:r>
      <w:proofErr w:type="spellEnd"/>
      <w:r w:rsidR="00BB4749">
        <w:t xml:space="preserve"> studies. </w:t>
      </w:r>
    </w:p>
    <w:p w:rsidR="00BB4749" w:rsidRDefault="00BB4749" w:rsidP="00BB4749">
      <w:pPr>
        <w:spacing w:after="0" w:line="240" w:lineRule="auto"/>
        <w:jc w:val="both"/>
        <w:rPr>
          <w:rFonts w:cs="Calibri"/>
          <w:sz w:val="24"/>
          <w:szCs w:val="24"/>
        </w:rPr>
      </w:pPr>
    </w:p>
    <w:p w:rsidR="001D504E" w:rsidRPr="003C4F3A" w:rsidRDefault="001D504E" w:rsidP="001D504E">
      <w:pPr>
        <w:spacing w:after="0" w:line="240" w:lineRule="auto"/>
        <w:jc w:val="both"/>
        <w:rPr>
          <w:rFonts w:cs="Calibri"/>
          <w:sz w:val="24"/>
          <w:szCs w:val="24"/>
        </w:rPr>
      </w:pPr>
      <w:proofErr w:type="gramStart"/>
      <w:r w:rsidRPr="003C4F3A">
        <w:rPr>
          <w:rFonts w:cs="Calibri"/>
          <w:sz w:val="24"/>
          <w:szCs w:val="24"/>
        </w:rPr>
        <w:t xml:space="preserve">If the </w:t>
      </w:r>
      <w:r w:rsidR="00AE0D5E">
        <w:rPr>
          <w:rFonts w:cs="Calibri"/>
          <w:sz w:val="24"/>
          <w:szCs w:val="24"/>
        </w:rPr>
        <w:t>respondent</w:t>
      </w:r>
      <w:r w:rsidRPr="003C4F3A">
        <w:rPr>
          <w:rFonts w:cs="Calibri"/>
          <w:sz w:val="24"/>
          <w:szCs w:val="24"/>
        </w:rPr>
        <w:t xml:space="preserve"> </w:t>
      </w:r>
      <w:r w:rsidR="00BB4749">
        <w:rPr>
          <w:rFonts w:cs="Calibri"/>
          <w:sz w:val="24"/>
          <w:szCs w:val="24"/>
        </w:rPr>
        <w:t xml:space="preserve">does not provide a blood sample but does participate in </w:t>
      </w:r>
      <w:r>
        <w:rPr>
          <w:rFonts w:cs="Calibri"/>
          <w:sz w:val="24"/>
          <w:szCs w:val="24"/>
        </w:rPr>
        <w:t>the interview</w:t>
      </w:r>
      <w:r w:rsidR="00BB4749">
        <w:rPr>
          <w:rFonts w:cs="Calibri"/>
          <w:sz w:val="24"/>
          <w:szCs w:val="24"/>
        </w:rPr>
        <w:t xml:space="preserve"> (questionnaire and other clinical </w:t>
      </w:r>
      <w:proofErr w:type="spellStart"/>
      <w:r w:rsidR="00BB4749">
        <w:rPr>
          <w:rFonts w:cs="Calibri"/>
          <w:sz w:val="24"/>
          <w:szCs w:val="24"/>
        </w:rPr>
        <w:t>measuremnets</w:t>
      </w:r>
      <w:proofErr w:type="spellEnd"/>
      <w:r w:rsidR="00BB4749">
        <w:rPr>
          <w:rFonts w:cs="Calibri"/>
          <w:sz w:val="24"/>
          <w:szCs w:val="24"/>
        </w:rPr>
        <w:t>)</w:t>
      </w:r>
      <w:r>
        <w:rPr>
          <w:rFonts w:cs="Calibri"/>
          <w:sz w:val="24"/>
          <w:szCs w:val="24"/>
        </w:rPr>
        <w:t>, a $</w:t>
      </w:r>
      <w:r w:rsidR="00A0746E">
        <w:rPr>
          <w:rFonts w:cs="Calibri"/>
          <w:sz w:val="24"/>
          <w:szCs w:val="24"/>
        </w:rPr>
        <w:t>50</w:t>
      </w:r>
      <w:r w:rsidRPr="003C4F3A">
        <w:rPr>
          <w:rFonts w:cs="Calibri"/>
          <w:sz w:val="24"/>
          <w:szCs w:val="24"/>
        </w:rPr>
        <w:t xml:space="preserve"> gift card will be offered.</w:t>
      </w:r>
      <w:proofErr w:type="gramEnd"/>
      <w:r w:rsidRPr="003C4F3A">
        <w:rPr>
          <w:rFonts w:cs="Calibri"/>
          <w:sz w:val="24"/>
          <w:szCs w:val="24"/>
        </w:rPr>
        <w:t xml:space="preserve"> </w:t>
      </w:r>
      <w:r w:rsidR="00540DC3">
        <w:rPr>
          <w:rFonts w:cs="Calibri"/>
          <w:sz w:val="24"/>
          <w:szCs w:val="24"/>
        </w:rPr>
        <w:t xml:space="preserve">Offering a $50 gift card for this part of the information collection is </w:t>
      </w:r>
      <w:r w:rsidR="00BB4749">
        <w:rPr>
          <w:rFonts w:cs="Calibri"/>
          <w:sz w:val="24"/>
          <w:szCs w:val="24"/>
        </w:rPr>
        <w:t xml:space="preserve">consistent with the justification above – even without the blood sample, the respondent information obtained via </w:t>
      </w:r>
      <w:proofErr w:type="spellStart"/>
      <w:r w:rsidR="00BB4749">
        <w:rPr>
          <w:rFonts w:cs="Calibri"/>
          <w:sz w:val="24"/>
          <w:szCs w:val="24"/>
        </w:rPr>
        <w:t>qusitonnaire</w:t>
      </w:r>
      <w:proofErr w:type="spellEnd"/>
      <w:r w:rsidR="00BB4749">
        <w:rPr>
          <w:rFonts w:cs="Calibri"/>
          <w:sz w:val="24"/>
          <w:szCs w:val="24"/>
        </w:rPr>
        <w:t xml:space="preserve"> and clinical measurements is critical, and the fatigued population needs an incentive to travel to participate.  </w:t>
      </w:r>
      <w:r w:rsidR="00E700DD">
        <w:rPr>
          <w:rFonts w:cs="Calibri"/>
          <w:sz w:val="24"/>
          <w:szCs w:val="24"/>
        </w:rPr>
        <w:t>L</w:t>
      </w:r>
      <w:r w:rsidR="001A6108" w:rsidRPr="003C4F3A">
        <w:rPr>
          <w:rFonts w:cs="Calibri"/>
          <w:sz w:val="24"/>
          <w:szCs w:val="24"/>
        </w:rPr>
        <w:t>ikewise, for choosing to take part only in the blood draw, a $</w:t>
      </w:r>
      <w:r w:rsidR="001A6108">
        <w:rPr>
          <w:rFonts w:cs="Calibri"/>
          <w:sz w:val="24"/>
          <w:szCs w:val="24"/>
        </w:rPr>
        <w:t>50</w:t>
      </w:r>
      <w:r w:rsidR="001A6108" w:rsidRPr="003C4F3A">
        <w:rPr>
          <w:rFonts w:cs="Calibri"/>
          <w:sz w:val="24"/>
          <w:szCs w:val="24"/>
        </w:rPr>
        <w:t xml:space="preserve"> gift card </w:t>
      </w:r>
      <w:proofErr w:type="gramStart"/>
      <w:r w:rsidR="001A6108" w:rsidRPr="003C4F3A">
        <w:rPr>
          <w:rFonts w:cs="Calibri"/>
          <w:sz w:val="24"/>
          <w:szCs w:val="24"/>
        </w:rPr>
        <w:t>will be offered</w:t>
      </w:r>
      <w:proofErr w:type="gramEnd"/>
      <w:r w:rsidR="00DA3E14">
        <w:rPr>
          <w:rFonts w:cs="Calibri"/>
          <w:sz w:val="24"/>
          <w:szCs w:val="24"/>
        </w:rPr>
        <w:t xml:space="preserve">. </w:t>
      </w:r>
    </w:p>
    <w:p w:rsidR="001D504E" w:rsidRDefault="001D504E" w:rsidP="001D504E">
      <w:pPr>
        <w:widowControl w:val="0"/>
        <w:autoSpaceDE w:val="0"/>
        <w:autoSpaceDN w:val="0"/>
        <w:adjustRightInd w:val="0"/>
        <w:spacing w:after="0" w:line="240" w:lineRule="auto"/>
        <w:jc w:val="both"/>
        <w:rPr>
          <w:rFonts w:cs="Calibri"/>
          <w:sz w:val="24"/>
          <w:szCs w:val="24"/>
        </w:rPr>
      </w:pPr>
    </w:p>
    <w:p w:rsidR="001A6108" w:rsidRPr="003C4F3A" w:rsidRDefault="001A6108" w:rsidP="005058A9">
      <w:pPr>
        <w:spacing w:after="0" w:line="240" w:lineRule="auto"/>
        <w:jc w:val="both"/>
        <w:rPr>
          <w:rFonts w:cs="Calibri"/>
          <w:sz w:val="24"/>
          <w:szCs w:val="24"/>
        </w:rPr>
      </w:pPr>
      <w:r w:rsidRPr="003C4F3A">
        <w:rPr>
          <w:rFonts w:cs="Calibri"/>
          <w:bCs/>
          <w:sz w:val="24"/>
          <w:szCs w:val="24"/>
        </w:rPr>
        <w:t xml:space="preserve">Payments </w:t>
      </w:r>
      <w:proofErr w:type="gramStart"/>
      <w:r w:rsidRPr="003C4F3A">
        <w:rPr>
          <w:rFonts w:cs="Calibri"/>
          <w:bCs/>
          <w:sz w:val="24"/>
          <w:szCs w:val="24"/>
        </w:rPr>
        <w:t>will be documented</w:t>
      </w:r>
      <w:proofErr w:type="gramEnd"/>
      <w:r w:rsidRPr="003C4F3A">
        <w:rPr>
          <w:rFonts w:cs="Calibri"/>
          <w:bCs/>
          <w:sz w:val="24"/>
          <w:szCs w:val="24"/>
        </w:rPr>
        <w:t xml:space="preserve"> on</w:t>
      </w:r>
      <w:r>
        <w:rPr>
          <w:rFonts w:cs="Calibri"/>
          <w:bCs/>
          <w:sz w:val="24"/>
          <w:szCs w:val="24"/>
        </w:rPr>
        <w:t xml:space="preserve"> the Appointment Tracking Form (</w:t>
      </w:r>
      <w:r w:rsidRPr="0089630F">
        <w:rPr>
          <w:rFonts w:cs="Calibri"/>
          <w:sz w:val="24"/>
          <w:szCs w:val="24"/>
        </w:rPr>
        <w:t>Attachment</w:t>
      </w:r>
      <w:r w:rsidRPr="003C4F3A">
        <w:rPr>
          <w:rFonts w:cs="Calibri"/>
          <w:bCs/>
          <w:sz w:val="24"/>
          <w:szCs w:val="24"/>
        </w:rPr>
        <w:t xml:space="preserve"> 3.14</w:t>
      </w:r>
      <w:r>
        <w:rPr>
          <w:rFonts w:cs="Calibri"/>
          <w:bCs/>
          <w:sz w:val="24"/>
          <w:szCs w:val="24"/>
        </w:rPr>
        <w:t>)</w:t>
      </w:r>
      <w:r w:rsidRPr="003C4F3A">
        <w:rPr>
          <w:rFonts w:cs="Calibri"/>
          <w:bCs/>
          <w:sz w:val="24"/>
          <w:szCs w:val="24"/>
        </w:rPr>
        <w:t xml:space="preserve">. </w:t>
      </w:r>
    </w:p>
    <w:p w:rsidR="00020EFF" w:rsidRPr="00F46D82" w:rsidRDefault="00F27FF9" w:rsidP="00CD6773">
      <w:pPr>
        <w:pStyle w:val="Heading2"/>
        <w:spacing w:before="360"/>
        <w:rPr>
          <w:rFonts w:asciiTheme="minorHAnsi" w:hAnsiTheme="minorHAnsi" w:cstheme="minorHAnsi"/>
        </w:rPr>
      </w:pPr>
      <w:bookmarkStart w:id="34" w:name="_Toc349489252"/>
      <w:r w:rsidRPr="00F46D82">
        <w:rPr>
          <w:rFonts w:asciiTheme="minorHAnsi" w:hAnsiTheme="minorHAnsi" w:cstheme="minorHAnsi"/>
        </w:rPr>
        <w:t>A.</w:t>
      </w:r>
      <w:r w:rsidR="00020EFF" w:rsidRPr="00F46D82">
        <w:rPr>
          <w:rFonts w:asciiTheme="minorHAnsi" w:hAnsiTheme="minorHAnsi" w:cstheme="minorHAnsi"/>
        </w:rPr>
        <w:t>10. Assurance of Confidentiality Provided to Respondents</w:t>
      </w:r>
      <w:bookmarkEnd w:id="33"/>
      <w:bookmarkEnd w:id="34"/>
    </w:p>
    <w:p w:rsidR="000C4397" w:rsidRPr="000421F5" w:rsidRDefault="000C4397" w:rsidP="000421F5">
      <w:pPr>
        <w:pStyle w:val="Heading3"/>
        <w:rPr>
          <w:rFonts w:asciiTheme="minorHAnsi" w:hAnsiTheme="minorHAnsi"/>
        </w:rPr>
      </w:pPr>
      <w:bookmarkStart w:id="35" w:name="_Toc349489253"/>
      <w:r w:rsidRPr="000421F5">
        <w:rPr>
          <w:rFonts w:asciiTheme="minorHAnsi" w:hAnsiTheme="minorHAnsi"/>
        </w:rPr>
        <w:t>A.10.1. Privacy Impact Assessment Information</w:t>
      </w:r>
      <w:bookmarkEnd w:id="35"/>
    </w:p>
    <w:p w:rsidR="00740AEA" w:rsidRPr="00F46D82" w:rsidRDefault="00740AEA" w:rsidP="00CD6773">
      <w:pPr>
        <w:spacing w:after="0" w:line="240" w:lineRule="auto"/>
        <w:rPr>
          <w:rFonts w:asciiTheme="minorHAnsi" w:eastAsia="Times New Roman" w:hAnsiTheme="minorHAnsi" w:cstheme="minorHAnsi"/>
          <w:sz w:val="24"/>
          <w:szCs w:val="24"/>
        </w:rPr>
      </w:pPr>
    </w:p>
    <w:p w:rsidR="009F0597" w:rsidRPr="009B1FEA" w:rsidRDefault="00895B92" w:rsidP="000421F5">
      <w:pPr>
        <w:spacing w:after="0" w:line="240" w:lineRule="auto"/>
        <w:jc w:val="both"/>
        <w:rPr>
          <w:sz w:val="24"/>
          <w:szCs w:val="24"/>
        </w:rPr>
      </w:pPr>
      <w:r w:rsidRPr="00422E82">
        <w:rPr>
          <w:sz w:val="24"/>
          <w:szCs w:val="24"/>
        </w:rPr>
        <w:t>This supporting statement is taking the place of a full privacy impact assessm</w:t>
      </w:r>
      <w:r w:rsidR="00C71DA7">
        <w:rPr>
          <w:sz w:val="24"/>
          <w:szCs w:val="24"/>
        </w:rPr>
        <w:t>ent.</w:t>
      </w:r>
      <w:r w:rsidRPr="00422E82">
        <w:rPr>
          <w:sz w:val="24"/>
          <w:szCs w:val="24"/>
        </w:rPr>
        <w:t xml:space="preserve"> The Office of the Chi</w:t>
      </w:r>
      <w:r w:rsidRPr="009B1FEA">
        <w:rPr>
          <w:sz w:val="24"/>
          <w:szCs w:val="24"/>
        </w:rPr>
        <w:t>ef Information System Security Offi</w:t>
      </w:r>
      <w:r w:rsidR="009458A1" w:rsidRPr="009B1FEA">
        <w:rPr>
          <w:sz w:val="24"/>
          <w:szCs w:val="24"/>
        </w:rPr>
        <w:t>cer has reviewed the subject Request for Proposal Statement of Work (RFP</w:t>
      </w:r>
      <w:r w:rsidRPr="009B1FEA">
        <w:rPr>
          <w:sz w:val="24"/>
          <w:szCs w:val="24"/>
        </w:rPr>
        <w:t>/SOW</w:t>
      </w:r>
      <w:r w:rsidR="009458A1" w:rsidRPr="009B1FEA">
        <w:rPr>
          <w:sz w:val="24"/>
          <w:szCs w:val="24"/>
        </w:rPr>
        <w:t>)</w:t>
      </w:r>
      <w:r w:rsidR="00C135AE">
        <w:rPr>
          <w:sz w:val="24"/>
          <w:szCs w:val="24"/>
        </w:rPr>
        <w:t>. T</w:t>
      </w:r>
      <w:r w:rsidRPr="009B1FEA">
        <w:rPr>
          <w:sz w:val="24"/>
          <w:szCs w:val="24"/>
        </w:rPr>
        <w:t>he requested I</w:t>
      </w:r>
      <w:r w:rsidR="008D0B7E" w:rsidRPr="009B1FEA">
        <w:rPr>
          <w:sz w:val="24"/>
          <w:szCs w:val="24"/>
        </w:rPr>
        <w:t>nformation Technology (IT)</w:t>
      </w:r>
      <w:r w:rsidRPr="009B1FEA">
        <w:rPr>
          <w:sz w:val="24"/>
          <w:szCs w:val="24"/>
        </w:rPr>
        <w:t xml:space="preserve"> Security and Privacy cle</w:t>
      </w:r>
      <w:r w:rsidR="003F335E" w:rsidRPr="009B1FEA">
        <w:rPr>
          <w:sz w:val="24"/>
          <w:szCs w:val="24"/>
        </w:rPr>
        <w:t xml:space="preserve">arances </w:t>
      </w:r>
      <w:proofErr w:type="gramStart"/>
      <w:r w:rsidR="003F335E" w:rsidRPr="009B1FEA">
        <w:rPr>
          <w:sz w:val="24"/>
          <w:szCs w:val="24"/>
        </w:rPr>
        <w:t>were granted</w:t>
      </w:r>
      <w:proofErr w:type="gramEnd"/>
      <w:r w:rsidR="003F335E" w:rsidRPr="009B1FEA">
        <w:rPr>
          <w:sz w:val="24"/>
          <w:szCs w:val="24"/>
        </w:rPr>
        <w:t xml:space="preserve"> on 03/25/2012.</w:t>
      </w:r>
      <w:r w:rsidR="009F0597" w:rsidRPr="009B1FEA">
        <w:rPr>
          <w:sz w:val="24"/>
          <w:szCs w:val="24"/>
        </w:rPr>
        <w:t xml:space="preserve"> It was determined that</w:t>
      </w:r>
      <w:r w:rsidR="00C71DA7">
        <w:rPr>
          <w:sz w:val="24"/>
          <w:szCs w:val="24"/>
        </w:rPr>
        <w:t xml:space="preserve"> the Privacy Act is applicable.</w:t>
      </w:r>
      <w:r w:rsidR="009F0597" w:rsidRPr="009B1FEA">
        <w:rPr>
          <w:sz w:val="24"/>
          <w:szCs w:val="24"/>
        </w:rPr>
        <w:t xml:space="preserve"> The pertinent system of records notice (SORN) is 09-19-0001, “Records of Persons </w:t>
      </w:r>
      <w:proofErr w:type="gramStart"/>
      <w:r w:rsidR="009F0597" w:rsidRPr="009B1FEA">
        <w:rPr>
          <w:sz w:val="24"/>
          <w:szCs w:val="24"/>
        </w:rPr>
        <w:t>Exposed</w:t>
      </w:r>
      <w:proofErr w:type="gramEnd"/>
      <w:r w:rsidR="009F0597" w:rsidRPr="009B1FEA">
        <w:rPr>
          <w:sz w:val="24"/>
          <w:szCs w:val="24"/>
        </w:rPr>
        <w:t xml:space="preserve"> or Potentially Exposed to Hazardous or Toxic Substances.” ATSDR has contracted with the UAB who will recruit and enroll </w:t>
      </w:r>
      <w:r w:rsidR="00AE0D5E">
        <w:rPr>
          <w:sz w:val="24"/>
          <w:szCs w:val="24"/>
        </w:rPr>
        <w:t xml:space="preserve">members of </w:t>
      </w:r>
      <w:r w:rsidR="009F0597" w:rsidRPr="009B1FEA">
        <w:rPr>
          <w:sz w:val="24"/>
          <w:szCs w:val="24"/>
        </w:rPr>
        <w:t>the ACHS Co</w:t>
      </w:r>
      <w:r w:rsidR="00C71DA7">
        <w:rPr>
          <w:sz w:val="24"/>
          <w:szCs w:val="24"/>
        </w:rPr>
        <w:t>hort to conduct the study.</w:t>
      </w:r>
      <w:r w:rsidR="009F0597" w:rsidRPr="009B1FEA">
        <w:rPr>
          <w:sz w:val="24"/>
          <w:szCs w:val="24"/>
        </w:rPr>
        <w:t xml:space="preserve"> </w:t>
      </w:r>
      <w:r w:rsidR="00AE0D5E">
        <w:rPr>
          <w:rFonts w:cs="Calibri"/>
          <w:sz w:val="24"/>
          <w:szCs w:val="24"/>
        </w:rPr>
        <w:t>Respondent</w:t>
      </w:r>
      <w:r w:rsidR="009F0597" w:rsidRPr="009B1FEA">
        <w:rPr>
          <w:sz w:val="24"/>
          <w:szCs w:val="24"/>
        </w:rPr>
        <w:t xml:space="preserve">s </w:t>
      </w:r>
      <w:proofErr w:type="gramStart"/>
      <w:r w:rsidR="009F0597" w:rsidRPr="009B1FEA">
        <w:rPr>
          <w:sz w:val="24"/>
          <w:szCs w:val="24"/>
        </w:rPr>
        <w:t>will be informed</w:t>
      </w:r>
      <w:proofErr w:type="gramEnd"/>
      <w:r w:rsidR="009F0597" w:rsidRPr="009B1FEA">
        <w:rPr>
          <w:sz w:val="24"/>
          <w:szCs w:val="24"/>
        </w:rPr>
        <w:t xml:space="preserve"> of test results at the conclusion of the study; hence, full names an</w:t>
      </w:r>
      <w:r w:rsidR="00C71DA7">
        <w:rPr>
          <w:sz w:val="24"/>
          <w:szCs w:val="24"/>
        </w:rPr>
        <w:t>d addresses must be maintained.</w:t>
      </w:r>
      <w:r w:rsidR="009F0597" w:rsidRPr="009B1FEA">
        <w:rPr>
          <w:sz w:val="24"/>
          <w:szCs w:val="24"/>
        </w:rPr>
        <w:t xml:space="preserve"> Other items of IIF such as phone number and date of birth </w:t>
      </w:r>
      <w:proofErr w:type="gramStart"/>
      <w:r w:rsidR="009F0597" w:rsidRPr="009B1FEA">
        <w:rPr>
          <w:sz w:val="24"/>
          <w:szCs w:val="24"/>
        </w:rPr>
        <w:t>are also n</w:t>
      </w:r>
      <w:r w:rsidR="00C71DA7">
        <w:rPr>
          <w:sz w:val="24"/>
          <w:szCs w:val="24"/>
        </w:rPr>
        <w:t>eeded</w:t>
      </w:r>
      <w:proofErr w:type="gramEnd"/>
      <w:r w:rsidR="00C71DA7">
        <w:rPr>
          <w:sz w:val="24"/>
          <w:szCs w:val="24"/>
        </w:rPr>
        <w:t xml:space="preserve">. </w:t>
      </w:r>
      <w:r w:rsidR="009F0597" w:rsidRPr="009B1FEA">
        <w:rPr>
          <w:sz w:val="24"/>
          <w:szCs w:val="24"/>
        </w:rPr>
        <w:t xml:space="preserve">Privacy measures will be in place as described in the administrative, physical, </w:t>
      </w:r>
      <w:r w:rsidR="00C71DA7">
        <w:rPr>
          <w:sz w:val="24"/>
          <w:szCs w:val="24"/>
        </w:rPr>
        <w:t>and technical control sections.</w:t>
      </w:r>
      <w:r w:rsidR="009F0597" w:rsidRPr="009B1FEA">
        <w:rPr>
          <w:sz w:val="24"/>
          <w:szCs w:val="24"/>
        </w:rPr>
        <w:t xml:space="preserve"> Paramount is the use of a study ID on data collection instruments, IIF </w:t>
      </w:r>
      <w:proofErr w:type="gramStart"/>
      <w:r w:rsidR="009F0597" w:rsidRPr="009B1FEA">
        <w:rPr>
          <w:sz w:val="24"/>
          <w:szCs w:val="24"/>
        </w:rPr>
        <w:t>being kept</w:t>
      </w:r>
      <w:proofErr w:type="gramEnd"/>
      <w:r w:rsidR="009F0597" w:rsidRPr="009B1FEA">
        <w:rPr>
          <w:sz w:val="24"/>
          <w:szCs w:val="24"/>
        </w:rPr>
        <w:t xml:space="preserve"> separately from th</w:t>
      </w:r>
      <w:r w:rsidR="002D4CE1">
        <w:rPr>
          <w:sz w:val="24"/>
          <w:szCs w:val="24"/>
        </w:rPr>
        <w:t xml:space="preserve">e questionnaire responses, with </w:t>
      </w:r>
      <w:r w:rsidR="009F0597" w:rsidRPr="009B1FEA">
        <w:rPr>
          <w:sz w:val="24"/>
          <w:szCs w:val="24"/>
        </w:rPr>
        <w:t xml:space="preserve">access to </w:t>
      </w:r>
      <w:r w:rsidR="00C71DA7">
        <w:rPr>
          <w:sz w:val="24"/>
          <w:szCs w:val="24"/>
        </w:rPr>
        <w:t>the master key dataset strictly</w:t>
      </w:r>
      <w:r w:rsidR="00056518">
        <w:rPr>
          <w:sz w:val="24"/>
          <w:szCs w:val="24"/>
        </w:rPr>
        <w:t xml:space="preserve"> </w:t>
      </w:r>
      <w:r w:rsidR="009F0597" w:rsidRPr="009B1FEA">
        <w:rPr>
          <w:sz w:val="24"/>
          <w:szCs w:val="24"/>
        </w:rPr>
        <w:t>limited to a small number</w:t>
      </w:r>
      <w:r w:rsidR="00C71DA7">
        <w:rPr>
          <w:sz w:val="24"/>
          <w:szCs w:val="24"/>
        </w:rPr>
        <w:t xml:space="preserve"> of authorized study personnel.</w:t>
      </w:r>
      <w:r w:rsidR="009F0597" w:rsidRPr="009B1FEA">
        <w:rPr>
          <w:sz w:val="24"/>
          <w:szCs w:val="24"/>
        </w:rPr>
        <w:t xml:space="preserve"> The link </w:t>
      </w:r>
      <w:proofErr w:type="gramStart"/>
      <w:r w:rsidR="009F0597" w:rsidRPr="009B1FEA">
        <w:rPr>
          <w:sz w:val="24"/>
          <w:szCs w:val="24"/>
        </w:rPr>
        <w:t>will be maintained</w:t>
      </w:r>
      <w:proofErr w:type="gramEnd"/>
      <w:r w:rsidR="009F0597" w:rsidRPr="009B1FEA">
        <w:rPr>
          <w:sz w:val="24"/>
          <w:szCs w:val="24"/>
        </w:rPr>
        <w:t xml:space="preserve"> by both the UAB and the ATSDR during the study. </w:t>
      </w:r>
    </w:p>
    <w:p w:rsidR="0013500B" w:rsidRDefault="0013500B" w:rsidP="000421F5">
      <w:pPr>
        <w:spacing w:after="0" w:line="240" w:lineRule="auto"/>
        <w:rPr>
          <w:sz w:val="24"/>
          <w:szCs w:val="24"/>
        </w:rPr>
      </w:pPr>
    </w:p>
    <w:p w:rsidR="00635DA0" w:rsidRDefault="0013500B" w:rsidP="000421F5">
      <w:pPr>
        <w:spacing w:after="0" w:line="240" w:lineRule="auto"/>
        <w:jc w:val="both"/>
        <w:rPr>
          <w:sz w:val="24"/>
          <w:szCs w:val="24"/>
        </w:rPr>
      </w:pPr>
      <w:r>
        <w:rPr>
          <w:sz w:val="24"/>
          <w:szCs w:val="24"/>
        </w:rPr>
        <w:t>As part of the human subjects protections, the respondent will be informed that provision of infor</w:t>
      </w:r>
      <w:r w:rsidR="00583060">
        <w:rPr>
          <w:sz w:val="24"/>
          <w:szCs w:val="24"/>
        </w:rPr>
        <w:t>mation is voluntary</w:t>
      </w:r>
      <w:r w:rsidR="00090BD1">
        <w:rPr>
          <w:sz w:val="24"/>
          <w:szCs w:val="24"/>
        </w:rPr>
        <w:t xml:space="preserve"> in invitational materials</w:t>
      </w:r>
      <w:r w:rsidR="00583060">
        <w:rPr>
          <w:sz w:val="24"/>
          <w:szCs w:val="24"/>
        </w:rPr>
        <w:t xml:space="preserve"> (Attachment 3.2</w:t>
      </w:r>
      <w:r w:rsidR="00090BD1">
        <w:rPr>
          <w:sz w:val="24"/>
          <w:szCs w:val="24"/>
        </w:rPr>
        <w:t>)</w:t>
      </w:r>
      <w:r w:rsidR="00B13C33">
        <w:rPr>
          <w:sz w:val="24"/>
          <w:szCs w:val="24"/>
        </w:rPr>
        <w:t xml:space="preserve"> and during informed consent</w:t>
      </w:r>
      <w:r w:rsidR="00090BD1">
        <w:rPr>
          <w:sz w:val="24"/>
          <w:szCs w:val="24"/>
        </w:rPr>
        <w:t xml:space="preserve">. Written informed consent </w:t>
      </w:r>
      <w:proofErr w:type="gramStart"/>
      <w:r w:rsidR="00090BD1">
        <w:rPr>
          <w:sz w:val="24"/>
          <w:szCs w:val="24"/>
        </w:rPr>
        <w:t>will be obtained</w:t>
      </w:r>
      <w:proofErr w:type="gramEnd"/>
      <w:r w:rsidR="00090BD1">
        <w:rPr>
          <w:sz w:val="24"/>
          <w:szCs w:val="24"/>
        </w:rPr>
        <w:t xml:space="preserve"> on the day of the respondent</w:t>
      </w:r>
      <w:r w:rsidR="00610C81">
        <w:rPr>
          <w:sz w:val="24"/>
          <w:szCs w:val="24"/>
        </w:rPr>
        <w:t>’s</w:t>
      </w:r>
      <w:r w:rsidR="00090BD1">
        <w:rPr>
          <w:sz w:val="24"/>
          <w:szCs w:val="24"/>
        </w:rPr>
        <w:t xml:space="preserve"> appointment</w:t>
      </w:r>
      <w:r w:rsidR="00583060">
        <w:rPr>
          <w:sz w:val="24"/>
          <w:szCs w:val="24"/>
        </w:rPr>
        <w:t xml:space="preserve"> </w:t>
      </w:r>
      <w:r w:rsidR="00090BD1">
        <w:rPr>
          <w:sz w:val="24"/>
          <w:szCs w:val="24"/>
        </w:rPr>
        <w:t>(</w:t>
      </w:r>
      <w:r w:rsidR="00583060">
        <w:rPr>
          <w:sz w:val="24"/>
          <w:szCs w:val="24"/>
        </w:rPr>
        <w:t>Attachment 3.8 – Informed Consent Form)</w:t>
      </w:r>
      <w:r w:rsidR="00090BD1">
        <w:rPr>
          <w:sz w:val="24"/>
          <w:szCs w:val="24"/>
        </w:rPr>
        <w:t>.</w:t>
      </w:r>
    </w:p>
    <w:p w:rsidR="00635DA0" w:rsidRDefault="00635DA0" w:rsidP="000421F5">
      <w:pPr>
        <w:spacing w:after="0" w:line="240" w:lineRule="auto"/>
        <w:rPr>
          <w:sz w:val="24"/>
          <w:szCs w:val="24"/>
        </w:rPr>
      </w:pPr>
    </w:p>
    <w:p w:rsidR="00635DA0" w:rsidRPr="002D21BA" w:rsidRDefault="00635DA0" w:rsidP="000421F5">
      <w:pPr>
        <w:spacing w:after="0" w:line="240" w:lineRule="auto"/>
        <w:jc w:val="both"/>
        <w:rPr>
          <w:rFonts w:asciiTheme="minorHAnsi" w:eastAsia="Times New Roman" w:hAnsiTheme="minorHAnsi" w:cstheme="minorHAnsi"/>
          <w:sz w:val="24"/>
          <w:szCs w:val="24"/>
        </w:rPr>
      </w:pPr>
      <w:r w:rsidRPr="002D21BA">
        <w:rPr>
          <w:rFonts w:asciiTheme="minorHAnsi" w:eastAsia="Times New Roman" w:hAnsiTheme="minorHAnsi" w:cstheme="minorHAnsi"/>
          <w:sz w:val="24"/>
          <w:szCs w:val="24"/>
        </w:rPr>
        <w:t xml:space="preserve">The ATSDR PI and the UAB project director will be responsible for all required staff training and certification, periodic checks of procedures and data collection methods, privacy, and security of data, as well as </w:t>
      </w:r>
      <w:r w:rsidR="00B90E24">
        <w:rPr>
          <w:rFonts w:asciiTheme="minorHAnsi" w:eastAsia="Times New Roman" w:hAnsiTheme="minorHAnsi" w:cstheme="minorHAnsi"/>
          <w:sz w:val="24"/>
          <w:szCs w:val="24"/>
        </w:rPr>
        <w:t>the access of authoriz</w:t>
      </w:r>
      <w:r w:rsidRPr="002D21BA">
        <w:rPr>
          <w:rFonts w:asciiTheme="minorHAnsi" w:eastAsia="Times New Roman" w:hAnsiTheme="minorHAnsi" w:cstheme="minorHAnsi"/>
          <w:sz w:val="24"/>
          <w:szCs w:val="24"/>
        </w:rPr>
        <w:t xml:space="preserve">ed personnel and contractors to different types of data. </w:t>
      </w:r>
      <w:r w:rsidRPr="002D21BA">
        <w:rPr>
          <w:sz w:val="24"/>
          <w:szCs w:val="24"/>
        </w:rPr>
        <w:t xml:space="preserve">For this IC, </w:t>
      </w:r>
      <w:r>
        <w:rPr>
          <w:sz w:val="24"/>
          <w:szCs w:val="24"/>
        </w:rPr>
        <w:t>a</w:t>
      </w:r>
      <w:r w:rsidRPr="002D21BA">
        <w:rPr>
          <w:sz w:val="24"/>
          <w:szCs w:val="24"/>
        </w:rPr>
        <w:t xml:space="preserve">ll study staff will be under the direct supervision of </w:t>
      </w:r>
      <w:r w:rsidR="00C1088D">
        <w:rPr>
          <w:sz w:val="24"/>
          <w:szCs w:val="24"/>
        </w:rPr>
        <w:t>the UAB on-site supervisor. Under a</w:t>
      </w:r>
      <w:r w:rsidR="00C1088D">
        <w:rPr>
          <w:rFonts w:asciiTheme="minorHAnsi" w:hAnsiTheme="minorHAnsi" w:cstheme="minorHAnsi"/>
          <w:sz w:val="24"/>
          <w:szCs w:val="24"/>
        </w:rPr>
        <w:t xml:space="preserve"> subcontract with the UAB, t</w:t>
      </w:r>
      <w:r w:rsidRPr="002D21BA">
        <w:rPr>
          <w:rFonts w:asciiTheme="minorHAnsi" w:hAnsiTheme="minorHAnsi" w:cstheme="minorHAnsi"/>
          <w:sz w:val="24"/>
          <w:szCs w:val="24"/>
        </w:rPr>
        <w:t>he CCHD will supply office space at the health departm</w:t>
      </w:r>
      <w:r w:rsidR="00AC39E4">
        <w:rPr>
          <w:rFonts w:asciiTheme="minorHAnsi" w:hAnsiTheme="minorHAnsi" w:cstheme="minorHAnsi"/>
          <w:sz w:val="24"/>
          <w:szCs w:val="24"/>
        </w:rPr>
        <w:t>ent for interview</w:t>
      </w:r>
      <w:r w:rsidRPr="002D21BA">
        <w:rPr>
          <w:rFonts w:asciiTheme="minorHAnsi" w:hAnsiTheme="minorHAnsi" w:cstheme="minorHAnsi"/>
          <w:sz w:val="24"/>
          <w:szCs w:val="24"/>
        </w:rPr>
        <w:t>s</w:t>
      </w:r>
      <w:r w:rsidR="00AC39E4">
        <w:rPr>
          <w:rFonts w:asciiTheme="minorHAnsi" w:hAnsiTheme="minorHAnsi" w:cstheme="minorHAnsi"/>
          <w:sz w:val="24"/>
          <w:szCs w:val="24"/>
        </w:rPr>
        <w:t>, clinical assessments, and blood draws</w:t>
      </w:r>
      <w:r w:rsidRPr="002D21BA">
        <w:rPr>
          <w:rFonts w:asciiTheme="minorHAnsi" w:hAnsiTheme="minorHAnsi" w:cstheme="minorHAnsi"/>
          <w:sz w:val="24"/>
          <w:szCs w:val="24"/>
        </w:rPr>
        <w:t xml:space="preserve">. </w:t>
      </w:r>
      <w:r w:rsidR="00541BA2">
        <w:rPr>
          <w:rFonts w:asciiTheme="minorHAnsi" w:hAnsiTheme="minorHAnsi" w:cstheme="minorHAnsi"/>
          <w:sz w:val="24"/>
          <w:szCs w:val="24"/>
        </w:rPr>
        <w:t xml:space="preserve">For the convenience of the respondent, the UAB will also set up a satellite study office in West Anniston. </w:t>
      </w:r>
      <w:r w:rsidRPr="002D21BA">
        <w:rPr>
          <w:rFonts w:asciiTheme="minorHAnsi" w:hAnsiTheme="minorHAnsi" w:cstheme="minorHAnsi"/>
          <w:sz w:val="24"/>
          <w:szCs w:val="24"/>
        </w:rPr>
        <w:t>The UAB will hire and assign its own</w:t>
      </w:r>
      <w:r w:rsidR="00766CCE">
        <w:rPr>
          <w:rFonts w:asciiTheme="minorHAnsi" w:hAnsiTheme="minorHAnsi" w:cstheme="minorHAnsi"/>
          <w:sz w:val="24"/>
          <w:szCs w:val="24"/>
        </w:rPr>
        <w:t xml:space="preserve"> staff to conduct the interview</w:t>
      </w:r>
      <w:r w:rsidRPr="002D21BA">
        <w:rPr>
          <w:rFonts w:asciiTheme="minorHAnsi" w:hAnsiTheme="minorHAnsi" w:cstheme="minorHAnsi"/>
          <w:sz w:val="24"/>
          <w:szCs w:val="24"/>
        </w:rPr>
        <w:t>s. The CCHD</w:t>
      </w:r>
      <w:r>
        <w:rPr>
          <w:rFonts w:asciiTheme="minorHAnsi" w:hAnsiTheme="minorHAnsi" w:cstheme="minorHAnsi"/>
          <w:sz w:val="24"/>
          <w:szCs w:val="24"/>
        </w:rPr>
        <w:t xml:space="preserve"> </w:t>
      </w:r>
      <w:r w:rsidRPr="002D21BA">
        <w:rPr>
          <w:rFonts w:asciiTheme="minorHAnsi" w:hAnsiTheme="minorHAnsi" w:cstheme="minorHAnsi"/>
          <w:sz w:val="24"/>
          <w:szCs w:val="24"/>
        </w:rPr>
        <w:t xml:space="preserve">nurses </w:t>
      </w:r>
      <w:proofErr w:type="gramStart"/>
      <w:r w:rsidRPr="002D21BA">
        <w:rPr>
          <w:rFonts w:asciiTheme="minorHAnsi" w:hAnsiTheme="minorHAnsi" w:cstheme="minorHAnsi"/>
          <w:sz w:val="24"/>
          <w:szCs w:val="24"/>
        </w:rPr>
        <w:t>will be detailed</w:t>
      </w:r>
      <w:proofErr w:type="gramEnd"/>
      <w:r w:rsidRPr="002D21BA">
        <w:rPr>
          <w:rFonts w:asciiTheme="minorHAnsi" w:hAnsiTheme="minorHAnsi" w:cstheme="minorHAnsi"/>
          <w:sz w:val="24"/>
          <w:szCs w:val="24"/>
        </w:rPr>
        <w:t xml:space="preserve"> to the UAB to do the clinical assessments and the blood draws. The CCHD nurses will accom</w:t>
      </w:r>
      <w:r w:rsidR="000B74E8">
        <w:rPr>
          <w:rFonts w:asciiTheme="minorHAnsi" w:hAnsiTheme="minorHAnsi" w:cstheme="minorHAnsi"/>
          <w:sz w:val="24"/>
          <w:szCs w:val="24"/>
        </w:rPr>
        <w:t xml:space="preserve">pany the UAB interviewers for </w:t>
      </w:r>
      <w:r w:rsidRPr="002D21BA">
        <w:rPr>
          <w:rFonts w:asciiTheme="minorHAnsi" w:hAnsiTheme="minorHAnsi" w:cstheme="minorHAnsi"/>
          <w:sz w:val="24"/>
          <w:szCs w:val="24"/>
        </w:rPr>
        <w:t>th</w:t>
      </w:r>
      <w:r w:rsidR="000B74E8">
        <w:rPr>
          <w:rFonts w:asciiTheme="minorHAnsi" w:hAnsiTheme="minorHAnsi" w:cstheme="minorHAnsi"/>
          <w:sz w:val="24"/>
          <w:szCs w:val="24"/>
        </w:rPr>
        <w:t>e at-home interviews for those</w:t>
      </w:r>
      <w:r w:rsidRPr="002D21BA">
        <w:rPr>
          <w:rFonts w:asciiTheme="minorHAnsi" w:hAnsiTheme="minorHAnsi" w:cstheme="minorHAnsi"/>
          <w:sz w:val="24"/>
          <w:szCs w:val="24"/>
        </w:rPr>
        <w:t xml:space="preserve"> who </w:t>
      </w:r>
      <w:r w:rsidR="000B74E8">
        <w:rPr>
          <w:rFonts w:asciiTheme="minorHAnsi" w:hAnsiTheme="minorHAnsi" w:cstheme="minorHAnsi"/>
          <w:sz w:val="24"/>
          <w:szCs w:val="24"/>
        </w:rPr>
        <w:t xml:space="preserve">cannot come to </w:t>
      </w:r>
      <w:r w:rsidR="00541BA2">
        <w:rPr>
          <w:rFonts w:asciiTheme="minorHAnsi" w:hAnsiTheme="minorHAnsi" w:cstheme="minorHAnsi"/>
          <w:sz w:val="24"/>
          <w:szCs w:val="24"/>
        </w:rPr>
        <w:t xml:space="preserve">either </w:t>
      </w:r>
      <w:r w:rsidR="000B74E8">
        <w:rPr>
          <w:rFonts w:asciiTheme="minorHAnsi" w:hAnsiTheme="minorHAnsi" w:cstheme="minorHAnsi"/>
          <w:sz w:val="24"/>
          <w:szCs w:val="24"/>
        </w:rPr>
        <w:t>the CCHD</w:t>
      </w:r>
      <w:r w:rsidR="00541BA2">
        <w:rPr>
          <w:rFonts w:asciiTheme="minorHAnsi" w:hAnsiTheme="minorHAnsi" w:cstheme="minorHAnsi"/>
          <w:sz w:val="24"/>
          <w:szCs w:val="24"/>
        </w:rPr>
        <w:t xml:space="preserve"> or the West Anniston</w:t>
      </w:r>
      <w:r w:rsidR="000B74E8">
        <w:rPr>
          <w:rFonts w:asciiTheme="minorHAnsi" w:hAnsiTheme="minorHAnsi" w:cstheme="minorHAnsi"/>
          <w:sz w:val="24"/>
          <w:szCs w:val="24"/>
        </w:rPr>
        <w:t xml:space="preserve"> study office</w:t>
      </w:r>
      <w:r w:rsidR="0084153F">
        <w:rPr>
          <w:sz w:val="24"/>
          <w:szCs w:val="24"/>
        </w:rPr>
        <w:t xml:space="preserve">. </w:t>
      </w:r>
      <w:r w:rsidR="00541BA2">
        <w:rPr>
          <w:rFonts w:asciiTheme="minorHAnsi" w:hAnsiTheme="minorHAnsi" w:cstheme="minorHAnsi"/>
          <w:sz w:val="24"/>
          <w:szCs w:val="24"/>
        </w:rPr>
        <w:t xml:space="preserve">At the end of each day, all study records and blood samples </w:t>
      </w:r>
      <w:proofErr w:type="gramStart"/>
      <w:r w:rsidR="00541BA2">
        <w:rPr>
          <w:rFonts w:asciiTheme="minorHAnsi" w:hAnsiTheme="minorHAnsi" w:cstheme="minorHAnsi"/>
          <w:sz w:val="24"/>
          <w:szCs w:val="24"/>
        </w:rPr>
        <w:t>will be transported</w:t>
      </w:r>
      <w:proofErr w:type="gramEnd"/>
      <w:r w:rsidR="00541BA2">
        <w:rPr>
          <w:rFonts w:asciiTheme="minorHAnsi" w:hAnsiTheme="minorHAnsi" w:cstheme="minorHAnsi"/>
          <w:sz w:val="24"/>
          <w:szCs w:val="24"/>
        </w:rPr>
        <w:t xml:space="preserve"> to the CCHD study office for secure storage and processing.</w:t>
      </w:r>
    </w:p>
    <w:p w:rsidR="00635DA0" w:rsidRPr="002D21BA" w:rsidRDefault="00635DA0" w:rsidP="00E46777">
      <w:pPr>
        <w:spacing w:after="0" w:line="240" w:lineRule="auto"/>
        <w:jc w:val="both"/>
        <w:rPr>
          <w:rFonts w:asciiTheme="minorHAnsi" w:eastAsia="Times New Roman" w:hAnsiTheme="minorHAnsi" w:cstheme="minorHAnsi"/>
          <w:sz w:val="24"/>
          <w:szCs w:val="24"/>
        </w:rPr>
      </w:pPr>
    </w:p>
    <w:p w:rsidR="00635DA0" w:rsidRPr="002D21BA" w:rsidRDefault="00635DA0" w:rsidP="000421F5">
      <w:pPr>
        <w:spacing w:after="0" w:line="240" w:lineRule="auto"/>
        <w:jc w:val="both"/>
        <w:rPr>
          <w:rFonts w:asciiTheme="minorHAnsi" w:eastAsia="Times New Roman" w:hAnsiTheme="minorHAnsi" w:cstheme="minorHAnsi"/>
          <w:sz w:val="24"/>
          <w:szCs w:val="24"/>
        </w:rPr>
      </w:pPr>
      <w:r w:rsidRPr="002D21BA">
        <w:rPr>
          <w:rFonts w:asciiTheme="minorHAnsi" w:eastAsia="Times New Roman" w:hAnsiTheme="minorHAnsi" w:cstheme="minorHAnsi"/>
          <w:sz w:val="24"/>
          <w:szCs w:val="24"/>
        </w:rPr>
        <w:t xml:space="preserve">At UAB, electronic system security is, at a minimum, maintained via tiered permissions based on individual and group settings, centrally enforced password policy requiring complex passwords that must be changed on a periodic basis, centrally managed desktop and server antivirus packages, desktop firewalls, and at-least-twice-daily backups of all server based storage. UAB Information Technology (IT) provides intrusion detection, </w:t>
      </w:r>
      <w:proofErr w:type="gramStart"/>
      <w:r w:rsidRPr="002D21BA">
        <w:rPr>
          <w:rFonts w:asciiTheme="minorHAnsi" w:eastAsia="Times New Roman" w:hAnsiTheme="minorHAnsi" w:cstheme="minorHAnsi"/>
          <w:sz w:val="24"/>
          <w:szCs w:val="24"/>
        </w:rPr>
        <w:t>twice daily</w:t>
      </w:r>
      <w:proofErr w:type="gramEnd"/>
      <w:r w:rsidRPr="002D21BA">
        <w:rPr>
          <w:rFonts w:asciiTheme="minorHAnsi" w:eastAsia="Times New Roman" w:hAnsiTheme="minorHAnsi" w:cstheme="minorHAnsi"/>
          <w:sz w:val="24"/>
          <w:szCs w:val="24"/>
        </w:rPr>
        <w:t xml:space="preserve"> vulnerability scans of all personal computers </w:t>
      </w:r>
      <w:r w:rsidR="00056518">
        <w:rPr>
          <w:rFonts w:asciiTheme="minorHAnsi" w:eastAsia="Times New Roman" w:hAnsiTheme="minorHAnsi" w:cstheme="minorHAnsi"/>
          <w:sz w:val="24"/>
          <w:szCs w:val="24"/>
        </w:rPr>
        <w:t xml:space="preserve">and a campus firewall service. </w:t>
      </w:r>
      <w:r w:rsidRPr="002D21BA">
        <w:rPr>
          <w:rFonts w:asciiTheme="minorHAnsi" w:eastAsia="Times New Roman" w:hAnsiTheme="minorHAnsi" w:cstheme="minorHAnsi"/>
          <w:sz w:val="24"/>
          <w:szCs w:val="24"/>
        </w:rPr>
        <w:t xml:space="preserve">Pretty Good Privacy (PGP) is a data encryption and decryption computer program that provides cryptographic privacy and authentication for data communication. Per UAB policy, </w:t>
      </w:r>
      <w:r w:rsidR="005C4FE9">
        <w:rPr>
          <w:rFonts w:asciiTheme="minorHAnsi" w:eastAsia="Times New Roman" w:hAnsiTheme="minorHAnsi" w:cstheme="minorHAnsi"/>
          <w:sz w:val="24"/>
          <w:szCs w:val="24"/>
        </w:rPr>
        <w:t xml:space="preserve">university </w:t>
      </w:r>
      <w:r w:rsidRPr="002D21BA">
        <w:rPr>
          <w:rFonts w:asciiTheme="minorHAnsi" w:eastAsia="Times New Roman" w:hAnsiTheme="minorHAnsi" w:cstheme="minorHAnsi"/>
          <w:sz w:val="24"/>
          <w:szCs w:val="24"/>
        </w:rPr>
        <w:t xml:space="preserve">departments are responsible for controlling laptop </w:t>
      </w:r>
      <w:proofErr w:type="gramStart"/>
      <w:r w:rsidRPr="002D21BA">
        <w:rPr>
          <w:rFonts w:asciiTheme="minorHAnsi" w:eastAsia="Times New Roman" w:hAnsiTheme="minorHAnsi" w:cstheme="minorHAnsi"/>
          <w:sz w:val="24"/>
          <w:szCs w:val="24"/>
        </w:rPr>
        <w:t>security,</w:t>
      </w:r>
      <w:proofErr w:type="gramEnd"/>
      <w:r w:rsidRPr="002D21BA">
        <w:rPr>
          <w:rFonts w:asciiTheme="minorHAnsi" w:eastAsia="Times New Roman" w:hAnsiTheme="minorHAnsi" w:cstheme="minorHAnsi"/>
          <w:sz w:val="24"/>
          <w:szCs w:val="24"/>
        </w:rPr>
        <w:t xml:space="preserve"> their drives must be encrypted using PGP. Individual desktop personal computers </w:t>
      </w:r>
      <w:proofErr w:type="gramStart"/>
      <w:r w:rsidRPr="002D21BA">
        <w:rPr>
          <w:rFonts w:asciiTheme="minorHAnsi" w:eastAsia="Times New Roman" w:hAnsiTheme="minorHAnsi" w:cstheme="minorHAnsi"/>
          <w:sz w:val="24"/>
          <w:szCs w:val="24"/>
        </w:rPr>
        <w:t>are physically secured</w:t>
      </w:r>
      <w:proofErr w:type="gramEnd"/>
      <w:r w:rsidRPr="002D21BA">
        <w:rPr>
          <w:rFonts w:asciiTheme="minorHAnsi" w:eastAsia="Times New Roman" w:hAnsiTheme="minorHAnsi" w:cstheme="minorHAnsi"/>
          <w:sz w:val="24"/>
          <w:szCs w:val="24"/>
        </w:rPr>
        <w:t xml:space="preserve"> and have encrypted hard drives using PGP All information stored on desktop computers used on behalf of ATSDR shall be secured either through a Federal Information Processing Standard (FIPS) 140-2 compliant encryption solution or through adequate physical security and operational controls at the desktop’s residing location. All mobile devices, portable media and transfer data files (including e-mail attachments) that contain sensitive information shall be encrypted according to FIPS 140-2 as well.</w:t>
      </w:r>
    </w:p>
    <w:p w:rsidR="00635DA0" w:rsidRPr="002D21BA" w:rsidRDefault="00635DA0" w:rsidP="00E46777">
      <w:pPr>
        <w:spacing w:after="0" w:line="240" w:lineRule="auto"/>
        <w:jc w:val="both"/>
        <w:rPr>
          <w:rFonts w:asciiTheme="minorHAnsi" w:eastAsia="Times New Roman" w:hAnsiTheme="minorHAnsi" w:cstheme="minorHAnsi"/>
          <w:sz w:val="24"/>
          <w:szCs w:val="24"/>
        </w:rPr>
      </w:pPr>
    </w:p>
    <w:p w:rsidR="00635DA0" w:rsidRPr="002D21BA" w:rsidRDefault="00635DA0" w:rsidP="00E46777">
      <w:pPr>
        <w:spacing w:after="0" w:line="240" w:lineRule="auto"/>
        <w:jc w:val="both"/>
        <w:rPr>
          <w:rFonts w:asciiTheme="minorHAnsi" w:eastAsia="Times New Roman" w:hAnsiTheme="minorHAnsi" w:cstheme="minorHAnsi"/>
          <w:sz w:val="24"/>
          <w:szCs w:val="24"/>
        </w:rPr>
      </w:pPr>
      <w:r w:rsidRPr="002D21BA">
        <w:rPr>
          <w:rFonts w:asciiTheme="minorHAnsi" w:eastAsia="Times New Roman" w:hAnsiTheme="minorHAnsi" w:cstheme="minorHAnsi"/>
          <w:sz w:val="24"/>
          <w:szCs w:val="24"/>
        </w:rPr>
        <w:t>Onc</w:t>
      </w:r>
      <w:r w:rsidR="00AE0D5E">
        <w:rPr>
          <w:rFonts w:asciiTheme="minorHAnsi" w:eastAsia="Times New Roman" w:hAnsiTheme="minorHAnsi" w:cstheme="minorHAnsi"/>
          <w:sz w:val="24"/>
          <w:szCs w:val="24"/>
        </w:rPr>
        <w:t xml:space="preserve">e collected from the </w:t>
      </w:r>
      <w:r w:rsidR="00AE0D5E">
        <w:rPr>
          <w:rFonts w:cs="Calibri"/>
          <w:sz w:val="24"/>
          <w:szCs w:val="24"/>
        </w:rPr>
        <w:t>respondents</w:t>
      </w:r>
      <w:r w:rsidRPr="002D21BA">
        <w:rPr>
          <w:rFonts w:asciiTheme="minorHAnsi" w:eastAsia="Times New Roman" w:hAnsiTheme="minorHAnsi" w:cstheme="minorHAnsi"/>
          <w:sz w:val="24"/>
          <w:szCs w:val="24"/>
        </w:rPr>
        <w:t>, all hardcopy informed consents and data collection forms will be stored in locked files in locked rooms in secure facilities at the Anniston study offices and at UAB.</w:t>
      </w:r>
    </w:p>
    <w:p w:rsidR="0055211D" w:rsidRDefault="0055211D" w:rsidP="00E46777">
      <w:pPr>
        <w:spacing w:after="0" w:line="240" w:lineRule="auto"/>
        <w:jc w:val="both"/>
        <w:rPr>
          <w:rFonts w:asciiTheme="minorHAnsi" w:eastAsia="Times New Roman" w:hAnsiTheme="minorHAnsi" w:cstheme="minorHAnsi"/>
          <w:sz w:val="24"/>
          <w:szCs w:val="24"/>
        </w:rPr>
      </w:pPr>
    </w:p>
    <w:p w:rsidR="00635DA0" w:rsidRPr="002D21BA" w:rsidRDefault="00635DA0" w:rsidP="00E46777">
      <w:pPr>
        <w:autoSpaceDE w:val="0"/>
        <w:autoSpaceDN w:val="0"/>
        <w:adjustRightInd w:val="0"/>
        <w:spacing w:after="0" w:line="240" w:lineRule="auto"/>
        <w:jc w:val="both"/>
        <w:rPr>
          <w:rFonts w:asciiTheme="minorHAnsi" w:eastAsia="Times New Roman" w:hAnsiTheme="minorHAnsi" w:cstheme="minorHAnsi"/>
          <w:sz w:val="24"/>
          <w:szCs w:val="24"/>
        </w:rPr>
      </w:pPr>
      <w:r w:rsidRPr="002D21BA">
        <w:rPr>
          <w:rFonts w:asciiTheme="minorHAnsi" w:eastAsia="Times New Roman" w:hAnsiTheme="minorHAnsi" w:cstheme="minorHAnsi"/>
          <w:sz w:val="24"/>
          <w:szCs w:val="24"/>
        </w:rPr>
        <w:t xml:space="preserve">Upon receipt of the study information, data security at CDC/ATSDR </w:t>
      </w:r>
      <w:proofErr w:type="gramStart"/>
      <w:r w:rsidRPr="002D21BA">
        <w:rPr>
          <w:rFonts w:asciiTheme="minorHAnsi" w:eastAsia="Times New Roman" w:hAnsiTheme="minorHAnsi" w:cstheme="minorHAnsi"/>
          <w:sz w:val="24"/>
          <w:szCs w:val="24"/>
        </w:rPr>
        <w:t>will be maintained</w:t>
      </w:r>
      <w:proofErr w:type="gramEnd"/>
      <w:r w:rsidRPr="002D21BA">
        <w:rPr>
          <w:rFonts w:asciiTheme="minorHAnsi" w:eastAsia="Times New Roman" w:hAnsiTheme="minorHAnsi" w:cstheme="minorHAnsi"/>
          <w:sz w:val="24"/>
          <w:szCs w:val="24"/>
        </w:rPr>
        <w:t xml:space="preserve"> </w:t>
      </w:r>
      <w:r w:rsidR="004803EE">
        <w:rPr>
          <w:rFonts w:asciiTheme="minorHAnsi" w:eastAsia="Times New Roman" w:hAnsiTheme="minorHAnsi" w:cstheme="minorHAnsi"/>
          <w:sz w:val="24"/>
          <w:szCs w:val="24"/>
        </w:rPr>
        <w:t>in</w:t>
      </w:r>
      <w:r w:rsidRPr="002D21BA">
        <w:rPr>
          <w:rFonts w:asciiTheme="minorHAnsi" w:eastAsia="Times New Roman" w:hAnsiTheme="minorHAnsi" w:cstheme="minorHAnsi"/>
          <w:sz w:val="24"/>
          <w:szCs w:val="24"/>
        </w:rPr>
        <w:t xml:space="preserve"> compliance with the CDC/ATSDR Protection of Information Resources Policy and the </w:t>
      </w:r>
      <w:r w:rsidRPr="002D21BA">
        <w:rPr>
          <w:rFonts w:asciiTheme="minorHAnsi" w:eastAsia="Times New Roman" w:hAnsiTheme="minorHAnsi" w:cstheme="minorHAnsi"/>
          <w:sz w:val="24"/>
          <w:szCs w:val="24"/>
        </w:rPr>
        <w:lastRenderedPageBreak/>
        <w:t xml:space="preserve">CDC/ATSDR IT Security Program Implementation Standards. These policies apply to all authorized ATSDR employees and contractors. </w:t>
      </w:r>
    </w:p>
    <w:p w:rsidR="00635DA0" w:rsidRPr="002D21BA" w:rsidRDefault="00635DA0" w:rsidP="00E46777">
      <w:pPr>
        <w:spacing w:after="0" w:line="240" w:lineRule="auto"/>
        <w:jc w:val="both"/>
        <w:rPr>
          <w:rFonts w:asciiTheme="minorHAnsi" w:eastAsia="Times New Roman" w:hAnsiTheme="minorHAnsi" w:cstheme="minorHAnsi"/>
          <w:sz w:val="24"/>
          <w:szCs w:val="24"/>
        </w:rPr>
      </w:pPr>
    </w:p>
    <w:p w:rsidR="00635DA0" w:rsidRPr="002D21BA" w:rsidRDefault="00635DA0" w:rsidP="00E46777">
      <w:pPr>
        <w:spacing w:after="0" w:line="240" w:lineRule="auto"/>
        <w:jc w:val="both"/>
        <w:rPr>
          <w:rFonts w:asciiTheme="minorHAnsi" w:eastAsia="Times New Roman" w:hAnsiTheme="minorHAnsi" w:cstheme="minorHAnsi"/>
          <w:sz w:val="24"/>
          <w:szCs w:val="24"/>
        </w:rPr>
      </w:pPr>
      <w:r w:rsidRPr="002D21BA">
        <w:rPr>
          <w:rFonts w:asciiTheme="minorHAnsi" w:eastAsia="Times New Roman" w:hAnsiTheme="minorHAnsi" w:cstheme="minorHAnsi"/>
          <w:sz w:val="24"/>
          <w:szCs w:val="24"/>
        </w:rPr>
        <w:t>Physical controls – CDC/ATSDR issues identity credentials based on the Federal Information Processing Standards (FIPS) Publication 201 for Personal Identity Verification (PIV) authentication of government employee and contractor identities. Security measures for physical access to secured facilities include the use of PIV Cards, security guards, and closed circuit TV monitoring.</w:t>
      </w:r>
    </w:p>
    <w:p w:rsidR="00635DA0" w:rsidRPr="002D21BA" w:rsidRDefault="00635DA0" w:rsidP="00E46777">
      <w:pPr>
        <w:spacing w:after="0" w:line="240" w:lineRule="auto"/>
        <w:jc w:val="both"/>
        <w:rPr>
          <w:rFonts w:asciiTheme="minorHAnsi" w:eastAsia="Times New Roman" w:hAnsiTheme="minorHAnsi" w:cstheme="minorHAnsi"/>
          <w:sz w:val="24"/>
          <w:szCs w:val="24"/>
        </w:rPr>
      </w:pPr>
    </w:p>
    <w:p w:rsidR="00635DA0" w:rsidRPr="002D21BA" w:rsidRDefault="00635DA0" w:rsidP="00E46777">
      <w:pPr>
        <w:spacing w:after="0" w:line="240" w:lineRule="auto"/>
        <w:jc w:val="both"/>
        <w:rPr>
          <w:rFonts w:asciiTheme="minorHAnsi" w:eastAsia="Times New Roman" w:hAnsiTheme="minorHAnsi" w:cstheme="minorHAnsi"/>
          <w:sz w:val="24"/>
          <w:szCs w:val="24"/>
        </w:rPr>
      </w:pPr>
      <w:r w:rsidRPr="002D21BA">
        <w:rPr>
          <w:rFonts w:asciiTheme="minorHAnsi" w:eastAsia="Times New Roman" w:hAnsiTheme="minorHAnsi" w:cstheme="minorHAnsi"/>
          <w:sz w:val="24"/>
          <w:szCs w:val="24"/>
        </w:rPr>
        <w:t xml:space="preserve">Technical Controls – CDC/ATSDR policy requires employees to gain authorized logical access to its information systems through a unique electronic identity (User ID). The computer-controlled limits on what </w:t>
      </w:r>
      <w:proofErr w:type="gramStart"/>
      <w:r w:rsidRPr="002D21BA">
        <w:rPr>
          <w:rFonts w:asciiTheme="minorHAnsi" w:eastAsia="Times New Roman" w:hAnsiTheme="minorHAnsi" w:cstheme="minorHAnsi"/>
          <w:sz w:val="24"/>
          <w:szCs w:val="24"/>
        </w:rPr>
        <w:t>can be done</w:t>
      </w:r>
      <w:proofErr w:type="gramEnd"/>
      <w:r w:rsidRPr="002D21BA">
        <w:rPr>
          <w:rFonts w:asciiTheme="minorHAnsi" w:eastAsia="Times New Roman" w:hAnsiTheme="minorHAnsi" w:cstheme="minorHAnsi"/>
          <w:sz w:val="24"/>
          <w:szCs w:val="24"/>
        </w:rPr>
        <w:t xml:space="preserve"> by the user are assigned based on program roles and privilege requirements.</w:t>
      </w:r>
    </w:p>
    <w:p w:rsidR="00635DA0" w:rsidRPr="002D21BA" w:rsidRDefault="00635DA0" w:rsidP="00E46777">
      <w:pPr>
        <w:spacing w:after="0" w:line="240" w:lineRule="auto"/>
        <w:jc w:val="both"/>
        <w:rPr>
          <w:rFonts w:asciiTheme="minorHAnsi" w:eastAsia="Times New Roman" w:hAnsiTheme="minorHAnsi" w:cstheme="minorHAnsi"/>
          <w:sz w:val="24"/>
          <w:szCs w:val="24"/>
        </w:rPr>
      </w:pPr>
    </w:p>
    <w:p w:rsidR="00635DA0" w:rsidRPr="002D21BA" w:rsidRDefault="00635DA0" w:rsidP="00E46777">
      <w:pPr>
        <w:spacing w:after="0" w:line="240" w:lineRule="auto"/>
        <w:jc w:val="both"/>
        <w:rPr>
          <w:rFonts w:asciiTheme="minorHAnsi" w:eastAsia="Times New Roman" w:hAnsiTheme="minorHAnsi" w:cstheme="minorHAnsi"/>
          <w:sz w:val="24"/>
          <w:szCs w:val="24"/>
        </w:rPr>
      </w:pPr>
      <w:r w:rsidRPr="002D21BA">
        <w:rPr>
          <w:rFonts w:asciiTheme="minorHAnsi" w:eastAsia="Times New Roman" w:hAnsiTheme="minorHAnsi" w:cstheme="minorHAnsi"/>
          <w:sz w:val="24"/>
          <w:szCs w:val="24"/>
        </w:rPr>
        <w:t>Administrative Controls –</w:t>
      </w:r>
      <w:r>
        <w:rPr>
          <w:rFonts w:asciiTheme="minorHAnsi" w:eastAsia="Times New Roman" w:hAnsiTheme="minorHAnsi" w:cstheme="minorHAnsi"/>
          <w:sz w:val="24"/>
          <w:szCs w:val="24"/>
        </w:rPr>
        <w:t xml:space="preserve"> </w:t>
      </w:r>
      <w:r w:rsidRPr="00422E82">
        <w:rPr>
          <w:rFonts w:asciiTheme="minorHAnsi" w:eastAsia="Times New Roman" w:hAnsiTheme="minorHAnsi" w:cstheme="minorHAnsi"/>
          <w:sz w:val="24"/>
          <w:szCs w:val="24"/>
        </w:rPr>
        <w:t xml:space="preserve">Only a limited number of authorized study personnel at either contractor or ATSDR sites will have access to </w:t>
      </w:r>
      <w:r w:rsidRPr="002D21BA">
        <w:rPr>
          <w:rFonts w:asciiTheme="minorHAnsi" w:eastAsia="Times New Roman" w:hAnsiTheme="minorHAnsi" w:cstheme="minorHAnsi"/>
          <w:sz w:val="24"/>
          <w:szCs w:val="24"/>
        </w:rPr>
        <w:t>the IIF. Authorized CDC/ATSDR employees and contractors are required to:</w:t>
      </w:r>
    </w:p>
    <w:p w:rsidR="00635DA0" w:rsidRPr="002D21BA" w:rsidRDefault="00635DA0" w:rsidP="00E46777">
      <w:pPr>
        <w:spacing w:after="0" w:line="240" w:lineRule="auto"/>
        <w:jc w:val="both"/>
        <w:rPr>
          <w:rFonts w:asciiTheme="minorHAnsi" w:eastAsia="Times New Roman" w:hAnsiTheme="minorHAnsi" w:cstheme="minorHAnsi"/>
          <w:sz w:val="24"/>
          <w:szCs w:val="24"/>
        </w:rPr>
      </w:pPr>
      <w:r w:rsidRPr="002D21BA">
        <w:rPr>
          <w:rFonts w:asciiTheme="minorHAnsi" w:eastAsia="Times New Roman" w:hAnsiTheme="minorHAnsi" w:cstheme="minorHAnsi"/>
          <w:sz w:val="24"/>
          <w:szCs w:val="24"/>
        </w:rPr>
        <w:t>•</w:t>
      </w:r>
      <w:r w:rsidRPr="002D21BA">
        <w:rPr>
          <w:rFonts w:asciiTheme="minorHAnsi" w:eastAsia="Times New Roman" w:hAnsiTheme="minorHAnsi" w:cstheme="minorHAnsi"/>
          <w:sz w:val="24"/>
          <w:szCs w:val="24"/>
        </w:rPr>
        <w:tab/>
        <w:t xml:space="preserve">Complete required privacy and </w:t>
      </w:r>
      <w:proofErr w:type="gramStart"/>
      <w:r w:rsidRPr="002D21BA">
        <w:rPr>
          <w:rFonts w:asciiTheme="minorHAnsi" w:eastAsia="Times New Roman" w:hAnsiTheme="minorHAnsi" w:cstheme="minorHAnsi"/>
          <w:sz w:val="24"/>
          <w:szCs w:val="24"/>
        </w:rPr>
        <w:t>information security refresher training</w:t>
      </w:r>
      <w:proofErr w:type="gramEnd"/>
      <w:r w:rsidRPr="002D21BA">
        <w:rPr>
          <w:rFonts w:asciiTheme="minorHAnsi" w:eastAsia="Times New Roman" w:hAnsiTheme="minorHAnsi" w:cstheme="minorHAnsi"/>
          <w:sz w:val="24"/>
          <w:szCs w:val="24"/>
        </w:rPr>
        <w:t>.</w:t>
      </w:r>
    </w:p>
    <w:p w:rsidR="00635DA0" w:rsidRPr="002D21BA" w:rsidRDefault="00635DA0" w:rsidP="00E46777">
      <w:pPr>
        <w:spacing w:after="0" w:line="240" w:lineRule="auto"/>
        <w:ind w:left="720" w:hanging="720"/>
        <w:jc w:val="both"/>
        <w:rPr>
          <w:rFonts w:asciiTheme="minorHAnsi" w:eastAsia="Times New Roman" w:hAnsiTheme="minorHAnsi" w:cstheme="minorHAnsi"/>
          <w:sz w:val="24"/>
          <w:szCs w:val="24"/>
        </w:rPr>
      </w:pPr>
      <w:r w:rsidRPr="002D21BA">
        <w:rPr>
          <w:rFonts w:asciiTheme="minorHAnsi" w:eastAsia="Times New Roman" w:hAnsiTheme="minorHAnsi" w:cstheme="minorHAnsi"/>
          <w:sz w:val="24"/>
          <w:szCs w:val="24"/>
        </w:rPr>
        <w:t>•</w:t>
      </w:r>
      <w:r w:rsidRPr="002D21BA">
        <w:rPr>
          <w:rFonts w:asciiTheme="minorHAnsi" w:eastAsia="Times New Roman" w:hAnsiTheme="minorHAnsi" w:cstheme="minorHAnsi"/>
          <w:sz w:val="24"/>
          <w:szCs w:val="24"/>
        </w:rPr>
        <w:tab/>
        <w:t>Read, acknowledge, sign (if online completion is not available), and comply with the HHS Rules of Behavior, as well as other applicable CDC/ATSDR- and system-specific rules of behavior before gaining access to the CDC/ATSDR’s systems and networks.</w:t>
      </w:r>
    </w:p>
    <w:p w:rsidR="00635DA0" w:rsidRPr="002D21BA" w:rsidRDefault="00635DA0" w:rsidP="00E46777">
      <w:pPr>
        <w:spacing w:after="0" w:line="240" w:lineRule="auto"/>
        <w:ind w:left="720" w:hanging="720"/>
        <w:jc w:val="both"/>
        <w:rPr>
          <w:rFonts w:asciiTheme="minorHAnsi" w:eastAsia="Times New Roman" w:hAnsiTheme="minorHAnsi" w:cstheme="minorHAnsi"/>
          <w:sz w:val="24"/>
          <w:szCs w:val="24"/>
        </w:rPr>
      </w:pPr>
      <w:r w:rsidRPr="002D21BA">
        <w:rPr>
          <w:rFonts w:asciiTheme="minorHAnsi" w:eastAsia="Times New Roman" w:hAnsiTheme="minorHAnsi" w:cstheme="minorHAnsi"/>
          <w:sz w:val="24"/>
          <w:szCs w:val="24"/>
        </w:rPr>
        <w:t>•</w:t>
      </w:r>
      <w:r w:rsidRPr="002D21BA">
        <w:rPr>
          <w:rFonts w:asciiTheme="minorHAnsi" w:eastAsia="Times New Roman" w:hAnsiTheme="minorHAnsi" w:cstheme="minorHAnsi"/>
          <w:sz w:val="24"/>
          <w:szCs w:val="24"/>
        </w:rPr>
        <w:tab/>
        <w:t>Adhere to the requirements set forth in the CDC/ATSDR IT Security Program Implementation Standards, and other security policies and procedures that minimize the risk to CDC systems, networks, and data from malicious software and intrusions.</w:t>
      </w:r>
    </w:p>
    <w:p w:rsidR="00635DA0" w:rsidRPr="002D21BA" w:rsidRDefault="00635DA0" w:rsidP="00E46777">
      <w:pPr>
        <w:spacing w:after="0" w:line="240" w:lineRule="auto"/>
        <w:ind w:left="720" w:hanging="720"/>
        <w:jc w:val="both"/>
        <w:rPr>
          <w:rFonts w:asciiTheme="minorHAnsi" w:eastAsia="Times New Roman" w:hAnsiTheme="minorHAnsi" w:cstheme="minorHAnsi"/>
          <w:sz w:val="24"/>
          <w:szCs w:val="24"/>
        </w:rPr>
      </w:pPr>
      <w:r w:rsidRPr="002D21BA">
        <w:rPr>
          <w:rFonts w:asciiTheme="minorHAnsi" w:eastAsia="Times New Roman" w:hAnsiTheme="minorHAnsi" w:cstheme="minorHAnsi"/>
          <w:sz w:val="24"/>
          <w:szCs w:val="24"/>
        </w:rPr>
        <w:t>•</w:t>
      </w:r>
      <w:r w:rsidRPr="002D21BA">
        <w:rPr>
          <w:rFonts w:asciiTheme="minorHAnsi" w:eastAsia="Times New Roman" w:hAnsiTheme="minorHAnsi" w:cstheme="minorHAnsi"/>
          <w:sz w:val="24"/>
          <w:szCs w:val="24"/>
        </w:rPr>
        <w:tab/>
        <w:t>Abide by all applicable acceptable use policies and procedures regarding use or abuse of CDC/ATSDR IT resources.</w:t>
      </w:r>
    </w:p>
    <w:p w:rsidR="001904A6" w:rsidRDefault="001904A6" w:rsidP="000421F5">
      <w:pPr>
        <w:spacing w:after="0" w:line="240" w:lineRule="auto"/>
        <w:rPr>
          <w:sz w:val="24"/>
          <w:szCs w:val="24"/>
        </w:rPr>
      </w:pPr>
    </w:p>
    <w:p w:rsidR="00A71C62" w:rsidRDefault="001904A6" w:rsidP="000421F5">
      <w:pPr>
        <w:spacing w:after="0" w:line="240" w:lineRule="auto"/>
        <w:jc w:val="both"/>
        <w:rPr>
          <w:rFonts w:asciiTheme="minorHAnsi" w:hAnsiTheme="minorHAnsi" w:cstheme="minorHAnsi"/>
          <w:sz w:val="24"/>
          <w:szCs w:val="24"/>
        </w:rPr>
      </w:pPr>
      <w:r w:rsidRPr="00CE4EF8">
        <w:rPr>
          <w:rFonts w:asciiTheme="minorHAnsi" w:hAnsiTheme="minorHAnsi" w:cstheme="minorHAnsi"/>
          <w:sz w:val="24"/>
          <w:szCs w:val="24"/>
        </w:rPr>
        <w:t xml:space="preserve">All study records are subject to the </w:t>
      </w:r>
      <w:r w:rsidRPr="009B1FEA">
        <w:rPr>
          <w:rFonts w:asciiTheme="minorHAnsi" w:hAnsiTheme="minorHAnsi" w:cstheme="minorHAnsi"/>
          <w:sz w:val="24"/>
          <w:szCs w:val="24"/>
        </w:rPr>
        <w:t>ATSDR</w:t>
      </w:r>
      <w:r w:rsidRPr="00CE4EF8">
        <w:rPr>
          <w:rFonts w:asciiTheme="minorHAnsi" w:hAnsiTheme="minorHAnsi" w:cstheme="minorHAnsi"/>
          <w:sz w:val="24"/>
          <w:szCs w:val="24"/>
        </w:rPr>
        <w:t xml:space="preserve"> Comprehensive Record Control Schedule (CRCS), B-371, </w:t>
      </w:r>
      <w:r w:rsidRPr="009B1FEA">
        <w:rPr>
          <w:rFonts w:asciiTheme="minorHAnsi" w:hAnsiTheme="minorHAnsi" w:cstheme="minorHAnsi"/>
          <w:sz w:val="24"/>
          <w:szCs w:val="24"/>
        </w:rPr>
        <w:t xml:space="preserve">which </w:t>
      </w:r>
      <w:r w:rsidRPr="00CE4EF8">
        <w:rPr>
          <w:rFonts w:asciiTheme="minorHAnsi" w:hAnsiTheme="minorHAnsi" w:cstheme="minorHAnsi"/>
          <w:sz w:val="24"/>
          <w:szCs w:val="24"/>
        </w:rPr>
        <w:t xml:space="preserve">contains authorized disposition instructions for </w:t>
      </w:r>
      <w:proofErr w:type="gramStart"/>
      <w:r w:rsidRPr="00CE4EF8">
        <w:rPr>
          <w:rFonts w:asciiTheme="minorHAnsi" w:hAnsiTheme="minorHAnsi" w:cstheme="minorHAnsi"/>
          <w:sz w:val="24"/>
          <w:szCs w:val="24"/>
        </w:rPr>
        <w:t>ATSDR's</w:t>
      </w:r>
      <w:proofErr w:type="gramEnd"/>
      <w:r w:rsidRPr="00CE4EF8">
        <w:rPr>
          <w:rFonts w:asciiTheme="minorHAnsi" w:hAnsiTheme="minorHAnsi" w:cstheme="minorHAnsi"/>
          <w:sz w:val="24"/>
          <w:szCs w:val="24"/>
        </w:rPr>
        <w:t xml:space="preserve"> administrative and program records.</w:t>
      </w:r>
      <w:r w:rsidRPr="009B1FEA">
        <w:rPr>
          <w:rFonts w:asciiTheme="minorHAnsi" w:hAnsiTheme="minorHAnsi" w:cstheme="minorHAnsi"/>
          <w:sz w:val="24"/>
          <w:szCs w:val="24"/>
        </w:rPr>
        <w:t xml:space="preserve"> </w:t>
      </w:r>
      <w:r w:rsidRPr="00CE4EF8">
        <w:rPr>
          <w:rFonts w:asciiTheme="minorHAnsi" w:hAnsiTheme="minorHAnsi" w:cstheme="minorHAnsi"/>
          <w:sz w:val="24"/>
          <w:szCs w:val="24"/>
        </w:rPr>
        <w:t>ATSDR is legally required to maintain its program-related records in accordance with disposition instructions contained in this comprehensive records control schedule. These retention periods have a direct impact on completing Freedom of Information Act requests and in applying the requirements of the Privacy Act.</w:t>
      </w:r>
      <w:r w:rsidR="006261AB">
        <w:rPr>
          <w:rFonts w:asciiTheme="minorHAnsi" w:hAnsiTheme="minorHAnsi" w:cstheme="minorHAnsi"/>
          <w:sz w:val="24"/>
          <w:szCs w:val="24"/>
        </w:rPr>
        <w:t xml:space="preserve"> </w:t>
      </w:r>
    </w:p>
    <w:p w:rsidR="000C4397" w:rsidRDefault="000C4397" w:rsidP="000421F5">
      <w:pPr>
        <w:spacing w:after="0" w:line="240" w:lineRule="auto"/>
        <w:jc w:val="both"/>
        <w:rPr>
          <w:rFonts w:asciiTheme="minorHAnsi" w:hAnsiTheme="minorHAnsi" w:cstheme="minorHAnsi"/>
          <w:sz w:val="24"/>
          <w:szCs w:val="24"/>
        </w:rPr>
      </w:pPr>
    </w:p>
    <w:p w:rsidR="000C4397" w:rsidRDefault="000C4397" w:rsidP="000421F5">
      <w:pPr>
        <w:spacing w:after="0" w:line="240" w:lineRule="auto"/>
        <w:jc w:val="both"/>
        <w:rPr>
          <w:sz w:val="24"/>
          <w:szCs w:val="24"/>
        </w:rPr>
      </w:pPr>
      <w:proofErr w:type="gramStart"/>
      <w:r>
        <w:rPr>
          <w:i/>
          <w:sz w:val="24"/>
          <w:szCs w:val="24"/>
        </w:rPr>
        <w:t>Institutional Review Board Approval.</w:t>
      </w:r>
      <w:proofErr w:type="gramEnd"/>
      <w:r>
        <w:rPr>
          <w:sz w:val="24"/>
          <w:szCs w:val="24"/>
        </w:rPr>
        <w:t xml:space="preserve"> The research protocol for the proposed data collection </w:t>
      </w:r>
      <w:proofErr w:type="gramStart"/>
      <w:r w:rsidR="007F2AA4">
        <w:rPr>
          <w:sz w:val="24"/>
          <w:szCs w:val="24"/>
        </w:rPr>
        <w:t>w</w:t>
      </w:r>
      <w:r>
        <w:rPr>
          <w:sz w:val="24"/>
          <w:szCs w:val="24"/>
        </w:rPr>
        <w:t>as submitted</w:t>
      </w:r>
      <w:proofErr w:type="gramEnd"/>
      <w:r>
        <w:rPr>
          <w:sz w:val="24"/>
          <w:szCs w:val="24"/>
        </w:rPr>
        <w:t xml:space="preserve"> to the CDC and the UAB IRBs. IRB approval </w:t>
      </w:r>
      <w:proofErr w:type="gramStart"/>
      <w:r>
        <w:rPr>
          <w:sz w:val="24"/>
          <w:szCs w:val="24"/>
        </w:rPr>
        <w:t>was received</w:t>
      </w:r>
      <w:proofErr w:type="gramEnd"/>
      <w:r>
        <w:rPr>
          <w:sz w:val="24"/>
          <w:szCs w:val="24"/>
        </w:rPr>
        <w:t xml:space="preserve"> on </w:t>
      </w:r>
      <w:r w:rsidR="002D4CE1">
        <w:rPr>
          <w:sz w:val="24"/>
          <w:szCs w:val="24"/>
        </w:rPr>
        <w:t xml:space="preserve">12/10/2012 </w:t>
      </w:r>
      <w:r>
        <w:rPr>
          <w:sz w:val="24"/>
          <w:szCs w:val="24"/>
        </w:rPr>
        <w:t>and on</w:t>
      </w:r>
      <w:r w:rsidR="001D2B18">
        <w:rPr>
          <w:sz w:val="24"/>
          <w:szCs w:val="24"/>
        </w:rPr>
        <w:t xml:space="preserve"> 12/13/2012</w:t>
      </w:r>
      <w:r>
        <w:rPr>
          <w:sz w:val="24"/>
          <w:szCs w:val="24"/>
        </w:rPr>
        <w:t xml:space="preserve"> from the</w:t>
      </w:r>
      <w:r w:rsidR="00D66B8F">
        <w:rPr>
          <w:sz w:val="24"/>
          <w:szCs w:val="24"/>
        </w:rPr>
        <w:t xml:space="preserve"> </w:t>
      </w:r>
      <w:r>
        <w:rPr>
          <w:sz w:val="24"/>
          <w:szCs w:val="24"/>
        </w:rPr>
        <w:t>respective</w:t>
      </w:r>
      <w:r w:rsidR="00384272">
        <w:rPr>
          <w:sz w:val="24"/>
          <w:szCs w:val="24"/>
        </w:rPr>
        <w:t xml:space="preserve"> institutions</w:t>
      </w:r>
      <w:r w:rsidR="005E3CF1">
        <w:rPr>
          <w:sz w:val="24"/>
          <w:szCs w:val="24"/>
        </w:rPr>
        <w:t xml:space="preserve">. On 02/20/2013, </w:t>
      </w:r>
      <w:r w:rsidR="00416FA9">
        <w:rPr>
          <w:sz w:val="24"/>
          <w:szCs w:val="24"/>
        </w:rPr>
        <w:t xml:space="preserve">the NIH reliance </w:t>
      </w:r>
      <w:r w:rsidR="00CB712B">
        <w:rPr>
          <w:sz w:val="24"/>
          <w:szCs w:val="24"/>
        </w:rPr>
        <w:t>agreement with CDC was execut</w:t>
      </w:r>
      <w:r w:rsidR="00416FA9">
        <w:rPr>
          <w:sz w:val="24"/>
          <w:szCs w:val="24"/>
        </w:rPr>
        <w:t>ed</w:t>
      </w:r>
      <w:r w:rsidR="00542A29">
        <w:rPr>
          <w:sz w:val="24"/>
          <w:szCs w:val="24"/>
        </w:rPr>
        <w:t>; therefore, t</w:t>
      </w:r>
      <w:r w:rsidR="00416FA9">
        <w:rPr>
          <w:sz w:val="24"/>
          <w:szCs w:val="24"/>
        </w:rPr>
        <w:t>he CDC IRB approval memo was updated on 02/21/2013</w:t>
      </w:r>
      <w:r w:rsidR="00542A29">
        <w:rPr>
          <w:sz w:val="24"/>
          <w:szCs w:val="24"/>
        </w:rPr>
        <w:t xml:space="preserve"> to reflect that all research partners were subject to appropriate human </w:t>
      </w:r>
      <w:proofErr w:type="gramStart"/>
      <w:r w:rsidR="00542A29">
        <w:rPr>
          <w:sz w:val="24"/>
          <w:szCs w:val="24"/>
        </w:rPr>
        <w:t>subjects</w:t>
      </w:r>
      <w:proofErr w:type="gramEnd"/>
      <w:r w:rsidR="00542A29">
        <w:rPr>
          <w:sz w:val="24"/>
          <w:szCs w:val="24"/>
        </w:rPr>
        <w:t xml:space="preserve"> </w:t>
      </w:r>
      <w:r w:rsidR="001D6792">
        <w:rPr>
          <w:sz w:val="24"/>
          <w:szCs w:val="24"/>
        </w:rPr>
        <w:t xml:space="preserve">regulatory </w:t>
      </w:r>
      <w:r w:rsidR="00542A29">
        <w:rPr>
          <w:sz w:val="24"/>
          <w:szCs w:val="24"/>
        </w:rPr>
        <w:t>oversight</w:t>
      </w:r>
      <w:r w:rsidR="00416FA9">
        <w:rPr>
          <w:sz w:val="24"/>
          <w:szCs w:val="24"/>
        </w:rPr>
        <w:t xml:space="preserve"> </w:t>
      </w:r>
      <w:r>
        <w:rPr>
          <w:sz w:val="24"/>
          <w:szCs w:val="24"/>
        </w:rPr>
        <w:t>(</w:t>
      </w:r>
      <w:r w:rsidR="002D4CE1">
        <w:rPr>
          <w:sz w:val="24"/>
          <w:szCs w:val="24"/>
        </w:rPr>
        <w:t>Attachment 5</w:t>
      </w:r>
      <w:r>
        <w:rPr>
          <w:sz w:val="24"/>
          <w:szCs w:val="24"/>
        </w:rPr>
        <w:t>).</w:t>
      </w:r>
    </w:p>
    <w:p w:rsidR="00020EFF" w:rsidRPr="00F46D82" w:rsidRDefault="00F27FF9" w:rsidP="00CD6773">
      <w:pPr>
        <w:pStyle w:val="Heading2"/>
        <w:spacing w:before="360"/>
        <w:rPr>
          <w:rFonts w:asciiTheme="minorHAnsi" w:hAnsiTheme="minorHAnsi" w:cstheme="minorHAnsi"/>
        </w:rPr>
      </w:pPr>
      <w:bookmarkStart w:id="36" w:name="_Toc296699095"/>
      <w:bookmarkStart w:id="37" w:name="_Toc349489254"/>
      <w:r w:rsidRPr="00F46D82">
        <w:rPr>
          <w:rFonts w:asciiTheme="minorHAnsi" w:hAnsiTheme="minorHAnsi" w:cstheme="minorHAnsi"/>
        </w:rPr>
        <w:lastRenderedPageBreak/>
        <w:t>A.</w:t>
      </w:r>
      <w:r w:rsidR="00020EFF" w:rsidRPr="00F46D82">
        <w:rPr>
          <w:rFonts w:asciiTheme="minorHAnsi" w:hAnsiTheme="minorHAnsi" w:cstheme="minorHAnsi"/>
        </w:rPr>
        <w:t>11. Justification for Sensitive Questions</w:t>
      </w:r>
      <w:bookmarkEnd w:id="36"/>
      <w:bookmarkEnd w:id="37"/>
    </w:p>
    <w:p w:rsidR="00BF4253" w:rsidRDefault="00BF4253" w:rsidP="00E120DC">
      <w:pPr>
        <w:pStyle w:val="ListParagraph"/>
        <w:widowControl w:val="0"/>
        <w:autoSpaceDE w:val="0"/>
        <w:autoSpaceDN w:val="0"/>
        <w:adjustRightInd w:val="0"/>
        <w:spacing w:after="0" w:line="240" w:lineRule="auto"/>
        <w:ind w:left="0"/>
        <w:contextualSpacing w:val="0"/>
        <w:rPr>
          <w:rFonts w:asciiTheme="minorHAnsi" w:eastAsia="Times New Roman" w:hAnsiTheme="minorHAnsi" w:cstheme="minorHAnsi"/>
          <w:i/>
          <w:sz w:val="24"/>
          <w:szCs w:val="24"/>
        </w:rPr>
      </w:pPr>
    </w:p>
    <w:p w:rsidR="00A61893" w:rsidRDefault="00347214" w:rsidP="00E46777">
      <w:pPr>
        <w:pStyle w:val="ListParagraph"/>
        <w:widowControl w:val="0"/>
        <w:autoSpaceDE w:val="0"/>
        <w:autoSpaceDN w:val="0"/>
        <w:adjustRightInd w:val="0"/>
        <w:spacing w:after="0" w:line="240" w:lineRule="auto"/>
        <w:ind w:left="0"/>
        <w:contextualSpacing w:val="0"/>
        <w:jc w:val="both"/>
        <w:rPr>
          <w:rFonts w:asciiTheme="minorHAnsi" w:eastAsia="Times New Roman" w:hAnsiTheme="minorHAnsi" w:cstheme="minorHAnsi"/>
          <w:sz w:val="24"/>
          <w:szCs w:val="24"/>
        </w:rPr>
      </w:pPr>
      <w:proofErr w:type="gramStart"/>
      <w:r>
        <w:rPr>
          <w:rFonts w:asciiTheme="minorHAnsi" w:eastAsia="Times New Roman" w:hAnsiTheme="minorHAnsi" w:cstheme="minorHAnsi"/>
          <w:i/>
          <w:sz w:val="24"/>
          <w:szCs w:val="24"/>
        </w:rPr>
        <w:t>Reproductive Outcomes.</w:t>
      </w:r>
      <w:proofErr w:type="gramEnd"/>
      <w:r>
        <w:rPr>
          <w:rFonts w:asciiTheme="minorHAnsi" w:eastAsia="Times New Roman" w:hAnsiTheme="minorHAnsi" w:cstheme="minorHAnsi"/>
          <w:sz w:val="24"/>
          <w:szCs w:val="24"/>
        </w:rPr>
        <w:t xml:space="preserve"> Men and women </w:t>
      </w:r>
      <w:proofErr w:type="gramStart"/>
      <w:r>
        <w:rPr>
          <w:rFonts w:asciiTheme="minorHAnsi" w:eastAsia="Times New Roman" w:hAnsiTheme="minorHAnsi" w:cstheme="minorHAnsi"/>
          <w:sz w:val="24"/>
          <w:szCs w:val="24"/>
        </w:rPr>
        <w:t>will be asked</w:t>
      </w:r>
      <w:proofErr w:type="gramEnd"/>
      <w:r>
        <w:rPr>
          <w:rFonts w:asciiTheme="minorHAnsi" w:eastAsia="Times New Roman" w:hAnsiTheme="minorHAnsi" w:cstheme="minorHAnsi"/>
          <w:sz w:val="24"/>
          <w:szCs w:val="24"/>
        </w:rPr>
        <w:t xml:space="preserve"> about problems with fertility and pregnancy outcomes (Attachment 3.13b). These questions may be considered embarrassing. During informed consent, trained study staff will advise respondents that they may choose not to answer any questions they wish (Attachment 3.8). They </w:t>
      </w:r>
      <w:proofErr w:type="gramStart"/>
      <w:r>
        <w:rPr>
          <w:rFonts w:asciiTheme="minorHAnsi" w:eastAsia="Times New Roman" w:hAnsiTheme="minorHAnsi" w:cstheme="minorHAnsi"/>
          <w:sz w:val="24"/>
          <w:szCs w:val="24"/>
        </w:rPr>
        <w:t>will be trained</w:t>
      </w:r>
      <w:proofErr w:type="gramEnd"/>
      <w:r>
        <w:rPr>
          <w:rFonts w:asciiTheme="minorHAnsi" w:eastAsia="Times New Roman" w:hAnsiTheme="minorHAnsi" w:cstheme="minorHAnsi"/>
          <w:sz w:val="24"/>
          <w:szCs w:val="24"/>
        </w:rPr>
        <w:t xml:space="preserve"> to ask these questions in a very sensitive manner. </w:t>
      </w:r>
    </w:p>
    <w:p w:rsidR="00A61893" w:rsidRDefault="00A61893" w:rsidP="00C71DA7">
      <w:pPr>
        <w:pStyle w:val="ListParagraph"/>
        <w:widowControl w:val="0"/>
        <w:autoSpaceDE w:val="0"/>
        <w:autoSpaceDN w:val="0"/>
        <w:adjustRightInd w:val="0"/>
        <w:spacing w:after="0" w:line="240" w:lineRule="auto"/>
        <w:ind w:left="0"/>
        <w:contextualSpacing w:val="0"/>
        <w:jc w:val="both"/>
        <w:rPr>
          <w:rFonts w:asciiTheme="minorHAnsi" w:eastAsia="Times New Roman" w:hAnsiTheme="minorHAnsi" w:cstheme="minorHAnsi"/>
          <w:sz w:val="24"/>
          <w:szCs w:val="24"/>
        </w:rPr>
      </w:pPr>
    </w:p>
    <w:p w:rsidR="00347214" w:rsidRDefault="00347214" w:rsidP="00C71DA7">
      <w:pPr>
        <w:pStyle w:val="ListParagraph"/>
        <w:widowControl w:val="0"/>
        <w:autoSpaceDE w:val="0"/>
        <w:autoSpaceDN w:val="0"/>
        <w:adjustRightInd w:val="0"/>
        <w:spacing w:after="0" w:line="240" w:lineRule="auto"/>
        <w:ind w:left="0"/>
        <w:contextualSpacing w:val="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This information </w:t>
      </w:r>
      <w:proofErr w:type="gramStart"/>
      <w:r>
        <w:rPr>
          <w:rFonts w:asciiTheme="minorHAnsi" w:eastAsia="Times New Roman" w:hAnsiTheme="minorHAnsi" w:cstheme="minorHAnsi"/>
          <w:sz w:val="24"/>
          <w:szCs w:val="24"/>
        </w:rPr>
        <w:t>is needed</w:t>
      </w:r>
      <w:proofErr w:type="gramEnd"/>
      <w:r>
        <w:rPr>
          <w:rFonts w:asciiTheme="minorHAnsi" w:eastAsia="Times New Roman" w:hAnsiTheme="minorHAnsi" w:cstheme="minorHAnsi"/>
          <w:sz w:val="24"/>
          <w:szCs w:val="24"/>
        </w:rPr>
        <w:t xml:space="preserve"> to assess the relationship between exposure to PCBs and fertility and other reproductive outcomes in the Anniston cohort. These adverse reproductive outcomes </w:t>
      </w:r>
      <w:proofErr w:type="gramStart"/>
      <w:r>
        <w:rPr>
          <w:rFonts w:asciiTheme="minorHAnsi" w:eastAsia="Times New Roman" w:hAnsiTheme="minorHAnsi" w:cstheme="minorHAnsi"/>
          <w:sz w:val="24"/>
          <w:szCs w:val="24"/>
        </w:rPr>
        <w:t>have been previously reported</w:t>
      </w:r>
      <w:proofErr w:type="gramEnd"/>
      <w:r>
        <w:rPr>
          <w:rFonts w:asciiTheme="minorHAnsi" w:eastAsia="Times New Roman" w:hAnsiTheme="minorHAnsi" w:cstheme="minorHAnsi"/>
          <w:sz w:val="24"/>
          <w:szCs w:val="24"/>
        </w:rPr>
        <w:t xml:space="preserve"> among other PCB and dioxin exposed populations living in other parts of the world</w:t>
      </w:r>
      <w:r w:rsidR="002D4CE1">
        <w:rPr>
          <w:rFonts w:asciiTheme="minorHAnsi" w:eastAsia="Times New Roman" w:hAnsiTheme="minorHAnsi" w:cstheme="minorHAnsi"/>
          <w:sz w:val="24"/>
          <w:szCs w:val="24"/>
        </w:rPr>
        <w:t xml:space="preserve"> (</w:t>
      </w:r>
      <w:proofErr w:type="spellStart"/>
      <w:r w:rsidR="00522F32">
        <w:rPr>
          <w:rFonts w:asciiTheme="minorHAnsi" w:eastAsia="Times New Roman" w:hAnsiTheme="minorHAnsi" w:cstheme="minorHAnsi"/>
          <w:sz w:val="24"/>
          <w:szCs w:val="24"/>
        </w:rPr>
        <w:t>Balabanic</w:t>
      </w:r>
      <w:proofErr w:type="spellEnd"/>
      <w:r w:rsidR="00522F32">
        <w:rPr>
          <w:rFonts w:asciiTheme="minorHAnsi" w:eastAsia="Times New Roman" w:hAnsiTheme="minorHAnsi" w:cstheme="minorHAnsi"/>
          <w:sz w:val="24"/>
          <w:szCs w:val="24"/>
        </w:rPr>
        <w:t xml:space="preserve"> et al., 2011</w:t>
      </w:r>
      <w:r w:rsidR="002D4CE1">
        <w:rPr>
          <w:rFonts w:asciiTheme="minorHAnsi" w:eastAsia="Times New Roman" w:hAnsiTheme="minorHAnsi" w:cstheme="minorHAnsi"/>
          <w:sz w:val="24"/>
          <w:szCs w:val="24"/>
        </w:rPr>
        <w:t xml:space="preserve">; </w:t>
      </w:r>
      <w:proofErr w:type="spellStart"/>
      <w:r w:rsidR="00522F32">
        <w:rPr>
          <w:rFonts w:asciiTheme="minorHAnsi" w:eastAsia="Times New Roman" w:hAnsiTheme="minorHAnsi" w:cstheme="minorHAnsi"/>
          <w:sz w:val="24"/>
          <w:szCs w:val="24"/>
        </w:rPr>
        <w:t>Pflieger-Bruss</w:t>
      </w:r>
      <w:proofErr w:type="spellEnd"/>
      <w:r w:rsidR="00522F32">
        <w:rPr>
          <w:rFonts w:asciiTheme="minorHAnsi" w:eastAsia="Times New Roman" w:hAnsiTheme="minorHAnsi" w:cstheme="minorHAnsi"/>
          <w:sz w:val="24"/>
          <w:szCs w:val="24"/>
        </w:rPr>
        <w:t xml:space="preserve"> et al., 2004)</w:t>
      </w:r>
      <w:r>
        <w:rPr>
          <w:rFonts w:asciiTheme="minorHAnsi" w:eastAsia="Times New Roman" w:hAnsiTheme="minorHAnsi" w:cstheme="minorHAnsi"/>
          <w:sz w:val="24"/>
          <w:szCs w:val="24"/>
        </w:rPr>
        <w:t>.</w:t>
      </w:r>
    </w:p>
    <w:p w:rsidR="00347214" w:rsidRDefault="00347214" w:rsidP="00C71DA7">
      <w:pPr>
        <w:pStyle w:val="ListParagraph"/>
        <w:widowControl w:val="0"/>
        <w:autoSpaceDE w:val="0"/>
        <w:autoSpaceDN w:val="0"/>
        <w:adjustRightInd w:val="0"/>
        <w:spacing w:after="0" w:line="240" w:lineRule="auto"/>
        <w:ind w:left="0"/>
        <w:contextualSpacing w:val="0"/>
        <w:jc w:val="both"/>
        <w:rPr>
          <w:rFonts w:asciiTheme="minorHAnsi" w:eastAsia="Times New Roman" w:hAnsiTheme="minorHAnsi" w:cstheme="minorHAnsi"/>
          <w:i/>
          <w:sz w:val="24"/>
          <w:szCs w:val="24"/>
        </w:rPr>
      </w:pPr>
    </w:p>
    <w:p w:rsidR="00F03FCA" w:rsidRDefault="001311B4" w:rsidP="00C71DA7">
      <w:pPr>
        <w:pStyle w:val="ListParagraph"/>
        <w:widowControl w:val="0"/>
        <w:autoSpaceDE w:val="0"/>
        <w:autoSpaceDN w:val="0"/>
        <w:adjustRightInd w:val="0"/>
        <w:spacing w:after="0" w:line="240" w:lineRule="auto"/>
        <w:ind w:left="0"/>
        <w:contextualSpacing w:val="0"/>
        <w:jc w:val="both"/>
        <w:rPr>
          <w:rFonts w:asciiTheme="minorHAnsi" w:eastAsia="Times New Roman" w:hAnsiTheme="minorHAnsi" w:cstheme="minorHAnsi"/>
          <w:sz w:val="24"/>
          <w:szCs w:val="24"/>
        </w:rPr>
      </w:pPr>
      <w:proofErr w:type="gramStart"/>
      <w:r w:rsidRPr="00F46D82">
        <w:rPr>
          <w:rFonts w:asciiTheme="minorHAnsi" w:eastAsia="Times New Roman" w:hAnsiTheme="minorHAnsi" w:cstheme="minorHAnsi"/>
          <w:i/>
          <w:sz w:val="24"/>
          <w:szCs w:val="24"/>
        </w:rPr>
        <w:t>Pregnant Women.</w:t>
      </w:r>
      <w:proofErr w:type="gramEnd"/>
      <w:r w:rsidRPr="00F46D82">
        <w:rPr>
          <w:rFonts w:asciiTheme="minorHAnsi" w:eastAsia="Times New Roman" w:hAnsiTheme="minorHAnsi" w:cstheme="minorHAnsi"/>
          <w:i/>
          <w:sz w:val="24"/>
          <w:szCs w:val="24"/>
        </w:rPr>
        <w:t xml:space="preserve"> </w:t>
      </w:r>
      <w:r w:rsidR="00C71DA7">
        <w:rPr>
          <w:rFonts w:asciiTheme="minorHAnsi" w:eastAsia="Times New Roman" w:hAnsiTheme="minorHAnsi" w:cstheme="minorHAnsi"/>
          <w:sz w:val="24"/>
          <w:szCs w:val="24"/>
        </w:rPr>
        <w:t xml:space="preserve">Being pregnant is </w:t>
      </w:r>
      <w:proofErr w:type="gramStart"/>
      <w:r w:rsidR="00D56C51" w:rsidRPr="00F46D82">
        <w:rPr>
          <w:rFonts w:asciiTheme="minorHAnsi" w:eastAsia="Times New Roman" w:hAnsiTheme="minorHAnsi" w:cstheme="minorHAnsi"/>
          <w:sz w:val="24"/>
          <w:szCs w:val="24"/>
        </w:rPr>
        <w:t>an excl</w:t>
      </w:r>
      <w:r w:rsidR="00F03FCA">
        <w:rPr>
          <w:rFonts w:asciiTheme="minorHAnsi" w:eastAsia="Times New Roman" w:hAnsiTheme="minorHAnsi" w:cstheme="minorHAnsi"/>
          <w:sz w:val="24"/>
          <w:szCs w:val="24"/>
        </w:rPr>
        <w:t>usion</w:t>
      </w:r>
      <w:proofErr w:type="gramEnd"/>
      <w:r w:rsidR="00F03FCA">
        <w:rPr>
          <w:rFonts w:asciiTheme="minorHAnsi" w:eastAsia="Times New Roman" w:hAnsiTheme="minorHAnsi" w:cstheme="minorHAnsi"/>
          <w:sz w:val="24"/>
          <w:szCs w:val="24"/>
        </w:rPr>
        <w:t xml:space="preserve"> for the study and will</w:t>
      </w:r>
      <w:r w:rsidR="00D56C51" w:rsidRPr="00F46D82">
        <w:rPr>
          <w:rFonts w:asciiTheme="minorHAnsi" w:eastAsia="Times New Roman" w:hAnsiTheme="minorHAnsi" w:cstheme="minorHAnsi"/>
          <w:sz w:val="24"/>
          <w:szCs w:val="24"/>
        </w:rPr>
        <w:t xml:space="preserve"> be asked </w:t>
      </w:r>
      <w:r w:rsidR="00D24813">
        <w:rPr>
          <w:rFonts w:asciiTheme="minorHAnsi" w:eastAsia="Times New Roman" w:hAnsiTheme="minorHAnsi" w:cstheme="minorHAnsi"/>
          <w:sz w:val="24"/>
          <w:szCs w:val="24"/>
        </w:rPr>
        <w:t>in</w:t>
      </w:r>
      <w:r w:rsidR="00D56C51" w:rsidRPr="00F46D82">
        <w:rPr>
          <w:rFonts w:asciiTheme="minorHAnsi" w:eastAsia="Times New Roman" w:hAnsiTheme="minorHAnsi" w:cstheme="minorHAnsi"/>
          <w:sz w:val="24"/>
          <w:szCs w:val="24"/>
        </w:rPr>
        <w:t xml:space="preserve"> the </w:t>
      </w:r>
      <w:r w:rsidR="00D24813">
        <w:rPr>
          <w:rFonts w:asciiTheme="minorHAnsi" w:eastAsia="Times New Roman" w:hAnsiTheme="minorHAnsi" w:cstheme="minorHAnsi"/>
          <w:sz w:val="24"/>
          <w:szCs w:val="24"/>
        </w:rPr>
        <w:t>Recruitment Telephone Script (Attachment 3.3)</w:t>
      </w:r>
      <w:r w:rsidR="00D56C51" w:rsidRPr="00422E82">
        <w:rPr>
          <w:rFonts w:asciiTheme="minorHAnsi" w:eastAsia="Times New Roman" w:hAnsiTheme="minorHAnsi" w:cstheme="minorHAnsi"/>
          <w:sz w:val="24"/>
          <w:szCs w:val="24"/>
        </w:rPr>
        <w:t>.</w:t>
      </w:r>
      <w:r w:rsidR="00A0045F" w:rsidRPr="009B1FEA">
        <w:rPr>
          <w:rFonts w:asciiTheme="minorHAnsi" w:eastAsia="Times New Roman" w:hAnsiTheme="minorHAnsi" w:cstheme="minorHAnsi"/>
          <w:sz w:val="24"/>
          <w:szCs w:val="24"/>
        </w:rPr>
        <w:t xml:space="preserve"> </w:t>
      </w:r>
      <w:r w:rsidR="00746180">
        <w:rPr>
          <w:rFonts w:asciiTheme="minorHAnsi" w:eastAsia="Times New Roman" w:hAnsiTheme="minorHAnsi" w:cstheme="minorHAnsi"/>
          <w:sz w:val="24"/>
          <w:szCs w:val="24"/>
        </w:rPr>
        <w:t>Respondents</w:t>
      </w:r>
      <w:r w:rsidR="00EA78B0">
        <w:rPr>
          <w:rFonts w:asciiTheme="minorHAnsi" w:eastAsia="Times New Roman" w:hAnsiTheme="minorHAnsi" w:cstheme="minorHAnsi"/>
          <w:sz w:val="24"/>
          <w:szCs w:val="24"/>
        </w:rPr>
        <w:t xml:space="preserve"> </w:t>
      </w:r>
      <w:proofErr w:type="gramStart"/>
      <w:r w:rsidR="00EA78B0">
        <w:rPr>
          <w:rFonts w:asciiTheme="minorHAnsi" w:eastAsia="Times New Roman" w:hAnsiTheme="minorHAnsi" w:cstheme="minorHAnsi"/>
          <w:sz w:val="24"/>
          <w:szCs w:val="24"/>
        </w:rPr>
        <w:t>will be informed</w:t>
      </w:r>
      <w:proofErr w:type="gramEnd"/>
      <w:r w:rsidR="00EA78B0">
        <w:rPr>
          <w:rFonts w:asciiTheme="minorHAnsi" w:eastAsia="Times New Roman" w:hAnsiTheme="minorHAnsi" w:cstheme="minorHAnsi"/>
          <w:sz w:val="24"/>
          <w:szCs w:val="24"/>
        </w:rPr>
        <w:t xml:space="preserve"> </w:t>
      </w:r>
      <w:r w:rsidR="00E120DC">
        <w:rPr>
          <w:rFonts w:asciiTheme="minorHAnsi" w:eastAsia="Times New Roman" w:hAnsiTheme="minorHAnsi" w:cstheme="minorHAnsi"/>
          <w:sz w:val="24"/>
          <w:szCs w:val="24"/>
        </w:rPr>
        <w:t xml:space="preserve">in </w:t>
      </w:r>
      <w:r w:rsidR="00CB72FF">
        <w:rPr>
          <w:rFonts w:asciiTheme="minorHAnsi" w:eastAsia="Times New Roman" w:hAnsiTheme="minorHAnsi" w:cstheme="minorHAnsi"/>
          <w:sz w:val="24"/>
          <w:szCs w:val="24"/>
        </w:rPr>
        <w:t>recruitment</w:t>
      </w:r>
      <w:r w:rsidR="00F907EF">
        <w:rPr>
          <w:rFonts w:asciiTheme="minorHAnsi" w:eastAsia="Times New Roman" w:hAnsiTheme="minorHAnsi" w:cstheme="minorHAnsi"/>
          <w:sz w:val="24"/>
          <w:szCs w:val="24"/>
        </w:rPr>
        <w:t xml:space="preserve"> materials (</w:t>
      </w:r>
      <w:r w:rsidR="006B1209">
        <w:rPr>
          <w:rFonts w:asciiTheme="minorHAnsi" w:eastAsia="Times New Roman" w:hAnsiTheme="minorHAnsi" w:cstheme="minorHAnsi"/>
          <w:sz w:val="24"/>
          <w:szCs w:val="24"/>
        </w:rPr>
        <w:t xml:space="preserve">Attachments 3.1 &amp; 3.2) and </w:t>
      </w:r>
      <w:r w:rsidR="00EA78B0">
        <w:rPr>
          <w:rFonts w:asciiTheme="minorHAnsi" w:eastAsia="Times New Roman" w:hAnsiTheme="minorHAnsi" w:cstheme="minorHAnsi"/>
          <w:sz w:val="24"/>
          <w:szCs w:val="24"/>
        </w:rPr>
        <w:t>during the consent process</w:t>
      </w:r>
      <w:r w:rsidR="006B1209">
        <w:rPr>
          <w:rFonts w:asciiTheme="minorHAnsi" w:eastAsia="Times New Roman" w:hAnsiTheme="minorHAnsi" w:cstheme="minorHAnsi"/>
          <w:sz w:val="24"/>
          <w:szCs w:val="24"/>
        </w:rPr>
        <w:t xml:space="preserve"> (Attachment 3.8)</w:t>
      </w:r>
      <w:r w:rsidR="00EA78B0">
        <w:rPr>
          <w:rFonts w:asciiTheme="minorHAnsi" w:eastAsia="Times New Roman" w:hAnsiTheme="minorHAnsi" w:cstheme="minorHAnsi"/>
          <w:sz w:val="24"/>
          <w:szCs w:val="24"/>
        </w:rPr>
        <w:t xml:space="preserve"> that</w:t>
      </w:r>
      <w:r w:rsidR="006B1209">
        <w:rPr>
          <w:rFonts w:asciiTheme="minorHAnsi" w:eastAsia="Times New Roman" w:hAnsiTheme="minorHAnsi" w:cstheme="minorHAnsi"/>
          <w:sz w:val="24"/>
          <w:szCs w:val="24"/>
        </w:rPr>
        <w:t xml:space="preserve"> </w:t>
      </w:r>
      <w:r w:rsidR="00F12E7D">
        <w:rPr>
          <w:rFonts w:asciiTheme="minorHAnsi" w:eastAsia="Times New Roman" w:hAnsiTheme="minorHAnsi" w:cstheme="minorHAnsi"/>
          <w:sz w:val="24"/>
          <w:szCs w:val="24"/>
        </w:rPr>
        <w:t xml:space="preserve">pregnant </w:t>
      </w:r>
      <w:r w:rsidR="00CB72FF">
        <w:rPr>
          <w:rFonts w:asciiTheme="minorHAnsi" w:eastAsia="Times New Roman" w:hAnsiTheme="minorHAnsi" w:cstheme="minorHAnsi"/>
          <w:sz w:val="24"/>
          <w:szCs w:val="24"/>
        </w:rPr>
        <w:t xml:space="preserve">women </w:t>
      </w:r>
      <w:r w:rsidR="00F12E7D">
        <w:rPr>
          <w:rFonts w:asciiTheme="minorHAnsi" w:eastAsia="Times New Roman" w:hAnsiTheme="minorHAnsi" w:cstheme="minorHAnsi"/>
          <w:sz w:val="24"/>
          <w:szCs w:val="24"/>
        </w:rPr>
        <w:t>will</w:t>
      </w:r>
      <w:r w:rsidR="006B1209">
        <w:rPr>
          <w:rFonts w:asciiTheme="minorHAnsi" w:eastAsia="Times New Roman" w:hAnsiTheme="minorHAnsi" w:cstheme="minorHAnsi"/>
          <w:sz w:val="24"/>
          <w:szCs w:val="24"/>
        </w:rPr>
        <w:t xml:space="preserve"> be </w:t>
      </w:r>
      <w:r w:rsidR="00F03FCA">
        <w:rPr>
          <w:rFonts w:asciiTheme="minorHAnsi" w:eastAsia="Times New Roman" w:hAnsiTheme="minorHAnsi" w:cstheme="minorHAnsi"/>
          <w:sz w:val="24"/>
          <w:szCs w:val="24"/>
        </w:rPr>
        <w:t>ex</w:t>
      </w:r>
      <w:r w:rsidR="00056518">
        <w:rPr>
          <w:rFonts w:asciiTheme="minorHAnsi" w:eastAsia="Times New Roman" w:hAnsiTheme="minorHAnsi" w:cstheme="minorHAnsi"/>
          <w:sz w:val="24"/>
          <w:szCs w:val="24"/>
        </w:rPr>
        <w:t>c</w:t>
      </w:r>
      <w:r w:rsidR="00F03FCA">
        <w:rPr>
          <w:rFonts w:asciiTheme="minorHAnsi" w:eastAsia="Times New Roman" w:hAnsiTheme="minorHAnsi" w:cstheme="minorHAnsi"/>
          <w:sz w:val="24"/>
          <w:szCs w:val="24"/>
        </w:rPr>
        <w:t>luded</w:t>
      </w:r>
      <w:r w:rsidR="007353B3">
        <w:rPr>
          <w:rFonts w:asciiTheme="minorHAnsi" w:eastAsia="Times New Roman" w:hAnsiTheme="minorHAnsi" w:cstheme="minorHAnsi"/>
          <w:sz w:val="24"/>
          <w:szCs w:val="24"/>
        </w:rPr>
        <w:t>. This is</w:t>
      </w:r>
      <w:r w:rsidR="00CB72FF">
        <w:rPr>
          <w:rFonts w:asciiTheme="minorHAnsi" w:eastAsia="Times New Roman" w:hAnsiTheme="minorHAnsi" w:cstheme="minorHAnsi"/>
          <w:sz w:val="24"/>
          <w:szCs w:val="24"/>
        </w:rPr>
        <w:t xml:space="preserve"> a minimal risk precaution</w:t>
      </w:r>
      <w:r w:rsidR="009B1FEA">
        <w:rPr>
          <w:rFonts w:asciiTheme="minorHAnsi" w:eastAsia="Times New Roman" w:hAnsiTheme="minorHAnsi" w:cstheme="minorHAnsi"/>
          <w:sz w:val="24"/>
          <w:szCs w:val="24"/>
        </w:rPr>
        <w:t xml:space="preserve">. </w:t>
      </w:r>
      <w:r w:rsidR="00CC39C2">
        <w:rPr>
          <w:rFonts w:asciiTheme="minorHAnsi" w:eastAsia="Times New Roman" w:hAnsiTheme="minorHAnsi" w:cstheme="minorHAnsi"/>
          <w:sz w:val="24"/>
          <w:szCs w:val="24"/>
        </w:rPr>
        <w:t>For this purpose</w:t>
      </w:r>
      <w:r w:rsidR="009B1FEA">
        <w:rPr>
          <w:rFonts w:asciiTheme="minorHAnsi" w:eastAsia="Times New Roman" w:hAnsiTheme="minorHAnsi" w:cstheme="minorHAnsi"/>
          <w:sz w:val="24"/>
          <w:szCs w:val="24"/>
        </w:rPr>
        <w:t>, a</w:t>
      </w:r>
      <w:r w:rsidR="00EA78B0">
        <w:rPr>
          <w:rFonts w:asciiTheme="minorHAnsi" w:eastAsia="Times New Roman" w:hAnsiTheme="minorHAnsi" w:cstheme="minorHAnsi"/>
          <w:sz w:val="24"/>
          <w:szCs w:val="24"/>
        </w:rPr>
        <w:t xml:space="preserve">ll women less than 60 years of age </w:t>
      </w:r>
      <w:proofErr w:type="gramStart"/>
      <w:r w:rsidR="00EA78B0">
        <w:rPr>
          <w:rFonts w:asciiTheme="minorHAnsi" w:eastAsia="Times New Roman" w:hAnsiTheme="minorHAnsi" w:cstheme="minorHAnsi"/>
          <w:sz w:val="24"/>
          <w:szCs w:val="24"/>
        </w:rPr>
        <w:t>will be screened</w:t>
      </w:r>
      <w:proofErr w:type="gramEnd"/>
      <w:r w:rsidR="00EA78B0">
        <w:rPr>
          <w:rFonts w:asciiTheme="minorHAnsi" w:eastAsia="Times New Roman" w:hAnsiTheme="minorHAnsi" w:cstheme="minorHAnsi"/>
          <w:sz w:val="24"/>
          <w:szCs w:val="24"/>
        </w:rPr>
        <w:t xml:space="preserve"> for pregnancy before t</w:t>
      </w:r>
      <w:r w:rsidR="00CB72FF">
        <w:rPr>
          <w:rFonts w:asciiTheme="minorHAnsi" w:eastAsia="Times New Roman" w:hAnsiTheme="minorHAnsi" w:cstheme="minorHAnsi"/>
          <w:sz w:val="24"/>
          <w:szCs w:val="24"/>
        </w:rPr>
        <w:t>he blood draw (Attachment 3.12)</w:t>
      </w:r>
      <w:r w:rsidR="00E120DC">
        <w:rPr>
          <w:rFonts w:asciiTheme="minorHAnsi" w:eastAsia="Times New Roman" w:hAnsiTheme="minorHAnsi" w:cstheme="minorHAnsi"/>
          <w:sz w:val="24"/>
          <w:szCs w:val="24"/>
        </w:rPr>
        <w:t xml:space="preserve">. </w:t>
      </w:r>
    </w:p>
    <w:p w:rsidR="00F03FCA" w:rsidRDefault="00F03FCA" w:rsidP="00C71DA7">
      <w:pPr>
        <w:pStyle w:val="ListParagraph"/>
        <w:widowControl w:val="0"/>
        <w:autoSpaceDE w:val="0"/>
        <w:autoSpaceDN w:val="0"/>
        <w:adjustRightInd w:val="0"/>
        <w:spacing w:after="0" w:line="240" w:lineRule="auto"/>
        <w:ind w:left="0"/>
        <w:contextualSpacing w:val="0"/>
        <w:jc w:val="both"/>
        <w:rPr>
          <w:rFonts w:asciiTheme="minorHAnsi" w:eastAsia="Times New Roman" w:hAnsiTheme="minorHAnsi" w:cstheme="minorHAnsi"/>
          <w:sz w:val="24"/>
          <w:szCs w:val="24"/>
        </w:rPr>
      </w:pPr>
    </w:p>
    <w:p w:rsidR="00A61893" w:rsidRDefault="00E20BC2" w:rsidP="00C71DA7">
      <w:pPr>
        <w:pStyle w:val="ListParagraph"/>
        <w:widowControl w:val="0"/>
        <w:autoSpaceDE w:val="0"/>
        <w:autoSpaceDN w:val="0"/>
        <w:adjustRightInd w:val="0"/>
        <w:spacing w:after="0" w:line="240" w:lineRule="auto"/>
        <w:ind w:left="0"/>
        <w:contextualSpacing w:val="0"/>
        <w:jc w:val="both"/>
        <w:rPr>
          <w:rFonts w:asciiTheme="minorHAnsi" w:eastAsia="Times New Roman" w:hAnsiTheme="minorHAnsi" w:cstheme="minorHAnsi"/>
          <w:sz w:val="24"/>
          <w:szCs w:val="24"/>
        </w:rPr>
      </w:pPr>
      <w:r w:rsidRPr="00F46D82">
        <w:rPr>
          <w:rFonts w:asciiTheme="minorHAnsi" w:eastAsia="Times New Roman" w:hAnsiTheme="minorHAnsi" w:cstheme="minorHAnsi"/>
          <w:sz w:val="24"/>
          <w:szCs w:val="24"/>
        </w:rPr>
        <w:t xml:space="preserve">A history of pregnancy or breastfeeding in the past 12 months </w:t>
      </w:r>
      <w:proofErr w:type="gramStart"/>
      <w:r w:rsidRPr="00F46D82">
        <w:rPr>
          <w:rFonts w:asciiTheme="minorHAnsi" w:eastAsia="Times New Roman" w:hAnsiTheme="minorHAnsi" w:cstheme="minorHAnsi"/>
          <w:sz w:val="24"/>
          <w:szCs w:val="24"/>
        </w:rPr>
        <w:t xml:space="preserve">will </w:t>
      </w:r>
      <w:r w:rsidR="00E120DC">
        <w:rPr>
          <w:rFonts w:asciiTheme="minorHAnsi" w:eastAsia="Times New Roman" w:hAnsiTheme="minorHAnsi" w:cstheme="minorHAnsi"/>
          <w:sz w:val="24"/>
          <w:szCs w:val="24"/>
        </w:rPr>
        <w:t xml:space="preserve">also </w:t>
      </w:r>
      <w:r w:rsidRPr="00F46D82">
        <w:rPr>
          <w:rFonts w:asciiTheme="minorHAnsi" w:eastAsia="Times New Roman" w:hAnsiTheme="minorHAnsi" w:cstheme="minorHAnsi"/>
          <w:sz w:val="24"/>
          <w:szCs w:val="24"/>
        </w:rPr>
        <w:t>be asked</w:t>
      </w:r>
      <w:proofErr w:type="gramEnd"/>
      <w:r w:rsidRPr="00F46D82">
        <w:rPr>
          <w:rFonts w:asciiTheme="minorHAnsi" w:eastAsia="Times New Roman" w:hAnsiTheme="minorHAnsi" w:cstheme="minorHAnsi"/>
          <w:sz w:val="24"/>
          <w:szCs w:val="24"/>
        </w:rPr>
        <w:t xml:space="preserve"> during the interview</w:t>
      </w:r>
      <w:r w:rsidR="00E120DC">
        <w:rPr>
          <w:rFonts w:asciiTheme="minorHAnsi" w:eastAsia="Times New Roman" w:hAnsiTheme="minorHAnsi" w:cstheme="minorHAnsi"/>
          <w:sz w:val="24"/>
          <w:szCs w:val="24"/>
        </w:rPr>
        <w:t xml:space="preserve"> of women less than 60 years of age</w:t>
      </w:r>
      <w:r w:rsidR="006B1209">
        <w:rPr>
          <w:rFonts w:asciiTheme="minorHAnsi" w:eastAsia="Times New Roman" w:hAnsiTheme="minorHAnsi" w:cstheme="minorHAnsi"/>
          <w:sz w:val="24"/>
          <w:szCs w:val="24"/>
        </w:rPr>
        <w:t xml:space="preserve"> (Attachment 3.13b).</w:t>
      </w:r>
      <w:r w:rsidR="002A532C">
        <w:rPr>
          <w:rFonts w:asciiTheme="minorHAnsi" w:eastAsia="Times New Roman" w:hAnsiTheme="minorHAnsi" w:cstheme="minorHAnsi"/>
          <w:sz w:val="24"/>
          <w:szCs w:val="24"/>
        </w:rPr>
        <w:t xml:space="preserve"> </w:t>
      </w:r>
      <w:r w:rsidR="00E120DC">
        <w:rPr>
          <w:rFonts w:asciiTheme="minorHAnsi" w:eastAsia="Times New Roman" w:hAnsiTheme="minorHAnsi" w:cstheme="minorHAnsi"/>
          <w:sz w:val="24"/>
          <w:szCs w:val="24"/>
        </w:rPr>
        <w:t xml:space="preserve">The 60-year threshold is consistent with the venipuncture procedures for the NHANES. The threshold takes into account the large variability </w:t>
      </w:r>
      <w:r w:rsidR="007353B3">
        <w:rPr>
          <w:rFonts w:asciiTheme="minorHAnsi" w:eastAsia="Times New Roman" w:hAnsiTheme="minorHAnsi" w:cstheme="minorHAnsi"/>
          <w:sz w:val="24"/>
          <w:szCs w:val="24"/>
        </w:rPr>
        <w:t>of age at menopause among women, and se</w:t>
      </w:r>
      <w:r w:rsidR="00704889">
        <w:rPr>
          <w:rFonts w:asciiTheme="minorHAnsi" w:eastAsia="Times New Roman" w:hAnsiTheme="minorHAnsi" w:cstheme="minorHAnsi"/>
          <w:sz w:val="24"/>
          <w:szCs w:val="24"/>
        </w:rPr>
        <w:t xml:space="preserve">lecting the upper age </w:t>
      </w:r>
      <w:proofErr w:type="gramStart"/>
      <w:r w:rsidR="00704889">
        <w:rPr>
          <w:rFonts w:asciiTheme="minorHAnsi" w:eastAsia="Times New Roman" w:hAnsiTheme="minorHAnsi" w:cstheme="minorHAnsi"/>
          <w:sz w:val="24"/>
          <w:szCs w:val="24"/>
        </w:rPr>
        <w:t>is also</w:t>
      </w:r>
      <w:proofErr w:type="gramEnd"/>
      <w:r w:rsidR="00704889">
        <w:rPr>
          <w:rFonts w:asciiTheme="minorHAnsi" w:eastAsia="Times New Roman" w:hAnsiTheme="minorHAnsi" w:cstheme="minorHAnsi"/>
          <w:sz w:val="24"/>
          <w:szCs w:val="24"/>
        </w:rPr>
        <w:t xml:space="preserve"> a </w:t>
      </w:r>
      <w:r w:rsidR="007353B3">
        <w:rPr>
          <w:rFonts w:asciiTheme="minorHAnsi" w:eastAsia="Times New Roman" w:hAnsiTheme="minorHAnsi" w:cstheme="minorHAnsi"/>
          <w:sz w:val="24"/>
          <w:szCs w:val="24"/>
        </w:rPr>
        <w:t xml:space="preserve">precaution in the event that </w:t>
      </w:r>
      <w:r w:rsidR="00486D34">
        <w:rPr>
          <w:rFonts w:asciiTheme="minorHAnsi" w:eastAsia="Times New Roman" w:hAnsiTheme="minorHAnsi" w:cstheme="minorHAnsi"/>
          <w:sz w:val="24"/>
          <w:szCs w:val="24"/>
        </w:rPr>
        <w:t xml:space="preserve">cases of </w:t>
      </w:r>
      <w:r w:rsidR="007353B3">
        <w:rPr>
          <w:rFonts w:asciiTheme="minorHAnsi" w:eastAsia="Times New Roman" w:hAnsiTheme="minorHAnsi" w:cstheme="minorHAnsi"/>
          <w:sz w:val="24"/>
          <w:szCs w:val="24"/>
        </w:rPr>
        <w:t>advanced maternal age is encountered.</w:t>
      </w:r>
      <w:r w:rsidR="00CC39C2">
        <w:rPr>
          <w:rFonts w:asciiTheme="minorHAnsi" w:eastAsia="Times New Roman" w:hAnsiTheme="minorHAnsi" w:cstheme="minorHAnsi"/>
          <w:sz w:val="24"/>
          <w:szCs w:val="24"/>
        </w:rPr>
        <w:t xml:space="preserve"> Women </w:t>
      </w:r>
      <w:proofErr w:type="gramStart"/>
      <w:r w:rsidR="00CC39C2">
        <w:rPr>
          <w:rFonts w:asciiTheme="minorHAnsi" w:eastAsia="Times New Roman" w:hAnsiTheme="minorHAnsi" w:cstheme="minorHAnsi"/>
          <w:sz w:val="24"/>
          <w:szCs w:val="24"/>
        </w:rPr>
        <w:t>will be asked</w:t>
      </w:r>
      <w:proofErr w:type="gramEnd"/>
      <w:r w:rsidR="00CC39C2">
        <w:rPr>
          <w:rFonts w:asciiTheme="minorHAnsi" w:eastAsia="Times New Roman" w:hAnsiTheme="minorHAnsi" w:cstheme="minorHAnsi"/>
          <w:sz w:val="24"/>
          <w:szCs w:val="24"/>
        </w:rPr>
        <w:t xml:space="preserve"> the lifetime total number of pregnancies and the lifetime total duration of breastfeeding (Attachment 3.13b).</w:t>
      </w:r>
      <w:r w:rsidR="002601CC">
        <w:rPr>
          <w:rFonts w:asciiTheme="minorHAnsi" w:eastAsia="Times New Roman" w:hAnsiTheme="minorHAnsi" w:cstheme="minorHAnsi"/>
          <w:sz w:val="24"/>
          <w:szCs w:val="24"/>
        </w:rPr>
        <w:t xml:space="preserve"> </w:t>
      </w:r>
    </w:p>
    <w:p w:rsidR="00A61893" w:rsidRDefault="00A61893" w:rsidP="00C71DA7">
      <w:pPr>
        <w:pStyle w:val="ListParagraph"/>
        <w:widowControl w:val="0"/>
        <w:autoSpaceDE w:val="0"/>
        <w:autoSpaceDN w:val="0"/>
        <w:adjustRightInd w:val="0"/>
        <w:spacing w:after="0" w:line="240" w:lineRule="auto"/>
        <w:ind w:left="0"/>
        <w:contextualSpacing w:val="0"/>
        <w:jc w:val="both"/>
        <w:rPr>
          <w:rFonts w:asciiTheme="minorHAnsi" w:eastAsia="Times New Roman" w:hAnsiTheme="minorHAnsi" w:cstheme="minorHAnsi"/>
          <w:sz w:val="24"/>
          <w:szCs w:val="24"/>
        </w:rPr>
      </w:pPr>
    </w:p>
    <w:p w:rsidR="00CC39C2" w:rsidRDefault="002601CC" w:rsidP="00C71DA7">
      <w:pPr>
        <w:pStyle w:val="ListParagraph"/>
        <w:widowControl w:val="0"/>
        <w:autoSpaceDE w:val="0"/>
        <w:autoSpaceDN w:val="0"/>
        <w:adjustRightInd w:val="0"/>
        <w:spacing w:after="0" w:line="240" w:lineRule="auto"/>
        <w:ind w:left="0"/>
        <w:contextualSpacing w:val="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This information</w:t>
      </w:r>
      <w:r w:rsidR="00A61893">
        <w:rPr>
          <w:rFonts w:asciiTheme="minorHAnsi" w:eastAsia="Times New Roman" w:hAnsiTheme="minorHAnsi" w:cstheme="minorHAnsi"/>
          <w:sz w:val="24"/>
          <w:szCs w:val="24"/>
        </w:rPr>
        <w:t xml:space="preserve"> on pregnancy and breastfeeding</w:t>
      </w:r>
      <w:r>
        <w:rPr>
          <w:rFonts w:asciiTheme="minorHAnsi" w:eastAsia="Times New Roman" w:hAnsiTheme="minorHAnsi" w:cstheme="minorHAnsi"/>
          <w:sz w:val="24"/>
          <w:szCs w:val="24"/>
        </w:rPr>
        <w:t xml:space="preserve"> </w:t>
      </w:r>
      <w:proofErr w:type="gramStart"/>
      <w:r>
        <w:rPr>
          <w:rFonts w:asciiTheme="minorHAnsi" w:eastAsia="Times New Roman" w:hAnsiTheme="minorHAnsi" w:cstheme="minorHAnsi"/>
          <w:sz w:val="24"/>
          <w:szCs w:val="24"/>
        </w:rPr>
        <w:t>is n</w:t>
      </w:r>
      <w:r w:rsidR="00A61893">
        <w:rPr>
          <w:rFonts w:asciiTheme="minorHAnsi" w:eastAsia="Times New Roman" w:hAnsiTheme="minorHAnsi" w:cstheme="minorHAnsi"/>
          <w:sz w:val="24"/>
          <w:szCs w:val="24"/>
        </w:rPr>
        <w:t>eeded</w:t>
      </w:r>
      <w:proofErr w:type="gramEnd"/>
      <w:r w:rsidR="00A61893">
        <w:rPr>
          <w:rFonts w:asciiTheme="minorHAnsi" w:eastAsia="Times New Roman" w:hAnsiTheme="minorHAnsi" w:cstheme="minorHAnsi"/>
          <w:sz w:val="24"/>
          <w:szCs w:val="24"/>
        </w:rPr>
        <w:t xml:space="preserve"> to assess</w:t>
      </w:r>
      <w:r>
        <w:rPr>
          <w:rFonts w:asciiTheme="minorHAnsi" w:eastAsia="Times New Roman" w:hAnsiTheme="minorHAnsi" w:cstheme="minorHAnsi"/>
          <w:sz w:val="24"/>
          <w:szCs w:val="24"/>
        </w:rPr>
        <w:t xml:space="preserve"> </w:t>
      </w:r>
      <w:r w:rsidR="00746180">
        <w:rPr>
          <w:rFonts w:asciiTheme="minorHAnsi" w:eastAsia="Times New Roman" w:hAnsiTheme="minorHAnsi" w:cstheme="minorHAnsi"/>
          <w:sz w:val="24"/>
          <w:szCs w:val="24"/>
        </w:rPr>
        <w:t>physiological events that mobilize many lipophilic compounds, such as PCBs, dioxins, pesticides, and PBDEs, from body stores in adipose tissue</w:t>
      </w:r>
      <w:r w:rsidR="00A61893">
        <w:rPr>
          <w:rFonts w:asciiTheme="minorHAnsi" w:eastAsia="Times New Roman" w:hAnsiTheme="minorHAnsi" w:cstheme="minorHAnsi"/>
          <w:sz w:val="24"/>
          <w:szCs w:val="24"/>
        </w:rPr>
        <w:t>. With physiologic disequilibrium, t</w:t>
      </w:r>
      <w:r w:rsidR="00A90515">
        <w:rPr>
          <w:rFonts w:asciiTheme="minorHAnsi" w:eastAsia="Times New Roman" w:hAnsiTheme="minorHAnsi" w:cstheme="minorHAnsi"/>
          <w:sz w:val="24"/>
          <w:szCs w:val="24"/>
        </w:rPr>
        <w:t xml:space="preserve">hese toxic compounds </w:t>
      </w:r>
      <w:proofErr w:type="gramStart"/>
      <w:r w:rsidR="00A90515">
        <w:rPr>
          <w:rFonts w:asciiTheme="minorHAnsi" w:eastAsia="Times New Roman" w:hAnsiTheme="minorHAnsi" w:cstheme="minorHAnsi"/>
          <w:sz w:val="24"/>
          <w:szCs w:val="24"/>
        </w:rPr>
        <w:t>are released</w:t>
      </w:r>
      <w:proofErr w:type="gramEnd"/>
      <w:r w:rsidR="00A90515">
        <w:rPr>
          <w:rFonts w:asciiTheme="minorHAnsi" w:eastAsia="Times New Roman" w:hAnsiTheme="minorHAnsi" w:cstheme="minorHAnsi"/>
          <w:sz w:val="24"/>
          <w:szCs w:val="24"/>
        </w:rPr>
        <w:t xml:space="preserve"> into the blood stream to affect target organs in the endocrine system, the immune system, and the reproductive organs.</w:t>
      </w:r>
      <w:r w:rsidR="00A61893">
        <w:rPr>
          <w:rFonts w:asciiTheme="minorHAnsi" w:eastAsia="Times New Roman" w:hAnsiTheme="minorHAnsi" w:cstheme="minorHAnsi"/>
          <w:sz w:val="24"/>
          <w:szCs w:val="24"/>
        </w:rPr>
        <w:t xml:space="preserve"> They </w:t>
      </w:r>
      <w:proofErr w:type="gramStart"/>
      <w:r w:rsidR="00A61893">
        <w:rPr>
          <w:rFonts w:asciiTheme="minorHAnsi" w:eastAsia="Times New Roman" w:hAnsiTheme="minorHAnsi" w:cstheme="minorHAnsi"/>
          <w:sz w:val="24"/>
          <w:szCs w:val="24"/>
        </w:rPr>
        <w:t>will be examined</w:t>
      </w:r>
      <w:proofErr w:type="gramEnd"/>
      <w:r w:rsidR="00A61893">
        <w:rPr>
          <w:rFonts w:asciiTheme="minorHAnsi" w:eastAsia="Times New Roman" w:hAnsiTheme="minorHAnsi" w:cstheme="minorHAnsi"/>
          <w:sz w:val="24"/>
          <w:szCs w:val="24"/>
        </w:rPr>
        <w:t xml:space="preserve"> in relation to self-reported health outcomes and clinical biomarkers.</w:t>
      </w:r>
    </w:p>
    <w:p w:rsidR="00CE4EF8" w:rsidRDefault="00CE4EF8" w:rsidP="00C71DA7">
      <w:pPr>
        <w:pStyle w:val="ListParagraph"/>
        <w:widowControl w:val="0"/>
        <w:autoSpaceDE w:val="0"/>
        <w:autoSpaceDN w:val="0"/>
        <w:adjustRightInd w:val="0"/>
        <w:spacing w:after="0" w:line="240" w:lineRule="auto"/>
        <w:ind w:left="0"/>
        <w:contextualSpacing w:val="0"/>
        <w:jc w:val="both"/>
        <w:rPr>
          <w:rFonts w:asciiTheme="minorHAnsi" w:eastAsia="Times New Roman" w:hAnsiTheme="minorHAnsi" w:cstheme="minorHAnsi"/>
          <w:sz w:val="24"/>
          <w:szCs w:val="24"/>
        </w:rPr>
      </w:pPr>
    </w:p>
    <w:p w:rsidR="00BF187B" w:rsidRPr="000421F5" w:rsidRDefault="00D71F17" w:rsidP="000421F5">
      <w:pPr>
        <w:pStyle w:val="ListParagraph"/>
        <w:widowControl w:val="0"/>
        <w:autoSpaceDE w:val="0"/>
        <w:autoSpaceDN w:val="0"/>
        <w:adjustRightInd w:val="0"/>
        <w:spacing w:after="0" w:line="240" w:lineRule="auto"/>
        <w:ind w:left="0"/>
        <w:contextualSpacing w:val="0"/>
        <w:jc w:val="both"/>
        <w:rPr>
          <w:rFonts w:asciiTheme="minorHAnsi" w:eastAsia="Times New Roman" w:hAnsiTheme="minorHAnsi" w:cstheme="minorHAnsi"/>
          <w:sz w:val="24"/>
          <w:szCs w:val="24"/>
        </w:rPr>
      </w:pPr>
      <w:r>
        <w:rPr>
          <w:rFonts w:asciiTheme="minorHAnsi" w:eastAsia="Times New Roman" w:hAnsiTheme="minorHAnsi" w:cstheme="minorHAnsi"/>
          <w:i/>
          <w:sz w:val="24"/>
          <w:szCs w:val="24"/>
        </w:rPr>
        <w:t>Serving a</w:t>
      </w:r>
      <w:r w:rsidR="00BF187B">
        <w:rPr>
          <w:rFonts w:asciiTheme="minorHAnsi" w:eastAsia="Times New Roman" w:hAnsiTheme="minorHAnsi" w:cstheme="minorHAnsi"/>
          <w:i/>
          <w:sz w:val="24"/>
          <w:szCs w:val="24"/>
        </w:rPr>
        <w:t xml:space="preserve"> sentence or </w:t>
      </w:r>
      <w:r>
        <w:rPr>
          <w:rFonts w:asciiTheme="minorHAnsi" w:eastAsia="Times New Roman" w:hAnsiTheme="minorHAnsi" w:cstheme="minorHAnsi"/>
          <w:i/>
          <w:sz w:val="24"/>
          <w:szCs w:val="24"/>
        </w:rPr>
        <w:t xml:space="preserve">being </w:t>
      </w:r>
      <w:r w:rsidR="00BF187B">
        <w:rPr>
          <w:rFonts w:asciiTheme="minorHAnsi" w:eastAsia="Times New Roman" w:hAnsiTheme="minorHAnsi" w:cstheme="minorHAnsi"/>
          <w:i/>
          <w:sz w:val="24"/>
          <w:szCs w:val="24"/>
        </w:rPr>
        <w:t>under house arrest</w:t>
      </w:r>
      <w:r w:rsidR="00BF187B">
        <w:rPr>
          <w:rFonts w:asciiTheme="minorHAnsi" w:eastAsia="Times New Roman" w:hAnsiTheme="minorHAnsi" w:cstheme="minorHAnsi"/>
          <w:sz w:val="24"/>
          <w:szCs w:val="24"/>
        </w:rPr>
        <w:t>.</w:t>
      </w:r>
      <w:r w:rsidR="00C14679">
        <w:rPr>
          <w:rFonts w:asciiTheme="minorHAnsi" w:eastAsia="Times New Roman" w:hAnsiTheme="minorHAnsi" w:cstheme="minorHAnsi"/>
          <w:sz w:val="24"/>
          <w:szCs w:val="24"/>
        </w:rPr>
        <w:t xml:space="preserve"> </w:t>
      </w:r>
      <w:r w:rsidR="000421F5">
        <w:rPr>
          <w:rFonts w:asciiTheme="minorHAnsi" w:eastAsia="Times New Roman" w:hAnsiTheme="minorHAnsi" w:cstheme="minorHAnsi"/>
          <w:sz w:val="24"/>
          <w:szCs w:val="24"/>
        </w:rPr>
        <w:t xml:space="preserve">Persons identified as serving a sentence (including house arrest) </w:t>
      </w:r>
      <w:proofErr w:type="gramStart"/>
      <w:r w:rsidR="000421F5">
        <w:rPr>
          <w:rFonts w:asciiTheme="minorHAnsi" w:eastAsia="Times New Roman" w:hAnsiTheme="minorHAnsi" w:cstheme="minorHAnsi"/>
          <w:sz w:val="24"/>
          <w:szCs w:val="24"/>
        </w:rPr>
        <w:t>will be excluded</w:t>
      </w:r>
      <w:proofErr w:type="gramEnd"/>
      <w:r w:rsidR="000421F5">
        <w:rPr>
          <w:rFonts w:asciiTheme="minorHAnsi" w:eastAsia="Times New Roman" w:hAnsiTheme="minorHAnsi" w:cstheme="minorHAnsi"/>
          <w:sz w:val="24"/>
          <w:szCs w:val="24"/>
        </w:rPr>
        <w:t xml:space="preserve"> from the study. The </w:t>
      </w:r>
      <w:proofErr w:type="gramStart"/>
      <w:r w:rsidR="000421F5">
        <w:rPr>
          <w:rFonts w:asciiTheme="minorHAnsi" w:eastAsia="Times New Roman" w:hAnsiTheme="minorHAnsi" w:cstheme="minorHAnsi"/>
          <w:sz w:val="24"/>
          <w:szCs w:val="24"/>
        </w:rPr>
        <w:t>language has been specifically requested by the CDC IRB</w:t>
      </w:r>
      <w:proofErr w:type="gramEnd"/>
      <w:r w:rsidR="000421F5">
        <w:rPr>
          <w:rFonts w:asciiTheme="minorHAnsi" w:eastAsia="Times New Roman" w:hAnsiTheme="minorHAnsi" w:cstheme="minorHAnsi"/>
          <w:sz w:val="24"/>
          <w:szCs w:val="24"/>
        </w:rPr>
        <w:t xml:space="preserve"> </w:t>
      </w:r>
      <w:r w:rsidR="00B52E3F">
        <w:rPr>
          <w:rFonts w:asciiTheme="minorHAnsi" w:eastAsia="Times New Roman" w:hAnsiTheme="minorHAnsi" w:cstheme="minorHAnsi"/>
          <w:sz w:val="24"/>
          <w:szCs w:val="24"/>
        </w:rPr>
        <w:t xml:space="preserve">because the study was not approved for the inclusion of prisoners. </w:t>
      </w:r>
    </w:p>
    <w:p w:rsidR="00BF187B" w:rsidRDefault="00BF187B" w:rsidP="00D10F8A">
      <w:pPr>
        <w:pStyle w:val="ListParagraph"/>
        <w:widowControl w:val="0"/>
        <w:autoSpaceDE w:val="0"/>
        <w:autoSpaceDN w:val="0"/>
        <w:adjustRightInd w:val="0"/>
        <w:spacing w:after="0" w:line="240" w:lineRule="auto"/>
        <w:ind w:left="0"/>
        <w:contextualSpacing w:val="0"/>
        <w:rPr>
          <w:rFonts w:asciiTheme="minorHAnsi" w:eastAsia="Times New Roman" w:hAnsiTheme="minorHAnsi" w:cstheme="minorHAnsi"/>
          <w:i/>
          <w:sz w:val="24"/>
          <w:szCs w:val="24"/>
        </w:rPr>
      </w:pPr>
    </w:p>
    <w:p w:rsidR="00D10F8A" w:rsidRDefault="00D10F8A" w:rsidP="00D10F8A">
      <w:pPr>
        <w:pStyle w:val="ListParagraph"/>
        <w:widowControl w:val="0"/>
        <w:autoSpaceDE w:val="0"/>
        <w:autoSpaceDN w:val="0"/>
        <w:adjustRightInd w:val="0"/>
        <w:spacing w:after="0" w:line="240" w:lineRule="auto"/>
        <w:ind w:left="0"/>
        <w:contextualSpacing w:val="0"/>
        <w:rPr>
          <w:rFonts w:asciiTheme="minorHAnsi" w:eastAsia="Times New Roman" w:hAnsiTheme="minorHAnsi" w:cstheme="minorHAnsi"/>
          <w:sz w:val="24"/>
          <w:szCs w:val="24"/>
        </w:rPr>
      </w:pPr>
      <w:proofErr w:type="gramStart"/>
      <w:r>
        <w:rPr>
          <w:rFonts w:asciiTheme="minorHAnsi" w:eastAsia="Times New Roman" w:hAnsiTheme="minorHAnsi" w:cstheme="minorHAnsi"/>
          <w:i/>
          <w:sz w:val="24"/>
          <w:szCs w:val="24"/>
        </w:rPr>
        <w:t>Smoking and Alcohol Consumption.</w:t>
      </w:r>
      <w:proofErr w:type="gramEnd"/>
      <w:r>
        <w:rPr>
          <w:rFonts w:asciiTheme="minorHAnsi" w:eastAsia="Times New Roman" w:hAnsiTheme="minorHAnsi" w:cstheme="minorHAnsi"/>
          <w:sz w:val="24"/>
          <w:szCs w:val="24"/>
        </w:rPr>
        <w:t xml:space="preserve"> Information on smoking and alcohol consumption </w:t>
      </w:r>
      <w:proofErr w:type="gramStart"/>
      <w:r>
        <w:rPr>
          <w:rFonts w:asciiTheme="minorHAnsi" w:eastAsia="Times New Roman" w:hAnsiTheme="minorHAnsi" w:cstheme="minorHAnsi"/>
          <w:sz w:val="24"/>
          <w:szCs w:val="24"/>
        </w:rPr>
        <w:t>is needed</w:t>
      </w:r>
      <w:proofErr w:type="gramEnd"/>
      <w:r>
        <w:rPr>
          <w:rFonts w:asciiTheme="minorHAnsi" w:eastAsia="Times New Roman" w:hAnsiTheme="minorHAnsi" w:cstheme="minorHAnsi"/>
          <w:sz w:val="24"/>
          <w:szCs w:val="24"/>
        </w:rPr>
        <w:t xml:space="preserve"> as important confounders or effect modifiers of the exposures and clinical measures of interest. For example, cigarette smoke is a potential source of cadmium, and liver function tests </w:t>
      </w:r>
      <w:proofErr w:type="gramStart"/>
      <w:r>
        <w:rPr>
          <w:rFonts w:asciiTheme="minorHAnsi" w:eastAsia="Times New Roman" w:hAnsiTheme="minorHAnsi" w:cstheme="minorHAnsi"/>
          <w:sz w:val="24"/>
          <w:szCs w:val="24"/>
        </w:rPr>
        <w:t xml:space="preserve">may be </w:t>
      </w:r>
      <w:r>
        <w:rPr>
          <w:rFonts w:asciiTheme="minorHAnsi" w:eastAsia="Times New Roman" w:hAnsiTheme="minorHAnsi" w:cstheme="minorHAnsi"/>
          <w:sz w:val="24"/>
          <w:szCs w:val="24"/>
        </w:rPr>
        <w:lastRenderedPageBreak/>
        <w:t>modified</w:t>
      </w:r>
      <w:proofErr w:type="gramEnd"/>
      <w:r>
        <w:rPr>
          <w:rFonts w:asciiTheme="minorHAnsi" w:eastAsia="Times New Roman" w:hAnsiTheme="minorHAnsi" w:cstheme="minorHAnsi"/>
          <w:sz w:val="24"/>
          <w:szCs w:val="24"/>
        </w:rPr>
        <w:t xml:space="preserve"> by alcohol consumption.</w:t>
      </w:r>
    </w:p>
    <w:p w:rsidR="00D10F8A" w:rsidRDefault="00D10F8A" w:rsidP="00C71DA7">
      <w:pPr>
        <w:pStyle w:val="ListParagraph"/>
        <w:widowControl w:val="0"/>
        <w:autoSpaceDE w:val="0"/>
        <w:autoSpaceDN w:val="0"/>
        <w:adjustRightInd w:val="0"/>
        <w:spacing w:after="0" w:line="240" w:lineRule="auto"/>
        <w:ind w:left="0"/>
        <w:contextualSpacing w:val="0"/>
        <w:jc w:val="both"/>
        <w:rPr>
          <w:rFonts w:asciiTheme="minorHAnsi" w:eastAsia="Times New Roman" w:hAnsiTheme="minorHAnsi" w:cstheme="minorHAnsi"/>
          <w:sz w:val="24"/>
          <w:szCs w:val="24"/>
        </w:rPr>
      </w:pPr>
    </w:p>
    <w:p w:rsidR="00A34A4A" w:rsidRDefault="00D63798" w:rsidP="00C71DA7">
      <w:pPr>
        <w:spacing w:after="0" w:line="240" w:lineRule="auto"/>
        <w:jc w:val="both"/>
        <w:rPr>
          <w:rFonts w:asciiTheme="minorHAnsi" w:hAnsiTheme="minorHAnsi" w:cstheme="minorHAnsi"/>
          <w:sz w:val="24"/>
          <w:szCs w:val="24"/>
        </w:rPr>
      </w:pPr>
      <w:proofErr w:type="gramStart"/>
      <w:r>
        <w:rPr>
          <w:rFonts w:asciiTheme="minorHAnsi" w:hAnsiTheme="minorHAnsi" w:cstheme="minorHAnsi"/>
          <w:i/>
          <w:sz w:val="24"/>
          <w:szCs w:val="24"/>
        </w:rPr>
        <w:t>Weight Loss or Weight Gain and Measures of Obesity.</w:t>
      </w:r>
      <w:proofErr w:type="gramEnd"/>
      <w:r>
        <w:rPr>
          <w:rFonts w:asciiTheme="minorHAnsi" w:hAnsiTheme="minorHAnsi" w:cstheme="minorHAnsi"/>
          <w:sz w:val="24"/>
          <w:szCs w:val="24"/>
        </w:rPr>
        <w:t xml:space="preserve"> </w:t>
      </w:r>
      <w:r w:rsidR="004818FF">
        <w:rPr>
          <w:rFonts w:asciiTheme="minorHAnsi" w:hAnsiTheme="minorHAnsi" w:cstheme="minorHAnsi"/>
          <w:sz w:val="24"/>
          <w:szCs w:val="24"/>
        </w:rPr>
        <w:t>During the clinical assessment portion of the interview, trained study staff will take</w:t>
      </w:r>
      <w:r w:rsidR="0053666C">
        <w:rPr>
          <w:rFonts w:asciiTheme="minorHAnsi" w:hAnsiTheme="minorHAnsi" w:cstheme="minorHAnsi"/>
          <w:sz w:val="24"/>
          <w:szCs w:val="24"/>
        </w:rPr>
        <w:t xml:space="preserve"> measures of height, weight, and waist circumference (Attachment 3.11). In addition, questions </w:t>
      </w:r>
      <w:proofErr w:type="gramStart"/>
      <w:r w:rsidR="0053666C">
        <w:rPr>
          <w:rFonts w:asciiTheme="minorHAnsi" w:hAnsiTheme="minorHAnsi" w:cstheme="minorHAnsi"/>
          <w:sz w:val="24"/>
          <w:szCs w:val="24"/>
        </w:rPr>
        <w:t>will be asked</w:t>
      </w:r>
      <w:proofErr w:type="gramEnd"/>
      <w:r w:rsidR="0053666C">
        <w:rPr>
          <w:rFonts w:asciiTheme="minorHAnsi" w:hAnsiTheme="minorHAnsi" w:cstheme="minorHAnsi"/>
          <w:sz w:val="24"/>
          <w:szCs w:val="24"/>
        </w:rPr>
        <w:t xml:space="preserve"> about</w:t>
      </w:r>
      <w:r w:rsidR="00DD62B8">
        <w:rPr>
          <w:rFonts w:asciiTheme="minorHAnsi" w:hAnsiTheme="minorHAnsi" w:cstheme="minorHAnsi"/>
          <w:sz w:val="24"/>
          <w:szCs w:val="24"/>
        </w:rPr>
        <w:t xml:space="preserve"> moderate or high weight loss or weight gain in the past year relative to current weight (Attachment 3.13b &amp; 3.13c). Some respondents </w:t>
      </w:r>
      <w:proofErr w:type="gramStart"/>
      <w:r w:rsidR="00DD62B8">
        <w:rPr>
          <w:rFonts w:asciiTheme="minorHAnsi" w:hAnsiTheme="minorHAnsi" w:cstheme="minorHAnsi"/>
          <w:sz w:val="24"/>
          <w:szCs w:val="24"/>
        </w:rPr>
        <w:t>may be embarrassed</w:t>
      </w:r>
      <w:proofErr w:type="gramEnd"/>
      <w:r w:rsidR="00DD62B8">
        <w:rPr>
          <w:rFonts w:asciiTheme="minorHAnsi" w:hAnsiTheme="minorHAnsi" w:cstheme="minorHAnsi"/>
          <w:sz w:val="24"/>
          <w:szCs w:val="24"/>
        </w:rPr>
        <w:t xml:space="preserve"> by these assessments.</w:t>
      </w:r>
      <w:r w:rsidR="00A61893">
        <w:rPr>
          <w:rFonts w:asciiTheme="minorHAnsi" w:hAnsiTheme="minorHAnsi" w:cstheme="minorHAnsi"/>
          <w:sz w:val="24"/>
          <w:szCs w:val="24"/>
        </w:rPr>
        <w:t xml:space="preserve"> </w:t>
      </w:r>
    </w:p>
    <w:p w:rsidR="00A34A4A" w:rsidRDefault="00A34A4A" w:rsidP="00C71DA7">
      <w:pPr>
        <w:spacing w:after="0" w:line="240" w:lineRule="auto"/>
        <w:jc w:val="both"/>
        <w:rPr>
          <w:rFonts w:asciiTheme="minorHAnsi" w:hAnsiTheme="minorHAnsi" w:cstheme="minorHAnsi"/>
          <w:sz w:val="24"/>
          <w:szCs w:val="24"/>
        </w:rPr>
      </w:pPr>
    </w:p>
    <w:p w:rsidR="00D63798" w:rsidRPr="00D63798" w:rsidRDefault="00A61893" w:rsidP="00C71DA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This information </w:t>
      </w:r>
      <w:proofErr w:type="gramStart"/>
      <w:r>
        <w:rPr>
          <w:rFonts w:asciiTheme="minorHAnsi" w:hAnsiTheme="minorHAnsi" w:cstheme="minorHAnsi"/>
          <w:sz w:val="24"/>
          <w:szCs w:val="24"/>
        </w:rPr>
        <w:t>is needed</w:t>
      </w:r>
      <w:proofErr w:type="gramEnd"/>
      <w:r>
        <w:rPr>
          <w:rFonts w:asciiTheme="minorHAnsi" w:hAnsiTheme="minorHAnsi" w:cstheme="minorHAnsi"/>
          <w:sz w:val="24"/>
          <w:szCs w:val="24"/>
        </w:rPr>
        <w:t xml:space="preserve"> to assess risk factors for diabetes, hypertension, and the metabolic syndrome. In the ACHS, PCB exposures were associated with these health outcomes. In the ACHS-II, these relationships will be re-examined; however, they </w:t>
      </w:r>
      <w:proofErr w:type="gramStart"/>
      <w:r>
        <w:rPr>
          <w:rFonts w:asciiTheme="minorHAnsi" w:hAnsiTheme="minorHAnsi" w:cstheme="minorHAnsi"/>
          <w:sz w:val="24"/>
          <w:szCs w:val="24"/>
        </w:rPr>
        <w:t>will be examined</w:t>
      </w:r>
      <w:proofErr w:type="gramEnd"/>
      <w:r>
        <w:rPr>
          <w:rFonts w:asciiTheme="minorHAnsi" w:hAnsiTheme="minorHAnsi" w:cstheme="minorHAnsi"/>
          <w:sz w:val="24"/>
          <w:szCs w:val="24"/>
        </w:rPr>
        <w:t xml:space="preserve"> in relationship to a greatly expanded panel of </w:t>
      </w:r>
      <w:proofErr w:type="spellStart"/>
      <w:r>
        <w:rPr>
          <w:rFonts w:asciiTheme="minorHAnsi" w:hAnsiTheme="minorHAnsi" w:cstheme="minorHAnsi"/>
          <w:sz w:val="24"/>
          <w:szCs w:val="24"/>
        </w:rPr>
        <w:t>analytes</w:t>
      </w:r>
      <w:proofErr w:type="spellEnd"/>
      <w:r>
        <w:rPr>
          <w:rFonts w:asciiTheme="minorHAnsi" w:hAnsiTheme="minorHAnsi" w:cstheme="minorHAnsi"/>
          <w:sz w:val="24"/>
          <w:szCs w:val="24"/>
        </w:rPr>
        <w:t xml:space="preserve">. This will contribute to a more detailed picture of health and chemical exposures in the Anniston </w:t>
      </w:r>
      <w:r w:rsidR="00813AEF">
        <w:rPr>
          <w:rFonts w:asciiTheme="minorHAnsi" w:hAnsiTheme="minorHAnsi" w:cstheme="minorHAnsi"/>
          <w:sz w:val="24"/>
          <w:szCs w:val="24"/>
        </w:rPr>
        <w:t>C</w:t>
      </w:r>
      <w:r>
        <w:rPr>
          <w:rFonts w:asciiTheme="minorHAnsi" w:hAnsiTheme="minorHAnsi" w:cstheme="minorHAnsi"/>
          <w:sz w:val="24"/>
          <w:szCs w:val="24"/>
        </w:rPr>
        <w:t>ohort.</w:t>
      </w:r>
    </w:p>
    <w:p w:rsidR="00020EFF" w:rsidRPr="00F46D82" w:rsidRDefault="00F27FF9" w:rsidP="00CD6773">
      <w:pPr>
        <w:pStyle w:val="Heading2"/>
        <w:spacing w:before="360"/>
        <w:rPr>
          <w:rFonts w:asciiTheme="minorHAnsi" w:hAnsiTheme="minorHAnsi" w:cstheme="minorHAnsi"/>
        </w:rPr>
      </w:pPr>
      <w:bookmarkStart w:id="38" w:name="_Toc296699096"/>
      <w:bookmarkStart w:id="39" w:name="_Toc349489255"/>
      <w:r w:rsidRPr="00F46D82">
        <w:rPr>
          <w:rFonts w:asciiTheme="minorHAnsi" w:hAnsiTheme="minorHAnsi" w:cstheme="minorHAnsi"/>
        </w:rPr>
        <w:t>A.</w:t>
      </w:r>
      <w:r w:rsidR="00020EFF" w:rsidRPr="00F46D82">
        <w:rPr>
          <w:rFonts w:asciiTheme="minorHAnsi" w:hAnsiTheme="minorHAnsi" w:cstheme="minorHAnsi"/>
        </w:rPr>
        <w:t>12. Estimates of Annualized Burden Hours and Costs</w:t>
      </w:r>
      <w:bookmarkEnd w:id="38"/>
      <w:bookmarkEnd w:id="39"/>
    </w:p>
    <w:p w:rsidR="00692DAC" w:rsidRPr="00F46D82" w:rsidRDefault="00692DAC" w:rsidP="00CD6773">
      <w:pPr>
        <w:autoSpaceDE w:val="0"/>
        <w:autoSpaceDN w:val="0"/>
        <w:adjustRightInd w:val="0"/>
        <w:spacing w:after="0" w:line="240" w:lineRule="auto"/>
        <w:rPr>
          <w:rFonts w:asciiTheme="minorHAnsi" w:hAnsiTheme="minorHAnsi" w:cstheme="minorHAnsi"/>
          <w:color w:val="000000"/>
          <w:sz w:val="24"/>
          <w:szCs w:val="24"/>
        </w:rPr>
      </w:pPr>
    </w:p>
    <w:p w:rsidR="00020EFF" w:rsidRDefault="00B04AD1" w:rsidP="006555F2">
      <w:pPr>
        <w:spacing w:after="0" w:line="240" w:lineRule="auto"/>
        <w:jc w:val="both"/>
        <w:rPr>
          <w:rFonts w:asciiTheme="minorHAnsi" w:hAnsiTheme="minorHAnsi" w:cstheme="minorHAnsi"/>
          <w:sz w:val="24"/>
          <w:szCs w:val="24"/>
        </w:rPr>
      </w:pPr>
      <w:r w:rsidRPr="00F46D82">
        <w:rPr>
          <w:rFonts w:asciiTheme="minorHAnsi" w:hAnsiTheme="minorHAnsi" w:cstheme="minorHAnsi"/>
          <w:sz w:val="24"/>
          <w:szCs w:val="24"/>
        </w:rPr>
        <w:t xml:space="preserve">A. </w:t>
      </w:r>
      <w:r w:rsidR="00592097" w:rsidRPr="00F46D82">
        <w:rPr>
          <w:rFonts w:asciiTheme="minorHAnsi" w:hAnsiTheme="minorHAnsi" w:cstheme="minorHAnsi"/>
          <w:sz w:val="24"/>
          <w:szCs w:val="24"/>
        </w:rPr>
        <w:t>T</w:t>
      </w:r>
      <w:r w:rsidR="00020EFF" w:rsidRPr="00F46D82">
        <w:rPr>
          <w:rFonts w:asciiTheme="minorHAnsi" w:hAnsiTheme="minorHAnsi" w:cstheme="minorHAnsi"/>
          <w:sz w:val="24"/>
          <w:szCs w:val="24"/>
        </w:rPr>
        <w:t>h</w:t>
      </w:r>
      <w:r w:rsidR="00592097" w:rsidRPr="00F46D82">
        <w:rPr>
          <w:rFonts w:asciiTheme="minorHAnsi" w:hAnsiTheme="minorHAnsi" w:cstheme="minorHAnsi"/>
          <w:sz w:val="24"/>
          <w:szCs w:val="24"/>
        </w:rPr>
        <w:t xml:space="preserve">e </w:t>
      </w:r>
      <w:r w:rsidR="00AB634B" w:rsidRPr="00F46D82">
        <w:rPr>
          <w:rFonts w:asciiTheme="minorHAnsi" w:hAnsiTheme="minorHAnsi" w:cstheme="minorHAnsi"/>
          <w:sz w:val="24"/>
          <w:szCs w:val="24"/>
        </w:rPr>
        <w:t xml:space="preserve">burden </w:t>
      </w:r>
      <w:r w:rsidR="00020EFF" w:rsidRPr="00F46D82">
        <w:rPr>
          <w:rFonts w:asciiTheme="minorHAnsi" w:hAnsiTheme="minorHAnsi" w:cstheme="minorHAnsi"/>
          <w:sz w:val="24"/>
          <w:szCs w:val="24"/>
        </w:rPr>
        <w:t>estimate</w:t>
      </w:r>
      <w:r w:rsidR="00592097" w:rsidRPr="00F46D82">
        <w:rPr>
          <w:rFonts w:asciiTheme="minorHAnsi" w:hAnsiTheme="minorHAnsi" w:cstheme="minorHAnsi"/>
          <w:sz w:val="24"/>
          <w:szCs w:val="24"/>
        </w:rPr>
        <w:t>s</w:t>
      </w:r>
      <w:r w:rsidR="00807A82" w:rsidRPr="00F46D82">
        <w:rPr>
          <w:rFonts w:asciiTheme="minorHAnsi" w:hAnsiTheme="minorHAnsi" w:cstheme="minorHAnsi"/>
          <w:sz w:val="24"/>
          <w:szCs w:val="24"/>
        </w:rPr>
        <w:t xml:space="preserve"> published in the 60-day FRN </w:t>
      </w:r>
      <w:proofErr w:type="gramStart"/>
      <w:r w:rsidR="00807A82" w:rsidRPr="00F46D82">
        <w:rPr>
          <w:rFonts w:asciiTheme="minorHAnsi" w:hAnsiTheme="minorHAnsi" w:cstheme="minorHAnsi"/>
          <w:sz w:val="24"/>
          <w:szCs w:val="24"/>
        </w:rPr>
        <w:t>were</w:t>
      </w:r>
      <w:r w:rsidR="001151B5" w:rsidRPr="00F46D82">
        <w:rPr>
          <w:rFonts w:asciiTheme="minorHAnsi" w:hAnsiTheme="minorHAnsi" w:cstheme="minorHAnsi"/>
          <w:sz w:val="24"/>
          <w:szCs w:val="24"/>
        </w:rPr>
        <w:t xml:space="preserve"> based</w:t>
      </w:r>
      <w:proofErr w:type="gramEnd"/>
      <w:r w:rsidR="001151B5" w:rsidRPr="00F46D82">
        <w:rPr>
          <w:rFonts w:asciiTheme="minorHAnsi" w:hAnsiTheme="minorHAnsi" w:cstheme="minorHAnsi"/>
          <w:sz w:val="24"/>
          <w:szCs w:val="24"/>
        </w:rPr>
        <w:t xml:space="preserve"> on informal testing by UAB </w:t>
      </w:r>
      <w:r w:rsidR="00592097" w:rsidRPr="00F46D82">
        <w:rPr>
          <w:rFonts w:asciiTheme="minorHAnsi" w:hAnsiTheme="minorHAnsi" w:cstheme="minorHAnsi"/>
          <w:sz w:val="24"/>
          <w:szCs w:val="24"/>
        </w:rPr>
        <w:t xml:space="preserve">among </w:t>
      </w:r>
      <w:r w:rsidR="001151B5" w:rsidRPr="00F46D82">
        <w:rPr>
          <w:rFonts w:asciiTheme="minorHAnsi" w:hAnsiTheme="minorHAnsi" w:cstheme="minorHAnsi"/>
          <w:sz w:val="24"/>
          <w:szCs w:val="24"/>
        </w:rPr>
        <w:t>UAB staff</w:t>
      </w:r>
      <w:r w:rsidR="00592097" w:rsidRPr="00F46D82">
        <w:rPr>
          <w:rFonts w:asciiTheme="minorHAnsi" w:hAnsiTheme="minorHAnsi" w:cstheme="minorHAnsi"/>
          <w:sz w:val="24"/>
          <w:szCs w:val="24"/>
        </w:rPr>
        <w:t xml:space="preserve">. </w:t>
      </w:r>
    </w:p>
    <w:p w:rsidR="00E46777" w:rsidRPr="00F46D82" w:rsidRDefault="00E46777" w:rsidP="006555F2">
      <w:pPr>
        <w:spacing w:after="0" w:line="240" w:lineRule="auto"/>
        <w:jc w:val="both"/>
        <w:rPr>
          <w:rFonts w:asciiTheme="minorHAnsi" w:hAnsiTheme="minorHAnsi" w:cstheme="minorHAnsi"/>
          <w:sz w:val="24"/>
          <w:szCs w:val="24"/>
        </w:rPr>
      </w:pPr>
    </w:p>
    <w:p w:rsidR="00B97294" w:rsidRPr="00F46D82" w:rsidRDefault="00B97294" w:rsidP="00E46777">
      <w:pPr>
        <w:autoSpaceDE w:val="0"/>
        <w:autoSpaceDN w:val="0"/>
        <w:adjustRightInd w:val="0"/>
        <w:spacing w:after="0" w:line="240" w:lineRule="auto"/>
        <w:jc w:val="both"/>
        <w:rPr>
          <w:rFonts w:asciiTheme="minorHAnsi" w:hAnsiTheme="minorHAnsi" w:cstheme="minorHAnsi"/>
          <w:sz w:val="24"/>
          <w:szCs w:val="24"/>
        </w:rPr>
      </w:pPr>
      <w:bookmarkStart w:id="40" w:name="_Toc296699098"/>
      <w:r w:rsidRPr="00F46D82">
        <w:rPr>
          <w:rFonts w:asciiTheme="minorHAnsi" w:hAnsiTheme="minorHAnsi" w:cstheme="minorHAnsi"/>
          <w:sz w:val="24"/>
          <w:szCs w:val="24"/>
        </w:rPr>
        <w:t xml:space="preserve">The ATSDR is requesting a two-year approval </w:t>
      </w:r>
      <w:r w:rsidR="00B04AD1" w:rsidRPr="00F46D82">
        <w:rPr>
          <w:rFonts w:asciiTheme="minorHAnsi" w:hAnsiTheme="minorHAnsi" w:cstheme="minorHAnsi"/>
          <w:sz w:val="24"/>
          <w:szCs w:val="24"/>
        </w:rPr>
        <w:t xml:space="preserve">for this information collection; therefore, the annualized burden hours represent one-half of the </w:t>
      </w:r>
      <w:proofErr w:type="gramStart"/>
      <w:r w:rsidR="00B04AD1" w:rsidRPr="00F46D82">
        <w:rPr>
          <w:rFonts w:asciiTheme="minorHAnsi" w:hAnsiTheme="minorHAnsi" w:cstheme="minorHAnsi"/>
          <w:sz w:val="24"/>
          <w:szCs w:val="24"/>
        </w:rPr>
        <w:t>total</w:t>
      </w:r>
      <w:proofErr w:type="gramEnd"/>
      <w:r w:rsidR="00B04AD1" w:rsidRPr="00F46D82">
        <w:rPr>
          <w:rFonts w:asciiTheme="minorHAnsi" w:hAnsiTheme="minorHAnsi" w:cstheme="minorHAnsi"/>
          <w:sz w:val="24"/>
          <w:szCs w:val="24"/>
        </w:rPr>
        <w:t xml:space="preserve"> estimated for this IC.</w:t>
      </w:r>
      <w:r w:rsidR="00C415F9" w:rsidRPr="00F46D82">
        <w:rPr>
          <w:rFonts w:asciiTheme="minorHAnsi" w:hAnsiTheme="minorHAnsi" w:cstheme="minorHAnsi"/>
          <w:sz w:val="24"/>
          <w:szCs w:val="24"/>
        </w:rPr>
        <w:t xml:space="preserve"> From the </w:t>
      </w:r>
      <w:r w:rsidR="00AE0D5E">
        <w:rPr>
          <w:rFonts w:asciiTheme="minorHAnsi" w:hAnsiTheme="minorHAnsi" w:cstheme="minorHAnsi"/>
          <w:sz w:val="24"/>
          <w:szCs w:val="24"/>
        </w:rPr>
        <w:t xml:space="preserve">766 members of the ACHS </w:t>
      </w:r>
      <w:r w:rsidR="00540C00">
        <w:rPr>
          <w:rFonts w:asciiTheme="minorHAnsi" w:hAnsiTheme="minorHAnsi" w:cstheme="minorHAnsi"/>
          <w:sz w:val="24"/>
          <w:szCs w:val="24"/>
        </w:rPr>
        <w:t>C</w:t>
      </w:r>
      <w:r w:rsidR="00AE0D5E">
        <w:rPr>
          <w:rFonts w:asciiTheme="minorHAnsi" w:hAnsiTheme="minorHAnsi" w:cstheme="minorHAnsi"/>
          <w:sz w:val="24"/>
          <w:szCs w:val="24"/>
        </w:rPr>
        <w:t>ohort</w:t>
      </w:r>
      <w:r w:rsidR="00C415F9" w:rsidRPr="00F46D82">
        <w:rPr>
          <w:rFonts w:asciiTheme="minorHAnsi" w:hAnsiTheme="minorHAnsi" w:cstheme="minorHAnsi"/>
          <w:sz w:val="24"/>
          <w:szCs w:val="24"/>
        </w:rPr>
        <w:t xml:space="preserve">, we anticipate that 66 have died based on the SSDI review and that 35 have moved away based on the Anniston population decline of approximately </w:t>
      </w:r>
      <w:r w:rsidR="00AC7344">
        <w:rPr>
          <w:rFonts w:asciiTheme="minorHAnsi" w:hAnsiTheme="minorHAnsi" w:cstheme="minorHAnsi"/>
          <w:sz w:val="24"/>
          <w:szCs w:val="24"/>
        </w:rPr>
        <w:t>five</w:t>
      </w:r>
      <w:r w:rsidR="00C415F9" w:rsidRPr="00F46D82">
        <w:rPr>
          <w:rFonts w:asciiTheme="minorHAnsi" w:hAnsiTheme="minorHAnsi" w:cstheme="minorHAnsi"/>
          <w:sz w:val="24"/>
          <w:szCs w:val="24"/>
        </w:rPr>
        <w:t xml:space="preserve"> percent between the 2000 and the 2010 Censuses (USCB, 2011)</w:t>
      </w:r>
      <w:r w:rsidR="00AC7344">
        <w:rPr>
          <w:rFonts w:asciiTheme="minorHAnsi" w:hAnsiTheme="minorHAnsi" w:cstheme="minorHAnsi"/>
          <w:sz w:val="24"/>
          <w:szCs w:val="24"/>
        </w:rPr>
        <w:t>, and five m</w:t>
      </w:r>
      <w:r w:rsidR="006012BE">
        <w:rPr>
          <w:rFonts w:asciiTheme="minorHAnsi" w:hAnsiTheme="minorHAnsi" w:cstheme="minorHAnsi"/>
          <w:sz w:val="24"/>
          <w:szCs w:val="24"/>
        </w:rPr>
        <w:t>ay</w:t>
      </w:r>
      <w:r w:rsidR="00AC7344">
        <w:rPr>
          <w:rFonts w:asciiTheme="minorHAnsi" w:hAnsiTheme="minorHAnsi" w:cstheme="minorHAnsi"/>
          <w:sz w:val="24"/>
          <w:szCs w:val="24"/>
        </w:rPr>
        <w:t xml:space="preserve"> be ineligible at screening</w:t>
      </w:r>
      <w:r w:rsidR="000A4093">
        <w:rPr>
          <w:rFonts w:asciiTheme="minorHAnsi" w:hAnsiTheme="minorHAnsi" w:cstheme="minorHAnsi"/>
          <w:sz w:val="24"/>
          <w:szCs w:val="24"/>
        </w:rPr>
        <w:t xml:space="preserve"> (e.g., currently pregnant or serving criminal sentence)</w:t>
      </w:r>
      <w:r w:rsidR="00AC7344">
        <w:rPr>
          <w:rFonts w:asciiTheme="minorHAnsi" w:hAnsiTheme="minorHAnsi" w:cstheme="minorHAnsi"/>
          <w:sz w:val="24"/>
          <w:szCs w:val="24"/>
        </w:rPr>
        <w:t>.</w:t>
      </w:r>
      <w:r w:rsidR="00C415F9" w:rsidRPr="00F46D82">
        <w:rPr>
          <w:rFonts w:asciiTheme="minorHAnsi" w:hAnsiTheme="minorHAnsi" w:cstheme="minorHAnsi"/>
          <w:sz w:val="24"/>
          <w:szCs w:val="24"/>
        </w:rPr>
        <w:t xml:space="preserve"> </w:t>
      </w:r>
      <w:r w:rsidR="00DC6F02">
        <w:rPr>
          <w:rFonts w:asciiTheme="minorHAnsi" w:hAnsiTheme="minorHAnsi" w:cstheme="minorHAnsi"/>
          <w:sz w:val="24"/>
          <w:szCs w:val="24"/>
        </w:rPr>
        <w:t xml:space="preserve">We used these estimates to calculate the number of respondents for each line in the burden table. These estimates </w:t>
      </w:r>
      <w:proofErr w:type="gramStart"/>
      <w:r w:rsidR="00DC6F02">
        <w:rPr>
          <w:rFonts w:asciiTheme="minorHAnsi" w:hAnsiTheme="minorHAnsi" w:cstheme="minorHAnsi"/>
          <w:sz w:val="24"/>
          <w:szCs w:val="24"/>
        </w:rPr>
        <w:t>are also graphically represente</w:t>
      </w:r>
      <w:r w:rsidR="00A47DD2">
        <w:rPr>
          <w:rFonts w:asciiTheme="minorHAnsi" w:hAnsiTheme="minorHAnsi" w:cstheme="minorHAnsi"/>
          <w:sz w:val="24"/>
          <w:szCs w:val="24"/>
        </w:rPr>
        <w:t>d</w:t>
      </w:r>
      <w:proofErr w:type="gramEnd"/>
      <w:r w:rsidR="00A47DD2">
        <w:rPr>
          <w:rFonts w:asciiTheme="minorHAnsi" w:hAnsiTheme="minorHAnsi" w:cstheme="minorHAnsi"/>
          <w:sz w:val="24"/>
          <w:szCs w:val="24"/>
        </w:rPr>
        <w:t xml:space="preserve"> in Attachment 3 (Information Flow Chart</w:t>
      </w:r>
      <w:r w:rsidR="00DC6F02">
        <w:rPr>
          <w:rFonts w:asciiTheme="minorHAnsi" w:hAnsiTheme="minorHAnsi" w:cstheme="minorHAnsi"/>
          <w:sz w:val="24"/>
          <w:szCs w:val="24"/>
        </w:rPr>
        <w:t xml:space="preserve">). </w:t>
      </w:r>
    </w:p>
    <w:p w:rsidR="00B97294" w:rsidRPr="00F46D82" w:rsidRDefault="00B97294" w:rsidP="00E46777">
      <w:pPr>
        <w:spacing w:after="0" w:line="240" w:lineRule="auto"/>
        <w:jc w:val="both"/>
        <w:rPr>
          <w:rFonts w:asciiTheme="minorHAnsi" w:hAnsiTheme="minorHAnsi" w:cstheme="minorHAnsi"/>
          <w:sz w:val="24"/>
          <w:szCs w:val="24"/>
        </w:rPr>
      </w:pPr>
    </w:p>
    <w:p w:rsidR="00B97294" w:rsidRPr="00F46D82" w:rsidRDefault="00B97294" w:rsidP="006555F2">
      <w:pPr>
        <w:spacing w:after="0" w:line="240" w:lineRule="auto"/>
        <w:jc w:val="both"/>
        <w:rPr>
          <w:rFonts w:asciiTheme="minorHAnsi" w:hAnsiTheme="minorHAnsi" w:cstheme="minorHAnsi"/>
          <w:sz w:val="24"/>
        </w:rPr>
      </w:pPr>
      <w:r w:rsidRPr="00F46D82">
        <w:rPr>
          <w:rFonts w:asciiTheme="minorHAnsi" w:hAnsiTheme="minorHAnsi" w:cstheme="minorHAnsi"/>
          <w:sz w:val="24"/>
          <w:szCs w:val="24"/>
        </w:rPr>
        <w:t xml:space="preserve">There are no costs to respondents other than their time. </w:t>
      </w:r>
      <w:r w:rsidR="00694795" w:rsidRPr="00F46D82">
        <w:rPr>
          <w:rFonts w:asciiTheme="minorHAnsi" w:hAnsiTheme="minorHAnsi" w:cstheme="minorHAnsi"/>
          <w:sz w:val="24"/>
        </w:rPr>
        <w:t>In total, respondents will spend about 2 hours in the study</w:t>
      </w:r>
      <w:r w:rsidR="009022EA" w:rsidRPr="00F46D82">
        <w:rPr>
          <w:rFonts w:asciiTheme="minorHAnsi" w:hAnsiTheme="minorHAnsi" w:cstheme="minorHAnsi"/>
          <w:sz w:val="24"/>
        </w:rPr>
        <w:t>, including travel</w:t>
      </w:r>
      <w:r w:rsidR="00694795" w:rsidRPr="00F46D82">
        <w:rPr>
          <w:rFonts w:asciiTheme="minorHAnsi" w:hAnsiTheme="minorHAnsi" w:cstheme="minorHAnsi"/>
          <w:sz w:val="24"/>
        </w:rPr>
        <w:t xml:space="preserve"> time.</w:t>
      </w:r>
    </w:p>
    <w:p w:rsidR="00B97294" w:rsidRPr="00F46D82" w:rsidRDefault="00B97294" w:rsidP="00CD6773">
      <w:pPr>
        <w:spacing w:after="0" w:line="240" w:lineRule="auto"/>
        <w:rPr>
          <w:rFonts w:asciiTheme="minorHAnsi" w:hAnsiTheme="minorHAnsi" w:cstheme="minorHAnsi"/>
          <w:sz w:val="20"/>
          <w:szCs w:val="20"/>
        </w:rPr>
      </w:pPr>
    </w:p>
    <w:p w:rsidR="00B97294" w:rsidRPr="00F46D82" w:rsidRDefault="00B97294" w:rsidP="000E01DE">
      <w:pPr>
        <w:spacing w:after="0" w:line="240" w:lineRule="auto"/>
        <w:rPr>
          <w:rFonts w:asciiTheme="minorHAnsi" w:hAnsiTheme="minorHAnsi" w:cstheme="minorHAnsi"/>
          <w:sz w:val="24"/>
          <w:szCs w:val="24"/>
          <w:u w:val="single"/>
        </w:rPr>
      </w:pPr>
      <w:r w:rsidRPr="00F46D82">
        <w:rPr>
          <w:rFonts w:asciiTheme="minorHAnsi" w:hAnsiTheme="minorHAnsi" w:cstheme="minorHAnsi"/>
          <w:sz w:val="24"/>
          <w:szCs w:val="24"/>
          <w:u w:val="single"/>
        </w:rPr>
        <w:t>Estimated Annualized Burden Hours</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6"/>
        <w:gridCol w:w="1595"/>
        <w:gridCol w:w="1596"/>
        <w:gridCol w:w="1597"/>
        <w:gridCol w:w="1601"/>
      </w:tblGrid>
      <w:tr w:rsidR="00B97294" w:rsidRPr="00F46D82" w:rsidTr="002E11FC">
        <w:tc>
          <w:tcPr>
            <w:tcW w:w="9579" w:type="dxa"/>
            <w:gridSpan w:val="6"/>
            <w:tcBorders>
              <w:top w:val="nil"/>
              <w:left w:val="nil"/>
              <w:bottom w:val="single" w:sz="4" w:space="0" w:color="auto"/>
              <w:right w:val="nil"/>
            </w:tcBorders>
            <w:shd w:val="clear" w:color="auto" w:fill="auto"/>
          </w:tcPr>
          <w:p w:rsidR="00B97294" w:rsidRPr="00F46D82" w:rsidRDefault="00B97294" w:rsidP="00B97294">
            <w:pPr>
              <w:spacing w:after="0" w:line="240" w:lineRule="auto"/>
              <w:rPr>
                <w:rFonts w:asciiTheme="minorHAnsi" w:hAnsiTheme="minorHAnsi" w:cstheme="minorHAnsi"/>
                <w:sz w:val="20"/>
                <w:szCs w:val="20"/>
                <w:highlight w:val="yellow"/>
              </w:rPr>
            </w:pPr>
          </w:p>
        </w:tc>
      </w:tr>
      <w:tr w:rsidR="00B97294" w:rsidRPr="00F46D82" w:rsidTr="009022EA">
        <w:tc>
          <w:tcPr>
            <w:tcW w:w="1594"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9022EA">
            <w:pPr>
              <w:pStyle w:val="Default"/>
              <w:tabs>
                <w:tab w:val="left" w:pos="0"/>
              </w:tabs>
              <w:jc w:val="center"/>
              <w:rPr>
                <w:rFonts w:asciiTheme="minorHAnsi" w:hAnsiTheme="minorHAnsi" w:cstheme="minorHAnsi"/>
                <w:color w:val="auto"/>
                <w:sz w:val="20"/>
                <w:szCs w:val="20"/>
              </w:rPr>
            </w:pPr>
            <w:r w:rsidRPr="00F46D82">
              <w:rPr>
                <w:rFonts w:asciiTheme="minorHAnsi" w:hAnsiTheme="minorHAnsi" w:cstheme="minorHAnsi"/>
                <w:color w:val="auto"/>
                <w:sz w:val="20"/>
                <w:szCs w:val="20"/>
              </w:rPr>
              <w:t>Type of Respondents</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94" w:rsidRPr="00F46D82" w:rsidRDefault="00B97294" w:rsidP="009022EA">
            <w:pPr>
              <w:pStyle w:val="Default"/>
              <w:tabs>
                <w:tab w:val="left" w:pos="0"/>
              </w:tabs>
              <w:jc w:val="center"/>
              <w:rPr>
                <w:rFonts w:asciiTheme="minorHAnsi" w:hAnsiTheme="minorHAnsi" w:cstheme="minorHAnsi"/>
                <w:color w:val="auto"/>
                <w:sz w:val="20"/>
                <w:szCs w:val="20"/>
              </w:rPr>
            </w:pPr>
            <w:r w:rsidRPr="00F46D82">
              <w:rPr>
                <w:rFonts w:asciiTheme="minorHAnsi" w:hAnsiTheme="minorHAnsi" w:cstheme="minorHAnsi"/>
                <w:color w:val="auto"/>
                <w:sz w:val="20"/>
                <w:szCs w:val="20"/>
              </w:rPr>
              <w:t>Form Name</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94" w:rsidRPr="00F46D82" w:rsidRDefault="00B97294" w:rsidP="009022EA">
            <w:pPr>
              <w:pStyle w:val="Default"/>
              <w:tabs>
                <w:tab w:val="left" w:pos="0"/>
              </w:tabs>
              <w:jc w:val="center"/>
              <w:rPr>
                <w:rFonts w:asciiTheme="minorHAnsi" w:hAnsiTheme="minorHAnsi" w:cstheme="minorHAnsi"/>
                <w:color w:val="auto"/>
                <w:sz w:val="20"/>
                <w:szCs w:val="20"/>
              </w:rPr>
            </w:pPr>
            <w:r w:rsidRPr="00F46D82">
              <w:rPr>
                <w:rFonts w:asciiTheme="minorHAnsi" w:hAnsiTheme="minorHAnsi" w:cstheme="minorHAnsi"/>
                <w:color w:val="auto"/>
                <w:sz w:val="20"/>
                <w:szCs w:val="20"/>
              </w:rPr>
              <w:t>No. of Respondents</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94" w:rsidRPr="00F46D82" w:rsidRDefault="00B97294" w:rsidP="009022EA">
            <w:pPr>
              <w:pStyle w:val="Default"/>
              <w:tabs>
                <w:tab w:val="left" w:pos="0"/>
              </w:tabs>
              <w:jc w:val="center"/>
              <w:rPr>
                <w:rFonts w:asciiTheme="minorHAnsi" w:hAnsiTheme="minorHAnsi" w:cstheme="minorHAnsi"/>
                <w:color w:val="auto"/>
                <w:sz w:val="20"/>
                <w:szCs w:val="20"/>
              </w:rPr>
            </w:pPr>
            <w:r w:rsidRPr="00F46D82">
              <w:rPr>
                <w:rFonts w:asciiTheme="minorHAnsi" w:hAnsiTheme="minorHAnsi" w:cstheme="minorHAnsi"/>
                <w:color w:val="auto"/>
                <w:sz w:val="20"/>
                <w:szCs w:val="20"/>
              </w:rPr>
              <w:t>No. of Responses per Respondent</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94" w:rsidRPr="00F46D82" w:rsidRDefault="00B97294" w:rsidP="009022EA">
            <w:pPr>
              <w:pStyle w:val="Default"/>
              <w:tabs>
                <w:tab w:val="left" w:pos="0"/>
              </w:tabs>
              <w:jc w:val="center"/>
              <w:rPr>
                <w:rFonts w:asciiTheme="minorHAnsi" w:hAnsiTheme="minorHAnsi" w:cstheme="minorHAnsi"/>
                <w:color w:val="auto"/>
                <w:sz w:val="20"/>
                <w:szCs w:val="20"/>
              </w:rPr>
            </w:pPr>
            <w:r w:rsidRPr="00F46D82">
              <w:rPr>
                <w:rFonts w:asciiTheme="minorHAnsi" w:hAnsiTheme="minorHAnsi" w:cstheme="minorHAnsi"/>
                <w:color w:val="auto"/>
                <w:sz w:val="20"/>
                <w:szCs w:val="20"/>
              </w:rPr>
              <w:t xml:space="preserve">Avg. Burden per Response (in </w:t>
            </w:r>
            <w:proofErr w:type="spellStart"/>
            <w:r w:rsidRPr="00F46D82">
              <w:rPr>
                <w:rFonts w:asciiTheme="minorHAnsi" w:hAnsiTheme="minorHAnsi" w:cstheme="minorHAnsi"/>
                <w:color w:val="auto"/>
                <w:sz w:val="20"/>
                <w:szCs w:val="20"/>
              </w:rPr>
              <w:t>hrs</w:t>
            </w:r>
            <w:proofErr w:type="spellEnd"/>
            <w:r w:rsidRPr="00F46D82">
              <w:rPr>
                <w:rFonts w:asciiTheme="minorHAnsi" w:hAnsiTheme="minorHAnsi" w:cstheme="minorHAnsi"/>
                <w:color w:val="auto"/>
                <w:sz w:val="20"/>
                <w:szCs w:val="20"/>
              </w:rPr>
              <w:t>)</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94" w:rsidRPr="00F46D82" w:rsidRDefault="00B97294" w:rsidP="009022EA">
            <w:pPr>
              <w:pStyle w:val="Default"/>
              <w:tabs>
                <w:tab w:val="left" w:pos="0"/>
              </w:tabs>
              <w:jc w:val="center"/>
              <w:rPr>
                <w:rFonts w:asciiTheme="minorHAnsi" w:hAnsiTheme="minorHAnsi" w:cstheme="minorHAnsi"/>
                <w:color w:val="auto"/>
                <w:sz w:val="20"/>
                <w:szCs w:val="20"/>
              </w:rPr>
            </w:pPr>
            <w:r w:rsidRPr="00F46D82">
              <w:rPr>
                <w:rFonts w:asciiTheme="minorHAnsi" w:hAnsiTheme="minorHAnsi" w:cstheme="minorHAnsi"/>
                <w:color w:val="auto"/>
                <w:sz w:val="20"/>
                <w:szCs w:val="20"/>
              </w:rPr>
              <w:t xml:space="preserve">Total Burden (in </w:t>
            </w:r>
            <w:proofErr w:type="spellStart"/>
            <w:r w:rsidRPr="00F46D82">
              <w:rPr>
                <w:rFonts w:asciiTheme="minorHAnsi" w:hAnsiTheme="minorHAnsi" w:cstheme="minorHAnsi"/>
                <w:color w:val="auto"/>
                <w:sz w:val="20"/>
                <w:szCs w:val="20"/>
              </w:rPr>
              <w:t>hrs</w:t>
            </w:r>
            <w:proofErr w:type="spellEnd"/>
            <w:r w:rsidRPr="00F46D82">
              <w:rPr>
                <w:rFonts w:asciiTheme="minorHAnsi" w:hAnsiTheme="minorHAnsi" w:cstheme="minorHAnsi"/>
                <w:color w:val="auto"/>
                <w:sz w:val="20"/>
                <w:szCs w:val="20"/>
              </w:rPr>
              <w:t>)</w:t>
            </w:r>
          </w:p>
        </w:tc>
      </w:tr>
      <w:tr w:rsidR="00B97294" w:rsidRPr="00F46D82" w:rsidTr="002E11FC">
        <w:tc>
          <w:tcPr>
            <w:tcW w:w="1594" w:type="dxa"/>
            <w:vMerge w:val="restart"/>
            <w:tcBorders>
              <w:top w:val="single" w:sz="4" w:space="0" w:color="auto"/>
              <w:left w:val="single" w:sz="4" w:space="0" w:color="auto"/>
              <w:right w:val="single" w:sz="4" w:space="0" w:color="auto"/>
            </w:tcBorders>
            <w:vAlign w:val="center"/>
          </w:tcPr>
          <w:p w:rsidR="00B97294" w:rsidRPr="00F46D82" w:rsidRDefault="00B97294" w:rsidP="00B97294">
            <w:pPr>
              <w:spacing w:after="0" w:line="240" w:lineRule="auto"/>
              <w:rPr>
                <w:rFonts w:asciiTheme="minorHAnsi" w:hAnsiTheme="minorHAnsi" w:cstheme="minorHAnsi"/>
                <w:sz w:val="20"/>
                <w:szCs w:val="20"/>
              </w:rPr>
            </w:pPr>
            <w:r w:rsidRPr="00F46D82">
              <w:rPr>
                <w:rFonts w:asciiTheme="minorHAnsi" w:hAnsiTheme="minorHAnsi" w:cstheme="minorHAnsi"/>
                <w:sz w:val="20"/>
                <w:szCs w:val="20"/>
              </w:rPr>
              <w:t xml:space="preserve">Adults </w:t>
            </w:r>
            <w:r w:rsidR="00FC0275" w:rsidRPr="00F46D82">
              <w:rPr>
                <w:rFonts w:asciiTheme="minorHAnsi" w:hAnsiTheme="minorHAnsi" w:cstheme="minorHAnsi"/>
                <w:sz w:val="20"/>
                <w:szCs w:val="20"/>
              </w:rPr>
              <w:t>who took part in f</w:t>
            </w:r>
            <w:r w:rsidRPr="00F46D82">
              <w:rPr>
                <w:rFonts w:asciiTheme="minorHAnsi" w:hAnsiTheme="minorHAnsi" w:cstheme="minorHAnsi"/>
                <w:sz w:val="20"/>
                <w:szCs w:val="20"/>
              </w:rPr>
              <w:t>irst Anniston Community Health Survey</w:t>
            </w:r>
          </w:p>
        </w:tc>
        <w:tc>
          <w:tcPr>
            <w:tcW w:w="1596"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rPr>
                <w:rFonts w:asciiTheme="minorHAnsi" w:hAnsiTheme="minorHAnsi" w:cstheme="minorHAnsi"/>
                <w:sz w:val="20"/>
                <w:szCs w:val="20"/>
              </w:rPr>
            </w:pPr>
            <w:r w:rsidRPr="00F46D82">
              <w:rPr>
                <w:rFonts w:asciiTheme="minorHAnsi" w:hAnsiTheme="minorHAnsi" w:cstheme="minorHAnsi"/>
                <w:sz w:val="20"/>
                <w:szCs w:val="20"/>
              </w:rPr>
              <w:t xml:space="preserve">Recruitment </w:t>
            </w:r>
            <w:r w:rsidR="007A0D1D" w:rsidRPr="00F46D82">
              <w:rPr>
                <w:rFonts w:asciiTheme="minorHAnsi" w:hAnsiTheme="minorHAnsi" w:cstheme="minorHAnsi"/>
                <w:sz w:val="20"/>
                <w:szCs w:val="20"/>
              </w:rPr>
              <w:t xml:space="preserve">Telephone </w:t>
            </w:r>
            <w:r w:rsidRPr="00F46D82">
              <w:rPr>
                <w:rFonts w:asciiTheme="minorHAnsi" w:hAnsiTheme="minorHAnsi" w:cstheme="minorHAnsi"/>
                <w:sz w:val="20"/>
                <w:szCs w:val="20"/>
              </w:rPr>
              <w:t>Script</w:t>
            </w:r>
          </w:p>
        </w:tc>
        <w:tc>
          <w:tcPr>
            <w:tcW w:w="1595" w:type="dxa"/>
            <w:tcBorders>
              <w:top w:val="single" w:sz="4" w:space="0" w:color="auto"/>
              <w:left w:val="single" w:sz="4" w:space="0" w:color="auto"/>
              <w:bottom w:val="single" w:sz="4" w:space="0" w:color="auto"/>
              <w:right w:val="single" w:sz="4" w:space="0" w:color="auto"/>
            </w:tcBorders>
            <w:vAlign w:val="center"/>
          </w:tcPr>
          <w:p w:rsidR="00B97294" w:rsidRPr="00F46D82" w:rsidRDefault="00A4094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3</w:t>
            </w:r>
            <w:r w:rsidR="00AC175C" w:rsidRPr="00F46D82">
              <w:rPr>
                <w:rFonts w:asciiTheme="minorHAnsi" w:hAnsiTheme="minorHAnsi" w:cstheme="minorHAnsi"/>
                <w:sz w:val="20"/>
                <w:szCs w:val="20"/>
              </w:rPr>
              <w:t>33</w:t>
            </w:r>
          </w:p>
        </w:tc>
        <w:tc>
          <w:tcPr>
            <w:tcW w:w="1596"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1</w:t>
            </w:r>
          </w:p>
        </w:tc>
        <w:tc>
          <w:tcPr>
            <w:tcW w:w="1597" w:type="dxa"/>
            <w:tcBorders>
              <w:top w:val="single" w:sz="4" w:space="0" w:color="auto"/>
              <w:left w:val="single" w:sz="4" w:space="0" w:color="auto"/>
              <w:bottom w:val="single" w:sz="4" w:space="0" w:color="auto"/>
              <w:right w:val="single" w:sz="4" w:space="0" w:color="auto"/>
            </w:tcBorders>
            <w:vAlign w:val="center"/>
          </w:tcPr>
          <w:p w:rsidR="00B97294" w:rsidRPr="00F46D82" w:rsidRDefault="00643632" w:rsidP="00B97294">
            <w:pPr>
              <w:spacing w:after="0" w:line="240" w:lineRule="auto"/>
              <w:jc w:val="right"/>
              <w:rPr>
                <w:rFonts w:asciiTheme="minorHAnsi" w:hAnsiTheme="minorHAnsi" w:cstheme="minorHAnsi"/>
                <w:sz w:val="20"/>
                <w:szCs w:val="20"/>
              </w:rPr>
            </w:pPr>
            <w:r>
              <w:rPr>
                <w:rFonts w:asciiTheme="minorHAnsi" w:hAnsiTheme="minorHAnsi" w:cstheme="minorHAnsi"/>
                <w:sz w:val="20"/>
                <w:szCs w:val="20"/>
              </w:rPr>
              <w:t>2</w:t>
            </w:r>
            <w:r w:rsidR="00B97294" w:rsidRPr="00F46D82">
              <w:rPr>
                <w:rFonts w:asciiTheme="minorHAnsi" w:hAnsiTheme="minorHAnsi" w:cstheme="minorHAnsi"/>
                <w:sz w:val="20"/>
                <w:szCs w:val="20"/>
              </w:rPr>
              <w:t>/60</w:t>
            </w:r>
          </w:p>
        </w:tc>
        <w:tc>
          <w:tcPr>
            <w:tcW w:w="1601" w:type="dxa"/>
            <w:tcBorders>
              <w:top w:val="single" w:sz="4" w:space="0" w:color="auto"/>
              <w:left w:val="single" w:sz="4" w:space="0" w:color="auto"/>
              <w:bottom w:val="single" w:sz="4" w:space="0" w:color="auto"/>
              <w:right w:val="single" w:sz="4" w:space="0" w:color="auto"/>
            </w:tcBorders>
            <w:vAlign w:val="center"/>
          </w:tcPr>
          <w:p w:rsidR="00B97294" w:rsidRPr="00F46D82" w:rsidRDefault="00643632" w:rsidP="00B97294">
            <w:pPr>
              <w:spacing w:after="0" w:line="240" w:lineRule="auto"/>
              <w:jc w:val="right"/>
              <w:rPr>
                <w:rFonts w:asciiTheme="minorHAnsi" w:hAnsiTheme="minorHAnsi" w:cstheme="minorHAnsi"/>
                <w:sz w:val="20"/>
                <w:szCs w:val="20"/>
              </w:rPr>
            </w:pPr>
            <w:r>
              <w:rPr>
                <w:rFonts w:asciiTheme="minorHAnsi" w:hAnsiTheme="minorHAnsi" w:cstheme="minorHAnsi"/>
                <w:sz w:val="20"/>
                <w:szCs w:val="20"/>
              </w:rPr>
              <w:t>11</w:t>
            </w:r>
          </w:p>
        </w:tc>
      </w:tr>
      <w:tr w:rsidR="00B97294" w:rsidRPr="00F46D82" w:rsidTr="002E11FC">
        <w:tc>
          <w:tcPr>
            <w:tcW w:w="1594" w:type="dxa"/>
            <w:vMerge/>
            <w:tcBorders>
              <w:left w:val="single" w:sz="4" w:space="0" w:color="auto"/>
              <w:right w:val="single" w:sz="4" w:space="0" w:color="auto"/>
            </w:tcBorders>
          </w:tcPr>
          <w:p w:rsidR="00B97294" w:rsidRPr="00F46D82" w:rsidRDefault="00B97294" w:rsidP="00B97294">
            <w:pPr>
              <w:spacing w:after="0" w:line="240" w:lineRule="auto"/>
              <w:rPr>
                <w:rFonts w:asciiTheme="minorHAnsi" w:hAnsiTheme="minorHAnsi" w:cstheme="minorHAnsi"/>
                <w:sz w:val="20"/>
                <w:szCs w:val="20"/>
              </w:rPr>
            </w:pPr>
          </w:p>
        </w:tc>
        <w:tc>
          <w:tcPr>
            <w:tcW w:w="1596"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rPr>
                <w:rFonts w:asciiTheme="minorHAnsi" w:hAnsiTheme="minorHAnsi" w:cstheme="minorHAnsi"/>
                <w:sz w:val="20"/>
                <w:szCs w:val="20"/>
              </w:rPr>
            </w:pPr>
            <w:r w:rsidRPr="00F46D82">
              <w:rPr>
                <w:rFonts w:asciiTheme="minorHAnsi" w:hAnsiTheme="minorHAnsi" w:cstheme="minorHAnsi"/>
                <w:sz w:val="20"/>
                <w:szCs w:val="20"/>
              </w:rPr>
              <w:t>Survey for Refusals</w:t>
            </w:r>
          </w:p>
        </w:tc>
        <w:tc>
          <w:tcPr>
            <w:tcW w:w="1595" w:type="dxa"/>
            <w:tcBorders>
              <w:top w:val="single" w:sz="4" w:space="0" w:color="auto"/>
              <w:left w:val="single" w:sz="4" w:space="0" w:color="auto"/>
              <w:bottom w:val="single" w:sz="4" w:space="0" w:color="auto"/>
              <w:right w:val="single" w:sz="4" w:space="0" w:color="auto"/>
            </w:tcBorders>
            <w:vAlign w:val="center"/>
          </w:tcPr>
          <w:p w:rsidR="00B97294" w:rsidRPr="00F46D82" w:rsidRDefault="00AC175C"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16</w:t>
            </w:r>
            <w:r w:rsidR="00AC7344">
              <w:rPr>
                <w:rFonts w:asciiTheme="minorHAnsi" w:hAnsiTheme="minorHAnsi" w:cstheme="minorHAnsi"/>
                <w:sz w:val="20"/>
                <w:szCs w:val="20"/>
              </w:rPr>
              <w:t>0</w:t>
            </w:r>
          </w:p>
        </w:tc>
        <w:tc>
          <w:tcPr>
            <w:tcW w:w="1596"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1</w:t>
            </w:r>
          </w:p>
        </w:tc>
        <w:tc>
          <w:tcPr>
            <w:tcW w:w="1597" w:type="dxa"/>
            <w:tcBorders>
              <w:top w:val="single" w:sz="4" w:space="0" w:color="auto"/>
              <w:left w:val="single" w:sz="4" w:space="0" w:color="auto"/>
              <w:bottom w:val="single" w:sz="4" w:space="0" w:color="auto"/>
              <w:right w:val="single" w:sz="4" w:space="0" w:color="auto"/>
            </w:tcBorders>
            <w:vAlign w:val="center"/>
          </w:tcPr>
          <w:p w:rsidR="00B97294" w:rsidRPr="00F46D82" w:rsidRDefault="00643632" w:rsidP="00B97294">
            <w:pPr>
              <w:spacing w:after="0" w:line="240" w:lineRule="auto"/>
              <w:jc w:val="right"/>
              <w:rPr>
                <w:rFonts w:asciiTheme="minorHAnsi" w:hAnsiTheme="minorHAnsi" w:cstheme="minorHAnsi"/>
                <w:sz w:val="20"/>
                <w:szCs w:val="20"/>
              </w:rPr>
            </w:pPr>
            <w:r>
              <w:rPr>
                <w:rFonts w:asciiTheme="minorHAnsi" w:hAnsiTheme="minorHAnsi" w:cstheme="minorHAnsi"/>
                <w:sz w:val="20"/>
                <w:szCs w:val="20"/>
              </w:rPr>
              <w:t>1</w:t>
            </w:r>
            <w:r w:rsidR="00B97294" w:rsidRPr="00F46D82">
              <w:rPr>
                <w:rFonts w:asciiTheme="minorHAnsi" w:hAnsiTheme="minorHAnsi" w:cstheme="minorHAnsi"/>
                <w:sz w:val="20"/>
                <w:szCs w:val="20"/>
              </w:rPr>
              <w:t>/60</w:t>
            </w:r>
          </w:p>
        </w:tc>
        <w:tc>
          <w:tcPr>
            <w:tcW w:w="1601" w:type="dxa"/>
            <w:tcBorders>
              <w:top w:val="single" w:sz="4" w:space="0" w:color="auto"/>
              <w:left w:val="single" w:sz="4" w:space="0" w:color="auto"/>
              <w:bottom w:val="single" w:sz="4" w:space="0" w:color="auto"/>
              <w:right w:val="single" w:sz="4" w:space="0" w:color="auto"/>
            </w:tcBorders>
            <w:vAlign w:val="center"/>
          </w:tcPr>
          <w:p w:rsidR="00B97294" w:rsidRPr="00F46D82" w:rsidRDefault="00643632" w:rsidP="00B97294">
            <w:pPr>
              <w:spacing w:after="0" w:line="240" w:lineRule="auto"/>
              <w:jc w:val="right"/>
              <w:rPr>
                <w:rFonts w:asciiTheme="minorHAnsi" w:hAnsiTheme="minorHAnsi" w:cstheme="minorHAnsi"/>
                <w:sz w:val="20"/>
                <w:szCs w:val="20"/>
              </w:rPr>
            </w:pPr>
            <w:r>
              <w:rPr>
                <w:rFonts w:asciiTheme="minorHAnsi" w:hAnsiTheme="minorHAnsi" w:cstheme="minorHAnsi"/>
                <w:sz w:val="20"/>
                <w:szCs w:val="20"/>
              </w:rPr>
              <w:t>3</w:t>
            </w:r>
          </w:p>
        </w:tc>
      </w:tr>
      <w:tr w:rsidR="00B97294" w:rsidRPr="00F46D82" w:rsidTr="002E11FC">
        <w:tc>
          <w:tcPr>
            <w:tcW w:w="1594" w:type="dxa"/>
            <w:vMerge/>
            <w:tcBorders>
              <w:left w:val="single" w:sz="4" w:space="0" w:color="auto"/>
              <w:right w:val="single" w:sz="4" w:space="0" w:color="auto"/>
            </w:tcBorders>
          </w:tcPr>
          <w:p w:rsidR="00B97294" w:rsidRPr="00F46D82" w:rsidRDefault="00B97294" w:rsidP="00B97294">
            <w:pPr>
              <w:spacing w:after="0" w:line="240" w:lineRule="auto"/>
              <w:rPr>
                <w:rFonts w:asciiTheme="minorHAnsi" w:hAnsiTheme="minorHAnsi" w:cstheme="minorHAnsi"/>
                <w:sz w:val="20"/>
                <w:szCs w:val="20"/>
              </w:rPr>
            </w:pPr>
          </w:p>
        </w:tc>
        <w:tc>
          <w:tcPr>
            <w:tcW w:w="1596"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rPr>
                <w:rFonts w:asciiTheme="minorHAnsi" w:hAnsiTheme="minorHAnsi" w:cstheme="minorHAnsi"/>
                <w:sz w:val="20"/>
                <w:szCs w:val="20"/>
              </w:rPr>
            </w:pPr>
            <w:r w:rsidRPr="00F46D82">
              <w:rPr>
                <w:rFonts w:asciiTheme="minorHAnsi" w:hAnsiTheme="minorHAnsi" w:cstheme="minorHAnsi"/>
                <w:sz w:val="20"/>
                <w:szCs w:val="20"/>
              </w:rPr>
              <w:t>Update Contact Information Form</w:t>
            </w:r>
          </w:p>
        </w:tc>
        <w:tc>
          <w:tcPr>
            <w:tcW w:w="1595"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250</w:t>
            </w:r>
          </w:p>
        </w:tc>
        <w:tc>
          <w:tcPr>
            <w:tcW w:w="1596"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1</w:t>
            </w:r>
          </w:p>
        </w:tc>
        <w:tc>
          <w:tcPr>
            <w:tcW w:w="1597"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4</w:t>
            </w:r>
          </w:p>
        </w:tc>
      </w:tr>
      <w:tr w:rsidR="00B97294" w:rsidRPr="00F46D82" w:rsidTr="002E11FC">
        <w:tc>
          <w:tcPr>
            <w:tcW w:w="1594" w:type="dxa"/>
            <w:vMerge/>
            <w:tcBorders>
              <w:left w:val="single" w:sz="4" w:space="0" w:color="auto"/>
              <w:right w:val="single" w:sz="4" w:space="0" w:color="auto"/>
            </w:tcBorders>
          </w:tcPr>
          <w:p w:rsidR="00B97294" w:rsidRPr="00F46D82" w:rsidRDefault="00B97294" w:rsidP="00B97294">
            <w:pPr>
              <w:spacing w:after="0" w:line="240" w:lineRule="auto"/>
              <w:rPr>
                <w:rFonts w:asciiTheme="minorHAnsi" w:hAnsiTheme="minorHAnsi" w:cstheme="minorHAnsi"/>
                <w:sz w:val="20"/>
                <w:szCs w:val="20"/>
              </w:rPr>
            </w:pPr>
          </w:p>
        </w:tc>
        <w:tc>
          <w:tcPr>
            <w:tcW w:w="1596"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rPr>
                <w:rFonts w:asciiTheme="minorHAnsi" w:hAnsiTheme="minorHAnsi" w:cstheme="minorHAnsi"/>
                <w:sz w:val="20"/>
                <w:szCs w:val="20"/>
              </w:rPr>
            </w:pPr>
            <w:r w:rsidRPr="00F46D82">
              <w:rPr>
                <w:rFonts w:asciiTheme="minorHAnsi" w:hAnsiTheme="minorHAnsi" w:cstheme="minorHAnsi"/>
                <w:sz w:val="20"/>
                <w:szCs w:val="20"/>
              </w:rPr>
              <w:t xml:space="preserve">Medications </w:t>
            </w:r>
            <w:r w:rsidRPr="00F46D82">
              <w:rPr>
                <w:rFonts w:asciiTheme="minorHAnsi" w:hAnsiTheme="minorHAnsi" w:cstheme="minorHAnsi"/>
                <w:sz w:val="20"/>
                <w:szCs w:val="20"/>
              </w:rPr>
              <w:lastRenderedPageBreak/>
              <w:t>Form</w:t>
            </w:r>
          </w:p>
        </w:tc>
        <w:tc>
          <w:tcPr>
            <w:tcW w:w="1595"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lastRenderedPageBreak/>
              <w:t>250</w:t>
            </w:r>
          </w:p>
        </w:tc>
        <w:tc>
          <w:tcPr>
            <w:tcW w:w="1596"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1</w:t>
            </w:r>
          </w:p>
        </w:tc>
        <w:tc>
          <w:tcPr>
            <w:tcW w:w="1597"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3/60</w:t>
            </w:r>
          </w:p>
        </w:tc>
        <w:tc>
          <w:tcPr>
            <w:tcW w:w="1601"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12</w:t>
            </w:r>
          </w:p>
        </w:tc>
      </w:tr>
      <w:tr w:rsidR="00B97294" w:rsidRPr="00F46D82" w:rsidTr="002E11FC">
        <w:tc>
          <w:tcPr>
            <w:tcW w:w="1594" w:type="dxa"/>
            <w:vMerge/>
            <w:tcBorders>
              <w:left w:val="single" w:sz="4" w:space="0" w:color="auto"/>
              <w:right w:val="single" w:sz="4" w:space="0" w:color="auto"/>
            </w:tcBorders>
          </w:tcPr>
          <w:p w:rsidR="00B97294" w:rsidRPr="00F46D82" w:rsidRDefault="00B97294" w:rsidP="00B97294">
            <w:pPr>
              <w:spacing w:after="0" w:line="240" w:lineRule="auto"/>
              <w:rPr>
                <w:rFonts w:asciiTheme="minorHAnsi" w:hAnsiTheme="minorHAnsi" w:cstheme="minorHAnsi"/>
                <w:sz w:val="20"/>
                <w:szCs w:val="20"/>
              </w:rPr>
            </w:pPr>
          </w:p>
        </w:tc>
        <w:tc>
          <w:tcPr>
            <w:tcW w:w="1596"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rPr>
                <w:rFonts w:asciiTheme="minorHAnsi" w:hAnsiTheme="minorHAnsi" w:cstheme="minorHAnsi"/>
                <w:sz w:val="20"/>
                <w:szCs w:val="20"/>
              </w:rPr>
            </w:pPr>
            <w:r w:rsidRPr="00F46D82">
              <w:rPr>
                <w:rFonts w:asciiTheme="minorHAnsi" w:hAnsiTheme="minorHAnsi" w:cstheme="minorHAnsi"/>
                <w:sz w:val="20"/>
                <w:szCs w:val="20"/>
              </w:rPr>
              <w:t>Blood Draw Form</w:t>
            </w:r>
          </w:p>
        </w:tc>
        <w:tc>
          <w:tcPr>
            <w:tcW w:w="1595"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250</w:t>
            </w:r>
          </w:p>
        </w:tc>
        <w:tc>
          <w:tcPr>
            <w:tcW w:w="1596"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1</w:t>
            </w:r>
          </w:p>
        </w:tc>
        <w:tc>
          <w:tcPr>
            <w:tcW w:w="1597"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2/60</w:t>
            </w:r>
          </w:p>
        </w:tc>
        <w:tc>
          <w:tcPr>
            <w:tcW w:w="1601"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8</w:t>
            </w:r>
          </w:p>
        </w:tc>
      </w:tr>
      <w:tr w:rsidR="00B97294" w:rsidRPr="00F46D82" w:rsidTr="002E11FC">
        <w:tc>
          <w:tcPr>
            <w:tcW w:w="1594" w:type="dxa"/>
            <w:vMerge/>
            <w:tcBorders>
              <w:left w:val="single" w:sz="4" w:space="0" w:color="auto"/>
              <w:right w:val="single" w:sz="4" w:space="0" w:color="auto"/>
            </w:tcBorders>
          </w:tcPr>
          <w:p w:rsidR="00B97294" w:rsidRPr="00F46D82" w:rsidRDefault="00B97294" w:rsidP="00B97294">
            <w:pPr>
              <w:spacing w:after="0" w:line="240" w:lineRule="auto"/>
              <w:rPr>
                <w:rFonts w:asciiTheme="minorHAnsi" w:hAnsiTheme="minorHAnsi" w:cstheme="minorHAnsi"/>
                <w:sz w:val="20"/>
                <w:szCs w:val="20"/>
              </w:rPr>
            </w:pPr>
          </w:p>
        </w:tc>
        <w:tc>
          <w:tcPr>
            <w:tcW w:w="1596"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rPr>
                <w:rFonts w:asciiTheme="minorHAnsi" w:hAnsiTheme="minorHAnsi" w:cstheme="minorHAnsi"/>
                <w:sz w:val="20"/>
                <w:szCs w:val="20"/>
              </w:rPr>
            </w:pPr>
            <w:r w:rsidRPr="00F46D82">
              <w:rPr>
                <w:rFonts w:asciiTheme="minorHAnsi" w:hAnsiTheme="minorHAnsi" w:cstheme="minorHAnsi"/>
                <w:sz w:val="20"/>
                <w:szCs w:val="20"/>
              </w:rPr>
              <w:t>Questionnaire</w:t>
            </w:r>
          </w:p>
        </w:tc>
        <w:tc>
          <w:tcPr>
            <w:tcW w:w="1595"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250</w:t>
            </w:r>
          </w:p>
        </w:tc>
        <w:tc>
          <w:tcPr>
            <w:tcW w:w="1596"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1</w:t>
            </w:r>
          </w:p>
        </w:tc>
        <w:tc>
          <w:tcPr>
            <w:tcW w:w="1597"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45/60</w:t>
            </w:r>
          </w:p>
        </w:tc>
        <w:tc>
          <w:tcPr>
            <w:tcW w:w="1601" w:type="dxa"/>
            <w:tcBorders>
              <w:top w:val="single" w:sz="4" w:space="0" w:color="auto"/>
              <w:left w:val="single" w:sz="4" w:space="0" w:color="auto"/>
              <w:bottom w:val="single" w:sz="4" w:space="0" w:color="auto"/>
              <w:right w:val="single" w:sz="4" w:space="0" w:color="auto"/>
            </w:tcBorders>
            <w:vAlign w:val="center"/>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188</w:t>
            </w:r>
          </w:p>
        </w:tc>
      </w:tr>
      <w:tr w:rsidR="00B97294" w:rsidRPr="00F46D82" w:rsidTr="002E11FC">
        <w:tc>
          <w:tcPr>
            <w:tcW w:w="1594" w:type="dxa"/>
            <w:vMerge/>
            <w:tcBorders>
              <w:left w:val="single" w:sz="4" w:space="0" w:color="auto"/>
              <w:bottom w:val="single" w:sz="4" w:space="0" w:color="auto"/>
              <w:right w:val="single" w:sz="4" w:space="0" w:color="auto"/>
            </w:tcBorders>
          </w:tcPr>
          <w:p w:rsidR="00B97294" w:rsidRPr="00F46D82" w:rsidRDefault="00B97294" w:rsidP="00B97294">
            <w:pPr>
              <w:spacing w:after="0" w:line="240" w:lineRule="auto"/>
              <w:rPr>
                <w:rFonts w:asciiTheme="minorHAnsi" w:hAnsiTheme="minorHAnsi" w:cstheme="minorHAnsi"/>
                <w:sz w:val="20"/>
                <w:szCs w:val="20"/>
              </w:rPr>
            </w:pPr>
          </w:p>
        </w:tc>
        <w:tc>
          <w:tcPr>
            <w:tcW w:w="63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97294" w:rsidRPr="00F46D82" w:rsidRDefault="00B97294"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Total</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7294" w:rsidRPr="00F46D82" w:rsidRDefault="00B170DC" w:rsidP="00B9729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2</w:t>
            </w:r>
            <w:r w:rsidR="0088374F">
              <w:rPr>
                <w:rFonts w:asciiTheme="minorHAnsi" w:hAnsiTheme="minorHAnsi" w:cstheme="minorHAnsi"/>
                <w:sz w:val="20"/>
                <w:szCs w:val="20"/>
              </w:rPr>
              <w:t>26</w:t>
            </w:r>
          </w:p>
        </w:tc>
      </w:tr>
    </w:tbl>
    <w:p w:rsidR="0084153F" w:rsidRPr="00F46D82" w:rsidRDefault="002976AF" w:rsidP="000C633C">
      <w:pPr>
        <w:spacing w:after="0" w:line="240" w:lineRule="auto"/>
        <w:jc w:val="both"/>
        <w:rPr>
          <w:rFonts w:asciiTheme="minorHAnsi" w:hAnsiTheme="minorHAnsi" w:cstheme="minorHAnsi"/>
          <w:i/>
          <w:sz w:val="20"/>
          <w:szCs w:val="20"/>
        </w:rPr>
      </w:pPr>
      <w:r w:rsidRPr="00F46D82">
        <w:rPr>
          <w:rFonts w:asciiTheme="minorHAnsi" w:hAnsiTheme="minorHAnsi" w:cstheme="minorHAnsi"/>
          <w:i/>
          <w:sz w:val="20"/>
          <w:szCs w:val="20"/>
        </w:rPr>
        <w:tab/>
      </w:r>
    </w:p>
    <w:p w:rsidR="002976AF" w:rsidRPr="00F46D82" w:rsidRDefault="002976AF" w:rsidP="002976AF">
      <w:pPr>
        <w:spacing w:after="0" w:line="240" w:lineRule="auto"/>
        <w:jc w:val="both"/>
        <w:rPr>
          <w:rFonts w:asciiTheme="minorHAnsi" w:hAnsiTheme="minorHAnsi" w:cstheme="minorHAnsi"/>
          <w:i/>
        </w:rPr>
      </w:pPr>
    </w:p>
    <w:p w:rsidR="00B12195" w:rsidRPr="00F46D82" w:rsidRDefault="002060E6" w:rsidP="00BE63AC">
      <w:pPr>
        <w:spacing w:line="240" w:lineRule="auto"/>
        <w:jc w:val="both"/>
        <w:rPr>
          <w:rFonts w:asciiTheme="minorHAnsi" w:hAnsiTheme="minorHAnsi" w:cstheme="minorHAnsi"/>
          <w:bCs/>
          <w:color w:val="000000"/>
          <w:sz w:val="24"/>
          <w:szCs w:val="24"/>
        </w:rPr>
      </w:pPr>
      <w:r w:rsidRPr="00F46D82">
        <w:rPr>
          <w:rFonts w:asciiTheme="minorHAnsi" w:hAnsiTheme="minorHAnsi" w:cstheme="minorHAnsi"/>
          <w:sz w:val="24"/>
          <w:szCs w:val="24"/>
        </w:rPr>
        <w:t xml:space="preserve">B. Estimated </w:t>
      </w:r>
      <w:r w:rsidR="00D629B6" w:rsidRPr="00F46D82">
        <w:rPr>
          <w:rFonts w:asciiTheme="minorHAnsi" w:hAnsiTheme="minorHAnsi" w:cstheme="minorHAnsi"/>
          <w:sz w:val="24"/>
          <w:szCs w:val="24"/>
        </w:rPr>
        <w:t xml:space="preserve">annualized </w:t>
      </w:r>
      <w:r w:rsidRPr="00F46D82">
        <w:rPr>
          <w:rFonts w:asciiTheme="minorHAnsi" w:hAnsiTheme="minorHAnsi" w:cstheme="minorHAnsi"/>
          <w:sz w:val="24"/>
          <w:szCs w:val="24"/>
        </w:rPr>
        <w:t>burden c</w:t>
      </w:r>
      <w:r w:rsidR="00F27FF9" w:rsidRPr="00F46D82">
        <w:rPr>
          <w:rFonts w:asciiTheme="minorHAnsi" w:hAnsiTheme="minorHAnsi" w:cstheme="minorHAnsi"/>
          <w:sz w:val="24"/>
          <w:szCs w:val="24"/>
        </w:rPr>
        <w:t>osts</w:t>
      </w:r>
      <w:bookmarkEnd w:id="40"/>
      <w:r w:rsidR="002E11FC" w:rsidRPr="00F46D82">
        <w:rPr>
          <w:rFonts w:asciiTheme="minorHAnsi" w:hAnsiTheme="minorHAnsi" w:cstheme="minorHAnsi"/>
          <w:sz w:val="24"/>
          <w:szCs w:val="24"/>
        </w:rPr>
        <w:t xml:space="preserve"> </w:t>
      </w:r>
      <w:proofErr w:type="gramStart"/>
      <w:r w:rsidR="002E11FC" w:rsidRPr="00F46D82">
        <w:rPr>
          <w:rFonts w:asciiTheme="minorHAnsi" w:hAnsiTheme="minorHAnsi" w:cstheme="minorHAnsi"/>
          <w:sz w:val="24"/>
          <w:szCs w:val="24"/>
        </w:rPr>
        <w:t>are presented</w:t>
      </w:r>
      <w:proofErr w:type="gramEnd"/>
      <w:r w:rsidRPr="00F46D82">
        <w:rPr>
          <w:rFonts w:asciiTheme="minorHAnsi" w:hAnsiTheme="minorHAnsi" w:cstheme="minorHAnsi"/>
          <w:sz w:val="24"/>
          <w:szCs w:val="24"/>
        </w:rPr>
        <w:t xml:space="preserve">. </w:t>
      </w:r>
      <w:r w:rsidR="00ED6D86" w:rsidRPr="00F46D82">
        <w:rPr>
          <w:rFonts w:asciiTheme="minorHAnsi" w:hAnsiTheme="minorHAnsi" w:cstheme="minorHAnsi"/>
          <w:bCs/>
          <w:color w:val="000000"/>
          <w:sz w:val="24"/>
          <w:szCs w:val="24"/>
        </w:rPr>
        <w:t>To estimate the c</w:t>
      </w:r>
      <w:r w:rsidR="00433FB0" w:rsidRPr="00F46D82">
        <w:rPr>
          <w:rFonts w:asciiTheme="minorHAnsi" w:hAnsiTheme="minorHAnsi" w:cstheme="minorHAnsi"/>
          <w:bCs/>
          <w:color w:val="000000"/>
          <w:sz w:val="24"/>
          <w:szCs w:val="24"/>
        </w:rPr>
        <w:t>ost to the respondent, t</w:t>
      </w:r>
      <w:r w:rsidR="00ED6D86" w:rsidRPr="00F46D82">
        <w:rPr>
          <w:rFonts w:asciiTheme="minorHAnsi" w:hAnsiTheme="minorHAnsi" w:cstheme="minorHAnsi"/>
          <w:bCs/>
          <w:color w:val="000000"/>
          <w:sz w:val="24"/>
          <w:szCs w:val="24"/>
        </w:rPr>
        <w:t xml:space="preserve">he </w:t>
      </w:r>
      <w:r w:rsidR="00FC144B" w:rsidRPr="00F46D82">
        <w:rPr>
          <w:rFonts w:asciiTheme="minorHAnsi" w:hAnsiTheme="minorHAnsi" w:cstheme="minorHAnsi"/>
          <w:bCs/>
          <w:color w:val="000000"/>
          <w:sz w:val="24"/>
          <w:szCs w:val="24"/>
        </w:rPr>
        <w:t xml:space="preserve">May 2011 </w:t>
      </w:r>
      <w:r w:rsidR="00ED6D86" w:rsidRPr="00F46D82">
        <w:rPr>
          <w:rFonts w:asciiTheme="minorHAnsi" w:hAnsiTheme="minorHAnsi" w:cstheme="minorHAnsi"/>
          <w:bCs/>
          <w:color w:val="000000"/>
          <w:sz w:val="24"/>
          <w:szCs w:val="24"/>
        </w:rPr>
        <w:t>median hourly wage</w:t>
      </w:r>
      <w:r w:rsidR="00480624" w:rsidRPr="00F46D82">
        <w:rPr>
          <w:rFonts w:asciiTheme="minorHAnsi" w:hAnsiTheme="minorHAnsi" w:cstheme="minorHAnsi"/>
          <w:bCs/>
          <w:color w:val="000000"/>
          <w:sz w:val="24"/>
          <w:szCs w:val="24"/>
        </w:rPr>
        <w:t xml:space="preserve"> </w:t>
      </w:r>
      <w:proofErr w:type="gramStart"/>
      <w:r w:rsidR="00480624" w:rsidRPr="00F46D82">
        <w:rPr>
          <w:rFonts w:asciiTheme="minorHAnsi" w:hAnsiTheme="minorHAnsi" w:cstheme="minorHAnsi"/>
          <w:bCs/>
          <w:color w:val="000000"/>
          <w:sz w:val="24"/>
          <w:szCs w:val="24"/>
        </w:rPr>
        <w:t>was selected</w:t>
      </w:r>
      <w:proofErr w:type="gramEnd"/>
      <w:r w:rsidR="00F303CC" w:rsidRPr="00F46D82">
        <w:rPr>
          <w:rFonts w:asciiTheme="minorHAnsi" w:hAnsiTheme="minorHAnsi" w:cstheme="minorHAnsi"/>
          <w:bCs/>
          <w:color w:val="000000"/>
          <w:sz w:val="24"/>
          <w:szCs w:val="24"/>
        </w:rPr>
        <w:t xml:space="preserve"> for all occupations in</w:t>
      </w:r>
      <w:r w:rsidR="00ED6D86" w:rsidRPr="00F46D82">
        <w:rPr>
          <w:rFonts w:asciiTheme="minorHAnsi" w:hAnsiTheme="minorHAnsi" w:cstheme="minorHAnsi"/>
          <w:bCs/>
          <w:color w:val="000000"/>
          <w:sz w:val="24"/>
          <w:szCs w:val="24"/>
        </w:rPr>
        <w:t xml:space="preserve"> the </w:t>
      </w:r>
      <w:r w:rsidR="002E11FC" w:rsidRPr="00F46D82">
        <w:rPr>
          <w:rFonts w:asciiTheme="minorHAnsi" w:hAnsiTheme="minorHAnsi" w:cstheme="minorHAnsi"/>
          <w:bCs/>
          <w:color w:val="000000"/>
          <w:sz w:val="24"/>
          <w:szCs w:val="24"/>
        </w:rPr>
        <w:t xml:space="preserve">Anniston-Oxford, AL </w:t>
      </w:r>
      <w:r w:rsidR="00ED6D86" w:rsidRPr="00F46D82">
        <w:rPr>
          <w:rFonts w:asciiTheme="minorHAnsi" w:hAnsiTheme="minorHAnsi" w:cstheme="minorHAnsi"/>
          <w:bCs/>
          <w:color w:val="000000"/>
          <w:sz w:val="24"/>
          <w:szCs w:val="24"/>
        </w:rPr>
        <w:t>metropolitan statistica</w:t>
      </w:r>
      <w:r w:rsidR="002E11FC" w:rsidRPr="00F46D82">
        <w:rPr>
          <w:rFonts w:asciiTheme="minorHAnsi" w:hAnsiTheme="minorHAnsi" w:cstheme="minorHAnsi"/>
          <w:bCs/>
          <w:color w:val="000000"/>
          <w:sz w:val="24"/>
          <w:szCs w:val="24"/>
        </w:rPr>
        <w:t>l area (MSA)</w:t>
      </w:r>
      <w:r w:rsidR="008F2566" w:rsidRPr="00F46D82">
        <w:rPr>
          <w:rFonts w:asciiTheme="minorHAnsi" w:hAnsiTheme="minorHAnsi" w:cstheme="minorHAnsi"/>
          <w:bCs/>
          <w:color w:val="000000"/>
          <w:sz w:val="24"/>
          <w:szCs w:val="24"/>
        </w:rPr>
        <w:t>.</w:t>
      </w:r>
    </w:p>
    <w:p w:rsidR="000E01DE" w:rsidRPr="00F46D82" w:rsidRDefault="000E01DE" w:rsidP="000E01DE">
      <w:pPr>
        <w:spacing w:after="0" w:line="240" w:lineRule="auto"/>
        <w:rPr>
          <w:rFonts w:asciiTheme="minorHAnsi" w:hAnsiTheme="minorHAnsi" w:cstheme="minorHAnsi"/>
          <w:sz w:val="24"/>
          <w:szCs w:val="24"/>
          <w:u w:val="single"/>
        </w:rPr>
      </w:pPr>
      <w:r w:rsidRPr="00F46D82">
        <w:rPr>
          <w:rFonts w:asciiTheme="minorHAnsi" w:hAnsiTheme="minorHAnsi" w:cstheme="minorHAnsi"/>
          <w:sz w:val="24"/>
          <w:szCs w:val="24"/>
          <w:u w:val="single"/>
        </w:rPr>
        <w:t>Estimated Annualized Burden Costs</w:t>
      </w:r>
    </w:p>
    <w:p w:rsidR="000E01DE" w:rsidRPr="00F46D82" w:rsidRDefault="000E01DE" w:rsidP="000E01DE">
      <w:pPr>
        <w:spacing w:after="0" w:line="240" w:lineRule="auto"/>
        <w:rPr>
          <w:rFonts w:asciiTheme="minorHAnsi" w:hAnsiTheme="minorHAnsi" w:cstheme="minorHAnsi"/>
          <w:sz w:val="24"/>
          <w:szCs w:val="24"/>
          <w:u w:val="singl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35"/>
        <w:gridCol w:w="2138"/>
        <w:gridCol w:w="2135"/>
      </w:tblGrid>
      <w:tr w:rsidR="002060E6" w:rsidRPr="00F46D82" w:rsidTr="00FC144B">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2060E6" w:rsidRPr="00F46D82" w:rsidRDefault="002060E6" w:rsidP="007F22B4">
            <w:pPr>
              <w:spacing w:after="0" w:line="240" w:lineRule="auto"/>
              <w:rPr>
                <w:rFonts w:asciiTheme="minorHAnsi" w:hAnsiTheme="minorHAnsi" w:cstheme="minorHAnsi"/>
                <w:sz w:val="20"/>
                <w:szCs w:val="20"/>
              </w:rPr>
            </w:pPr>
            <w:r w:rsidRPr="00F46D82">
              <w:rPr>
                <w:rFonts w:asciiTheme="minorHAnsi" w:hAnsiTheme="minorHAnsi" w:cstheme="minorHAnsi"/>
                <w:sz w:val="20"/>
                <w:szCs w:val="20"/>
              </w:rPr>
              <w:t>Type of Respondents</w:t>
            </w:r>
          </w:p>
        </w:tc>
        <w:tc>
          <w:tcPr>
            <w:tcW w:w="2135" w:type="dxa"/>
            <w:tcBorders>
              <w:top w:val="single" w:sz="4" w:space="0" w:color="auto"/>
              <w:left w:val="single" w:sz="4" w:space="0" w:color="auto"/>
              <w:bottom w:val="single" w:sz="4" w:space="0" w:color="auto"/>
              <w:right w:val="single" w:sz="4" w:space="0" w:color="auto"/>
            </w:tcBorders>
            <w:shd w:val="clear" w:color="auto" w:fill="auto"/>
            <w:hideMark/>
          </w:tcPr>
          <w:p w:rsidR="002060E6" w:rsidRPr="00F46D82" w:rsidRDefault="002060E6" w:rsidP="007F22B4">
            <w:pPr>
              <w:spacing w:after="0" w:line="240" w:lineRule="auto"/>
              <w:rPr>
                <w:rFonts w:asciiTheme="minorHAnsi" w:hAnsiTheme="minorHAnsi" w:cstheme="minorHAnsi"/>
                <w:sz w:val="20"/>
                <w:szCs w:val="20"/>
              </w:rPr>
            </w:pPr>
            <w:r w:rsidRPr="00F46D82">
              <w:rPr>
                <w:rFonts w:asciiTheme="minorHAnsi" w:hAnsiTheme="minorHAnsi" w:cstheme="minorHAnsi"/>
                <w:sz w:val="20"/>
                <w:szCs w:val="20"/>
              </w:rPr>
              <w:t xml:space="preserve">Total Burden </w:t>
            </w:r>
          </w:p>
          <w:p w:rsidR="002060E6" w:rsidRPr="00F46D82" w:rsidRDefault="002060E6" w:rsidP="007F22B4">
            <w:pPr>
              <w:spacing w:after="0" w:line="240" w:lineRule="auto"/>
              <w:rPr>
                <w:rFonts w:asciiTheme="minorHAnsi" w:hAnsiTheme="minorHAnsi" w:cstheme="minorHAnsi"/>
                <w:sz w:val="20"/>
                <w:szCs w:val="20"/>
              </w:rPr>
            </w:pPr>
            <w:r w:rsidRPr="00F46D82">
              <w:rPr>
                <w:rFonts w:asciiTheme="minorHAnsi" w:hAnsiTheme="minorHAnsi" w:cstheme="minorHAnsi"/>
                <w:sz w:val="20"/>
                <w:szCs w:val="20"/>
              </w:rPr>
              <w:t>(in hours)</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2060E6" w:rsidRPr="00F46D82" w:rsidRDefault="002060E6" w:rsidP="007F22B4">
            <w:pPr>
              <w:spacing w:after="0" w:line="240" w:lineRule="auto"/>
              <w:rPr>
                <w:rFonts w:asciiTheme="minorHAnsi" w:hAnsiTheme="minorHAnsi" w:cstheme="minorHAnsi"/>
                <w:sz w:val="20"/>
                <w:szCs w:val="20"/>
              </w:rPr>
            </w:pPr>
            <w:r w:rsidRPr="00F46D82">
              <w:rPr>
                <w:rFonts w:asciiTheme="minorHAnsi" w:hAnsiTheme="minorHAnsi" w:cstheme="minorHAnsi"/>
                <w:sz w:val="20"/>
                <w:szCs w:val="20"/>
              </w:rPr>
              <w:t>Hourly Wage Rate</w:t>
            </w:r>
          </w:p>
        </w:tc>
        <w:tc>
          <w:tcPr>
            <w:tcW w:w="2135" w:type="dxa"/>
            <w:tcBorders>
              <w:top w:val="single" w:sz="4" w:space="0" w:color="auto"/>
              <w:left w:val="single" w:sz="4" w:space="0" w:color="auto"/>
              <w:bottom w:val="single" w:sz="4" w:space="0" w:color="auto"/>
              <w:right w:val="single" w:sz="4" w:space="0" w:color="auto"/>
            </w:tcBorders>
            <w:shd w:val="clear" w:color="auto" w:fill="auto"/>
          </w:tcPr>
          <w:p w:rsidR="002060E6" w:rsidRPr="00F46D82" w:rsidRDefault="002060E6" w:rsidP="007F22B4">
            <w:pPr>
              <w:spacing w:after="0" w:line="240" w:lineRule="auto"/>
              <w:rPr>
                <w:rFonts w:asciiTheme="minorHAnsi" w:hAnsiTheme="minorHAnsi" w:cstheme="minorHAnsi"/>
                <w:sz w:val="20"/>
                <w:szCs w:val="20"/>
              </w:rPr>
            </w:pPr>
            <w:r w:rsidRPr="00F46D82">
              <w:rPr>
                <w:rFonts w:asciiTheme="minorHAnsi" w:hAnsiTheme="minorHAnsi" w:cstheme="minorHAnsi"/>
                <w:sz w:val="20"/>
                <w:szCs w:val="20"/>
              </w:rPr>
              <w:t>Total Burden Costs</w:t>
            </w:r>
          </w:p>
        </w:tc>
      </w:tr>
      <w:tr w:rsidR="007D5D55" w:rsidRPr="00F46D82" w:rsidTr="00FC144B">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7D5D55" w:rsidRPr="00F46D82" w:rsidRDefault="00C22C77" w:rsidP="007F22B4">
            <w:pPr>
              <w:spacing w:after="0" w:line="240" w:lineRule="auto"/>
              <w:rPr>
                <w:rFonts w:asciiTheme="minorHAnsi" w:hAnsiTheme="minorHAnsi" w:cstheme="minorHAnsi"/>
                <w:sz w:val="20"/>
                <w:szCs w:val="20"/>
              </w:rPr>
            </w:pPr>
            <w:r w:rsidRPr="00F46D82">
              <w:rPr>
                <w:rFonts w:asciiTheme="minorHAnsi" w:hAnsiTheme="minorHAnsi" w:cstheme="minorHAnsi"/>
                <w:sz w:val="20"/>
                <w:szCs w:val="20"/>
              </w:rPr>
              <w:t>Adults who took part in first Anniston Community Health Survey</w:t>
            </w:r>
          </w:p>
        </w:tc>
        <w:tc>
          <w:tcPr>
            <w:tcW w:w="2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D55" w:rsidRPr="00F46D82" w:rsidRDefault="00C75F45" w:rsidP="006D4C5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2</w:t>
            </w:r>
            <w:r w:rsidR="0088374F">
              <w:rPr>
                <w:rFonts w:asciiTheme="minorHAnsi" w:hAnsiTheme="minorHAnsi" w:cstheme="minorHAnsi"/>
                <w:sz w:val="20"/>
                <w:szCs w:val="20"/>
              </w:rPr>
              <w:t>26</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F46D82" w:rsidRDefault="002E11FC" w:rsidP="006D4C54">
            <w:pPr>
              <w:spacing w:after="0" w:line="240" w:lineRule="auto"/>
              <w:jc w:val="right"/>
              <w:rPr>
                <w:rFonts w:asciiTheme="minorHAnsi" w:hAnsiTheme="minorHAnsi" w:cstheme="minorHAnsi"/>
                <w:sz w:val="20"/>
                <w:szCs w:val="20"/>
              </w:rPr>
            </w:pPr>
            <w:r w:rsidRPr="00F46D82">
              <w:rPr>
                <w:rFonts w:asciiTheme="minorHAnsi" w:hAnsiTheme="minorHAnsi" w:cstheme="minorHAnsi"/>
                <w:sz w:val="17"/>
                <w:szCs w:val="17"/>
              </w:rPr>
              <w:t>$14.40</w:t>
            </w:r>
          </w:p>
        </w:tc>
        <w:tc>
          <w:tcPr>
            <w:tcW w:w="2135"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F46D82" w:rsidRDefault="007D5D55" w:rsidP="006D4C54">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w:t>
            </w:r>
            <w:r w:rsidR="00C75F45" w:rsidRPr="00F46D82">
              <w:rPr>
                <w:rFonts w:asciiTheme="minorHAnsi" w:hAnsiTheme="minorHAnsi" w:cstheme="minorHAnsi"/>
                <w:sz w:val="20"/>
                <w:szCs w:val="20"/>
              </w:rPr>
              <w:t>3,</w:t>
            </w:r>
            <w:r w:rsidR="0088374F">
              <w:rPr>
                <w:rFonts w:asciiTheme="minorHAnsi" w:hAnsiTheme="minorHAnsi" w:cstheme="minorHAnsi"/>
                <w:sz w:val="20"/>
                <w:szCs w:val="20"/>
              </w:rPr>
              <w:t>254</w:t>
            </w:r>
          </w:p>
        </w:tc>
      </w:tr>
      <w:tr w:rsidR="000D2A58" w:rsidRPr="00F46D82" w:rsidTr="00FC144B">
        <w:tc>
          <w:tcPr>
            <w:tcW w:w="7441" w:type="dxa"/>
            <w:gridSpan w:val="3"/>
            <w:tcBorders>
              <w:top w:val="single" w:sz="4" w:space="0" w:color="auto"/>
              <w:left w:val="single" w:sz="4" w:space="0" w:color="auto"/>
              <w:bottom w:val="single" w:sz="4" w:space="0" w:color="auto"/>
              <w:right w:val="single" w:sz="4" w:space="0" w:color="auto"/>
            </w:tcBorders>
            <w:shd w:val="clear" w:color="auto" w:fill="auto"/>
            <w:hideMark/>
          </w:tcPr>
          <w:p w:rsidR="000D2A58" w:rsidRPr="00F46D82" w:rsidRDefault="000D2A58" w:rsidP="003B1DA8">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Total</w:t>
            </w:r>
          </w:p>
        </w:tc>
        <w:tc>
          <w:tcPr>
            <w:tcW w:w="2135" w:type="dxa"/>
            <w:tcBorders>
              <w:top w:val="single" w:sz="4" w:space="0" w:color="auto"/>
              <w:left w:val="single" w:sz="4" w:space="0" w:color="auto"/>
              <w:bottom w:val="single" w:sz="4" w:space="0" w:color="auto"/>
              <w:right w:val="single" w:sz="4" w:space="0" w:color="auto"/>
            </w:tcBorders>
            <w:shd w:val="clear" w:color="auto" w:fill="auto"/>
            <w:vAlign w:val="center"/>
          </w:tcPr>
          <w:p w:rsidR="000D2A58" w:rsidRPr="00F46D82" w:rsidRDefault="000D2A58" w:rsidP="003B1DA8">
            <w:pPr>
              <w:spacing w:after="0" w:line="240" w:lineRule="auto"/>
              <w:jc w:val="right"/>
              <w:rPr>
                <w:rFonts w:asciiTheme="minorHAnsi" w:hAnsiTheme="minorHAnsi" w:cstheme="minorHAnsi"/>
                <w:sz w:val="20"/>
                <w:szCs w:val="20"/>
              </w:rPr>
            </w:pPr>
            <w:r w:rsidRPr="00F46D82">
              <w:rPr>
                <w:rFonts w:asciiTheme="minorHAnsi" w:hAnsiTheme="minorHAnsi" w:cstheme="minorHAnsi"/>
                <w:sz w:val="20"/>
                <w:szCs w:val="20"/>
              </w:rPr>
              <w:t>$</w:t>
            </w:r>
            <w:r w:rsidR="00C75F45" w:rsidRPr="00F46D82">
              <w:rPr>
                <w:rFonts w:asciiTheme="minorHAnsi" w:hAnsiTheme="minorHAnsi" w:cstheme="minorHAnsi"/>
                <w:sz w:val="20"/>
                <w:szCs w:val="20"/>
              </w:rPr>
              <w:t>3,</w:t>
            </w:r>
            <w:r w:rsidR="0088374F">
              <w:rPr>
                <w:rFonts w:asciiTheme="minorHAnsi" w:hAnsiTheme="minorHAnsi" w:cstheme="minorHAnsi"/>
                <w:sz w:val="20"/>
                <w:szCs w:val="20"/>
              </w:rPr>
              <w:t>254</w:t>
            </w:r>
          </w:p>
        </w:tc>
      </w:tr>
    </w:tbl>
    <w:p w:rsidR="002E11FC" w:rsidRPr="00F46D82" w:rsidRDefault="00FC144B" w:rsidP="00651652">
      <w:pPr>
        <w:spacing w:after="0" w:line="240" w:lineRule="auto"/>
        <w:rPr>
          <w:rFonts w:asciiTheme="minorHAnsi" w:hAnsiTheme="minorHAnsi" w:cstheme="minorHAnsi"/>
          <w:i/>
          <w:sz w:val="18"/>
          <w:szCs w:val="18"/>
          <w:vertAlign w:val="superscript"/>
        </w:rPr>
      </w:pPr>
      <w:proofErr w:type="gramStart"/>
      <w:r w:rsidRPr="00F46D82">
        <w:rPr>
          <w:rFonts w:asciiTheme="minorHAnsi" w:hAnsiTheme="minorHAnsi" w:cstheme="minorHAnsi"/>
          <w:i/>
          <w:sz w:val="18"/>
          <w:szCs w:val="18"/>
        </w:rPr>
        <w:t>Source: BLS, 2011</w:t>
      </w:r>
      <w:r w:rsidR="002A3541" w:rsidRPr="00F46D82">
        <w:rPr>
          <w:rFonts w:asciiTheme="minorHAnsi" w:hAnsiTheme="minorHAnsi" w:cstheme="minorHAnsi"/>
          <w:i/>
          <w:sz w:val="18"/>
          <w:szCs w:val="18"/>
        </w:rPr>
        <w:t>.</w:t>
      </w:r>
      <w:proofErr w:type="gramEnd"/>
      <w:r w:rsidR="002A3541" w:rsidRPr="00F46D82">
        <w:rPr>
          <w:rFonts w:asciiTheme="minorHAnsi" w:hAnsiTheme="minorHAnsi" w:cstheme="minorHAnsi"/>
          <w:b/>
          <w:i/>
          <w:sz w:val="18"/>
          <w:szCs w:val="18"/>
        </w:rPr>
        <w:t xml:space="preserve"> </w:t>
      </w:r>
      <w:r w:rsidRPr="00F46D82">
        <w:rPr>
          <w:rFonts w:asciiTheme="minorHAnsi" w:hAnsiTheme="minorHAnsi" w:cstheme="minorHAnsi"/>
          <w:i/>
          <w:sz w:val="18"/>
          <w:szCs w:val="18"/>
        </w:rPr>
        <w:t xml:space="preserve">May </w:t>
      </w:r>
      <w:proofErr w:type="gramStart"/>
      <w:r w:rsidRPr="00F46D82">
        <w:rPr>
          <w:rFonts w:asciiTheme="minorHAnsi" w:hAnsiTheme="minorHAnsi" w:cstheme="minorHAnsi"/>
          <w:i/>
          <w:sz w:val="18"/>
          <w:szCs w:val="18"/>
        </w:rPr>
        <w:t xml:space="preserve">2011 </w:t>
      </w:r>
      <w:r w:rsidR="002A3541" w:rsidRPr="00F46D82">
        <w:rPr>
          <w:rFonts w:asciiTheme="minorHAnsi" w:hAnsiTheme="minorHAnsi" w:cstheme="minorHAnsi"/>
          <w:i/>
          <w:sz w:val="18"/>
          <w:szCs w:val="18"/>
        </w:rPr>
        <w:t xml:space="preserve"> Metropolitan</w:t>
      </w:r>
      <w:proofErr w:type="gramEnd"/>
      <w:r w:rsidR="002A3541" w:rsidRPr="00F46D82">
        <w:rPr>
          <w:rFonts w:asciiTheme="minorHAnsi" w:hAnsiTheme="minorHAnsi" w:cstheme="minorHAnsi"/>
          <w:i/>
          <w:sz w:val="18"/>
          <w:szCs w:val="18"/>
        </w:rPr>
        <w:t xml:space="preserve"> and Nonmetropolitan Area Occupational Employment and Wage Estimates</w:t>
      </w:r>
      <w:r w:rsidR="00AF71DB" w:rsidRPr="00F46D82">
        <w:rPr>
          <w:rFonts w:asciiTheme="minorHAnsi" w:hAnsiTheme="minorHAnsi" w:cstheme="minorHAnsi"/>
          <w:i/>
          <w:sz w:val="18"/>
          <w:szCs w:val="18"/>
        </w:rPr>
        <w:t>: Median Hourly Wage for All Occupations.</w:t>
      </w:r>
      <w:r w:rsidR="00AF71DB" w:rsidRPr="00F46D82">
        <w:rPr>
          <w:rFonts w:asciiTheme="minorHAnsi" w:hAnsiTheme="minorHAnsi" w:cstheme="minorHAnsi"/>
          <w:b/>
          <w:i/>
          <w:sz w:val="18"/>
          <w:szCs w:val="18"/>
        </w:rPr>
        <w:t xml:space="preserve"> </w:t>
      </w:r>
      <w:hyperlink r:id="rId27" w:anchor="00-0000" w:history="1">
        <w:r w:rsidRPr="00F46D82">
          <w:rPr>
            <w:rStyle w:val="Hyperlink"/>
            <w:rFonts w:asciiTheme="minorHAnsi" w:hAnsiTheme="minorHAnsi" w:cstheme="minorHAnsi"/>
            <w:i/>
            <w:sz w:val="18"/>
            <w:szCs w:val="18"/>
          </w:rPr>
          <w:t>http://www.bls.gov/oes/current/oes_11500.htm#00-0000</w:t>
        </w:r>
      </w:hyperlink>
      <w:r w:rsidRPr="00F46D82">
        <w:rPr>
          <w:rFonts w:asciiTheme="minorHAnsi" w:hAnsiTheme="minorHAnsi" w:cstheme="minorHAnsi"/>
          <w:b/>
          <w:i/>
          <w:sz w:val="18"/>
          <w:szCs w:val="18"/>
        </w:rPr>
        <w:t xml:space="preserve"> </w:t>
      </w:r>
      <w:r w:rsidR="007D5D55" w:rsidRPr="00F46D82">
        <w:rPr>
          <w:rFonts w:asciiTheme="minorHAnsi" w:hAnsiTheme="minorHAnsi" w:cstheme="minorHAnsi"/>
          <w:i/>
        </w:rPr>
        <w:t>.</w:t>
      </w:r>
      <w:bookmarkStart w:id="41" w:name="_Toc296699099"/>
    </w:p>
    <w:p w:rsidR="00020EFF" w:rsidRPr="00F46D82" w:rsidRDefault="00F27FF9" w:rsidP="00CF4E51">
      <w:pPr>
        <w:pStyle w:val="Heading2"/>
        <w:spacing w:before="360"/>
        <w:rPr>
          <w:rFonts w:asciiTheme="minorHAnsi" w:hAnsiTheme="minorHAnsi" w:cstheme="minorHAnsi"/>
        </w:rPr>
      </w:pPr>
      <w:bookmarkStart w:id="42" w:name="_Toc349489256"/>
      <w:r w:rsidRPr="00F46D82">
        <w:rPr>
          <w:rFonts w:asciiTheme="minorHAnsi" w:hAnsiTheme="minorHAnsi" w:cstheme="minorHAnsi"/>
        </w:rPr>
        <w:t>A.</w:t>
      </w:r>
      <w:r w:rsidR="00692DAC" w:rsidRPr="00F46D82">
        <w:rPr>
          <w:rFonts w:asciiTheme="minorHAnsi" w:hAnsiTheme="minorHAnsi" w:cstheme="minorHAnsi"/>
        </w:rPr>
        <w:t xml:space="preserve">13. </w:t>
      </w:r>
      <w:r w:rsidR="004F75B9" w:rsidRPr="00F46D82">
        <w:rPr>
          <w:rFonts w:asciiTheme="minorHAnsi" w:hAnsiTheme="minorHAnsi" w:cstheme="minorHAnsi"/>
        </w:rPr>
        <w:t>Estimates of Other Total Annual Cost Burden to R</w:t>
      </w:r>
      <w:r w:rsidR="00581A33" w:rsidRPr="00F46D82">
        <w:rPr>
          <w:rFonts w:asciiTheme="minorHAnsi" w:hAnsiTheme="minorHAnsi" w:cstheme="minorHAnsi"/>
        </w:rPr>
        <w:t>espondents or</w:t>
      </w:r>
      <w:r w:rsidR="004F75B9" w:rsidRPr="00F46D82">
        <w:rPr>
          <w:rFonts w:asciiTheme="minorHAnsi" w:hAnsiTheme="minorHAnsi" w:cstheme="minorHAnsi"/>
        </w:rPr>
        <w:t xml:space="preserve"> Record Keepers</w:t>
      </w:r>
      <w:bookmarkEnd w:id="41"/>
      <w:bookmarkEnd w:id="42"/>
      <w:r w:rsidR="00020EFF" w:rsidRPr="00F46D82">
        <w:rPr>
          <w:rFonts w:asciiTheme="minorHAnsi" w:hAnsiTheme="minorHAnsi" w:cstheme="minorHAnsi"/>
        </w:rPr>
        <w:t xml:space="preserve"> </w:t>
      </w:r>
    </w:p>
    <w:p w:rsidR="00692DAC" w:rsidRPr="00F46D82" w:rsidRDefault="00692DAC" w:rsidP="0064210D">
      <w:pPr>
        <w:autoSpaceDE w:val="0"/>
        <w:autoSpaceDN w:val="0"/>
        <w:adjustRightInd w:val="0"/>
        <w:spacing w:after="0" w:line="240" w:lineRule="auto"/>
        <w:rPr>
          <w:rFonts w:asciiTheme="minorHAnsi" w:hAnsiTheme="minorHAnsi" w:cstheme="minorHAnsi"/>
          <w:b/>
          <w:bCs/>
          <w:color w:val="000000"/>
          <w:sz w:val="24"/>
          <w:szCs w:val="24"/>
        </w:rPr>
      </w:pPr>
    </w:p>
    <w:p w:rsidR="00DB73AF" w:rsidRPr="00F46D82" w:rsidRDefault="00282698" w:rsidP="0064210D">
      <w:pPr>
        <w:autoSpaceDE w:val="0"/>
        <w:autoSpaceDN w:val="0"/>
        <w:adjustRightInd w:val="0"/>
        <w:spacing w:after="0" w:line="240" w:lineRule="auto"/>
        <w:rPr>
          <w:rFonts w:asciiTheme="minorHAnsi" w:hAnsiTheme="minorHAnsi" w:cstheme="minorHAnsi"/>
          <w:bCs/>
          <w:color w:val="000000"/>
          <w:sz w:val="24"/>
          <w:szCs w:val="24"/>
        </w:rPr>
      </w:pPr>
      <w:r w:rsidRPr="00F46D82">
        <w:rPr>
          <w:rFonts w:asciiTheme="minorHAnsi" w:hAnsiTheme="minorHAnsi" w:cstheme="minorHAnsi"/>
          <w:bCs/>
          <w:color w:val="000000"/>
          <w:sz w:val="24"/>
          <w:szCs w:val="24"/>
        </w:rPr>
        <w:t xml:space="preserve">There will be no </w:t>
      </w:r>
      <w:r w:rsidR="000257FD" w:rsidRPr="00F46D82">
        <w:rPr>
          <w:rFonts w:asciiTheme="minorHAnsi" w:hAnsiTheme="minorHAnsi" w:cstheme="minorHAnsi"/>
          <w:bCs/>
          <w:color w:val="000000"/>
          <w:sz w:val="24"/>
          <w:szCs w:val="24"/>
        </w:rPr>
        <w:t>additional</w:t>
      </w:r>
      <w:r w:rsidRPr="00F46D82">
        <w:rPr>
          <w:rFonts w:asciiTheme="minorHAnsi" w:hAnsiTheme="minorHAnsi" w:cstheme="minorHAnsi"/>
          <w:bCs/>
          <w:color w:val="000000"/>
          <w:sz w:val="24"/>
          <w:szCs w:val="24"/>
        </w:rPr>
        <w:t xml:space="preserve"> capital and maintena</w:t>
      </w:r>
      <w:r w:rsidR="00614677" w:rsidRPr="00F46D82">
        <w:rPr>
          <w:rFonts w:asciiTheme="minorHAnsi" w:hAnsiTheme="minorHAnsi" w:cstheme="minorHAnsi"/>
          <w:bCs/>
          <w:color w:val="000000"/>
          <w:sz w:val="24"/>
          <w:szCs w:val="24"/>
        </w:rPr>
        <w:t>nce costs</w:t>
      </w:r>
      <w:r w:rsidR="000257FD" w:rsidRPr="00F46D82">
        <w:rPr>
          <w:rFonts w:asciiTheme="minorHAnsi" w:hAnsiTheme="minorHAnsi" w:cstheme="minorHAnsi"/>
          <w:bCs/>
          <w:color w:val="000000"/>
          <w:sz w:val="24"/>
          <w:szCs w:val="24"/>
        </w:rPr>
        <w:t xml:space="preserve"> for respondents or record</w:t>
      </w:r>
      <w:r w:rsidR="00BE63AC" w:rsidRPr="00F46D82">
        <w:rPr>
          <w:rFonts w:asciiTheme="minorHAnsi" w:hAnsiTheme="minorHAnsi" w:cstheme="minorHAnsi"/>
          <w:bCs/>
          <w:color w:val="000000"/>
          <w:sz w:val="24"/>
          <w:szCs w:val="24"/>
        </w:rPr>
        <w:t xml:space="preserve"> </w:t>
      </w:r>
      <w:r w:rsidR="000257FD" w:rsidRPr="00F46D82">
        <w:rPr>
          <w:rFonts w:asciiTheme="minorHAnsi" w:hAnsiTheme="minorHAnsi" w:cstheme="minorHAnsi"/>
          <w:bCs/>
          <w:color w:val="000000"/>
          <w:sz w:val="24"/>
          <w:szCs w:val="24"/>
        </w:rPr>
        <w:t>keepers.</w:t>
      </w:r>
    </w:p>
    <w:p w:rsidR="00692DAC" w:rsidRPr="00F46D82" w:rsidRDefault="00F27FF9" w:rsidP="00CF4E51">
      <w:pPr>
        <w:pStyle w:val="Heading2"/>
        <w:spacing w:before="360"/>
        <w:rPr>
          <w:rFonts w:asciiTheme="minorHAnsi" w:hAnsiTheme="minorHAnsi" w:cstheme="minorHAnsi"/>
        </w:rPr>
      </w:pPr>
      <w:bookmarkStart w:id="43" w:name="_Toc296699100"/>
      <w:bookmarkStart w:id="44" w:name="_Toc349489257"/>
      <w:r w:rsidRPr="00F46D82">
        <w:rPr>
          <w:rFonts w:asciiTheme="minorHAnsi" w:hAnsiTheme="minorHAnsi" w:cstheme="minorHAnsi"/>
        </w:rPr>
        <w:t>A.</w:t>
      </w:r>
      <w:r w:rsidR="00692DAC" w:rsidRPr="00F46D82">
        <w:rPr>
          <w:rFonts w:asciiTheme="minorHAnsi" w:hAnsiTheme="minorHAnsi" w:cstheme="minorHAnsi"/>
        </w:rPr>
        <w:t>14. Annualized Cost to the Government</w:t>
      </w:r>
      <w:bookmarkEnd w:id="43"/>
      <w:bookmarkEnd w:id="44"/>
      <w:r w:rsidR="00692DAC" w:rsidRPr="00F46D82">
        <w:rPr>
          <w:rFonts w:asciiTheme="minorHAnsi" w:hAnsiTheme="minorHAnsi" w:cstheme="minorHAnsi"/>
        </w:rPr>
        <w:t xml:space="preserve"> </w:t>
      </w:r>
    </w:p>
    <w:p w:rsidR="00A9091F" w:rsidRPr="00F46D82" w:rsidRDefault="00A9091F" w:rsidP="00471F8D">
      <w:pPr>
        <w:spacing w:after="0" w:line="240" w:lineRule="auto"/>
        <w:rPr>
          <w:rFonts w:asciiTheme="minorHAnsi" w:hAnsiTheme="minorHAnsi" w:cstheme="minorHAnsi"/>
          <w:i/>
          <w:sz w:val="24"/>
          <w:szCs w:val="24"/>
        </w:rPr>
      </w:pPr>
    </w:p>
    <w:p w:rsidR="00E4778C" w:rsidRPr="00F46D82" w:rsidRDefault="00732F46" w:rsidP="00471F8D">
      <w:pPr>
        <w:spacing w:line="240" w:lineRule="auto"/>
        <w:rPr>
          <w:rFonts w:asciiTheme="minorHAnsi" w:hAnsiTheme="minorHAnsi" w:cstheme="minorHAnsi"/>
          <w:sz w:val="24"/>
          <w:szCs w:val="24"/>
        </w:rPr>
      </w:pPr>
      <w:r w:rsidRPr="00F46D82">
        <w:rPr>
          <w:rFonts w:asciiTheme="minorHAnsi" w:hAnsiTheme="minorHAnsi" w:cstheme="minorHAnsi"/>
          <w:color w:val="000000"/>
          <w:sz w:val="24"/>
          <w:szCs w:val="24"/>
        </w:rPr>
        <w:t>The NCI/NIEHS</w:t>
      </w:r>
      <w:r w:rsidR="00E4778C" w:rsidRPr="00F46D82">
        <w:rPr>
          <w:rFonts w:asciiTheme="minorHAnsi" w:hAnsiTheme="minorHAnsi" w:cstheme="minorHAnsi"/>
          <w:color w:val="000000"/>
          <w:sz w:val="24"/>
          <w:szCs w:val="24"/>
        </w:rPr>
        <w:t xml:space="preserve"> has transferred first year funding for executing this study to ATSDR under a three year proposed </w:t>
      </w:r>
      <w:r w:rsidR="00E4778C" w:rsidRPr="00F46D82">
        <w:rPr>
          <w:rFonts w:asciiTheme="minorHAnsi" w:hAnsiTheme="minorHAnsi" w:cstheme="minorHAnsi"/>
          <w:sz w:val="24"/>
          <w:szCs w:val="24"/>
        </w:rPr>
        <w:t>interagency agreement (CDC IAA#: 11AT1-001-00</w:t>
      </w:r>
      <w:r w:rsidR="00056518">
        <w:rPr>
          <w:rFonts w:asciiTheme="minorHAnsi" w:hAnsiTheme="minorHAnsi" w:cstheme="minorHAnsi"/>
          <w:sz w:val="24"/>
          <w:szCs w:val="24"/>
        </w:rPr>
        <w:t>, 12AT12-ANNISTON</w:t>
      </w:r>
      <w:r w:rsidR="00E4778C" w:rsidRPr="00F46D82">
        <w:rPr>
          <w:rFonts w:asciiTheme="minorHAnsi" w:hAnsiTheme="minorHAnsi" w:cstheme="minorHAnsi"/>
          <w:sz w:val="24"/>
          <w:szCs w:val="24"/>
        </w:rPr>
        <w:t xml:space="preserve">) for the Anniston </w:t>
      </w:r>
      <w:r w:rsidR="00332C88">
        <w:rPr>
          <w:rFonts w:asciiTheme="minorHAnsi" w:hAnsiTheme="minorHAnsi" w:cstheme="minorHAnsi"/>
          <w:sz w:val="24"/>
          <w:szCs w:val="24"/>
        </w:rPr>
        <w:t>Community Health Survey: Follow-</w:t>
      </w:r>
      <w:r w:rsidR="00E4778C" w:rsidRPr="00F46D82">
        <w:rPr>
          <w:rFonts w:asciiTheme="minorHAnsi" w:hAnsiTheme="minorHAnsi" w:cstheme="minorHAnsi"/>
          <w:sz w:val="24"/>
          <w:szCs w:val="24"/>
        </w:rPr>
        <w:t xml:space="preserve">up and Dioxin Analyses. </w:t>
      </w:r>
    </w:p>
    <w:p w:rsidR="00E4778C" w:rsidRPr="00F46D82" w:rsidRDefault="00E4778C" w:rsidP="00471F8D">
      <w:pPr>
        <w:spacing w:line="240" w:lineRule="auto"/>
        <w:rPr>
          <w:rFonts w:asciiTheme="minorHAnsi" w:hAnsiTheme="minorHAnsi" w:cstheme="minorHAnsi"/>
          <w:sz w:val="24"/>
          <w:szCs w:val="24"/>
        </w:rPr>
      </w:pPr>
      <w:r w:rsidRPr="00F46D82">
        <w:rPr>
          <w:rFonts w:asciiTheme="minorHAnsi" w:hAnsiTheme="minorHAnsi" w:cstheme="minorHAnsi"/>
          <w:sz w:val="24"/>
          <w:szCs w:val="24"/>
        </w:rPr>
        <w:t xml:space="preserve">The total estimated cost to the government is </w:t>
      </w:r>
      <w:r w:rsidR="001D2B18">
        <w:rPr>
          <w:rFonts w:asciiTheme="minorHAnsi" w:hAnsiTheme="minorHAnsi" w:cstheme="minorHAnsi"/>
          <w:sz w:val="24"/>
          <w:szCs w:val="24"/>
        </w:rPr>
        <w:t>$</w:t>
      </w:r>
      <w:r w:rsidRPr="00F46D82">
        <w:rPr>
          <w:rFonts w:asciiTheme="minorHAnsi" w:hAnsiTheme="minorHAnsi" w:cstheme="minorHAnsi"/>
          <w:sz w:val="24"/>
          <w:szCs w:val="24"/>
        </w:rPr>
        <w:t>2.3 million, based on the current actual costs for the first year spent in protocol and ICR development, and the estimated costs for this program’s request to collect information over the next 2 years.</w:t>
      </w:r>
    </w:p>
    <w:p w:rsidR="00E4778C" w:rsidRPr="00F46D82" w:rsidRDefault="00E4778C" w:rsidP="00471F8D">
      <w:pPr>
        <w:spacing w:line="240" w:lineRule="auto"/>
        <w:rPr>
          <w:rFonts w:asciiTheme="minorHAnsi" w:hAnsiTheme="minorHAnsi" w:cstheme="minorHAnsi"/>
          <w:sz w:val="24"/>
          <w:szCs w:val="24"/>
        </w:rPr>
      </w:pPr>
      <w:r w:rsidRPr="00F46D82">
        <w:rPr>
          <w:rFonts w:asciiTheme="minorHAnsi" w:hAnsiTheme="minorHAnsi" w:cstheme="minorHAnsi"/>
          <w:sz w:val="24"/>
          <w:szCs w:val="24"/>
        </w:rPr>
        <w:t>The estimated average annualized co</w:t>
      </w:r>
      <w:r w:rsidR="007518D5" w:rsidRPr="00F46D82">
        <w:rPr>
          <w:rFonts w:asciiTheme="minorHAnsi" w:hAnsiTheme="minorHAnsi" w:cstheme="minorHAnsi"/>
          <w:sz w:val="24"/>
          <w:szCs w:val="24"/>
        </w:rPr>
        <w:t>st of the program is $782,000</w:t>
      </w:r>
      <w:r w:rsidRPr="00F46D82">
        <w:rPr>
          <w:rFonts w:asciiTheme="minorHAnsi" w:hAnsiTheme="minorHAnsi" w:cstheme="minorHAnsi"/>
          <w:sz w:val="24"/>
          <w:szCs w:val="24"/>
        </w:rPr>
        <w:t>.</w:t>
      </w:r>
    </w:p>
    <w:p w:rsidR="00E4778C" w:rsidRPr="00F46D82" w:rsidRDefault="00E4778C" w:rsidP="00187B43">
      <w:pPr>
        <w:numPr>
          <w:ilvl w:val="0"/>
          <w:numId w:val="37"/>
        </w:numPr>
        <w:spacing w:line="240" w:lineRule="auto"/>
        <w:rPr>
          <w:rFonts w:asciiTheme="minorHAnsi" w:eastAsia="Times New Roman" w:hAnsiTheme="minorHAnsi" w:cstheme="minorHAnsi"/>
          <w:sz w:val="24"/>
          <w:szCs w:val="24"/>
        </w:rPr>
      </w:pPr>
      <w:proofErr w:type="gramStart"/>
      <w:r w:rsidRPr="00F46D82">
        <w:rPr>
          <w:rFonts w:asciiTheme="minorHAnsi" w:eastAsia="Times New Roman" w:hAnsiTheme="minorHAnsi" w:cstheme="minorHAnsi"/>
          <w:sz w:val="24"/>
          <w:szCs w:val="24"/>
        </w:rPr>
        <w:t>Personnel: $195,000 per year.</w:t>
      </w:r>
      <w:proofErr w:type="gramEnd"/>
      <w:r w:rsidRPr="00F46D82">
        <w:rPr>
          <w:rFonts w:asciiTheme="minorHAnsi" w:eastAsia="Times New Roman" w:hAnsiTheme="minorHAnsi" w:cstheme="minorHAnsi"/>
          <w:sz w:val="24"/>
          <w:szCs w:val="24"/>
        </w:rPr>
        <w:t xml:space="preserve"> This </w:t>
      </w:r>
      <w:proofErr w:type="gramStart"/>
      <w:r w:rsidRPr="00F46D82">
        <w:rPr>
          <w:rFonts w:asciiTheme="minorHAnsi" w:eastAsia="Times New Roman" w:hAnsiTheme="minorHAnsi" w:cstheme="minorHAnsi"/>
          <w:sz w:val="24"/>
          <w:szCs w:val="24"/>
        </w:rPr>
        <w:t>is based</w:t>
      </w:r>
      <w:proofErr w:type="gramEnd"/>
      <w:r w:rsidRPr="00F46D82">
        <w:rPr>
          <w:rFonts w:asciiTheme="minorHAnsi" w:eastAsia="Times New Roman" w:hAnsiTheme="minorHAnsi" w:cstheme="minorHAnsi"/>
          <w:sz w:val="24"/>
          <w:szCs w:val="24"/>
        </w:rPr>
        <w:t xml:space="preserve"> on percentages of time spent on the project by ATSDR and NCI/NIEHS investigators.</w:t>
      </w:r>
    </w:p>
    <w:p w:rsidR="00E4778C" w:rsidRPr="00F46D82" w:rsidRDefault="00E4778C" w:rsidP="00187B43">
      <w:pPr>
        <w:numPr>
          <w:ilvl w:val="0"/>
          <w:numId w:val="37"/>
        </w:numPr>
        <w:spacing w:line="240" w:lineRule="auto"/>
        <w:rPr>
          <w:rFonts w:asciiTheme="minorHAnsi" w:eastAsia="Times New Roman" w:hAnsiTheme="minorHAnsi" w:cstheme="minorHAnsi"/>
          <w:sz w:val="24"/>
          <w:szCs w:val="24"/>
        </w:rPr>
      </w:pPr>
      <w:proofErr w:type="gramStart"/>
      <w:r w:rsidRPr="00F46D82">
        <w:rPr>
          <w:rFonts w:asciiTheme="minorHAnsi" w:eastAsia="Times New Roman" w:hAnsiTheme="minorHAnsi" w:cstheme="minorHAnsi"/>
          <w:sz w:val="24"/>
          <w:szCs w:val="24"/>
        </w:rPr>
        <w:t>Travel: $10,000 per year.</w:t>
      </w:r>
      <w:proofErr w:type="gramEnd"/>
      <w:r w:rsidRPr="00F46D82">
        <w:rPr>
          <w:rFonts w:asciiTheme="minorHAnsi" w:eastAsia="Times New Roman" w:hAnsiTheme="minorHAnsi" w:cstheme="minorHAnsi"/>
          <w:sz w:val="24"/>
          <w:szCs w:val="24"/>
        </w:rPr>
        <w:t xml:space="preserve"> This amount </w:t>
      </w:r>
      <w:proofErr w:type="gramStart"/>
      <w:r w:rsidRPr="00F46D82">
        <w:rPr>
          <w:rFonts w:asciiTheme="minorHAnsi" w:eastAsia="Times New Roman" w:hAnsiTheme="minorHAnsi" w:cstheme="minorHAnsi"/>
          <w:sz w:val="24"/>
          <w:szCs w:val="24"/>
        </w:rPr>
        <w:t>is based</w:t>
      </w:r>
      <w:proofErr w:type="gramEnd"/>
      <w:r w:rsidRPr="00F46D82">
        <w:rPr>
          <w:rFonts w:asciiTheme="minorHAnsi" w:eastAsia="Times New Roman" w:hAnsiTheme="minorHAnsi" w:cstheme="minorHAnsi"/>
          <w:sz w:val="24"/>
          <w:szCs w:val="24"/>
        </w:rPr>
        <w:t xml:space="preserve"> on the number of site visits conducted before and during data and sample collection following the General Services Administration Schedule for travel and per diem.</w:t>
      </w:r>
    </w:p>
    <w:p w:rsidR="00E4778C" w:rsidRPr="00F46D82" w:rsidRDefault="00E4778C" w:rsidP="00187B43">
      <w:pPr>
        <w:numPr>
          <w:ilvl w:val="0"/>
          <w:numId w:val="37"/>
        </w:numPr>
        <w:spacing w:line="240" w:lineRule="auto"/>
        <w:rPr>
          <w:rFonts w:asciiTheme="minorHAnsi" w:eastAsia="Times New Roman" w:hAnsiTheme="minorHAnsi" w:cstheme="minorHAnsi"/>
          <w:sz w:val="24"/>
          <w:szCs w:val="24"/>
        </w:rPr>
      </w:pPr>
      <w:proofErr w:type="gramStart"/>
      <w:r w:rsidRPr="00F46D82">
        <w:rPr>
          <w:rFonts w:asciiTheme="minorHAnsi" w:eastAsia="Times New Roman" w:hAnsiTheme="minorHAnsi" w:cstheme="minorHAnsi"/>
          <w:sz w:val="24"/>
          <w:szCs w:val="24"/>
        </w:rPr>
        <w:lastRenderedPageBreak/>
        <w:t>Contracts: $297,000 per year.</w:t>
      </w:r>
      <w:proofErr w:type="gramEnd"/>
      <w:r w:rsidRPr="00F46D82">
        <w:rPr>
          <w:rFonts w:asciiTheme="minorHAnsi" w:eastAsia="Times New Roman" w:hAnsiTheme="minorHAnsi" w:cstheme="minorHAnsi"/>
          <w:sz w:val="24"/>
          <w:szCs w:val="24"/>
        </w:rPr>
        <w:t xml:space="preserve"> This amount </w:t>
      </w:r>
      <w:proofErr w:type="gramStart"/>
      <w:r w:rsidRPr="00F46D82">
        <w:rPr>
          <w:rFonts w:asciiTheme="minorHAnsi" w:eastAsia="Times New Roman" w:hAnsiTheme="minorHAnsi" w:cstheme="minorHAnsi"/>
          <w:sz w:val="24"/>
          <w:szCs w:val="24"/>
        </w:rPr>
        <w:t>is based</w:t>
      </w:r>
      <w:proofErr w:type="gramEnd"/>
      <w:r w:rsidRPr="00F46D82">
        <w:rPr>
          <w:rFonts w:asciiTheme="minorHAnsi" w:eastAsia="Times New Roman" w:hAnsiTheme="minorHAnsi" w:cstheme="minorHAnsi"/>
          <w:sz w:val="24"/>
          <w:szCs w:val="24"/>
        </w:rPr>
        <w:t xml:space="preserve"> on the approved and planned contracts for data and sample collection and the clinical tests analyses by the outside academic laboratories.</w:t>
      </w:r>
    </w:p>
    <w:p w:rsidR="00E4778C" w:rsidRPr="00F46D82" w:rsidRDefault="00E4778C" w:rsidP="00187B43">
      <w:pPr>
        <w:numPr>
          <w:ilvl w:val="0"/>
          <w:numId w:val="37"/>
        </w:numPr>
        <w:spacing w:line="240" w:lineRule="auto"/>
        <w:rPr>
          <w:rFonts w:asciiTheme="minorHAnsi" w:eastAsia="Times New Roman" w:hAnsiTheme="minorHAnsi" w:cstheme="minorHAnsi"/>
          <w:sz w:val="24"/>
          <w:szCs w:val="24"/>
        </w:rPr>
      </w:pPr>
      <w:r w:rsidRPr="00F46D82">
        <w:rPr>
          <w:rFonts w:asciiTheme="minorHAnsi" w:eastAsia="Times New Roman" w:hAnsiTheme="minorHAnsi" w:cstheme="minorHAnsi"/>
          <w:sz w:val="24"/>
          <w:szCs w:val="24"/>
        </w:rPr>
        <w:t xml:space="preserve">Direct Transfers to NCEH/DLS: $280,000. This includes chemical analyses of PCBs, dioxins, </w:t>
      </w:r>
      <w:proofErr w:type="spellStart"/>
      <w:r w:rsidRPr="00F46D82">
        <w:rPr>
          <w:rFonts w:asciiTheme="minorHAnsi" w:eastAsia="Times New Roman" w:hAnsiTheme="minorHAnsi" w:cstheme="minorHAnsi"/>
          <w:sz w:val="24"/>
          <w:szCs w:val="24"/>
        </w:rPr>
        <w:t>dibenzofurans</w:t>
      </w:r>
      <w:proofErr w:type="spellEnd"/>
      <w:r w:rsidRPr="00F46D82">
        <w:rPr>
          <w:rFonts w:asciiTheme="minorHAnsi" w:eastAsia="Times New Roman" w:hAnsiTheme="minorHAnsi" w:cstheme="minorHAnsi"/>
          <w:sz w:val="24"/>
          <w:szCs w:val="24"/>
        </w:rPr>
        <w:t>, PBDEs, and heavy metals.</w:t>
      </w:r>
    </w:p>
    <w:p w:rsidR="00020EFF" w:rsidRPr="00F46D82" w:rsidRDefault="00F27FF9" w:rsidP="008A3785">
      <w:pPr>
        <w:pStyle w:val="Heading2"/>
        <w:spacing w:before="360"/>
        <w:rPr>
          <w:rFonts w:asciiTheme="minorHAnsi" w:hAnsiTheme="minorHAnsi" w:cstheme="minorHAnsi"/>
        </w:rPr>
      </w:pPr>
      <w:bookmarkStart w:id="45" w:name="_Toc296699101"/>
      <w:bookmarkStart w:id="46" w:name="_Toc349489258"/>
      <w:r w:rsidRPr="00F46D82">
        <w:rPr>
          <w:rFonts w:asciiTheme="minorHAnsi" w:hAnsiTheme="minorHAnsi" w:cstheme="minorHAnsi"/>
        </w:rPr>
        <w:t>A.</w:t>
      </w:r>
      <w:r w:rsidR="00020EFF" w:rsidRPr="00F46D82">
        <w:rPr>
          <w:rFonts w:asciiTheme="minorHAnsi" w:hAnsiTheme="minorHAnsi" w:cstheme="minorHAnsi"/>
        </w:rPr>
        <w:t>15. Explanation for Program Changes or Adjustments</w:t>
      </w:r>
      <w:bookmarkEnd w:id="45"/>
      <w:bookmarkEnd w:id="46"/>
      <w:r w:rsidR="00020EFF" w:rsidRPr="00F46D82">
        <w:rPr>
          <w:rFonts w:asciiTheme="minorHAnsi" w:hAnsiTheme="minorHAnsi" w:cstheme="minorHAnsi"/>
        </w:rPr>
        <w:t xml:space="preserve"> </w:t>
      </w:r>
    </w:p>
    <w:p w:rsidR="00EF1A1F" w:rsidRPr="00F46D82" w:rsidRDefault="00EF1A1F" w:rsidP="0064210D">
      <w:pPr>
        <w:autoSpaceDE w:val="0"/>
        <w:autoSpaceDN w:val="0"/>
        <w:adjustRightInd w:val="0"/>
        <w:spacing w:after="0" w:line="240" w:lineRule="auto"/>
        <w:rPr>
          <w:rFonts w:asciiTheme="minorHAnsi" w:hAnsiTheme="minorHAnsi" w:cstheme="minorHAnsi"/>
        </w:rPr>
      </w:pPr>
    </w:p>
    <w:p w:rsidR="00FA031A" w:rsidRPr="00F46D82" w:rsidRDefault="006C281A" w:rsidP="0064210D">
      <w:pPr>
        <w:autoSpaceDE w:val="0"/>
        <w:autoSpaceDN w:val="0"/>
        <w:adjustRightInd w:val="0"/>
        <w:spacing w:after="0" w:line="240" w:lineRule="auto"/>
        <w:rPr>
          <w:rFonts w:asciiTheme="minorHAnsi" w:hAnsiTheme="minorHAnsi" w:cstheme="minorHAnsi"/>
          <w:color w:val="000000"/>
          <w:sz w:val="24"/>
          <w:szCs w:val="24"/>
        </w:rPr>
      </w:pPr>
      <w:r w:rsidRPr="00F46D82">
        <w:rPr>
          <w:rFonts w:asciiTheme="minorHAnsi" w:hAnsiTheme="minorHAnsi" w:cstheme="minorHAnsi"/>
          <w:color w:val="000000"/>
          <w:sz w:val="24"/>
          <w:szCs w:val="24"/>
        </w:rPr>
        <w:t>This is a new information</w:t>
      </w:r>
      <w:r w:rsidR="00020EFF" w:rsidRPr="00F46D82">
        <w:rPr>
          <w:rFonts w:asciiTheme="minorHAnsi" w:hAnsiTheme="minorHAnsi" w:cstheme="minorHAnsi"/>
          <w:color w:val="000000"/>
          <w:sz w:val="24"/>
          <w:szCs w:val="24"/>
        </w:rPr>
        <w:t xml:space="preserve"> collecti</w:t>
      </w:r>
      <w:r w:rsidR="00FA031A" w:rsidRPr="00F46D82">
        <w:rPr>
          <w:rFonts w:asciiTheme="minorHAnsi" w:hAnsiTheme="minorHAnsi" w:cstheme="minorHAnsi"/>
          <w:color w:val="000000"/>
          <w:sz w:val="24"/>
          <w:szCs w:val="24"/>
        </w:rPr>
        <w:t>on.</w:t>
      </w:r>
    </w:p>
    <w:p w:rsidR="00020EFF" w:rsidRPr="00F46D82" w:rsidRDefault="00F27FF9" w:rsidP="00CF4E51">
      <w:pPr>
        <w:pStyle w:val="Heading2"/>
        <w:spacing w:before="360"/>
        <w:rPr>
          <w:rStyle w:val="Hyperlink"/>
          <w:rFonts w:asciiTheme="minorHAnsi" w:hAnsiTheme="minorHAnsi" w:cstheme="minorHAnsi"/>
          <w:color w:val="4F81BD"/>
          <w:u w:val="none"/>
        </w:rPr>
      </w:pPr>
      <w:bookmarkStart w:id="47" w:name="_Toc296699102"/>
      <w:bookmarkStart w:id="48" w:name="_Toc349489259"/>
      <w:r w:rsidRPr="00F46D82">
        <w:rPr>
          <w:rStyle w:val="Hyperlink"/>
          <w:rFonts w:asciiTheme="minorHAnsi" w:hAnsiTheme="minorHAnsi" w:cstheme="minorHAnsi"/>
          <w:color w:val="4F81BD"/>
          <w:u w:val="none"/>
        </w:rPr>
        <w:t>A.</w:t>
      </w:r>
      <w:r w:rsidR="00020EFF" w:rsidRPr="00F46D82">
        <w:rPr>
          <w:rStyle w:val="Hyperlink"/>
          <w:rFonts w:asciiTheme="minorHAnsi" w:hAnsiTheme="minorHAnsi" w:cstheme="minorHAnsi"/>
          <w:color w:val="4F81BD"/>
          <w:u w:val="none"/>
        </w:rPr>
        <w:t>16. Plans for Tabulation and Publication and Project Time Schedule</w:t>
      </w:r>
      <w:bookmarkEnd w:id="47"/>
      <w:bookmarkEnd w:id="48"/>
      <w:r w:rsidR="00020EFF" w:rsidRPr="00F46D82">
        <w:rPr>
          <w:rStyle w:val="Hyperlink"/>
          <w:rFonts w:asciiTheme="minorHAnsi" w:hAnsiTheme="minorHAnsi" w:cstheme="minorHAnsi"/>
          <w:color w:val="4F81BD"/>
          <w:u w:val="none"/>
        </w:rPr>
        <w:t xml:space="preserve"> </w:t>
      </w:r>
    </w:p>
    <w:p w:rsidR="00FA031A" w:rsidRPr="00F46D82" w:rsidRDefault="00FA031A" w:rsidP="0064210D">
      <w:pPr>
        <w:autoSpaceDE w:val="0"/>
        <w:autoSpaceDN w:val="0"/>
        <w:adjustRightInd w:val="0"/>
        <w:spacing w:after="0" w:line="240" w:lineRule="auto"/>
        <w:rPr>
          <w:rFonts w:asciiTheme="minorHAnsi" w:hAnsiTheme="minorHAnsi" w:cstheme="minorHAnsi"/>
          <w:color w:val="000000"/>
          <w:sz w:val="24"/>
          <w:szCs w:val="24"/>
        </w:rPr>
      </w:pPr>
    </w:p>
    <w:p w:rsidR="001F7894" w:rsidRDefault="00AF02C5" w:rsidP="00BE63AC">
      <w:pPr>
        <w:autoSpaceDE w:val="0"/>
        <w:autoSpaceDN w:val="0"/>
        <w:adjustRightInd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On the day of the interview, the respondent will receive his or her Body and Blood Pressure Measures Report (Attachment 6.1). </w:t>
      </w:r>
      <w:r w:rsidR="00706B79" w:rsidRPr="00F46D82">
        <w:rPr>
          <w:rFonts w:asciiTheme="minorHAnsi" w:hAnsiTheme="minorHAnsi" w:cstheme="minorHAnsi"/>
          <w:color w:val="000000"/>
          <w:sz w:val="24"/>
          <w:szCs w:val="24"/>
        </w:rPr>
        <w:t>In the event that clinically significant laboratory results</w:t>
      </w:r>
      <w:r w:rsidR="00DA4D9A" w:rsidRPr="00F46D82">
        <w:rPr>
          <w:rFonts w:asciiTheme="minorHAnsi" w:hAnsiTheme="minorHAnsi" w:cstheme="minorHAnsi"/>
          <w:color w:val="000000"/>
          <w:sz w:val="24"/>
          <w:szCs w:val="24"/>
        </w:rPr>
        <w:t xml:space="preserve"> </w:t>
      </w:r>
      <w:proofErr w:type="gramStart"/>
      <w:r w:rsidR="00DA4D9A" w:rsidRPr="00F46D82">
        <w:rPr>
          <w:rFonts w:asciiTheme="minorHAnsi" w:hAnsiTheme="minorHAnsi" w:cstheme="minorHAnsi"/>
          <w:color w:val="000000"/>
          <w:sz w:val="24"/>
          <w:szCs w:val="24"/>
        </w:rPr>
        <w:t>are detected</w:t>
      </w:r>
      <w:proofErr w:type="gramEnd"/>
      <w:r w:rsidR="00DA4D9A" w:rsidRPr="00F46D82">
        <w:rPr>
          <w:rFonts w:asciiTheme="minorHAnsi" w:hAnsiTheme="minorHAnsi" w:cstheme="minorHAnsi"/>
          <w:color w:val="000000"/>
          <w:sz w:val="24"/>
          <w:szCs w:val="24"/>
        </w:rPr>
        <w:t>, such as for toxic</w:t>
      </w:r>
      <w:r w:rsidR="00706B79" w:rsidRPr="00F46D82">
        <w:rPr>
          <w:rFonts w:asciiTheme="minorHAnsi" w:hAnsiTheme="minorHAnsi" w:cstheme="minorHAnsi"/>
          <w:color w:val="000000"/>
          <w:sz w:val="24"/>
          <w:szCs w:val="24"/>
        </w:rPr>
        <w:t xml:space="preserve"> metals like mercury and lead, the principal investigators will notif</w:t>
      </w:r>
      <w:r>
        <w:rPr>
          <w:rFonts w:asciiTheme="minorHAnsi" w:hAnsiTheme="minorHAnsi" w:cstheme="minorHAnsi"/>
          <w:color w:val="000000"/>
          <w:sz w:val="24"/>
          <w:szCs w:val="24"/>
        </w:rPr>
        <w:t>y</w:t>
      </w:r>
      <w:r w:rsidR="00706B79" w:rsidRPr="00F46D82">
        <w:rPr>
          <w:rFonts w:asciiTheme="minorHAnsi" w:hAnsiTheme="minorHAnsi" w:cstheme="minorHAnsi"/>
          <w:color w:val="000000"/>
          <w:sz w:val="24"/>
          <w:szCs w:val="24"/>
        </w:rPr>
        <w:t xml:space="preserve"> the respondent</w:t>
      </w:r>
      <w:r w:rsidR="00091E7A">
        <w:rPr>
          <w:rFonts w:asciiTheme="minorHAnsi" w:hAnsiTheme="minorHAnsi" w:cstheme="minorHAnsi"/>
          <w:color w:val="000000"/>
          <w:sz w:val="24"/>
          <w:szCs w:val="24"/>
        </w:rPr>
        <w:t xml:space="preserve"> expeditiously</w:t>
      </w:r>
      <w:r w:rsidR="00C34CB6" w:rsidRPr="00F46D82">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(Attachment 6.2 - Advance Reporting Script). </w:t>
      </w:r>
      <w:r w:rsidRPr="00F46D82">
        <w:rPr>
          <w:rFonts w:asciiTheme="minorHAnsi" w:hAnsiTheme="minorHAnsi" w:cstheme="minorHAnsi"/>
          <w:color w:val="000000"/>
          <w:sz w:val="24"/>
          <w:szCs w:val="24"/>
        </w:rPr>
        <w:t xml:space="preserve">Upon completion of data collection and laboratory analysis ATSDR will tabulate and report individual </w:t>
      </w:r>
      <w:proofErr w:type="gramStart"/>
      <w:r w:rsidR="00A54552">
        <w:rPr>
          <w:rFonts w:asciiTheme="minorHAnsi" w:hAnsiTheme="minorHAnsi" w:cstheme="minorHAnsi"/>
          <w:color w:val="000000"/>
          <w:sz w:val="24"/>
          <w:szCs w:val="24"/>
        </w:rPr>
        <w:t xml:space="preserve">final </w:t>
      </w:r>
      <w:r w:rsidRPr="00F46D82">
        <w:rPr>
          <w:rFonts w:asciiTheme="minorHAnsi" w:hAnsiTheme="minorHAnsi" w:cstheme="minorHAnsi"/>
          <w:color w:val="000000"/>
          <w:sz w:val="24"/>
          <w:szCs w:val="24"/>
        </w:rPr>
        <w:t>results</w:t>
      </w:r>
      <w:proofErr w:type="gramEnd"/>
      <w:r w:rsidRPr="00F46D82">
        <w:rPr>
          <w:rFonts w:asciiTheme="minorHAnsi" w:hAnsiTheme="minorHAnsi" w:cstheme="minorHAnsi"/>
          <w:color w:val="000000"/>
          <w:sz w:val="24"/>
          <w:szCs w:val="24"/>
        </w:rPr>
        <w:t xml:space="preserve"> of laboratory analys</w:t>
      </w:r>
      <w:r w:rsidR="00A54552">
        <w:rPr>
          <w:rFonts w:asciiTheme="minorHAnsi" w:hAnsiTheme="minorHAnsi" w:cstheme="minorHAnsi"/>
          <w:color w:val="000000"/>
          <w:sz w:val="24"/>
          <w:szCs w:val="24"/>
        </w:rPr>
        <w:t>e</w:t>
      </w:r>
      <w:r w:rsidRPr="00F46D82">
        <w:rPr>
          <w:rFonts w:asciiTheme="minorHAnsi" w:hAnsiTheme="minorHAnsi" w:cstheme="minorHAnsi"/>
          <w:color w:val="000000"/>
          <w:sz w:val="24"/>
          <w:szCs w:val="24"/>
        </w:rPr>
        <w:t>s back to the respondent.</w:t>
      </w:r>
      <w:r>
        <w:rPr>
          <w:rFonts w:asciiTheme="minorHAnsi" w:hAnsiTheme="minorHAnsi" w:cstheme="minorHAnsi"/>
          <w:color w:val="000000"/>
          <w:sz w:val="24"/>
          <w:szCs w:val="24"/>
        </w:rPr>
        <w:t xml:space="preserve"> These include the </w:t>
      </w:r>
      <w:r w:rsidR="001F7894">
        <w:rPr>
          <w:rFonts w:asciiTheme="minorHAnsi" w:hAnsiTheme="minorHAnsi" w:cstheme="minorHAnsi"/>
          <w:color w:val="000000"/>
          <w:sz w:val="24"/>
          <w:szCs w:val="24"/>
        </w:rPr>
        <w:t>Clinical Tests Results Report</w:t>
      </w:r>
      <w:r>
        <w:rPr>
          <w:rFonts w:asciiTheme="minorHAnsi" w:hAnsiTheme="minorHAnsi" w:cstheme="minorHAnsi"/>
          <w:color w:val="000000"/>
          <w:sz w:val="24"/>
          <w:szCs w:val="24"/>
        </w:rPr>
        <w:t xml:space="preserve"> (Attachment 6.3) and the </w:t>
      </w:r>
      <w:r w:rsidR="001F7894">
        <w:rPr>
          <w:rFonts w:asciiTheme="minorHAnsi" w:hAnsiTheme="minorHAnsi" w:cstheme="minorHAnsi"/>
          <w:color w:val="000000"/>
          <w:sz w:val="24"/>
          <w:szCs w:val="24"/>
        </w:rPr>
        <w:t>PCBs, Dioxins, and</w:t>
      </w:r>
      <w:r>
        <w:rPr>
          <w:rFonts w:asciiTheme="minorHAnsi" w:hAnsiTheme="minorHAnsi" w:cstheme="minorHAnsi"/>
          <w:color w:val="000000"/>
          <w:sz w:val="24"/>
          <w:szCs w:val="24"/>
        </w:rPr>
        <w:t xml:space="preserve"> Other Chemicals Results Report (Attachment 6.4).</w:t>
      </w:r>
    </w:p>
    <w:p w:rsidR="003569CB" w:rsidRDefault="003569CB" w:rsidP="00BE63AC">
      <w:pPr>
        <w:autoSpaceDE w:val="0"/>
        <w:autoSpaceDN w:val="0"/>
        <w:adjustRightInd w:val="0"/>
        <w:spacing w:after="0" w:line="240" w:lineRule="auto"/>
        <w:jc w:val="both"/>
        <w:rPr>
          <w:rFonts w:asciiTheme="minorHAnsi" w:hAnsiTheme="minorHAnsi" w:cstheme="minorHAnsi"/>
          <w:color w:val="000000"/>
          <w:sz w:val="24"/>
          <w:szCs w:val="24"/>
        </w:rPr>
      </w:pPr>
    </w:p>
    <w:p w:rsidR="00706B79" w:rsidRPr="00F46D82" w:rsidRDefault="00BF5C03" w:rsidP="00BE63AC">
      <w:pPr>
        <w:autoSpaceDE w:val="0"/>
        <w:autoSpaceDN w:val="0"/>
        <w:adjustRightInd w:val="0"/>
        <w:spacing w:after="0" w:line="240" w:lineRule="auto"/>
        <w:jc w:val="both"/>
        <w:rPr>
          <w:rFonts w:asciiTheme="minorHAnsi" w:hAnsiTheme="minorHAnsi" w:cstheme="minorHAnsi"/>
          <w:color w:val="000000"/>
          <w:sz w:val="24"/>
          <w:szCs w:val="24"/>
        </w:rPr>
      </w:pPr>
      <w:r w:rsidRPr="00F46D82">
        <w:rPr>
          <w:rFonts w:asciiTheme="minorHAnsi" w:hAnsiTheme="minorHAnsi" w:cstheme="minorHAnsi"/>
          <w:color w:val="000000"/>
          <w:sz w:val="24"/>
          <w:szCs w:val="24"/>
        </w:rPr>
        <w:t>S</w:t>
      </w:r>
      <w:r w:rsidR="00417BED" w:rsidRPr="00F46D82">
        <w:rPr>
          <w:rFonts w:asciiTheme="minorHAnsi" w:hAnsiTheme="minorHAnsi" w:cstheme="minorHAnsi"/>
          <w:color w:val="000000"/>
          <w:sz w:val="24"/>
          <w:szCs w:val="24"/>
        </w:rPr>
        <w:t>ummary reports f</w:t>
      </w:r>
      <w:r w:rsidR="00890212">
        <w:rPr>
          <w:rFonts w:asciiTheme="minorHAnsi" w:hAnsiTheme="minorHAnsi" w:cstheme="minorHAnsi"/>
          <w:color w:val="000000"/>
          <w:sz w:val="24"/>
          <w:szCs w:val="24"/>
        </w:rPr>
        <w:t>rom the study</w:t>
      </w:r>
      <w:r w:rsidR="00BE63AC" w:rsidRPr="00F46D82">
        <w:rPr>
          <w:rFonts w:asciiTheme="minorHAnsi" w:hAnsiTheme="minorHAnsi" w:cstheme="minorHAnsi"/>
          <w:color w:val="000000"/>
          <w:sz w:val="24"/>
          <w:szCs w:val="24"/>
        </w:rPr>
        <w:t xml:space="preserve"> </w:t>
      </w:r>
      <w:proofErr w:type="gramStart"/>
      <w:r w:rsidR="00BE63AC" w:rsidRPr="00F46D82">
        <w:rPr>
          <w:rFonts w:asciiTheme="minorHAnsi" w:hAnsiTheme="minorHAnsi" w:cstheme="minorHAnsi"/>
          <w:color w:val="000000"/>
          <w:sz w:val="24"/>
          <w:szCs w:val="24"/>
        </w:rPr>
        <w:t xml:space="preserve">will be prepared </w:t>
      </w:r>
      <w:r w:rsidR="00417BED" w:rsidRPr="00F46D82">
        <w:rPr>
          <w:rFonts w:asciiTheme="minorHAnsi" w:hAnsiTheme="minorHAnsi" w:cstheme="minorHAnsi"/>
          <w:color w:val="000000"/>
          <w:sz w:val="24"/>
          <w:szCs w:val="24"/>
        </w:rPr>
        <w:t>and released to the public</w:t>
      </w:r>
      <w:r w:rsidR="00BE63AC" w:rsidRPr="00F46D82">
        <w:rPr>
          <w:rFonts w:asciiTheme="minorHAnsi" w:hAnsiTheme="minorHAnsi" w:cstheme="minorHAnsi"/>
          <w:color w:val="000000"/>
          <w:sz w:val="24"/>
          <w:szCs w:val="24"/>
        </w:rPr>
        <w:t xml:space="preserve"> in the form of peer-reviewed scientific journal publication</w:t>
      </w:r>
      <w:r w:rsidR="004A760B">
        <w:rPr>
          <w:rFonts w:asciiTheme="minorHAnsi" w:hAnsiTheme="minorHAnsi" w:cstheme="minorHAnsi"/>
          <w:color w:val="000000"/>
          <w:sz w:val="24"/>
          <w:szCs w:val="24"/>
        </w:rPr>
        <w:t>s</w:t>
      </w:r>
      <w:proofErr w:type="gramEnd"/>
      <w:r w:rsidR="00417BED" w:rsidRPr="00F46D82">
        <w:rPr>
          <w:rFonts w:asciiTheme="minorHAnsi" w:hAnsiTheme="minorHAnsi" w:cstheme="minorHAnsi"/>
          <w:color w:val="000000"/>
          <w:sz w:val="24"/>
          <w:szCs w:val="24"/>
        </w:rPr>
        <w:t>.</w:t>
      </w:r>
    </w:p>
    <w:p w:rsidR="001C5B56" w:rsidRPr="00F46D82" w:rsidRDefault="001C5B56" w:rsidP="00BE63AC">
      <w:pPr>
        <w:autoSpaceDE w:val="0"/>
        <w:autoSpaceDN w:val="0"/>
        <w:adjustRightInd w:val="0"/>
        <w:spacing w:after="0" w:line="240" w:lineRule="auto"/>
        <w:jc w:val="both"/>
        <w:rPr>
          <w:rFonts w:asciiTheme="minorHAnsi" w:hAnsiTheme="minorHAnsi" w:cstheme="minorHAnsi"/>
          <w:bCs/>
          <w:sz w:val="24"/>
          <w:szCs w:val="24"/>
        </w:rPr>
      </w:pPr>
    </w:p>
    <w:p w:rsidR="00706B79" w:rsidRPr="00F46D82" w:rsidRDefault="00BE63AC" w:rsidP="00BE63AC">
      <w:pPr>
        <w:autoSpaceDE w:val="0"/>
        <w:autoSpaceDN w:val="0"/>
        <w:adjustRightInd w:val="0"/>
        <w:spacing w:after="0" w:line="240" w:lineRule="auto"/>
        <w:jc w:val="both"/>
        <w:rPr>
          <w:rFonts w:asciiTheme="minorHAnsi" w:hAnsiTheme="minorHAnsi" w:cstheme="minorHAnsi"/>
          <w:color w:val="000000"/>
          <w:sz w:val="24"/>
          <w:szCs w:val="24"/>
        </w:rPr>
      </w:pPr>
      <w:r w:rsidRPr="00F46D82">
        <w:rPr>
          <w:rFonts w:asciiTheme="minorHAnsi" w:hAnsiTheme="minorHAnsi" w:cstheme="minorHAnsi"/>
          <w:bCs/>
          <w:sz w:val="24"/>
          <w:szCs w:val="24"/>
        </w:rPr>
        <w:t>T</w:t>
      </w:r>
      <w:r w:rsidR="001C5B56" w:rsidRPr="00F46D82">
        <w:rPr>
          <w:rFonts w:asciiTheme="minorHAnsi" w:hAnsiTheme="minorHAnsi" w:cstheme="minorHAnsi"/>
          <w:bCs/>
          <w:sz w:val="24"/>
          <w:szCs w:val="24"/>
        </w:rPr>
        <w:t xml:space="preserve">he first year of the program period </w:t>
      </w:r>
      <w:proofErr w:type="gramStart"/>
      <w:r w:rsidR="001C5B56" w:rsidRPr="00F46D82">
        <w:rPr>
          <w:rFonts w:asciiTheme="minorHAnsi" w:hAnsiTheme="minorHAnsi" w:cstheme="minorHAnsi"/>
          <w:bCs/>
          <w:sz w:val="24"/>
          <w:szCs w:val="24"/>
        </w:rPr>
        <w:t>was dedicated</w:t>
      </w:r>
      <w:proofErr w:type="gramEnd"/>
      <w:r w:rsidR="001C5B56" w:rsidRPr="00F46D82">
        <w:rPr>
          <w:rFonts w:asciiTheme="minorHAnsi" w:hAnsiTheme="minorHAnsi" w:cstheme="minorHAnsi"/>
          <w:bCs/>
          <w:sz w:val="24"/>
          <w:szCs w:val="24"/>
        </w:rPr>
        <w:t xml:space="preserve"> to pl</w:t>
      </w:r>
      <w:r w:rsidRPr="00F46D82">
        <w:rPr>
          <w:rFonts w:asciiTheme="minorHAnsi" w:hAnsiTheme="minorHAnsi" w:cstheme="minorHAnsi"/>
          <w:bCs/>
          <w:sz w:val="24"/>
          <w:szCs w:val="24"/>
        </w:rPr>
        <w:t>anning and protocol development, development of</w:t>
      </w:r>
      <w:r w:rsidR="00A557D1" w:rsidRPr="00F46D82">
        <w:rPr>
          <w:rFonts w:asciiTheme="minorHAnsi" w:hAnsiTheme="minorHAnsi" w:cstheme="minorHAnsi"/>
          <w:color w:val="000000"/>
          <w:sz w:val="24"/>
          <w:szCs w:val="24"/>
        </w:rPr>
        <w:t xml:space="preserve"> </w:t>
      </w:r>
      <w:r w:rsidRPr="00F46D82">
        <w:rPr>
          <w:rFonts w:asciiTheme="minorHAnsi" w:hAnsiTheme="minorHAnsi" w:cstheme="minorHAnsi"/>
          <w:color w:val="000000"/>
          <w:sz w:val="24"/>
          <w:szCs w:val="24"/>
        </w:rPr>
        <w:t>documentation for CDC and UAB IRB review.</w:t>
      </w:r>
    </w:p>
    <w:p w:rsidR="00706B79" w:rsidRPr="00F46D82" w:rsidRDefault="00706B79" w:rsidP="0064210D">
      <w:pPr>
        <w:autoSpaceDE w:val="0"/>
        <w:autoSpaceDN w:val="0"/>
        <w:adjustRightInd w:val="0"/>
        <w:spacing w:after="0" w:line="240" w:lineRule="auto"/>
        <w:rPr>
          <w:rFonts w:asciiTheme="minorHAnsi" w:hAnsiTheme="minorHAnsi" w:cstheme="minorHAnsi"/>
          <w:i/>
          <w:color w:val="000000"/>
          <w:sz w:val="24"/>
          <w:szCs w:val="24"/>
        </w:rPr>
      </w:pPr>
    </w:p>
    <w:p w:rsidR="001C5B56" w:rsidRPr="00F46D82" w:rsidRDefault="00A557D1" w:rsidP="00BE63AC">
      <w:pPr>
        <w:autoSpaceDE w:val="0"/>
        <w:autoSpaceDN w:val="0"/>
        <w:adjustRightInd w:val="0"/>
        <w:spacing w:after="0" w:line="240" w:lineRule="auto"/>
        <w:jc w:val="both"/>
        <w:rPr>
          <w:rFonts w:asciiTheme="minorHAnsi" w:hAnsiTheme="minorHAnsi" w:cstheme="minorHAnsi"/>
          <w:sz w:val="24"/>
          <w:szCs w:val="24"/>
        </w:rPr>
      </w:pPr>
      <w:r w:rsidRPr="00F46D82">
        <w:rPr>
          <w:rFonts w:asciiTheme="minorHAnsi" w:hAnsiTheme="minorHAnsi" w:cstheme="minorHAnsi"/>
          <w:color w:val="000000"/>
          <w:sz w:val="24"/>
          <w:szCs w:val="24"/>
        </w:rPr>
        <w:t xml:space="preserve">IC procedures will begin upon the date of OMB approval. </w:t>
      </w:r>
      <w:r w:rsidR="00DE1E25" w:rsidRPr="00F46D82">
        <w:rPr>
          <w:rFonts w:asciiTheme="minorHAnsi" w:hAnsiTheme="minorHAnsi" w:cstheme="minorHAnsi"/>
          <w:bCs/>
          <w:sz w:val="24"/>
          <w:szCs w:val="24"/>
        </w:rPr>
        <w:t>Therefore, the</w:t>
      </w:r>
      <w:r w:rsidR="001C5B56" w:rsidRPr="00F46D82">
        <w:rPr>
          <w:rFonts w:asciiTheme="minorHAnsi" w:hAnsiTheme="minorHAnsi" w:cstheme="minorHAnsi"/>
          <w:bCs/>
          <w:sz w:val="24"/>
          <w:szCs w:val="24"/>
        </w:rPr>
        <w:t xml:space="preserve"> two years</w:t>
      </w:r>
      <w:r w:rsidR="00DE1E25" w:rsidRPr="00F46D82">
        <w:rPr>
          <w:rFonts w:asciiTheme="minorHAnsi" w:hAnsiTheme="minorHAnsi" w:cstheme="minorHAnsi"/>
          <w:bCs/>
          <w:sz w:val="24"/>
          <w:szCs w:val="24"/>
        </w:rPr>
        <w:t xml:space="preserve"> of information collection</w:t>
      </w:r>
      <w:r w:rsidR="001C5B56" w:rsidRPr="00F46D82">
        <w:rPr>
          <w:rFonts w:asciiTheme="minorHAnsi" w:hAnsiTheme="minorHAnsi" w:cstheme="minorHAnsi"/>
          <w:bCs/>
          <w:sz w:val="24"/>
          <w:szCs w:val="24"/>
        </w:rPr>
        <w:t xml:space="preserve"> will require a timely approval of this ICR </w:t>
      </w:r>
      <w:r w:rsidR="00BB66A9" w:rsidRPr="00F46D82">
        <w:rPr>
          <w:rFonts w:asciiTheme="minorHAnsi" w:hAnsiTheme="minorHAnsi" w:cstheme="minorHAnsi"/>
          <w:bCs/>
          <w:sz w:val="24"/>
          <w:szCs w:val="24"/>
        </w:rPr>
        <w:t xml:space="preserve">to </w:t>
      </w:r>
      <w:r w:rsidR="001C5B56" w:rsidRPr="00F46D82">
        <w:rPr>
          <w:rFonts w:asciiTheme="minorHAnsi" w:hAnsiTheme="minorHAnsi" w:cstheme="minorHAnsi"/>
          <w:bCs/>
          <w:sz w:val="24"/>
          <w:szCs w:val="24"/>
        </w:rPr>
        <w:t>complet</w:t>
      </w:r>
      <w:r w:rsidR="00BB66A9" w:rsidRPr="00F46D82">
        <w:rPr>
          <w:rFonts w:asciiTheme="minorHAnsi" w:hAnsiTheme="minorHAnsi" w:cstheme="minorHAnsi"/>
          <w:bCs/>
          <w:sz w:val="24"/>
          <w:szCs w:val="24"/>
        </w:rPr>
        <w:t>e</w:t>
      </w:r>
      <w:r w:rsidR="001C5B56" w:rsidRPr="00F46D82">
        <w:rPr>
          <w:rFonts w:asciiTheme="minorHAnsi" w:hAnsiTheme="minorHAnsi" w:cstheme="minorHAnsi"/>
          <w:bCs/>
          <w:sz w:val="24"/>
          <w:szCs w:val="24"/>
        </w:rPr>
        <w:t xml:space="preserve"> this </w:t>
      </w:r>
      <w:r w:rsidR="003A514C">
        <w:rPr>
          <w:rFonts w:asciiTheme="minorHAnsi" w:hAnsiTheme="minorHAnsi" w:cstheme="minorHAnsi"/>
          <w:bCs/>
          <w:sz w:val="24"/>
          <w:szCs w:val="24"/>
        </w:rPr>
        <w:t>f</w:t>
      </w:r>
      <w:r w:rsidR="001C5B56" w:rsidRPr="00F46D82">
        <w:rPr>
          <w:rFonts w:asciiTheme="minorHAnsi" w:hAnsiTheme="minorHAnsi" w:cstheme="minorHAnsi"/>
          <w:bCs/>
          <w:sz w:val="24"/>
          <w:szCs w:val="24"/>
        </w:rPr>
        <w:t>ederal acquisition.</w:t>
      </w:r>
    </w:p>
    <w:p w:rsidR="00243D82" w:rsidRPr="00F46D82" w:rsidRDefault="00243D82" w:rsidP="0064210D">
      <w:pPr>
        <w:autoSpaceDE w:val="0"/>
        <w:autoSpaceDN w:val="0"/>
        <w:adjustRightInd w:val="0"/>
        <w:spacing w:after="0" w:line="240" w:lineRule="auto"/>
        <w:rPr>
          <w:rFonts w:asciiTheme="minorHAnsi" w:hAnsiTheme="minorHAnsi" w:cstheme="minorHAnsi"/>
          <w:color w:val="000000"/>
          <w:sz w:val="24"/>
          <w:szCs w:val="24"/>
        </w:rPr>
      </w:pPr>
    </w:p>
    <w:p w:rsidR="00AA5AE2" w:rsidRPr="00F46D82" w:rsidRDefault="00637666" w:rsidP="0064210D">
      <w:pPr>
        <w:autoSpaceDE w:val="0"/>
        <w:autoSpaceDN w:val="0"/>
        <w:adjustRightInd w:val="0"/>
        <w:spacing w:after="0" w:line="240" w:lineRule="auto"/>
        <w:rPr>
          <w:rFonts w:asciiTheme="minorHAnsi" w:hAnsiTheme="minorHAnsi" w:cstheme="minorHAnsi"/>
          <w:color w:val="000000"/>
          <w:sz w:val="24"/>
          <w:szCs w:val="24"/>
        </w:rPr>
      </w:pPr>
      <w:r w:rsidRPr="00F46D82">
        <w:rPr>
          <w:rFonts w:asciiTheme="minorHAnsi" w:hAnsiTheme="minorHAnsi" w:cstheme="minorHAnsi"/>
          <w:color w:val="000000"/>
          <w:sz w:val="24"/>
          <w:szCs w:val="24"/>
        </w:rPr>
        <w:t>The schedu</w:t>
      </w:r>
      <w:r w:rsidR="0053550D" w:rsidRPr="00F46D82">
        <w:rPr>
          <w:rFonts w:asciiTheme="minorHAnsi" w:hAnsiTheme="minorHAnsi" w:cstheme="minorHAnsi"/>
          <w:color w:val="000000"/>
          <w:sz w:val="24"/>
          <w:szCs w:val="24"/>
        </w:rPr>
        <w:t>le for project completion</w:t>
      </w:r>
      <w:r w:rsidRPr="00F46D82">
        <w:rPr>
          <w:rFonts w:asciiTheme="minorHAnsi" w:hAnsiTheme="minorHAnsi" w:cstheme="minorHAnsi"/>
          <w:color w:val="000000"/>
          <w:sz w:val="24"/>
          <w:szCs w:val="24"/>
        </w:rPr>
        <w:t xml:space="preserve"> is as follows:</w:t>
      </w:r>
    </w:p>
    <w:p w:rsidR="00B45357" w:rsidRPr="00F46D82" w:rsidRDefault="00B45357" w:rsidP="0064210D">
      <w:pPr>
        <w:autoSpaceDE w:val="0"/>
        <w:autoSpaceDN w:val="0"/>
        <w:adjustRightInd w:val="0"/>
        <w:spacing w:after="0" w:line="240" w:lineRule="auto"/>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3618"/>
      </w:tblGrid>
      <w:tr w:rsidR="0097751C" w:rsidRPr="00F46D82" w:rsidTr="0097751C">
        <w:tc>
          <w:tcPr>
            <w:tcW w:w="5958" w:type="dxa"/>
          </w:tcPr>
          <w:p w:rsidR="0097751C" w:rsidRPr="00F46D82" w:rsidRDefault="0097751C">
            <w:pPr>
              <w:autoSpaceDE w:val="0"/>
              <w:autoSpaceDN w:val="0"/>
              <w:adjustRightInd w:val="0"/>
              <w:spacing w:before="120" w:after="120"/>
              <w:jc w:val="center"/>
              <w:rPr>
                <w:rFonts w:asciiTheme="minorHAnsi" w:hAnsiTheme="minorHAnsi" w:cstheme="minorHAnsi"/>
                <w:color w:val="000000"/>
                <w:sz w:val="20"/>
                <w:szCs w:val="20"/>
              </w:rPr>
            </w:pPr>
            <w:r w:rsidRPr="00F46D82">
              <w:rPr>
                <w:rFonts w:asciiTheme="minorHAnsi" w:hAnsiTheme="minorHAnsi" w:cstheme="minorHAnsi"/>
                <w:color w:val="000000"/>
                <w:sz w:val="20"/>
                <w:szCs w:val="20"/>
              </w:rPr>
              <w:t>Activity</w:t>
            </w:r>
          </w:p>
        </w:tc>
        <w:tc>
          <w:tcPr>
            <w:tcW w:w="3618" w:type="dxa"/>
          </w:tcPr>
          <w:p w:rsidR="0097751C" w:rsidRPr="00F46D82" w:rsidRDefault="0097751C">
            <w:pPr>
              <w:autoSpaceDE w:val="0"/>
              <w:autoSpaceDN w:val="0"/>
              <w:adjustRightInd w:val="0"/>
              <w:spacing w:before="120" w:after="120"/>
              <w:jc w:val="center"/>
              <w:rPr>
                <w:rFonts w:asciiTheme="minorHAnsi" w:hAnsiTheme="minorHAnsi" w:cstheme="minorHAnsi"/>
                <w:color w:val="000000"/>
                <w:sz w:val="20"/>
                <w:szCs w:val="20"/>
              </w:rPr>
            </w:pPr>
            <w:r w:rsidRPr="00F46D82">
              <w:rPr>
                <w:rFonts w:asciiTheme="minorHAnsi" w:hAnsiTheme="minorHAnsi" w:cstheme="minorHAnsi"/>
                <w:color w:val="000000"/>
                <w:sz w:val="20"/>
                <w:szCs w:val="20"/>
              </w:rPr>
              <w:t>Time Schedule*</w:t>
            </w:r>
          </w:p>
        </w:tc>
      </w:tr>
      <w:tr w:rsidR="0097751C" w:rsidRPr="00F46D82" w:rsidTr="00C47447">
        <w:tc>
          <w:tcPr>
            <w:tcW w:w="5958" w:type="dxa"/>
          </w:tcPr>
          <w:p w:rsidR="0097751C" w:rsidRPr="00F46D82" w:rsidRDefault="0097751C">
            <w:pPr>
              <w:autoSpaceDE w:val="0"/>
              <w:autoSpaceDN w:val="0"/>
              <w:adjustRightInd w:val="0"/>
              <w:spacing w:before="120" w:after="120"/>
              <w:rPr>
                <w:rFonts w:asciiTheme="minorHAnsi" w:hAnsiTheme="minorHAnsi" w:cstheme="minorHAnsi"/>
                <w:color w:val="000000"/>
                <w:sz w:val="20"/>
                <w:szCs w:val="20"/>
              </w:rPr>
            </w:pPr>
            <w:r w:rsidRPr="00F46D82">
              <w:rPr>
                <w:rFonts w:asciiTheme="minorHAnsi" w:hAnsiTheme="minorHAnsi" w:cstheme="minorHAnsi"/>
                <w:color w:val="000000"/>
                <w:sz w:val="20"/>
                <w:szCs w:val="20"/>
              </w:rPr>
              <w:t>Recruitment letters sent to respondents</w:t>
            </w:r>
          </w:p>
        </w:tc>
        <w:tc>
          <w:tcPr>
            <w:tcW w:w="3618" w:type="dxa"/>
            <w:vAlign w:val="center"/>
          </w:tcPr>
          <w:p w:rsidR="0097751C" w:rsidRPr="00F46D82" w:rsidRDefault="0097751C" w:rsidP="00C47447">
            <w:pPr>
              <w:autoSpaceDE w:val="0"/>
              <w:autoSpaceDN w:val="0"/>
              <w:adjustRightInd w:val="0"/>
              <w:spacing w:before="120" w:after="120"/>
              <w:rPr>
                <w:rFonts w:asciiTheme="minorHAnsi" w:hAnsiTheme="minorHAnsi" w:cstheme="minorHAnsi"/>
                <w:color w:val="000000"/>
                <w:sz w:val="20"/>
                <w:szCs w:val="20"/>
              </w:rPr>
            </w:pPr>
            <w:r w:rsidRPr="00F46D82">
              <w:rPr>
                <w:rFonts w:asciiTheme="minorHAnsi" w:hAnsiTheme="minorHAnsi" w:cstheme="minorHAnsi"/>
                <w:color w:val="000000"/>
                <w:sz w:val="20"/>
                <w:szCs w:val="20"/>
              </w:rPr>
              <w:t>1-4 month after OMB approval</w:t>
            </w:r>
          </w:p>
        </w:tc>
      </w:tr>
      <w:tr w:rsidR="0097751C" w:rsidRPr="00F46D82" w:rsidTr="00C47447">
        <w:tc>
          <w:tcPr>
            <w:tcW w:w="5958" w:type="dxa"/>
          </w:tcPr>
          <w:p w:rsidR="0097751C" w:rsidRPr="00F46D82" w:rsidRDefault="0097751C">
            <w:pPr>
              <w:autoSpaceDE w:val="0"/>
              <w:autoSpaceDN w:val="0"/>
              <w:adjustRightInd w:val="0"/>
              <w:spacing w:before="120" w:after="120"/>
              <w:rPr>
                <w:rFonts w:asciiTheme="minorHAnsi" w:hAnsiTheme="minorHAnsi" w:cstheme="minorHAnsi"/>
                <w:color w:val="000000"/>
                <w:sz w:val="20"/>
                <w:szCs w:val="20"/>
              </w:rPr>
            </w:pPr>
            <w:r w:rsidRPr="00F46D82">
              <w:rPr>
                <w:rFonts w:asciiTheme="minorHAnsi" w:hAnsiTheme="minorHAnsi" w:cstheme="minorHAnsi"/>
                <w:color w:val="000000"/>
                <w:sz w:val="20"/>
                <w:szCs w:val="20"/>
              </w:rPr>
              <w:t>Respondents enrolled, interviewed, clinical assessments taken, and blood specimens collected</w:t>
            </w:r>
          </w:p>
        </w:tc>
        <w:tc>
          <w:tcPr>
            <w:tcW w:w="3618" w:type="dxa"/>
            <w:vAlign w:val="center"/>
          </w:tcPr>
          <w:p w:rsidR="0097751C" w:rsidRPr="00F46D82" w:rsidRDefault="00A46105" w:rsidP="00C47447">
            <w:pPr>
              <w:autoSpaceDE w:val="0"/>
              <w:autoSpaceDN w:val="0"/>
              <w:adjustRightInd w:val="0"/>
              <w:spacing w:before="120" w:after="120"/>
              <w:rPr>
                <w:rFonts w:asciiTheme="minorHAnsi" w:hAnsiTheme="minorHAnsi" w:cstheme="minorHAnsi"/>
                <w:color w:val="000000"/>
                <w:sz w:val="20"/>
                <w:szCs w:val="20"/>
              </w:rPr>
            </w:pPr>
            <w:r>
              <w:rPr>
                <w:rFonts w:asciiTheme="minorHAnsi" w:hAnsiTheme="minorHAnsi" w:cstheme="minorHAnsi"/>
                <w:color w:val="000000"/>
                <w:sz w:val="20"/>
                <w:szCs w:val="20"/>
              </w:rPr>
              <w:t>2-18</w:t>
            </w:r>
            <w:r w:rsidR="0097751C" w:rsidRPr="00F46D82">
              <w:rPr>
                <w:rFonts w:asciiTheme="minorHAnsi" w:hAnsiTheme="minorHAnsi" w:cstheme="minorHAnsi"/>
                <w:color w:val="000000"/>
                <w:sz w:val="20"/>
                <w:szCs w:val="20"/>
              </w:rPr>
              <w:t xml:space="preserve"> months after OMB approval</w:t>
            </w:r>
          </w:p>
        </w:tc>
      </w:tr>
      <w:tr w:rsidR="0097751C" w:rsidRPr="00F46D82" w:rsidTr="00C47447">
        <w:tc>
          <w:tcPr>
            <w:tcW w:w="5958" w:type="dxa"/>
          </w:tcPr>
          <w:p w:rsidR="0097751C" w:rsidRPr="00F46D82" w:rsidRDefault="0097751C">
            <w:pPr>
              <w:autoSpaceDE w:val="0"/>
              <w:autoSpaceDN w:val="0"/>
              <w:adjustRightInd w:val="0"/>
              <w:spacing w:before="120" w:after="120"/>
              <w:rPr>
                <w:rFonts w:asciiTheme="minorHAnsi" w:hAnsiTheme="minorHAnsi" w:cstheme="minorHAnsi"/>
                <w:color w:val="000000"/>
                <w:sz w:val="20"/>
                <w:szCs w:val="20"/>
              </w:rPr>
            </w:pPr>
            <w:r w:rsidRPr="00F46D82">
              <w:rPr>
                <w:rFonts w:asciiTheme="minorHAnsi" w:hAnsiTheme="minorHAnsi" w:cstheme="minorHAnsi"/>
                <w:color w:val="000000"/>
                <w:sz w:val="20"/>
                <w:szCs w:val="20"/>
              </w:rPr>
              <w:t>Field work, laboratory analysis complete</w:t>
            </w:r>
          </w:p>
        </w:tc>
        <w:tc>
          <w:tcPr>
            <w:tcW w:w="3618" w:type="dxa"/>
            <w:vAlign w:val="center"/>
          </w:tcPr>
          <w:p w:rsidR="0097751C" w:rsidRPr="00F46D82" w:rsidRDefault="0097751C" w:rsidP="00C47447">
            <w:pPr>
              <w:autoSpaceDE w:val="0"/>
              <w:autoSpaceDN w:val="0"/>
              <w:adjustRightInd w:val="0"/>
              <w:spacing w:before="120" w:after="120"/>
              <w:rPr>
                <w:rFonts w:asciiTheme="minorHAnsi" w:hAnsiTheme="minorHAnsi" w:cstheme="minorHAnsi"/>
                <w:color w:val="000000"/>
                <w:sz w:val="20"/>
                <w:szCs w:val="20"/>
              </w:rPr>
            </w:pPr>
            <w:r w:rsidRPr="00F46D82">
              <w:rPr>
                <w:rFonts w:asciiTheme="minorHAnsi" w:hAnsiTheme="minorHAnsi" w:cstheme="minorHAnsi"/>
                <w:color w:val="000000"/>
                <w:sz w:val="20"/>
                <w:szCs w:val="20"/>
              </w:rPr>
              <w:t>19-21 months after OMB approval</w:t>
            </w:r>
          </w:p>
        </w:tc>
      </w:tr>
      <w:tr w:rsidR="0097751C" w:rsidRPr="00F46D82" w:rsidTr="00C47447">
        <w:tc>
          <w:tcPr>
            <w:tcW w:w="5958" w:type="dxa"/>
          </w:tcPr>
          <w:p w:rsidR="0097751C" w:rsidRPr="00F46D82" w:rsidRDefault="0097751C">
            <w:pPr>
              <w:autoSpaceDE w:val="0"/>
              <w:autoSpaceDN w:val="0"/>
              <w:adjustRightInd w:val="0"/>
              <w:spacing w:before="120" w:after="120"/>
              <w:rPr>
                <w:rFonts w:asciiTheme="minorHAnsi" w:hAnsiTheme="minorHAnsi" w:cstheme="minorHAnsi"/>
                <w:color w:val="000000"/>
                <w:sz w:val="20"/>
                <w:szCs w:val="20"/>
              </w:rPr>
            </w:pPr>
            <w:r w:rsidRPr="00F46D82">
              <w:rPr>
                <w:rFonts w:asciiTheme="minorHAnsi" w:hAnsiTheme="minorHAnsi" w:cstheme="minorHAnsi"/>
                <w:color w:val="000000"/>
                <w:sz w:val="20"/>
                <w:szCs w:val="20"/>
              </w:rPr>
              <w:lastRenderedPageBreak/>
              <w:t>Data validation, data entry, data analysis complete</w:t>
            </w:r>
          </w:p>
        </w:tc>
        <w:tc>
          <w:tcPr>
            <w:tcW w:w="3618" w:type="dxa"/>
            <w:vAlign w:val="center"/>
          </w:tcPr>
          <w:p w:rsidR="0097751C" w:rsidRPr="00F46D82" w:rsidRDefault="0097751C" w:rsidP="00C47447">
            <w:pPr>
              <w:autoSpaceDE w:val="0"/>
              <w:autoSpaceDN w:val="0"/>
              <w:adjustRightInd w:val="0"/>
              <w:spacing w:before="120" w:after="120"/>
              <w:rPr>
                <w:rFonts w:asciiTheme="minorHAnsi" w:hAnsiTheme="minorHAnsi" w:cstheme="minorHAnsi"/>
                <w:color w:val="000000"/>
                <w:sz w:val="20"/>
                <w:szCs w:val="20"/>
              </w:rPr>
            </w:pPr>
            <w:r w:rsidRPr="00F46D82">
              <w:rPr>
                <w:rFonts w:asciiTheme="minorHAnsi" w:hAnsiTheme="minorHAnsi" w:cstheme="minorHAnsi"/>
                <w:color w:val="000000"/>
                <w:sz w:val="20"/>
                <w:szCs w:val="20"/>
              </w:rPr>
              <w:t>22 months after OMB approval</w:t>
            </w:r>
          </w:p>
        </w:tc>
      </w:tr>
      <w:tr w:rsidR="0097751C" w:rsidRPr="00F46D82" w:rsidTr="00C47447">
        <w:tc>
          <w:tcPr>
            <w:tcW w:w="5958" w:type="dxa"/>
          </w:tcPr>
          <w:p w:rsidR="0097751C" w:rsidRPr="00F46D82" w:rsidRDefault="0097751C">
            <w:pPr>
              <w:autoSpaceDE w:val="0"/>
              <w:autoSpaceDN w:val="0"/>
              <w:adjustRightInd w:val="0"/>
              <w:spacing w:before="120" w:after="120"/>
              <w:rPr>
                <w:rFonts w:asciiTheme="minorHAnsi" w:hAnsiTheme="minorHAnsi" w:cstheme="minorHAnsi"/>
                <w:color w:val="000000"/>
                <w:sz w:val="20"/>
                <w:szCs w:val="20"/>
              </w:rPr>
            </w:pPr>
            <w:r w:rsidRPr="00F46D82">
              <w:rPr>
                <w:rFonts w:asciiTheme="minorHAnsi" w:hAnsiTheme="minorHAnsi" w:cstheme="minorHAnsi"/>
                <w:color w:val="000000"/>
                <w:sz w:val="20"/>
                <w:szCs w:val="20"/>
              </w:rPr>
              <w:t>Respondent results reporting complete</w:t>
            </w:r>
          </w:p>
        </w:tc>
        <w:tc>
          <w:tcPr>
            <w:tcW w:w="3618" w:type="dxa"/>
            <w:vAlign w:val="center"/>
          </w:tcPr>
          <w:p w:rsidR="0097751C" w:rsidRPr="00F46D82" w:rsidRDefault="0097751C" w:rsidP="00C47447">
            <w:pPr>
              <w:autoSpaceDE w:val="0"/>
              <w:autoSpaceDN w:val="0"/>
              <w:adjustRightInd w:val="0"/>
              <w:spacing w:before="120" w:after="120"/>
              <w:rPr>
                <w:rFonts w:asciiTheme="minorHAnsi" w:hAnsiTheme="minorHAnsi" w:cstheme="minorHAnsi"/>
                <w:color w:val="000000"/>
                <w:sz w:val="20"/>
                <w:szCs w:val="20"/>
              </w:rPr>
            </w:pPr>
            <w:r w:rsidRPr="00F46D82">
              <w:rPr>
                <w:rFonts w:asciiTheme="minorHAnsi" w:hAnsiTheme="minorHAnsi" w:cstheme="minorHAnsi"/>
                <w:color w:val="000000"/>
                <w:sz w:val="20"/>
                <w:szCs w:val="20"/>
              </w:rPr>
              <w:t>23 months after OMB approval</w:t>
            </w:r>
          </w:p>
        </w:tc>
      </w:tr>
      <w:tr w:rsidR="0097751C" w:rsidRPr="00F46D82" w:rsidTr="00C47447">
        <w:tc>
          <w:tcPr>
            <w:tcW w:w="5958" w:type="dxa"/>
          </w:tcPr>
          <w:p w:rsidR="0097751C" w:rsidRPr="00F46D82" w:rsidRDefault="0097751C">
            <w:pPr>
              <w:autoSpaceDE w:val="0"/>
              <w:autoSpaceDN w:val="0"/>
              <w:adjustRightInd w:val="0"/>
              <w:spacing w:before="120" w:after="120"/>
              <w:rPr>
                <w:rFonts w:asciiTheme="minorHAnsi" w:hAnsiTheme="minorHAnsi" w:cstheme="minorHAnsi"/>
                <w:color w:val="000000"/>
                <w:sz w:val="20"/>
                <w:szCs w:val="20"/>
              </w:rPr>
            </w:pPr>
            <w:r w:rsidRPr="00F46D82">
              <w:rPr>
                <w:rFonts w:asciiTheme="minorHAnsi" w:hAnsiTheme="minorHAnsi" w:cstheme="minorHAnsi"/>
                <w:color w:val="000000"/>
                <w:sz w:val="20"/>
                <w:szCs w:val="20"/>
              </w:rPr>
              <w:t>Summary study reports complete</w:t>
            </w:r>
          </w:p>
        </w:tc>
        <w:tc>
          <w:tcPr>
            <w:tcW w:w="3618" w:type="dxa"/>
            <w:vAlign w:val="center"/>
          </w:tcPr>
          <w:p w:rsidR="0097751C" w:rsidRPr="00F46D82" w:rsidRDefault="0097751C" w:rsidP="00C47447">
            <w:pPr>
              <w:autoSpaceDE w:val="0"/>
              <w:autoSpaceDN w:val="0"/>
              <w:adjustRightInd w:val="0"/>
              <w:spacing w:before="120" w:after="120"/>
              <w:rPr>
                <w:rFonts w:asciiTheme="minorHAnsi" w:hAnsiTheme="minorHAnsi" w:cstheme="minorHAnsi"/>
                <w:color w:val="000000"/>
                <w:sz w:val="20"/>
                <w:szCs w:val="20"/>
              </w:rPr>
            </w:pPr>
            <w:r w:rsidRPr="00F46D82">
              <w:rPr>
                <w:rFonts w:asciiTheme="minorHAnsi" w:hAnsiTheme="minorHAnsi" w:cstheme="minorHAnsi"/>
                <w:color w:val="000000"/>
                <w:sz w:val="20"/>
                <w:szCs w:val="20"/>
              </w:rPr>
              <w:t>24 months after OMB approval</w:t>
            </w:r>
          </w:p>
        </w:tc>
      </w:tr>
    </w:tbl>
    <w:p w:rsidR="00020EFF" w:rsidRPr="00F46D82" w:rsidRDefault="00F27FF9" w:rsidP="00B10E78">
      <w:pPr>
        <w:pStyle w:val="Heading2"/>
        <w:spacing w:before="480"/>
        <w:rPr>
          <w:rFonts w:asciiTheme="minorHAnsi" w:hAnsiTheme="minorHAnsi" w:cstheme="minorHAnsi"/>
        </w:rPr>
      </w:pPr>
      <w:bookmarkStart w:id="49" w:name="_Toc296699103"/>
      <w:bookmarkStart w:id="50" w:name="_Toc349489260"/>
      <w:r w:rsidRPr="00F46D82">
        <w:rPr>
          <w:rFonts w:asciiTheme="minorHAnsi" w:hAnsiTheme="minorHAnsi" w:cstheme="minorHAnsi"/>
        </w:rPr>
        <w:t>A.</w:t>
      </w:r>
      <w:r w:rsidR="00020EFF" w:rsidRPr="00F46D82">
        <w:rPr>
          <w:rFonts w:asciiTheme="minorHAnsi" w:hAnsiTheme="minorHAnsi" w:cstheme="minorHAnsi"/>
        </w:rPr>
        <w:t>17. Reason(s) Display of OMB Expiration Date is Inappropriate</w:t>
      </w:r>
      <w:bookmarkEnd w:id="49"/>
      <w:bookmarkEnd w:id="50"/>
    </w:p>
    <w:p w:rsidR="00CF1959" w:rsidRPr="00F46D82" w:rsidRDefault="00CF1959" w:rsidP="00CF1959">
      <w:pPr>
        <w:spacing w:after="0"/>
        <w:rPr>
          <w:rFonts w:asciiTheme="minorHAnsi" w:hAnsiTheme="minorHAnsi" w:cstheme="minorHAnsi"/>
        </w:rPr>
      </w:pPr>
    </w:p>
    <w:p w:rsidR="00CF1959" w:rsidRPr="00F46D82" w:rsidRDefault="00CF1959" w:rsidP="00CF1959">
      <w:pPr>
        <w:spacing w:after="0"/>
        <w:rPr>
          <w:rFonts w:asciiTheme="minorHAnsi" w:hAnsiTheme="minorHAnsi" w:cstheme="minorHAnsi"/>
          <w:b/>
          <w:bCs/>
          <w:sz w:val="24"/>
          <w:szCs w:val="24"/>
        </w:rPr>
      </w:pPr>
      <w:r w:rsidRPr="00F46D82">
        <w:rPr>
          <w:rFonts w:asciiTheme="minorHAnsi" w:hAnsiTheme="minorHAnsi" w:cstheme="minorHAnsi"/>
          <w:sz w:val="24"/>
          <w:szCs w:val="24"/>
        </w:rPr>
        <w:t xml:space="preserve">The </w:t>
      </w:r>
      <w:r w:rsidR="001151B5" w:rsidRPr="00F46D82">
        <w:rPr>
          <w:rFonts w:asciiTheme="minorHAnsi" w:hAnsiTheme="minorHAnsi" w:cstheme="minorHAnsi"/>
          <w:sz w:val="24"/>
          <w:szCs w:val="24"/>
        </w:rPr>
        <w:t>ACHS</w:t>
      </w:r>
      <w:r w:rsidR="0097751C" w:rsidRPr="00F46D82">
        <w:rPr>
          <w:rFonts w:asciiTheme="minorHAnsi" w:hAnsiTheme="minorHAnsi" w:cstheme="minorHAnsi"/>
          <w:sz w:val="24"/>
          <w:szCs w:val="24"/>
        </w:rPr>
        <w:t>-</w:t>
      </w:r>
      <w:r w:rsidR="001151B5" w:rsidRPr="00F46D82">
        <w:rPr>
          <w:rFonts w:asciiTheme="minorHAnsi" w:hAnsiTheme="minorHAnsi" w:cstheme="minorHAnsi"/>
          <w:sz w:val="24"/>
          <w:szCs w:val="24"/>
        </w:rPr>
        <w:t>II</w:t>
      </w:r>
      <w:r w:rsidRPr="00F46D82">
        <w:rPr>
          <w:rFonts w:asciiTheme="minorHAnsi" w:hAnsiTheme="minorHAnsi" w:cstheme="minorHAnsi"/>
          <w:sz w:val="24"/>
          <w:szCs w:val="24"/>
        </w:rPr>
        <w:t xml:space="preserve"> will display the OMB Control Number and expiration date on all data collection forms as required.</w:t>
      </w:r>
    </w:p>
    <w:p w:rsidR="00020EFF" w:rsidRPr="00F46D82" w:rsidRDefault="00F27FF9" w:rsidP="00CF4E51">
      <w:pPr>
        <w:pStyle w:val="Heading2"/>
        <w:spacing w:before="360"/>
        <w:rPr>
          <w:rFonts w:asciiTheme="minorHAnsi" w:hAnsiTheme="minorHAnsi" w:cstheme="minorHAnsi"/>
        </w:rPr>
      </w:pPr>
      <w:bookmarkStart w:id="51" w:name="_Toc296699104"/>
      <w:bookmarkStart w:id="52" w:name="_Toc349489261"/>
      <w:r w:rsidRPr="00F46D82">
        <w:rPr>
          <w:rFonts w:asciiTheme="minorHAnsi" w:hAnsiTheme="minorHAnsi" w:cstheme="minorHAnsi"/>
        </w:rPr>
        <w:t>A.</w:t>
      </w:r>
      <w:r w:rsidR="00020EFF" w:rsidRPr="00F46D82">
        <w:rPr>
          <w:rFonts w:asciiTheme="minorHAnsi" w:hAnsiTheme="minorHAnsi" w:cstheme="minorHAnsi"/>
        </w:rPr>
        <w:t>18. Exceptions to Certification for Paperwork Reduction Act Submissions</w:t>
      </w:r>
      <w:bookmarkEnd w:id="51"/>
      <w:bookmarkEnd w:id="52"/>
      <w:r w:rsidR="00020EFF" w:rsidRPr="00F46D82">
        <w:rPr>
          <w:rFonts w:asciiTheme="minorHAnsi" w:hAnsiTheme="minorHAnsi" w:cstheme="minorHAnsi"/>
        </w:rPr>
        <w:t xml:space="preserve"> </w:t>
      </w:r>
    </w:p>
    <w:p w:rsidR="00A13F8B" w:rsidRPr="00F46D82" w:rsidRDefault="00A13F8B" w:rsidP="00A13F8B">
      <w:pPr>
        <w:spacing w:after="0"/>
        <w:rPr>
          <w:rFonts w:asciiTheme="minorHAnsi" w:hAnsiTheme="minorHAnsi" w:cstheme="minorHAnsi"/>
        </w:rPr>
      </w:pPr>
    </w:p>
    <w:p w:rsidR="00D563E8" w:rsidRPr="00F46D82" w:rsidRDefault="00020EFF" w:rsidP="00D056AD">
      <w:pPr>
        <w:spacing w:after="0"/>
        <w:rPr>
          <w:rFonts w:asciiTheme="minorHAnsi" w:eastAsia="Times New Roman" w:hAnsiTheme="minorHAnsi" w:cstheme="minorHAnsi"/>
          <w:sz w:val="18"/>
          <w:szCs w:val="18"/>
        </w:rPr>
      </w:pPr>
      <w:r w:rsidRPr="00F46D82">
        <w:rPr>
          <w:rFonts w:asciiTheme="minorHAnsi" w:hAnsiTheme="minorHAnsi" w:cstheme="minorHAnsi"/>
          <w:sz w:val="24"/>
          <w:szCs w:val="24"/>
        </w:rPr>
        <w:t>There are no ex</w:t>
      </w:r>
      <w:r w:rsidR="001F1790" w:rsidRPr="00F46D82">
        <w:rPr>
          <w:rFonts w:asciiTheme="minorHAnsi" w:hAnsiTheme="minorHAnsi" w:cstheme="minorHAnsi"/>
          <w:sz w:val="24"/>
          <w:szCs w:val="24"/>
        </w:rPr>
        <w:t>ceptions to the certification.</w:t>
      </w:r>
      <w:r w:rsidR="00B23DDA" w:rsidRPr="00F46D82">
        <w:rPr>
          <w:rFonts w:asciiTheme="minorHAnsi" w:eastAsia="Times New Roman" w:hAnsiTheme="minorHAnsi" w:cstheme="minorHAnsi"/>
          <w:sz w:val="18"/>
          <w:szCs w:val="18"/>
        </w:rPr>
        <w:t xml:space="preserve"> </w:t>
      </w:r>
    </w:p>
    <w:p w:rsidR="00EF472F" w:rsidRDefault="00EF472F">
      <w:pPr>
        <w:spacing w:after="0" w:line="240" w:lineRule="auto"/>
        <w:rPr>
          <w:rFonts w:asciiTheme="minorHAnsi" w:hAnsiTheme="minorHAnsi" w:cstheme="minorHAnsi"/>
          <w:b/>
          <w:color w:val="4F81BD" w:themeColor="accent1"/>
          <w:sz w:val="24"/>
        </w:rPr>
      </w:pPr>
      <w:r>
        <w:rPr>
          <w:rFonts w:asciiTheme="minorHAnsi" w:hAnsiTheme="minorHAnsi" w:cstheme="minorHAnsi"/>
          <w:b/>
          <w:color w:val="4F81BD" w:themeColor="accent1"/>
          <w:sz w:val="24"/>
        </w:rPr>
        <w:br w:type="page"/>
      </w:r>
    </w:p>
    <w:p w:rsidR="005D07CA" w:rsidRPr="006555F2" w:rsidRDefault="005D07CA" w:rsidP="00475318">
      <w:pPr>
        <w:rPr>
          <w:b/>
          <w:sz w:val="24"/>
        </w:rPr>
      </w:pPr>
      <w:r w:rsidRPr="006555F2">
        <w:rPr>
          <w:rFonts w:asciiTheme="minorHAnsi" w:hAnsiTheme="minorHAnsi" w:cstheme="minorHAnsi"/>
          <w:b/>
          <w:color w:val="4F81BD" w:themeColor="accent1"/>
          <w:sz w:val="24"/>
        </w:rPr>
        <w:lastRenderedPageBreak/>
        <w:t>REFERENCES</w:t>
      </w:r>
    </w:p>
    <w:p w:rsidR="00F14AFE" w:rsidRDefault="003A6B68" w:rsidP="002B5AB9">
      <w:pPr>
        <w:spacing w:before="240" w:after="0" w:line="240" w:lineRule="auto"/>
        <w:rPr>
          <w:rFonts w:cs="Calibri"/>
          <w:sz w:val="20"/>
          <w:szCs w:val="20"/>
        </w:rPr>
      </w:pPr>
      <w:proofErr w:type="spellStart"/>
      <w:r w:rsidRPr="003A6B68">
        <w:rPr>
          <w:rFonts w:cs="Calibri"/>
          <w:sz w:val="20"/>
          <w:szCs w:val="20"/>
        </w:rPr>
        <w:t>Abdelouahab</w:t>
      </w:r>
      <w:proofErr w:type="spellEnd"/>
      <w:r>
        <w:rPr>
          <w:rFonts w:cs="Calibri"/>
          <w:sz w:val="20"/>
          <w:szCs w:val="20"/>
        </w:rPr>
        <w:t>,</w:t>
      </w:r>
      <w:r w:rsidRPr="003A6B68">
        <w:rPr>
          <w:rFonts w:cs="Calibri"/>
          <w:sz w:val="20"/>
          <w:szCs w:val="20"/>
        </w:rPr>
        <w:t xml:space="preserve"> N</w:t>
      </w:r>
      <w:r>
        <w:rPr>
          <w:rFonts w:cs="Calibri"/>
          <w:sz w:val="20"/>
          <w:szCs w:val="20"/>
        </w:rPr>
        <w:t>.</w:t>
      </w:r>
      <w:r w:rsidRPr="003A6B68">
        <w:rPr>
          <w:rFonts w:cs="Calibri"/>
          <w:sz w:val="20"/>
          <w:szCs w:val="20"/>
        </w:rPr>
        <w:t xml:space="preserve">, </w:t>
      </w:r>
      <w:proofErr w:type="spellStart"/>
      <w:r w:rsidRPr="003A6B68">
        <w:rPr>
          <w:rFonts w:cs="Calibri"/>
          <w:sz w:val="20"/>
          <w:szCs w:val="20"/>
        </w:rPr>
        <w:t>Ainmelk</w:t>
      </w:r>
      <w:proofErr w:type="spellEnd"/>
      <w:r>
        <w:rPr>
          <w:rFonts w:cs="Calibri"/>
          <w:sz w:val="20"/>
          <w:szCs w:val="20"/>
        </w:rPr>
        <w:t>,</w:t>
      </w:r>
      <w:r w:rsidRPr="003A6B68">
        <w:rPr>
          <w:rFonts w:cs="Calibri"/>
          <w:sz w:val="20"/>
          <w:szCs w:val="20"/>
        </w:rPr>
        <w:t xml:space="preserve"> Y</w:t>
      </w:r>
      <w:r>
        <w:rPr>
          <w:rFonts w:cs="Calibri"/>
          <w:sz w:val="20"/>
          <w:szCs w:val="20"/>
        </w:rPr>
        <w:t>.</w:t>
      </w:r>
      <w:r w:rsidRPr="003A6B68">
        <w:rPr>
          <w:rFonts w:cs="Calibri"/>
          <w:sz w:val="20"/>
          <w:szCs w:val="20"/>
        </w:rPr>
        <w:t xml:space="preserve">, </w:t>
      </w:r>
      <w:proofErr w:type="spellStart"/>
      <w:r w:rsidRPr="003A6B68">
        <w:rPr>
          <w:rFonts w:cs="Calibri"/>
          <w:sz w:val="20"/>
          <w:szCs w:val="20"/>
        </w:rPr>
        <w:t>Takser</w:t>
      </w:r>
      <w:proofErr w:type="spellEnd"/>
      <w:r>
        <w:rPr>
          <w:rFonts w:cs="Calibri"/>
          <w:sz w:val="20"/>
          <w:szCs w:val="20"/>
        </w:rPr>
        <w:t>,</w:t>
      </w:r>
      <w:r w:rsidRPr="003A6B68">
        <w:rPr>
          <w:rFonts w:cs="Calibri"/>
          <w:sz w:val="20"/>
          <w:szCs w:val="20"/>
        </w:rPr>
        <w:t xml:space="preserve"> L.</w:t>
      </w:r>
      <w:r>
        <w:rPr>
          <w:rFonts w:cs="Calibri"/>
          <w:sz w:val="20"/>
          <w:szCs w:val="20"/>
        </w:rPr>
        <w:t xml:space="preserve"> 2011. </w:t>
      </w:r>
      <w:proofErr w:type="spellStart"/>
      <w:proofErr w:type="gramStart"/>
      <w:r w:rsidRPr="003A6B68">
        <w:rPr>
          <w:rFonts w:cs="Calibri"/>
          <w:sz w:val="20"/>
          <w:szCs w:val="20"/>
        </w:rPr>
        <w:t>Polybrominated</w:t>
      </w:r>
      <w:proofErr w:type="spellEnd"/>
      <w:r w:rsidRPr="003A6B68">
        <w:rPr>
          <w:rFonts w:cs="Calibri"/>
          <w:sz w:val="20"/>
          <w:szCs w:val="20"/>
        </w:rPr>
        <w:t xml:space="preserve"> </w:t>
      </w:r>
      <w:proofErr w:type="spellStart"/>
      <w:r w:rsidRPr="003A6B68">
        <w:rPr>
          <w:rFonts w:cs="Calibri"/>
          <w:sz w:val="20"/>
          <w:szCs w:val="20"/>
        </w:rPr>
        <w:t>diphenyl</w:t>
      </w:r>
      <w:proofErr w:type="spellEnd"/>
      <w:r w:rsidRPr="003A6B68">
        <w:rPr>
          <w:rFonts w:cs="Calibri"/>
          <w:sz w:val="20"/>
          <w:szCs w:val="20"/>
        </w:rPr>
        <w:t xml:space="preserve"> ethers and sperm quality</w:t>
      </w:r>
      <w:r>
        <w:rPr>
          <w:rFonts w:cs="Calibri"/>
          <w:sz w:val="20"/>
          <w:szCs w:val="20"/>
        </w:rPr>
        <w:t>.</w:t>
      </w:r>
      <w:proofErr w:type="gramEnd"/>
      <w:r>
        <w:rPr>
          <w:rFonts w:cs="Calibri"/>
          <w:sz w:val="20"/>
          <w:szCs w:val="20"/>
        </w:rPr>
        <w:t xml:space="preserve"> </w:t>
      </w:r>
      <w:proofErr w:type="spellStart"/>
      <w:r>
        <w:rPr>
          <w:rFonts w:cs="Calibri"/>
          <w:sz w:val="20"/>
          <w:szCs w:val="20"/>
        </w:rPr>
        <w:t>Reprod</w:t>
      </w:r>
      <w:proofErr w:type="spellEnd"/>
      <w:r>
        <w:rPr>
          <w:rFonts w:cs="Calibri"/>
          <w:sz w:val="20"/>
          <w:szCs w:val="20"/>
        </w:rPr>
        <w:t xml:space="preserve">. </w:t>
      </w:r>
      <w:proofErr w:type="spellStart"/>
      <w:proofErr w:type="gramStart"/>
      <w:r>
        <w:rPr>
          <w:rFonts w:cs="Calibri"/>
          <w:sz w:val="20"/>
          <w:szCs w:val="20"/>
        </w:rPr>
        <w:t>Toxicol</w:t>
      </w:r>
      <w:proofErr w:type="spellEnd"/>
      <w:r>
        <w:rPr>
          <w:rFonts w:cs="Calibri"/>
          <w:sz w:val="20"/>
          <w:szCs w:val="20"/>
        </w:rPr>
        <w:t>.</w:t>
      </w:r>
      <w:proofErr w:type="gramEnd"/>
      <w:r>
        <w:rPr>
          <w:rFonts w:cs="Calibri"/>
          <w:sz w:val="20"/>
          <w:szCs w:val="20"/>
        </w:rPr>
        <w:t xml:space="preserve"> 31(4): 546-550.</w:t>
      </w:r>
    </w:p>
    <w:p w:rsidR="009B4402" w:rsidRPr="009B4402" w:rsidRDefault="009B4402" w:rsidP="002B5AB9">
      <w:pPr>
        <w:spacing w:before="240" w:after="0" w:line="240" w:lineRule="auto"/>
        <w:rPr>
          <w:rFonts w:cs="Calibri"/>
          <w:iCs/>
          <w:sz w:val="20"/>
          <w:szCs w:val="20"/>
        </w:rPr>
      </w:pPr>
      <w:proofErr w:type="gramStart"/>
      <w:r>
        <w:rPr>
          <w:rFonts w:cs="Calibri"/>
          <w:sz w:val="20"/>
          <w:szCs w:val="20"/>
        </w:rPr>
        <w:t xml:space="preserve">ADPH (Alabama Department of Public Health), </w:t>
      </w:r>
      <w:r w:rsidRPr="000B484A">
        <w:rPr>
          <w:rFonts w:cs="Calibri"/>
          <w:sz w:val="20"/>
          <w:szCs w:val="20"/>
        </w:rPr>
        <w:t>2001.</w:t>
      </w:r>
      <w:proofErr w:type="gramEnd"/>
      <w:r w:rsidRPr="000B484A">
        <w:rPr>
          <w:rFonts w:cs="Calibri"/>
          <w:sz w:val="20"/>
          <w:szCs w:val="20"/>
        </w:rPr>
        <w:t xml:space="preserve"> </w:t>
      </w:r>
      <w:r w:rsidRPr="00DE3BC4">
        <w:rPr>
          <w:rFonts w:cs="Calibri"/>
          <w:sz w:val="20"/>
          <w:szCs w:val="20"/>
        </w:rPr>
        <w:t xml:space="preserve">Public Health Assessment: Monsanto Company/Solutia Incorporated [a/k/a Anniston PCB Site (Monsanto Company)], Anniston, Calhoun County, Alabama. </w:t>
      </w:r>
      <w:proofErr w:type="gramStart"/>
      <w:r w:rsidRPr="00DE3BC4">
        <w:rPr>
          <w:sz w:val="20"/>
          <w:szCs w:val="20"/>
        </w:rPr>
        <w:t>CERCLIS No.</w:t>
      </w:r>
      <w:proofErr w:type="gramEnd"/>
      <w:r w:rsidRPr="00DE3BC4">
        <w:rPr>
          <w:sz w:val="20"/>
          <w:szCs w:val="20"/>
        </w:rPr>
        <w:t xml:space="preserve"> </w:t>
      </w:r>
      <w:r>
        <w:rPr>
          <w:sz w:val="20"/>
          <w:szCs w:val="20"/>
        </w:rPr>
        <w:t xml:space="preserve">ALD004019048. </w:t>
      </w:r>
      <w:proofErr w:type="gramStart"/>
      <w:r>
        <w:rPr>
          <w:sz w:val="20"/>
          <w:szCs w:val="20"/>
        </w:rPr>
        <w:t>Agency for Toxic Substances and Disease Registry, Atlanta.</w:t>
      </w:r>
      <w:proofErr w:type="gramEnd"/>
      <w:r>
        <w:rPr>
          <w:sz w:val="20"/>
          <w:szCs w:val="20"/>
        </w:rPr>
        <w:t xml:space="preserve"> </w:t>
      </w:r>
      <w:proofErr w:type="gramStart"/>
      <w:r w:rsidRPr="000B484A">
        <w:rPr>
          <w:rFonts w:cs="Calibri"/>
          <w:iCs/>
          <w:sz w:val="20"/>
          <w:szCs w:val="20"/>
        </w:rPr>
        <w:t xml:space="preserve">Available:  </w:t>
      </w:r>
      <w:r w:rsidRPr="00DE3BC4">
        <w:rPr>
          <w:rFonts w:cs="Calibri"/>
          <w:iCs/>
          <w:sz w:val="20"/>
          <w:szCs w:val="20"/>
        </w:rPr>
        <w:t>http://www.atsdr.cdc.gov/hac/pha/pha.asp?docid=844&amp;pg=0</w:t>
      </w:r>
      <w:r>
        <w:rPr>
          <w:rFonts w:cs="Calibri"/>
          <w:iCs/>
          <w:sz w:val="20"/>
          <w:szCs w:val="20"/>
        </w:rPr>
        <w:t>.</w:t>
      </w:r>
      <w:proofErr w:type="gramEnd"/>
    </w:p>
    <w:p w:rsidR="009B4402" w:rsidRPr="009B4402" w:rsidRDefault="002B5AB9" w:rsidP="002B5AB9">
      <w:pPr>
        <w:spacing w:before="240" w:after="0" w:line="240" w:lineRule="auto"/>
        <w:rPr>
          <w:rFonts w:cs="Calibri"/>
          <w:sz w:val="20"/>
          <w:szCs w:val="20"/>
        </w:rPr>
      </w:pPr>
      <w:proofErr w:type="spellStart"/>
      <w:r w:rsidRPr="000B484A">
        <w:rPr>
          <w:rFonts w:cs="Calibri"/>
          <w:sz w:val="20"/>
          <w:szCs w:val="20"/>
        </w:rPr>
        <w:t>Alissa</w:t>
      </w:r>
      <w:proofErr w:type="spellEnd"/>
      <w:r w:rsidR="00DE3BC4">
        <w:rPr>
          <w:rFonts w:cs="Calibri"/>
          <w:sz w:val="20"/>
          <w:szCs w:val="20"/>
        </w:rPr>
        <w:t>,</w:t>
      </w:r>
      <w:r w:rsidRPr="000B484A">
        <w:rPr>
          <w:rFonts w:cs="Calibri"/>
          <w:sz w:val="20"/>
          <w:szCs w:val="20"/>
        </w:rPr>
        <w:t xml:space="preserve"> E</w:t>
      </w:r>
      <w:r w:rsidR="00DE3BC4">
        <w:rPr>
          <w:rFonts w:cs="Calibri"/>
          <w:sz w:val="20"/>
          <w:szCs w:val="20"/>
        </w:rPr>
        <w:t>.</w:t>
      </w:r>
      <w:r w:rsidRPr="000B484A">
        <w:rPr>
          <w:rFonts w:cs="Calibri"/>
          <w:sz w:val="20"/>
          <w:szCs w:val="20"/>
        </w:rPr>
        <w:t>M</w:t>
      </w:r>
      <w:r w:rsidR="00DE3BC4">
        <w:rPr>
          <w:rFonts w:cs="Calibri"/>
          <w:sz w:val="20"/>
          <w:szCs w:val="20"/>
        </w:rPr>
        <w:t>.</w:t>
      </w:r>
      <w:r w:rsidRPr="000B484A">
        <w:rPr>
          <w:rFonts w:cs="Calibri"/>
          <w:sz w:val="20"/>
          <w:szCs w:val="20"/>
        </w:rPr>
        <w:t>, Ferns</w:t>
      </w:r>
      <w:r w:rsidR="00DE3BC4">
        <w:rPr>
          <w:rFonts w:cs="Calibri"/>
          <w:sz w:val="20"/>
          <w:szCs w:val="20"/>
        </w:rPr>
        <w:t>,</w:t>
      </w:r>
      <w:r w:rsidRPr="000B484A">
        <w:rPr>
          <w:rFonts w:cs="Calibri"/>
          <w:sz w:val="20"/>
          <w:szCs w:val="20"/>
        </w:rPr>
        <w:t xml:space="preserve"> G</w:t>
      </w:r>
      <w:r w:rsidR="00DE3BC4">
        <w:rPr>
          <w:rFonts w:cs="Calibri"/>
          <w:sz w:val="20"/>
          <w:szCs w:val="20"/>
        </w:rPr>
        <w:t>.</w:t>
      </w:r>
      <w:r w:rsidRPr="000B484A">
        <w:rPr>
          <w:rFonts w:cs="Calibri"/>
          <w:sz w:val="20"/>
          <w:szCs w:val="20"/>
        </w:rPr>
        <w:t>A</w:t>
      </w:r>
      <w:r w:rsidR="00DE3BC4">
        <w:rPr>
          <w:rFonts w:cs="Calibri"/>
          <w:sz w:val="20"/>
          <w:szCs w:val="20"/>
        </w:rPr>
        <w:t>., 2011</w:t>
      </w:r>
      <w:r w:rsidRPr="000B484A">
        <w:rPr>
          <w:rFonts w:cs="Calibri"/>
          <w:sz w:val="20"/>
          <w:szCs w:val="20"/>
        </w:rPr>
        <w:t xml:space="preserve">. </w:t>
      </w:r>
      <w:proofErr w:type="gramStart"/>
      <w:r w:rsidRPr="000B484A">
        <w:rPr>
          <w:rFonts w:cs="Calibri"/>
          <w:sz w:val="20"/>
          <w:szCs w:val="20"/>
        </w:rPr>
        <w:t>Heavy metal poisoning and cardiovascular disease.</w:t>
      </w:r>
      <w:proofErr w:type="gramEnd"/>
      <w:r w:rsidRPr="000B484A">
        <w:rPr>
          <w:rFonts w:cs="Calibri"/>
          <w:sz w:val="20"/>
          <w:szCs w:val="20"/>
        </w:rPr>
        <w:t xml:space="preserve"> J</w:t>
      </w:r>
      <w:r w:rsidR="00DE3BC4">
        <w:rPr>
          <w:rFonts w:cs="Calibri"/>
          <w:sz w:val="20"/>
          <w:szCs w:val="20"/>
        </w:rPr>
        <w:t>.</w:t>
      </w:r>
      <w:r w:rsidRPr="000B484A">
        <w:rPr>
          <w:rFonts w:cs="Calibri"/>
          <w:sz w:val="20"/>
          <w:szCs w:val="20"/>
        </w:rPr>
        <w:t xml:space="preserve"> </w:t>
      </w:r>
      <w:proofErr w:type="spellStart"/>
      <w:r w:rsidRPr="000B484A">
        <w:rPr>
          <w:rFonts w:cs="Calibri"/>
          <w:sz w:val="20"/>
          <w:szCs w:val="20"/>
        </w:rPr>
        <w:t>Toxicol</w:t>
      </w:r>
      <w:proofErr w:type="spellEnd"/>
      <w:r w:rsidRPr="000B484A">
        <w:rPr>
          <w:rFonts w:cs="Calibri"/>
          <w:sz w:val="20"/>
          <w:szCs w:val="20"/>
        </w:rPr>
        <w:t xml:space="preserve">. </w:t>
      </w:r>
      <w:proofErr w:type="gramStart"/>
      <w:r w:rsidR="00DE3BC4">
        <w:rPr>
          <w:rFonts w:cs="Calibri"/>
          <w:sz w:val="20"/>
          <w:szCs w:val="20"/>
        </w:rPr>
        <w:t>2011</w:t>
      </w:r>
      <w:proofErr w:type="gramEnd"/>
      <w:r w:rsidR="00DE3BC4">
        <w:rPr>
          <w:rFonts w:cs="Calibri"/>
          <w:sz w:val="20"/>
          <w:szCs w:val="20"/>
        </w:rPr>
        <w:t xml:space="preserve">, </w:t>
      </w:r>
      <w:r w:rsidRPr="000B484A">
        <w:rPr>
          <w:rFonts w:cs="Calibri"/>
          <w:sz w:val="20"/>
          <w:szCs w:val="20"/>
        </w:rPr>
        <w:t>870125</w:t>
      </w:r>
      <w:r w:rsidR="00DE3BC4">
        <w:rPr>
          <w:rFonts w:cs="Calibri"/>
          <w:sz w:val="20"/>
          <w:szCs w:val="20"/>
        </w:rPr>
        <w:t>.</w:t>
      </w:r>
    </w:p>
    <w:p w:rsidR="002B5AB9" w:rsidRPr="00DE3BC4" w:rsidRDefault="00DE3BC4" w:rsidP="002B5AB9">
      <w:pPr>
        <w:spacing w:before="240" w:after="0" w:line="240" w:lineRule="auto"/>
        <w:rPr>
          <w:rFonts w:cs="Calibri"/>
          <w:sz w:val="20"/>
          <w:szCs w:val="20"/>
        </w:rPr>
      </w:pPr>
      <w:proofErr w:type="gramStart"/>
      <w:r w:rsidRPr="00DE3BC4">
        <w:rPr>
          <w:sz w:val="20"/>
          <w:szCs w:val="20"/>
        </w:rPr>
        <w:t>ATSDR (Agency for Toxic Substances and Disease Registry), 2000b.</w:t>
      </w:r>
      <w:proofErr w:type="gramEnd"/>
      <w:r w:rsidRPr="00DE3BC4">
        <w:rPr>
          <w:sz w:val="20"/>
          <w:szCs w:val="20"/>
        </w:rPr>
        <w:t xml:space="preserve"> </w:t>
      </w:r>
      <w:proofErr w:type="gramStart"/>
      <w:r w:rsidRPr="00DE3BC4">
        <w:rPr>
          <w:sz w:val="20"/>
          <w:szCs w:val="20"/>
        </w:rPr>
        <w:t>Health Consultation: Evaluation of soil, blood &amp; air data from Anniston, Alabama.</w:t>
      </w:r>
      <w:proofErr w:type="gramEnd"/>
      <w:r w:rsidRPr="00DE3BC4">
        <w:rPr>
          <w:sz w:val="20"/>
          <w:szCs w:val="20"/>
        </w:rPr>
        <w:t xml:space="preserve"> </w:t>
      </w:r>
      <w:proofErr w:type="gramStart"/>
      <w:r w:rsidRPr="00DE3BC4">
        <w:rPr>
          <w:sz w:val="20"/>
          <w:szCs w:val="20"/>
        </w:rPr>
        <w:t>Monsanto Company, Anniston, Calhoun County, Alabama.</w:t>
      </w:r>
      <w:proofErr w:type="gramEnd"/>
      <w:r w:rsidRPr="00DE3BC4">
        <w:rPr>
          <w:sz w:val="20"/>
          <w:szCs w:val="20"/>
        </w:rPr>
        <w:t xml:space="preserve"> </w:t>
      </w:r>
      <w:proofErr w:type="gramStart"/>
      <w:r w:rsidRPr="00DE3BC4">
        <w:rPr>
          <w:sz w:val="20"/>
          <w:szCs w:val="20"/>
        </w:rPr>
        <w:t>CERCLIS No.</w:t>
      </w:r>
      <w:proofErr w:type="gramEnd"/>
      <w:r w:rsidRPr="00DE3BC4">
        <w:rPr>
          <w:sz w:val="20"/>
          <w:szCs w:val="20"/>
        </w:rPr>
        <w:t xml:space="preserve"> ALD004019048. </w:t>
      </w:r>
      <w:proofErr w:type="gramStart"/>
      <w:r w:rsidRPr="00DE3BC4">
        <w:rPr>
          <w:sz w:val="20"/>
          <w:szCs w:val="20"/>
        </w:rPr>
        <w:t>U.S. Department of Health and Human Services, Atlanta.</w:t>
      </w:r>
      <w:proofErr w:type="gramEnd"/>
      <w:r>
        <w:rPr>
          <w:sz w:val="20"/>
          <w:szCs w:val="20"/>
        </w:rPr>
        <w:t xml:space="preserve"> </w:t>
      </w:r>
      <w:proofErr w:type="gramStart"/>
      <w:r w:rsidRPr="00DE3BC4">
        <w:rPr>
          <w:rFonts w:cs="Calibri"/>
          <w:sz w:val="20"/>
          <w:szCs w:val="20"/>
        </w:rPr>
        <w:t>Available:</w:t>
      </w:r>
      <w:r>
        <w:rPr>
          <w:rFonts w:cs="Calibri"/>
          <w:sz w:val="20"/>
          <w:szCs w:val="20"/>
        </w:rPr>
        <w:t xml:space="preserve"> </w:t>
      </w:r>
      <w:r w:rsidRPr="00DE3BC4">
        <w:rPr>
          <w:sz w:val="20"/>
          <w:szCs w:val="20"/>
        </w:rPr>
        <w:t>http://www.atsdr.cdc.gov/hac/pha/pha.asp?docid=930&amp;pg=0</w:t>
      </w:r>
      <w:r>
        <w:rPr>
          <w:sz w:val="20"/>
          <w:szCs w:val="20"/>
        </w:rPr>
        <w:t>.</w:t>
      </w:r>
      <w:proofErr w:type="gramEnd"/>
    </w:p>
    <w:p w:rsidR="002B5AB9" w:rsidRDefault="002B5AB9" w:rsidP="002B5AB9">
      <w:pPr>
        <w:spacing w:before="240" w:after="0" w:line="240" w:lineRule="auto"/>
        <w:rPr>
          <w:rFonts w:cs="Calibri"/>
          <w:iCs/>
          <w:sz w:val="20"/>
          <w:szCs w:val="20"/>
        </w:rPr>
      </w:pPr>
      <w:proofErr w:type="spellStart"/>
      <w:proofErr w:type="gramStart"/>
      <w:r w:rsidRPr="00522F32">
        <w:rPr>
          <w:rFonts w:cs="Calibri"/>
          <w:iCs/>
          <w:sz w:val="20"/>
          <w:szCs w:val="20"/>
        </w:rPr>
        <w:t>Balab</w:t>
      </w:r>
      <w:r>
        <w:rPr>
          <w:rFonts w:cs="Calibri"/>
          <w:iCs/>
          <w:sz w:val="20"/>
          <w:szCs w:val="20"/>
        </w:rPr>
        <w:t>anič</w:t>
      </w:r>
      <w:proofErr w:type="spellEnd"/>
      <w:r w:rsidR="00FA51BF">
        <w:rPr>
          <w:rFonts w:cs="Calibri"/>
          <w:iCs/>
          <w:sz w:val="20"/>
          <w:szCs w:val="20"/>
        </w:rPr>
        <w:t>,</w:t>
      </w:r>
      <w:r>
        <w:rPr>
          <w:rFonts w:cs="Calibri"/>
          <w:iCs/>
          <w:sz w:val="20"/>
          <w:szCs w:val="20"/>
        </w:rPr>
        <w:t xml:space="preserve"> D</w:t>
      </w:r>
      <w:r w:rsidR="00FA51BF">
        <w:rPr>
          <w:rFonts w:cs="Calibri"/>
          <w:iCs/>
          <w:sz w:val="20"/>
          <w:szCs w:val="20"/>
        </w:rPr>
        <w:t>.</w:t>
      </w:r>
      <w:r>
        <w:rPr>
          <w:rFonts w:cs="Calibri"/>
          <w:iCs/>
          <w:sz w:val="20"/>
          <w:szCs w:val="20"/>
        </w:rPr>
        <w:t xml:space="preserve">, </w:t>
      </w:r>
      <w:proofErr w:type="spellStart"/>
      <w:r>
        <w:rPr>
          <w:rFonts w:cs="Calibri"/>
          <w:iCs/>
          <w:sz w:val="20"/>
          <w:szCs w:val="20"/>
        </w:rPr>
        <w:t>Rupnik</w:t>
      </w:r>
      <w:proofErr w:type="spellEnd"/>
      <w:r w:rsidR="00FA51BF">
        <w:rPr>
          <w:rFonts w:cs="Calibri"/>
          <w:iCs/>
          <w:sz w:val="20"/>
          <w:szCs w:val="20"/>
        </w:rPr>
        <w:t>,</w:t>
      </w:r>
      <w:r>
        <w:rPr>
          <w:rFonts w:cs="Calibri"/>
          <w:iCs/>
          <w:sz w:val="20"/>
          <w:szCs w:val="20"/>
        </w:rPr>
        <w:t xml:space="preserve"> M</w:t>
      </w:r>
      <w:r w:rsidR="00FA51BF">
        <w:rPr>
          <w:rFonts w:cs="Calibri"/>
          <w:iCs/>
          <w:sz w:val="20"/>
          <w:szCs w:val="20"/>
        </w:rPr>
        <w:t>.</w:t>
      </w:r>
      <w:r>
        <w:rPr>
          <w:rFonts w:cs="Calibri"/>
          <w:iCs/>
          <w:sz w:val="20"/>
          <w:szCs w:val="20"/>
        </w:rPr>
        <w:t xml:space="preserve">, </w:t>
      </w:r>
      <w:proofErr w:type="spellStart"/>
      <w:r>
        <w:rPr>
          <w:rFonts w:cs="Calibri"/>
          <w:iCs/>
          <w:sz w:val="20"/>
          <w:szCs w:val="20"/>
        </w:rPr>
        <w:t>Klemenčič</w:t>
      </w:r>
      <w:proofErr w:type="spellEnd"/>
      <w:r w:rsidR="00FA51BF">
        <w:rPr>
          <w:rFonts w:cs="Calibri"/>
          <w:iCs/>
          <w:sz w:val="20"/>
          <w:szCs w:val="20"/>
        </w:rPr>
        <w:t>,</w:t>
      </w:r>
      <w:r>
        <w:rPr>
          <w:rFonts w:cs="Calibri"/>
          <w:iCs/>
          <w:sz w:val="20"/>
          <w:szCs w:val="20"/>
        </w:rPr>
        <w:t xml:space="preserve"> A</w:t>
      </w:r>
      <w:r w:rsidR="00FA51BF">
        <w:rPr>
          <w:rFonts w:cs="Calibri"/>
          <w:iCs/>
          <w:sz w:val="20"/>
          <w:szCs w:val="20"/>
        </w:rPr>
        <w:t>.</w:t>
      </w:r>
      <w:r>
        <w:rPr>
          <w:rFonts w:cs="Calibri"/>
          <w:iCs/>
          <w:sz w:val="20"/>
          <w:szCs w:val="20"/>
        </w:rPr>
        <w:t>K</w:t>
      </w:r>
      <w:r w:rsidR="00FA51BF">
        <w:rPr>
          <w:rFonts w:cs="Calibri"/>
          <w:iCs/>
          <w:sz w:val="20"/>
          <w:szCs w:val="20"/>
        </w:rPr>
        <w:t>., 2011.</w:t>
      </w:r>
      <w:proofErr w:type="gramEnd"/>
      <w:r>
        <w:rPr>
          <w:rFonts w:cs="Calibri"/>
          <w:iCs/>
          <w:sz w:val="20"/>
          <w:szCs w:val="20"/>
        </w:rPr>
        <w:t xml:space="preserve"> </w:t>
      </w:r>
      <w:proofErr w:type="gramStart"/>
      <w:r w:rsidRPr="00522F32">
        <w:rPr>
          <w:rFonts w:cs="Calibri"/>
          <w:iCs/>
          <w:sz w:val="20"/>
          <w:szCs w:val="20"/>
        </w:rPr>
        <w:t>Negative impact of endocrine-disrupting compound</w:t>
      </w:r>
      <w:r>
        <w:rPr>
          <w:rFonts w:cs="Calibri"/>
          <w:iCs/>
          <w:sz w:val="20"/>
          <w:szCs w:val="20"/>
        </w:rPr>
        <w:t>s on human reproductive health.</w:t>
      </w:r>
      <w:proofErr w:type="gramEnd"/>
      <w:r>
        <w:rPr>
          <w:rFonts w:cs="Calibri"/>
          <w:iCs/>
          <w:sz w:val="20"/>
          <w:szCs w:val="20"/>
        </w:rPr>
        <w:t xml:space="preserve"> </w:t>
      </w:r>
      <w:proofErr w:type="spellStart"/>
      <w:r w:rsidRPr="00522F32">
        <w:rPr>
          <w:rFonts w:cs="Calibri"/>
          <w:iCs/>
          <w:sz w:val="20"/>
          <w:szCs w:val="20"/>
        </w:rPr>
        <w:t>Reprod</w:t>
      </w:r>
      <w:proofErr w:type="spellEnd"/>
      <w:r w:rsidR="00FA51BF">
        <w:rPr>
          <w:rFonts w:cs="Calibri"/>
          <w:iCs/>
          <w:sz w:val="20"/>
          <w:szCs w:val="20"/>
        </w:rPr>
        <w:t>.</w:t>
      </w:r>
      <w:r w:rsidRPr="00522F32">
        <w:rPr>
          <w:rFonts w:cs="Calibri"/>
          <w:iCs/>
          <w:sz w:val="20"/>
          <w:szCs w:val="20"/>
        </w:rPr>
        <w:t xml:space="preserve"> </w:t>
      </w:r>
      <w:proofErr w:type="spellStart"/>
      <w:proofErr w:type="gramStart"/>
      <w:r w:rsidRPr="00522F32">
        <w:rPr>
          <w:rFonts w:cs="Calibri"/>
          <w:iCs/>
          <w:sz w:val="20"/>
          <w:szCs w:val="20"/>
        </w:rPr>
        <w:t>Fertil</w:t>
      </w:r>
      <w:proofErr w:type="spellEnd"/>
      <w:r w:rsidR="00FA51BF">
        <w:rPr>
          <w:rFonts w:cs="Calibri"/>
          <w:iCs/>
          <w:sz w:val="20"/>
          <w:szCs w:val="20"/>
        </w:rPr>
        <w:t>.</w:t>
      </w:r>
      <w:proofErr w:type="gramEnd"/>
      <w:r w:rsidRPr="00522F32">
        <w:rPr>
          <w:rFonts w:cs="Calibri"/>
          <w:iCs/>
          <w:sz w:val="20"/>
          <w:szCs w:val="20"/>
        </w:rPr>
        <w:t xml:space="preserve"> Dev.</w:t>
      </w:r>
      <w:r w:rsidR="00FA51BF">
        <w:rPr>
          <w:rFonts w:cs="Calibri"/>
          <w:iCs/>
          <w:sz w:val="20"/>
          <w:szCs w:val="20"/>
        </w:rPr>
        <w:t xml:space="preserve"> 23(3), </w:t>
      </w:r>
      <w:r w:rsidRPr="00522F32">
        <w:rPr>
          <w:rFonts w:cs="Calibri"/>
          <w:iCs/>
          <w:sz w:val="20"/>
          <w:szCs w:val="20"/>
        </w:rPr>
        <w:t>403-</w:t>
      </w:r>
      <w:r w:rsidR="00FA51BF">
        <w:rPr>
          <w:rFonts w:cs="Calibri"/>
          <w:iCs/>
          <w:sz w:val="20"/>
          <w:szCs w:val="20"/>
        </w:rPr>
        <w:t>4</w:t>
      </w:r>
      <w:r w:rsidRPr="00522F32">
        <w:rPr>
          <w:rFonts w:cs="Calibri"/>
          <w:iCs/>
          <w:sz w:val="20"/>
          <w:szCs w:val="20"/>
        </w:rPr>
        <w:t>16</w:t>
      </w:r>
      <w:r w:rsidR="00FA51BF">
        <w:rPr>
          <w:rFonts w:cs="Calibri"/>
          <w:iCs/>
          <w:sz w:val="20"/>
          <w:szCs w:val="20"/>
        </w:rPr>
        <w:t>.</w:t>
      </w:r>
    </w:p>
    <w:p w:rsidR="002B5AB9" w:rsidRDefault="00FA51BF" w:rsidP="002B5AB9">
      <w:pPr>
        <w:spacing w:before="240" w:after="0" w:line="240" w:lineRule="auto"/>
        <w:rPr>
          <w:rFonts w:cs="Calibri"/>
          <w:sz w:val="20"/>
          <w:szCs w:val="20"/>
        </w:rPr>
      </w:pPr>
      <w:proofErr w:type="gramStart"/>
      <w:r>
        <w:rPr>
          <w:rFonts w:cs="Calibri"/>
          <w:iCs/>
          <w:sz w:val="20"/>
          <w:szCs w:val="20"/>
        </w:rPr>
        <w:t>CDC (</w:t>
      </w:r>
      <w:r w:rsidR="002B5AB9" w:rsidRPr="000B484A">
        <w:rPr>
          <w:rFonts w:cs="Calibri"/>
          <w:iCs/>
          <w:sz w:val="20"/>
          <w:szCs w:val="20"/>
        </w:rPr>
        <w:t>Centers for Disease Control and Prevention</w:t>
      </w:r>
      <w:r>
        <w:rPr>
          <w:rFonts w:cs="Calibri"/>
          <w:iCs/>
          <w:sz w:val="20"/>
          <w:szCs w:val="20"/>
        </w:rPr>
        <w:t xml:space="preserve">), </w:t>
      </w:r>
      <w:r w:rsidR="002B5AB9" w:rsidRPr="000B484A">
        <w:rPr>
          <w:rFonts w:cs="Calibri"/>
          <w:iCs/>
          <w:sz w:val="20"/>
          <w:szCs w:val="20"/>
        </w:rPr>
        <w:t>2009.</w:t>
      </w:r>
      <w:proofErr w:type="gramEnd"/>
      <w:r w:rsidR="002B5AB9" w:rsidRPr="000B484A">
        <w:rPr>
          <w:rFonts w:cs="Calibri"/>
          <w:iCs/>
          <w:sz w:val="20"/>
          <w:szCs w:val="20"/>
        </w:rPr>
        <w:t xml:space="preserve"> </w:t>
      </w:r>
      <w:proofErr w:type="gramStart"/>
      <w:r w:rsidR="002B5AB9" w:rsidRPr="000B484A">
        <w:rPr>
          <w:rFonts w:cs="Calibri"/>
          <w:sz w:val="20"/>
          <w:szCs w:val="20"/>
        </w:rPr>
        <w:t>Fourth National Report on Human Exposure to Environmental Chemicals.</w:t>
      </w:r>
      <w:proofErr w:type="gramEnd"/>
      <w:r w:rsidR="002B5AB9" w:rsidRPr="000B484A">
        <w:rPr>
          <w:rFonts w:cs="Calibri"/>
          <w:sz w:val="20"/>
          <w:szCs w:val="20"/>
        </w:rPr>
        <w:t xml:space="preserve"> </w:t>
      </w:r>
      <w:r>
        <w:rPr>
          <w:rFonts w:cs="Calibri"/>
          <w:sz w:val="20"/>
          <w:szCs w:val="20"/>
        </w:rPr>
        <w:t xml:space="preserve">U.S. </w:t>
      </w:r>
      <w:r w:rsidR="002B5AB9" w:rsidRPr="000B484A">
        <w:rPr>
          <w:rFonts w:cs="Calibri"/>
          <w:sz w:val="20"/>
          <w:szCs w:val="20"/>
        </w:rPr>
        <w:t>Departmen</w:t>
      </w:r>
      <w:r>
        <w:rPr>
          <w:rFonts w:cs="Calibri"/>
          <w:sz w:val="20"/>
          <w:szCs w:val="20"/>
        </w:rPr>
        <w:t xml:space="preserve">t of Health and Human Services, </w:t>
      </w:r>
      <w:r w:rsidR="002B5AB9" w:rsidRPr="000B484A">
        <w:rPr>
          <w:rFonts w:cs="Calibri"/>
          <w:sz w:val="20"/>
          <w:szCs w:val="20"/>
        </w:rPr>
        <w:t>Centers for Disease Control and Prevention</w:t>
      </w:r>
      <w:r>
        <w:rPr>
          <w:rFonts w:cs="Calibri"/>
          <w:sz w:val="20"/>
          <w:szCs w:val="20"/>
        </w:rPr>
        <w:t>, Atlanta</w:t>
      </w:r>
      <w:r w:rsidR="002B5AB9" w:rsidRPr="000B484A">
        <w:rPr>
          <w:rFonts w:cs="Calibri"/>
          <w:sz w:val="20"/>
          <w:szCs w:val="20"/>
        </w:rPr>
        <w:t xml:space="preserve">. </w:t>
      </w:r>
      <w:proofErr w:type="gramStart"/>
      <w:r w:rsidR="002B5AB9" w:rsidRPr="000B484A">
        <w:rPr>
          <w:rFonts w:cs="Calibri"/>
          <w:sz w:val="20"/>
          <w:szCs w:val="20"/>
        </w:rPr>
        <w:t xml:space="preserve">Available: </w:t>
      </w:r>
      <w:hyperlink r:id="rId28" w:history="1">
        <w:r w:rsidR="002B5AB9" w:rsidRPr="000B484A">
          <w:rPr>
            <w:rStyle w:val="Hyperlink"/>
            <w:rFonts w:cs="Calibri"/>
            <w:sz w:val="20"/>
            <w:szCs w:val="20"/>
          </w:rPr>
          <w:t>http://www.cdc.gov/exposurereport/index.html</w:t>
        </w:r>
      </w:hyperlink>
      <w:r w:rsidR="002B5AB9" w:rsidRPr="000B484A">
        <w:rPr>
          <w:rFonts w:cs="Calibri"/>
          <w:sz w:val="20"/>
          <w:szCs w:val="20"/>
        </w:rPr>
        <w:t>.</w:t>
      </w:r>
      <w:proofErr w:type="gramEnd"/>
      <w:r w:rsidR="002B5AB9" w:rsidRPr="000B484A">
        <w:rPr>
          <w:rFonts w:cs="Calibri"/>
          <w:sz w:val="20"/>
          <w:szCs w:val="20"/>
        </w:rPr>
        <w:t xml:space="preserve"> </w:t>
      </w:r>
    </w:p>
    <w:p w:rsidR="00366C6C" w:rsidRPr="00366C6C" w:rsidRDefault="00366C6C" w:rsidP="00366C6C">
      <w:pPr>
        <w:pStyle w:val="desc2"/>
        <w:shd w:val="clear" w:color="auto" w:fill="FFFFFF"/>
        <w:rPr>
          <w:rFonts w:asciiTheme="minorHAnsi" w:hAnsiTheme="minorHAnsi" w:cs="Arial"/>
          <w:bCs/>
          <w:sz w:val="20"/>
          <w:szCs w:val="20"/>
        </w:rPr>
      </w:pPr>
    </w:p>
    <w:p w:rsidR="00366C6C" w:rsidRDefault="00366C6C" w:rsidP="00366C6C">
      <w:pPr>
        <w:pStyle w:val="desc2"/>
        <w:shd w:val="clear" w:color="auto" w:fill="FFFFFF"/>
        <w:rPr>
          <w:rFonts w:asciiTheme="minorHAnsi" w:hAnsiTheme="minorHAnsi" w:cs="Arial"/>
          <w:sz w:val="20"/>
          <w:szCs w:val="20"/>
        </w:rPr>
      </w:pPr>
      <w:proofErr w:type="spellStart"/>
      <w:proofErr w:type="gramStart"/>
      <w:r w:rsidRPr="00366C6C">
        <w:rPr>
          <w:rFonts w:asciiTheme="minorHAnsi" w:hAnsiTheme="minorHAnsi" w:cs="Arial"/>
          <w:bCs/>
          <w:sz w:val="20"/>
          <w:szCs w:val="20"/>
        </w:rPr>
        <w:t>Chevrier</w:t>
      </w:r>
      <w:proofErr w:type="spellEnd"/>
      <w:r>
        <w:rPr>
          <w:rFonts w:asciiTheme="minorHAnsi" w:hAnsiTheme="minorHAnsi" w:cs="Arial"/>
          <w:bCs/>
          <w:sz w:val="20"/>
          <w:szCs w:val="20"/>
        </w:rPr>
        <w:t>,</w:t>
      </w:r>
      <w:r w:rsidRPr="00366C6C">
        <w:rPr>
          <w:rFonts w:asciiTheme="minorHAnsi" w:hAnsiTheme="minorHAnsi" w:cs="Arial"/>
          <w:sz w:val="20"/>
          <w:szCs w:val="20"/>
        </w:rPr>
        <w:t xml:space="preserve"> J</w:t>
      </w:r>
      <w:r>
        <w:rPr>
          <w:rFonts w:asciiTheme="minorHAnsi" w:hAnsiTheme="minorHAnsi" w:cs="Arial"/>
          <w:sz w:val="20"/>
          <w:szCs w:val="20"/>
        </w:rPr>
        <w:t>.</w:t>
      </w:r>
      <w:r w:rsidRPr="00366C6C">
        <w:rPr>
          <w:rFonts w:asciiTheme="minorHAnsi" w:hAnsiTheme="minorHAnsi" w:cs="Arial"/>
          <w:sz w:val="20"/>
          <w:szCs w:val="20"/>
        </w:rPr>
        <w:t>, Harley</w:t>
      </w:r>
      <w:r>
        <w:rPr>
          <w:rFonts w:asciiTheme="minorHAnsi" w:hAnsiTheme="minorHAnsi" w:cs="Arial"/>
          <w:sz w:val="20"/>
          <w:szCs w:val="20"/>
        </w:rPr>
        <w:t>,</w:t>
      </w:r>
      <w:r w:rsidRPr="00366C6C">
        <w:rPr>
          <w:rFonts w:asciiTheme="minorHAnsi" w:hAnsiTheme="minorHAnsi" w:cs="Arial"/>
          <w:sz w:val="20"/>
          <w:szCs w:val="20"/>
        </w:rPr>
        <w:t xml:space="preserve"> K</w:t>
      </w:r>
      <w:r>
        <w:rPr>
          <w:rFonts w:asciiTheme="minorHAnsi" w:hAnsiTheme="minorHAnsi" w:cs="Arial"/>
          <w:sz w:val="20"/>
          <w:szCs w:val="20"/>
        </w:rPr>
        <w:t>.</w:t>
      </w:r>
      <w:r w:rsidRPr="00366C6C">
        <w:rPr>
          <w:rFonts w:asciiTheme="minorHAnsi" w:hAnsiTheme="minorHAnsi" w:cs="Arial"/>
          <w:sz w:val="20"/>
          <w:szCs w:val="20"/>
        </w:rPr>
        <w:t>G</w:t>
      </w:r>
      <w:r>
        <w:rPr>
          <w:rFonts w:asciiTheme="minorHAnsi" w:hAnsiTheme="minorHAnsi" w:cs="Arial"/>
          <w:sz w:val="20"/>
          <w:szCs w:val="20"/>
        </w:rPr>
        <w:t>.</w:t>
      </w:r>
      <w:r w:rsidRPr="00366C6C">
        <w:rPr>
          <w:rFonts w:asciiTheme="minorHAnsi" w:hAnsiTheme="minorHAnsi" w:cs="Arial"/>
          <w:sz w:val="20"/>
          <w:szCs w:val="20"/>
        </w:rPr>
        <w:t>, Bradman</w:t>
      </w:r>
      <w:r>
        <w:rPr>
          <w:rFonts w:asciiTheme="minorHAnsi" w:hAnsiTheme="minorHAnsi" w:cs="Arial"/>
          <w:sz w:val="20"/>
          <w:szCs w:val="20"/>
        </w:rPr>
        <w:t>,</w:t>
      </w:r>
      <w:r w:rsidRPr="00366C6C">
        <w:rPr>
          <w:rFonts w:asciiTheme="minorHAnsi" w:hAnsiTheme="minorHAnsi" w:cs="Arial"/>
          <w:sz w:val="20"/>
          <w:szCs w:val="20"/>
        </w:rPr>
        <w:t xml:space="preserve"> A</w:t>
      </w:r>
      <w:r>
        <w:rPr>
          <w:rFonts w:asciiTheme="minorHAnsi" w:hAnsiTheme="minorHAnsi" w:cs="Arial"/>
          <w:sz w:val="20"/>
          <w:szCs w:val="20"/>
        </w:rPr>
        <w:t>.</w:t>
      </w:r>
      <w:r w:rsidRPr="00366C6C">
        <w:rPr>
          <w:rFonts w:asciiTheme="minorHAnsi" w:hAnsiTheme="minorHAnsi" w:cs="Arial"/>
          <w:sz w:val="20"/>
          <w:szCs w:val="20"/>
        </w:rPr>
        <w:t xml:space="preserve">, </w:t>
      </w:r>
      <w:proofErr w:type="spellStart"/>
      <w:r w:rsidRPr="00366C6C">
        <w:rPr>
          <w:rFonts w:asciiTheme="minorHAnsi" w:hAnsiTheme="minorHAnsi" w:cs="Arial"/>
          <w:sz w:val="20"/>
          <w:szCs w:val="20"/>
        </w:rPr>
        <w:t>Gharbi</w:t>
      </w:r>
      <w:proofErr w:type="spellEnd"/>
      <w:r>
        <w:rPr>
          <w:rFonts w:asciiTheme="minorHAnsi" w:hAnsiTheme="minorHAnsi" w:cs="Arial"/>
          <w:sz w:val="20"/>
          <w:szCs w:val="20"/>
        </w:rPr>
        <w:t>,</w:t>
      </w:r>
      <w:r w:rsidRPr="00366C6C">
        <w:rPr>
          <w:rFonts w:asciiTheme="minorHAnsi" w:hAnsiTheme="minorHAnsi" w:cs="Arial"/>
          <w:sz w:val="20"/>
          <w:szCs w:val="20"/>
        </w:rPr>
        <w:t xml:space="preserve"> M</w:t>
      </w:r>
      <w:r>
        <w:rPr>
          <w:rFonts w:asciiTheme="minorHAnsi" w:hAnsiTheme="minorHAnsi" w:cs="Arial"/>
          <w:sz w:val="20"/>
          <w:szCs w:val="20"/>
        </w:rPr>
        <w:t>.</w:t>
      </w:r>
      <w:r w:rsidRPr="00366C6C">
        <w:rPr>
          <w:rFonts w:asciiTheme="minorHAnsi" w:hAnsiTheme="minorHAnsi" w:cs="Arial"/>
          <w:sz w:val="20"/>
          <w:szCs w:val="20"/>
        </w:rPr>
        <w:t xml:space="preserve">, </w:t>
      </w:r>
      <w:proofErr w:type="spellStart"/>
      <w:r w:rsidRPr="00366C6C">
        <w:rPr>
          <w:rFonts w:asciiTheme="minorHAnsi" w:hAnsiTheme="minorHAnsi" w:cs="Arial"/>
          <w:sz w:val="20"/>
          <w:szCs w:val="20"/>
        </w:rPr>
        <w:t>Sjödin</w:t>
      </w:r>
      <w:proofErr w:type="spellEnd"/>
      <w:r>
        <w:rPr>
          <w:rFonts w:asciiTheme="minorHAnsi" w:hAnsiTheme="minorHAnsi" w:cs="Arial"/>
          <w:sz w:val="20"/>
          <w:szCs w:val="20"/>
        </w:rPr>
        <w:t>,</w:t>
      </w:r>
      <w:r w:rsidRPr="00366C6C">
        <w:rPr>
          <w:rFonts w:asciiTheme="minorHAnsi" w:hAnsiTheme="minorHAnsi" w:cs="Arial"/>
          <w:sz w:val="20"/>
          <w:szCs w:val="20"/>
        </w:rPr>
        <w:t xml:space="preserve"> A</w:t>
      </w:r>
      <w:r>
        <w:rPr>
          <w:rFonts w:asciiTheme="minorHAnsi" w:hAnsiTheme="minorHAnsi" w:cs="Arial"/>
          <w:sz w:val="20"/>
          <w:szCs w:val="20"/>
        </w:rPr>
        <w:t>.</w:t>
      </w:r>
      <w:r w:rsidRPr="00366C6C">
        <w:rPr>
          <w:rFonts w:asciiTheme="minorHAnsi" w:hAnsiTheme="minorHAnsi" w:cs="Arial"/>
          <w:sz w:val="20"/>
          <w:szCs w:val="20"/>
        </w:rPr>
        <w:t xml:space="preserve">, </w:t>
      </w:r>
      <w:proofErr w:type="spellStart"/>
      <w:r w:rsidRPr="00366C6C">
        <w:rPr>
          <w:rFonts w:asciiTheme="minorHAnsi" w:hAnsiTheme="minorHAnsi" w:cs="Arial"/>
          <w:sz w:val="20"/>
          <w:szCs w:val="20"/>
        </w:rPr>
        <w:t>Eskenazi</w:t>
      </w:r>
      <w:proofErr w:type="spellEnd"/>
      <w:r>
        <w:rPr>
          <w:rFonts w:asciiTheme="minorHAnsi" w:hAnsiTheme="minorHAnsi" w:cs="Arial"/>
          <w:sz w:val="20"/>
          <w:szCs w:val="20"/>
        </w:rPr>
        <w:t>,</w:t>
      </w:r>
      <w:r w:rsidRPr="00366C6C">
        <w:rPr>
          <w:rFonts w:asciiTheme="minorHAnsi" w:hAnsiTheme="minorHAnsi" w:cs="Arial"/>
          <w:sz w:val="20"/>
          <w:szCs w:val="20"/>
        </w:rPr>
        <w:t xml:space="preserve"> B.</w:t>
      </w:r>
      <w:r>
        <w:rPr>
          <w:rFonts w:asciiTheme="minorHAnsi" w:hAnsiTheme="minorHAnsi" w:cs="Arial"/>
          <w:sz w:val="20"/>
          <w:szCs w:val="20"/>
        </w:rPr>
        <w:t xml:space="preserve"> 2010.</w:t>
      </w:r>
      <w:proofErr w:type="gramEnd"/>
      <w:r>
        <w:rPr>
          <w:rFonts w:asciiTheme="minorHAnsi" w:hAnsiTheme="minorHAnsi" w:cs="Arial"/>
          <w:sz w:val="20"/>
          <w:szCs w:val="20"/>
        </w:rPr>
        <w:t xml:space="preserve"> </w:t>
      </w:r>
      <w:proofErr w:type="spellStart"/>
      <w:r w:rsidRPr="00366C6C">
        <w:rPr>
          <w:rFonts w:asciiTheme="minorHAnsi" w:hAnsiTheme="minorHAnsi" w:cs="Arial"/>
          <w:sz w:val="20"/>
          <w:szCs w:val="20"/>
        </w:rPr>
        <w:t>Polybrominated</w:t>
      </w:r>
      <w:proofErr w:type="spellEnd"/>
      <w:r w:rsidRPr="00366C6C">
        <w:rPr>
          <w:rFonts w:asciiTheme="minorHAnsi" w:hAnsiTheme="minorHAnsi" w:cs="Arial"/>
          <w:sz w:val="20"/>
          <w:szCs w:val="20"/>
        </w:rPr>
        <w:t xml:space="preserve"> </w:t>
      </w:r>
      <w:proofErr w:type="spellStart"/>
      <w:r w:rsidRPr="00366C6C">
        <w:rPr>
          <w:rFonts w:asciiTheme="minorHAnsi" w:hAnsiTheme="minorHAnsi" w:cs="Arial"/>
          <w:sz w:val="20"/>
          <w:szCs w:val="20"/>
        </w:rPr>
        <w:t>diphenyl</w:t>
      </w:r>
      <w:proofErr w:type="spellEnd"/>
      <w:r w:rsidRPr="00366C6C">
        <w:rPr>
          <w:rFonts w:asciiTheme="minorHAnsi" w:hAnsiTheme="minorHAnsi" w:cs="Arial"/>
          <w:sz w:val="20"/>
          <w:szCs w:val="20"/>
        </w:rPr>
        <w:t xml:space="preserve"> ether (PBDE) </w:t>
      </w:r>
      <w:proofErr w:type="gramStart"/>
      <w:r w:rsidRPr="00366C6C">
        <w:rPr>
          <w:rFonts w:asciiTheme="minorHAnsi" w:hAnsiTheme="minorHAnsi" w:cs="Arial"/>
          <w:sz w:val="20"/>
          <w:szCs w:val="20"/>
        </w:rPr>
        <w:t>flame retardants</w:t>
      </w:r>
      <w:proofErr w:type="gramEnd"/>
      <w:r w:rsidRPr="00366C6C">
        <w:rPr>
          <w:rFonts w:asciiTheme="minorHAnsi" w:hAnsiTheme="minorHAnsi" w:cs="Arial"/>
          <w:sz w:val="20"/>
          <w:szCs w:val="20"/>
        </w:rPr>
        <w:t xml:space="preserve"> and thyroid hormone during pregnancy.</w:t>
      </w:r>
      <w:r>
        <w:rPr>
          <w:rFonts w:asciiTheme="minorHAnsi" w:hAnsiTheme="minorHAnsi" w:cs="Arial"/>
          <w:sz w:val="20"/>
          <w:szCs w:val="20"/>
        </w:rPr>
        <w:t xml:space="preserve"> Environ. </w:t>
      </w:r>
      <w:proofErr w:type="gramStart"/>
      <w:r>
        <w:rPr>
          <w:rFonts w:asciiTheme="minorHAnsi" w:hAnsiTheme="minorHAnsi" w:cs="Arial"/>
          <w:sz w:val="20"/>
          <w:szCs w:val="20"/>
        </w:rPr>
        <w:t xml:space="preserve">Health </w:t>
      </w:r>
      <w:proofErr w:type="spellStart"/>
      <w:r>
        <w:rPr>
          <w:rFonts w:asciiTheme="minorHAnsi" w:hAnsiTheme="minorHAnsi" w:cs="Arial"/>
          <w:sz w:val="20"/>
          <w:szCs w:val="20"/>
        </w:rPr>
        <w:t>Perspect</w:t>
      </w:r>
      <w:proofErr w:type="spellEnd"/>
      <w:r>
        <w:rPr>
          <w:rFonts w:asciiTheme="minorHAnsi" w:hAnsiTheme="minorHAnsi" w:cs="Arial"/>
          <w:sz w:val="20"/>
          <w:szCs w:val="20"/>
        </w:rPr>
        <w:t>.</w:t>
      </w:r>
      <w:proofErr w:type="gramEnd"/>
      <w:r>
        <w:rPr>
          <w:rFonts w:asciiTheme="minorHAnsi" w:hAnsiTheme="minorHAnsi" w:cs="Arial"/>
          <w:sz w:val="20"/>
          <w:szCs w:val="20"/>
        </w:rPr>
        <w:t xml:space="preserve"> </w:t>
      </w:r>
      <w:proofErr w:type="gramStart"/>
      <w:r w:rsidRPr="00366C6C">
        <w:rPr>
          <w:rFonts w:asciiTheme="minorHAnsi" w:hAnsiTheme="minorHAnsi" w:cs="Arial"/>
          <w:sz w:val="20"/>
          <w:szCs w:val="20"/>
        </w:rPr>
        <w:t>118</w:t>
      </w:r>
      <w:proofErr w:type="gramEnd"/>
      <w:r w:rsidRPr="00366C6C">
        <w:rPr>
          <w:rFonts w:asciiTheme="minorHAnsi" w:hAnsiTheme="minorHAnsi" w:cs="Arial"/>
          <w:sz w:val="20"/>
          <w:szCs w:val="20"/>
        </w:rPr>
        <w:t>(10):1444-</w:t>
      </w:r>
      <w:r>
        <w:rPr>
          <w:rFonts w:asciiTheme="minorHAnsi" w:hAnsiTheme="minorHAnsi" w:cs="Arial"/>
          <w:sz w:val="20"/>
          <w:szCs w:val="20"/>
        </w:rPr>
        <w:t>144</w:t>
      </w:r>
      <w:r w:rsidRPr="00366C6C">
        <w:rPr>
          <w:rFonts w:asciiTheme="minorHAnsi" w:hAnsiTheme="minorHAnsi" w:cs="Arial"/>
          <w:sz w:val="20"/>
          <w:szCs w:val="20"/>
        </w:rPr>
        <w:t>9</w:t>
      </w:r>
      <w:r>
        <w:rPr>
          <w:rFonts w:asciiTheme="minorHAnsi" w:hAnsiTheme="minorHAnsi" w:cs="Arial"/>
          <w:sz w:val="20"/>
          <w:szCs w:val="20"/>
        </w:rPr>
        <w:t>.</w:t>
      </w:r>
    </w:p>
    <w:p w:rsidR="00366C6C" w:rsidRDefault="00366C6C" w:rsidP="00366C6C">
      <w:pPr>
        <w:pStyle w:val="desc2"/>
        <w:shd w:val="clear" w:color="auto" w:fill="FFFFFF"/>
        <w:rPr>
          <w:rFonts w:asciiTheme="minorHAnsi" w:hAnsiTheme="minorHAnsi" w:cs="Arial"/>
          <w:sz w:val="20"/>
          <w:szCs w:val="20"/>
        </w:rPr>
      </w:pPr>
    </w:p>
    <w:p w:rsidR="00366C6C" w:rsidRPr="00366C6C" w:rsidRDefault="00366C6C" w:rsidP="00366C6C">
      <w:pPr>
        <w:pStyle w:val="desc2"/>
        <w:shd w:val="clear" w:color="auto" w:fill="FFFFFF"/>
        <w:rPr>
          <w:rFonts w:asciiTheme="minorHAnsi" w:hAnsiTheme="minorHAnsi" w:cs="Arial"/>
          <w:sz w:val="20"/>
          <w:szCs w:val="20"/>
        </w:rPr>
      </w:pPr>
      <w:proofErr w:type="spellStart"/>
      <w:proofErr w:type="gramStart"/>
      <w:r w:rsidRPr="00366C6C">
        <w:rPr>
          <w:rFonts w:asciiTheme="minorHAnsi" w:hAnsiTheme="minorHAnsi" w:cs="Arial"/>
          <w:sz w:val="20"/>
          <w:szCs w:val="20"/>
        </w:rPr>
        <w:t>Chevrier</w:t>
      </w:r>
      <w:proofErr w:type="spellEnd"/>
      <w:r>
        <w:rPr>
          <w:rFonts w:asciiTheme="minorHAnsi" w:hAnsiTheme="minorHAnsi" w:cs="Arial"/>
          <w:sz w:val="20"/>
          <w:szCs w:val="20"/>
        </w:rPr>
        <w:t>,</w:t>
      </w:r>
      <w:r w:rsidRPr="00366C6C">
        <w:rPr>
          <w:rFonts w:asciiTheme="minorHAnsi" w:hAnsiTheme="minorHAnsi" w:cs="Arial"/>
          <w:sz w:val="20"/>
          <w:szCs w:val="20"/>
        </w:rPr>
        <w:t xml:space="preserve"> J</w:t>
      </w:r>
      <w:r>
        <w:rPr>
          <w:rFonts w:asciiTheme="minorHAnsi" w:hAnsiTheme="minorHAnsi" w:cs="Arial"/>
          <w:sz w:val="20"/>
          <w:szCs w:val="20"/>
        </w:rPr>
        <w:t>.</w:t>
      </w:r>
      <w:r w:rsidRPr="00366C6C">
        <w:rPr>
          <w:rFonts w:asciiTheme="minorHAnsi" w:hAnsiTheme="minorHAnsi" w:cs="Arial"/>
          <w:sz w:val="20"/>
          <w:szCs w:val="20"/>
        </w:rPr>
        <w:t>, Harley</w:t>
      </w:r>
      <w:r>
        <w:rPr>
          <w:rFonts w:asciiTheme="minorHAnsi" w:hAnsiTheme="minorHAnsi" w:cs="Arial"/>
          <w:sz w:val="20"/>
          <w:szCs w:val="20"/>
        </w:rPr>
        <w:t>,</w:t>
      </w:r>
      <w:r w:rsidRPr="00366C6C">
        <w:rPr>
          <w:rFonts w:asciiTheme="minorHAnsi" w:hAnsiTheme="minorHAnsi" w:cs="Arial"/>
          <w:sz w:val="20"/>
          <w:szCs w:val="20"/>
        </w:rPr>
        <w:t xml:space="preserve"> K</w:t>
      </w:r>
      <w:r>
        <w:rPr>
          <w:rFonts w:asciiTheme="minorHAnsi" w:hAnsiTheme="minorHAnsi" w:cs="Arial"/>
          <w:sz w:val="20"/>
          <w:szCs w:val="20"/>
        </w:rPr>
        <w:t>.</w:t>
      </w:r>
      <w:r w:rsidRPr="00366C6C">
        <w:rPr>
          <w:rFonts w:asciiTheme="minorHAnsi" w:hAnsiTheme="minorHAnsi" w:cs="Arial"/>
          <w:sz w:val="20"/>
          <w:szCs w:val="20"/>
        </w:rPr>
        <w:t>G</w:t>
      </w:r>
      <w:r>
        <w:rPr>
          <w:rFonts w:asciiTheme="minorHAnsi" w:hAnsiTheme="minorHAnsi" w:cs="Arial"/>
          <w:sz w:val="20"/>
          <w:szCs w:val="20"/>
        </w:rPr>
        <w:t>.</w:t>
      </w:r>
      <w:r w:rsidRPr="00366C6C">
        <w:rPr>
          <w:rFonts w:asciiTheme="minorHAnsi" w:hAnsiTheme="minorHAnsi" w:cs="Arial"/>
          <w:sz w:val="20"/>
          <w:szCs w:val="20"/>
        </w:rPr>
        <w:t>, Bradman</w:t>
      </w:r>
      <w:r>
        <w:rPr>
          <w:rFonts w:asciiTheme="minorHAnsi" w:hAnsiTheme="minorHAnsi" w:cs="Arial"/>
          <w:sz w:val="20"/>
          <w:szCs w:val="20"/>
        </w:rPr>
        <w:t>,</w:t>
      </w:r>
      <w:r w:rsidRPr="00366C6C">
        <w:rPr>
          <w:rFonts w:asciiTheme="minorHAnsi" w:hAnsiTheme="minorHAnsi" w:cs="Arial"/>
          <w:sz w:val="20"/>
          <w:szCs w:val="20"/>
        </w:rPr>
        <w:t xml:space="preserve"> A</w:t>
      </w:r>
      <w:r>
        <w:rPr>
          <w:rFonts w:asciiTheme="minorHAnsi" w:hAnsiTheme="minorHAnsi" w:cs="Arial"/>
          <w:sz w:val="20"/>
          <w:szCs w:val="20"/>
        </w:rPr>
        <w:t>.</w:t>
      </w:r>
      <w:r w:rsidRPr="00366C6C">
        <w:rPr>
          <w:rFonts w:asciiTheme="minorHAnsi" w:hAnsiTheme="minorHAnsi" w:cs="Arial"/>
          <w:sz w:val="20"/>
          <w:szCs w:val="20"/>
        </w:rPr>
        <w:t xml:space="preserve">, </w:t>
      </w:r>
      <w:proofErr w:type="spellStart"/>
      <w:r w:rsidRPr="00366C6C">
        <w:rPr>
          <w:rFonts w:asciiTheme="minorHAnsi" w:hAnsiTheme="minorHAnsi" w:cs="Arial"/>
          <w:sz w:val="20"/>
          <w:szCs w:val="20"/>
        </w:rPr>
        <w:t>Sjödin</w:t>
      </w:r>
      <w:proofErr w:type="spellEnd"/>
      <w:r>
        <w:rPr>
          <w:rFonts w:asciiTheme="minorHAnsi" w:hAnsiTheme="minorHAnsi" w:cs="Arial"/>
          <w:sz w:val="20"/>
          <w:szCs w:val="20"/>
        </w:rPr>
        <w:t>,</w:t>
      </w:r>
      <w:r w:rsidRPr="00366C6C">
        <w:rPr>
          <w:rFonts w:asciiTheme="minorHAnsi" w:hAnsiTheme="minorHAnsi" w:cs="Arial"/>
          <w:sz w:val="20"/>
          <w:szCs w:val="20"/>
        </w:rPr>
        <w:t xml:space="preserve"> A</w:t>
      </w:r>
      <w:r>
        <w:rPr>
          <w:rFonts w:asciiTheme="minorHAnsi" w:hAnsiTheme="minorHAnsi" w:cs="Arial"/>
          <w:sz w:val="20"/>
          <w:szCs w:val="20"/>
        </w:rPr>
        <w:t>.</w:t>
      </w:r>
      <w:r w:rsidRPr="00366C6C">
        <w:rPr>
          <w:rFonts w:asciiTheme="minorHAnsi" w:hAnsiTheme="minorHAnsi" w:cs="Arial"/>
          <w:sz w:val="20"/>
          <w:szCs w:val="20"/>
        </w:rPr>
        <w:t xml:space="preserve">, </w:t>
      </w:r>
      <w:proofErr w:type="spellStart"/>
      <w:r w:rsidRPr="00366C6C">
        <w:rPr>
          <w:rFonts w:asciiTheme="minorHAnsi" w:hAnsiTheme="minorHAnsi" w:cs="Arial"/>
          <w:sz w:val="20"/>
          <w:szCs w:val="20"/>
        </w:rPr>
        <w:t>Eskenazi</w:t>
      </w:r>
      <w:proofErr w:type="spellEnd"/>
      <w:r>
        <w:rPr>
          <w:rFonts w:asciiTheme="minorHAnsi" w:hAnsiTheme="minorHAnsi" w:cs="Arial"/>
          <w:sz w:val="20"/>
          <w:szCs w:val="20"/>
        </w:rPr>
        <w:t>,</w:t>
      </w:r>
      <w:r w:rsidRPr="00366C6C">
        <w:rPr>
          <w:rFonts w:asciiTheme="minorHAnsi" w:hAnsiTheme="minorHAnsi" w:cs="Arial"/>
          <w:sz w:val="20"/>
          <w:szCs w:val="20"/>
        </w:rPr>
        <w:t xml:space="preserve"> B.</w:t>
      </w:r>
      <w:r>
        <w:rPr>
          <w:rFonts w:asciiTheme="minorHAnsi" w:hAnsiTheme="minorHAnsi" w:cs="Arial"/>
          <w:sz w:val="20"/>
          <w:szCs w:val="20"/>
        </w:rPr>
        <w:t xml:space="preserve"> 2011.</w:t>
      </w:r>
      <w:proofErr w:type="gramEnd"/>
      <w:r>
        <w:rPr>
          <w:rFonts w:asciiTheme="minorHAnsi" w:hAnsiTheme="minorHAnsi" w:cs="Arial"/>
          <w:sz w:val="20"/>
          <w:szCs w:val="20"/>
        </w:rPr>
        <w:t xml:space="preserve"> </w:t>
      </w:r>
      <w:r w:rsidRPr="00366C6C">
        <w:rPr>
          <w:rFonts w:asciiTheme="minorHAnsi" w:hAnsiTheme="minorHAnsi" w:cs="Arial"/>
          <w:sz w:val="20"/>
          <w:szCs w:val="20"/>
        </w:rPr>
        <w:t xml:space="preserve">Prenatal exposure to </w:t>
      </w:r>
      <w:proofErr w:type="spellStart"/>
      <w:r w:rsidRPr="00366C6C">
        <w:rPr>
          <w:rFonts w:asciiTheme="minorHAnsi" w:hAnsiTheme="minorHAnsi" w:cs="Arial"/>
          <w:sz w:val="20"/>
          <w:szCs w:val="20"/>
        </w:rPr>
        <w:t>polybrominated</w:t>
      </w:r>
      <w:proofErr w:type="spellEnd"/>
      <w:r w:rsidRPr="00366C6C">
        <w:rPr>
          <w:rFonts w:asciiTheme="minorHAnsi" w:hAnsiTheme="minorHAnsi" w:cs="Arial"/>
          <w:sz w:val="20"/>
          <w:szCs w:val="20"/>
        </w:rPr>
        <w:t xml:space="preserve"> </w:t>
      </w:r>
      <w:proofErr w:type="spellStart"/>
      <w:r w:rsidRPr="00366C6C">
        <w:rPr>
          <w:rFonts w:asciiTheme="minorHAnsi" w:hAnsiTheme="minorHAnsi" w:cs="Arial"/>
          <w:sz w:val="20"/>
          <w:szCs w:val="20"/>
        </w:rPr>
        <w:t>diphenyl</w:t>
      </w:r>
      <w:proofErr w:type="spellEnd"/>
      <w:r w:rsidRPr="00366C6C">
        <w:rPr>
          <w:rFonts w:asciiTheme="minorHAnsi" w:hAnsiTheme="minorHAnsi" w:cs="Arial"/>
          <w:sz w:val="20"/>
          <w:szCs w:val="20"/>
        </w:rPr>
        <w:t xml:space="preserve"> ether </w:t>
      </w:r>
      <w:proofErr w:type="gramStart"/>
      <w:r w:rsidRPr="00366C6C">
        <w:rPr>
          <w:rFonts w:asciiTheme="minorHAnsi" w:hAnsiTheme="minorHAnsi" w:cs="Arial"/>
          <w:sz w:val="20"/>
          <w:szCs w:val="20"/>
        </w:rPr>
        <w:t>flame retardants</w:t>
      </w:r>
      <w:proofErr w:type="gramEnd"/>
      <w:r w:rsidRPr="00366C6C">
        <w:rPr>
          <w:rFonts w:asciiTheme="minorHAnsi" w:hAnsiTheme="minorHAnsi" w:cs="Arial"/>
          <w:sz w:val="20"/>
          <w:szCs w:val="20"/>
        </w:rPr>
        <w:t xml:space="preserve"> and neonatal thyroid-stimulating hormone levels in the CHAMACOS study.</w:t>
      </w:r>
      <w:r w:rsidRPr="00366C6C">
        <w:t xml:space="preserve"> </w:t>
      </w:r>
      <w:r w:rsidRPr="00366C6C">
        <w:rPr>
          <w:rFonts w:asciiTheme="minorHAnsi" w:hAnsiTheme="minorHAnsi" w:cs="Arial"/>
          <w:sz w:val="20"/>
          <w:szCs w:val="20"/>
        </w:rPr>
        <w:t>Am</w:t>
      </w:r>
      <w:r>
        <w:rPr>
          <w:rFonts w:asciiTheme="minorHAnsi" w:hAnsiTheme="minorHAnsi" w:cs="Arial"/>
          <w:sz w:val="20"/>
          <w:szCs w:val="20"/>
        </w:rPr>
        <w:t>.</w:t>
      </w:r>
      <w:r w:rsidRPr="00366C6C">
        <w:rPr>
          <w:rFonts w:asciiTheme="minorHAnsi" w:hAnsiTheme="minorHAnsi" w:cs="Arial"/>
          <w:sz w:val="20"/>
          <w:szCs w:val="20"/>
        </w:rPr>
        <w:t xml:space="preserve"> J</w:t>
      </w:r>
      <w:r>
        <w:rPr>
          <w:rFonts w:asciiTheme="minorHAnsi" w:hAnsiTheme="minorHAnsi" w:cs="Arial"/>
          <w:sz w:val="20"/>
          <w:szCs w:val="20"/>
        </w:rPr>
        <w:t>.</w:t>
      </w:r>
      <w:r w:rsidRPr="00366C6C">
        <w:rPr>
          <w:rFonts w:asciiTheme="minorHAnsi" w:hAnsiTheme="minorHAnsi" w:cs="Arial"/>
          <w:sz w:val="20"/>
          <w:szCs w:val="20"/>
        </w:rPr>
        <w:t xml:space="preserve"> </w:t>
      </w:r>
      <w:proofErr w:type="spellStart"/>
      <w:r w:rsidRPr="00366C6C">
        <w:rPr>
          <w:rFonts w:asciiTheme="minorHAnsi" w:hAnsiTheme="minorHAnsi" w:cs="Arial"/>
          <w:sz w:val="20"/>
          <w:szCs w:val="20"/>
        </w:rPr>
        <w:t>Epidemiol</w:t>
      </w:r>
      <w:proofErr w:type="spellEnd"/>
      <w:r w:rsidRPr="00366C6C">
        <w:rPr>
          <w:rFonts w:asciiTheme="minorHAnsi" w:hAnsiTheme="minorHAnsi" w:cs="Arial"/>
          <w:sz w:val="20"/>
          <w:szCs w:val="20"/>
        </w:rPr>
        <w:t xml:space="preserve">. </w:t>
      </w:r>
      <w:proofErr w:type="gramStart"/>
      <w:r w:rsidRPr="00366C6C">
        <w:rPr>
          <w:rFonts w:asciiTheme="minorHAnsi" w:hAnsiTheme="minorHAnsi" w:cs="Arial"/>
          <w:sz w:val="20"/>
          <w:szCs w:val="20"/>
        </w:rPr>
        <w:t>174</w:t>
      </w:r>
      <w:proofErr w:type="gramEnd"/>
      <w:r w:rsidRPr="00366C6C">
        <w:rPr>
          <w:rFonts w:asciiTheme="minorHAnsi" w:hAnsiTheme="minorHAnsi" w:cs="Arial"/>
          <w:sz w:val="20"/>
          <w:szCs w:val="20"/>
        </w:rPr>
        <w:t>(10):1166-</w:t>
      </w:r>
      <w:r>
        <w:rPr>
          <w:rFonts w:asciiTheme="minorHAnsi" w:hAnsiTheme="minorHAnsi" w:cs="Arial"/>
          <w:sz w:val="20"/>
          <w:szCs w:val="20"/>
        </w:rPr>
        <w:t>11</w:t>
      </w:r>
      <w:r w:rsidRPr="00366C6C">
        <w:rPr>
          <w:rFonts w:asciiTheme="minorHAnsi" w:hAnsiTheme="minorHAnsi" w:cs="Arial"/>
          <w:sz w:val="20"/>
          <w:szCs w:val="20"/>
        </w:rPr>
        <w:t>74</w:t>
      </w:r>
      <w:r>
        <w:rPr>
          <w:rFonts w:asciiTheme="minorHAnsi" w:hAnsiTheme="minorHAnsi" w:cs="Arial"/>
          <w:sz w:val="20"/>
          <w:szCs w:val="20"/>
        </w:rPr>
        <w:t>.</w:t>
      </w:r>
    </w:p>
    <w:p w:rsidR="002B5AB9" w:rsidRDefault="002B5AB9" w:rsidP="002B5AB9">
      <w:pPr>
        <w:spacing w:before="240" w:after="0" w:line="240" w:lineRule="auto"/>
        <w:rPr>
          <w:rFonts w:eastAsia="Times New Roman" w:cs="Calibri"/>
          <w:bCs/>
          <w:sz w:val="20"/>
          <w:szCs w:val="20"/>
        </w:rPr>
      </w:pPr>
      <w:proofErr w:type="gramStart"/>
      <w:r w:rsidRPr="00366C6C">
        <w:rPr>
          <w:rFonts w:asciiTheme="minorHAnsi" w:eastAsia="Times New Roman" w:hAnsiTheme="minorHAnsi" w:cs="Calibri"/>
          <w:bCs/>
          <w:sz w:val="20"/>
          <w:szCs w:val="20"/>
        </w:rPr>
        <w:t>Costa</w:t>
      </w:r>
      <w:r w:rsidR="00FA51BF" w:rsidRPr="00366C6C">
        <w:rPr>
          <w:rFonts w:asciiTheme="minorHAnsi" w:eastAsia="Times New Roman" w:hAnsiTheme="minorHAnsi" w:cs="Calibri"/>
          <w:bCs/>
          <w:sz w:val="20"/>
          <w:szCs w:val="20"/>
        </w:rPr>
        <w:t>,</w:t>
      </w:r>
      <w:r w:rsidRPr="00366C6C">
        <w:rPr>
          <w:rFonts w:asciiTheme="minorHAnsi" w:eastAsia="Times New Roman" w:hAnsiTheme="minorHAnsi" w:cs="Calibri"/>
          <w:bCs/>
          <w:sz w:val="20"/>
          <w:szCs w:val="20"/>
        </w:rPr>
        <w:t xml:space="preserve"> L</w:t>
      </w:r>
      <w:r w:rsidR="00FA51BF" w:rsidRPr="00366C6C">
        <w:rPr>
          <w:rFonts w:asciiTheme="minorHAnsi" w:eastAsia="Times New Roman" w:hAnsiTheme="minorHAnsi" w:cs="Calibri"/>
          <w:bCs/>
          <w:sz w:val="20"/>
          <w:szCs w:val="20"/>
        </w:rPr>
        <w:t>.</w:t>
      </w:r>
      <w:r w:rsidRPr="00366C6C">
        <w:rPr>
          <w:rFonts w:asciiTheme="minorHAnsi" w:eastAsia="Times New Roman" w:hAnsiTheme="minorHAnsi" w:cs="Calibri"/>
          <w:bCs/>
          <w:sz w:val="20"/>
          <w:szCs w:val="20"/>
        </w:rPr>
        <w:t>G</w:t>
      </w:r>
      <w:r w:rsidR="00FA51BF" w:rsidRPr="00366C6C">
        <w:rPr>
          <w:rFonts w:asciiTheme="minorHAnsi" w:eastAsia="Times New Roman" w:hAnsiTheme="minorHAnsi" w:cs="Calibri"/>
          <w:bCs/>
          <w:sz w:val="20"/>
          <w:szCs w:val="20"/>
        </w:rPr>
        <w:t>.</w:t>
      </w:r>
      <w:r w:rsidRPr="00366C6C">
        <w:rPr>
          <w:rFonts w:asciiTheme="minorHAnsi" w:eastAsia="Times New Roman" w:hAnsiTheme="minorHAnsi" w:cs="Calibri"/>
          <w:bCs/>
          <w:sz w:val="20"/>
          <w:szCs w:val="20"/>
        </w:rPr>
        <w:t>, Giordano</w:t>
      </w:r>
      <w:r w:rsidR="00FA51BF" w:rsidRPr="00366C6C">
        <w:rPr>
          <w:rFonts w:asciiTheme="minorHAnsi" w:eastAsia="Times New Roman" w:hAnsiTheme="minorHAnsi" w:cs="Calibri"/>
          <w:bCs/>
          <w:sz w:val="20"/>
          <w:szCs w:val="20"/>
        </w:rPr>
        <w:t>,</w:t>
      </w:r>
      <w:r w:rsidRPr="00366C6C">
        <w:rPr>
          <w:rFonts w:asciiTheme="minorHAnsi" w:eastAsia="Times New Roman" w:hAnsiTheme="minorHAnsi" w:cs="Calibri"/>
          <w:bCs/>
          <w:sz w:val="20"/>
          <w:szCs w:val="20"/>
        </w:rPr>
        <w:t xml:space="preserve"> G</w:t>
      </w:r>
      <w:r w:rsidR="00FA51BF" w:rsidRPr="00366C6C">
        <w:rPr>
          <w:rFonts w:asciiTheme="minorHAnsi" w:eastAsia="Times New Roman" w:hAnsiTheme="minorHAnsi" w:cs="Calibri"/>
          <w:bCs/>
          <w:sz w:val="20"/>
          <w:szCs w:val="20"/>
        </w:rPr>
        <w:t>.</w:t>
      </w:r>
      <w:r w:rsidRPr="00366C6C">
        <w:rPr>
          <w:rFonts w:asciiTheme="minorHAnsi" w:eastAsia="Times New Roman" w:hAnsiTheme="minorHAnsi" w:cs="Calibri"/>
          <w:bCs/>
          <w:sz w:val="20"/>
          <w:szCs w:val="20"/>
        </w:rPr>
        <w:t xml:space="preserve">, </w:t>
      </w:r>
      <w:proofErr w:type="spellStart"/>
      <w:r w:rsidRPr="00366C6C">
        <w:rPr>
          <w:rFonts w:asciiTheme="minorHAnsi" w:eastAsia="Times New Roman" w:hAnsiTheme="minorHAnsi" w:cs="Calibri"/>
          <w:bCs/>
          <w:sz w:val="20"/>
          <w:szCs w:val="20"/>
        </w:rPr>
        <w:t>Tagliaferri</w:t>
      </w:r>
      <w:proofErr w:type="spellEnd"/>
      <w:r w:rsidR="00FA51BF" w:rsidRPr="00366C6C">
        <w:rPr>
          <w:rFonts w:asciiTheme="minorHAnsi" w:eastAsia="Times New Roman" w:hAnsiTheme="minorHAnsi" w:cs="Calibri"/>
          <w:bCs/>
          <w:sz w:val="20"/>
          <w:szCs w:val="20"/>
        </w:rPr>
        <w:t>,</w:t>
      </w:r>
      <w:r w:rsidRPr="00366C6C">
        <w:rPr>
          <w:rFonts w:asciiTheme="minorHAnsi" w:eastAsia="Times New Roman" w:hAnsiTheme="minorHAnsi" w:cs="Calibri"/>
          <w:bCs/>
          <w:sz w:val="20"/>
          <w:szCs w:val="20"/>
        </w:rPr>
        <w:t xml:space="preserve"> S</w:t>
      </w:r>
      <w:r w:rsidR="00FA51BF" w:rsidRPr="00366C6C">
        <w:rPr>
          <w:rFonts w:asciiTheme="minorHAnsi" w:eastAsia="Times New Roman" w:hAnsiTheme="minorHAnsi" w:cs="Calibri"/>
          <w:bCs/>
          <w:sz w:val="20"/>
          <w:szCs w:val="20"/>
        </w:rPr>
        <w:t>.</w:t>
      </w:r>
      <w:r w:rsidRPr="00366C6C">
        <w:rPr>
          <w:rFonts w:asciiTheme="minorHAnsi" w:eastAsia="Times New Roman" w:hAnsiTheme="minorHAnsi" w:cs="Calibri"/>
          <w:bCs/>
          <w:sz w:val="20"/>
          <w:szCs w:val="20"/>
        </w:rPr>
        <w:t xml:space="preserve">, </w:t>
      </w:r>
      <w:proofErr w:type="spellStart"/>
      <w:r w:rsidRPr="00366C6C">
        <w:rPr>
          <w:rFonts w:asciiTheme="minorHAnsi" w:eastAsia="Times New Roman" w:hAnsiTheme="minorHAnsi" w:cs="Calibri"/>
          <w:bCs/>
          <w:sz w:val="20"/>
          <w:szCs w:val="20"/>
        </w:rPr>
        <w:t>Caglieri</w:t>
      </w:r>
      <w:proofErr w:type="spellEnd"/>
      <w:r w:rsidR="00FA51BF" w:rsidRPr="00366C6C">
        <w:rPr>
          <w:rFonts w:asciiTheme="minorHAnsi" w:eastAsia="Times New Roman" w:hAnsiTheme="minorHAnsi" w:cs="Calibri"/>
          <w:bCs/>
          <w:sz w:val="20"/>
          <w:szCs w:val="20"/>
        </w:rPr>
        <w:t>,</w:t>
      </w:r>
      <w:r w:rsidRPr="00366C6C">
        <w:rPr>
          <w:rFonts w:asciiTheme="minorHAnsi" w:eastAsia="Times New Roman" w:hAnsiTheme="minorHAnsi" w:cs="Calibri"/>
          <w:bCs/>
          <w:sz w:val="20"/>
          <w:szCs w:val="20"/>
        </w:rPr>
        <w:t xml:space="preserve"> A</w:t>
      </w:r>
      <w:r w:rsidR="00FA51BF" w:rsidRPr="00366C6C">
        <w:rPr>
          <w:rFonts w:asciiTheme="minorHAnsi" w:eastAsia="Times New Roman" w:hAnsiTheme="minorHAnsi" w:cs="Calibri"/>
          <w:bCs/>
          <w:sz w:val="20"/>
          <w:szCs w:val="20"/>
        </w:rPr>
        <w:t xml:space="preserve">., </w:t>
      </w:r>
      <w:proofErr w:type="spellStart"/>
      <w:r w:rsidR="00FA51BF" w:rsidRPr="00366C6C">
        <w:rPr>
          <w:rFonts w:asciiTheme="minorHAnsi" w:eastAsia="Times New Roman" w:hAnsiTheme="minorHAnsi" w:cs="Calibri"/>
          <w:bCs/>
          <w:sz w:val="20"/>
          <w:szCs w:val="20"/>
        </w:rPr>
        <w:t>Mutti</w:t>
      </w:r>
      <w:proofErr w:type="spellEnd"/>
      <w:r w:rsidR="00FA51BF" w:rsidRPr="00366C6C">
        <w:rPr>
          <w:rFonts w:asciiTheme="minorHAnsi" w:eastAsia="Times New Roman" w:hAnsiTheme="minorHAnsi" w:cs="Calibri"/>
          <w:bCs/>
          <w:sz w:val="20"/>
          <w:szCs w:val="20"/>
        </w:rPr>
        <w:t xml:space="preserve">, </w:t>
      </w:r>
      <w:r w:rsidRPr="00366C6C">
        <w:rPr>
          <w:rFonts w:asciiTheme="minorHAnsi" w:eastAsia="Times New Roman" w:hAnsiTheme="minorHAnsi" w:cs="Calibri"/>
          <w:bCs/>
          <w:sz w:val="20"/>
          <w:szCs w:val="20"/>
        </w:rPr>
        <w:t>A.</w:t>
      </w:r>
      <w:r w:rsidR="00FA51BF" w:rsidRPr="00366C6C">
        <w:rPr>
          <w:rFonts w:asciiTheme="minorHAnsi" w:eastAsia="Times New Roman" w:hAnsiTheme="minorHAnsi" w:cs="Calibri"/>
          <w:bCs/>
          <w:sz w:val="20"/>
          <w:szCs w:val="20"/>
        </w:rPr>
        <w:t>, 2008.</w:t>
      </w:r>
      <w:proofErr w:type="gramEnd"/>
      <w:r w:rsidR="00FA51BF" w:rsidRPr="00366C6C">
        <w:rPr>
          <w:rFonts w:asciiTheme="minorHAnsi" w:eastAsia="Times New Roman" w:hAnsiTheme="minorHAnsi" w:cs="Calibri"/>
          <w:bCs/>
          <w:sz w:val="20"/>
          <w:szCs w:val="20"/>
        </w:rPr>
        <w:t xml:space="preserve"> </w:t>
      </w:r>
      <w:proofErr w:type="spellStart"/>
      <w:r w:rsidRPr="00366C6C">
        <w:rPr>
          <w:rFonts w:asciiTheme="minorHAnsi" w:eastAsia="Times New Roman" w:hAnsiTheme="minorHAnsi" w:cs="Calibri"/>
          <w:bCs/>
          <w:sz w:val="20"/>
          <w:szCs w:val="20"/>
        </w:rPr>
        <w:t>Polybrominated</w:t>
      </w:r>
      <w:proofErr w:type="spellEnd"/>
      <w:r w:rsidRPr="000B484A">
        <w:rPr>
          <w:rFonts w:eastAsia="Times New Roman" w:cs="Calibri"/>
          <w:bCs/>
          <w:sz w:val="20"/>
          <w:szCs w:val="20"/>
        </w:rPr>
        <w:t xml:space="preserve"> </w:t>
      </w:r>
      <w:proofErr w:type="spellStart"/>
      <w:r w:rsidRPr="000B484A">
        <w:rPr>
          <w:rFonts w:eastAsia="Times New Roman" w:cs="Calibri"/>
          <w:bCs/>
          <w:sz w:val="20"/>
          <w:szCs w:val="20"/>
        </w:rPr>
        <w:t>diphenyl</w:t>
      </w:r>
      <w:proofErr w:type="spellEnd"/>
      <w:r w:rsidRPr="000B484A">
        <w:rPr>
          <w:rFonts w:eastAsia="Times New Roman" w:cs="Calibri"/>
          <w:bCs/>
          <w:sz w:val="20"/>
          <w:szCs w:val="20"/>
        </w:rPr>
        <w:t xml:space="preserve"> ether (PBDE) </w:t>
      </w:r>
      <w:proofErr w:type="gramStart"/>
      <w:r w:rsidRPr="000B484A">
        <w:rPr>
          <w:rFonts w:eastAsia="Times New Roman" w:cs="Calibri"/>
          <w:bCs/>
          <w:sz w:val="20"/>
          <w:szCs w:val="20"/>
        </w:rPr>
        <w:t>flame retardants</w:t>
      </w:r>
      <w:proofErr w:type="gramEnd"/>
      <w:r w:rsidRPr="000B484A">
        <w:rPr>
          <w:rFonts w:eastAsia="Times New Roman" w:cs="Calibri"/>
          <w:bCs/>
          <w:sz w:val="20"/>
          <w:szCs w:val="20"/>
        </w:rPr>
        <w:t xml:space="preserve">: environmental contamination, human body burden and potential adverse health effects. </w:t>
      </w:r>
      <w:proofErr w:type="spellStart"/>
      <w:proofErr w:type="gramStart"/>
      <w:r w:rsidRPr="000B484A">
        <w:rPr>
          <w:rFonts w:eastAsia="Times New Roman" w:cs="Calibri"/>
          <w:bCs/>
          <w:sz w:val="20"/>
          <w:szCs w:val="20"/>
        </w:rPr>
        <w:t>Acta</w:t>
      </w:r>
      <w:proofErr w:type="spellEnd"/>
      <w:r w:rsidRPr="000B484A">
        <w:rPr>
          <w:rFonts w:eastAsia="Times New Roman" w:cs="Calibri"/>
          <w:bCs/>
          <w:sz w:val="20"/>
          <w:szCs w:val="20"/>
        </w:rPr>
        <w:t xml:space="preserve"> Biomed.</w:t>
      </w:r>
      <w:proofErr w:type="gramEnd"/>
      <w:r w:rsidR="00FA51BF">
        <w:rPr>
          <w:rFonts w:eastAsia="Times New Roman" w:cs="Calibri"/>
          <w:bCs/>
          <w:sz w:val="20"/>
          <w:szCs w:val="20"/>
        </w:rPr>
        <w:t xml:space="preserve"> 79(3), </w:t>
      </w:r>
      <w:r w:rsidRPr="000B484A">
        <w:rPr>
          <w:rFonts w:eastAsia="Times New Roman" w:cs="Calibri"/>
          <w:bCs/>
          <w:sz w:val="20"/>
          <w:szCs w:val="20"/>
        </w:rPr>
        <w:t>172-</w:t>
      </w:r>
      <w:r w:rsidR="00FA51BF">
        <w:rPr>
          <w:rFonts w:eastAsia="Times New Roman" w:cs="Calibri"/>
          <w:bCs/>
          <w:sz w:val="20"/>
          <w:szCs w:val="20"/>
        </w:rPr>
        <w:t>1</w:t>
      </w:r>
      <w:r w:rsidRPr="000B484A">
        <w:rPr>
          <w:rFonts w:eastAsia="Times New Roman" w:cs="Calibri"/>
          <w:bCs/>
          <w:sz w:val="20"/>
          <w:szCs w:val="20"/>
        </w:rPr>
        <w:t>83.</w:t>
      </w:r>
    </w:p>
    <w:p w:rsidR="0084215A" w:rsidRPr="000B484A" w:rsidRDefault="0084215A" w:rsidP="002B5AB9">
      <w:pPr>
        <w:spacing w:before="240" w:after="0" w:line="240" w:lineRule="auto"/>
        <w:rPr>
          <w:rFonts w:eastAsia="Times New Roman" w:cs="Calibri"/>
          <w:bCs/>
          <w:sz w:val="20"/>
          <w:szCs w:val="20"/>
        </w:rPr>
      </w:pPr>
      <w:proofErr w:type="spellStart"/>
      <w:r w:rsidRPr="0084215A">
        <w:rPr>
          <w:rFonts w:eastAsia="Times New Roman" w:cs="Calibri"/>
          <w:bCs/>
          <w:sz w:val="20"/>
          <w:szCs w:val="20"/>
        </w:rPr>
        <w:t>Dingemans</w:t>
      </w:r>
      <w:proofErr w:type="spellEnd"/>
      <w:r>
        <w:rPr>
          <w:rFonts w:eastAsia="Times New Roman" w:cs="Calibri"/>
          <w:bCs/>
          <w:sz w:val="20"/>
          <w:szCs w:val="20"/>
        </w:rPr>
        <w:t>,</w:t>
      </w:r>
      <w:r w:rsidRPr="0084215A">
        <w:rPr>
          <w:rFonts w:eastAsia="Times New Roman" w:cs="Calibri"/>
          <w:bCs/>
          <w:sz w:val="20"/>
          <w:szCs w:val="20"/>
        </w:rPr>
        <w:t xml:space="preserve"> M</w:t>
      </w:r>
      <w:r>
        <w:rPr>
          <w:rFonts w:eastAsia="Times New Roman" w:cs="Calibri"/>
          <w:bCs/>
          <w:sz w:val="20"/>
          <w:szCs w:val="20"/>
        </w:rPr>
        <w:t>.</w:t>
      </w:r>
      <w:r w:rsidRPr="0084215A">
        <w:rPr>
          <w:rFonts w:eastAsia="Times New Roman" w:cs="Calibri"/>
          <w:bCs/>
          <w:sz w:val="20"/>
          <w:szCs w:val="20"/>
        </w:rPr>
        <w:t>M</w:t>
      </w:r>
      <w:r>
        <w:rPr>
          <w:rFonts w:eastAsia="Times New Roman" w:cs="Calibri"/>
          <w:bCs/>
          <w:sz w:val="20"/>
          <w:szCs w:val="20"/>
        </w:rPr>
        <w:t>.</w:t>
      </w:r>
      <w:r w:rsidRPr="0084215A">
        <w:rPr>
          <w:rFonts w:eastAsia="Times New Roman" w:cs="Calibri"/>
          <w:bCs/>
          <w:sz w:val="20"/>
          <w:szCs w:val="20"/>
        </w:rPr>
        <w:t>, van den Berg</w:t>
      </w:r>
      <w:r>
        <w:rPr>
          <w:rFonts w:eastAsia="Times New Roman" w:cs="Calibri"/>
          <w:bCs/>
          <w:sz w:val="20"/>
          <w:szCs w:val="20"/>
        </w:rPr>
        <w:t>,</w:t>
      </w:r>
      <w:r w:rsidRPr="0084215A">
        <w:rPr>
          <w:rFonts w:eastAsia="Times New Roman" w:cs="Calibri"/>
          <w:bCs/>
          <w:sz w:val="20"/>
          <w:szCs w:val="20"/>
        </w:rPr>
        <w:t xml:space="preserve"> M</w:t>
      </w:r>
      <w:r>
        <w:rPr>
          <w:rFonts w:eastAsia="Times New Roman" w:cs="Calibri"/>
          <w:bCs/>
          <w:sz w:val="20"/>
          <w:szCs w:val="20"/>
        </w:rPr>
        <w:t>.</w:t>
      </w:r>
      <w:r w:rsidRPr="0084215A">
        <w:rPr>
          <w:rFonts w:eastAsia="Times New Roman" w:cs="Calibri"/>
          <w:bCs/>
          <w:sz w:val="20"/>
          <w:szCs w:val="20"/>
        </w:rPr>
        <w:t xml:space="preserve">, </w:t>
      </w:r>
      <w:proofErr w:type="spellStart"/>
      <w:r w:rsidRPr="0084215A">
        <w:rPr>
          <w:rFonts w:eastAsia="Times New Roman" w:cs="Calibri"/>
          <w:bCs/>
          <w:sz w:val="20"/>
          <w:szCs w:val="20"/>
        </w:rPr>
        <w:t>Westerink</w:t>
      </w:r>
      <w:proofErr w:type="spellEnd"/>
      <w:r>
        <w:rPr>
          <w:rFonts w:eastAsia="Times New Roman" w:cs="Calibri"/>
          <w:bCs/>
          <w:sz w:val="20"/>
          <w:szCs w:val="20"/>
        </w:rPr>
        <w:t>,</w:t>
      </w:r>
      <w:r w:rsidRPr="0084215A">
        <w:rPr>
          <w:rFonts w:eastAsia="Times New Roman" w:cs="Calibri"/>
          <w:bCs/>
          <w:sz w:val="20"/>
          <w:szCs w:val="20"/>
        </w:rPr>
        <w:t xml:space="preserve"> R</w:t>
      </w:r>
      <w:r>
        <w:rPr>
          <w:rFonts w:eastAsia="Times New Roman" w:cs="Calibri"/>
          <w:bCs/>
          <w:sz w:val="20"/>
          <w:szCs w:val="20"/>
        </w:rPr>
        <w:t>.</w:t>
      </w:r>
      <w:r w:rsidRPr="0084215A">
        <w:rPr>
          <w:rFonts w:eastAsia="Times New Roman" w:cs="Calibri"/>
          <w:bCs/>
          <w:sz w:val="20"/>
          <w:szCs w:val="20"/>
        </w:rPr>
        <w:t>H.</w:t>
      </w:r>
      <w:r>
        <w:rPr>
          <w:rFonts w:eastAsia="Times New Roman" w:cs="Calibri"/>
          <w:bCs/>
          <w:sz w:val="20"/>
          <w:szCs w:val="20"/>
        </w:rPr>
        <w:t xml:space="preserve"> 2011. </w:t>
      </w:r>
      <w:r w:rsidRPr="0084215A">
        <w:rPr>
          <w:rFonts w:eastAsia="Times New Roman" w:cs="Calibri"/>
          <w:bCs/>
          <w:sz w:val="20"/>
          <w:szCs w:val="20"/>
        </w:rPr>
        <w:t>Neurotoxicity of brominated flame retardants: (in</w:t>
      </w:r>
      <w:proofErr w:type="gramStart"/>
      <w:r w:rsidRPr="0084215A">
        <w:rPr>
          <w:rFonts w:eastAsia="Times New Roman" w:cs="Calibri"/>
          <w:bCs/>
          <w:sz w:val="20"/>
          <w:szCs w:val="20"/>
        </w:rPr>
        <w:t>)direct</w:t>
      </w:r>
      <w:proofErr w:type="gramEnd"/>
      <w:r w:rsidRPr="0084215A">
        <w:rPr>
          <w:rFonts w:eastAsia="Times New Roman" w:cs="Calibri"/>
          <w:bCs/>
          <w:sz w:val="20"/>
          <w:szCs w:val="20"/>
        </w:rPr>
        <w:t xml:space="preserve"> effects of parent and </w:t>
      </w:r>
      <w:proofErr w:type="spellStart"/>
      <w:r w:rsidRPr="0084215A">
        <w:rPr>
          <w:rFonts w:eastAsia="Times New Roman" w:cs="Calibri"/>
          <w:bCs/>
          <w:sz w:val="20"/>
          <w:szCs w:val="20"/>
        </w:rPr>
        <w:t>hydroxylated</w:t>
      </w:r>
      <w:proofErr w:type="spellEnd"/>
      <w:r w:rsidRPr="0084215A">
        <w:rPr>
          <w:rFonts w:eastAsia="Times New Roman" w:cs="Calibri"/>
          <w:bCs/>
          <w:sz w:val="20"/>
          <w:szCs w:val="20"/>
        </w:rPr>
        <w:t xml:space="preserve"> </w:t>
      </w:r>
      <w:proofErr w:type="spellStart"/>
      <w:r w:rsidRPr="0084215A">
        <w:rPr>
          <w:rFonts w:eastAsia="Times New Roman" w:cs="Calibri"/>
          <w:bCs/>
          <w:sz w:val="20"/>
          <w:szCs w:val="20"/>
        </w:rPr>
        <w:t>polybrominated</w:t>
      </w:r>
      <w:proofErr w:type="spellEnd"/>
      <w:r w:rsidRPr="0084215A">
        <w:rPr>
          <w:rFonts w:eastAsia="Times New Roman" w:cs="Calibri"/>
          <w:bCs/>
          <w:sz w:val="20"/>
          <w:szCs w:val="20"/>
        </w:rPr>
        <w:t xml:space="preserve"> </w:t>
      </w:r>
      <w:proofErr w:type="spellStart"/>
      <w:r w:rsidRPr="0084215A">
        <w:rPr>
          <w:rFonts w:eastAsia="Times New Roman" w:cs="Calibri"/>
          <w:bCs/>
          <w:sz w:val="20"/>
          <w:szCs w:val="20"/>
        </w:rPr>
        <w:t>diphenyl</w:t>
      </w:r>
      <w:proofErr w:type="spellEnd"/>
      <w:r w:rsidRPr="0084215A">
        <w:rPr>
          <w:rFonts w:eastAsia="Times New Roman" w:cs="Calibri"/>
          <w:bCs/>
          <w:sz w:val="20"/>
          <w:szCs w:val="20"/>
        </w:rPr>
        <w:t xml:space="preserve"> ethers on the (developing) nervous system</w:t>
      </w:r>
      <w:r>
        <w:rPr>
          <w:rFonts w:eastAsia="Times New Roman" w:cs="Calibri"/>
          <w:bCs/>
          <w:sz w:val="20"/>
          <w:szCs w:val="20"/>
        </w:rPr>
        <w:t xml:space="preserve">. Environ. </w:t>
      </w:r>
      <w:proofErr w:type="gramStart"/>
      <w:r>
        <w:rPr>
          <w:rFonts w:eastAsia="Times New Roman" w:cs="Calibri"/>
          <w:bCs/>
          <w:sz w:val="20"/>
          <w:szCs w:val="20"/>
        </w:rPr>
        <w:t xml:space="preserve">Health </w:t>
      </w:r>
      <w:proofErr w:type="spellStart"/>
      <w:r>
        <w:rPr>
          <w:rFonts w:eastAsia="Times New Roman" w:cs="Calibri"/>
          <w:bCs/>
          <w:sz w:val="20"/>
          <w:szCs w:val="20"/>
        </w:rPr>
        <w:t>Perspect</w:t>
      </w:r>
      <w:proofErr w:type="spellEnd"/>
      <w:r>
        <w:rPr>
          <w:rFonts w:eastAsia="Times New Roman" w:cs="Calibri"/>
          <w:bCs/>
          <w:sz w:val="20"/>
          <w:szCs w:val="20"/>
        </w:rPr>
        <w:t>.</w:t>
      </w:r>
      <w:proofErr w:type="gramEnd"/>
      <w:r>
        <w:rPr>
          <w:rFonts w:eastAsia="Times New Roman" w:cs="Calibri"/>
          <w:bCs/>
          <w:sz w:val="20"/>
          <w:szCs w:val="20"/>
        </w:rPr>
        <w:t xml:space="preserve"> 119(7): 900-907.</w:t>
      </w:r>
    </w:p>
    <w:p w:rsidR="00115666" w:rsidRDefault="00115666" w:rsidP="002B5AB9">
      <w:pPr>
        <w:spacing w:before="240" w:after="0" w:line="240" w:lineRule="auto"/>
        <w:rPr>
          <w:rFonts w:cs="Calibri"/>
          <w:bCs/>
          <w:iCs/>
          <w:color w:val="000000"/>
          <w:sz w:val="20"/>
          <w:szCs w:val="20"/>
        </w:rPr>
      </w:pPr>
      <w:proofErr w:type="spellStart"/>
      <w:proofErr w:type="gramStart"/>
      <w:r w:rsidRPr="00115666">
        <w:rPr>
          <w:rFonts w:cs="Calibri"/>
          <w:bCs/>
          <w:iCs/>
          <w:color w:val="000000"/>
          <w:sz w:val="20"/>
          <w:szCs w:val="20"/>
        </w:rPr>
        <w:t>Eggesbø</w:t>
      </w:r>
      <w:proofErr w:type="spellEnd"/>
      <w:r>
        <w:rPr>
          <w:rFonts w:cs="Calibri"/>
          <w:bCs/>
          <w:iCs/>
          <w:color w:val="000000"/>
          <w:sz w:val="20"/>
          <w:szCs w:val="20"/>
        </w:rPr>
        <w:t>,</w:t>
      </w:r>
      <w:r w:rsidRPr="00115666">
        <w:rPr>
          <w:rFonts w:cs="Calibri"/>
          <w:bCs/>
          <w:iCs/>
          <w:color w:val="000000"/>
          <w:sz w:val="20"/>
          <w:szCs w:val="20"/>
        </w:rPr>
        <w:t xml:space="preserve"> M</w:t>
      </w:r>
      <w:r>
        <w:rPr>
          <w:rFonts w:cs="Calibri"/>
          <w:bCs/>
          <w:iCs/>
          <w:color w:val="000000"/>
          <w:sz w:val="20"/>
          <w:szCs w:val="20"/>
        </w:rPr>
        <w:t>.</w:t>
      </w:r>
      <w:r w:rsidRPr="00115666">
        <w:rPr>
          <w:rFonts w:cs="Calibri"/>
          <w:bCs/>
          <w:iCs/>
          <w:color w:val="000000"/>
          <w:sz w:val="20"/>
          <w:szCs w:val="20"/>
        </w:rPr>
        <w:t>, Thomsen</w:t>
      </w:r>
      <w:r>
        <w:rPr>
          <w:rFonts w:cs="Calibri"/>
          <w:bCs/>
          <w:iCs/>
          <w:color w:val="000000"/>
          <w:sz w:val="20"/>
          <w:szCs w:val="20"/>
        </w:rPr>
        <w:t>,</w:t>
      </w:r>
      <w:r w:rsidRPr="00115666">
        <w:rPr>
          <w:rFonts w:cs="Calibri"/>
          <w:bCs/>
          <w:iCs/>
          <w:color w:val="000000"/>
          <w:sz w:val="20"/>
          <w:szCs w:val="20"/>
        </w:rPr>
        <w:t xml:space="preserve"> C</w:t>
      </w:r>
      <w:r>
        <w:rPr>
          <w:rFonts w:cs="Calibri"/>
          <w:bCs/>
          <w:iCs/>
          <w:color w:val="000000"/>
          <w:sz w:val="20"/>
          <w:szCs w:val="20"/>
        </w:rPr>
        <w:t>.</w:t>
      </w:r>
      <w:r w:rsidRPr="00115666">
        <w:rPr>
          <w:rFonts w:cs="Calibri"/>
          <w:bCs/>
          <w:iCs/>
          <w:color w:val="000000"/>
          <w:sz w:val="20"/>
          <w:szCs w:val="20"/>
        </w:rPr>
        <w:t xml:space="preserve">, </w:t>
      </w:r>
      <w:proofErr w:type="spellStart"/>
      <w:r w:rsidRPr="00115666">
        <w:rPr>
          <w:rFonts w:cs="Calibri"/>
          <w:bCs/>
          <w:iCs/>
          <w:color w:val="000000"/>
          <w:sz w:val="20"/>
          <w:szCs w:val="20"/>
        </w:rPr>
        <w:t>Jørgensen</w:t>
      </w:r>
      <w:proofErr w:type="spellEnd"/>
      <w:r>
        <w:rPr>
          <w:rFonts w:cs="Calibri"/>
          <w:bCs/>
          <w:iCs/>
          <w:color w:val="000000"/>
          <w:sz w:val="20"/>
          <w:szCs w:val="20"/>
        </w:rPr>
        <w:t>,</w:t>
      </w:r>
      <w:r w:rsidRPr="00115666">
        <w:rPr>
          <w:rFonts w:cs="Calibri"/>
          <w:bCs/>
          <w:iCs/>
          <w:color w:val="000000"/>
          <w:sz w:val="20"/>
          <w:szCs w:val="20"/>
        </w:rPr>
        <w:t xml:space="preserve"> J</w:t>
      </w:r>
      <w:r>
        <w:rPr>
          <w:rFonts w:cs="Calibri"/>
          <w:bCs/>
          <w:iCs/>
          <w:color w:val="000000"/>
          <w:sz w:val="20"/>
          <w:szCs w:val="20"/>
        </w:rPr>
        <w:t>.</w:t>
      </w:r>
      <w:r w:rsidRPr="00115666">
        <w:rPr>
          <w:rFonts w:cs="Calibri"/>
          <w:bCs/>
          <w:iCs/>
          <w:color w:val="000000"/>
          <w:sz w:val="20"/>
          <w:szCs w:val="20"/>
        </w:rPr>
        <w:t>V</w:t>
      </w:r>
      <w:r>
        <w:rPr>
          <w:rFonts w:cs="Calibri"/>
          <w:bCs/>
          <w:iCs/>
          <w:color w:val="000000"/>
          <w:sz w:val="20"/>
          <w:szCs w:val="20"/>
        </w:rPr>
        <w:t>.</w:t>
      </w:r>
      <w:r w:rsidRPr="00115666">
        <w:rPr>
          <w:rFonts w:cs="Calibri"/>
          <w:bCs/>
          <w:iCs/>
          <w:color w:val="000000"/>
          <w:sz w:val="20"/>
          <w:szCs w:val="20"/>
        </w:rPr>
        <w:t xml:space="preserve">, </w:t>
      </w:r>
      <w:proofErr w:type="spellStart"/>
      <w:r w:rsidRPr="00115666">
        <w:rPr>
          <w:rFonts w:cs="Calibri"/>
          <w:bCs/>
          <w:iCs/>
          <w:color w:val="000000"/>
          <w:sz w:val="20"/>
          <w:szCs w:val="20"/>
        </w:rPr>
        <w:t>Becher</w:t>
      </w:r>
      <w:proofErr w:type="spellEnd"/>
      <w:r>
        <w:rPr>
          <w:rFonts w:cs="Calibri"/>
          <w:bCs/>
          <w:iCs/>
          <w:color w:val="000000"/>
          <w:sz w:val="20"/>
          <w:szCs w:val="20"/>
        </w:rPr>
        <w:t>,</w:t>
      </w:r>
      <w:r w:rsidRPr="00115666">
        <w:rPr>
          <w:rFonts w:cs="Calibri"/>
          <w:bCs/>
          <w:iCs/>
          <w:color w:val="000000"/>
          <w:sz w:val="20"/>
          <w:szCs w:val="20"/>
        </w:rPr>
        <w:t xml:space="preserve"> G</w:t>
      </w:r>
      <w:r>
        <w:rPr>
          <w:rFonts w:cs="Calibri"/>
          <w:bCs/>
          <w:iCs/>
          <w:color w:val="000000"/>
          <w:sz w:val="20"/>
          <w:szCs w:val="20"/>
        </w:rPr>
        <w:t>.</w:t>
      </w:r>
      <w:r w:rsidRPr="00115666">
        <w:rPr>
          <w:rFonts w:cs="Calibri"/>
          <w:bCs/>
          <w:iCs/>
          <w:color w:val="000000"/>
          <w:sz w:val="20"/>
          <w:szCs w:val="20"/>
        </w:rPr>
        <w:t xml:space="preserve">, </w:t>
      </w:r>
      <w:proofErr w:type="spellStart"/>
      <w:r w:rsidRPr="00115666">
        <w:rPr>
          <w:rFonts w:cs="Calibri"/>
          <w:bCs/>
          <w:iCs/>
          <w:color w:val="000000"/>
          <w:sz w:val="20"/>
          <w:szCs w:val="20"/>
        </w:rPr>
        <w:t>Odland</w:t>
      </w:r>
      <w:proofErr w:type="spellEnd"/>
      <w:r>
        <w:rPr>
          <w:rFonts w:cs="Calibri"/>
          <w:bCs/>
          <w:iCs/>
          <w:color w:val="000000"/>
          <w:sz w:val="20"/>
          <w:szCs w:val="20"/>
        </w:rPr>
        <w:t>,</w:t>
      </w:r>
      <w:r w:rsidRPr="00115666">
        <w:rPr>
          <w:rFonts w:cs="Calibri"/>
          <w:bCs/>
          <w:iCs/>
          <w:color w:val="000000"/>
          <w:sz w:val="20"/>
          <w:szCs w:val="20"/>
        </w:rPr>
        <w:t xml:space="preserve"> J</w:t>
      </w:r>
      <w:r>
        <w:rPr>
          <w:rFonts w:cs="Calibri"/>
          <w:bCs/>
          <w:iCs/>
          <w:color w:val="000000"/>
          <w:sz w:val="20"/>
          <w:szCs w:val="20"/>
        </w:rPr>
        <w:t>.</w:t>
      </w:r>
      <w:r w:rsidRPr="00115666">
        <w:rPr>
          <w:rFonts w:cs="Calibri"/>
          <w:bCs/>
          <w:iCs/>
          <w:color w:val="000000"/>
          <w:sz w:val="20"/>
          <w:szCs w:val="20"/>
        </w:rPr>
        <w:t>Ø</w:t>
      </w:r>
      <w:r>
        <w:rPr>
          <w:rFonts w:cs="Calibri"/>
          <w:bCs/>
          <w:iCs/>
          <w:color w:val="000000"/>
          <w:sz w:val="20"/>
          <w:szCs w:val="20"/>
        </w:rPr>
        <w:t>.</w:t>
      </w:r>
      <w:r w:rsidRPr="00115666">
        <w:rPr>
          <w:rFonts w:cs="Calibri"/>
          <w:bCs/>
          <w:iCs/>
          <w:color w:val="000000"/>
          <w:sz w:val="20"/>
          <w:szCs w:val="20"/>
        </w:rPr>
        <w:t xml:space="preserve">, </w:t>
      </w:r>
      <w:proofErr w:type="spellStart"/>
      <w:r w:rsidRPr="00115666">
        <w:rPr>
          <w:rFonts w:cs="Calibri"/>
          <w:bCs/>
          <w:iCs/>
          <w:color w:val="000000"/>
          <w:sz w:val="20"/>
          <w:szCs w:val="20"/>
        </w:rPr>
        <w:t>Longnecker</w:t>
      </w:r>
      <w:proofErr w:type="spellEnd"/>
      <w:r>
        <w:rPr>
          <w:rFonts w:cs="Calibri"/>
          <w:bCs/>
          <w:iCs/>
          <w:color w:val="000000"/>
          <w:sz w:val="20"/>
          <w:szCs w:val="20"/>
        </w:rPr>
        <w:t>,</w:t>
      </w:r>
      <w:r w:rsidRPr="00115666">
        <w:rPr>
          <w:rFonts w:cs="Calibri"/>
          <w:bCs/>
          <w:iCs/>
          <w:color w:val="000000"/>
          <w:sz w:val="20"/>
          <w:szCs w:val="20"/>
        </w:rPr>
        <w:t xml:space="preserve"> M</w:t>
      </w:r>
      <w:r>
        <w:rPr>
          <w:rFonts w:cs="Calibri"/>
          <w:bCs/>
          <w:iCs/>
          <w:color w:val="000000"/>
          <w:sz w:val="20"/>
          <w:szCs w:val="20"/>
        </w:rPr>
        <w:t>.</w:t>
      </w:r>
      <w:r w:rsidRPr="00115666">
        <w:rPr>
          <w:rFonts w:cs="Calibri"/>
          <w:bCs/>
          <w:iCs/>
          <w:color w:val="000000"/>
          <w:sz w:val="20"/>
          <w:szCs w:val="20"/>
        </w:rPr>
        <w:t>P.</w:t>
      </w:r>
      <w:r>
        <w:rPr>
          <w:rFonts w:cs="Calibri"/>
          <w:bCs/>
          <w:iCs/>
          <w:color w:val="000000"/>
          <w:sz w:val="20"/>
          <w:szCs w:val="20"/>
        </w:rPr>
        <w:t xml:space="preserve"> 2011.</w:t>
      </w:r>
      <w:proofErr w:type="gramEnd"/>
      <w:r>
        <w:rPr>
          <w:rFonts w:cs="Calibri"/>
          <w:bCs/>
          <w:iCs/>
          <w:color w:val="000000"/>
          <w:sz w:val="20"/>
          <w:szCs w:val="20"/>
        </w:rPr>
        <w:t xml:space="preserve"> </w:t>
      </w:r>
      <w:r w:rsidRPr="00115666">
        <w:rPr>
          <w:rFonts w:cs="Calibri"/>
          <w:bCs/>
          <w:iCs/>
          <w:color w:val="000000"/>
          <w:sz w:val="20"/>
          <w:szCs w:val="20"/>
        </w:rPr>
        <w:t xml:space="preserve">Associations between brominated </w:t>
      </w:r>
      <w:proofErr w:type="gramStart"/>
      <w:r w:rsidRPr="00115666">
        <w:rPr>
          <w:rFonts w:cs="Calibri"/>
          <w:bCs/>
          <w:iCs/>
          <w:color w:val="000000"/>
          <w:sz w:val="20"/>
          <w:szCs w:val="20"/>
        </w:rPr>
        <w:t>flame retardants</w:t>
      </w:r>
      <w:proofErr w:type="gramEnd"/>
      <w:r w:rsidRPr="00115666">
        <w:rPr>
          <w:rFonts w:cs="Calibri"/>
          <w:bCs/>
          <w:iCs/>
          <w:color w:val="000000"/>
          <w:sz w:val="20"/>
          <w:szCs w:val="20"/>
        </w:rPr>
        <w:t xml:space="preserve"> in human milk and thyroid-stimulating hormone (TSH) in neonates</w:t>
      </w:r>
      <w:r>
        <w:rPr>
          <w:rFonts w:cs="Calibri"/>
          <w:bCs/>
          <w:iCs/>
          <w:color w:val="000000"/>
          <w:sz w:val="20"/>
          <w:szCs w:val="20"/>
        </w:rPr>
        <w:t>. Environ. Res. 111(6): 737-743.</w:t>
      </w:r>
    </w:p>
    <w:p w:rsidR="003A6B68" w:rsidRDefault="003A6B68" w:rsidP="002B5AB9">
      <w:pPr>
        <w:spacing w:before="240" w:after="0" w:line="240" w:lineRule="auto"/>
        <w:rPr>
          <w:rFonts w:cs="Calibri"/>
          <w:bCs/>
          <w:iCs/>
          <w:color w:val="000000"/>
          <w:sz w:val="20"/>
          <w:szCs w:val="20"/>
        </w:rPr>
      </w:pPr>
      <w:proofErr w:type="spellStart"/>
      <w:proofErr w:type="gramStart"/>
      <w:r w:rsidRPr="003A6B68">
        <w:rPr>
          <w:rFonts w:cs="Calibri"/>
          <w:bCs/>
          <w:iCs/>
          <w:color w:val="000000"/>
          <w:sz w:val="20"/>
          <w:szCs w:val="20"/>
        </w:rPr>
        <w:t>Gascon</w:t>
      </w:r>
      <w:proofErr w:type="spellEnd"/>
      <w:r>
        <w:rPr>
          <w:rFonts w:cs="Calibri"/>
          <w:bCs/>
          <w:iCs/>
          <w:color w:val="000000"/>
          <w:sz w:val="20"/>
          <w:szCs w:val="20"/>
        </w:rPr>
        <w:t>,</w:t>
      </w:r>
      <w:r w:rsidRPr="003A6B68">
        <w:rPr>
          <w:rFonts w:cs="Calibri"/>
          <w:bCs/>
          <w:iCs/>
          <w:color w:val="000000"/>
          <w:sz w:val="20"/>
          <w:szCs w:val="20"/>
        </w:rPr>
        <w:t xml:space="preserve"> M</w:t>
      </w:r>
      <w:r>
        <w:rPr>
          <w:rFonts w:cs="Calibri"/>
          <w:bCs/>
          <w:iCs/>
          <w:color w:val="000000"/>
          <w:sz w:val="20"/>
          <w:szCs w:val="20"/>
        </w:rPr>
        <w:t>.</w:t>
      </w:r>
      <w:r w:rsidRPr="003A6B68">
        <w:rPr>
          <w:rFonts w:cs="Calibri"/>
          <w:bCs/>
          <w:iCs/>
          <w:color w:val="000000"/>
          <w:sz w:val="20"/>
          <w:szCs w:val="20"/>
        </w:rPr>
        <w:t>, Fort</w:t>
      </w:r>
      <w:r>
        <w:rPr>
          <w:rFonts w:cs="Calibri"/>
          <w:bCs/>
          <w:iCs/>
          <w:color w:val="000000"/>
          <w:sz w:val="20"/>
          <w:szCs w:val="20"/>
        </w:rPr>
        <w:t>,</w:t>
      </w:r>
      <w:r w:rsidRPr="003A6B68">
        <w:rPr>
          <w:rFonts w:cs="Calibri"/>
          <w:bCs/>
          <w:iCs/>
          <w:color w:val="000000"/>
          <w:sz w:val="20"/>
          <w:szCs w:val="20"/>
        </w:rPr>
        <w:t xml:space="preserve"> M</w:t>
      </w:r>
      <w:r>
        <w:rPr>
          <w:rFonts w:cs="Calibri"/>
          <w:bCs/>
          <w:iCs/>
          <w:color w:val="000000"/>
          <w:sz w:val="20"/>
          <w:szCs w:val="20"/>
        </w:rPr>
        <w:t>.</w:t>
      </w:r>
      <w:r w:rsidRPr="003A6B68">
        <w:rPr>
          <w:rFonts w:cs="Calibri"/>
          <w:bCs/>
          <w:iCs/>
          <w:color w:val="000000"/>
          <w:sz w:val="20"/>
          <w:szCs w:val="20"/>
        </w:rPr>
        <w:t xml:space="preserve">, </w:t>
      </w:r>
      <w:proofErr w:type="spellStart"/>
      <w:r w:rsidRPr="003A6B68">
        <w:rPr>
          <w:rFonts w:cs="Calibri"/>
          <w:bCs/>
          <w:iCs/>
          <w:color w:val="000000"/>
          <w:sz w:val="20"/>
          <w:szCs w:val="20"/>
        </w:rPr>
        <w:t>Martínez</w:t>
      </w:r>
      <w:proofErr w:type="spellEnd"/>
      <w:r>
        <w:rPr>
          <w:rFonts w:cs="Calibri"/>
          <w:bCs/>
          <w:iCs/>
          <w:color w:val="000000"/>
          <w:sz w:val="20"/>
          <w:szCs w:val="20"/>
        </w:rPr>
        <w:t>,</w:t>
      </w:r>
      <w:r w:rsidRPr="003A6B68">
        <w:rPr>
          <w:rFonts w:cs="Calibri"/>
          <w:bCs/>
          <w:iCs/>
          <w:color w:val="000000"/>
          <w:sz w:val="20"/>
          <w:szCs w:val="20"/>
        </w:rPr>
        <w:t xml:space="preserve"> D</w:t>
      </w:r>
      <w:r>
        <w:rPr>
          <w:rFonts w:cs="Calibri"/>
          <w:bCs/>
          <w:iCs/>
          <w:color w:val="000000"/>
          <w:sz w:val="20"/>
          <w:szCs w:val="20"/>
        </w:rPr>
        <w:t>.</w:t>
      </w:r>
      <w:r w:rsidRPr="003A6B68">
        <w:rPr>
          <w:rFonts w:cs="Calibri"/>
          <w:bCs/>
          <w:iCs/>
          <w:color w:val="000000"/>
          <w:sz w:val="20"/>
          <w:szCs w:val="20"/>
        </w:rPr>
        <w:t xml:space="preserve">, </w:t>
      </w:r>
      <w:proofErr w:type="spellStart"/>
      <w:r w:rsidRPr="003A6B68">
        <w:rPr>
          <w:rFonts w:cs="Calibri"/>
          <w:bCs/>
          <w:iCs/>
          <w:color w:val="000000"/>
          <w:sz w:val="20"/>
          <w:szCs w:val="20"/>
        </w:rPr>
        <w:t>Carsin</w:t>
      </w:r>
      <w:proofErr w:type="spellEnd"/>
      <w:r>
        <w:rPr>
          <w:rFonts w:cs="Calibri"/>
          <w:bCs/>
          <w:iCs/>
          <w:color w:val="000000"/>
          <w:sz w:val="20"/>
          <w:szCs w:val="20"/>
        </w:rPr>
        <w:t>,</w:t>
      </w:r>
      <w:r w:rsidRPr="003A6B68">
        <w:rPr>
          <w:rFonts w:cs="Calibri"/>
          <w:bCs/>
          <w:iCs/>
          <w:color w:val="000000"/>
          <w:sz w:val="20"/>
          <w:szCs w:val="20"/>
        </w:rPr>
        <w:t xml:space="preserve"> A</w:t>
      </w:r>
      <w:r>
        <w:rPr>
          <w:rFonts w:cs="Calibri"/>
          <w:bCs/>
          <w:iCs/>
          <w:color w:val="000000"/>
          <w:sz w:val="20"/>
          <w:szCs w:val="20"/>
        </w:rPr>
        <w:t>.</w:t>
      </w:r>
      <w:r w:rsidRPr="003A6B68">
        <w:rPr>
          <w:rFonts w:cs="Calibri"/>
          <w:bCs/>
          <w:iCs/>
          <w:color w:val="000000"/>
          <w:sz w:val="20"/>
          <w:szCs w:val="20"/>
        </w:rPr>
        <w:t>E</w:t>
      </w:r>
      <w:r>
        <w:rPr>
          <w:rFonts w:cs="Calibri"/>
          <w:bCs/>
          <w:iCs/>
          <w:color w:val="000000"/>
          <w:sz w:val="20"/>
          <w:szCs w:val="20"/>
        </w:rPr>
        <w:t>.</w:t>
      </w:r>
      <w:r w:rsidRPr="003A6B68">
        <w:rPr>
          <w:rFonts w:cs="Calibri"/>
          <w:bCs/>
          <w:iCs/>
          <w:color w:val="000000"/>
          <w:sz w:val="20"/>
          <w:szCs w:val="20"/>
        </w:rPr>
        <w:t xml:space="preserve">, </w:t>
      </w:r>
      <w:proofErr w:type="spellStart"/>
      <w:r w:rsidRPr="003A6B68">
        <w:rPr>
          <w:rFonts w:cs="Calibri"/>
          <w:bCs/>
          <w:iCs/>
          <w:color w:val="000000"/>
          <w:sz w:val="20"/>
          <w:szCs w:val="20"/>
        </w:rPr>
        <w:t>Forns</w:t>
      </w:r>
      <w:proofErr w:type="spellEnd"/>
      <w:r>
        <w:rPr>
          <w:rFonts w:cs="Calibri"/>
          <w:bCs/>
          <w:iCs/>
          <w:color w:val="000000"/>
          <w:sz w:val="20"/>
          <w:szCs w:val="20"/>
        </w:rPr>
        <w:t>,</w:t>
      </w:r>
      <w:r w:rsidRPr="003A6B68">
        <w:rPr>
          <w:rFonts w:cs="Calibri"/>
          <w:bCs/>
          <w:iCs/>
          <w:color w:val="000000"/>
          <w:sz w:val="20"/>
          <w:szCs w:val="20"/>
        </w:rPr>
        <w:t xml:space="preserve"> J</w:t>
      </w:r>
      <w:r>
        <w:rPr>
          <w:rFonts w:cs="Calibri"/>
          <w:bCs/>
          <w:iCs/>
          <w:color w:val="000000"/>
          <w:sz w:val="20"/>
          <w:szCs w:val="20"/>
        </w:rPr>
        <w:t>.</w:t>
      </w:r>
      <w:r w:rsidRPr="003A6B68">
        <w:rPr>
          <w:rFonts w:cs="Calibri"/>
          <w:bCs/>
          <w:iCs/>
          <w:color w:val="000000"/>
          <w:sz w:val="20"/>
          <w:szCs w:val="20"/>
        </w:rPr>
        <w:t xml:space="preserve">, </w:t>
      </w:r>
      <w:proofErr w:type="spellStart"/>
      <w:r w:rsidRPr="003A6B68">
        <w:rPr>
          <w:rFonts w:cs="Calibri"/>
          <w:bCs/>
          <w:iCs/>
          <w:color w:val="000000"/>
          <w:sz w:val="20"/>
          <w:szCs w:val="20"/>
        </w:rPr>
        <w:t>Grimalt</w:t>
      </w:r>
      <w:proofErr w:type="spellEnd"/>
      <w:r>
        <w:rPr>
          <w:rFonts w:cs="Calibri"/>
          <w:bCs/>
          <w:iCs/>
          <w:color w:val="000000"/>
          <w:sz w:val="20"/>
          <w:szCs w:val="20"/>
        </w:rPr>
        <w:t>,</w:t>
      </w:r>
      <w:r w:rsidRPr="003A6B68">
        <w:rPr>
          <w:rFonts w:cs="Calibri"/>
          <w:bCs/>
          <w:iCs/>
          <w:color w:val="000000"/>
          <w:sz w:val="20"/>
          <w:szCs w:val="20"/>
        </w:rPr>
        <w:t xml:space="preserve"> J</w:t>
      </w:r>
      <w:r>
        <w:rPr>
          <w:rFonts w:cs="Calibri"/>
          <w:bCs/>
          <w:iCs/>
          <w:color w:val="000000"/>
          <w:sz w:val="20"/>
          <w:szCs w:val="20"/>
        </w:rPr>
        <w:t>.</w:t>
      </w:r>
      <w:r w:rsidRPr="003A6B68">
        <w:rPr>
          <w:rFonts w:cs="Calibri"/>
          <w:bCs/>
          <w:iCs/>
          <w:color w:val="000000"/>
          <w:sz w:val="20"/>
          <w:szCs w:val="20"/>
        </w:rPr>
        <w:t>O</w:t>
      </w:r>
      <w:r>
        <w:rPr>
          <w:rFonts w:cs="Calibri"/>
          <w:bCs/>
          <w:iCs/>
          <w:color w:val="000000"/>
          <w:sz w:val="20"/>
          <w:szCs w:val="20"/>
        </w:rPr>
        <w:t>.</w:t>
      </w:r>
      <w:r w:rsidRPr="003A6B68">
        <w:rPr>
          <w:rFonts w:cs="Calibri"/>
          <w:bCs/>
          <w:iCs/>
          <w:color w:val="000000"/>
          <w:sz w:val="20"/>
          <w:szCs w:val="20"/>
        </w:rPr>
        <w:t>, Santa Marina</w:t>
      </w:r>
      <w:r>
        <w:rPr>
          <w:rFonts w:cs="Calibri"/>
          <w:bCs/>
          <w:iCs/>
          <w:color w:val="000000"/>
          <w:sz w:val="20"/>
          <w:szCs w:val="20"/>
        </w:rPr>
        <w:t>,</w:t>
      </w:r>
      <w:r w:rsidRPr="003A6B68">
        <w:rPr>
          <w:rFonts w:cs="Calibri"/>
          <w:bCs/>
          <w:iCs/>
          <w:color w:val="000000"/>
          <w:sz w:val="20"/>
          <w:szCs w:val="20"/>
        </w:rPr>
        <w:t xml:space="preserve"> L</w:t>
      </w:r>
      <w:r>
        <w:rPr>
          <w:rFonts w:cs="Calibri"/>
          <w:bCs/>
          <w:iCs/>
          <w:color w:val="000000"/>
          <w:sz w:val="20"/>
          <w:szCs w:val="20"/>
        </w:rPr>
        <w:t>.</w:t>
      </w:r>
      <w:r w:rsidRPr="003A6B68">
        <w:rPr>
          <w:rFonts w:cs="Calibri"/>
          <w:bCs/>
          <w:iCs/>
          <w:color w:val="000000"/>
          <w:sz w:val="20"/>
          <w:szCs w:val="20"/>
        </w:rPr>
        <w:t xml:space="preserve">, </w:t>
      </w:r>
      <w:proofErr w:type="spellStart"/>
      <w:r w:rsidRPr="003A6B68">
        <w:rPr>
          <w:rFonts w:cs="Calibri"/>
          <w:bCs/>
          <w:iCs/>
          <w:color w:val="000000"/>
          <w:sz w:val="20"/>
          <w:szCs w:val="20"/>
        </w:rPr>
        <w:t>Lertxundi</w:t>
      </w:r>
      <w:proofErr w:type="spellEnd"/>
      <w:r>
        <w:rPr>
          <w:rFonts w:cs="Calibri"/>
          <w:bCs/>
          <w:iCs/>
          <w:color w:val="000000"/>
          <w:sz w:val="20"/>
          <w:szCs w:val="20"/>
        </w:rPr>
        <w:t>,</w:t>
      </w:r>
      <w:r w:rsidRPr="003A6B68">
        <w:rPr>
          <w:rFonts w:cs="Calibri"/>
          <w:bCs/>
          <w:iCs/>
          <w:color w:val="000000"/>
          <w:sz w:val="20"/>
          <w:szCs w:val="20"/>
        </w:rPr>
        <w:t xml:space="preserve"> N</w:t>
      </w:r>
      <w:r>
        <w:rPr>
          <w:rFonts w:cs="Calibri"/>
          <w:bCs/>
          <w:iCs/>
          <w:color w:val="000000"/>
          <w:sz w:val="20"/>
          <w:szCs w:val="20"/>
        </w:rPr>
        <w:t>.</w:t>
      </w:r>
      <w:r w:rsidRPr="003A6B68">
        <w:rPr>
          <w:rFonts w:cs="Calibri"/>
          <w:bCs/>
          <w:iCs/>
          <w:color w:val="000000"/>
          <w:sz w:val="20"/>
          <w:szCs w:val="20"/>
        </w:rPr>
        <w:t xml:space="preserve">, </w:t>
      </w:r>
      <w:proofErr w:type="spellStart"/>
      <w:r w:rsidRPr="003A6B68">
        <w:rPr>
          <w:rFonts w:cs="Calibri"/>
          <w:bCs/>
          <w:iCs/>
          <w:color w:val="000000"/>
          <w:sz w:val="20"/>
          <w:szCs w:val="20"/>
        </w:rPr>
        <w:t>Sunyer</w:t>
      </w:r>
      <w:proofErr w:type="spellEnd"/>
      <w:r>
        <w:rPr>
          <w:rFonts w:cs="Calibri"/>
          <w:bCs/>
          <w:iCs/>
          <w:color w:val="000000"/>
          <w:sz w:val="20"/>
          <w:szCs w:val="20"/>
        </w:rPr>
        <w:t>,</w:t>
      </w:r>
      <w:r w:rsidRPr="003A6B68">
        <w:rPr>
          <w:rFonts w:cs="Calibri"/>
          <w:bCs/>
          <w:iCs/>
          <w:color w:val="000000"/>
          <w:sz w:val="20"/>
          <w:szCs w:val="20"/>
        </w:rPr>
        <w:t xml:space="preserve"> J</w:t>
      </w:r>
      <w:r>
        <w:rPr>
          <w:rFonts w:cs="Calibri"/>
          <w:bCs/>
          <w:iCs/>
          <w:color w:val="000000"/>
          <w:sz w:val="20"/>
          <w:szCs w:val="20"/>
        </w:rPr>
        <w:t>.</w:t>
      </w:r>
      <w:r w:rsidRPr="003A6B68">
        <w:rPr>
          <w:rFonts w:cs="Calibri"/>
          <w:bCs/>
          <w:iCs/>
          <w:color w:val="000000"/>
          <w:sz w:val="20"/>
          <w:szCs w:val="20"/>
        </w:rPr>
        <w:t xml:space="preserve">, </w:t>
      </w:r>
      <w:proofErr w:type="spellStart"/>
      <w:r w:rsidRPr="003A6B68">
        <w:rPr>
          <w:rFonts w:cs="Calibri"/>
          <w:bCs/>
          <w:iCs/>
          <w:color w:val="000000"/>
          <w:sz w:val="20"/>
          <w:szCs w:val="20"/>
        </w:rPr>
        <w:t>Vrijheid</w:t>
      </w:r>
      <w:proofErr w:type="spellEnd"/>
      <w:r>
        <w:rPr>
          <w:rFonts w:cs="Calibri"/>
          <w:bCs/>
          <w:iCs/>
          <w:color w:val="000000"/>
          <w:sz w:val="20"/>
          <w:szCs w:val="20"/>
        </w:rPr>
        <w:t>,</w:t>
      </w:r>
      <w:r w:rsidRPr="003A6B68">
        <w:rPr>
          <w:rFonts w:cs="Calibri"/>
          <w:bCs/>
          <w:iCs/>
          <w:color w:val="000000"/>
          <w:sz w:val="20"/>
          <w:szCs w:val="20"/>
        </w:rPr>
        <w:t xml:space="preserve"> M.</w:t>
      </w:r>
      <w:r>
        <w:rPr>
          <w:rFonts w:cs="Calibri"/>
          <w:bCs/>
          <w:iCs/>
          <w:color w:val="000000"/>
          <w:sz w:val="20"/>
          <w:szCs w:val="20"/>
        </w:rPr>
        <w:t xml:space="preserve"> 2012.</w:t>
      </w:r>
      <w:proofErr w:type="gramEnd"/>
      <w:r w:rsidRPr="003A6B68">
        <w:t xml:space="preserve"> </w:t>
      </w:r>
      <w:proofErr w:type="spellStart"/>
      <w:proofErr w:type="gramStart"/>
      <w:r w:rsidRPr="003A6B68">
        <w:rPr>
          <w:rFonts w:cs="Calibri"/>
          <w:bCs/>
          <w:iCs/>
          <w:color w:val="000000"/>
          <w:sz w:val="20"/>
          <w:szCs w:val="20"/>
        </w:rPr>
        <w:t>Polybrominated</w:t>
      </w:r>
      <w:proofErr w:type="spellEnd"/>
      <w:r w:rsidRPr="003A6B68">
        <w:rPr>
          <w:rFonts w:cs="Calibri"/>
          <w:bCs/>
          <w:iCs/>
          <w:color w:val="000000"/>
          <w:sz w:val="20"/>
          <w:szCs w:val="20"/>
        </w:rPr>
        <w:t xml:space="preserve"> </w:t>
      </w:r>
      <w:proofErr w:type="spellStart"/>
      <w:r w:rsidRPr="003A6B68">
        <w:rPr>
          <w:rFonts w:cs="Calibri"/>
          <w:bCs/>
          <w:iCs/>
          <w:color w:val="000000"/>
          <w:sz w:val="20"/>
          <w:szCs w:val="20"/>
        </w:rPr>
        <w:t>diphenyl</w:t>
      </w:r>
      <w:proofErr w:type="spellEnd"/>
      <w:r w:rsidRPr="003A6B68">
        <w:rPr>
          <w:rFonts w:cs="Calibri"/>
          <w:bCs/>
          <w:iCs/>
          <w:color w:val="000000"/>
          <w:sz w:val="20"/>
          <w:szCs w:val="20"/>
        </w:rPr>
        <w:t xml:space="preserve"> ethers (PBDEs) in breast milk and neuropsychological development in infants.</w:t>
      </w:r>
      <w:proofErr w:type="gramEnd"/>
      <w:r>
        <w:rPr>
          <w:rFonts w:cs="Calibri"/>
          <w:bCs/>
          <w:iCs/>
          <w:color w:val="000000"/>
          <w:sz w:val="20"/>
          <w:szCs w:val="20"/>
        </w:rPr>
        <w:t xml:space="preserve"> Environ. </w:t>
      </w:r>
      <w:proofErr w:type="gramStart"/>
      <w:r>
        <w:rPr>
          <w:rFonts w:cs="Calibri"/>
          <w:bCs/>
          <w:iCs/>
          <w:color w:val="000000"/>
          <w:sz w:val="20"/>
          <w:szCs w:val="20"/>
        </w:rPr>
        <w:t xml:space="preserve">Health </w:t>
      </w:r>
      <w:proofErr w:type="spellStart"/>
      <w:r>
        <w:rPr>
          <w:rFonts w:cs="Calibri"/>
          <w:bCs/>
          <w:iCs/>
          <w:color w:val="000000"/>
          <w:sz w:val="20"/>
          <w:szCs w:val="20"/>
        </w:rPr>
        <w:t>Perspect</w:t>
      </w:r>
      <w:proofErr w:type="spellEnd"/>
      <w:r>
        <w:rPr>
          <w:rFonts w:cs="Calibri"/>
          <w:bCs/>
          <w:iCs/>
          <w:color w:val="000000"/>
          <w:sz w:val="20"/>
          <w:szCs w:val="20"/>
        </w:rPr>
        <w:t>.</w:t>
      </w:r>
      <w:proofErr w:type="gramEnd"/>
      <w:r>
        <w:rPr>
          <w:rFonts w:cs="Calibri"/>
          <w:bCs/>
          <w:iCs/>
          <w:color w:val="000000"/>
          <w:sz w:val="20"/>
          <w:szCs w:val="20"/>
        </w:rPr>
        <w:t xml:space="preserve"> </w:t>
      </w:r>
      <w:proofErr w:type="gramStart"/>
      <w:r>
        <w:rPr>
          <w:rFonts w:cs="Calibri"/>
          <w:bCs/>
          <w:iCs/>
          <w:color w:val="000000"/>
          <w:sz w:val="20"/>
          <w:szCs w:val="20"/>
        </w:rPr>
        <w:t>120</w:t>
      </w:r>
      <w:proofErr w:type="gramEnd"/>
      <w:r>
        <w:rPr>
          <w:rFonts w:cs="Calibri"/>
          <w:bCs/>
          <w:iCs/>
          <w:color w:val="000000"/>
          <w:sz w:val="20"/>
          <w:szCs w:val="20"/>
        </w:rPr>
        <w:t>(12): 1760-1765.</w:t>
      </w:r>
    </w:p>
    <w:p w:rsidR="002B5AB9" w:rsidRPr="000B484A" w:rsidRDefault="002B5AB9" w:rsidP="002B5AB9">
      <w:pPr>
        <w:spacing w:before="240" w:after="0" w:line="240" w:lineRule="auto"/>
        <w:rPr>
          <w:rFonts w:cs="Calibri"/>
          <w:bCs/>
          <w:sz w:val="20"/>
          <w:szCs w:val="20"/>
        </w:rPr>
      </w:pPr>
      <w:proofErr w:type="spellStart"/>
      <w:r w:rsidRPr="000B484A">
        <w:rPr>
          <w:rFonts w:cs="Calibri"/>
          <w:bCs/>
          <w:iCs/>
          <w:color w:val="000000"/>
          <w:sz w:val="20"/>
          <w:szCs w:val="20"/>
        </w:rPr>
        <w:t>Goncharov</w:t>
      </w:r>
      <w:proofErr w:type="spellEnd"/>
      <w:r w:rsidR="00FA51BF">
        <w:rPr>
          <w:rFonts w:cs="Calibri"/>
          <w:bCs/>
          <w:iCs/>
          <w:color w:val="000000"/>
          <w:sz w:val="20"/>
          <w:szCs w:val="20"/>
        </w:rPr>
        <w:t>,</w:t>
      </w:r>
      <w:r w:rsidRPr="000B484A">
        <w:rPr>
          <w:rFonts w:cs="Calibri"/>
          <w:bCs/>
          <w:iCs/>
          <w:color w:val="000000"/>
          <w:sz w:val="20"/>
          <w:szCs w:val="20"/>
        </w:rPr>
        <w:t xml:space="preserve"> A</w:t>
      </w:r>
      <w:r w:rsidR="00FA51BF">
        <w:rPr>
          <w:rFonts w:cs="Calibri"/>
          <w:bCs/>
          <w:iCs/>
          <w:color w:val="000000"/>
          <w:sz w:val="20"/>
          <w:szCs w:val="20"/>
        </w:rPr>
        <w:t>.</w:t>
      </w:r>
      <w:r w:rsidRPr="000B484A">
        <w:rPr>
          <w:rFonts w:cs="Calibri"/>
          <w:bCs/>
          <w:iCs/>
          <w:color w:val="000000"/>
          <w:sz w:val="20"/>
          <w:szCs w:val="20"/>
        </w:rPr>
        <w:t xml:space="preserve">, </w:t>
      </w:r>
      <w:r w:rsidR="00FA51BF">
        <w:rPr>
          <w:rFonts w:cs="Calibri"/>
          <w:bCs/>
          <w:iCs/>
          <w:sz w:val="20"/>
          <w:szCs w:val="20"/>
        </w:rPr>
        <w:t xml:space="preserve">Bloom, </w:t>
      </w:r>
      <w:r w:rsidRPr="000B484A">
        <w:rPr>
          <w:rFonts w:cs="Calibri"/>
          <w:bCs/>
          <w:iCs/>
          <w:sz w:val="20"/>
          <w:szCs w:val="20"/>
        </w:rPr>
        <w:t>M</w:t>
      </w:r>
      <w:r w:rsidR="00FA51BF">
        <w:rPr>
          <w:rFonts w:cs="Calibri"/>
          <w:bCs/>
          <w:iCs/>
          <w:sz w:val="20"/>
          <w:szCs w:val="20"/>
        </w:rPr>
        <w:t>.</w:t>
      </w:r>
      <w:r w:rsidRPr="000B484A">
        <w:rPr>
          <w:rFonts w:cs="Calibri"/>
          <w:bCs/>
          <w:iCs/>
          <w:sz w:val="20"/>
          <w:szCs w:val="20"/>
        </w:rPr>
        <w:t xml:space="preserve">, </w:t>
      </w:r>
      <w:r w:rsidRPr="000B484A">
        <w:rPr>
          <w:rFonts w:cs="Calibri"/>
          <w:bCs/>
          <w:iCs/>
          <w:color w:val="000000"/>
          <w:sz w:val="20"/>
          <w:szCs w:val="20"/>
        </w:rPr>
        <w:t>Pavuk</w:t>
      </w:r>
      <w:r w:rsidR="00FA51BF">
        <w:rPr>
          <w:rFonts w:cs="Calibri"/>
          <w:bCs/>
          <w:iCs/>
          <w:color w:val="000000"/>
          <w:sz w:val="20"/>
          <w:szCs w:val="20"/>
        </w:rPr>
        <w:t>,</w:t>
      </w:r>
      <w:r w:rsidRPr="000B484A">
        <w:rPr>
          <w:rFonts w:cs="Calibri"/>
          <w:bCs/>
          <w:iCs/>
          <w:color w:val="000000"/>
          <w:sz w:val="20"/>
          <w:szCs w:val="20"/>
        </w:rPr>
        <w:t xml:space="preserve"> M</w:t>
      </w:r>
      <w:r w:rsidR="00FA51BF">
        <w:rPr>
          <w:rFonts w:cs="Calibri"/>
          <w:bCs/>
          <w:iCs/>
          <w:color w:val="000000"/>
          <w:sz w:val="20"/>
          <w:szCs w:val="20"/>
        </w:rPr>
        <w:t>.</w:t>
      </w:r>
      <w:r w:rsidRPr="000B484A">
        <w:rPr>
          <w:rFonts w:cs="Calibri"/>
          <w:bCs/>
          <w:iCs/>
          <w:color w:val="000000"/>
          <w:sz w:val="20"/>
          <w:szCs w:val="20"/>
        </w:rPr>
        <w:t>,</w:t>
      </w:r>
      <w:r w:rsidRPr="000B484A">
        <w:rPr>
          <w:rFonts w:cs="Calibri"/>
          <w:bCs/>
          <w:iCs/>
          <w:sz w:val="20"/>
          <w:szCs w:val="20"/>
        </w:rPr>
        <w:t xml:space="preserve"> </w:t>
      </w:r>
      <w:proofErr w:type="spellStart"/>
      <w:r w:rsidRPr="000B484A">
        <w:rPr>
          <w:rFonts w:cs="Calibri"/>
          <w:bCs/>
          <w:iCs/>
          <w:sz w:val="20"/>
          <w:szCs w:val="20"/>
        </w:rPr>
        <w:t>Birman</w:t>
      </w:r>
      <w:proofErr w:type="spellEnd"/>
      <w:r w:rsidR="00FA51BF">
        <w:rPr>
          <w:rFonts w:cs="Calibri"/>
          <w:bCs/>
          <w:iCs/>
          <w:sz w:val="20"/>
          <w:szCs w:val="20"/>
        </w:rPr>
        <w:t>,</w:t>
      </w:r>
      <w:r w:rsidRPr="000B484A">
        <w:rPr>
          <w:rFonts w:cs="Calibri"/>
          <w:bCs/>
          <w:iCs/>
          <w:sz w:val="20"/>
          <w:szCs w:val="20"/>
        </w:rPr>
        <w:t xml:space="preserve"> I</w:t>
      </w:r>
      <w:r w:rsidR="00FA51BF">
        <w:rPr>
          <w:rFonts w:cs="Calibri"/>
          <w:bCs/>
          <w:iCs/>
          <w:sz w:val="20"/>
          <w:szCs w:val="20"/>
        </w:rPr>
        <w:t>.</w:t>
      </w:r>
      <w:r w:rsidRPr="000B484A">
        <w:rPr>
          <w:rFonts w:cs="Calibri"/>
          <w:bCs/>
          <w:iCs/>
          <w:color w:val="000000"/>
          <w:sz w:val="20"/>
          <w:szCs w:val="20"/>
        </w:rPr>
        <w:t>, Carpenter</w:t>
      </w:r>
      <w:r w:rsidR="00FA51BF">
        <w:rPr>
          <w:rFonts w:cs="Calibri"/>
          <w:bCs/>
          <w:iCs/>
          <w:color w:val="000000"/>
          <w:sz w:val="20"/>
          <w:szCs w:val="20"/>
        </w:rPr>
        <w:t>,</w:t>
      </w:r>
      <w:r w:rsidRPr="000B484A">
        <w:rPr>
          <w:rFonts w:cs="Calibri"/>
          <w:bCs/>
          <w:iCs/>
          <w:color w:val="000000"/>
          <w:sz w:val="20"/>
          <w:szCs w:val="20"/>
        </w:rPr>
        <w:t xml:space="preserve"> D</w:t>
      </w:r>
      <w:r w:rsidR="00FA51BF">
        <w:rPr>
          <w:rFonts w:cs="Calibri"/>
          <w:bCs/>
          <w:iCs/>
          <w:color w:val="000000"/>
          <w:sz w:val="20"/>
          <w:szCs w:val="20"/>
        </w:rPr>
        <w:t>.</w:t>
      </w:r>
      <w:r w:rsidRPr="000B484A">
        <w:rPr>
          <w:rFonts w:cs="Calibri"/>
          <w:bCs/>
          <w:iCs/>
          <w:color w:val="000000"/>
          <w:sz w:val="20"/>
          <w:szCs w:val="20"/>
        </w:rPr>
        <w:t>O</w:t>
      </w:r>
      <w:r w:rsidR="00FA51BF">
        <w:rPr>
          <w:rFonts w:cs="Calibri"/>
          <w:bCs/>
          <w:iCs/>
          <w:color w:val="000000"/>
          <w:sz w:val="20"/>
          <w:szCs w:val="20"/>
        </w:rPr>
        <w:t>., 2010.</w:t>
      </w:r>
      <w:r w:rsidRPr="000B484A">
        <w:rPr>
          <w:rFonts w:cs="Calibri"/>
          <w:bCs/>
          <w:iCs/>
          <w:sz w:val="20"/>
          <w:szCs w:val="20"/>
        </w:rPr>
        <w:t xml:space="preserve"> </w:t>
      </w:r>
      <w:proofErr w:type="gramStart"/>
      <w:r w:rsidRPr="000B484A">
        <w:rPr>
          <w:rFonts w:cs="Calibri"/>
          <w:sz w:val="20"/>
          <w:szCs w:val="20"/>
        </w:rPr>
        <w:t>Blood pressure and hypertension in relation to levels of serum polychlorinated biphenyls in residents of Anniston, Alabama.</w:t>
      </w:r>
      <w:proofErr w:type="gramEnd"/>
      <w:r w:rsidRPr="000B484A">
        <w:rPr>
          <w:rFonts w:cs="Calibri"/>
          <w:sz w:val="20"/>
          <w:szCs w:val="20"/>
        </w:rPr>
        <w:t xml:space="preserve"> J</w:t>
      </w:r>
      <w:r w:rsidR="00FA51BF">
        <w:rPr>
          <w:rFonts w:cs="Calibri"/>
          <w:sz w:val="20"/>
          <w:szCs w:val="20"/>
        </w:rPr>
        <w:t>.</w:t>
      </w:r>
      <w:r w:rsidRPr="000B484A">
        <w:rPr>
          <w:rFonts w:cs="Calibri"/>
          <w:sz w:val="20"/>
          <w:szCs w:val="20"/>
        </w:rPr>
        <w:t xml:space="preserve"> </w:t>
      </w:r>
      <w:proofErr w:type="spellStart"/>
      <w:r w:rsidRPr="000B484A">
        <w:rPr>
          <w:rFonts w:cs="Calibri"/>
          <w:sz w:val="20"/>
          <w:szCs w:val="20"/>
        </w:rPr>
        <w:t>Hypertens</w:t>
      </w:r>
      <w:proofErr w:type="spellEnd"/>
      <w:r w:rsidR="00FA51BF">
        <w:rPr>
          <w:rFonts w:cs="Calibri"/>
          <w:sz w:val="20"/>
          <w:szCs w:val="20"/>
        </w:rPr>
        <w:t xml:space="preserve">. </w:t>
      </w:r>
      <w:proofErr w:type="gramStart"/>
      <w:r w:rsidR="00FA51BF">
        <w:rPr>
          <w:rFonts w:cs="Calibri"/>
          <w:sz w:val="20"/>
          <w:szCs w:val="20"/>
        </w:rPr>
        <w:t>28</w:t>
      </w:r>
      <w:proofErr w:type="gramEnd"/>
      <w:r w:rsidR="00FA51BF">
        <w:rPr>
          <w:rFonts w:cs="Calibri"/>
          <w:sz w:val="20"/>
          <w:szCs w:val="20"/>
        </w:rPr>
        <w:t xml:space="preserve">(10), </w:t>
      </w:r>
      <w:r w:rsidRPr="000B484A">
        <w:rPr>
          <w:rFonts w:cs="Calibri"/>
          <w:sz w:val="20"/>
          <w:szCs w:val="20"/>
        </w:rPr>
        <w:t>2053-</w:t>
      </w:r>
      <w:r w:rsidR="00FA51BF">
        <w:rPr>
          <w:rFonts w:cs="Calibri"/>
          <w:sz w:val="20"/>
          <w:szCs w:val="20"/>
        </w:rPr>
        <w:t>20</w:t>
      </w:r>
      <w:r w:rsidRPr="000B484A">
        <w:rPr>
          <w:rFonts w:cs="Calibri"/>
          <w:sz w:val="20"/>
          <w:szCs w:val="20"/>
        </w:rPr>
        <w:t>60.</w:t>
      </w:r>
    </w:p>
    <w:p w:rsidR="002B5AB9" w:rsidRPr="00817D82" w:rsidRDefault="002B5AB9" w:rsidP="002B5AB9">
      <w:pPr>
        <w:spacing w:before="240" w:after="0" w:line="240" w:lineRule="auto"/>
        <w:rPr>
          <w:rFonts w:cs="Calibri"/>
          <w:bCs/>
          <w:sz w:val="20"/>
          <w:szCs w:val="20"/>
        </w:rPr>
      </w:pPr>
      <w:proofErr w:type="spellStart"/>
      <w:proofErr w:type="gramStart"/>
      <w:r w:rsidRPr="000B484A">
        <w:rPr>
          <w:rFonts w:cs="Calibri"/>
          <w:bCs/>
          <w:iCs/>
          <w:color w:val="000000"/>
          <w:sz w:val="20"/>
          <w:szCs w:val="20"/>
        </w:rPr>
        <w:lastRenderedPageBreak/>
        <w:t>Goncharov</w:t>
      </w:r>
      <w:proofErr w:type="spellEnd"/>
      <w:r w:rsidR="00FA51BF">
        <w:rPr>
          <w:rFonts w:cs="Calibri"/>
          <w:bCs/>
          <w:iCs/>
          <w:color w:val="000000"/>
          <w:sz w:val="20"/>
          <w:szCs w:val="20"/>
        </w:rPr>
        <w:t>,</w:t>
      </w:r>
      <w:r w:rsidRPr="000B484A">
        <w:rPr>
          <w:rFonts w:cs="Calibri"/>
          <w:bCs/>
          <w:iCs/>
          <w:color w:val="000000"/>
          <w:sz w:val="20"/>
          <w:szCs w:val="20"/>
        </w:rPr>
        <w:t xml:space="preserve"> A</w:t>
      </w:r>
      <w:r w:rsidR="00FA51BF">
        <w:rPr>
          <w:rFonts w:cs="Calibri"/>
          <w:bCs/>
          <w:iCs/>
          <w:color w:val="000000"/>
          <w:sz w:val="20"/>
          <w:szCs w:val="20"/>
        </w:rPr>
        <w:t>.</w:t>
      </w:r>
      <w:r w:rsidRPr="000B484A">
        <w:rPr>
          <w:rFonts w:cs="Calibri"/>
          <w:bCs/>
          <w:iCs/>
          <w:color w:val="000000"/>
          <w:sz w:val="20"/>
          <w:szCs w:val="20"/>
        </w:rPr>
        <w:t>, Pavuk</w:t>
      </w:r>
      <w:r w:rsidR="00FA51BF">
        <w:rPr>
          <w:rFonts w:cs="Calibri"/>
          <w:bCs/>
          <w:iCs/>
          <w:color w:val="000000"/>
          <w:sz w:val="20"/>
          <w:szCs w:val="20"/>
        </w:rPr>
        <w:t>,</w:t>
      </w:r>
      <w:r w:rsidRPr="000B484A">
        <w:rPr>
          <w:rFonts w:cs="Calibri"/>
          <w:bCs/>
          <w:iCs/>
          <w:color w:val="000000"/>
          <w:sz w:val="20"/>
          <w:szCs w:val="20"/>
        </w:rPr>
        <w:t xml:space="preserve"> M</w:t>
      </w:r>
      <w:r w:rsidR="00FA51BF">
        <w:rPr>
          <w:rFonts w:cs="Calibri"/>
          <w:bCs/>
          <w:iCs/>
          <w:color w:val="000000"/>
          <w:sz w:val="20"/>
          <w:szCs w:val="20"/>
        </w:rPr>
        <w:t>.</w:t>
      </w:r>
      <w:r w:rsidRPr="000B484A">
        <w:rPr>
          <w:rFonts w:cs="Calibri"/>
          <w:bCs/>
          <w:iCs/>
          <w:color w:val="000000"/>
          <w:sz w:val="20"/>
          <w:szCs w:val="20"/>
        </w:rPr>
        <w:t xml:space="preserve">, </w:t>
      </w:r>
      <w:proofErr w:type="spellStart"/>
      <w:r w:rsidRPr="000B484A">
        <w:rPr>
          <w:rFonts w:cs="Calibri"/>
          <w:bCs/>
          <w:iCs/>
          <w:color w:val="000000"/>
          <w:sz w:val="20"/>
          <w:szCs w:val="20"/>
        </w:rPr>
        <w:t>Foushee</w:t>
      </w:r>
      <w:proofErr w:type="spellEnd"/>
      <w:r w:rsidR="00FA51BF">
        <w:rPr>
          <w:rFonts w:cs="Calibri"/>
          <w:bCs/>
          <w:iCs/>
          <w:color w:val="000000"/>
          <w:sz w:val="20"/>
          <w:szCs w:val="20"/>
        </w:rPr>
        <w:t>,</w:t>
      </w:r>
      <w:r w:rsidRPr="000B484A">
        <w:rPr>
          <w:rFonts w:cs="Calibri"/>
          <w:bCs/>
          <w:iCs/>
          <w:color w:val="000000"/>
          <w:sz w:val="20"/>
          <w:szCs w:val="20"/>
        </w:rPr>
        <w:t xml:space="preserve"> H</w:t>
      </w:r>
      <w:r w:rsidR="00FA51BF">
        <w:rPr>
          <w:rFonts w:cs="Calibri"/>
          <w:bCs/>
          <w:iCs/>
          <w:color w:val="000000"/>
          <w:sz w:val="20"/>
          <w:szCs w:val="20"/>
        </w:rPr>
        <w:t>.</w:t>
      </w:r>
      <w:r w:rsidRPr="000B484A">
        <w:rPr>
          <w:rFonts w:cs="Calibri"/>
          <w:bCs/>
          <w:iCs/>
          <w:color w:val="000000"/>
          <w:sz w:val="20"/>
          <w:szCs w:val="20"/>
        </w:rPr>
        <w:t>R</w:t>
      </w:r>
      <w:r w:rsidR="00FA51BF">
        <w:rPr>
          <w:rFonts w:cs="Calibri"/>
          <w:bCs/>
          <w:iCs/>
          <w:color w:val="000000"/>
          <w:sz w:val="20"/>
          <w:szCs w:val="20"/>
        </w:rPr>
        <w:t>.</w:t>
      </w:r>
      <w:r w:rsidRPr="000B484A">
        <w:rPr>
          <w:rFonts w:cs="Calibri"/>
          <w:bCs/>
          <w:iCs/>
          <w:color w:val="000000"/>
          <w:sz w:val="20"/>
          <w:szCs w:val="20"/>
        </w:rPr>
        <w:t>, Carpenter</w:t>
      </w:r>
      <w:r w:rsidR="00FA51BF">
        <w:rPr>
          <w:rFonts w:cs="Calibri"/>
          <w:bCs/>
          <w:iCs/>
          <w:color w:val="000000"/>
          <w:sz w:val="20"/>
          <w:szCs w:val="20"/>
        </w:rPr>
        <w:t>,</w:t>
      </w:r>
      <w:r w:rsidRPr="000B484A">
        <w:rPr>
          <w:rFonts w:cs="Calibri"/>
          <w:bCs/>
          <w:iCs/>
          <w:color w:val="000000"/>
          <w:sz w:val="20"/>
          <w:szCs w:val="20"/>
        </w:rPr>
        <w:t xml:space="preserve"> D</w:t>
      </w:r>
      <w:r w:rsidR="00FA51BF">
        <w:rPr>
          <w:rFonts w:cs="Calibri"/>
          <w:bCs/>
          <w:iCs/>
          <w:color w:val="000000"/>
          <w:sz w:val="20"/>
          <w:szCs w:val="20"/>
        </w:rPr>
        <w:t>.</w:t>
      </w:r>
      <w:r w:rsidRPr="000B484A">
        <w:rPr>
          <w:rFonts w:cs="Calibri"/>
          <w:bCs/>
          <w:iCs/>
          <w:color w:val="000000"/>
          <w:sz w:val="20"/>
          <w:szCs w:val="20"/>
        </w:rPr>
        <w:t>O</w:t>
      </w:r>
      <w:r w:rsidR="00FA51BF">
        <w:rPr>
          <w:rFonts w:cs="Calibri"/>
          <w:bCs/>
          <w:iCs/>
          <w:color w:val="000000"/>
          <w:sz w:val="20"/>
          <w:szCs w:val="20"/>
        </w:rPr>
        <w:t>., 2011.</w:t>
      </w:r>
      <w:proofErr w:type="gramEnd"/>
      <w:r w:rsidRPr="000B484A">
        <w:rPr>
          <w:rFonts w:cs="Calibri"/>
          <w:bCs/>
          <w:iCs/>
          <w:color w:val="000000"/>
          <w:sz w:val="20"/>
          <w:szCs w:val="20"/>
        </w:rPr>
        <w:t xml:space="preserve"> </w:t>
      </w:r>
      <w:r w:rsidRPr="000B484A">
        <w:rPr>
          <w:rFonts w:cs="Calibri"/>
          <w:bCs/>
          <w:sz w:val="20"/>
          <w:szCs w:val="20"/>
        </w:rPr>
        <w:t xml:space="preserve">Blood pressure in relation to concentrations of </w:t>
      </w:r>
      <w:r w:rsidRPr="00817D82">
        <w:rPr>
          <w:rFonts w:cs="Calibri"/>
          <w:bCs/>
          <w:sz w:val="20"/>
          <w:szCs w:val="20"/>
        </w:rPr>
        <w:t>PCB congeners and chlorinated pesticides. Environ</w:t>
      </w:r>
      <w:r w:rsidR="00FA51BF" w:rsidRPr="00817D82">
        <w:rPr>
          <w:rFonts w:cs="Calibri"/>
          <w:bCs/>
          <w:sz w:val="20"/>
          <w:szCs w:val="20"/>
        </w:rPr>
        <w:t>.</w:t>
      </w:r>
      <w:r w:rsidRPr="00817D82">
        <w:rPr>
          <w:rFonts w:cs="Calibri"/>
          <w:bCs/>
          <w:sz w:val="20"/>
          <w:szCs w:val="20"/>
        </w:rPr>
        <w:t xml:space="preserve"> </w:t>
      </w:r>
      <w:proofErr w:type="gramStart"/>
      <w:r w:rsidRPr="00817D82">
        <w:rPr>
          <w:rFonts w:cs="Calibri"/>
          <w:bCs/>
          <w:sz w:val="20"/>
          <w:szCs w:val="20"/>
        </w:rPr>
        <w:t xml:space="preserve">Health </w:t>
      </w:r>
      <w:proofErr w:type="spellStart"/>
      <w:r w:rsidRPr="00817D82">
        <w:rPr>
          <w:rFonts w:cs="Calibri"/>
          <w:bCs/>
          <w:sz w:val="20"/>
          <w:szCs w:val="20"/>
        </w:rPr>
        <w:t>Perspect</w:t>
      </w:r>
      <w:proofErr w:type="spellEnd"/>
      <w:r w:rsidR="00FA51BF" w:rsidRPr="00817D82">
        <w:rPr>
          <w:rFonts w:cs="Calibri"/>
          <w:bCs/>
          <w:sz w:val="20"/>
          <w:szCs w:val="20"/>
        </w:rPr>
        <w:t>.</w:t>
      </w:r>
      <w:proofErr w:type="gramEnd"/>
      <w:r w:rsidR="00FA51BF" w:rsidRPr="00817D82">
        <w:rPr>
          <w:rFonts w:cs="Calibri"/>
          <w:bCs/>
          <w:sz w:val="20"/>
          <w:szCs w:val="20"/>
        </w:rPr>
        <w:t xml:space="preserve"> 119(3), </w:t>
      </w:r>
      <w:r w:rsidRPr="00817D82">
        <w:rPr>
          <w:rFonts w:cs="Calibri"/>
          <w:bCs/>
          <w:sz w:val="20"/>
          <w:szCs w:val="20"/>
        </w:rPr>
        <w:t>319-325.</w:t>
      </w:r>
    </w:p>
    <w:p w:rsidR="00817D82" w:rsidRPr="00817D82" w:rsidRDefault="002B5AB9" w:rsidP="002B5AB9">
      <w:pPr>
        <w:spacing w:before="240" w:after="0" w:line="240" w:lineRule="auto"/>
        <w:rPr>
          <w:rFonts w:cs="Calibri"/>
          <w:bCs/>
          <w:sz w:val="20"/>
          <w:szCs w:val="20"/>
        </w:rPr>
      </w:pPr>
      <w:proofErr w:type="spellStart"/>
      <w:proofErr w:type="gramStart"/>
      <w:r w:rsidRPr="00817D82">
        <w:rPr>
          <w:rFonts w:cs="Calibri"/>
          <w:bCs/>
          <w:sz w:val="20"/>
          <w:szCs w:val="20"/>
        </w:rPr>
        <w:t>Grunwald</w:t>
      </w:r>
      <w:proofErr w:type="spellEnd"/>
      <w:r w:rsidR="00FA51BF" w:rsidRPr="00817D82">
        <w:rPr>
          <w:rFonts w:cs="Calibri"/>
          <w:bCs/>
          <w:sz w:val="20"/>
          <w:szCs w:val="20"/>
        </w:rPr>
        <w:t>,</w:t>
      </w:r>
      <w:r w:rsidRPr="00817D82">
        <w:rPr>
          <w:rFonts w:cs="Calibri"/>
          <w:bCs/>
          <w:sz w:val="20"/>
          <w:szCs w:val="20"/>
        </w:rPr>
        <w:t xml:space="preserve"> M.</w:t>
      </w:r>
      <w:r w:rsidR="00FA51BF" w:rsidRPr="00817D82">
        <w:rPr>
          <w:rFonts w:cs="Calibri"/>
          <w:bCs/>
          <w:sz w:val="20"/>
          <w:szCs w:val="20"/>
        </w:rPr>
        <w:t>, 2001, January 1.</w:t>
      </w:r>
      <w:proofErr w:type="gramEnd"/>
      <w:r w:rsidR="00FA51BF" w:rsidRPr="00817D82">
        <w:rPr>
          <w:rFonts w:cs="Calibri"/>
          <w:bCs/>
          <w:sz w:val="20"/>
          <w:szCs w:val="20"/>
        </w:rPr>
        <w:t xml:space="preserve"> </w:t>
      </w:r>
      <w:r w:rsidRPr="00817D82">
        <w:rPr>
          <w:rFonts w:cs="Calibri"/>
          <w:bCs/>
          <w:sz w:val="20"/>
          <w:szCs w:val="20"/>
        </w:rPr>
        <w:t xml:space="preserve">Monsanto Hid Decades Of Pollution But No One </w:t>
      </w:r>
      <w:proofErr w:type="gramStart"/>
      <w:r w:rsidRPr="00817D82">
        <w:rPr>
          <w:rFonts w:cs="Calibri"/>
          <w:bCs/>
          <w:sz w:val="20"/>
          <w:szCs w:val="20"/>
        </w:rPr>
        <w:t>Was Ever Tol</w:t>
      </w:r>
      <w:r w:rsidR="00FA51BF" w:rsidRPr="00817D82">
        <w:rPr>
          <w:rFonts w:cs="Calibri"/>
          <w:bCs/>
          <w:sz w:val="20"/>
          <w:szCs w:val="20"/>
        </w:rPr>
        <w:t>d</w:t>
      </w:r>
      <w:proofErr w:type="gramEnd"/>
      <w:r w:rsidR="00FA51BF" w:rsidRPr="00817D82">
        <w:rPr>
          <w:rFonts w:cs="Calibri"/>
          <w:bCs/>
          <w:sz w:val="20"/>
          <w:szCs w:val="20"/>
        </w:rPr>
        <w:t xml:space="preserve">. </w:t>
      </w:r>
      <w:proofErr w:type="gramStart"/>
      <w:r w:rsidR="00FA51BF" w:rsidRPr="00817D82">
        <w:rPr>
          <w:rFonts w:cs="Calibri"/>
          <w:bCs/>
          <w:sz w:val="20"/>
          <w:szCs w:val="20"/>
        </w:rPr>
        <w:t>Washington Post</w:t>
      </w:r>
      <w:r w:rsidR="00AF5C01" w:rsidRPr="00817D82">
        <w:rPr>
          <w:rFonts w:cs="Calibri"/>
          <w:bCs/>
          <w:sz w:val="20"/>
          <w:szCs w:val="20"/>
        </w:rPr>
        <w:t>.</w:t>
      </w:r>
      <w:proofErr w:type="gramEnd"/>
    </w:p>
    <w:p w:rsidR="00817D82" w:rsidRPr="00817D82" w:rsidRDefault="00817D82" w:rsidP="00817D82">
      <w:pPr>
        <w:spacing w:before="240"/>
        <w:rPr>
          <w:bCs/>
          <w:sz w:val="20"/>
          <w:szCs w:val="20"/>
        </w:rPr>
      </w:pPr>
      <w:r w:rsidRPr="00817D82">
        <w:rPr>
          <w:bCs/>
          <w:sz w:val="20"/>
          <w:szCs w:val="20"/>
        </w:rPr>
        <w:t>Hansen, L., 2001. Identification of steady state and episodic PCB congeners from multiple pathway exposures, in: Robertson, L.H.L. (Ed.), PCBs. University Press of Kentucky, Lexington, KY., pp. 47–56.</w:t>
      </w:r>
    </w:p>
    <w:p w:rsidR="00817D82" w:rsidRPr="00817D82" w:rsidRDefault="00817D82" w:rsidP="00817D82">
      <w:pPr>
        <w:jc w:val="both"/>
        <w:rPr>
          <w:sz w:val="20"/>
          <w:szCs w:val="20"/>
        </w:rPr>
      </w:pPr>
      <w:r w:rsidRPr="00817D82">
        <w:rPr>
          <w:sz w:val="20"/>
          <w:szCs w:val="20"/>
        </w:rPr>
        <w:t xml:space="preserve">Hansen, L.G., </w:t>
      </w:r>
      <w:proofErr w:type="spellStart"/>
      <w:r w:rsidRPr="00817D82">
        <w:rPr>
          <w:sz w:val="20"/>
          <w:szCs w:val="20"/>
        </w:rPr>
        <w:t>DeCaprio</w:t>
      </w:r>
      <w:proofErr w:type="spellEnd"/>
      <w:r w:rsidRPr="00817D82">
        <w:rPr>
          <w:sz w:val="20"/>
          <w:szCs w:val="20"/>
        </w:rPr>
        <w:t xml:space="preserve">, A.P., </w:t>
      </w:r>
      <w:proofErr w:type="spellStart"/>
      <w:r w:rsidRPr="00817D82">
        <w:rPr>
          <w:sz w:val="20"/>
          <w:szCs w:val="20"/>
        </w:rPr>
        <w:t>Nisbet</w:t>
      </w:r>
      <w:proofErr w:type="spellEnd"/>
      <w:r w:rsidRPr="00817D82">
        <w:rPr>
          <w:sz w:val="20"/>
          <w:szCs w:val="20"/>
        </w:rPr>
        <w:t>, I.C.T., 2003. PCB congener comparisons reveal exposure histories for residents of Anniston, Alabama, USA. Fresenius Environ. Bull. 12(2), 181-190.</w:t>
      </w:r>
    </w:p>
    <w:p w:rsidR="00817D82" w:rsidRDefault="00817D82" w:rsidP="00817D82">
      <w:pPr>
        <w:spacing w:before="240"/>
        <w:rPr>
          <w:bCs/>
          <w:sz w:val="20"/>
          <w:szCs w:val="20"/>
        </w:rPr>
      </w:pPr>
      <w:r w:rsidRPr="00817D82">
        <w:rPr>
          <w:bCs/>
          <w:sz w:val="20"/>
          <w:szCs w:val="20"/>
        </w:rPr>
        <w:t xml:space="preserve">Hansen, L.G., 1998. </w:t>
      </w:r>
      <w:proofErr w:type="gramStart"/>
      <w:r w:rsidRPr="00817D82">
        <w:rPr>
          <w:bCs/>
          <w:sz w:val="20"/>
          <w:szCs w:val="20"/>
        </w:rPr>
        <w:t>Stepping backward to improve assessment of PCB congener toxicities.</w:t>
      </w:r>
      <w:proofErr w:type="gramEnd"/>
      <w:r w:rsidRPr="00817D82">
        <w:rPr>
          <w:bCs/>
          <w:sz w:val="20"/>
          <w:szCs w:val="20"/>
        </w:rPr>
        <w:t xml:space="preserve"> Environ. </w:t>
      </w:r>
      <w:proofErr w:type="gramStart"/>
      <w:r w:rsidRPr="00817D82">
        <w:rPr>
          <w:bCs/>
          <w:sz w:val="20"/>
          <w:szCs w:val="20"/>
        </w:rPr>
        <w:t xml:space="preserve">Health </w:t>
      </w:r>
      <w:proofErr w:type="spellStart"/>
      <w:r w:rsidRPr="00817D82">
        <w:rPr>
          <w:bCs/>
          <w:sz w:val="20"/>
          <w:szCs w:val="20"/>
        </w:rPr>
        <w:t>Perspect</w:t>
      </w:r>
      <w:proofErr w:type="spellEnd"/>
      <w:r w:rsidRPr="00817D82">
        <w:rPr>
          <w:bCs/>
          <w:sz w:val="20"/>
          <w:szCs w:val="20"/>
        </w:rPr>
        <w:t>.</w:t>
      </w:r>
      <w:proofErr w:type="gramEnd"/>
      <w:r w:rsidRPr="00817D82">
        <w:rPr>
          <w:bCs/>
          <w:sz w:val="20"/>
          <w:szCs w:val="20"/>
        </w:rPr>
        <w:t xml:space="preserve"> </w:t>
      </w:r>
      <w:proofErr w:type="gramStart"/>
      <w:r w:rsidRPr="00817D82">
        <w:rPr>
          <w:bCs/>
          <w:sz w:val="20"/>
          <w:szCs w:val="20"/>
        </w:rPr>
        <w:t>106</w:t>
      </w:r>
      <w:proofErr w:type="gramEnd"/>
      <w:r w:rsidRPr="00817D82">
        <w:rPr>
          <w:bCs/>
          <w:sz w:val="20"/>
          <w:szCs w:val="20"/>
        </w:rPr>
        <w:t xml:space="preserve"> </w:t>
      </w:r>
      <w:proofErr w:type="spellStart"/>
      <w:r w:rsidRPr="00817D82">
        <w:rPr>
          <w:bCs/>
          <w:sz w:val="20"/>
          <w:szCs w:val="20"/>
        </w:rPr>
        <w:t>Suppl</w:t>
      </w:r>
      <w:proofErr w:type="spellEnd"/>
      <w:r w:rsidRPr="00817D82">
        <w:rPr>
          <w:bCs/>
          <w:sz w:val="20"/>
          <w:szCs w:val="20"/>
        </w:rPr>
        <w:t xml:space="preserve"> 1, 171-189.</w:t>
      </w:r>
    </w:p>
    <w:p w:rsidR="00343DF0" w:rsidRPr="00817D82" w:rsidRDefault="00343DF0" w:rsidP="00817D82">
      <w:pPr>
        <w:spacing w:before="240"/>
        <w:rPr>
          <w:bCs/>
          <w:sz w:val="20"/>
          <w:szCs w:val="20"/>
        </w:rPr>
      </w:pPr>
      <w:proofErr w:type="gramStart"/>
      <w:r w:rsidRPr="00343DF0">
        <w:rPr>
          <w:bCs/>
          <w:sz w:val="20"/>
          <w:szCs w:val="20"/>
        </w:rPr>
        <w:t>Harley</w:t>
      </w:r>
      <w:r>
        <w:rPr>
          <w:bCs/>
          <w:sz w:val="20"/>
          <w:szCs w:val="20"/>
        </w:rPr>
        <w:t>,</w:t>
      </w:r>
      <w:r w:rsidRPr="00343DF0">
        <w:rPr>
          <w:bCs/>
          <w:sz w:val="20"/>
          <w:szCs w:val="20"/>
        </w:rPr>
        <w:t xml:space="preserve"> K</w:t>
      </w:r>
      <w:r>
        <w:rPr>
          <w:bCs/>
          <w:sz w:val="20"/>
          <w:szCs w:val="20"/>
        </w:rPr>
        <w:t>.</w:t>
      </w:r>
      <w:r w:rsidRPr="00343DF0">
        <w:rPr>
          <w:bCs/>
          <w:sz w:val="20"/>
          <w:szCs w:val="20"/>
        </w:rPr>
        <w:t>G</w:t>
      </w:r>
      <w:r>
        <w:rPr>
          <w:bCs/>
          <w:sz w:val="20"/>
          <w:szCs w:val="20"/>
        </w:rPr>
        <w:t>.</w:t>
      </w:r>
      <w:r w:rsidRPr="00343DF0">
        <w:rPr>
          <w:bCs/>
          <w:sz w:val="20"/>
          <w:szCs w:val="20"/>
        </w:rPr>
        <w:t>, Marks</w:t>
      </w:r>
      <w:r>
        <w:rPr>
          <w:bCs/>
          <w:sz w:val="20"/>
          <w:szCs w:val="20"/>
        </w:rPr>
        <w:t>,</w:t>
      </w:r>
      <w:r w:rsidRPr="00343DF0">
        <w:rPr>
          <w:bCs/>
          <w:sz w:val="20"/>
          <w:szCs w:val="20"/>
        </w:rPr>
        <w:t xml:space="preserve"> A</w:t>
      </w:r>
      <w:r>
        <w:rPr>
          <w:bCs/>
          <w:sz w:val="20"/>
          <w:szCs w:val="20"/>
        </w:rPr>
        <w:t>.</w:t>
      </w:r>
      <w:r w:rsidRPr="00343DF0">
        <w:rPr>
          <w:bCs/>
          <w:sz w:val="20"/>
          <w:szCs w:val="20"/>
        </w:rPr>
        <w:t>R</w:t>
      </w:r>
      <w:r>
        <w:rPr>
          <w:bCs/>
          <w:sz w:val="20"/>
          <w:szCs w:val="20"/>
        </w:rPr>
        <w:t>.</w:t>
      </w:r>
      <w:r w:rsidRPr="00343DF0">
        <w:rPr>
          <w:bCs/>
          <w:sz w:val="20"/>
          <w:szCs w:val="20"/>
        </w:rPr>
        <w:t xml:space="preserve">, </w:t>
      </w:r>
      <w:proofErr w:type="spellStart"/>
      <w:r w:rsidRPr="00343DF0">
        <w:rPr>
          <w:bCs/>
          <w:sz w:val="20"/>
          <w:szCs w:val="20"/>
        </w:rPr>
        <w:t>Chevrier</w:t>
      </w:r>
      <w:proofErr w:type="spellEnd"/>
      <w:r>
        <w:rPr>
          <w:bCs/>
          <w:sz w:val="20"/>
          <w:szCs w:val="20"/>
        </w:rPr>
        <w:t>,</w:t>
      </w:r>
      <w:r w:rsidRPr="00343DF0">
        <w:rPr>
          <w:bCs/>
          <w:sz w:val="20"/>
          <w:szCs w:val="20"/>
        </w:rPr>
        <w:t xml:space="preserve"> J</w:t>
      </w:r>
      <w:r>
        <w:rPr>
          <w:bCs/>
          <w:sz w:val="20"/>
          <w:szCs w:val="20"/>
        </w:rPr>
        <w:t>.</w:t>
      </w:r>
      <w:r w:rsidRPr="00343DF0">
        <w:rPr>
          <w:bCs/>
          <w:sz w:val="20"/>
          <w:szCs w:val="20"/>
        </w:rPr>
        <w:t>, Bradman</w:t>
      </w:r>
      <w:r>
        <w:rPr>
          <w:bCs/>
          <w:sz w:val="20"/>
          <w:szCs w:val="20"/>
        </w:rPr>
        <w:t>,</w:t>
      </w:r>
      <w:r w:rsidRPr="00343DF0">
        <w:rPr>
          <w:bCs/>
          <w:sz w:val="20"/>
          <w:szCs w:val="20"/>
        </w:rPr>
        <w:t xml:space="preserve"> A</w:t>
      </w:r>
      <w:r>
        <w:rPr>
          <w:bCs/>
          <w:sz w:val="20"/>
          <w:szCs w:val="20"/>
        </w:rPr>
        <w:t>.</w:t>
      </w:r>
      <w:r w:rsidRPr="00343DF0">
        <w:rPr>
          <w:bCs/>
          <w:sz w:val="20"/>
          <w:szCs w:val="20"/>
        </w:rPr>
        <w:t xml:space="preserve">, </w:t>
      </w:r>
      <w:proofErr w:type="spellStart"/>
      <w:r w:rsidRPr="00343DF0">
        <w:rPr>
          <w:bCs/>
          <w:sz w:val="20"/>
          <w:szCs w:val="20"/>
        </w:rPr>
        <w:t>Sjödin</w:t>
      </w:r>
      <w:proofErr w:type="spellEnd"/>
      <w:r>
        <w:rPr>
          <w:bCs/>
          <w:sz w:val="20"/>
          <w:szCs w:val="20"/>
        </w:rPr>
        <w:t>,</w:t>
      </w:r>
      <w:r w:rsidRPr="00343DF0">
        <w:rPr>
          <w:bCs/>
          <w:sz w:val="20"/>
          <w:szCs w:val="20"/>
        </w:rPr>
        <w:t xml:space="preserve"> A</w:t>
      </w:r>
      <w:r>
        <w:rPr>
          <w:bCs/>
          <w:sz w:val="20"/>
          <w:szCs w:val="20"/>
        </w:rPr>
        <w:t>.</w:t>
      </w:r>
      <w:r w:rsidRPr="00343DF0">
        <w:rPr>
          <w:bCs/>
          <w:sz w:val="20"/>
          <w:szCs w:val="20"/>
        </w:rPr>
        <w:t xml:space="preserve">, </w:t>
      </w:r>
      <w:proofErr w:type="spellStart"/>
      <w:r w:rsidRPr="00343DF0">
        <w:rPr>
          <w:bCs/>
          <w:sz w:val="20"/>
          <w:szCs w:val="20"/>
        </w:rPr>
        <w:t>Eskenazi</w:t>
      </w:r>
      <w:proofErr w:type="spellEnd"/>
      <w:r>
        <w:rPr>
          <w:bCs/>
          <w:sz w:val="20"/>
          <w:szCs w:val="20"/>
        </w:rPr>
        <w:t>,</w:t>
      </w:r>
      <w:r w:rsidRPr="00343DF0">
        <w:rPr>
          <w:bCs/>
          <w:sz w:val="20"/>
          <w:szCs w:val="20"/>
        </w:rPr>
        <w:t xml:space="preserve"> B.</w:t>
      </w:r>
      <w:r>
        <w:rPr>
          <w:bCs/>
          <w:sz w:val="20"/>
          <w:szCs w:val="20"/>
        </w:rPr>
        <w:t xml:space="preserve"> </w:t>
      </w:r>
      <w:r w:rsidR="00366C6C">
        <w:rPr>
          <w:bCs/>
          <w:sz w:val="20"/>
          <w:szCs w:val="20"/>
        </w:rPr>
        <w:t>2010.</w:t>
      </w:r>
      <w:proofErr w:type="gramEnd"/>
      <w:r w:rsidR="00366C6C">
        <w:rPr>
          <w:bCs/>
          <w:sz w:val="20"/>
          <w:szCs w:val="20"/>
        </w:rPr>
        <w:t xml:space="preserve"> </w:t>
      </w:r>
      <w:proofErr w:type="gramStart"/>
      <w:r w:rsidRPr="00343DF0">
        <w:rPr>
          <w:bCs/>
          <w:sz w:val="20"/>
          <w:szCs w:val="20"/>
        </w:rPr>
        <w:t xml:space="preserve">PBDE concentrations in women's serum and </w:t>
      </w:r>
      <w:proofErr w:type="spellStart"/>
      <w:r w:rsidRPr="00343DF0">
        <w:rPr>
          <w:bCs/>
          <w:sz w:val="20"/>
          <w:szCs w:val="20"/>
        </w:rPr>
        <w:t>fecundability</w:t>
      </w:r>
      <w:proofErr w:type="spellEnd"/>
      <w:r>
        <w:rPr>
          <w:bCs/>
          <w:sz w:val="20"/>
          <w:szCs w:val="20"/>
        </w:rPr>
        <w:t>.</w:t>
      </w:r>
      <w:proofErr w:type="gramEnd"/>
      <w:r>
        <w:rPr>
          <w:bCs/>
          <w:sz w:val="20"/>
          <w:szCs w:val="20"/>
        </w:rPr>
        <w:t xml:space="preserve"> Environ. </w:t>
      </w:r>
      <w:proofErr w:type="gramStart"/>
      <w:r>
        <w:rPr>
          <w:bCs/>
          <w:sz w:val="20"/>
          <w:szCs w:val="20"/>
        </w:rPr>
        <w:t xml:space="preserve">Health </w:t>
      </w:r>
      <w:proofErr w:type="spellStart"/>
      <w:r>
        <w:rPr>
          <w:bCs/>
          <w:sz w:val="20"/>
          <w:szCs w:val="20"/>
        </w:rPr>
        <w:t>Perspect</w:t>
      </w:r>
      <w:proofErr w:type="spellEnd"/>
      <w:r>
        <w:rPr>
          <w:bCs/>
          <w:sz w:val="20"/>
          <w:szCs w:val="20"/>
        </w:rPr>
        <w:t>.</w:t>
      </w:r>
      <w:proofErr w:type="gramEnd"/>
      <w:r>
        <w:rPr>
          <w:bCs/>
          <w:sz w:val="20"/>
          <w:szCs w:val="20"/>
        </w:rPr>
        <w:t xml:space="preserve"> </w:t>
      </w:r>
      <w:r w:rsidRPr="00343DF0">
        <w:rPr>
          <w:bCs/>
          <w:sz w:val="20"/>
          <w:szCs w:val="20"/>
        </w:rPr>
        <w:t>118(5):699-704.</w:t>
      </w:r>
    </w:p>
    <w:p w:rsidR="005F32B9" w:rsidRPr="001D7F57" w:rsidRDefault="002B5AB9" w:rsidP="005F32B9">
      <w:pPr>
        <w:spacing w:before="240" w:after="0" w:line="240" w:lineRule="auto"/>
        <w:rPr>
          <w:rFonts w:asciiTheme="minorHAnsi" w:hAnsiTheme="minorHAnsi" w:cs="Calibri"/>
          <w:bCs/>
          <w:sz w:val="20"/>
          <w:szCs w:val="20"/>
        </w:rPr>
      </w:pPr>
      <w:r w:rsidRPr="000B484A">
        <w:rPr>
          <w:rFonts w:cs="Calibri"/>
          <w:bCs/>
          <w:sz w:val="20"/>
          <w:szCs w:val="20"/>
        </w:rPr>
        <w:t>Hectors</w:t>
      </w:r>
      <w:r w:rsidR="009E3ECD">
        <w:rPr>
          <w:rFonts w:cs="Calibri"/>
          <w:bCs/>
          <w:sz w:val="20"/>
          <w:szCs w:val="20"/>
        </w:rPr>
        <w:t>,</w:t>
      </w:r>
      <w:r w:rsidRPr="000B484A">
        <w:rPr>
          <w:rFonts w:cs="Calibri"/>
          <w:bCs/>
          <w:sz w:val="20"/>
          <w:szCs w:val="20"/>
        </w:rPr>
        <w:t xml:space="preserve"> T</w:t>
      </w:r>
      <w:r w:rsidR="009E3ECD">
        <w:rPr>
          <w:rFonts w:cs="Calibri"/>
          <w:bCs/>
          <w:sz w:val="20"/>
          <w:szCs w:val="20"/>
        </w:rPr>
        <w:t>.</w:t>
      </w:r>
      <w:r w:rsidRPr="000B484A">
        <w:rPr>
          <w:rFonts w:cs="Calibri"/>
          <w:bCs/>
          <w:sz w:val="20"/>
          <w:szCs w:val="20"/>
        </w:rPr>
        <w:t>L</w:t>
      </w:r>
      <w:r w:rsidR="009E3ECD">
        <w:rPr>
          <w:rFonts w:cs="Calibri"/>
          <w:bCs/>
          <w:sz w:val="20"/>
          <w:szCs w:val="20"/>
        </w:rPr>
        <w:t>.</w:t>
      </w:r>
      <w:r w:rsidRPr="000B484A">
        <w:rPr>
          <w:rFonts w:cs="Calibri"/>
          <w:bCs/>
          <w:sz w:val="20"/>
          <w:szCs w:val="20"/>
        </w:rPr>
        <w:t xml:space="preserve">, </w:t>
      </w:r>
      <w:proofErr w:type="spellStart"/>
      <w:r w:rsidRPr="000B484A">
        <w:rPr>
          <w:rFonts w:cs="Calibri"/>
          <w:bCs/>
          <w:sz w:val="20"/>
          <w:szCs w:val="20"/>
        </w:rPr>
        <w:t>Vanparys</w:t>
      </w:r>
      <w:proofErr w:type="spellEnd"/>
      <w:r w:rsidR="009E3ECD">
        <w:rPr>
          <w:rFonts w:cs="Calibri"/>
          <w:bCs/>
          <w:sz w:val="20"/>
          <w:szCs w:val="20"/>
        </w:rPr>
        <w:t>,</w:t>
      </w:r>
      <w:r w:rsidRPr="000B484A">
        <w:rPr>
          <w:rFonts w:cs="Calibri"/>
          <w:bCs/>
          <w:sz w:val="20"/>
          <w:szCs w:val="20"/>
        </w:rPr>
        <w:t xml:space="preserve"> C</w:t>
      </w:r>
      <w:r w:rsidR="009E3ECD">
        <w:rPr>
          <w:rFonts w:cs="Calibri"/>
          <w:bCs/>
          <w:sz w:val="20"/>
          <w:szCs w:val="20"/>
        </w:rPr>
        <w:t>.</w:t>
      </w:r>
      <w:r w:rsidRPr="000B484A">
        <w:rPr>
          <w:rFonts w:cs="Calibri"/>
          <w:bCs/>
          <w:sz w:val="20"/>
          <w:szCs w:val="20"/>
        </w:rPr>
        <w:t xml:space="preserve">, van der </w:t>
      </w:r>
      <w:proofErr w:type="spellStart"/>
      <w:r w:rsidRPr="000B484A">
        <w:rPr>
          <w:rFonts w:cs="Calibri"/>
          <w:bCs/>
          <w:sz w:val="20"/>
          <w:szCs w:val="20"/>
        </w:rPr>
        <w:t>Ven</w:t>
      </w:r>
      <w:proofErr w:type="spellEnd"/>
      <w:r w:rsidR="009E3ECD">
        <w:rPr>
          <w:rFonts w:cs="Calibri"/>
          <w:bCs/>
          <w:sz w:val="20"/>
          <w:szCs w:val="20"/>
        </w:rPr>
        <w:t>,</w:t>
      </w:r>
      <w:r w:rsidRPr="000B484A">
        <w:rPr>
          <w:rFonts w:cs="Calibri"/>
          <w:bCs/>
          <w:sz w:val="20"/>
          <w:szCs w:val="20"/>
        </w:rPr>
        <w:t xml:space="preserve"> K</w:t>
      </w:r>
      <w:r w:rsidR="009E3ECD">
        <w:rPr>
          <w:rFonts w:cs="Calibri"/>
          <w:bCs/>
          <w:sz w:val="20"/>
          <w:szCs w:val="20"/>
        </w:rPr>
        <w:t>.</w:t>
      </w:r>
      <w:r w:rsidRPr="000B484A">
        <w:rPr>
          <w:rFonts w:cs="Calibri"/>
          <w:bCs/>
          <w:sz w:val="20"/>
          <w:szCs w:val="20"/>
        </w:rPr>
        <w:t xml:space="preserve">, </w:t>
      </w:r>
      <w:proofErr w:type="spellStart"/>
      <w:r w:rsidRPr="000B484A">
        <w:rPr>
          <w:rFonts w:cs="Calibri"/>
          <w:bCs/>
          <w:sz w:val="20"/>
          <w:szCs w:val="20"/>
        </w:rPr>
        <w:t>Marten</w:t>
      </w:r>
      <w:r w:rsidR="009E3ECD">
        <w:rPr>
          <w:rFonts w:cs="Calibri"/>
          <w:bCs/>
          <w:sz w:val="20"/>
          <w:szCs w:val="20"/>
        </w:rPr>
        <w:t>,</w:t>
      </w:r>
      <w:r w:rsidRPr="000B484A">
        <w:rPr>
          <w:rFonts w:cs="Calibri"/>
          <w:bCs/>
          <w:sz w:val="20"/>
          <w:szCs w:val="20"/>
        </w:rPr>
        <w:t>s</w:t>
      </w:r>
      <w:proofErr w:type="spellEnd"/>
      <w:r w:rsidRPr="000B484A">
        <w:rPr>
          <w:rFonts w:cs="Calibri"/>
          <w:bCs/>
          <w:sz w:val="20"/>
          <w:szCs w:val="20"/>
        </w:rPr>
        <w:t xml:space="preserve"> G</w:t>
      </w:r>
      <w:r w:rsidR="009E3ECD">
        <w:rPr>
          <w:rFonts w:cs="Calibri"/>
          <w:bCs/>
          <w:sz w:val="20"/>
          <w:szCs w:val="20"/>
        </w:rPr>
        <w:t>.</w:t>
      </w:r>
      <w:r w:rsidRPr="000B484A">
        <w:rPr>
          <w:rFonts w:cs="Calibri"/>
          <w:bCs/>
          <w:sz w:val="20"/>
          <w:szCs w:val="20"/>
        </w:rPr>
        <w:t>A</w:t>
      </w:r>
      <w:r w:rsidR="009E3ECD">
        <w:rPr>
          <w:rFonts w:cs="Calibri"/>
          <w:bCs/>
          <w:sz w:val="20"/>
          <w:szCs w:val="20"/>
        </w:rPr>
        <w:t>.</w:t>
      </w:r>
      <w:r w:rsidRPr="000B484A">
        <w:rPr>
          <w:rFonts w:cs="Calibri"/>
          <w:bCs/>
          <w:sz w:val="20"/>
          <w:szCs w:val="20"/>
        </w:rPr>
        <w:t xml:space="preserve">, </w:t>
      </w:r>
      <w:proofErr w:type="spellStart"/>
      <w:r w:rsidRPr="000B484A">
        <w:rPr>
          <w:rFonts w:cs="Calibri"/>
          <w:bCs/>
          <w:sz w:val="20"/>
          <w:szCs w:val="20"/>
        </w:rPr>
        <w:t>Jorens</w:t>
      </w:r>
      <w:proofErr w:type="spellEnd"/>
      <w:r w:rsidR="009E3ECD">
        <w:rPr>
          <w:rFonts w:cs="Calibri"/>
          <w:bCs/>
          <w:sz w:val="20"/>
          <w:szCs w:val="20"/>
        </w:rPr>
        <w:t>,</w:t>
      </w:r>
      <w:r w:rsidRPr="000B484A">
        <w:rPr>
          <w:rFonts w:cs="Calibri"/>
          <w:bCs/>
          <w:sz w:val="20"/>
          <w:szCs w:val="20"/>
        </w:rPr>
        <w:t xml:space="preserve"> P</w:t>
      </w:r>
      <w:r w:rsidR="009E3ECD">
        <w:rPr>
          <w:rFonts w:cs="Calibri"/>
          <w:bCs/>
          <w:sz w:val="20"/>
          <w:szCs w:val="20"/>
        </w:rPr>
        <w:t>.</w:t>
      </w:r>
      <w:r w:rsidRPr="000B484A">
        <w:rPr>
          <w:rFonts w:cs="Calibri"/>
          <w:bCs/>
          <w:sz w:val="20"/>
          <w:szCs w:val="20"/>
        </w:rPr>
        <w:t>G</w:t>
      </w:r>
      <w:r w:rsidR="009E3ECD">
        <w:rPr>
          <w:rFonts w:cs="Calibri"/>
          <w:bCs/>
          <w:sz w:val="20"/>
          <w:szCs w:val="20"/>
        </w:rPr>
        <w:t>.</w:t>
      </w:r>
      <w:r w:rsidRPr="000B484A">
        <w:rPr>
          <w:rFonts w:cs="Calibri"/>
          <w:bCs/>
          <w:sz w:val="20"/>
          <w:szCs w:val="20"/>
        </w:rPr>
        <w:t xml:space="preserve">, Van </w:t>
      </w:r>
      <w:proofErr w:type="spellStart"/>
      <w:r w:rsidRPr="000B484A">
        <w:rPr>
          <w:rFonts w:cs="Calibri"/>
          <w:bCs/>
          <w:sz w:val="20"/>
          <w:szCs w:val="20"/>
        </w:rPr>
        <w:t>Gaal</w:t>
      </w:r>
      <w:proofErr w:type="spellEnd"/>
      <w:r w:rsidR="009E3ECD">
        <w:rPr>
          <w:rFonts w:cs="Calibri"/>
          <w:bCs/>
          <w:sz w:val="20"/>
          <w:szCs w:val="20"/>
        </w:rPr>
        <w:t>,</w:t>
      </w:r>
      <w:r w:rsidRPr="000B484A">
        <w:rPr>
          <w:rFonts w:cs="Calibri"/>
          <w:bCs/>
          <w:sz w:val="20"/>
          <w:szCs w:val="20"/>
        </w:rPr>
        <w:t xml:space="preserve"> L</w:t>
      </w:r>
      <w:r w:rsidR="009E3ECD">
        <w:rPr>
          <w:rFonts w:cs="Calibri"/>
          <w:bCs/>
          <w:sz w:val="20"/>
          <w:szCs w:val="20"/>
        </w:rPr>
        <w:t>.</w:t>
      </w:r>
      <w:r w:rsidRPr="000B484A">
        <w:rPr>
          <w:rFonts w:cs="Calibri"/>
          <w:bCs/>
          <w:sz w:val="20"/>
          <w:szCs w:val="20"/>
        </w:rPr>
        <w:t>F</w:t>
      </w:r>
      <w:r w:rsidR="009E3ECD">
        <w:rPr>
          <w:rFonts w:cs="Calibri"/>
          <w:bCs/>
          <w:sz w:val="20"/>
          <w:szCs w:val="20"/>
        </w:rPr>
        <w:t>.</w:t>
      </w:r>
      <w:r w:rsidRPr="000B484A">
        <w:rPr>
          <w:rFonts w:cs="Calibri"/>
          <w:bCs/>
          <w:sz w:val="20"/>
          <w:szCs w:val="20"/>
        </w:rPr>
        <w:t xml:space="preserve">, </w:t>
      </w:r>
      <w:proofErr w:type="spellStart"/>
      <w:r w:rsidRPr="000B484A">
        <w:rPr>
          <w:rFonts w:cs="Calibri"/>
          <w:bCs/>
          <w:sz w:val="20"/>
          <w:szCs w:val="20"/>
        </w:rPr>
        <w:t>Covaci</w:t>
      </w:r>
      <w:proofErr w:type="spellEnd"/>
      <w:r w:rsidR="009E3ECD">
        <w:rPr>
          <w:rFonts w:cs="Calibri"/>
          <w:bCs/>
          <w:sz w:val="20"/>
          <w:szCs w:val="20"/>
        </w:rPr>
        <w:t>,</w:t>
      </w:r>
      <w:r w:rsidRPr="000B484A">
        <w:rPr>
          <w:rFonts w:cs="Calibri"/>
          <w:bCs/>
          <w:sz w:val="20"/>
          <w:szCs w:val="20"/>
        </w:rPr>
        <w:t xml:space="preserve"> A</w:t>
      </w:r>
      <w:r w:rsidR="009E3ECD">
        <w:rPr>
          <w:rFonts w:cs="Calibri"/>
          <w:bCs/>
          <w:sz w:val="20"/>
          <w:szCs w:val="20"/>
        </w:rPr>
        <w:t>.</w:t>
      </w:r>
      <w:r w:rsidRPr="000B484A">
        <w:rPr>
          <w:rFonts w:cs="Calibri"/>
          <w:bCs/>
          <w:sz w:val="20"/>
          <w:szCs w:val="20"/>
        </w:rPr>
        <w:t xml:space="preserve">, De </w:t>
      </w:r>
      <w:proofErr w:type="spellStart"/>
      <w:r w:rsidRPr="000B484A">
        <w:rPr>
          <w:rFonts w:cs="Calibri"/>
          <w:bCs/>
          <w:sz w:val="20"/>
          <w:szCs w:val="20"/>
        </w:rPr>
        <w:t>Coen</w:t>
      </w:r>
      <w:proofErr w:type="spellEnd"/>
      <w:r w:rsidR="009E3ECD">
        <w:rPr>
          <w:rFonts w:cs="Calibri"/>
          <w:bCs/>
          <w:sz w:val="20"/>
          <w:szCs w:val="20"/>
        </w:rPr>
        <w:t>,</w:t>
      </w:r>
      <w:r w:rsidRPr="000B484A">
        <w:rPr>
          <w:rFonts w:cs="Calibri"/>
          <w:bCs/>
          <w:sz w:val="20"/>
          <w:szCs w:val="20"/>
        </w:rPr>
        <w:t xml:space="preserve"> W</w:t>
      </w:r>
      <w:r w:rsidR="009E3ECD">
        <w:rPr>
          <w:rFonts w:cs="Calibri"/>
          <w:bCs/>
          <w:sz w:val="20"/>
          <w:szCs w:val="20"/>
        </w:rPr>
        <w:t>.</w:t>
      </w:r>
      <w:r w:rsidRPr="000B484A">
        <w:rPr>
          <w:rFonts w:cs="Calibri"/>
          <w:bCs/>
          <w:sz w:val="20"/>
          <w:szCs w:val="20"/>
        </w:rPr>
        <w:t xml:space="preserve">, </w:t>
      </w:r>
      <w:proofErr w:type="spellStart"/>
      <w:r w:rsidRPr="005F32B9">
        <w:rPr>
          <w:rFonts w:asciiTheme="minorHAnsi" w:hAnsiTheme="minorHAnsi" w:cs="Calibri"/>
          <w:bCs/>
          <w:sz w:val="20"/>
          <w:szCs w:val="20"/>
        </w:rPr>
        <w:t>Blust</w:t>
      </w:r>
      <w:proofErr w:type="spellEnd"/>
      <w:r w:rsidR="009E3ECD" w:rsidRPr="005F32B9">
        <w:rPr>
          <w:rFonts w:asciiTheme="minorHAnsi" w:hAnsiTheme="minorHAnsi" w:cs="Calibri"/>
          <w:bCs/>
          <w:sz w:val="20"/>
          <w:szCs w:val="20"/>
        </w:rPr>
        <w:t>,</w:t>
      </w:r>
      <w:r w:rsidRPr="005F32B9">
        <w:rPr>
          <w:rFonts w:asciiTheme="minorHAnsi" w:hAnsiTheme="minorHAnsi" w:cs="Calibri"/>
          <w:bCs/>
          <w:sz w:val="20"/>
          <w:szCs w:val="20"/>
        </w:rPr>
        <w:t xml:space="preserve"> R.</w:t>
      </w:r>
      <w:r w:rsidR="009E3ECD" w:rsidRPr="005F32B9">
        <w:rPr>
          <w:rFonts w:asciiTheme="minorHAnsi" w:hAnsiTheme="minorHAnsi" w:cs="Calibri"/>
          <w:bCs/>
          <w:sz w:val="20"/>
          <w:szCs w:val="20"/>
        </w:rPr>
        <w:t>, 2011.</w:t>
      </w:r>
      <w:r w:rsidRPr="005F32B9">
        <w:rPr>
          <w:rFonts w:asciiTheme="minorHAnsi" w:hAnsiTheme="minorHAnsi" w:cs="Calibri"/>
          <w:bCs/>
          <w:sz w:val="20"/>
          <w:szCs w:val="20"/>
        </w:rPr>
        <w:t xml:space="preserve"> </w:t>
      </w:r>
      <w:proofErr w:type="gramStart"/>
      <w:r w:rsidRPr="005F32B9">
        <w:rPr>
          <w:rFonts w:asciiTheme="minorHAnsi" w:hAnsiTheme="minorHAnsi" w:cs="Calibri"/>
          <w:bCs/>
          <w:sz w:val="20"/>
          <w:szCs w:val="20"/>
        </w:rPr>
        <w:t xml:space="preserve">Environmental pollutants and type 2 diabetes: a review of mechanisms that can disrupt beta cell </w:t>
      </w:r>
      <w:r w:rsidRPr="001D7F57">
        <w:rPr>
          <w:rFonts w:asciiTheme="minorHAnsi" w:hAnsiTheme="minorHAnsi" w:cs="Calibri"/>
          <w:bCs/>
          <w:sz w:val="20"/>
          <w:szCs w:val="20"/>
        </w:rPr>
        <w:t>function.</w:t>
      </w:r>
      <w:proofErr w:type="gramEnd"/>
      <w:r w:rsidRPr="001D7F57">
        <w:rPr>
          <w:rFonts w:asciiTheme="minorHAnsi" w:hAnsiTheme="minorHAnsi" w:cs="Calibri"/>
          <w:bCs/>
          <w:sz w:val="20"/>
          <w:szCs w:val="20"/>
        </w:rPr>
        <w:t xml:space="preserve"> </w:t>
      </w:r>
      <w:proofErr w:type="spellStart"/>
      <w:r w:rsidRPr="001D7F57">
        <w:rPr>
          <w:rFonts w:asciiTheme="minorHAnsi" w:hAnsiTheme="minorHAnsi" w:cs="Calibri"/>
          <w:bCs/>
          <w:sz w:val="20"/>
          <w:szCs w:val="20"/>
        </w:rPr>
        <w:t>Diabetologia</w:t>
      </w:r>
      <w:proofErr w:type="spellEnd"/>
      <w:r w:rsidR="009E3ECD" w:rsidRPr="001D7F57">
        <w:rPr>
          <w:rFonts w:asciiTheme="minorHAnsi" w:hAnsiTheme="minorHAnsi" w:cs="Calibri"/>
          <w:bCs/>
          <w:sz w:val="20"/>
          <w:szCs w:val="20"/>
        </w:rPr>
        <w:t xml:space="preserve"> 54(6), </w:t>
      </w:r>
      <w:r w:rsidRPr="001D7F57">
        <w:rPr>
          <w:rFonts w:asciiTheme="minorHAnsi" w:hAnsiTheme="minorHAnsi" w:cs="Calibri"/>
          <w:bCs/>
          <w:sz w:val="20"/>
          <w:szCs w:val="20"/>
        </w:rPr>
        <w:t>1273-</w:t>
      </w:r>
      <w:r w:rsidR="009E3ECD" w:rsidRPr="001D7F57">
        <w:rPr>
          <w:rFonts w:asciiTheme="minorHAnsi" w:hAnsiTheme="minorHAnsi" w:cs="Calibri"/>
          <w:bCs/>
          <w:sz w:val="20"/>
          <w:szCs w:val="20"/>
        </w:rPr>
        <w:t>12</w:t>
      </w:r>
      <w:r w:rsidRPr="001D7F57">
        <w:rPr>
          <w:rFonts w:asciiTheme="minorHAnsi" w:hAnsiTheme="minorHAnsi" w:cs="Calibri"/>
          <w:bCs/>
          <w:sz w:val="20"/>
          <w:szCs w:val="20"/>
        </w:rPr>
        <w:t xml:space="preserve">90. </w:t>
      </w:r>
    </w:p>
    <w:p w:rsidR="004F502D" w:rsidRPr="001D7F57" w:rsidRDefault="003A6B68" w:rsidP="004F502D">
      <w:pPr>
        <w:spacing w:before="240" w:after="0" w:line="240" w:lineRule="auto"/>
        <w:rPr>
          <w:rStyle w:val="highlight"/>
          <w:rFonts w:asciiTheme="minorHAnsi" w:hAnsiTheme="minorHAnsi" w:cs="Arial"/>
          <w:sz w:val="20"/>
          <w:szCs w:val="20"/>
        </w:rPr>
      </w:pPr>
      <w:proofErr w:type="spellStart"/>
      <w:proofErr w:type="gramStart"/>
      <w:r w:rsidRPr="001D7F57">
        <w:rPr>
          <w:rStyle w:val="highlight"/>
          <w:rFonts w:asciiTheme="minorHAnsi" w:hAnsiTheme="minorHAnsi" w:cs="Arial"/>
          <w:sz w:val="20"/>
          <w:szCs w:val="20"/>
        </w:rPr>
        <w:t>Herbstman</w:t>
      </w:r>
      <w:proofErr w:type="spellEnd"/>
      <w:r w:rsidRPr="001D7F57">
        <w:rPr>
          <w:rStyle w:val="highlight"/>
          <w:rFonts w:asciiTheme="minorHAnsi" w:hAnsiTheme="minorHAnsi" w:cs="Arial"/>
          <w:sz w:val="20"/>
          <w:szCs w:val="20"/>
        </w:rPr>
        <w:t xml:space="preserve">, J.B., </w:t>
      </w:r>
      <w:proofErr w:type="spellStart"/>
      <w:r w:rsidRPr="001D7F57">
        <w:rPr>
          <w:rStyle w:val="highlight"/>
          <w:rFonts w:asciiTheme="minorHAnsi" w:hAnsiTheme="minorHAnsi" w:cs="Arial"/>
          <w:sz w:val="20"/>
          <w:szCs w:val="20"/>
        </w:rPr>
        <w:t>Sjödin</w:t>
      </w:r>
      <w:proofErr w:type="spellEnd"/>
      <w:r w:rsidRPr="001D7F57">
        <w:rPr>
          <w:rStyle w:val="highlight"/>
          <w:rFonts w:asciiTheme="minorHAnsi" w:hAnsiTheme="minorHAnsi" w:cs="Arial"/>
          <w:sz w:val="20"/>
          <w:szCs w:val="20"/>
        </w:rPr>
        <w:t xml:space="preserve">, A., </w:t>
      </w:r>
      <w:proofErr w:type="spellStart"/>
      <w:r w:rsidRPr="001D7F57">
        <w:rPr>
          <w:rStyle w:val="highlight"/>
          <w:rFonts w:asciiTheme="minorHAnsi" w:hAnsiTheme="minorHAnsi" w:cs="Arial"/>
          <w:sz w:val="20"/>
          <w:szCs w:val="20"/>
        </w:rPr>
        <w:t>Kurzon</w:t>
      </w:r>
      <w:proofErr w:type="spellEnd"/>
      <w:r w:rsidRPr="001D7F57">
        <w:rPr>
          <w:rStyle w:val="highlight"/>
          <w:rFonts w:asciiTheme="minorHAnsi" w:hAnsiTheme="minorHAnsi" w:cs="Arial"/>
          <w:sz w:val="20"/>
          <w:szCs w:val="20"/>
        </w:rPr>
        <w:t xml:space="preserve">, M., Lederman, S.A., Jones, R.S., </w:t>
      </w:r>
      <w:proofErr w:type="spellStart"/>
      <w:r w:rsidRPr="001D7F57">
        <w:rPr>
          <w:rStyle w:val="highlight"/>
          <w:rFonts w:asciiTheme="minorHAnsi" w:hAnsiTheme="minorHAnsi" w:cs="Arial"/>
          <w:sz w:val="20"/>
          <w:szCs w:val="20"/>
        </w:rPr>
        <w:t>Rauh</w:t>
      </w:r>
      <w:proofErr w:type="spellEnd"/>
      <w:r w:rsidRPr="001D7F57">
        <w:rPr>
          <w:rStyle w:val="highlight"/>
          <w:rFonts w:asciiTheme="minorHAnsi" w:hAnsiTheme="minorHAnsi" w:cs="Arial"/>
          <w:sz w:val="20"/>
          <w:szCs w:val="20"/>
        </w:rPr>
        <w:t xml:space="preserve">, V., Needham, L.L., Tang, D., </w:t>
      </w:r>
      <w:proofErr w:type="spellStart"/>
      <w:r w:rsidRPr="001D7F57">
        <w:rPr>
          <w:rStyle w:val="highlight"/>
          <w:rFonts w:asciiTheme="minorHAnsi" w:hAnsiTheme="minorHAnsi" w:cs="Arial"/>
          <w:sz w:val="20"/>
          <w:szCs w:val="20"/>
        </w:rPr>
        <w:t>Niedzwiecki</w:t>
      </w:r>
      <w:proofErr w:type="spellEnd"/>
      <w:r w:rsidRPr="001D7F57">
        <w:rPr>
          <w:rStyle w:val="highlight"/>
          <w:rFonts w:asciiTheme="minorHAnsi" w:hAnsiTheme="minorHAnsi" w:cs="Arial"/>
          <w:sz w:val="20"/>
          <w:szCs w:val="20"/>
        </w:rPr>
        <w:t xml:space="preserve">, M., Wang, R.Y., </w:t>
      </w:r>
      <w:proofErr w:type="spellStart"/>
      <w:r w:rsidRPr="001D7F57">
        <w:rPr>
          <w:rStyle w:val="highlight"/>
          <w:rFonts w:asciiTheme="minorHAnsi" w:hAnsiTheme="minorHAnsi" w:cs="Arial"/>
          <w:sz w:val="20"/>
          <w:szCs w:val="20"/>
        </w:rPr>
        <w:t>Perera</w:t>
      </w:r>
      <w:proofErr w:type="spellEnd"/>
      <w:r w:rsidRPr="001D7F57">
        <w:rPr>
          <w:rStyle w:val="highlight"/>
          <w:rFonts w:asciiTheme="minorHAnsi" w:hAnsiTheme="minorHAnsi" w:cs="Arial"/>
          <w:sz w:val="20"/>
          <w:szCs w:val="20"/>
        </w:rPr>
        <w:t>, F. 2010.</w:t>
      </w:r>
      <w:proofErr w:type="gramEnd"/>
      <w:r w:rsidRPr="001D7F57">
        <w:rPr>
          <w:rStyle w:val="highlight"/>
          <w:rFonts w:asciiTheme="minorHAnsi" w:hAnsiTheme="minorHAnsi" w:cs="Arial"/>
          <w:sz w:val="20"/>
          <w:szCs w:val="20"/>
        </w:rPr>
        <w:t xml:space="preserve"> </w:t>
      </w:r>
      <w:proofErr w:type="gramStart"/>
      <w:r w:rsidRPr="001D7F57">
        <w:rPr>
          <w:rStyle w:val="highlight"/>
          <w:rFonts w:asciiTheme="minorHAnsi" w:hAnsiTheme="minorHAnsi" w:cs="Arial"/>
          <w:sz w:val="20"/>
          <w:szCs w:val="20"/>
        </w:rPr>
        <w:t>Prenatal exposure to PBDEs and neurodevelopment.</w:t>
      </w:r>
      <w:proofErr w:type="gramEnd"/>
      <w:r w:rsidRPr="001D7F57">
        <w:rPr>
          <w:rStyle w:val="highlight"/>
          <w:rFonts w:asciiTheme="minorHAnsi" w:hAnsiTheme="minorHAnsi" w:cs="Arial"/>
          <w:sz w:val="20"/>
          <w:szCs w:val="20"/>
        </w:rPr>
        <w:t xml:space="preserve"> Environ. </w:t>
      </w:r>
      <w:proofErr w:type="gramStart"/>
      <w:r w:rsidRPr="001D7F57">
        <w:rPr>
          <w:rStyle w:val="highlight"/>
          <w:rFonts w:asciiTheme="minorHAnsi" w:hAnsiTheme="minorHAnsi" w:cs="Arial"/>
          <w:sz w:val="20"/>
          <w:szCs w:val="20"/>
        </w:rPr>
        <w:t xml:space="preserve">Health </w:t>
      </w:r>
      <w:proofErr w:type="spellStart"/>
      <w:r w:rsidRPr="001D7F57">
        <w:rPr>
          <w:rStyle w:val="highlight"/>
          <w:rFonts w:asciiTheme="minorHAnsi" w:hAnsiTheme="minorHAnsi" w:cs="Arial"/>
          <w:sz w:val="20"/>
          <w:szCs w:val="20"/>
        </w:rPr>
        <w:t>Perspect</w:t>
      </w:r>
      <w:proofErr w:type="spellEnd"/>
      <w:r w:rsidRPr="001D7F57">
        <w:rPr>
          <w:rStyle w:val="highlight"/>
          <w:rFonts w:asciiTheme="minorHAnsi" w:hAnsiTheme="minorHAnsi" w:cs="Arial"/>
          <w:sz w:val="20"/>
          <w:szCs w:val="20"/>
        </w:rPr>
        <w:t>.</w:t>
      </w:r>
      <w:proofErr w:type="gramEnd"/>
      <w:r w:rsidRPr="001D7F57">
        <w:rPr>
          <w:rStyle w:val="highlight"/>
          <w:rFonts w:asciiTheme="minorHAnsi" w:hAnsiTheme="minorHAnsi" w:cs="Arial"/>
          <w:sz w:val="20"/>
          <w:szCs w:val="20"/>
        </w:rPr>
        <w:t xml:space="preserve"> 118(5): 712-719.</w:t>
      </w:r>
    </w:p>
    <w:p w:rsidR="00C94351" w:rsidRPr="001D7F57" w:rsidRDefault="00C94351" w:rsidP="00C94351">
      <w:pPr>
        <w:spacing w:before="240" w:after="0" w:line="240" w:lineRule="auto"/>
        <w:rPr>
          <w:rFonts w:asciiTheme="minorHAnsi" w:hAnsiTheme="minorHAnsi"/>
          <w:sz w:val="20"/>
          <w:szCs w:val="20"/>
        </w:rPr>
      </w:pPr>
      <w:r w:rsidRPr="001D7F57">
        <w:rPr>
          <w:rFonts w:asciiTheme="minorHAnsi" w:hAnsiTheme="minorHAnsi"/>
          <w:sz w:val="20"/>
          <w:szCs w:val="20"/>
        </w:rPr>
        <w:t xml:space="preserve">Kim S, Park J, Kim HJ, Lee JJ, Choi G, Choi S, Kim S, Kim SY, Moon HB, Kim S, Choi K. 2013. </w:t>
      </w:r>
      <w:proofErr w:type="gramStart"/>
      <w:r w:rsidRPr="001D7F57">
        <w:rPr>
          <w:rFonts w:asciiTheme="minorHAnsi" w:hAnsiTheme="minorHAnsi"/>
          <w:sz w:val="20"/>
          <w:szCs w:val="20"/>
        </w:rPr>
        <w:t>Association between several persistent organic pollutants and thyroid hormone levels in serum among the pregnant women of Korea.</w:t>
      </w:r>
      <w:proofErr w:type="gramEnd"/>
      <w:r w:rsidRPr="001D7F57">
        <w:rPr>
          <w:rFonts w:asciiTheme="minorHAnsi" w:hAnsiTheme="minorHAnsi"/>
          <w:sz w:val="20"/>
          <w:szCs w:val="20"/>
        </w:rPr>
        <w:t xml:space="preserve"> Environ Int. 59:442-448.</w:t>
      </w:r>
    </w:p>
    <w:p w:rsidR="004F502D" w:rsidRPr="001D7F57" w:rsidRDefault="004F502D" w:rsidP="004F502D">
      <w:pPr>
        <w:spacing w:before="240" w:after="0" w:line="240" w:lineRule="auto"/>
        <w:rPr>
          <w:rStyle w:val="highlight"/>
          <w:rFonts w:asciiTheme="minorHAnsi" w:hAnsiTheme="minorHAnsi"/>
          <w:sz w:val="20"/>
          <w:szCs w:val="20"/>
        </w:rPr>
      </w:pPr>
      <w:r w:rsidRPr="001D7F57">
        <w:rPr>
          <w:rFonts w:asciiTheme="minorHAnsi" w:hAnsiTheme="minorHAnsi"/>
          <w:sz w:val="20"/>
          <w:szCs w:val="20"/>
        </w:rPr>
        <w:t xml:space="preserve">Lee, D.H., Lind, P.M., Jacobs Jr., D.R., </w:t>
      </w:r>
      <w:proofErr w:type="spellStart"/>
      <w:r w:rsidRPr="001D7F57">
        <w:rPr>
          <w:rFonts w:asciiTheme="minorHAnsi" w:hAnsiTheme="minorHAnsi"/>
          <w:sz w:val="20"/>
          <w:szCs w:val="20"/>
        </w:rPr>
        <w:t>Salihovic</w:t>
      </w:r>
      <w:proofErr w:type="spellEnd"/>
      <w:r w:rsidRPr="001D7F57">
        <w:rPr>
          <w:rFonts w:asciiTheme="minorHAnsi" w:hAnsiTheme="minorHAnsi"/>
          <w:sz w:val="20"/>
          <w:szCs w:val="20"/>
        </w:rPr>
        <w:t xml:space="preserve">, S., van </w:t>
      </w:r>
      <w:proofErr w:type="spellStart"/>
      <w:r w:rsidRPr="001D7F57">
        <w:rPr>
          <w:rFonts w:asciiTheme="minorHAnsi" w:hAnsiTheme="minorHAnsi"/>
          <w:sz w:val="20"/>
          <w:szCs w:val="20"/>
        </w:rPr>
        <w:t>Bavel</w:t>
      </w:r>
      <w:proofErr w:type="spellEnd"/>
      <w:r w:rsidRPr="001D7F57">
        <w:rPr>
          <w:rFonts w:asciiTheme="minorHAnsi" w:hAnsiTheme="minorHAnsi"/>
          <w:sz w:val="20"/>
          <w:szCs w:val="20"/>
        </w:rPr>
        <w:t xml:space="preserve">, B., Lind, L. 2011. Polychlorinated biphenyls and </w:t>
      </w:r>
      <w:proofErr w:type="spellStart"/>
      <w:r w:rsidRPr="001D7F57">
        <w:rPr>
          <w:rFonts w:asciiTheme="minorHAnsi" w:hAnsiTheme="minorHAnsi"/>
          <w:sz w:val="20"/>
          <w:szCs w:val="20"/>
        </w:rPr>
        <w:t>organochlorine</w:t>
      </w:r>
      <w:proofErr w:type="spellEnd"/>
      <w:r w:rsidRPr="001D7F57">
        <w:rPr>
          <w:rFonts w:asciiTheme="minorHAnsi" w:hAnsiTheme="minorHAnsi"/>
          <w:sz w:val="20"/>
          <w:szCs w:val="20"/>
        </w:rPr>
        <w:t xml:space="preserve"> pesticides in plasma predict development of type 2 diabetes in the elderly: the prospective investigation of the vasculature in Uppsala Seniors (PIVUS) study. Diabetes Care 34(8): 1778-1784.</w:t>
      </w:r>
    </w:p>
    <w:p w:rsidR="00115666" w:rsidRPr="001D7F57" w:rsidRDefault="00115666" w:rsidP="002B5AB9">
      <w:pPr>
        <w:spacing w:before="240" w:after="0" w:line="240" w:lineRule="auto"/>
        <w:rPr>
          <w:rStyle w:val="highlight"/>
          <w:rFonts w:asciiTheme="minorHAnsi" w:hAnsiTheme="minorHAnsi" w:cs="Arial"/>
          <w:sz w:val="20"/>
          <w:szCs w:val="20"/>
        </w:rPr>
      </w:pPr>
      <w:proofErr w:type="spellStart"/>
      <w:r w:rsidRPr="001D7F57">
        <w:rPr>
          <w:rStyle w:val="highlight"/>
          <w:rFonts w:asciiTheme="minorHAnsi" w:hAnsiTheme="minorHAnsi" w:cs="Arial"/>
          <w:sz w:val="20"/>
          <w:szCs w:val="20"/>
        </w:rPr>
        <w:t>Leijs</w:t>
      </w:r>
      <w:proofErr w:type="spellEnd"/>
      <w:r w:rsidRPr="001D7F57">
        <w:rPr>
          <w:rStyle w:val="highlight"/>
          <w:rFonts w:asciiTheme="minorHAnsi" w:hAnsiTheme="minorHAnsi" w:cs="Arial"/>
          <w:sz w:val="20"/>
          <w:szCs w:val="20"/>
        </w:rPr>
        <w:t xml:space="preserve">, M.M., ten </w:t>
      </w:r>
      <w:proofErr w:type="spellStart"/>
      <w:r w:rsidRPr="001D7F57">
        <w:rPr>
          <w:rStyle w:val="highlight"/>
          <w:rFonts w:asciiTheme="minorHAnsi" w:hAnsiTheme="minorHAnsi" w:cs="Arial"/>
          <w:sz w:val="20"/>
          <w:szCs w:val="20"/>
        </w:rPr>
        <w:t>Tusscher</w:t>
      </w:r>
      <w:proofErr w:type="spellEnd"/>
      <w:r w:rsidRPr="001D7F57">
        <w:rPr>
          <w:rStyle w:val="highlight"/>
          <w:rFonts w:asciiTheme="minorHAnsi" w:hAnsiTheme="minorHAnsi" w:cs="Arial"/>
          <w:sz w:val="20"/>
          <w:szCs w:val="20"/>
        </w:rPr>
        <w:t xml:space="preserve">, G.W., </w:t>
      </w:r>
      <w:proofErr w:type="spellStart"/>
      <w:r w:rsidRPr="001D7F57">
        <w:rPr>
          <w:rStyle w:val="highlight"/>
          <w:rFonts w:asciiTheme="minorHAnsi" w:hAnsiTheme="minorHAnsi" w:cs="Arial"/>
          <w:sz w:val="20"/>
          <w:szCs w:val="20"/>
        </w:rPr>
        <w:t>Olie</w:t>
      </w:r>
      <w:proofErr w:type="spellEnd"/>
      <w:r w:rsidRPr="001D7F57">
        <w:rPr>
          <w:rStyle w:val="highlight"/>
          <w:rFonts w:asciiTheme="minorHAnsi" w:hAnsiTheme="minorHAnsi" w:cs="Arial"/>
          <w:sz w:val="20"/>
          <w:szCs w:val="20"/>
        </w:rPr>
        <w:t xml:space="preserve">, K., van </w:t>
      </w:r>
      <w:proofErr w:type="spellStart"/>
      <w:r w:rsidRPr="001D7F57">
        <w:rPr>
          <w:rStyle w:val="highlight"/>
          <w:rFonts w:asciiTheme="minorHAnsi" w:hAnsiTheme="minorHAnsi" w:cs="Arial"/>
          <w:sz w:val="20"/>
          <w:szCs w:val="20"/>
        </w:rPr>
        <w:t>Teunenbroek</w:t>
      </w:r>
      <w:proofErr w:type="spellEnd"/>
      <w:r w:rsidRPr="001D7F57">
        <w:rPr>
          <w:rStyle w:val="highlight"/>
          <w:rFonts w:asciiTheme="minorHAnsi" w:hAnsiTheme="minorHAnsi" w:cs="Arial"/>
          <w:sz w:val="20"/>
          <w:szCs w:val="20"/>
        </w:rPr>
        <w:t xml:space="preserve">, T., van </w:t>
      </w:r>
      <w:proofErr w:type="spellStart"/>
      <w:r w:rsidRPr="001D7F57">
        <w:rPr>
          <w:rStyle w:val="highlight"/>
          <w:rFonts w:asciiTheme="minorHAnsi" w:hAnsiTheme="minorHAnsi" w:cs="Arial"/>
          <w:sz w:val="20"/>
          <w:szCs w:val="20"/>
        </w:rPr>
        <w:t>Aalderen</w:t>
      </w:r>
      <w:proofErr w:type="spellEnd"/>
      <w:r w:rsidRPr="001D7F57">
        <w:rPr>
          <w:rStyle w:val="highlight"/>
          <w:rFonts w:asciiTheme="minorHAnsi" w:hAnsiTheme="minorHAnsi" w:cs="Arial"/>
          <w:sz w:val="20"/>
          <w:szCs w:val="20"/>
        </w:rPr>
        <w:t xml:space="preserve">, W.M., de </w:t>
      </w:r>
      <w:proofErr w:type="spellStart"/>
      <w:r w:rsidRPr="001D7F57">
        <w:rPr>
          <w:rStyle w:val="highlight"/>
          <w:rFonts w:asciiTheme="minorHAnsi" w:hAnsiTheme="minorHAnsi" w:cs="Arial"/>
          <w:sz w:val="20"/>
          <w:szCs w:val="20"/>
        </w:rPr>
        <w:t>Voogt</w:t>
      </w:r>
      <w:proofErr w:type="spellEnd"/>
      <w:r w:rsidRPr="001D7F57">
        <w:rPr>
          <w:rStyle w:val="highlight"/>
          <w:rFonts w:asciiTheme="minorHAnsi" w:hAnsiTheme="minorHAnsi" w:cs="Arial"/>
          <w:sz w:val="20"/>
          <w:szCs w:val="20"/>
        </w:rPr>
        <w:t xml:space="preserve">, P., </w:t>
      </w:r>
      <w:proofErr w:type="spellStart"/>
      <w:r w:rsidRPr="001D7F57">
        <w:rPr>
          <w:rStyle w:val="highlight"/>
          <w:rFonts w:asciiTheme="minorHAnsi" w:hAnsiTheme="minorHAnsi" w:cs="Arial"/>
          <w:sz w:val="20"/>
          <w:szCs w:val="20"/>
        </w:rPr>
        <w:t>Vulsma</w:t>
      </w:r>
      <w:proofErr w:type="spellEnd"/>
      <w:r w:rsidRPr="001D7F57">
        <w:rPr>
          <w:rStyle w:val="highlight"/>
          <w:rFonts w:asciiTheme="minorHAnsi" w:hAnsiTheme="minorHAnsi" w:cs="Arial"/>
          <w:sz w:val="20"/>
          <w:szCs w:val="20"/>
        </w:rPr>
        <w:t xml:space="preserve">, T., </w:t>
      </w:r>
      <w:proofErr w:type="spellStart"/>
      <w:r w:rsidRPr="001D7F57">
        <w:rPr>
          <w:rStyle w:val="highlight"/>
          <w:rFonts w:asciiTheme="minorHAnsi" w:hAnsiTheme="minorHAnsi" w:cs="Arial"/>
          <w:sz w:val="20"/>
          <w:szCs w:val="20"/>
        </w:rPr>
        <w:t>Bartonova</w:t>
      </w:r>
      <w:proofErr w:type="spellEnd"/>
      <w:r w:rsidRPr="001D7F57">
        <w:rPr>
          <w:rStyle w:val="highlight"/>
          <w:rFonts w:asciiTheme="minorHAnsi" w:hAnsiTheme="minorHAnsi" w:cs="Arial"/>
          <w:sz w:val="20"/>
          <w:szCs w:val="20"/>
        </w:rPr>
        <w:t xml:space="preserve">, A., </w:t>
      </w:r>
      <w:proofErr w:type="spellStart"/>
      <w:r w:rsidRPr="001D7F57">
        <w:rPr>
          <w:rStyle w:val="highlight"/>
          <w:rFonts w:asciiTheme="minorHAnsi" w:hAnsiTheme="minorHAnsi" w:cs="Arial"/>
          <w:sz w:val="20"/>
          <w:szCs w:val="20"/>
        </w:rPr>
        <w:t>Krayer</w:t>
      </w:r>
      <w:proofErr w:type="spellEnd"/>
      <w:r w:rsidRPr="001D7F57">
        <w:rPr>
          <w:rStyle w:val="highlight"/>
          <w:rFonts w:asciiTheme="minorHAnsi" w:hAnsiTheme="minorHAnsi" w:cs="Arial"/>
          <w:sz w:val="20"/>
          <w:szCs w:val="20"/>
        </w:rPr>
        <w:t xml:space="preserve"> von Krauss, M., </w:t>
      </w:r>
      <w:proofErr w:type="spellStart"/>
      <w:r w:rsidRPr="001D7F57">
        <w:rPr>
          <w:rStyle w:val="highlight"/>
          <w:rFonts w:asciiTheme="minorHAnsi" w:hAnsiTheme="minorHAnsi" w:cs="Arial"/>
          <w:sz w:val="20"/>
          <w:szCs w:val="20"/>
        </w:rPr>
        <w:t>Mosoiu</w:t>
      </w:r>
      <w:proofErr w:type="spellEnd"/>
      <w:r w:rsidRPr="001D7F57">
        <w:rPr>
          <w:rStyle w:val="highlight"/>
          <w:rFonts w:asciiTheme="minorHAnsi" w:hAnsiTheme="minorHAnsi" w:cs="Arial"/>
          <w:sz w:val="20"/>
          <w:szCs w:val="20"/>
        </w:rPr>
        <w:t xml:space="preserve">, C., </w:t>
      </w:r>
      <w:proofErr w:type="spellStart"/>
      <w:r w:rsidRPr="001D7F57">
        <w:rPr>
          <w:rStyle w:val="highlight"/>
          <w:rFonts w:asciiTheme="minorHAnsi" w:hAnsiTheme="minorHAnsi" w:cs="Arial"/>
          <w:sz w:val="20"/>
          <w:szCs w:val="20"/>
        </w:rPr>
        <w:t>Riojas</w:t>
      </w:r>
      <w:proofErr w:type="spellEnd"/>
      <w:r w:rsidRPr="001D7F57">
        <w:rPr>
          <w:rStyle w:val="highlight"/>
          <w:rFonts w:asciiTheme="minorHAnsi" w:hAnsiTheme="minorHAnsi" w:cs="Arial"/>
          <w:sz w:val="20"/>
          <w:szCs w:val="20"/>
        </w:rPr>
        <w:t xml:space="preserve">-Rodriguez, H., </w:t>
      </w:r>
      <w:proofErr w:type="spellStart"/>
      <w:r w:rsidRPr="001D7F57">
        <w:rPr>
          <w:rStyle w:val="highlight"/>
          <w:rFonts w:asciiTheme="minorHAnsi" w:hAnsiTheme="minorHAnsi" w:cs="Arial"/>
          <w:sz w:val="20"/>
          <w:szCs w:val="20"/>
        </w:rPr>
        <w:t>Calamandrei</w:t>
      </w:r>
      <w:proofErr w:type="spellEnd"/>
      <w:r w:rsidRPr="001D7F57">
        <w:rPr>
          <w:rStyle w:val="highlight"/>
          <w:rFonts w:asciiTheme="minorHAnsi" w:hAnsiTheme="minorHAnsi" w:cs="Arial"/>
          <w:sz w:val="20"/>
          <w:szCs w:val="20"/>
        </w:rPr>
        <w:t xml:space="preserve">, G., </w:t>
      </w:r>
      <w:proofErr w:type="spellStart"/>
      <w:r w:rsidRPr="001D7F57">
        <w:rPr>
          <w:rStyle w:val="highlight"/>
          <w:rFonts w:asciiTheme="minorHAnsi" w:hAnsiTheme="minorHAnsi" w:cs="Arial"/>
          <w:sz w:val="20"/>
          <w:szCs w:val="20"/>
        </w:rPr>
        <w:t>Koppe</w:t>
      </w:r>
      <w:proofErr w:type="spellEnd"/>
      <w:r w:rsidRPr="001D7F57">
        <w:rPr>
          <w:rStyle w:val="highlight"/>
          <w:rFonts w:asciiTheme="minorHAnsi" w:hAnsiTheme="minorHAnsi" w:cs="Arial"/>
          <w:sz w:val="20"/>
          <w:szCs w:val="20"/>
        </w:rPr>
        <w:t xml:space="preserve">, J.G. 2012. </w:t>
      </w:r>
      <w:proofErr w:type="gramStart"/>
      <w:r w:rsidRPr="001D7F57">
        <w:rPr>
          <w:rStyle w:val="highlight"/>
          <w:rFonts w:asciiTheme="minorHAnsi" w:hAnsiTheme="minorHAnsi" w:cs="Arial"/>
          <w:sz w:val="20"/>
          <w:szCs w:val="20"/>
        </w:rPr>
        <w:t>Thyroid hormone metabolism and environmental chemical exposure.</w:t>
      </w:r>
      <w:proofErr w:type="gramEnd"/>
      <w:r w:rsidRPr="001D7F57">
        <w:rPr>
          <w:rStyle w:val="highlight"/>
          <w:rFonts w:asciiTheme="minorHAnsi" w:hAnsiTheme="minorHAnsi" w:cs="Arial"/>
          <w:sz w:val="20"/>
          <w:szCs w:val="20"/>
        </w:rPr>
        <w:t xml:space="preserve"> Environ. </w:t>
      </w:r>
      <w:proofErr w:type="gramStart"/>
      <w:r w:rsidRPr="001D7F57">
        <w:rPr>
          <w:rStyle w:val="highlight"/>
          <w:rFonts w:asciiTheme="minorHAnsi" w:hAnsiTheme="minorHAnsi" w:cs="Arial"/>
          <w:sz w:val="20"/>
          <w:szCs w:val="20"/>
        </w:rPr>
        <w:t xml:space="preserve">Health 11 </w:t>
      </w:r>
      <w:proofErr w:type="spellStart"/>
      <w:r w:rsidRPr="001D7F57">
        <w:rPr>
          <w:rStyle w:val="highlight"/>
          <w:rFonts w:asciiTheme="minorHAnsi" w:hAnsiTheme="minorHAnsi" w:cs="Arial"/>
          <w:sz w:val="20"/>
          <w:szCs w:val="20"/>
        </w:rPr>
        <w:t>Suppl</w:t>
      </w:r>
      <w:proofErr w:type="spellEnd"/>
      <w:r w:rsidRPr="001D7F57">
        <w:rPr>
          <w:rStyle w:val="highlight"/>
          <w:rFonts w:asciiTheme="minorHAnsi" w:hAnsiTheme="minorHAnsi" w:cs="Arial"/>
          <w:sz w:val="20"/>
          <w:szCs w:val="20"/>
        </w:rPr>
        <w:t xml:space="preserve"> 1: S10.</w:t>
      </w:r>
      <w:proofErr w:type="gramEnd"/>
    </w:p>
    <w:p w:rsidR="004F502D" w:rsidRPr="001D7F57" w:rsidRDefault="00845B28" w:rsidP="004F502D">
      <w:pPr>
        <w:spacing w:before="240" w:after="0" w:line="240" w:lineRule="auto"/>
        <w:rPr>
          <w:rStyle w:val="highlight"/>
          <w:rFonts w:asciiTheme="minorHAnsi" w:hAnsiTheme="minorHAnsi" w:cs="Arial"/>
          <w:sz w:val="20"/>
          <w:szCs w:val="20"/>
        </w:rPr>
      </w:pPr>
      <w:proofErr w:type="gramStart"/>
      <w:r w:rsidRPr="001D7F57">
        <w:rPr>
          <w:rStyle w:val="highlight"/>
          <w:rFonts w:asciiTheme="minorHAnsi" w:hAnsiTheme="minorHAnsi" w:cs="Arial"/>
          <w:sz w:val="20"/>
          <w:szCs w:val="20"/>
        </w:rPr>
        <w:t>Lim, J.S., Lee, D.H., Jacobs Jr., D.R. 2008.</w:t>
      </w:r>
      <w:proofErr w:type="gramEnd"/>
      <w:r w:rsidRPr="001D7F57">
        <w:t xml:space="preserve"> </w:t>
      </w:r>
      <w:r w:rsidRPr="001D7F57">
        <w:rPr>
          <w:rStyle w:val="highlight"/>
          <w:rFonts w:asciiTheme="minorHAnsi" w:hAnsiTheme="minorHAnsi" w:cs="Arial"/>
          <w:sz w:val="20"/>
          <w:szCs w:val="20"/>
        </w:rPr>
        <w:t xml:space="preserve">Association of brominated </w:t>
      </w:r>
      <w:proofErr w:type="gramStart"/>
      <w:r w:rsidRPr="001D7F57">
        <w:rPr>
          <w:rStyle w:val="highlight"/>
          <w:rFonts w:asciiTheme="minorHAnsi" w:hAnsiTheme="minorHAnsi" w:cs="Arial"/>
          <w:sz w:val="20"/>
          <w:szCs w:val="20"/>
        </w:rPr>
        <w:t>flame retardants</w:t>
      </w:r>
      <w:proofErr w:type="gramEnd"/>
      <w:r w:rsidRPr="001D7F57">
        <w:rPr>
          <w:rStyle w:val="highlight"/>
          <w:rFonts w:asciiTheme="minorHAnsi" w:hAnsiTheme="minorHAnsi" w:cs="Arial"/>
          <w:sz w:val="20"/>
          <w:szCs w:val="20"/>
        </w:rPr>
        <w:t xml:space="preserve"> with diabetes and metabolic syndrome in the U.S. population, 2003-2004.Diabetes Care 31(9): 1802-1807.</w:t>
      </w:r>
    </w:p>
    <w:p w:rsidR="004F502D" w:rsidRPr="001D7F57" w:rsidRDefault="004F502D" w:rsidP="004F502D">
      <w:pPr>
        <w:spacing w:before="240" w:after="0" w:line="240" w:lineRule="auto"/>
        <w:rPr>
          <w:rStyle w:val="highlight"/>
          <w:rFonts w:asciiTheme="minorHAnsi" w:hAnsiTheme="minorHAnsi" w:cstheme="minorHAnsi"/>
          <w:sz w:val="20"/>
          <w:szCs w:val="20"/>
        </w:rPr>
      </w:pPr>
      <w:r w:rsidRPr="001D7F57">
        <w:rPr>
          <w:rFonts w:asciiTheme="minorHAnsi" w:hAnsiTheme="minorHAnsi" w:cstheme="minorHAnsi"/>
          <w:sz w:val="20"/>
          <w:szCs w:val="20"/>
        </w:rPr>
        <w:t xml:space="preserve">Lind, P.M., van </w:t>
      </w:r>
      <w:proofErr w:type="spellStart"/>
      <w:r w:rsidRPr="001D7F57">
        <w:rPr>
          <w:rFonts w:asciiTheme="minorHAnsi" w:hAnsiTheme="minorHAnsi" w:cstheme="minorHAnsi"/>
          <w:sz w:val="20"/>
          <w:szCs w:val="20"/>
        </w:rPr>
        <w:t>Bavel</w:t>
      </w:r>
      <w:proofErr w:type="spellEnd"/>
      <w:r w:rsidRPr="001D7F57">
        <w:rPr>
          <w:rFonts w:asciiTheme="minorHAnsi" w:hAnsiTheme="minorHAnsi" w:cstheme="minorHAnsi"/>
          <w:sz w:val="20"/>
          <w:szCs w:val="20"/>
        </w:rPr>
        <w:t xml:space="preserve">, B., </w:t>
      </w:r>
      <w:proofErr w:type="spellStart"/>
      <w:r w:rsidRPr="001D7F57">
        <w:rPr>
          <w:rFonts w:asciiTheme="minorHAnsi" w:hAnsiTheme="minorHAnsi" w:cstheme="minorHAnsi"/>
          <w:sz w:val="20"/>
          <w:szCs w:val="20"/>
        </w:rPr>
        <w:t>Salihovic</w:t>
      </w:r>
      <w:proofErr w:type="spellEnd"/>
      <w:r w:rsidRPr="001D7F57">
        <w:rPr>
          <w:rFonts w:asciiTheme="minorHAnsi" w:hAnsiTheme="minorHAnsi" w:cstheme="minorHAnsi"/>
          <w:sz w:val="20"/>
          <w:szCs w:val="20"/>
        </w:rPr>
        <w:t xml:space="preserve">, S., Lind, L. 2012. </w:t>
      </w:r>
      <w:proofErr w:type="gramStart"/>
      <w:r w:rsidRPr="001D7F57">
        <w:rPr>
          <w:rFonts w:asciiTheme="minorHAnsi" w:hAnsiTheme="minorHAnsi" w:cstheme="minorHAnsi"/>
          <w:sz w:val="20"/>
          <w:szCs w:val="20"/>
        </w:rPr>
        <w:t>Circulating levels of persistent organic pollutants (POPs) and carotid atherosclerosis in the elderly.</w:t>
      </w:r>
      <w:proofErr w:type="gramEnd"/>
      <w:r w:rsidRPr="001D7F57">
        <w:rPr>
          <w:rFonts w:asciiTheme="minorHAnsi" w:hAnsiTheme="minorHAnsi" w:cstheme="minorHAnsi"/>
          <w:sz w:val="20"/>
          <w:szCs w:val="20"/>
        </w:rPr>
        <w:t xml:space="preserve"> Environ, Health </w:t>
      </w:r>
      <w:proofErr w:type="spellStart"/>
      <w:r w:rsidRPr="001D7F57">
        <w:rPr>
          <w:rFonts w:asciiTheme="minorHAnsi" w:hAnsiTheme="minorHAnsi" w:cstheme="minorHAnsi"/>
          <w:sz w:val="20"/>
          <w:szCs w:val="20"/>
        </w:rPr>
        <w:t>Perspect</w:t>
      </w:r>
      <w:proofErr w:type="spellEnd"/>
      <w:r w:rsidRPr="001D7F57">
        <w:rPr>
          <w:rFonts w:asciiTheme="minorHAnsi" w:hAnsiTheme="minorHAnsi" w:cstheme="minorHAnsi"/>
          <w:sz w:val="20"/>
          <w:szCs w:val="20"/>
        </w:rPr>
        <w:t>. 120(1): 38-43.</w:t>
      </w:r>
    </w:p>
    <w:p w:rsidR="005F32B9" w:rsidRDefault="005F32B9" w:rsidP="002B5AB9">
      <w:pPr>
        <w:spacing w:before="240" w:after="0" w:line="240" w:lineRule="auto"/>
        <w:rPr>
          <w:rFonts w:asciiTheme="minorHAnsi" w:hAnsiTheme="minorHAnsi" w:cs="Arial"/>
          <w:sz w:val="20"/>
          <w:szCs w:val="20"/>
        </w:rPr>
      </w:pPr>
      <w:proofErr w:type="spellStart"/>
      <w:r w:rsidRPr="001D7F57">
        <w:rPr>
          <w:rStyle w:val="highlight"/>
          <w:rFonts w:asciiTheme="minorHAnsi" w:hAnsiTheme="minorHAnsi" w:cs="Arial"/>
          <w:sz w:val="20"/>
          <w:szCs w:val="20"/>
        </w:rPr>
        <w:t>Lorber</w:t>
      </w:r>
      <w:proofErr w:type="spellEnd"/>
      <w:r w:rsidR="00271CED" w:rsidRPr="001D7F57">
        <w:rPr>
          <w:rStyle w:val="highlight"/>
          <w:rFonts w:asciiTheme="minorHAnsi" w:hAnsiTheme="minorHAnsi" w:cs="Arial"/>
          <w:sz w:val="20"/>
          <w:szCs w:val="20"/>
        </w:rPr>
        <w:t>,</w:t>
      </w:r>
      <w:r w:rsidRPr="001D7F57">
        <w:rPr>
          <w:rFonts w:asciiTheme="minorHAnsi" w:hAnsiTheme="minorHAnsi" w:cs="Arial"/>
          <w:sz w:val="20"/>
          <w:szCs w:val="20"/>
        </w:rPr>
        <w:t xml:space="preserve"> M. 2008. </w:t>
      </w:r>
      <w:proofErr w:type="gramStart"/>
      <w:r w:rsidRPr="001D7F57">
        <w:rPr>
          <w:rFonts w:asciiTheme="minorHAnsi" w:hAnsiTheme="minorHAnsi" w:cs="Arial"/>
          <w:sz w:val="20"/>
          <w:szCs w:val="20"/>
        </w:rPr>
        <w:t xml:space="preserve">Exposure of Americans to </w:t>
      </w:r>
      <w:proofErr w:type="spellStart"/>
      <w:r w:rsidRPr="001D7F57">
        <w:rPr>
          <w:rFonts w:asciiTheme="minorHAnsi" w:hAnsiTheme="minorHAnsi" w:cs="Arial"/>
          <w:sz w:val="20"/>
          <w:szCs w:val="20"/>
        </w:rPr>
        <w:t>polybrominated</w:t>
      </w:r>
      <w:proofErr w:type="spellEnd"/>
      <w:r w:rsidRPr="001D7F57">
        <w:rPr>
          <w:rFonts w:asciiTheme="minorHAnsi" w:hAnsiTheme="minorHAnsi" w:cs="Arial"/>
          <w:sz w:val="20"/>
          <w:szCs w:val="20"/>
        </w:rPr>
        <w:t xml:space="preserve"> </w:t>
      </w:r>
      <w:proofErr w:type="spellStart"/>
      <w:r w:rsidRPr="001D7F57">
        <w:rPr>
          <w:rFonts w:asciiTheme="minorHAnsi" w:hAnsiTheme="minorHAnsi" w:cs="Arial"/>
          <w:sz w:val="20"/>
          <w:szCs w:val="20"/>
        </w:rPr>
        <w:t>diphenyl</w:t>
      </w:r>
      <w:proofErr w:type="spellEnd"/>
      <w:r w:rsidRPr="001D7F57">
        <w:rPr>
          <w:rFonts w:asciiTheme="minorHAnsi" w:hAnsiTheme="minorHAnsi" w:cs="Arial"/>
          <w:sz w:val="20"/>
          <w:szCs w:val="20"/>
        </w:rPr>
        <w:t xml:space="preserve"> ethers.</w:t>
      </w:r>
      <w:proofErr w:type="gramEnd"/>
      <w:r w:rsidRPr="001D7F57">
        <w:t xml:space="preserve"> </w:t>
      </w:r>
      <w:r w:rsidRPr="001D7F57">
        <w:rPr>
          <w:rFonts w:asciiTheme="minorHAnsi" w:hAnsiTheme="minorHAnsi" w:cs="Arial"/>
          <w:sz w:val="20"/>
          <w:szCs w:val="20"/>
        </w:rPr>
        <w:t>J</w:t>
      </w:r>
      <w:r w:rsidR="00477A24" w:rsidRPr="001D7F57">
        <w:rPr>
          <w:rFonts w:asciiTheme="minorHAnsi" w:hAnsiTheme="minorHAnsi" w:cs="Arial"/>
          <w:sz w:val="20"/>
          <w:szCs w:val="20"/>
        </w:rPr>
        <w:t>.</w:t>
      </w:r>
      <w:r w:rsidRPr="001D7F57">
        <w:rPr>
          <w:rFonts w:asciiTheme="minorHAnsi" w:hAnsiTheme="minorHAnsi" w:cs="Arial"/>
          <w:sz w:val="20"/>
          <w:szCs w:val="20"/>
        </w:rPr>
        <w:t xml:space="preserve"> Expo</w:t>
      </w:r>
      <w:r w:rsidR="00477A24" w:rsidRPr="001D7F57">
        <w:rPr>
          <w:rFonts w:asciiTheme="minorHAnsi" w:hAnsiTheme="minorHAnsi" w:cs="Arial"/>
          <w:sz w:val="20"/>
          <w:szCs w:val="20"/>
        </w:rPr>
        <w:t>.</w:t>
      </w:r>
      <w:r w:rsidRPr="001D7F57">
        <w:rPr>
          <w:rFonts w:asciiTheme="minorHAnsi" w:hAnsiTheme="minorHAnsi" w:cs="Arial"/>
          <w:sz w:val="20"/>
          <w:szCs w:val="20"/>
        </w:rPr>
        <w:t xml:space="preserve"> </w:t>
      </w:r>
      <w:r w:rsidRPr="005F32B9">
        <w:rPr>
          <w:rFonts w:asciiTheme="minorHAnsi" w:hAnsiTheme="minorHAnsi" w:cs="Arial"/>
          <w:sz w:val="20"/>
          <w:szCs w:val="20"/>
        </w:rPr>
        <w:t>Sci</w:t>
      </w:r>
      <w:r w:rsidR="00477A24">
        <w:rPr>
          <w:rFonts w:asciiTheme="minorHAnsi" w:hAnsiTheme="minorHAnsi" w:cs="Arial"/>
          <w:sz w:val="20"/>
          <w:szCs w:val="20"/>
        </w:rPr>
        <w:t>.</w:t>
      </w:r>
      <w:r w:rsidRPr="005F32B9">
        <w:rPr>
          <w:rFonts w:asciiTheme="minorHAnsi" w:hAnsiTheme="minorHAnsi" w:cs="Arial"/>
          <w:sz w:val="20"/>
          <w:szCs w:val="20"/>
        </w:rPr>
        <w:t xml:space="preserve"> Environ</w:t>
      </w:r>
      <w:r w:rsidR="00477A24">
        <w:rPr>
          <w:rFonts w:asciiTheme="minorHAnsi" w:hAnsiTheme="minorHAnsi" w:cs="Arial"/>
          <w:sz w:val="20"/>
          <w:szCs w:val="20"/>
        </w:rPr>
        <w:t>.</w:t>
      </w:r>
      <w:r w:rsidRPr="005F32B9">
        <w:rPr>
          <w:rFonts w:asciiTheme="minorHAnsi" w:hAnsiTheme="minorHAnsi" w:cs="Arial"/>
          <w:sz w:val="20"/>
          <w:szCs w:val="20"/>
        </w:rPr>
        <w:t xml:space="preserve"> </w:t>
      </w:r>
      <w:proofErr w:type="spellStart"/>
      <w:proofErr w:type="gramStart"/>
      <w:r w:rsidRPr="005F32B9">
        <w:rPr>
          <w:rFonts w:asciiTheme="minorHAnsi" w:hAnsiTheme="minorHAnsi" w:cs="Arial"/>
          <w:sz w:val="20"/>
          <w:szCs w:val="20"/>
        </w:rPr>
        <w:t>Epidemiol</w:t>
      </w:r>
      <w:proofErr w:type="spellEnd"/>
      <w:r w:rsidR="00477A24">
        <w:rPr>
          <w:rFonts w:asciiTheme="minorHAnsi" w:hAnsiTheme="minorHAnsi" w:cs="Arial"/>
          <w:sz w:val="20"/>
          <w:szCs w:val="20"/>
        </w:rPr>
        <w:t>.</w:t>
      </w:r>
      <w:proofErr w:type="gramEnd"/>
      <w:r>
        <w:rPr>
          <w:rFonts w:asciiTheme="minorHAnsi" w:hAnsiTheme="minorHAnsi" w:cs="Arial"/>
          <w:sz w:val="20"/>
          <w:szCs w:val="20"/>
        </w:rPr>
        <w:t xml:space="preserve"> </w:t>
      </w:r>
      <w:hyperlink r:id="rId29" w:tooltip="Journal of exposure science &amp; environmental epidemiology." w:history="1"/>
      <w:r>
        <w:rPr>
          <w:rFonts w:asciiTheme="minorHAnsi" w:hAnsiTheme="minorHAnsi" w:cs="Arial"/>
          <w:sz w:val="20"/>
          <w:szCs w:val="20"/>
        </w:rPr>
        <w:t>18(1):2-19.</w:t>
      </w:r>
    </w:p>
    <w:p w:rsidR="002B5AB9" w:rsidRDefault="002B5AB9" w:rsidP="002B5AB9">
      <w:pPr>
        <w:spacing w:before="240" w:after="0" w:line="240" w:lineRule="auto"/>
        <w:rPr>
          <w:rFonts w:cs="Calibri"/>
          <w:sz w:val="20"/>
          <w:szCs w:val="20"/>
        </w:rPr>
      </w:pPr>
      <w:proofErr w:type="gramStart"/>
      <w:r w:rsidRPr="005F32B9">
        <w:rPr>
          <w:rFonts w:asciiTheme="minorHAnsi" w:hAnsiTheme="minorHAnsi" w:cs="Calibri"/>
          <w:sz w:val="20"/>
          <w:szCs w:val="20"/>
        </w:rPr>
        <w:t>Love</w:t>
      </w:r>
      <w:r w:rsidR="00417862">
        <w:rPr>
          <w:rFonts w:cs="Calibri"/>
          <w:sz w:val="20"/>
          <w:szCs w:val="20"/>
        </w:rPr>
        <w:t>,</w:t>
      </w:r>
      <w:r w:rsidRPr="005D6CB1">
        <w:rPr>
          <w:rFonts w:cs="Calibri"/>
          <w:sz w:val="20"/>
          <w:szCs w:val="20"/>
        </w:rPr>
        <w:t xml:space="preserve"> D.</w:t>
      </w:r>
      <w:r w:rsidR="00417862">
        <w:rPr>
          <w:rFonts w:cs="Calibri"/>
          <w:sz w:val="20"/>
          <w:szCs w:val="20"/>
        </w:rPr>
        <w:t>, 2007.</w:t>
      </w:r>
      <w:proofErr w:type="gramEnd"/>
      <w:r w:rsidRPr="005D6CB1">
        <w:rPr>
          <w:rFonts w:cs="Calibri"/>
          <w:sz w:val="20"/>
          <w:szCs w:val="20"/>
        </w:rPr>
        <w:t xml:space="preserve"> My City Was Gone: One American Town's Toxic Secret, Its Angry Band of Locals, and a $700 Million Day in Cou</w:t>
      </w:r>
      <w:r w:rsidR="00417862">
        <w:rPr>
          <w:rFonts w:cs="Calibri"/>
          <w:sz w:val="20"/>
          <w:szCs w:val="20"/>
        </w:rPr>
        <w:t xml:space="preserve">rt. </w:t>
      </w:r>
      <w:proofErr w:type="gramStart"/>
      <w:r w:rsidR="00417862">
        <w:rPr>
          <w:rFonts w:cs="Calibri"/>
          <w:sz w:val="20"/>
          <w:szCs w:val="20"/>
        </w:rPr>
        <w:t>Harper Perennial Publishers.</w:t>
      </w:r>
      <w:proofErr w:type="gramEnd"/>
    </w:p>
    <w:p w:rsidR="00DC16F7" w:rsidRDefault="00DC16F7" w:rsidP="002B5AB9">
      <w:pPr>
        <w:spacing w:before="240" w:after="0" w:line="240" w:lineRule="auto"/>
        <w:rPr>
          <w:rFonts w:cs="Calibri"/>
          <w:bCs/>
          <w:sz w:val="20"/>
          <w:szCs w:val="20"/>
        </w:rPr>
      </w:pPr>
      <w:proofErr w:type="gramStart"/>
      <w:r w:rsidRPr="00DC16F7">
        <w:rPr>
          <w:rFonts w:cs="Calibri"/>
          <w:bCs/>
          <w:sz w:val="20"/>
          <w:szCs w:val="20"/>
        </w:rPr>
        <w:lastRenderedPageBreak/>
        <w:t>Main</w:t>
      </w:r>
      <w:r>
        <w:rPr>
          <w:rFonts w:cs="Calibri"/>
          <w:bCs/>
          <w:sz w:val="20"/>
          <w:szCs w:val="20"/>
        </w:rPr>
        <w:t>,</w:t>
      </w:r>
      <w:r w:rsidRPr="00DC16F7">
        <w:rPr>
          <w:rFonts w:cs="Calibri"/>
          <w:bCs/>
          <w:sz w:val="20"/>
          <w:szCs w:val="20"/>
        </w:rPr>
        <w:t xml:space="preserve"> K</w:t>
      </w:r>
      <w:r>
        <w:rPr>
          <w:rFonts w:cs="Calibri"/>
          <w:bCs/>
          <w:sz w:val="20"/>
          <w:szCs w:val="20"/>
        </w:rPr>
        <w:t>.</w:t>
      </w:r>
      <w:r w:rsidRPr="00DC16F7">
        <w:rPr>
          <w:rFonts w:cs="Calibri"/>
          <w:bCs/>
          <w:sz w:val="20"/>
          <w:szCs w:val="20"/>
        </w:rPr>
        <w:t>M</w:t>
      </w:r>
      <w:r>
        <w:rPr>
          <w:rFonts w:cs="Calibri"/>
          <w:bCs/>
          <w:sz w:val="20"/>
          <w:szCs w:val="20"/>
        </w:rPr>
        <w:t>.</w:t>
      </w:r>
      <w:r w:rsidRPr="00DC16F7">
        <w:rPr>
          <w:rFonts w:cs="Calibri"/>
          <w:bCs/>
          <w:sz w:val="20"/>
          <w:szCs w:val="20"/>
        </w:rPr>
        <w:t xml:space="preserve">, </w:t>
      </w:r>
      <w:proofErr w:type="spellStart"/>
      <w:r w:rsidRPr="00DC16F7">
        <w:rPr>
          <w:rFonts w:cs="Calibri"/>
          <w:bCs/>
          <w:sz w:val="20"/>
          <w:szCs w:val="20"/>
        </w:rPr>
        <w:t>Kiviranta</w:t>
      </w:r>
      <w:proofErr w:type="spellEnd"/>
      <w:r>
        <w:rPr>
          <w:rFonts w:cs="Calibri"/>
          <w:bCs/>
          <w:sz w:val="20"/>
          <w:szCs w:val="20"/>
        </w:rPr>
        <w:t>,</w:t>
      </w:r>
      <w:r w:rsidRPr="00DC16F7">
        <w:rPr>
          <w:rFonts w:cs="Calibri"/>
          <w:bCs/>
          <w:sz w:val="20"/>
          <w:szCs w:val="20"/>
        </w:rPr>
        <w:t xml:space="preserve"> H</w:t>
      </w:r>
      <w:r>
        <w:rPr>
          <w:rFonts w:cs="Calibri"/>
          <w:bCs/>
          <w:sz w:val="20"/>
          <w:szCs w:val="20"/>
        </w:rPr>
        <w:t>.</w:t>
      </w:r>
      <w:r w:rsidRPr="00DC16F7">
        <w:rPr>
          <w:rFonts w:cs="Calibri"/>
          <w:bCs/>
          <w:sz w:val="20"/>
          <w:szCs w:val="20"/>
        </w:rPr>
        <w:t>, Virtanen</w:t>
      </w:r>
      <w:r>
        <w:rPr>
          <w:rFonts w:cs="Calibri"/>
          <w:bCs/>
          <w:sz w:val="20"/>
          <w:szCs w:val="20"/>
        </w:rPr>
        <w:t>,</w:t>
      </w:r>
      <w:r w:rsidRPr="00DC16F7">
        <w:rPr>
          <w:rFonts w:cs="Calibri"/>
          <w:bCs/>
          <w:sz w:val="20"/>
          <w:szCs w:val="20"/>
        </w:rPr>
        <w:t xml:space="preserve"> H</w:t>
      </w:r>
      <w:r>
        <w:rPr>
          <w:rFonts w:cs="Calibri"/>
          <w:bCs/>
          <w:sz w:val="20"/>
          <w:szCs w:val="20"/>
        </w:rPr>
        <w:t>.</w:t>
      </w:r>
      <w:r w:rsidRPr="00DC16F7">
        <w:rPr>
          <w:rFonts w:cs="Calibri"/>
          <w:bCs/>
          <w:sz w:val="20"/>
          <w:szCs w:val="20"/>
        </w:rPr>
        <w:t>E</w:t>
      </w:r>
      <w:r>
        <w:rPr>
          <w:rFonts w:cs="Calibri"/>
          <w:bCs/>
          <w:sz w:val="20"/>
          <w:szCs w:val="20"/>
        </w:rPr>
        <w:t>.</w:t>
      </w:r>
      <w:r w:rsidRPr="00DC16F7">
        <w:rPr>
          <w:rFonts w:cs="Calibri"/>
          <w:bCs/>
          <w:sz w:val="20"/>
          <w:szCs w:val="20"/>
        </w:rPr>
        <w:t xml:space="preserve">, </w:t>
      </w:r>
      <w:proofErr w:type="spellStart"/>
      <w:r w:rsidRPr="00DC16F7">
        <w:rPr>
          <w:rFonts w:cs="Calibri"/>
          <w:bCs/>
          <w:sz w:val="20"/>
          <w:szCs w:val="20"/>
        </w:rPr>
        <w:t>Sundqvist</w:t>
      </w:r>
      <w:proofErr w:type="spellEnd"/>
      <w:r>
        <w:rPr>
          <w:rFonts w:cs="Calibri"/>
          <w:bCs/>
          <w:sz w:val="20"/>
          <w:szCs w:val="20"/>
        </w:rPr>
        <w:t>,</w:t>
      </w:r>
      <w:r w:rsidRPr="00DC16F7">
        <w:rPr>
          <w:rFonts w:cs="Calibri"/>
          <w:bCs/>
          <w:sz w:val="20"/>
          <w:szCs w:val="20"/>
        </w:rPr>
        <w:t xml:space="preserve"> E</w:t>
      </w:r>
      <w:r>
        <w:rPr>
          <w:rFonts w:cs="Calibri"/>
          <w:bCs/>
          <w:sz w:val="20"/>
          <w:szCs w:val="20"/>
        </w:rPr>
        <w:t>.</w:t>
      </w:r>
      <w:r w:rsidRPr="00DC16F7">
        <w:rPr>
          <w:rFonts w:cs="Calibri"/>
          <w:bCs/>
          <w:sz w:val="20"/>
          <w:szCs w:val="20"/>
        </w:rPr>
        <w:t xml:space="preserve">, </w:t>
      </w:r>
      <w:proofErr w:type="spellStart"/>
      <w:r w:rsidRPr="00DC16F7">
        <w:rPr>
          <w:rFonts w:cs="Calibri"/>
          <w:bCs/>
          <w:sz w:val="20"/>
          <w:szCs w:val="20"/>
        </w:rPr>
        <w:t>Tuomisto</w:t>
      </w:r>
      <w:proofErr w:type="spellEnd"/>
      <w:r>
        <w:rPr>
          <w:rFonts w:cs="Calibri"/>
          <w:bCs/>
          <w:sz w:val="20"/>
          <w:szCs w:val="20"/>
        </w:rPr>
        <w:t>,</w:t>
      </w:r>
      <w:r w:rsidRPr="00DC16F7">
        <w:rPr>
          <w:rFonts w:cs="Calibri"/>
          <w:bCs/>
          <w:sz w:val="20"/>
          <w:szCs w:val="20"/>
        </w:rPr>
        <w:t xml:space="preserve"> J</w:t>
      </w:r>
      <w:r>
        <w:rPr>
          <w:rFonts w:cs="Calibri"/>
          <w:bCs/>
          <w:sz w:val="20"/>
          <w:szCs w:val="20"/>
        </w:rPr>
        <w:t>.</w:t>
      </w:r>
      <w:r w:rsidRPr="00DC16F7">
        <w:rPr>
          <w:rFonts w:cs="Calibri"/>
          <w:bCs/>
          <w:sz w:val="20"/>
          <w:szCs w:val="20"/>
        </w:rPr>
        <w:t>T</w:t>
      </w:r>
      <w:r>
        <w:rPr>
          <w:rFonts w:cs="Calibri"/>
          <w:bCs/>
          <w:sz w:val="20"/>
          <w:szCs w:val="20"/>
        </w:rPr>
        <w:t>.</w:t>
      </w:r>
      <w:r w:rsidRPr="00DC16F7">
        <w:rPr>
          <w:rFonts w:cs="Calibri"/>
          <w:bCs/>
          <w:sz w:val="20"/>
          <w:szCs w:val="20"/>
        </w:rPr>
        <w:t xml:space="preserve">, </w:t>
      </w:r>
      <w:proofErr w:type="spellStart"/>
      <w:r w:rsidRPr="00DC16F7">
        <w:rPr>
          <w:rFonts w:cs="Calibri"/>
          <w:bCs/>
          <w:sz w:val="20"/>
          <w:szCs w:val="20"/>
        </w:rPr>
        <w:t>Tuomisto</w:t>
      </w:r>
      <w:proofErr w:type="spellEnd"/>
      <w:r>
        <w:rPr>
          <w:rFonts w:cs="Calibri"/>
          <w:bCs/>
          <w:sz w:val="20"/>
          <w:szCs w:val="20"/>
        </w:rPr>
        <w:t>,</w:t>
      </w:r>
      <w:r w:rsidRPr="00DC16F7">
        <w:rPr>
          <w:rFonts w:cs="Calibri"/>
          <w:bCs/>
          <w:sz w:val="20"/>
          <w:szCs w:val="20"/>
        </w:rPr>
        <w:t xml:space="preserve"> J</w:t>
      </w:r>
      <w:r>
        <w:rPr>
          <w:rFonts w:cs="Calibri"/>
          <w:bCs/>
          <w:sz w:val="20"/>
          <w:szCs w:val="20"/>
        </w:rPr>
        <w:t>.</w:t>
      </w:r>
      <w:r w:rsidRPr="00DC16F7">
        <w:rPr>
          <w:rFonts w:cs="Calibri"/>
          <w:bCs/>
          <w:sz w:val="20"/>
          <w:szCs w:val="20"/>
        </w:rPr>
        <w:t xml:space="preserve">, </w:t>
      </w:r>
      <w:proofErr w:type="spellStart"/>
      <w:r w:rsidRPr="00DC16F7">
        <w:rPr>
          <w:rFonts w:cs="Calibri"/>
          <w:bCs/>
          <w:sz w:val="20"/>
          <w:szCs w:val="20"/>
        </w:rPr>
        <w:t>Vartiainen</w:t>
      </w:r>
      <w:proofErr w:type="spellEnd"/>
      <w:r>
        <w:rPr>
          <w:rFonts w:cs="Calibri"/>
          <w:bCs/>
          <w:sz w:val="20"/>
          <w:szCs w:val="20"/>
        </w:rPr>
        <w:t>,</w:t>
      </w:r>
      <w:r w:rsidRPr="00DC16F7">
        <w:rPr>
          <w:rFonts w:cs="Calibri"/>
          <w:bCs/>
          <w:sz w:val="20"/>
          <w:szCs w:val="20"/>
        </w:rPr>
        <w:t xml:space="preserve"> T</w:t>
      </w:r>
      <w:r>
        <w:rPr>
          <w:rFonts w:cs="Calibri"/>
          <w:bCs/>
          <w:sz w:val="20"/>
          <w:szCs w:val="20"/>
        </w:rPr>
        <w:t>.</w:t>
      </w:r>
      <w:r w:rsidRPr="00DC16F7">
        <w:rPr>
          <w:rFonts w:cs="Calibri"/>
          <w:bCs/>
          <w:sz w:val="20"/>
          <w:szCs w:val="20"/>
        </w:rPr>
        <w:t xml:space="preserve">, </w:t>
      </w:r>
      <w:proofErr w:type="spellStart"/>
      <w:r w:rsidRPr="00DC16F7">
        <w:rPr>
          <w:rFonts w:cs="Calibri"/>
          <w:bCs/>
          <w:sz w:val="20"/>
          <w:szCs w:val="20"/>
        </w:rPr>
        <w:t>Skakkebaek</w:t>
      </w:r>
      <w:proofErr w:type="spellEnd"/>
      <w:r>
        <w:rPr>
          <w:rFonts w:cs="Calibri"/>
          <w:bCs/>
          <w:sz w:val="20"/>
          <w:szCs w:val="20"/>
        </w:rPr>
        <w:t>,</w:t>
      </w:r>
      <w:r w:rsidRPr="00DC16F7">
        <w:rPr>
          <w:rFonts w:cs="Calibri"/>
          <w:bCs/>
          <w:sz w:val="20"/>
          <w:szCs w:val="20"/>
        </w:rPr>
        <w:t xml:space="preserve"> N</w:t>
      </w:r>
      <w:r>
        <w:rPr>
          <w:rFonts w:cs="Calibri"/>
          <w:bCs/>
          <w:sz w:val="20"/>
          <w:szCs w:val="20"/>
        </w:rPr>
        <w:t>.</w:t>
      </w:r>
      <w:r w:rsidRPr="00DC16F7">
        <w:rPr>
          <w:rFonts w:cs="Calibri"/>
          <w:bCs/>
          <w:sz w:val="20"/>
          <w:szCs w:val="20"/>
        </w:rPr>
        <w:t>E</w:t>
      </w:r>
      <w:r>
        <w:rPr>
          <w:rFonts w:cs="Calibri"/>
          <w:bCs/>
          <w:sz w:val="20"/>
          <w:szCs w:val="20"/>
        </w:rPr>
        <w:t xml:space="preserve">., </w:t>
      </w:r>
      <w:proofErr w:type="spellStart"/>
      <w:r>
        <w:rPr>
          <w:rFonts w:cs="Calibri"/>
          <w:bCs/>
          <w:sz w:val="20"/>
          <w:szCs w:val="20"/>
        </w:rPr>
        <w:t>Toppari</w:t>
      </w:r>
      <w:proofErr w:type="spellEnd"/>
      <w:r>
        <w:rPr>
          <w:rFonts w:cs="Calibri"/>
          <w:bCs/>
          <w:sz w:val="20"/>
          <w:szCs w:val="20"/>
        </w:rPr>
        <w:t xml:space="preserve">, </w:t>
      </w:r>
      <w:r w:rsidRPr="00DC16F7">
        <w:rPr>
          <w:rFonts w:cs="Calibri"/>
          <w:bCs/>
          <w:sz w:val="20"/>
          <w:szCs w:val="20"/>
        </w:rPr>
        <w:t xml:space="preserve">J. </w:t>
      </w:r>
      <w:r>
        <w:rPr>
          <w:rFonts w:cs="Calibri"/>
          <w:bCs/>
          <w:sz w:val="20"/>
          <w:szCs w:val="20"/>
        </w:rPr>
        <w:t>2007.</w:t>
      </w:r>
      <w:proofErr w:type="gramEnd"/>
      <w:r>
        <w:rPr>
          <w:rFonts w:cs="Calibri"/>
          <w:bCs/>
          <w:sz w:val="20"/>
          <w:szCs w:val="20"/>
        </w:rPr>
        <w:t xml:space="preserve"> </w:t>
      </w:r>
      <w:proofErr w:type="gramStart"/>
      <w:r w:rsidRPr="00DC16F7">
        <w:rPr>
          <w:rFonts w:cs="Calibri"/>
          <w:bCs/>
          <w:sz w:val="20"/>
          <w:szCs w:val="20"/>
        </w:rPr>
        <w:t>Flame retardants in placenta and breast milk and cryptorchidism in newborn boys.</w:t>
      </w:r>
      <w:proofErr w:type="gramEnd"/>
      <w:r>
        <w:rPr>
          <w:rFonts w:cs="Calibri"/>
          <w:bCs/>
          <w:sz w:val="20"/>
          <w:szCs w:val="20"/>
        </w:rPr>
        <w:t xml:space="preserve"> Environ. </w:t>
      </w:r>
      <w:proofErr w:type="gramStart"/>
      <w:r>
        <w:rPr>
          <w:rFonts w:cs="Calibri"/>
          <w:bCs/>
          <w:sz w:val="20"/>
          <w:szCs w:val="20"/>
        </w:rPr>
        <w:t xml:space="preserve">Health </w:t>
      </w:r>
      <w:proofErr w:type="spellStart"/>
      <w:r>
        <w:rPr>
          <w:rFonts w:cs="Calibri"/>
          <w:bCs/>
          <w:sz w:val="20"/>
          <w:szCs w:val="20"/>
        </w:rPr>
        <w:t>Perspect</w:t>
      </w:r>
      <w:proofErr w:type="spellEnd"/>
      <w:r>
        <w:rPr>
          <w:rFonts w:cs="Calibri"/>
          <w:bCs/>
          <w:sz w:val="20"/>
          <w:szCs w:val="20"/>
        </w:rPr>
        <w:t>.</w:t>
      </w:r>
      <w:proofErr w:type="gramEnd"/>
      <w:r>
        <w:rPr>
          <w:rFonts w:cs="Calibri"/>
          <w:bCs/>
          <w:sz w:val="20"/>
          <w:szCs w:val="20"/>
        </w:rPr>
        <w:t xml:space="preserve"> </w:t>
      </w:r>
      <w:proofErr w:type="gramStart"/>
      <w:r>
        <w:rPr>
          <w:rFonts w:cs="Calibri"/>
          <w:bCs/>
          <w:sz w:val="20"/>
          <w:szCs w:val="20"/>
        </w:rPr>
        <w:t>115</w:t>
      </w:r>
      <w:proofErr w:type="gramEnd"/>
      <w:r>
        <w:rPr>
          <w:rFonts w:cs="Calibri"/>
          <w:bCs/>
          <w:sz w:val="20"/>
          <w:szCs w:val="20"/>
        </w:rPr>
        <w:t>(10): 1519-1526.</w:t>
      </w:r>
    </w:p>
    <w:p w:rsidR="002B5AB9" w:rsidRPr="000B484A" w:rsidRDefault="002B5AB9" w:rsidP="002B5AB9">
      <w:pPr>
        <w:spacing w:before="240" w:after="0" w:line="240" w:lineRule="auto"/>
        <w:rPr>
          <w:rFonts w:cs="Calibri"/>
          <w:sz w:val="20"/>
          <w:szCs w:val="20"/>
        </w:rPr>
      </w:pPr>
      <w:proofErr w:type="gramStart"/>
      <w:r w:rsidRPr="000B484A">
        <w:rPr>
          <w:rFonts w:cs="Calibri"/>
          <w:bCs/>
          <w:sz w:val="20"/>
          <w:szCs w:val="20"/>
        </w:rPr>
        <w:t>Pavuk</w:t>
      </w:r>
      <w:r w:rsidR="00DD2B29">
        <w:rPr>
          <w:rFonts w:cs="Calibri"/>
          <w:bCs/>
          <w:sz w:val="20"/>
          <w:szCs w:val="20"/>
        </w:rPr>
        <w:t>,</w:t>
      </w:r>
      <w:r w:rsidRPr="000B484A">
        <w:rPr>
          <w:rFonts w:cs="Calibri"/>
          <w:bCs/>
          <w:sz w:val="20"/>
          <w:szCs w:val="20"/>
        </w:rPr>
        <w:t xml:space="preserve"> M</w:t>
      </w:r>
      <w:r w:rsidR="00DD2B29">
        <w:rPr>
          <w:rFonts w:cs="Calibri"/>
          <w:bCs/>
          <w:sz w:val="20"/>
          <w:szCs w:val="20"/>
        </w:rPr>
        <w:t>.</w:t>
      </w:r>
      <w:r w:rsidRPr="000B484A">
        <w:rPr>
          <w:rFonts w:cs="Calibri"/>
          <w:sz w:val="20"/>
          <w:szCs w:val="20"/>
        </w:rPr>
        <w:t>, Olson</w:t>
      </w:r>
      <w:r w:rsidR="00DD2B29">
        <w:rPr>
          <w:rFonts w:cs="Calibri"/>
          <w:sz w:val="20"/>
          <w:szCs w:val="20"/>
        </w:rPr>
        <w:t>,</w:t>
      </w:r>
      <w:r w:rsidRPr="000B484A">
        <w:rPr>
          <w:rFonts w:cs="Calibri"/>
          <w:sz w:val="20"/>
          <w:szCs w:val="20"/>
        </w:rPr>
        <w:t xml:space="preserve"> J</w:t>
      </w:r>
      <w:r w:rsidR="00DD2B29">
        <w:rPr>
          <w:rFonts w:cs="Calibri"/>
          <w:sz w:val="20"/>
          <w:szCs w:val="20"/>
        </w:rPr>
        <w:t>.</w:t>
      </w:r>
      <w:r w:rsidRPr="000B484A">
        <w:rPr>
          <w:rFonts w:cs="Calibri"/>
          <w:sz w:val="20"/>
          <w:szCs w:val="20"/>
        </w:rPr>
        <w:t>, Sjodin</w:t>
      </w:r>
      <w:r w:rsidR="00DD2B29">
        <w:rPr>
          <w:rFonts w:cs="Calibri"/>
          <w:sz w:val="20"/>
          <w:szCs w:val="20"/>
        </w:rPr>
        <w:t>,</w:t>
      </w:r>
      <w:r w:rsidRPr="000B484A">
        <w:rPr>
          <w:rFonts w:cs="Calibri"/>
          <w:sz w:val="20"/>
          <w:szCs w:val="20"/>
        </w:rPr>
        <w:t xml:space="preserve"> A</w:t>
      </w:r>
      <w:r w:rsidR="00DD2B29">
        <w:rPr>
          <w:rFonts w:cs="Calibri"/>
          <w:sz w:val="20"/>
          <w:szCs w:val="20"/>
        </w:rPr>
        <w:t>.</w:t>
      </w:r>
      <w:r w:rsidRPr="000B484A">
        <w:rPr>
          <w:rFonts w:cs="Calibri"/>
          <w:sz w:val="20"/>
          <w:szCs w:val="20"/>
        </w:rPr>
        <w:t>, Bonner</w:t>
      </w:r>
      <w:r w:rsidR="00DD2B29">
        <w:rPr>
          <w:rFonts w:cs="Calibri"/>
          <w:sz w:val="20"/>
          <w:szCs w:val="20"/>
        </w:rPr>
        <w:t>,</w:t>
      </w:r>
      <w:r w:rsidRPr="000B484A">
        <w:rPr>
          <w:rFonts w:cs="Calibri"/>
          <w:sz w:val="20"/>
          <w:szCs w:val="20"/>
        </w:rPr>
        <w:t xml:space="preserve"> M</w:t>
      </w:r>
      <w:r w:rsidR="00DD2B29">
        <w:rPr>
          <w:rFonts w:cs="Calibri"/>
          <w:sz w:val="20"/>
          <w:szCs w:val="20"/>
        </w:rPr>
        <w:t>.</w:t>
      </w:r>
      <w:r w:rsidRPr="000B484A">
        <w:rPr>
          <w:rFonts w:cs="Calibri"/>
          <w:sz w:val="20"/>
          <w:szCs w:val="20"/>
        </w:rPr>
        <w:t>, Dearwent</w:t>
      </w:r>
      <w:r w:rsidR="00DD2B29">
        <w:rPr>
          <w:rFonts w:cs="Calibri"/>
          <w:sz w:val="20"/>
          <w:szCs w:val="20"/>
        </w:rPr>
        <w:t>,</w:t>
      </w:r>
      <w:r w:rsidRPr="000B484A">
        <w:rPr>
          <w:rFonts w:cs="Calibri"/>
          <w:sz w:val="20"/>
          <w:szCs w:val="20"/>
        </w:rPr>
        <w:t xml:space="preserve"> S</w:t>
      </w:r>
      <w:r w:rsidR="00DD2B29">
        <w:rPr>
          <w:rFonts w:cs="Calibri"/>
          <w:sz w:val="20"/>
          <w:szCs w:val="20"/>
        </w:rPr>
        <w:t>.</w:t>
      </w:r>
      <w:r w:rsidRPr="000B484A">
        <w:rPr>
          <w:rFonts w:cs="Calibri"/>
          <w:sz w:val="20"/>
          <w:szCs w:val="20"/>
        </w:rPr>
        <w:t>M</w:t>
      </w:r>
      <w:r w:rsidR="002664ED">
        <w:rPr>
          <w:rFonts w:cs="Calibri"/>
          <w:sz w:val="20"/>
          <w:szCs w:val="20"/>
        </w:rPr>
        <w:t>., 2009a.</w:t>
      </w:r>
      <w:proofErr w:type="gramEnd"/>
      <w:r w:rsidRPr="000B484A">
        <w:rPr>
          <w:rFonts w:cs="Calibri"/>
          <w:sz w:val="20"/>
          <w:szCs w:val="20"/>
        </w:rPr>
        <w:t xml:space="preserve"> </w:t>
      </w:r>
      <w:proofErr w:type="gramStart"/>
      <w:r w:rsidRPr="000B484A">
        <w:rPr>
          <w:rFonts w:cs="Calibri"/>
          <w:sz w:val="20"/>
          <w:szCs w:val="20"/>
        </w:rPr>
        <w:t>Assessment of human exposure to PCBs in the Anniston Community Health Survey.</w:t>
      </w:r>
      <w:proofErr w:type="gramEnd"/>
      <w:r w:rsidRPr="000B484A">
        <w:rPr>
          <w:rFonts w:cs="Calibri"/>
          <w:sz w:val="20"/>
          <w:szCs w:val="20"/>
        </w:rPr>
        <w:t xml:space="preserve"> </w:t>
      </w:r>
      <w:proofErr w:type="spellStart"/>
      <w:r w:rsidRPr="000B484A">
        <w:rPr>
          <w:rFonts w:cs="Calibri"/>
          <w:i/>
          <w:iCs/>
          <w:sz w:val="20"/>
          <w:szCs w:val="20"/>
        </w:rPr>
        <w:t>Organohalogen</w:t>
      </w:r>
      <w:proofErr w:type="spellEnd"/>
      <w:r w:rsidRPr="000B484A">
        <w:rPr>
          <w:rFonts w:cs="Calibri"/>
          <w:i/>
          <w:iCs/>
          <w:sz w:val="20"/>
          <w:szCs w:val="20"/>
        </w:rPr>
        <w:t xml:space="preserve"> Compounds</w:t>
      </w:r>
      <w:r>
        <w:rPr>
          <w:rFonts w:cs="Calibri"/>
          <w:sz w:val="20"/>
          <w:szCs w:val="20"/>
        </w:rPr>
        <w:t xml:space="preserve"> </w:t>
      </w:r>
      <w:r w:rsidRPr="000B484A">
        <w:rPr>
          <w:rFonts w:cs="Calibri"/>
          <w:sz w:val="20"/>
          <w:szCs w:val="20"/>
        </w:rPr>
        <w:t>71</w:t>
      </w:r>
      <w:r w:rsidR="002664ED">
        <w:rPr>
          <w:rFonts w:cs="Calibri"/>
          <w:sz w:val="20"/>
          <w:szCs w:val="20"/>
        </w:rPr>
        <w:t xml:space="preserve">, </w:t>
      </w:r>
      <w:r w:rsidRPr="000B484A">
        <w:rPr>
          <w:rFonts w:cs="Calibri"/>
          <w:sz w:val="20"/>
          <w:szCs w:val="20"/>
        </w:rPr>
        <w:t>1066-1069.</w:t>
      </w:r>
    </w:p>
    <w:p w:rsidR="002B5AB9" w:rsidRPr="000B484A" w:rsidRDefault="002B5AB9" w:rsidP="002B5AB9">
      <w:pPr>
        <w:spacing w:before="240" w:after="0" w:line="240" w:lineRule="auto"/>
        <w:rPr>
          <w:rFonts w:cs="Calibri"/>
          <w:sz w:val="20"/>
          <w:szCs w:val="20"/>
        </w:rPr>
      </w:pPr>
      <w:r w:rsidRPr="000B484A">
        <w:rPr>
          <w:rFonts w:cs="Calibri"/>
          <w:bCs/>
          <w:sz w:val="20"/>
          <w:szCs w:val="20"/>
        </w:rPr>
        <w:t>Pavuk</w:t>
      </w:r>
      <w:r w:rsidR="00DD2B29">
        <w:rPr>
          <w:rFonts w:cs="Calibri"/>
          <w:bCs/>
          <w:sz w:val="20"/>
          <w:szCs w:val="20"/>
        </w:rPr>
        <w:t>,</w:t>
      </w:r>
      <w:r w:rsidRPr="000B484A">
        <w:rPr>
          <w:rFonts w:cs="Calibri"/>
          <w:bCs/>
          <w:sz w:val="20"/>
          <w:szCs w:val="20"/>
        </w:rPr>
        <w:t xml:space="preserve"> M</w:t>
      </w:r>
      <w:r w:rsidR="00DD2B29">
        <w:rPr>
          <w:rFonts w:cs="Calibri"/>
          <w:bCs/>
          <w:sz w:val="20"/>
          <w:szCs w:val="20"/>
        </w:rPr>
        <w:t>.</w:t>
      </w:r>
      <w:r w:rsidRPr="000B484A">
        <w:rPr>
          <w:rFonts w:cs="Calibri"/>
          <w:sz w:val="20"/>
          <w:szCs w:val="20"/>
        </w:rPr>
        <w:t>, Olson</w:t>
      </w:r>
      <w:r w:rsidR="00DD2B29">
        <w:rPr>
          <w:rFonts w:cs="Calibri"/>
          <w:sz w:val="20"/>
          <w:szCs w:val="20"/>
        </w:rPr>
        <w:t>,</w:t>
      </w:r>
      <w:r w:rsidRPr="000B484A">
        <w:rPr>
          <w:rFonts w:cs="Calibri"/>
          <w:sz w:val="20"/>
          <w:szCs w:val="20"/>
        </w:rPr>
        <w:t xml:space="preserve"> J</w:t>
      </w:r>
      <w:r w:rsidR="00DD2B29">
        <w:rPr>
          <w:rFonts w:cs="Calibri"/>
          <w:sz w:val="20"/>
          <w:szCs w:val="20"/>
        </w:rPr>
        <w:t>.</w:t>
      </w:r>
      <w:r w:rsidRPr="000B484A">
        <w:rPr>
          <w:rFonts w:cs="Calibri"/>
          <w:sz w:val="20"/>
          <w:szCs w:val="20"/>
        </w:rPr>
        <w:t>, Sjodin</w:t>
      </w:r>
      <w:r w:rsidR="00DD2B29">
        <w:rPr>
          <w:rFonts w:cs="Calibri"/>
          <w:sz w:val="20"/>
          <w:szCs w:val="20"/>
        </w:rPr>
        <w:t>,</w:t>
      </w:r>
      <w:r w:rsidRPr="000B484A">
        <w:rPr>
          <w:rFonts w:cs="Calibri"/>
          <w:sz w:val="20"/>
          <w:szCs w:val="20"/>
        </w:rPr>
        <w:t xml:space="preserve"> A</w:t>
      </w:r>
      <w:r w:rsidR="00DD2B29">
        <w:rPr>
          <w:rFonts w:cs="Calibri"/>
          <w:sz w:val="20"/>
          <w:szCs w:val="20"/>
        </w:rPr>
        <w:t>.</w:t>
      </w:r>
      <w:r w:rsidRPr="000B484A">
        <w:rPr>
          <w:rFonts w:cs="Calibri"/>
          <w:sz w:val="20"/>
          <w:szCs w:val="20"/>
        </w:rPr>
        <w:t>, Bonner</w:t>
      </w:r>
      <w:r w:rsidR="00DD2B29">
        <w:rPr>
          <w:rFonts w:cs="Calibri"/>
          <w:sz w:val="20"/>
          <w:szCs w:val="20"/>
        </w:rPr>
        <w:t>,</w:t>
      </w:r>
      <w:r w:rsidRPr="000B484A">
        <w:rPr>
          <w:rFonts w:cs="Calibri"/>
          <w:sz w:val="20"/>
          <w:szCs w:val="20"/>
        </w:rPr>
        <w:t xml:space="preserve"> M</w:t>
      </w:r>
      <w:r w:rsidR="00DD2B29">
        <w:rPr>
          <w:rFonts w:cs="Calibri"/>
          <w:sz w:val="20"/>
          <w:szCs w:val="20"/>
        </w:rPr>
        <w:t>.</w:t>
      </w:r>
      <w:r w:rsidRPr="000B484A">
        <w:rPr>
          <w:rFonts w:cs="Calibri"/>
          <w:sz w:val="20"/>
          <w:szCs w:val="20"/>
        </w:rPr>
        <w:t>, Dearwent</w:t>
      </w:r>
      <w:r w:rsidR="00DD2B29">
        <w:rPr>
          <w:rFonts w:cs="Calibri"/>
          <w:sz w:val="20"/>
          <w:szCs w:val="20"/>
        </w:rPr>
        <w:t>,</w:t>
      </w:r>
      <w:r w:rsidRPr="000B484A">
        <w:rPr>
          <w:rFonts w:cs="Calibri"/>
          <w:sz w:val="20"/>
          <w:szCs w:val="20"/>
        </w:rPr>
        <w:t xml:space="preserve"> S</w:t>
      </w:r>
      <w:r w:rsidR="00DD2B29">
        <w:rPr>
          <w:rFonts w:cs="Calibri"/>
          <w:sz w:val="20"/>
          <w:szCs w:val="20"/>
        </w:rPr>
        <w:t>.</w:t>
      </w:r>
      <w:r w:rsidRPr="000B484A">
        <w:rPr>
          <w:rFonts w:cs="Calibri"/>
          <w:sz w:val="20"/>
          <w:szCs w:val="20"/>
        </w:rPr>
        <w:t>M</w:t>
      </w:r>
      <w:r w:rsidR="00DD2B29">
        <w:rPr>
          <w:rFonts w:cs="Calibri"/>
          <w:sz w:val="20"/>
          <w:szCs w:val="20"/>
        </w:rPr>
        <w:t xml:space="preserve">., </w:t>
      </w:r>
      <w:r w:rsidR="002664ED">
        <w:rPr>
          <w:rFonts w:cs="Calibri"/>
          <w:sz w:val="20"/>
          <w:szCs w:val="20"/>
        </w:rPr>
        <w:t>2009b, August 24-28.</w:t>
      </w:r>
      <w:r w:rsidRPr="000B484A">
        <w:rPr>
          <w:rFonts w:cs="Calibri"/>
          <w:sz w:val="20"/>
          <w:szCs w:val="20"/>
        </w:rPr>
        <w:t xml:space="preserve"> </w:t>
      </w:r>
      <w:proofErr w:type="gramStart"/>
      <w:r w:rsidRPr="000B484A">
        <w:rPr>
          <w:rFonts w:cs="Calibri"/>
          <w:sz w:val="20"/>
          <w:szCs w:val="20"/>
        </w:rPr>
        <w:t>Assessment of human exposure to PCBs in the Anniston Community Health Survey.</w:t>
      </w:r>
      <w:proofErr w:type="gramEnd"/>
      <w:r w:rsidRPr="000B484A">
        <w:rPr>
          <w:rFonts w:cs="Calibri"/>
          <w:sz w:val="20"/>
          <w:szCs w:val="20"/>
        </w:rPr>
        <w:t xml:space="preserve"> </w:t>
      </w:r>
      <w:proofErr w:type="gramStart"/>
      <w:r w:rsidRPr="000B484A">
        <w:rPr>
          <w:rFonts w:cs="Calibri"/>
          <w:sz w:val="20"/>
          <w:szCs w:val="20"/>
        </w:rPr>
        <w:t>Dioxin 2009 International Symposium, Bei</w:t>
      </w:r>
      <w:r w:rsidR="002664ED">
        <w:rPr>
          <w:rFonts w:cs="Calibri"/>
          <w:sz w:val="20"/>
          <w:szCs w:val="20"/>
        </w:rPr>
        <w:t>jing, China.</w:t>
      </w:r>
      <w:proofErr w:type="gramEnd"/>
    </w:p>
    <w:p w:rsidR="002B5AB9" w:rsidRDefault="002B5AB9" w:rsidP="002B5AB9">
      <w:pPr>
        <w:spacing w:before="240" w:after="0" w:line="240" w:lineRule="auto"/>
        <w:rPr>
          <w:rFonts w:cs="Calibri"/>
          <w:sz w:val="20"/>
          <w:szCs w:val="20"/>
        </w:rPr>
      </w:pPr>
      <w:proofErr w:type="spellStart"/>
      <w:proofErr w:type="gramStart"/>
      <w:r w:rsidRPr="00522F32">
        <w:rPr>
          <w:rFonts w:cs="Calibri"/>
          <w:sz w:val="20"/>
          <w:szCs w:val="20"/>
        </w:rPr>
        <w:t>Pflieger-</w:t>
      </w:r>
      <w:r>
        <w:rPr>
          <w:rFonts w:cs="Calibri"/>
          <w:sz w:val="20"/>
          <w:szCs w:val="20"/>
        </w:rPr>
        <w:t>Bruss</w:t>
      </w:r>
      <w:proofErr w:type="spellEnd"/>
      <w:r w:rsidR="00B9518E">
        <w:rPr>
          <w:rFonts w:cs="Calibri"/>
          <w:sz w:val="20"/>
          <w:szCs w:val="20"/>
        </w:rPr>
        <w:t>,</w:t>
      </w:r>
      <w:r>
        <w:rPr>
          <w:rFonts w:cs="Calibri"/>
          <w:sz w:val="20"/>
          <w:szCs w:val="20"/>
        </w:rPr>
        <w:t xml:space="preserve"> S</w:t>
      </w:r>
      <w:r w:rsidR="00B9518E">
        <w:rPr>
          <w:rFonts w:cs="Calibri"/>
          <w:sz w:val="20"/>
          <w:szCs w:val="20"/>
        </w:rPr>
        <w:t>.</w:t>
      </w:r>
      <w:r>
        <w:rPr>
          <w:rFonts w:cs="Calibri"/>
          <w:sz w:val="20"/>
          <w:szCs w:val="20"/>
        </w:rPr>
        <w:t xml:space="preserve">, </w:t>
      </w:r>
      <w:proofErr w:type="spellStart"/>
      <w:r>
        <w:rPr>
          <w:rFonts w:cs="Calibri"/>
          <w:sz w:val="20"/>
          <w:szCs w:val="20"/>
        </w:rPr>
        <w:t>Schuppe</w:t>
      </w:r>
      <w:proofErr w:type="spellEnd"/>
      <w:r w:rsidR="00B9518E">
        <w:rPr>
          <w:rFonts w:cs="Calibri"/>
          <w:sz w:val="20"/>
          <w:szCs w:val="20"/>
        </w:rPr>
        <w:t>,</w:t>
      </w:r>
      <w:r>
        <w:rPr>
          <w:rFonts w:cs="Calibri"/>
          <w:sz w:val="20"/>
          <w:szCs w:val="20"/>
        </w:rPr>
        <w:t xml:space="preserve"> H</w:t>
      </w:r>
      <w:r w:rsidR="00B9518E">
        <w:rPr>
          <w:rFonts w:cs="Calibri"/>
          <w:sz w:val="20"/>
          <w:szCs w:val="20"/>
        </w:rPr>
        <w:t>.</w:t>
      </w:r>
      <w:r>
        <w:rPr>
          <w:rFonts w:cs="Calibri"/>
          <w:sz w:val="20"/>
          <w:szCs w:val="20"/>
        </w:rPr>
        <w:t>C</w:t>
      </w:r>
      <w:r w:rsidR="00B9518E">
        <w:rPr>
          <w:rFonts w:cs="Calibri"/>
          <w:sz w:val="20"/>
          <w:szCs w:val="20"/>
        </w:rPr>
        <w:t>.</w:t>
      </w:r>
      <w:r>
        <w:rPr>
          <w:rFonts w:cs="Calibri"/>
          <w:sz w:val="20"/>
          <w:szCs w:val="20"/>
        </w:rPr>
        <w:t xml:space="preserve">, </w:t>
      </w:r>
      <w:proofErr w:type="spellStart"/>
      <w:r>
        <w:rPr>
          <w:rFonts w:cs="Calibri"/>
          <w:sz w:val="20"/>
          <w:szCs w:val="20"/>
        </w:rPr>
        <w:t>Schill</w:t>
      </w:r>
      <w:proofErr w:type="spellEnd"/>
      <w:r w:rsidR="00B9518E">
        <w:rPr>
          <w:rFonts w:cs="Calibri"/>
          <w:sz w:val="20"/>
          <w:szCs w:val="20"/>
        </w:rPr>
        <w:t>,</w:t>
      </w:r>
      <w:r>
        <w:rPr>
          <w:rFonts w:cs="Calibri"/>
          <w:sz w:val="20"/>
          <w:szCs w:val="20"/>
        </w:rPr>
        <w:t xml:space="preserve"> W</w:t>
      </w:r>
      <w:r w:rsidR="00B9518E">
        <w:rPr>
          <w:rFonts w:cs="Calibri"/>
          <w:sz w:val="20"/>
          <w:szCs w:val="20"/>
        </w:rPr>
        <w:t>.</w:t>
      </w:r>
      <w:r>
        <w:rPr>
          <w:rFonts w:cs="Calibri"/>
          <w:sz w:val="20"/>
          <w:szCs w:val="20"/>
        </w:rPr>
        <w:t>B</w:t>
      </w:r>
      <w:r w:rsidR="00B9518E">
        <w:rPr>
          <w:rFonts w:cs="Calibri"/>
          <w:sz w:val="20"/>
          <w:szCs w:val="20"/>
        </w:rPr>
        <w:t>., 2004.</w:t>
      </w:r>
      <w:proofErr w:type="gramEnd"/>
      <w:r>
        <w:rPr>
          <w:rFonts w:cs="Calibri"/>
          <w:sz w:val="20"/>
          <w:szCs w:val="20"/>
        </w:rPr>
        <w:t xml:space="preserve"> </w:t>
      </w:r>
      <w:proofErr w:type="gramStart"/>
      <w:r w:rsidRPr="00522F32">
        <w:rPr>
          <w:rFonts w:cs="Calibri"/>
          <w:sz w:val="20"/>
          <w:szCs w:val="20"/>
        </w:rPr>
        <w:t xml:space="preserve">The male reproductive system and its susceptibility to </w:t>
      </w:r>
      <w:r>
        <w:rPr>
          <w:rFonts w:cs="Calibri"/>
          <w:sz w:val="20"/>
          <w:szCs w:val="20"/>
        </w:rPr>
        <w:t>endocrine disrupting chemicals.</w:t>
      </w:r>
      <w:proofErr w:type="gramEnd"/>
      <w:r>
        <w:rPr>
          <w:rFonts w:cs="Calibri"/>
          <w:sz w:val="20"/>
          <w:szCs w:val="20"/>
        </w:rPr>
        <w:t xml:space="preserve"> </w:t>
      </w:r>
      <w:proofErr w:type="spellStart"/>
      <w:proofErr w:type="gramStart"/>
      <w:r>
        <w:rPr>
          <w:rFonts w:cs="Calibri"/>
          <w:sz w:val="20"/>
          <w:szCs w:val="20"/>
        </w:rPr>
        <w:t>Andrologia</w:t>
      </w:r>
      <w:proofErr w:type="spellEnd"/>
      <w:r>
        <w:rPr>
          <w:rFonts w:cs="Calibri"/>
          <w:sz w:val="20"/>
          <w:szCs w:val="20"/>
        </w:rPr>
        <w:t>.</w:t>
      </w:r>
      <w:proofErr w:type="gramEnd"/>
      <w:r>
        <w:rPr>
          <w:rFonts w:cs="Calibri"/>
          <w:sz w:val="20"/>
          <w:szCs w:val="20"/>
        </w:rPr>
        <w:t xml:space="preserve"> </w:t>
      </w:r>
      <w:r w:rsidRPr="00522F32">
        <w:rPr>
          <w:rFonts w:cs="Calibri"/>
          <w:sz w:val="20"/>
          <w:szCs w:val="20"/>
        </w:rPr>
        <w:t>36(6):337-</w:t>
      </w:r>
      <w:r w:rsidR="00B9518E">
        <w:rPr>
          <w:rFonts w:cs="Calibri"/>
          <w:sz w:val="20"/>
          <w:szCs w:val="20"/>
        </w:rPr>
        <w:t>3</w:t>
      </w:r>
      <w:r w:rsidRPr="00522F32">
        <w:rPr>
          <w:rFonts w:cs="Calibri"/>
          <w:sz w:val="20"/>
          <w:szCs w:val="20"/>
        </w:rPr>
        <w:t>45</w:t>
      </w:r>
      <w:r w:rsidR="00B9518E">
        <w:rPr>
          <w:rFonts w:cs="Calibri"/>
          <w:sz w:val="20"/>
          <w:szCs w:val="20"/>
        </w:rPr>
        <w:t>.</w:t>
      </w:r>
    </w:p>
    <w:p w:rsidR="00271CED" w:rsidRDefault="00271CED" w:rsidP="002B5AB9">
      <w:pPr>
        <w:spacing w:before="240" w:after="0" w:line="240" w:lineRule="auto"/>
        <w:rPr>
          <w:rFonts w:cs="Calibri"/>
          <w:color w:val="000000"/>
          <w:sz w:val="20"/>
          <w:szCs w:val="20"/>
        </w:rPr>
      </w:pPr>
      <w:proofErr w:type="spellStart"/>
      <w:r w:rsidRPr="00271CED">
        <w:rPr>
          <w:rFonts w:cs="Calibri"/>
          <w:color w:val="000000"/>
          <w:sz w:val="20"/>
          <w:szCs w:val="20"/>
        </w:rPr>
        <w:t>Schecter</w:t>
      </w:r>
      <w:proofErr w:type="spellEnd"/>
      <w:r>
        <w:rPr>
          <w:rFonts w:cs="Calibri"/>
          <w:color w:val="000000"/>
          <w:sz w:val="20"/>
          <w:szCs w:val="20"/>
        </w:rPr>
        <w:t>,</w:t>
      </w:r>
      <w:r w:rsidRPr="00271CED">
        <w:rPr>
          <w:rFonts w:cs="Calibri"/>
          <w:color w:val="000000"/>
          <w:sz w:val="20"/>
          <w:szCs w:val="20"/>
        </w:rPr>
        <w:t xml:space="preserve"> A</w:t>
      </w:r>
      <w:r>
        <w:rPr>
          <w:rFonts w:cs="Calibri"/>
          <w:color w:val="000000"/>
          <w:sz w:val="20"/>
          <w:szCs w:val="20"/>
        </w:rPr>
        <w:t>.</w:t>
      </w:r>
      <w:r w:rsidRPr="00271CED">
        <w:rPr>
          <w:rFonts w:cs="Calibri"/>
          <w:color w:val="000000"/>
          <w:sz w:val="20"/>
          <w:szCs w:val="20"/>
        </w:rPr>
        <w:t xml:space="preserve">, </w:t>
      </w:r>
      <w:proofErr w:type="spellStart"/>
      <w:r w:rsidRPr="00271CED">
        <w:rPr>
          <w:rFonts w:cs="Calibri"/>
          <w:color w:val="000000"/>
          <w:sz w:val="20"/>
          <w:szCs w:val="20"/>
        </w:rPr>
        <w:t>Päpke</w:t>
      </w:r>
      <w:proofErr w:type="spellEnd"/>
      <w:r>
        <w:rPr>
          <w:rFonts w:cs="Calibri"/>
          <w:color w:val="000000"/>
          <w:sz w:val="20"/>
          <w:szCs w:val="20"/>
        </w:rPr>
        <w:t>,</w:t>
      </w:r>
      <w:r w:rsidRPr="00271CED">
        <w:rPr>
          <w:rFonts w:cs="Calibri"/>
          <w:color w:val="000000"/>
          <w:sz w:val="20"/>
          <w:szCs w:val="20"/>
        </w:rPr>
        <w:t xml:space="preserve"> O</w:t>
      </w:r>
      <w:r>
        <w:rPr>
          <w:rFonts w:cs="Calibri"/>
          <w:color w:val="000000"/>
          <w:sz w:val="20"/>
          <w:szCs w:val="20"/>
        </w:rPr>
        <w:t>.</w:t>
      </w:r>
      <w:r w:rsidRPr="00271CED">
        <w:rPr>
          <w:rFonts w:cs="Calibri"/>
          <w:color w:val="000000"/>
          <w:sz w:val="20"/>
          <w:szCs w:val="20"/>
        </w:rPr>
        <w:t>, Tung</w:t>
      </w:r>
      <w:r>
        <w:rPr>
          <w:rFonts w:cs="Calibri"/>
          <w:color w:val="000000"/>
          <w:sz w:val="20"/>
          <w:szCs w:val="20"/>
        </w:rPr>
        <w:t>,</w:t>
      </w:r>
      <w:r w:rsidRPr="00271CED">
        <w:rPr>
          <w:rFonts w:cs="Calibri"/>
          <w:color w:val="000000"/>
          <w:sz w:val="20"/>
          <w:szCs w:val="20"/>
        </w:rPr>
        <w:t xml:space="preserve"> K</w:t>
      </w:r>
      <w:r>
        <w:rPr>
          <w:rFonts w:cs="Calibri"/>
          <w:color w:val="000000"/>
          <w:sz w:val="20"/>
          <w:szCs w:val="20"/>
        </w:rPr>
        <w:t>.</w:t>
      </w:r>
      <w:r w:rsidRPr="00271CED">
        <w:rPr>
          <w:rFonts w:cs="Calibri"/>
          <w:color w:val="000000"/>
          <w:sz w:val="20"/>
          <w:szCs w:val="20"/>
        </w:rPr>
        <w:t>C</w:t>
      </w:r>
      <w:r>
        <w:rPr>
          <w:rFonts w:cs="Calibri"/>
          <w:color w:val="000000"/>
          <w:sz w:val="20"/>
          <w:szCs w:val="20"/>
        </w:rPr>
        <w:t>.</w:t>
      </w:r>
      <w:r w:rsidRPr="00271CED">
        <w:rPr>
          <w:rFonts w:cs="Calibri"/>
          <w:color w:val="000000"/>
          <w:sz w:val="20"/>
          <w:szCs w:val="20"/>
        </w:rPr>
        <w:t xml:space="preserve">, </w:t>
      </w:r>
      <w:proofErr w:type="spellStart"/>
      <w:r w:rsidRPr="00271CED">
        <w:rPr>
          <w:rFonts w:cs="Calibri"/>
          <w:color w:val="000000"/>
          <w:sz w:val="20"/>
          <w:szCs w:val="20"/>
        </w:rPr>
        <w:t>Staskal</w:t>
      </w:r>
      <w:proofErr w:type="spellEnd"/>
      <w:r>
        <w:rPr>
          <w:rFonts w:cs="Calibri"/>
          <w:color w:val="000000"/>
          <w:sz w:val="20"/>
          <w:szCs w:val="20"/>
        </w:rPr>
        <w:t>,</w:t>
      </w:r>
      <w:r w:rsidRPr="00271CED">
        <w:rPr>
          <w:rFonts w:cs="Calibri"/>
          <w:color w:val="000000"/>
          <w:sz w:val="20"/>
          <w:szCs w:val="20"/>
        </w:rPr>
        <w:t xml:space="preserve"> D</w:t>
      </w:r>
      <w:r>
        <w:rPr>
          <w:rFonts w:cs="Calibri"/>
          <w:color w:val="000000"/>
          <w:sz w:val="20"/>
          <w:szCs w:val="20"/>
        </w:rPr>
        <w:t>.</w:t>
      </w:r>
      <w:r w:rsidRPr="00271CED">
        <w:rPr>
          <w:rFonts w:cs="Calibri"/>
          <w:color w:val="000000"/>
          <w:sz w:val="20"/>
          <w:szCs w:val="20"/>
        </w:rPr>
        <w:t>, Birnbaum</w:t>
      </w:r>
      <w:r>
        <w:rPr>
          <w:rFonts w:cs="Calibri"/>
          <w:color w:val="000000"/>
          <w:sz w:val="20"/>
          <w:szCs w:val="20"/>
        </w:rPr>
        <w:t>,</w:t>
      </w:r>
      <w:r w:rsidRPr="00271CED">
        <w:rPr>
          <w:rFonts w:cs="Calibri"/>
          <w:color w:val="000000"/>
          <w:sz w:val="20"/>
          <w:szCs w:val="20"/>
        </w:rPr>
        <w:t xml:space="preserve"> L.</w:t>
      </w:r>
      <w:r>
        <w:rPr>
          <w:rFonts w:cs="Calibri"/>
          <w:color w:val="000000"/>
          <w:sz w:val="20"/>
          <w:szCs w:val="20"/>
        </w:rPr>
        <w:t xml:space="preserve"> 2004. </w:t>
      </w:r>
      <w:proofErr w:type="spellStart"/>
      <w:proofErr w:type="gramStart"/>
      <w:r w:rsidRPr="00271CED">
        <w:rPr>
          <w:rFonts w:cs="Calibri"/>
          <w:color w:val="000000"/>
          <w:sz w:val="20"/>
          <w:szCs w:val="20"/>
        </w:rPr>
        <w:t>Polybrominated</w:t>
      </w:r>
      <w:proofErr w:type="spellEnd"/>
      <w:r w:rsidRPr="00271CED">
        <w:rPr>
          <w:rFonts w:cs="Calibri"/>
          <w:color w:val="000000"/>
          <w:sz w:val="20"/>
          <w:szCs w:val="20"/>
        </w:rPr>
        <w:t xml:space="preserve"> </w:t>
      </w:r>
      <w:proofErr w:type="spellStart"/>
      <w:r w:rsidRPr="00271CED">
        <w:rPr>
          <w:rFonts w:cs="Calibri"/>
          <w:color w:val="000000"/>
          <w:sz w:val="20"/>
          <w:szCs w:val="20"/>
        </w:rPr>
        <w:t>diphenyl</w:t>
      </w:r>
      <w:proofErr w:type="spellEnd"/>
      <w:r w:rsidRPr="00271CED">
        <w:rPr>
          <w:rFonts w:cs="Calibri"/>
          <w:color w:val="000000"/>
          <w:sz w:val="20"/>
          <w:szCs w:val="20"/>
        </w:rPr>
        <w:t xml:space="preserve"> ethers contamination of United States food.</w:t>
      </w:r>
      <w:proofErr w:type="gramEnd"/>
      <w:r>
        <w:rPr>
          <w:rFonts w:cs="Calibri"/>
          <w:color w:val="000000"/>
          <w:sz w:val="20"/>
          <w:szCs w:val="20"/>
        </w:rPr>
        <w:t xml:space="preserve"> Environ. Sci. Technol. 38(20): 5306-5311.</w:t>
      </w:r>
    </w:p>
    <w:p w:rsidR="00115666" w:rsidRDefault="00115666" w:rsidP="002B5AB9">
      <w:pPr>
        <w:spacing w:before="240" w:after="0" w:line="240" w:lineRule="auto"/>
        <w:rPr>
          <w:rFonts w:cs="Calibri"/>
          <w:color w:val="000000"/>
          <w:sz w:val="20"/>
          <w:szCs w:val="20"/>
        </w:rPr>
      </w:pPr>
      <w:r w:rsidRPr="00115666">
        <w:rPr>
          <w:rFonts w:cs="Calibri"/>
          <w:color w:val="000000"/>
          <w:sz w:val="20"/>
          <w:szCs w:val="20"/>
        </w:rPr>
        <w:t>Stapleton</w:t>
      </w:r>
      <w:r>
        <w:rPr>
          <w:rFonts w:cs="Calibri"/>
          <w:color w:val="000000"/>
          <w:sz w:val="20"/>
          <w:szCs w:val="20"/>
        </w:rPr>
        <w:t>,</w:t>
      </w:r>
      <w:r w:rsidRPr="00115666">
        <w:rPr>
          <w:rFonts w:cs="Calibri"/>
          <w:color w:val="000000"/>
          <w:sz w:val="20"/>
          <w:szCs w:val="20"/>
        </w:rPr>
        <w:t xml:space="preserve"> H</w:t>
      </w:r>
      <w:r>
        <w:rPr>
          <w:rFonts w:cs="Calibri"/>
          <w:color w:val="000000"/>
          <w:sz w:val="20"/>
          <w:szCs w:val="20"/>
        </w:rPr>
        <w:t>.</w:t>
      </w:r>
      <w:r w:rsidRPr="00115666">
        <w:rPr>
          <w:rFonts w:cs="Calibri"/>
          <w:color w:val="000000"/>
          <w:sz w:val="20"/>
          <w:szCs w:val="20"/>
        </w:rPr>
        <w:t>M</w:t>
      </w:r>
      <w:r>
        <w:rPr>
          <w:rFonts w:cs="Calibri"/>
          <w:color w:val="000000"/>
          <w:sz w:val="20"/>
          <w:szCs w:val="20"/>
        </w:rPr>
        <w:t>.</w:t>
      </w:r>
      <w:r w:rsidRPr="00115666">
        <w:rPr>
          <w:rFonts w:cs="Calibri"/>
          <w:color w:val="000000"/>
          <w:sz w:val="20"/>
          <w:szCs w:val="20"/>
        </w:rPr>
        <w:t>, Eagle</w:t>
      </w:r>
      <w:r>
        <w:rPr>
          <w:rFonts w:cs="Calibri"/>
          <w:color w:val="000000"/>
          <w:sz w:val="20"/>
          <w:szCs w:val="20"/>
        </w:rPr>
        <w:t>,</w:t>
      </w:r>
      <w:r w:rsidRPr="00115666">
        <w:rPr>
          <w:rFonts w:cs="Calibri"/>
          <w:color w:val="000000"/>
          <w:sz w:val="20"/>
          <w:szCs w:val="20"/>
        </w:rPr>
        <w:t xml:space="preserve"> S</w:t>
      </w:r>
      <w:r>
        <w:rPr>
          <w:rFonts w:cs="Calibri"/>
          <w:color w:val="000000"/>
          <w:sz w:val="20"/>
          <w:szCs w:val="20"/>
        </w:rPr>
        <w:t>.</w:t>
      </w:r>
      <w:r w:rsidRPr="00115666">
        <w:rPr>
          <w:rFonts w:cs="Calibri"/>
          <w:color w:val="000000"/>
          <w:sz w:val="20"/>
          <w:szCs w:val="20"/>
        </w:rPr>
        <w:t xml:space="preserve">, </w:t>
      </w:r>
      <w:proofErr w:type="spellStart"/>
      <w:r w:rsidRPr="00115666">
        <w:rPr>
          <w:rFonts w:cs="Calibri"/>
          <w:color w:val="000000"/>
          <w:sz w:val="20"/>
          <w:szCs w:val="20"/>
        </w:rPr>
        <w:t>Anthopolos</w:t>
      </w:r>
      <w:proofErr w:type="spellEnd"/>
      <w:r>
        <w:rPr>
          <w:rFonts w:cs="Calibri"/>
          <w:color w:val="000000"/>
          <w:sz w:val="20"/>
          <w:szCs w:val="20"/>
        </w:rPr>
        <w:t>,</w:t>
      </w:r>
      <w:r w:rsidRPr="00115666">
        <w:rPr>
          <w:rFonts w:cs="Calibri"/>
          <w:color w:val="000000"/>
          <w:sz w:val="20"/>
          <w:szCs w:val="20"/>
        </w:rPr>
        <w:t xml:space="preserve"> R</w:t>
      </w:r>
      <w:r>
        <w:rPr>
          <w:rFonts w:cs="Calibri"/>
          <w:color w:val="000000"/>
          <w:sz w:val="20"/>
          <w:szCs w:val="20"/>
        </w:rPr>
        <w:t>.</w:t>
      </w:r>
      <w:r w:rsidRPr="00115666">
        <w:rPr>
          <w:rFonts w:cs="Calibri"/>
          <w:color w:val="000000"/>
          <w:sz w:val="20"/>
          <w:szCs w:val="20"/>
        </w:rPr>
        <w:t>, Wolkin</w:t>
      </w:r>
      <w:r>
        <w:rPr>
          <w:rFonts w:cs="Calibri"/>
          <w:color w:val="000000"/>
          <w:sz w:val="20"/>
          <w:szCs w:val="20"/>
        </w:rPr>
        <w:t>,</w:t>
      </w:r>
      <w:r w:rsidRPr="00115666">
        <w:rPr>
          <w:rFonts w:cs="Calibri"/>
          <w:color w:val="000000"/>
          <w:sz w:val="20"/>
          <w:szCs w:val="20"/>
        </w:rPr>
        <w:t xml:space="preserve"> A</w:t>
      </w:r>
      <w:r>
        <w:rPr>
          <w:rFonts w:cs="Calibri"/>
          <w:color w:val="000000"/>
          <w:sz w:val="20"/>
          <w:szCs w:val="20"/>
        </w:rPr>
        <w:t>.</w:t>
      </w:r>
      <w:r w:rsidRPr="00115666">
        <w:rPr>
          <w:rFonts w:cs="Calibri"/>
          <w:color w:val="000000"/>
          <w:sz w:val="20"/>
          <w:szCs w:val="20"/>
        </w:rPr>
        <w:t>, Miranda</w:t>
      </w:r>
      <w:r>
        <w:rPr>
          <w:rFonts w:cs="Calibri"/>
          <w:color w:val="000000"/>
          <w:sz w:val="20"/>
          <w:szCs w:val="20"/>
        </w:rPr>
        <w:t>,</w:t>
      </w:r>
      <w:r w:rsidRPr="00115666">
        <w:rPr>
          <w:rFonts w:cs="Calibri"/>
          <w:color w:val="000000"/>
          <w:sz w:val="20"/>
          <w:szCs w:val="20"/>
        </w:rPr>
        <w:t xml:space="preserve"> M</w:t>
      </w:r>
      <w:r>
        <w:rPr>
          <w:rFonts w:cs="Calibri"/>
          <w:color w:val="000000"/>
          <w:sz w:val="20"/>
          <w:szCs w:val="20"/>
        </w:rPr>
        <w:t>.</w:t>
      </w:r>
      <w:r w:rsidRPr="00115666">
        <w:rPr>
          <w:rFonts w:cs="Calibri"/>
          <w:color w:val="000000"/>
          <w:sz w:val="20"/>
          <w:szCs w:val="20"/>
        </w:rPr>
        <w:t>L.</w:t>
      </w:r>
      <w:r>
        <w:rPr>
          <w:rFonts w:cs="Calibri"/>
          <w:color w:val="000000"/>
          <w:sz w:val="20"/>
          <w:szCs w:val="20"/>
        </w:rPr>
        <w:t xml:space="preserve"> 2011. </w:t>
      </w:r>
      <w:r w:rsidRPr="00115666">
        <w:rPr>
          <w:rFonts w:cs="Calibri"/>
          <w:color w:val="000000"/>
          <w:sz w:val="20"/>
          <w:szCs w:val="20"/>
        </w:rPr>
        <w:t xml:space="preserve">Associations between </w:t>
      </w:r>
      <w:proofErr w:type="spellStart"/>
      <w:r w:rsidRPr="00115666">
        <w:rPr>
          <w:rFonts w:cs="Calibri"/>
          <w:color w:val="000000"/>
          <w:sz w:val="20"/>
          <w:szCs w:val="20"/>
        </w:rPr>
        <w:t>polybrominated</w:t>
      </w:r>
      <w:proofErr w:type="spellEnd"/>
      <w:r w:rsidRPr="00115666">
        <w:rPr>
          <w:rFonts w:cs="Calibri"/>
          <w:color w:val="000000"/>
          <w:sz w:val="20"/>
          <w:szCs w:val="20"/>
        </w:rPr>
        <w:t xml:space="preserve"> </w:t>
      </w:r>
      <w:proofErr w:type="spellStart"/>
      <w:r w:rsidRPr="00115666">
        <w:rPr>
          <w:rFonts w:cs="Calibri"/>
          <w:color w:val="000000"/>
          <w:sz w:val="20"/>
          <w:szCs w:val="20"/>
        </w:rPr>
        <w:t>diphenyl</w:t>
      </w:r>
      <w:proofErr w:type="spellEnd"/>
      <w:r w:rsidRPr="00115666">
        <w:rPr>
          <w:rFonts w:cs="Calibri"/>
          <w:color w:val="000000"/>
          <w:sz w:val="20"/>
          <w:szCs w:val="20"/>
        </w:rPr>
        <w:t xml:space="preserve"> ether (PBDE) flame retardants, phenolic metabolites, and th</w:t>
      </w:r>
      <w:r>
        <w:rPr>
          <w:rFonts w:cs="Calibri"/>
          <w:color w:val="000000"/>
          <w:sz w:val="20"/>
          <w:szCs w:val="20"/>
        </w:rPr>
        <w:t xml:space="preserve">yroid hormones during pregnancy. Environ. </w:t>
      </w:r>
      <w:proofErr w:type="gramStart"/>
      <w:r>
        <w:rPr>
          <w:rFonts w:cs="Calibri"/>
          <w:color w:val="000000"/>
          <w:sz w:val="20"/>
          <w:szCs w:val="20"/>
        </w:rPr>
        <w:t xml:space="preserve">Health </w:t>
      </w:r>
      <w:proofErr w:type="spellStart"/>
      <w:r>
        <w:rPr>
          <w:rFonts w:cs="Calibri"/>
          <w:color w:val="000000"/>
          <w:sz w:val="20"/>
          <w:szCs w:val="20"/>
        </w:rPr>
        <w:t>Perspect</w:t>
      </w:r>
      <w:proofErr w:type="spellEnd"/>
      <w:r>
        <w:rPr>
          <w:rFonts w:cs="Calibri"/>
          <w:color w:val="000000"/>
          <w:sz w:val="20"/>
          <w:szCs w:val="20"/>
        </w:rPr>
        <w:t>.</w:t>
      </w:r>
      <w:proofErr w:type="gramEnd"/>
      <w:r>
        <w:rPr>
          <w:rFonts w:cs="Calibri"/>
          <w:color w:val="000000"/>
          <w:sz w:val="20"/>
          <w:szCs w:val="20"/>
        </w:rPr>
        <w:t xml:space="preserve"> </w:t>
      </w:r>
      <w:proofErr w:type="gramStart"/>
      <w:r>
        <w:rPr>
          <w:rFonts w:cs="Calibri"/>
          <w:color w:val="000000"/>
          <w:sz w:val="20"/>
          <w:szCs w:val="20"/>
        </w:rPr>
        <w:t>119</w:t>
      </w:r>
      <w:proofErr w:type="gramEnd"/>
      <w:r>
        <w:rPr>
          <w:rFonts w:cs="Calibri"/>
          <w:color w:val="000000"/>
          <w:sz w:val="20"/>
          <w:szCs w:val="20"/>
        </w:rPr>
        <w:t>(10): 1454-1459.</w:t>
      </w:r>
    </w:p>
    <w:p w:rsidR="00F14AFE" w:rsidRPr="00F14AFE" w:rsidRDefault="002B5AB9" w:rsidP="00F14AFE">
      <w:pPr>
        <w:spacing w:before="240" w:after="0" w:line="240" w:lineRule="auto"/>
        <w:rPr>
          <w:rFonts w:cs="Calibri"/>
          <w:color w:val="000000"/>
          <w:sz w:val="20"/>
          <w:szCs w:val="20"/>
        </w:rPr>
      </w:pPr>
      <w:r w:rsidRPr="005D6CB1">
        <w:rPr>
          <w:rFonts w:cs="Calibri"/>
          <w:color w:val="000000"/>
          <w:sz w:val="20"/>
          <w:szCs w:val="20"/>
        </w:rPr>
        <w:t>Silverstone</w:t>
      </w:r>
      <w:r w:rsidR="0053541E">
        <w:rPr>
          <w:rFonts w:cs="Calibri"/>
          <w:color w:val="000000"/>
          <w:sz w:val="20"/>
          <w:szCs w:val="20"/>
        </w:rPr>
        <w:t>,</w:t>
      </w:r>
      <w:r w:rsidRPr="005D6CB1">
        <w:rPr>
          <w:rFonts w:cs="Calibri"/>
          <w:color w:val="000000"/>
          <w:sz w:val="20"/>
          <w:szCs w:val="20"/>
        </w:rPr>
        <w:t xml:space="preserve"> A</w:t>
      </w:r>
      <w:r w:rsidR="0053541E">
        <w:rPr>
          <w:rFonts w:cs="Calibri"/>
          <w:color w:val="000000"/>
          <w:sz w:val="20"/>
          <w:szCs w:val="20"/>
        </w:rPr>
        <w:t>.</w:t>
      </w:r>
      <w:r w:rsidRPr="005D6CB1">
        <w:rPr>
          <w:rFonts w:cs="Calibri"/>
          <w:color w:val="000000"/>
          <w:sz w:val="20"/>
          <w:szCs w:val="20"/>
        </w:rPr>
        <w:t>E</w:t>
      </w:r>
      <w:r w:rsidR="0053541E">
        <w:rPr>
          <w:rFonts w:cs="Calibri"/>
          <w:color w:val="000000"/>
          <w:sz w:val="20"/>
          <w:szCs w:val="20"/>
        </w:rPr>
        <w:t>.</w:t>
      </w:r>
      <w:r w:rsidRPr="005D6CB1">
        <w:rPr>
          <w:rFonts w:cs="Calibri"/>
          <w:color w:val="000000"/>
          <w:sz w:val="20"/>
          <w:szCs w:val="20"/>
        </w:rPr>
        <w:t>, Rosenbaum</w:t>
      </w:r>
      <w:r w:rsidR="0053541E">
        <w:rPr>
          <w:rFonts w:cs="Calibri"/>
          <w:color w:val="000000"/>
          <w:sz w:val="20"/>
          <w:szCs w:val="20"/>
        </w:rPr>
        <w:t>,</w:t>
      </w:r>
      <w:r w:rsidRPr="005D6CB1">
        <w:rPr>
          <w:rFonts w:cs="Calibri"/>
          <w:color w:val="000000"/>
          <w:sz w:val="20"/>
          <w:szCs w:val="20"/>
        </w:rPr>
        <w:t xml:space="preserve"> P</w:t>
      </w:r>
      <w:r w:rsidR="0053541E">
        <w:rPr>
          <w:rFonts w:cs="Calibri"/>
          <w:color w:val="000000"/>
          <w:sz w:val="20"/>
          <w:szCs w:val="20"/>
        </w:rPr>
        <w:t>.</w:t>
      </w:r>
      <w:r w:rsidRPr="005D6CB1">
        <w:rPr>
          <w:rFonts w:cs="Calibri"/>
          <w:color w:val="000000"/>
          <w:sz w:val="20"/>
          <w:szCs w:val="20"/>
        </w:rPr>
        <w:t>F</w:t>
      </w:r>
      <w:r w:rsidR="0053541E">
        <w:rPr>
          <w:rFonts w:cs="Calibri"/>
          <w:color w:val="000000"/>
          <w:sz w:val="20"/>
          <w:szCs w:val="20"/>
        </w:rPr>
        <w:t>.</w:t>
      </w:r>
      <w:r w:rsidRPr="005D6CB1">
        <w:rPr>
          <w:rFonts w:cs="Calibri"/>
          <w:color w:val="000000"/>
          <w:sz w:val="20"/>
          <w:szCs w:val="20"/>
        </w:rPr>
        <w:t>, Weinstock</w:t>
      </w:r>
      <w:r w:rsidR="0053541E">
        <w:rPr>
          <w:rFonts w:cs="Calibri"/>
          <w:color w:val="000000"/>
          <w:sz w:val="20"/>
          <w:szCs w:val="20"/>
        </w:rPr>
        <w:t>,</w:t>
      </w:r>
      <w:r w:rsidRPr="005D6CB1">
        <w:rPr>
          <w:rFonts w:cs="Calibri"/>
          <w:color w:val="000000"/>
          <w:sz w:val="20"/>
          <w:szCs w:val="20"/>
        </w:rPr>
        <w:t xml:space="preserve"> R</w:t>
      </w:r>
      <w:r w:rsidR="0053541E">
        <w:rPr>
          <w:rFonts w:cs="Calibri"/>
          <w:color w:val="000000"/>
          <w:sz w:val="20"/>
          <w:szCs w:val="20"/>
        </w:rPr>
        <w:t>.</w:t>
      </w:r>
      <w:r w:rsidRPr="005D6CB1">
        <w:rPr>
          <w:rFonts w:cs="Calibri"/>
          <w:color w:val="000000"/>
          <w:sz w:val="20"/>
          <w:szCs w:val="20"/>
        </w:rPr>
        <w:t>S</w:t>
      </w:r>
      <w:r w:rsidR="0053541E">
        <w:rPr>
          <w:rFonts w:cs="Calibri"/>
          <w:color w:val="000000"/>
          <w:sz w:val="20"/>
          <w:szCs w:val="20"/>
        </w:rPr>
        <w:t>.</w:t>
      </w:r>
      <w:r w:rsidRPr="005D6CB1">
        <w:rPr>
          <w:rFonts w:cs="Calibri"/>
          <w:color w:val="000000"/>
          <w:sz w:val="20"/>
          <w:szCs w:val="20"/>
        </w:rPr>
        <w:t>, Bartell</w:t>
      </w:r>
      <w:r w:rsidR="0053541E">
        <w:rPr>
          <w:rFonts w:cs="Calibri"/>
          <w:color w:val="000000"/>
          <w:sz w:val="20"/>
          <w:szCs w:val="20"/>
        </w:rPr>
        <w:t>,</w:t>
      </w:r>
      <w:r w:rsidRPr="005D6CB1">
        <w:rPr>
          <w:rFonts w:cs="Calibri"/>
          <w:color w:val="000000"/>
          <w:sz w:val="20"/>
          <w:szCs w:val="20"/>
        </w:rPr>
        <w:t xml:space="preserve"> S</w:t>
      </w:r>
      <w:r w:rsidR="0053541E">
        <w:rPr>
          <w:rFonts w:cs="Calibri"/>
          <w:color w:val="000000"/>
          <w:sz w:val="20"/>
          <w:szCs w:val="20"/>
        </w:rPr>
        <w:t>.</w:t>
      </w:r>
      <w:r w:rsidRPr="005D6CB1">
        <w:rPr>
          <w:rFonts w:cs="Calibri"/>
          <w:color w:val="000000"/>
          <w:sz w:val="20"/>
          <w:szCs w:val="20"/>
        </w:rPr>
        <w:t>M</w:t>
      </w:r>
      <w:r w:rsidR="0053541E">
        <w:rPr>
          <w:rFonts w:cs="Calibri"/>
          <w:color w:val="000000"/>
          <w:sz w:val="20"/>
          <w:szCs w:val="20"/>
        </w:rPr>
        <w:t>.</w:t>
      </w:r>
      <w:r w:rsidRPr="005D6CB1">
        <w:rPr>
          <w:rFonts w:cs="Calibri"/>
          <w:color w:val="000000"/>
          <w:sz w:val="20"/>
          <w:szCs w:val="20"/>
        </w:rPr>
        <w:t xml:space="preserve">, </w:t>
      </w:r>
      <w:proofErr w:type="spellStart"/>
      <w:r w:rsidRPr="005D6CB1">
        <w:rPr>
          <w:rFonts w:cs="Calibri"/>
          <w:color w:val="000000"/>
          <w:sz w:val="20"/>
          <w:szCs w:val="20"/>
        </w:rPr>
        <w:t>Foushee</w:t>
      </w:r>
      <w:proofErr w:type="spellEnd"/>
      <w:r w:rsidR="0053541E">
        <w:rPr>
          <w:rFonts w:cs="Calibri"/>
          <w:color w:val="000000"/>
          <w:sz w:val="20"/>
          <w:szCs w:val="20"/>
        </w:rPr>
        <w:t>,</w:t>
      </w:r>
      <w:r w:rsidRPr="005D6CB1">
        <w:rPr>
          <w:rFonts w:cs="Calibri"/>
          <w:color w:val="000000"/>
          <w:sz w:val="20"/>
          <w:szCs w:val="20"/>
        </w:rPr>
        <w:t xml:space="preserve"> H</w:t>
      </w:r>
      <w:r w:rsidR="0053541E">
        <w:rPr>
          <w:rFonts w:cs="Calibri"/>
          <w:color w:val="000000"/>
          <w:sz w:val="20"/>
          <w:szCs w:val="20"/>
        </w:rPr>
        <w:t>.</w:t>
      </w:r>
      <w:r w:rsidRPr="005D6CB1">
        <w:rPr>
          <w:rFonts w:cs="Calibri"/>
          <w:color w:val="000000"/>
          <w:sz w:val="20"/>
          <w:szCs w:val="20"/>
        </w:rPr>
        <w:t>R</w:t>
      </w:r>
      <w:r w:rsidR="0053541E">
        <w:rPr>
          <w:rFonts w:cs="Calibri"/>
          <w:color w:val="000000"/>
          <w:sz w:val="20"/>
          <w:szCs w:val="20"/>
        </w:rPr>
        <w:t>.</w:t>
      </w:r>
      <w:r w:rsidRPr="005D6CB1">
        <w:rPr>
          <w:rFonts w:cs="Calibri"/>
          <w:color w:val="000000"/>
          <w:sz w:val="20"/>
          <w:szCs w:val="20"/>
        </w:rPr>
        <w:t>, Shelton</w:t>
      </w:r>
      <w:r w:rsidR="0053541E">
        <w:rPr>
          <w:rFonts w:cs="Calibri"/>
          <w:color w:val="000000"/>
          <w:sz w:val="20"/>
          <w:szCs w:val="20"/>
        </w:rPr>
        <w:t>,</w:t>
      </w:r>
      <w:r w:rsidRPr="005D6CB1">
        <w:rPr>
          <w:rFonts w:cs="Calibri"/>
          <w:color w:val="000000"/>
          <w:sz w:val="20"/>
          <w:szCs w:val="20"/>
        </w:rPr>
        <w:t xml:space="preserve"> C</w:t>
      </w:r>
      <w:r w:rsidR="0053541E">
        <w:rPr>
          <w:rFonts w:cs="Calibri"/>
          <w:color w:val="000000"/>
          <w:sz w:val="20"/>
          <w:szCs w:val="20"/>
        </w:rPr>
        <w:t>.</w:t>
      </w:r>
      <w:r w:rsidRPr="005D6CB1">
        <w:rPr>
          <w:rFonts w:cs="Calibri"/>
          <w:color w:val="000000"/>
          <w:sz w:val="20"/>
          <w:szCs w:val="20"/>
        </w:rPr>
        <w:t>, Pavuk</w:t>
      </w:r>
      <w:r w:rsidR="0053541E">
        <w:rPr>
          <w:rFonts w:cs="Calibri"/>
          <w:color w:val="000000"/>
          <w:sz w:val="20"/>
          <w:szCs w:val="20"/>
        </w:rPr>
        <w:t>,</w:t>
      </w:r>
      <w:r w:rsidRPr="005D6CB1">
        <w:rPr>
          <w:rFonts w:cs="Calibri"/>
          <w:color w:val="000000"/>
          <w:sz w:val="20"/>
          <w:szCs w:val="20"/>
        </w:rPr>
        <w:t xml:space="preserve"> M</w:t>
      </w:r>
      <w:r w:rsidR="0053541E">
        <w:rPr>
          <w:rFonts w:cs="Calibri"/>
          <w:color w:val="000000"/>
          <w:sz w:val="20"/>
          <w:szCs w:val="20"/>
        </w:rPr>
        <w:t>, 2012</w:t>
      </w:r>
      <w:r w:rsidRPr="005D6CB1">
        <w:rPr>
          <w:rFonts w:cs="Calibri"/>
          <w:color w:val="000000"/>
          <w:sz w:val="20"/>
          <w:szCs w:val="20"/>
        </w:rPr>
        <w:t xml:space="preserve">. </w:t>
      </w:r>
      <w:proofErr w:type="gramStart"/>
      <w:r w:rsidRPr="005D6CB1">
        <w:rPr>
          <w:rFonts w:cs="Calibri"/>
          <w:color w:val="000000"/>
          <w:sz w:val="20"/>
          <w:szCs w:val="20"/>
        </w:rPr>
        <w:t>Polychlorinated biphenyl (PCB) exposure and diabetes: results from the Anniston Community Health Survey.</w:t>
      </w:r>
      <w:proofErr w:type="gramEnd"/>
      <w:r w:rsidRPr="005D6CB1">
        <w:rPr>
          <w:rFonts w:cs="Calibri"/>
          <w:color w:val="000000"/>
          <w:sz w:val="20"/>
          <w:szCs w:val="20"/>
        </w:rPr>
        <w:t xml:space="preserve"> </w:t>
      </w:r>
      <w:r w:rsidRPr="00F14AFE">
        <w:rPr>
          <w:rFonts w:cs="Calibri"/>
          <w:color w:val="000000"/>
          <w:sz w:val="20"/>
          <w:szCs w:val="20"/>
        </w:rPr>
        <w:t>Environ</w:t>
      </w:r>
      <w:r w:rsidR="0053541E" w:rsidRPr="00F14AFE">
        <w:rPr>
          <w:rFonts w:cs="Calibri"/>
          <w:color w:val="000000"/>
          <w:sz w:val="20"/>
          <w:szCs w:val="20"/>
        </w:rPr>
        <w:t>.</w:t>
      </w:r>
      <w:r w:rsidRPr="00F14AFE">
        <w:rPr>
          <w:rFonts w:cs="Calibri"/>
          <w:color w:val="000000"/>
          <w:sz w:val="20"/>
          <w:szCs w:val="20"/>
        </w:rPr>
        <w:t xml:space="preserve"> </w:t>
      </w:r>
      <w:proofErr w:type="gramStart"/>
      <w:r w:rsidRPr="00F14AFE">
        <w:rPr>
          <w:rFonts w:cs="Calibri"/>
          <w:color w:val="000000"/>
          <w:sz w:val="20"/>
          <w:szCs w:val="20"/>
        </w:rPr>
        <w:t xml:space="preserve">Health </w:t>
      </w:r>
      <w:proofErr w:type="spellStart"/>
      <w:r w:rsidRPr="00F14AFE">
        <w:rPr>
          <w:rFonts w:cs="Calibri"/>
          <w:color w:val="000000"/>
          <w:sz w:val="20"/>
          <w:szCs w:val="20"/>
        </w:rPr>
        <w:t>Perspect</w:t>
      </w:r>
      <w:proofErr w:type="spellEnd"/>
      <w:r w:rsidRPr="00F14AFE">
        <w:rPr>
          <w:rFonts w:cs="Calibri"/>
          <w:color w:val="000000"/>
          <w:sz w:val="20"/>
          <w:szCs w:val="20"/>
        </w:rPr>
        <w:t>.</w:t>
      </w:r>
      <w:proofErr w:type="gramEnd"/>
      <w:r w:rsidRPr="00F14AFE">
        <w:rPr>
          <w:rFonts w:cs="Calibri"/>
          <w:color w:val="000000"/>
          <w:sz w:val="20"/>
          <w:szCs w:val="20"/>
        </w:rPr>
        <w:t xml:space="preserve"> </w:t>
      </w:r>
      <w:r w:rsidR="0053541E" w:rsidRPr="00F14AFE">
        <w:rPr>
          <w:rFonts w:cs="Calibri"/>
          <w:color w:val="000000"/>
          <w:sz w:val="20"/>
          <w:szCs w:val="20"/>
        </w:rPr>
        <w:t xml:space="preserve">120(5), </w:t>
      </w:r>
      <w:r w:rsidRPr="00F14AFE">
        <w:rPr>
          <w:rFonts w:cs="Calibri"/>
          <w:color w:val="000000"/>
          <w:sz w:val="20"/>
          <w:szCs w:val="20"/>
        </w:rPr>
        <w:t>727-</w:t>
      </w:r>
      <w:r w:rsidR="0053541E" w:rsidRPr="00F14AFE">
        <w:rPr>
          <w:rFonts w:cs="Calibri"/>
          <w:color w:val="000000"/>
          <w:sz w:val="20"/>
          <w:szCs w:val="20"/>
        </w:rPr>
        <w:t>7</w:t>
      </w:r>
      <w:r w:rsidRPr="00F14AFE">
        <w:rPr>
          <w:rFonts w:cs="Calibri"/>
          <w:color w:val="000000"/>
          <w:sz w:val="20"/>
          <w:szCs w:val="20"/>
        </w:rPr>
        <w:t>32.</w:t>
      </w:r>
    </w:p>
    <w:p w:rsidR="00F14AFE" w:rsidRPr="00F14AFE" w:rsidRDefault="00F14AFE" w:rsidP="00F14AFE">
      <w:pPr>
        <w:spacing w:before="240" w:after="0" w:line="240" w:lineRule="auto"/>
        <w:rPr>
          <w:rFonts w:cs="Calibri"/>
          <w:color w:val="000000"/>
          <w:sz w:val="20"/>
          <w:szCs w:val="20"/>
        </w:rPr>
      </w:pPr>
      <w:proofErr w:type="spellStart"/>
      <w:proofErr w:type="gramStart"/>
      <w:r w:rsidRPr="00F14AFE">
        <w:rPr>
          <w:rFonts w:asciiTheme="minorHAnsi" w:hAnsiTheme="minorHAnsi" w:cstheme="minorHAnsi"/>
          <w:sz w:val="20"/>
          <w:szCs w:val="20"/>
        </w:rPr>
        <w:t>Turyk</w:t>
      </w:r>
      <w:proofErr w:type="spellEnd"/>
      <w:r w:rsidRPr="00F14AFE">
        <w:rPr>
          <w:rFonts w:asciiTheme="minorHAnsi" w:hAnsiTheme="minorHAnsi" w:cstheme="minorHAnsi"/>
          <w:sz w:val="20"/>
          <w:szCs w:val="20"/>
        </w:rPr>
        <w:t xml:space="preserve">, M.E., </w:t>
      </w:r>
      <w:proofErr w:type="spellStart"/>
      <w:r w:rsidRPr="00F14AFE">
        <w:rPr>
          <w:rFonts w:asciiTheme="minorHAnsi" w:hAnsiTheme="minorHAnsi" w:cstheme="minorHAnsi"/>
          <w:sz w:val="20"/>
          <w:szCs w:val="20"/>
        </w:rPr>
        <w:t>Persky</w:t>
      </w:r>
      <w:proofErr w:type="spellEnd"/>
      <w:r w:rsidRPr="00F14AFE">
        <w:rPr>
          <w:rFonts w:asciiTheme="minorHAnsi" w:hAnsiTheme="minorHAnsi" w:cstheme="minorHAnsi"/>
          <w:sz w:val="20"/>
          <w:szCs w:val="20"/>
        </w:rPr>
        <w:t xml:space="preserve">, V.W., </w:t>
      </w:r>
      <w:proofErr w:type="spellStart"/>
      <w:r w:rsidRPr="00F14AFE">
        <w:rPr>
          <w:rFonts w:asciiTheme="minorHAnsi" w:hAnsiTheme="minorHAnsi" w:cstheme="minorHAnsi"/>
          <w:sz w:val="20"/>
          <w:szCs w:val="20"/>
        </w:rPr>
        <w:t>Imm</w:t>
      </w:r>
      <w:proofErr w:type="spellEnd"/>
      <w:r w:rsidRPr="00F14AFE">
        <w:rPr>
          <w:rFonts w:asciiTheme="minorHAnsi" w:hAnsiTheme="minorHAnsi" w:cstheme="minorHAnsi"/>
          <w:sz w:val="20"/>
          <w:szCs w:val="20"/>
        </w:rPr>
        <w:t xml:space="preserve">, P., </w:t>
      </w:r>
      <w:proofErr w:type="spellStart"/>
      <w:r w:rsidRPr="00F14AFE">
        <w:rPr>
          <w:rFonts w:asciiTheme="minorHAnsi" w:hAnsiTheme="minorHAnsi" w:cstheme="minorHAnsi"/>
          <w:sz w:val="20"/>
          <w:szCs w:val="20"/>
        </w:rPr>
        <w:t>Knobeloch</w:t>
      </w:r>
      <w:proofErr w:type="spellEnd"/>
      <w:r w:rsidRPr="00F14AFE">
        <w:rPr>
          <w:rFonts w:asciiTheme="minorHAnsi" w:hAnsiTheme="minorHAnsi" w:cstheme="minorHAnsi"/>
          <w:sz w:val="20"/>
          <w:szCs w:val="20"/>
        </w:rPr>
        <w:t>, L., Chatterton, R., Anderson, H.A. 2008.</w:t>
      </w:r>
      <w:proofErr w:type="gramEnd"/>
      <w:r w:rsidRPr="00F14AFE">
        <w:rPr>
          <w:rFonts w:asciiTheme="minorHAnsi" w:hAnsiTheme="minorHAnsi" w:cstheme="minorHAnsi"/>
          <w:sz w:val="20"/>
          <w:szCs w:val="20"/>
        </w:rPr>
        <w:t xml:space="preserve"> </w:t>
      </w:r>
      <w:proofErr w:type="gramStart"/>
      <w:r w:rsidRPr="00F14AFE">
        <w:rPr>
          <w:rFonts w:asciiTheme="minorHAnsi" w:hAnsiTheme="minorHAnsi" w:cstheme="minorHAnsi"/>
          <w:sz w:val="20"/>
          <w:szCs w:val="20"/>
        </w:rPr>
        <w:t>Hormone disruption by PBDEs in adult male sport fish consumers.</w:t>
      </w:r>
      <w:proofErr w:type="gramEnd"/>
      <w:r w:rsidRPr="00F14AFE">
        <w:rPr>
          <w:rFonts w:asciiTheme="minorHAnsi" w:hAnsiTheme="minorHAnsi" w:cstheme="minorHAnsi"/>
          <w:sz w:val="20"/>
          <w:szCs w:val="20"/>
        </w:rPr>
        <w:t xml:space="preserve"> Environ. </w:t>
      </w:r>
      <w:proofErr w:type="gramStart"/>
      <w:r w:rsidRPr="00F14AFE">
        <w:rPr>
          <w:rFonts w:asciiTheme="minorHAnsi" w:hAnsiTheme="minorHAnsi" w:cstheme="minorHAnsi"/>
          <w:sz w:val="20"/>
          <w:szCs w:val="20"/>
        </w:rPr>
        <w:t xml:space="preserve">Health </w:t>
      </w:r>
      <w:proofErr w:type="spellStart"/>
      <w:r w:rsidRPr="00F14AFE">
        <w:rPr>
          <w:rFonts w:asciiTheme="minorHAnsi" w:hAnsiTheme="minorHAnsi" w:cstheme="minorHAnsi"/>
          <w:sz w:val="20"/>
          <w:szCs w:val="20"/>
        </w:rPr>
        <w:t>Perspect</w:t>
      </w:r>
      <w:proofErr w:type="spellEnd"/>
      <w:r w:rsidRPr="00F14AFE">
        <w:rPr>
          <w:rFonts w:asciiTheme="minorHAnsi" w:hAnsiTheme="minorHAnsi" w:cstheme="minorHAnsi"/>
          <w:sz w:val="20"/>
          <w:szCs w:val="20"/>
        </w:rPr>
        <w:t>.</w:t>
      </w:r>
      <w:proofErr w:type="gramEnd"/>
      <w:r w:rsidRPr="00F14AFE">
        <w:rPr>
          <w:rFonts w:asciiTheme="minorHAnsi" w:hAnsiTheme="minorHAnsi" w:cstheme="minorHAnsi"/>
          <w:sz w:val="20"/>
          <w:szCs w:val="20"/>
        </w:rPr>
        <w:t xml:space="preserve"> </w:t>
      </w:r>
      <w:proofErr w:type="gramStart"/>
      <w:r w:rsidRPr="00F14AFE">
        <w:rPr>
          <w:rFonts w:asciiTheme="minorHAnsi" w:hAnsiTheme="minorHAnsi" w:cstheme="minorHAnsi"/>
          <w:sz w:val="20"/>
          <w:szCs w:val="20"/>
        </w:rPr>
        <w:t>116</w:t>
      </w:r>
      <w:proofErr w:type="gramEnd"/>
      <w:r w:rsidRPr="00F14AFE">
        <w:rPr>
          <w:rFonts w:asciiTheme="minorHAnsi" w:hAnsiTheme="minorHAnsi" w:cstheme="minorHAnsi"/>
          <w:sz w:val="20"/>
          <w:szCs w:val="20"/>
        </w:rPr>
        <w:t>(12): 1635-1641.</w:t>
      </w:r>
    </w:p>
    <w:p w:rsidR="002B5AB9" w:rsidRDefault="0053541E" w:rsidP="002B5AB9">
      <w:pPr>
        <w:spacing w:before="240" w:after="0" w:line="240" w:lineRule="auto"/>
        <w:rPr>
          <w:rFonts w:eastAsia="Times New Roman" w:cs="Calibri"/>
          <w:bCs/>
          <w:color w:val="000000"/>
          <w:sz w:val="20"/>
          <w:szCs w:val="20"/>
        </w:rPr>
      </w:pPr>
      <w:proofErr w:type="gramStart"/>
      <w:r w:rsidRPr="00F14AFE">
        <w:rPr>
          <w:rFonts w:cs="Calibri"/>
          <w:sz w:val="20"/>
          <w:szCs w:val="20"/>
        </w:rPr>
        <w:t>UCSB (</w:t>
      </w:r>
      <w:r w:rsidR="002B5AB9" w:rsidRPr="00F14AFE">
        <w:rPr>
          <w:rFonts w:cs="Calibri"/>
          <w:sz w:val="20"/>
          <w:szCs w:val="20"/>
        </w:rPr>
        <w:t>Un</w:t>
      </w:r>
      <w:r w:rsidRPr="00F14AFE">
        <w:rPr>
          <w:rFonts w:cs="Calibri"/>
          <w:sz w:val="20"/>
          <w:szCs w:val="20"/>
        </w:rPr>
        <w:t>ited States Census</w:t>
      </w:r>
      <w:r>
        <w:rPr>
          <w:rFonts w:cs="Calibri"/>
          <w:sz w:val="20"/>
          <w:szCs w:val="20"/>
        </w:rPr>
        <w:t xml:space="preserve"> Bureau), </w:t>
      </w:r>
      <w:r w:rsidR="002B5AB9" w:rsidRPr="000B484A">
        <w:rPr>
          <w:rFonts w:cs="Calibri"/>
          <w:sz w:val="20"/>
          <w:szCs w:val="20"/>
        </w:rPr>
        <w:t>2011.</w:t>
      </w:r>
      <w:proofErr w:type="gramEnd"/>
      <w:r w:rsidR="002B5AB9" w:rsidRPr="000B484A">
        <w:rPr>
          <w:rFonts w:cs="Calibri"/>
          <w:i/>
          <w:sz w:val="20"/>
          <w:szCs w:val="20"/>
        </w:rPr>
        <w:t xml:space="preserve"> </w:t>
      </w:r>
      <w:proofErr w:type="gramStart"/>
      <w:r w:rsidR="002B5AB9" w:rsidRPr="0053541E">
        <w:rPr>
          <w:rFonts w:cs="Calibri"/>
          <w:sz w:val="20"/>
          <w:szCs w:val="20"/>
        </w:rPr>
        <w:t xml:space="preserve">State and County </w:t>
      </w:r>
      <w:proofErr w:type="spellStart"/>
      <w:r w:rsidR="002B5AB9" w:rsidRPr="0053541E">
        <w:rPr>
          <w:rFonts w:cs="Calibri"/>
          <w:sz w:val="20"/>
          <w:szCs w:val="20"/>
        </w:rPr>
        <w:t>QuickFacts</w:t>
      </w:r>
      <w:proofErr w:type="spellEnd"/>
      <w:r w:rsidR="002B5AB9" w:rsidRPr="0053541E">
        <w:rPr>
          <w:rFonts w:cs="Calibri"/>
          <w:sz w:val="20"/>
          <w:szCs w:val="20"/>
        </w:rPr>
        <w:t>: Anniston (city), Alabama</w:t>
      </w:r>
      <w:r>
        <w:rPr>
          <w:rFonts w:cs="Calibri"/>
          <w:sz w:val="20"/>
          <w:szCs w:val="20"/>
        </w:rPr>
        <w:t>.</w:t>
      </w:r>
      <w:proofErr w:type="gramEnd"/>
      <w:r w:rsidR="002B5AB9" w:rsidRPr="0053541E">
        <w:rPr>
          <w:rFonts w:eastAsia="Times New Roman" w:cs="Calibri"/>
          <w:bCs/>
          <w:color w:val="000000"/>
          <w:sz w:val="20"/>
          <w:szCs w:val="20"/>
        </w:rPr>
        <w:t xml:space="preserve"> </w:t>
      </w:r>
      <w:proofErr w:type="gramStart"/>
      <w:r w:rsidR="002B5AB9" w:rsidRPr="0053541E">
        <w:rPr>
          <w:rFonts w:eastAsia="Times New Roman" w:cs="Calibri"/>
          <w:bCs/>
          <w:color w:val="000000"/>
          <w:sz w:val="20"/>
          <w:szCs w:val="20"/>
        </w:rPr>
        <w:t xml:space="preserve">Available: </w:t>
      </w:r>
      <w:hyperlink r:id="rId30" w:history="1">
        <w:r w:rsidR="002B5AB9" w:rsidRPr="0053541E">
          <w:rPr>
            <w:rStyle w:val="Hyperlink"/>
            <w:rFonts w:eastAsia="Times New Roman" w:cs="Calibri"/>
            <w:bCs/>
            <w:sz w:val="20"/>
            <w:szCs w:val="20"/>
          </w:rPr>
          <w:t>http://quickfacts.census.gov/qfd/states/01/0101852.html</w:t>
        </w:r>
      </w:hyperlink>
      <w:r w:rsidR="002B5AB9" w:rsidRPr="000B484A">
        <w:rPr>
          <w:rFonts w:eastAsia="Times New Roman" w:cs="Calibri"/>
          <w:bCs/>
          <w:color w:val="000000"/>
          <w:sz w:val="20"/>
          <w:szCs w:val="20"/>
        </w:rPr>
        <w:t>.</w:t>
      </w:r>
      <w:proofErr w:type="gramEnd"/>
    </w:p>
    <w:p w:rsidR="004A65C0" w:rsidRDefault="004A65C0" w:rsidP="004A65C0">
      <w:pPr>
        <w:spacing w:before="240" w:after="0" w:line="240" w:lineRule="auto"/>
        <w:rPr>
          <w:rFonts w:eastAsia="Times New Roman" w:cs="Calibri"/>
          <w:bCs/>
          <w:color w:val="000000"/>
          <w:sz w:val="20"/>
          <w:szCs w:val="20"/>
        </w:rPr>
      </w:pPr>
      <w:proofErr w:type="spellStart"/>
      <w:r w:rsidRPr="004A65C0">
        <w:rPr>
          <w:rFonts w:eastAsia="Times New Roman" w:cs="Calibri"/>
          <w:bCs/>
          <w:color w:val="000000"/>
          <w:sz w:val="20"/>
          <w:szCs w:val="20"/>
        </w:rPr>
        <w:t>Vasiliu</w:t>
      </w:r>
      <w:proofErr w:type="spellEnd"/>
      <w:r w:rsidRPr="004A65C0">
        <w:rPr>
          <w:rFonts w:eastAsia="Times New Roman" w:cs="Calibri"/>
          <w:bCs/>
          <w:color w:val="000000"/>
          <w:sz w:val="20"/>
          <w:szCs w:val="20"/>
        </w:rPr>
        <w:t xml:space="preserve"> O, Cameron L, Ga</w:t>
      </w:r>
      <w:r>
        <w:rPr>
          <w:rFonts w:eastAsia="Times New Roman" w:cs="Calibri"/>
          <w:bCs/>
          <w:color w:val="000000"/>
          <w:sz w:val="20"/>
          <w:szCs w:val="20"/>
        </w:rPr>
        <w:t xml:space="preserve">rdiner J, </w:t>
      </w:r>
      <w:proofErr w:type="spellStart"/>
      <w:r>
        <w:rPr>
          <w:rFonts w:eastAsia="Times New Roman" w:cs="Calibri"/>
          <w:bCs/>
          <w:color w:val="000000"/>
          <w:sz w:val="20"/>
          <w:szCs w:val="20"/>
        </w:rPr>
        <w:t>Deguire</w:t>
      </w:r>
      <w:proofErr w:type="spellEnd"/>
      <w:r>
        <w:rPr>
          <w:rFonts w:eastAsia="Times New Roman" w:cs="Calibri"/>
          <w:bCs/>
          <w:color w:val="000000"/>
          <w:sz w:val="20"/>
          <w:szCs w:val="20"/>
        </w:rPr>
        <w:t xml:space="preserve"> P, </w:t>
      </w:r>
      <w:proofErr w:type="spellStart"/>
      <w:r>
        <w:rPr>
          <w:rFonts w:eastAsia="Times New Roman" w:cs="Calibri"/>
          <w:bCs/>
          <w:color w:val="000000"/>
          <w:sz w:val="20"/>
          <w:szCs w:val="20"/>
        </w:rPr>
        <w:t>Karmaus</w:t>
      </w:r>
      <w:proofErr w:type="spellEnd"/>
      <w:r>
        <w:rPr>
          <w:rFonts w:eastAsia="Times New Roman" w:cs="Calibri"/>
          <w:bCs/>
          <w:color w:val="000000"/>
          <w:sz w:val="20"/>
          <w:szCs w:val="20"/>
        </w:rPr>
        <w:t xml:space="preserve"> W. 2006. </w:t>
      </w:r>
      <w:proofErr w:type="spellStart"/>
      <w:proofErr w:type="gramStart"/>
      <w:r w:rsidRPr="004A65C0">
        <w:rPr>
          <w:rFonts w:eastAsia="Times New Roman" w:cs="Calibri"/>
          <w:bCs/>
          <w:color w:val="000000"/>
          <w:sz w:val="20"/>
          <w:szCs w:val="20"/>
        </w:rPr>
        <w:t>Polybrominated</w:t>
      </w:r>
      <w:proofErr w:type="spellEnd"/>
      <w:r w:rsidRPr="004A65C0">
        <w:rPr>
          <w:rFonts w:eastAsia="Times New Roman" w:cs="Calibri"/>
          <w:bCs/>
          <w:color w:val="000000"/>
          <w:sz w:val="20"/>
          <w:szCs w:val="20"/>
        </w:rPr>
        <w:t xml:space="preserve"> biphenyls, polychlorinated biphenyls, body weight, and incidence of</w:t>
      </w:r>
      <w:r>
        <w:rPr>
          <w:rFonts w:eastAsia="Times New Roman" w:cs="Calibri"/>
          <w:bCs/>
          <w:color w:val="000000"/>
          <w:sz w:val="20"/>
          <w:szCs w:val="20"/>
        </w:rPr>
        <w:t xml:space="preserve"> adult-onset diabetes mellitus.</w:t>
      </w:r>
      <w:proofErr w:type="gramEnd"/>
      <w:r>
        <w:rPr>
          <w:rFonts w:eastAsia="Times New Roman" w:cs="Calibri"/>
          <w:bCs/>
          <w:color w:val="000000"/>
          <w:sz w:val="20"/>
          <w:szCs w:val="20"/>
        </w:rPr>
        <w:t xml:space="preserve"> </w:t>
      </w:r>
      <w:proofErr w:type="gramStart"/>
      <w:r>
        <w:rPr>
          <w:rFonts w:eastAsia="Times New Roman" w:cs="Calibri"/>
          <w:bCs/>
          <w:color w:val="000000"/>
          <w:sz w:val="20"/>
          <w:szCs w:val="20"/>
        </w:rPr>
        <w:t>Epidemiology.</w:t>
      </w:r>
      <w:proofErr w:type="gramEnd"/>
      <w:r>
        <w:rPr>
          <w:rFonts w:eastAsia="Times New Roman" w:cs="Calibri"/>
          <w:bCs/>
          <w:color w:val="000000"/>
          <w:sz w:val="20"/>
          <w:szCs w:val="20"/>
        </w:rPr>
        <w:t xml:space="preserve"> </w:t>
      </w:r>
      <w:r w:rsidRPr="004A65C0">
        <w:rPr>
          <w:rFonts w:eastAsia="Times New Roman" w:cs="Calibri"/>
          <w:bCs/>
          <w:color w:val="000000"/>
          <w:sz w:val="20"/>
          <w:szCs w:val="20"/>
        </w:rPr>
        <w:t>17(4):352-</w:t>
      </w:r>
      <w:r>
        <w:rPr>
          <w:rFonts w:eastAsia="Times New Roman" w:cs="Calibri"/>
          <w:bCs/>
          <w:color w:val="000000"/>
          <w:sz w:val="20"/>
          <w:szCs w:val="20"/>
        </w:rPr>
        <w:t>35</w:t>
      </w:r>
      <w:r w:rsidRPr="004A65C0">
        <w:rPr>
          <w:rFonts w:eastAsia="Times New Roman" w:cs="Calibri"/>
          <w:bCs/>
          <w:color w:val="000000"/>
          <w:sz w:val="20"/>
          <w:szCs w:val="20"/>
        </w:rPr>
        <w:t>9.</w:t>
      </w:r>
    </w:p>
    <w:p w:rsidR="004A65C0" w:rsidRPr="000B484A" w:rsidRDefault="004A65C0" w:rsidP="004A65C0">
      <w:pPr>
        <w:spacing w:before="240" w:after="0" w:line="240" w:lineRule="auto"/>
        <w:rPr>
          <w:rFonts w:eastAsia="Times New Roman" w:cs="Calibri"/>
          <w:bCs/>
          <w:color w:val="000000"/>
          <w:sz w:val="20"/>
          <w:szCs w:val="20"/>
        </w:rPr>
      </w:pPr>
      <w:r w:rsidRPr="004A65C0">
        <w:rPr>
          <w:rFonts w:eastAsia="Times New Roman" w:cs="Calibri"/>
          <w:bCs/>
          <w:color w:val="000000"/>
          <w:sz w:val="20"/>
          <w:szCs w:val="20"/>
        </w:rPr>
        <w:t>Wu H, Bertrand KA, Choi AL, Hu FB, Laden</w:t>
      </w:r>
      <w:r>
        <w:rPr>
          <w:rFonts w:eastAsia="Times New Roman" w:cs="Calibri"/>
          <w:bCs/>
          <w:color w:val="000000"/>
          <w:sz w:val="20"/>
          <w:szCs w:val="20"/>
        </w:rPr>
        <w:t xml:space="preserve"> F, </w:t>
      </w:r>
      <w:proofErr w:type="spellStart"/>
      <w:r>
        <w:rPr>
          <w:rFonts w:eastAsia="Times New Roman" w:cs="Calibri"/>
          <w:bCs/>
          <w:color w:val="000000"/>
          <w:sz w:val="20"/>
          <w:szCs w:val="20"/>
        </w:rPr>
        <w:t>Grandjean</w:t>
      </w:r>
      <w:proofErr w:type="spellEnd"/>
      <w:r>
        <w:rPr>
          <w:rFonts w:eastAsia="Times New Roman" w:cs="Calibri"/>
          <w:bCs/>
          <w:color w:val="000000"/>
          <w:sz w:val="20"/>
          <w:szCs w:val="20"/>
        </w:rPr>
        <w:t xml:space="preserve"> P, Sun Q. 2013. </w:t>
      </w:r>
      <w:proofErr w:type="gramStart"/>
      <w:r w:rsidRPr="004A65C0">
        <w:rPr>
          <w:rFonts w:eastAsia="Times New Roman" w:cs="Calibri"/>
          <w:bCs/>
          <w:color w:val="000000"/>
          <w:sz w:val="20"/>
          <w:szCs w:val="20"/>
        </w:rPr>
        <w:t xml:space="preserve">Persistent organic pollutants and type 2 diabetes: a prospective analysis in the nurses' </w:t>
      </w:r>
      <w:r>
        <w:rPr>
          <w:rFonts w:eastAsia="Times New Roman" w:cs="Calibri"/>
          <w:bCs/>
          <w:color w:val="000000"/>
          <w:sz w:val="20"/>
          <w:szCs w:val="20"/>
        </w:rPr>
        <w:t>health study and meta-analysis.</w:t>
      </w:r>
      <w:proofErr w:type="gramEnd"/>
      <w:r>
        <w:rPr>
          <w:rFonts w:eastAsia="Times New Roman" w:cs="Calibri"/>
          <w:bCs/>
          <w:color w:val="000000"/>
          <w:sz w:val="20"/>
          <w:szCs w:val="20"/>
        </w:rPr>
        <w:t xml:space="preserve"> </w:t>
      </w:r>
      <w:r w:rsidRPr="004A65C0">
        <w:rPr>
          <w:rFonts w:eastAsia="Times New Roman" w:cs="Calibri"/>
          <w:bCs/>
          <w:color w:val="000000"/>
          <w:sz w:val="20"/>
          <w:szCs w:val="20"/>
        </w:rPr>
        <w:t>En</w:t>
      </w:r>
      <w:r>
        <w:rPr>
          <w:rFonts w:eastAsia="Times New Roman" w:cs="Calibri"/>
          <w:bCs/>
          <w:color w:val="000000"/>
          <w:sz w:val="20"/>
          <w:szCs w:val="20"/>
        </w:rPr>
        <w:t xml:space="preserve">viron Health </w:t>
      </w:r>
      <w:proofErr w:type="spellStart"/>
      <w:r>
        <w:rPr>
          <w:rFonts w:eastAsia="Times New Roman" w:cs="Calibri"/>
          <w:bCs/>
          <w:color w:val="000000"/>
          <w:sz w:val="20"/>
          <w:szCs w:val="20"/>
        </w:rPr>
        <w:t>Perspect</w:t>
      </w:r>
      <w:proofErr w:type="spellEnd"/>
      <w:r>
        <w:rPr>
          <w:rFonts w:eastAsia="Times New Roman" w:cs="Calibri"/>
          <w:bCs/>
          <w:color w:val="000000"/>
          <w:sz w:val="20"/>
          <w:szCs w:val="20"/>
        </w:rPr>
        <w:t xml:space="preserve">. </w:t>
      </w:r>
      <w:r w:rsidRPr="004A65C0">
        <w:rPr>
          <w:rFonts w:eastAsia="Times New Roman" w:cs="Calibri"/>
          <w:bCs/>
          <w:color w:val="000000"/>
          <w:sz w:val="20"/>
          <w:szCs w:val="20"/>
        </w:rPr>
        <w:t>121(2):153-</w:t>
      </w:r>
      <w:r>
        <w:rPr>
          <w:rFonts w:eastAsia="Times New Roman" w:cs="Calibri"/>
          <w:bCs/>
          <w:color w:val="000000"/>
          <w:sz w:val="20"/>
          <w:szCs w:val="20"/>
        </w:rPr>
        <w:t>1</w:t>
      </w:r>
      <w:r w:rsidRPr="004A65C0">
        <w:rPr>
          <w:rFonts w:eastAsia="Times New Roman" w:cs="Calibri"/>
          <w:bCs/>
          <w:color w:val="000000"/>
          <w:sz w:val="20"/>
          <w:szCs w:val="20"/>
        </w:rPr>
        <w:t>61</w:t>
      </w:r>
      <w:r>
        <w:rPr>
          <w:rFonts w:eastAsia="Times New Roman" w:cs="Calibri"/>
          <w:bCs/>
          <w:color w:val="000000"/>
          <w:sz w:val="20"/>
          <w:szCs w:val="20"/>
        </w:rPr>
        <w:t>.</w:t>
      </w:r>
    </w:p>
    <w:p w:rsidR="005D07CA" w:rsidRPr="00475318" w:rsidRDefault="005D07CA" w:rsidP="002B5AB9">
      <w:pPr>
        <w:spacing w:before="240" w:after="0" w:line="240" w:lineRule="auto"/>
      </w:pPr>
    </w:p>
    <w:sectPr w:rsidR="005D07CA" w:rsidRPr="00475318" w:rsidSect="00BA387B">
      <w:footerReference w:type="default" r:id="rId31"/>
      <w:pgSz w:w="12240" w:h="15840" w:code="1"/>
      <w:pgMar w:top="1440" w:right="1440" w:bottom="153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749" w:rsidRDefault="00BB4749" w:rsidP="00CB77B5">
      <w:pPr>
        <w:spacing w:after="0" w:line="240" w:lineRule="auto"/>
      </w:pPr>
      <w:r>
        <w:separator/>
      </w:r>
    </w:p>
  </w:endnote>
  <w:endnote w:type="continuationSeparator" w:id="0">
    <w:p w:rsidR="00BB4749" w:rsidRDefault="00BB4749" w:rsidP="00CB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394266"/>
      <w:docPartObj>
        <w:docPartGallery w:val="Page Numbers (Bottom of Page)"/>
        <w:docPartUnique/>
      </w:docPartObj>
    </w:sdtPr>
    <w:sdtEndPr>
      <w:rPr>
        <w:noProof/>
      </w:rPr>
    </w:sdtEndPr>
    <w:sdtContent>
      <w:p w:rsidR="00BB4749" w:rsidRDefault="00BB4749">
        <w:pPr>
          <w:pStyle w:val="Footer"/>
          <w:jc w:val="right"/>
        </w:pPr>
        <w:r>
          <w:fldChar w:fldCharType="begin"/>
        </w:r>
        <w:r>
          <w:instrText xml:space="preserve"> PAGE   \* MERGEFORMAT </w:instrText>
        </w:r>
        <w:r>
          <w:fldChar w:fldCharType="separate"/>
        </w:r>
        <w:r w:rsidR="000425C4">
          <w:rPr>
            <w:noProof/>
          </w:rPr>
          <w:t>2</w:t>
        </w:r>
        <w:r>
          <w:rPr>
            <w:noProof/>
          </w:rPr>
          <w:fldChar w:fldCharType="end"/>
        </w:r>
      </w:p>
    </w:sdtContent>
  </w:sdt>
  <w:p w:rsidR="00BB4749" w:rsidRDefault="00BB4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749" w:rsidRDefault="00BB4749" w:rsidP="00CB77B5">
      <w:pPr>
        <w:spacing w:after="0" w:line="240" w:lineRule="auto"/>
      </w:pPr>
      <w:r>
        <w:separator/>
      </w:r>
    </w:p>
  </w:footnote>
  <w:footnote w:type="continuationSeparator" w:id="0">
    <w:p w:rsidR="00BB4749" w:rsidRDefault="00BB4749" w:rsidP="00CB7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pt;height:6.7pt" o:bullet="t">
        <v:imagedata r:id="rId1" o:title="bu_sftblue"/>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FD1BF2D6"/>
    <w:multiLevelType w:val="hybridMultilevel"/>
    <w:tmpl w:val="FC749B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5714F27A"/>
    <w:lvl w:ilvl="0">
      <w:numFmt w:val="bullet"/>
      <w:lvlText w:val="*"/>
      <w:lvlJc w:val="left"/>
    </w:lvl>
  </w:abstractNum>
  <w:abstractNum w:abstractNumId="2">
    <w:nsid w:val="00090083"/>
    <w:multiLevelType w:val="hybridMultilevel"/>
    <w:tmpl w:val="7A0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BE2B34"/>
    <w:multiLevelType w:val="multilevel"/>
    <w:tmpl w:val="5ED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A71EAB"/>
    <w:multiLevelType w:val="multilevel"/>
    <w:tmpl w:val="5DC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7B6962"/>
    <w:multiLevelType w:val="hybridMultilevel"/>
    <w:tmpl w:val="2562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D52AE7"/>
    <w:multiLevelType w:val="hybridMultilevel"/>
    <w:tmpl w:val="16F63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A02608"/>
    <w:multiLevelType w:val="multilevel"/>
    <w:tmpl w:val="6190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0E0AE8"/>
    <w:multiLevelType w:val="hybridMultilevel"/>
    <w:tmpl w:val="1AC0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E429B9"/>
    <w:multiLevelType w:val="hybridMultilevel"/>
    <w:tmpl w:val="B1B4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3211B7"/>
    <w:multiLevelType w:val="hybridMultilevel"/>
    <w:tmpl w:val="D76CF3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4F4ABB"/>
    <w:multiLevelType w:val="hybridMultilevel"/>
    <w:tmpl w:val="0BEE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267CD7"/>
    <w:multiLevelType w:val="hybridMultilevel"/>
    <w:tmpl w:val="27A2E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DF423A"/>
    <w:multiLevelType w:val="hybridMultilevel"/>
    <w:tmpl w:val="B408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312C8"/>
    <w:multiLevelType w:val="hybridMultilevel"/>
    <w:tmpl w:val="AE7E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7A2657"/>
    <w:multiLevelType w:val="hybridMultilevel"/>
    <w:tmpl w:val="9500A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9C39EE"/>
    <w:multiLevelType w:val="hybridMultilevel"/>
    <w:tmpl w:val="79705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0F12A0"/>
    <w:multiLevelType w:val="hybridMultilevel"/>
    <w:tmpl w:val="455E9DE6"/>
    <w:lvl w:ilvl="0" w:tplc="19EAA526">
      <w:start w:val="1"/>
      <w:numFmt w:val="decimal"/>
      <w:lvlText w:val="%1)"/>
      <w:lvlJc w:val="left"/>
      <w:pPr>
        <w:ind w:left="1080" w:hanging="360"/>
      </w:pPr>
      <w:rPr>
        <w:rFonts w:ascii="Calibri" w:hAnsi="Calibri" w:cs="Times New Roman"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6F1977"/>
    <w:multiLevelType w:val="hybridMultilevel"/>
    <w:tmpl w:val="36CA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7E49B2"/>
    <w:multiLevelType w:val="hybridMultilevel"/>
    <w:tmpl w:val="CCB4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96378E"/>
    <w:multiLevelType w:val="hybridMultilevel"/>
    <w:tmpl w:val="6F464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9A082B"/>
    <w:multiLevelType w:val="hybridMultilevel"/>
    <w:tmpl w:val="127A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BD3F51"/>
    <w:multiLevelType w:val="hybridMultilevel"/>
    <w:tmpl w:val="B470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7862FB"/>
    <w:multiLevelType w:val="hybridMultilevel"/>
    <w:tmpl w:val="0C26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F23720"/>
    <w:multiLevelType w:val="hybridMultilevel"/>
    <w:tmpl w:val="31E69FB2"/>
    <w:lvl w:ilvl="0" w:tplc="556EDA2A">
      <w:start w:val="51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3636CE"/>
    <w:multiLevelType w:val="hybridMultilevel"/>
    <w:tmpl w:val="A2201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6A6FD3"/>
    <w:multiLevelType w:val="hybridMultilevel"/>
    <w:tmpl w:val="DDE4369A"/>
    <w:lvl w:ilvl="0" w:tplc="0C7C4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C20411"/>
    <w:multiLevelType w:val="hybridMultilevel"/>
    <w:tmpl w:val="265CE268"/>
    <w:lvl w:ilvl="0" w:tplc="C8BEB89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42330D1"/>
    <w:multiLevelType w:val="hybridMultilevel"/>
    <w:tmpl w:val="1F9A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A211992"/>
    <w:multiLevelType w:val="hybridMultilevel"/>
    <w:tmpl w:val="71EC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262F43"/>
    <w:multiLevelType w:val="hybridMultilevel"/>
    <w:tmpl w:val="CC4E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2A5ABD"/>
    <w:multiLevelType w:val="multilevel"/>
    <w:tmpl w:val="8B46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750925"/>
    <w:multiLevelType w:val="hybridMultilevel"/>
    <w:tmpl w:val="E01E9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8320E7"/>
    <w:multiLevelType w:val="multilevel"/>
    <w:tmpl w:val="E306212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64F6C11"/>
    <w:multiLevelType w:val="hybridMultilevel"/>
    <w:tmpl w:val="1230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4F6F32"/>
    <w:multiLevelType w:val="multilevel"/>
    <w:tmpl w:val="52FC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040261"/>
    <w:multiLevelType w:val="hybridMultilevel"/>
    <w:tmpl w:val="F9D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233FF6"/>
    <w:multiLevelType w:val="multilevel"/>
    <w:tmpl w:val="E046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F337A2D"/>
    <w:multiLevelType w:val="hybridMultilevel"/>
    <w:tmpl w:val="78468F86"/>
    <w:lvl w:ilvl="0" w:tplc="46DA6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5918EF"/>
    <w:multiLevelType w:val="hybridMultilevel"/>
    <w:tmpl w:val="903C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F30844"/>
    <w:multiLevelType w:val="hybridMultilevel"/>
    <w:tmpl w:val="B688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1C1C83"/>
    <w:multiLevelType w:val="hybridMultilevel"/>
    <w:tmpl w:val="22C2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D9041E"/>
    <w:multiLevelType w:val="hybridMultilevel"/>
    <w:tmpl w:val="7A86CE94"/>
    <w:lvl w:ilvl="0" w:tplc="9440DB08">
      <w:start w:val="1"/>
      <w:numFmt w:val="decimal"/>
      <w:lvlText w:val="%1)"/>
      <w:lvlJc w:val="left"/>
      <w:pPr>
        <w:ind w:left="720" w:hanging="360"/>
      </w:pPr>
      <w:rPr>
        <w:rFonts w:ascii="Calibri" w:hAnsi="Calibri"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3B297F"/>
    <w:multiLevelType w:val="hybridMultilevel"/>
    <w:tmpl w:val="3D043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FDB7C59"/>
    <w:multiLevelType w:val="hybridMultilevel"/>
    <w:tmpl w:val="7E2C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681843"/>
    <w:multiLevelType w:val="hybridMultilevel"/>
    <w:tmpl w:val="A2CC19AE"/>
    <w:lvl w:ilvl="0" w:tplc="40046E9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7"/>
  </w:num>
  <w:num w:numId="3">
    <w:abstractNumId w:val="3"/>
  </w:num>
  <w:num w:numId="4">
    <w:abstractNumId w:val="4"/>
  </w:num>
  <w:num w:numId="5">
    <w:abstractNumId w:val="32"/>
  </w:num>
  <w:num w:numId="6">
    <w:abstractNumId w:val="36"/>
  </w:num>
  <w:num w:numId="7">
    <w:abstractNumId w:val="0"/>
  </w:num>
  <w:num w:numId="8">
    <w:abstractNumId w:val="8"/>
  </w:num>
  <w:num w:numId="9">
    <w:abstractNumId w:val="37"/>
  </w:num>
  <w:num w:numId="10">
    <w:abstractNumId w:val="1"/>
    <w:lvlOverride w:ilvl="0">
      <w:lvl w:ilvl="0">
        <w:numFmt w:val="bullet"/>
        <w:lvlText w:val=""/>
        <w:legacy w:legacy="1" w:legacySpace="0" w:legacyIndent="0"/>
        <w:lvlJc w:val="left"/>
        <w:rPr>
          <w:rFonts w:ascii="Symbol" w:hAnsi="Symbol" w:hint="default"/>
          <w:sz w:val="22"/>
        </w:rPr>
      </w:lvl>
    </w:lvlOverride>
  </w:num>
  <w:num w:numId="11">
    <w:abstractNumId w:val="20"/>
  </w:num>
  <w:num w:numId="12">
    <w:abstractNumId w:val="44"/>
  </w:num>
  <w:num w:numId="13">
    <w:abstractNumId w:val="25"/>
  </w:num>
  <w:num w:numId="14">
    <w:abstractNumId w:val="16"/>
  </w:num>
  <w:num w:numId="15">
    <w:abstractNumId w:val="31"/>
  </w:num>
  <w:num w:numId="16">
    <w:abstractNumId w:val="14"/>
  </w:num>
  <w:num w:numId="17">
    <w:abstractNumId w:val="35"/>
  </w:num>
  <w:num w:numId="18">
    <w:abstractNumId w:val="2"/>
  </w:num>
  <w:num w:numId="19">
    <w:abstractNumId w:val="38"/>
  </w:num>
  <w:num w:numId="20">
    <w:abstractNumId w:val="26"/>
  </w:num>
  <w:num w:numId="21">
    <w:abstractNumId w:val="40"/>
  </w:num>
  <w:num w:numId="22">
    <w:abstractNumId w:val="10"/>
  </w:num>
  <w:num w:numId="23">
    <w:abstractNumId w:val="39"/>
  </w:num>
  <w:num w:numId="24">
    <w:abstractNumId w:val="23"/>
  </w:num>
  <w:num w:numId="25">
    <w:abstractNumId w:val="15"/>
  </w:num>
  <w:num w:numId="26">
    <w:abstractNumId w:val="19"/>
  </w:num>
  <w:num w:numId="27">
    <w:abstractNumId w:val="33"/>
  </w:num>
  <w:num w:numId="28">
    <w:abstractNumId w:val="12"/>
  </w:num>
  <w:num w:numId="29">
    <w:abstractNumId w:val="41"/>
  </w:num>
  <w:num w:numId="30">
    <w:abstractNumId w:val="17"/>
  </w:num>
  <w:num w:numId="31">
    <w:abstractNumId w:val="6"/>
  </w:num>
  <w:num w:numId="32">
    <w:abstractNumId w:val="42"/>
  </w:num>
  <w:num w:numId="33">
    <w:abstractNumId w:val="24"/>
  </w:num>
  <w:num w:numId="34">
    <w:abstractNumId w:val="30"/>
  </w:num>
  <w:num w:numId="35">
    <w:abstractNumId w:val="5"/>
  </w:num>
  <w:num w:numId="36">
    <w:abstractNumId w:val="21"/>
  </w:num>
  <w:num w:numId="37">
    <w:abstractNumId w:val="35"/>
  </w:num>
  <w:num w:numId="38">
    <w:abstractNumId w:val="7"/>
  </w:num>
  <w:num w:numId="39">
    <w:abstractNumId w:val="11"/>
  </w:num>
  <w:num w:numId="40">
    <w:abstractNumId w:val="46"/>
  </w:num>
  <w:num w:numId="41">
    <w:abstractNumId w:val="28"/>
  </w:num>
  <w:num w:numId="4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9"/>
  </w:num>
  <w:num w:numId="45">
    <w:abstractNumId w:val="29"/>
  </w:num>
  <w:num w:numId="46">
    <w:abstractNumId w:val="13"/>
  </w:num>
  <w:num w:numId="47">
    <w:abstractNumId w:val="43"/>
  </w:num>
  <w:num w:numId="48">
    <w:abstractNumId w:val="18"/>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FF"/>
    <w:rsid w:val="00000099"/>
    <w:rsid w:val="00000850"/>
    <w:rsid w:val="00001EDD"/>
    <w:rsid w:val="00002A30"/>
    <w:rsid w:val="000039F2"/>
    <w:rsid w:val="00004AC4"/>
    <w:rsid w:val="00005612"/>
    <w:rsid w:val="00005AB6"/>
    <w:rsid w:val="00006C20"/>
    <w:rsid w:val="00007162"/>
    <w:rsid w:val="000100F4"/>
    <w:rsid w:val="00010235"/>
    <w:rsid w:val="00011E4D"/>
    <w:rsid w:val="0001272F"/>
    <w:rsid w:val="00012A0F"/>
    <w:rsid w:val="00012AA5"/>
    <w:rsid w:val="000142C7"/>
    <w:rsid w:val="0001477A"/>
    <w:rsid w:val="000150B1"/>
    <w:rsid w:val="0001546D"/>
    <w:rsid w:val="00015E71"/>
    <w:rsid w:val="0001701D"/>
    <w:rsid w:val="000171A2"/>
    <w:rsid w:val="00017633"/>
    <w:rsid w:val="00017641"/>
    <w:rsid w:val="00020A98"/>
    <w:rsid w:val="00020CEE"/>
    <w:rsid w:val="00020EFF"/>
    <w:rsid w:val="00021CF7"/>
    <w:rsid w:val="00021DCE"/>
    <w:rsid w:val="00021FBD"/>
    <w:rsid w:val="0002212C"/>
    <w:rsid w:val="00022530"/>
    <w:rsid w:val="00022ECE"/>
    <w:rsid w:val="00023000"/>
    <w:rsid w:val="00023070"/>
    <w:rsid w:val="000234E6"/>
    <w:rsid w:val="0002368A"/>
    <w:rsid w:val="000239A9"/>
    <w:rsid w:val="000257FD"/>
    <w:rsid w:val="0002656C"/>
    <w:rsid w:val="000301AC"/>
    <w:rsid w:val="000306BC"/>
    <w:rsid w:val="00030DDB"/>
    <w:rsid w:val="00030FFD"/>
    <w:rsid w:val="00033439"/>
    <w:rsid w:val="00034809"/>
    <w:rsid w:val="000348CE"/>
    <w:rsid w:val="00035377"/>
    <w:rsid w:val="00036619"/>
    <w:rsid w:val="0003699C"/>
    <w:rsid w:val="00036B00"/>
    <w:rsid w:val="00036FA7"/>
    <w:rsid w:val="0003718E"/>
    <w:rsid w:val="000376FF"/>
    <w:rsid w:val="000404FF"/>
    <w:rsid w:val="00040B08"/>
    <w:rsid w:val="0004142B"/>
    <w:rsid w:val="000421F5"/>
    <w:rsid w:val="000425C4"/>
    <w:rsid w:val="00042A01"/>
    <w:rsid w:val="00042BF9"/>
    <w:rsid w:val="00043164"/>
    <w:rsid w:val="00043204"/>
    <w:rsid w:val="0004322A"/>
    <w:rsid w:val="000435A3"/>
    <w:rsid w:val="000438A5"/>
    <w:rsid w:val="00043BC0"/>
    <w:rsid w:val="00045061"/>
    <w:rsid w:val="00045A9D"/>
    <w:rsid w:val="000468A2"/>
    <w:rsid w:val="00046F28"/>
    <w:rsid w:val="00046F5E"/>
    <w:rsid w:val="00047115"/>
    <w:rsid w:val="000478F1"/>
    <w:rsid w:val="00047DE9"/>
    <w:rsid w:val="00050987"/>
    <w:rsid w:val="000513E2"/>
    <w:rsid w:val="000518E8"/>
    <w:rsid w:val="00051B7B"/>
    <w:rsid w:val="00052291"/>
    <w:rsid w:val="00052B0E"/>
    <w:rsid w:val="00053045"/>
    <w:rsid w:val="0005309C"/>
    <w:rsid w:val="00053839"/>
    <w:rsid w:val="00053B1A"/>
    <w:rsid w:val="00053D97"/>
    <w:rsid w:val="00053F63"/>
    <w:rsid w:val="000542DC"/>
    <w:rsid w:val="0005432C"/>
    <w:rsid w:val="000546FE"/>
    <w:rsid w:val="00054888"/>
    <w:rsid w:val="00055266"/>
    <w:rsid w:val="000553C8"/>
    <w:rsid w:val="00055576"/>
    <w:rsid w:val="00055619"/>
    <w:rsid w:val="00055B11"/>
    <w:rsid w:val="0005623A"/>
    <w:rsid w:val="00056518"/>
    <w:rsid w:val="000569C1"/>
    <w:rsid w:val="00056D38"/>
    <w:rsid w:val="00056DDB"/>
    <w:rsid w:val="00057BBA"/>
    <w:rsid w:val="00057D9E"/>
    <w:rsid w:val="000600D9"/>
    <w:rsid w:val="000606C2"/>
    <w:rsid w:val="00061187"/>
    <w:rsid w:val="000615D9"/>
    <w:rsid w:val="000620FF"/>
    <w:rsid w:val="00062297"/>
    <w:rsid w:val="0006270E"/>
    <w:rsid w:val="00062AA6"/>
    <w:rsid w:val="00062F78"/>
    <w:rsid w:val="0006346C"/>
    <w:rsid w:val="00063A39"/>
    <w:rsid w:val="00063C4B"/>
    <w:rsid w:val="00064E95"/>
    <w:rsid w:val="00065101"/>
    <w:rsid w:val="00065351"/>
    <w:rsid w:val="00065ADD"/>
    <w:rsid w:val="000662C6"/>
    <w:rsid w:val="000663D6"/>
    <w:rsid w:val="00066863"/>
    <w:rsid w:val="00066920"/>
    <w:rsid w:val="00066C54"/>
    <w:rsid w:val="00067590"/>
    <w:rsid w:val="00067C66"/>
    <w:rsid w:val="000700A4"/>
    <w:rsid w:val="00070C76"/>
    <w:rsid w:val="000716CA"/>
    <w:rsid w:val="00071E6F"/>
    <w:rsid w:val="00073531"/>
    <w:rsid w:val="00073930"/>
    <w:rsid w:val="00074D63"/>
    <w:rsid w:val="000763E2"/>
    <w:rsid w:val="0007641C"/>
    <w:rsid w:val="00076735"/>
    <w:rsid w:val="00076914"/>
    <w:rsid w:val="00077097"/>
    <w:rsid w:val="000779D3"/>
    <w:rsid w:val="00077B98"/>
    <w:rsid w:val="00080DC6"/>
    <w:rsid w:val="00081660"/>
    <w:rsid w:val="0008247A"/>
    <w:rsid w:val="00082597"/>
    <w:rsid w:val="000829B1"/>
    <w:rsid w:val="000831D9"/>
    <w:rsid w:val="00083352"/>
    <w:rsid w:val="0008384C"/>
    <w:rsid w:val="000841F0"/>
    <w:rsid w:val="000847D7"/>
    <w:rsid w:val="00085316"/>
    <w:rsid w:val="00085F24"/>
    <w:rsid w:val="0008754C"/>
    <w:rsid w:val="000877F1"/>
    <w:rsid w:val="00087931"/>
    <w:rsid w:val="00087A80"/>
    <w:rsid w:val="00087BF3"/>
    <w:rsid w:val="00087CD2"/>
    <w:rsid w:val="00087E6C"/>
    <w:rsid w:val="00090219"/>
    <w:rsid w:val="00090BD1"/>
    <w:rsid w:val="00091505"/>
    <w:rsid w:val="00091803"/>
    <w:rsid w:val="00091CE6"/>
    <w:rsid w:val="00091E7A"/>
    <w:rsid w:val="000922C7"/>
    <w:rsid w:val="0009385E"/>
    <w:rsid w:val="00094CF7"/>
    <w:rsid w:val="00094EDD"/>
    <w:rsid w:val="00094F55"/>
    <w:rsid w:val="00095880"/>
    <w:rsid w:val="000963E6"/>
    <w:rsid w:val="0009675D"/>
    <w:rsid w:val="00096817"/>
    <w:rsid w:val="000A0095"/>
    <w:rsid w:val="000A0596"/>
    <w:rsid w:val="000A1055"/>
    <w:rsid w:val="000A17E1"/>
    <w:rsid w:val="000A22EB"/>
    <w:rsid w:val="000A2D73"/>
    <w:rsid w:val="000A2E6C"/>
    <w:rsid w:val="000A2F5B"/>
    <w:rsid w:val="000A353C"/>
    <w:rsid w:val="000A3EDE"/>
    <w:rsid w:val="000A4093"/>
    <w:rsid w:val="000A5D3F"/>
    <w:rsid w:val="000A6070"/>
    <w:rsid w:val="000A70E5"/>
    <w:rsid w:val="000A7108"/>
    <w:rsid w:val="000B0212"/>
    <w:rsid w:val="000B0917"/>
    <w:rsid w:val="000B0B7D"/>
    <w:rsid w:val="000B0DD5"/>
    <w:rsid w:val="000B0EBE"/>
    <w:rsid w:val="000B1334"/>
    <w:rsid w:val="000B2E5D"/>
    <w:rsid w:val="000B33EE"/>
    <w:rsid w:val="000B355D"/>
    <w:rsid w:val="000B35A1"/>
    <w:rsid w:val="000B3853"/>
    <w:rsid w:val="000B38D0"/>
    <w:rsid w:val="000B401C"/>
    <w:rsid w:val="000B42DE"/>
    <w:rsid w:val="000B4F37"/>
    <w:rsid w:val="000B528A"/>
    <w:rsid w:val="000B5A71"/>
    <w:rsid w:val="000B5FC9"/>
    <w:rsid w:val="000B5FF2"/>
    <w:rsid w:val="000B66C0"/>
    <w:rsid w:val="000B74E8"/>
    <w:rsid w:val="000B751C"/>
    <w:rsid w:val="000B7D06"/>
    <w:rsid w:val="000C092E"/>
    <w:rsid w:val="000C1394"/>
    <w:rsid w:val="000C2497"/>
    <w:rsid w:val="000C2903"/>
    <w:rsid w:val="000C3742"/>
    <w:rsid w:val="000C3823"/>
    <w:rsid w:val="000C4397"/>
    <w:rsid w:val="000C4948"/>
    <w:rsid w:val="000C4CD8"/>
    <w:rsid w:val="000C633C"/>
    <w:rsid w:val="000C637D"/>
    <w:rsid w:val="000C6C61"/>
    <w:rsid w:val="000C7357"/>
    <w:rsid w:val="000D01D5"/>
    <w:rsid w:val="000D058C"/>
    <w:rsid w:val="000D2A58"/>
    <w:rsid w:val="000D2FAD"/>
    <w:rsid w:val="000D3323"/>
    <w:rsid w:val="000D346F"/>
    <w:rsid w:val="000D3968"/>
    <w:rsid w:val="000D3E8F"/>
    <w:rsid w:val="000D3FCA"/>
    <w:rsid w:val="000D76B5"/>
    <w:rsid w:val="000E01DE"/>
    <w:rsid w:val="000E0231"/>
    <w:rsid w:val="000E13FB"/>
    <w:rsid w:val="000E1E4F"/>
    <w:rsid w:val="000E2648"/>
    <w:rsid w:val="000E3291"/>
    <w:rsid w:val="000E37D8"/>
    <w:rsid w:val="000E3877"/>
    <w:rsid w:val="000E38BC"/>
    <w:rsid w:val="000E3AE4"/>
    <w:rsid w:val="000E4782"/>
    <w:rsid w:val="000E4EBD"/>
    <w:rsid w:val="000E535B"/>
    <w:rsid w:val="000E59A1"/>
    <w:rsid w:val="000E5B46"/>
    <w:rsid w:val="000E60CC"/>
    <w:rsid w:val="000E6276"/>
    <w:rsid w:val="000E6452"/>
    <w:rsid w:val="000E6B87"/>
    <w:rsid w:val="000E7775"/>
    <w:rsid w:val="000E7E3E"/>
    <w:rsid w:val="000F044F"/>
    <w:rsid w:val="000F0E2E"/>
    <w:rsid w:val="000F13CB"/>
    <w:rsid w:val="000F1D9F"/>
    <w:rsid w:val="000F219E"/>
    <w:rsid w:val="000F2FA9"/>
    <w:rsid w:val="000F304C"/>
    <w:rsid w:val="000F30E8"/>
    <w:rsid w:val="000F386B"/>
    <w:rsid w:val="000F38E4"/>
    <w:rsid w:val="000F3A0B"/>
    <w:rsid w:val="000F3E0A"/>
    <w:rsid w:val="000F4394"/>
    <w:rsid w:val="000F456D"/>
    <w:rsid w:val="000F4978"/>
    <w:rsid w:val="000F4994"/>
    <w:rsid w:val="000F49E0"/>
    <w:rsid w:val="000F5023"/>
    <w:rsid w:val="000F52A7"/>
    <w:rsid w:val="000F54AC"/>
    <w:rsid w:val="000F579C"/>
    <w:rsid w:val="000F5FE7"/>
    <w:rsid w:val="000F66D8"/>
    <w:rsid w:val="000F67F7"/>
    <w:rsid w:val="000F7359"/>
    <w:rsid w:val="00100B55"/>
    <w:rsid w:val="00101A65"/>
    <w:rsid w:val="00101B4D"/>
    <w:rsid w:val="00101C88"/>
    <w:rsid w:val="00102079"/>
    <w:rsid w:val="00102384"/>
    <w:rsid w:val="00102E64"/>
    <w:rsid w:val="00105952"/>
    <w:rsid w:val="001062E2"/>
    <w:rsid w:val="001063BB"/>
    <w:rsid w:val="00106699"/>
    <w:rsid w:val="00106E89"/>
    <w:rsid w:val="00107450"/>
    <w:rsid w:val="0011067D"/>
    <w:rsid w:val="001106BD"/>
    <w:rsid w:val="0011070B"/>
    <w:rsid w:val="001137C1"/>
    <w:rsid w:val="00113910"/>
    <w:rsid w:val="00113BFC"/>
    <w:rsid w:val="001151B5"/>
    <w:rsid w:val="001152D0"/>
    <w:rsid w:val="00115666"/>
    <w:rsid w:val="0011566E"/>
    <w:rsid w:val="00115BF3"/>
    <w:rsid w:val="00115FC2"/>
    <w:rsid w:val="00116C32"/>
    <w:rsid w:val="00117311"/>
    <w:rsid w:val="00117A5D"/>
    <w:rsid w:val="00120CBC"/>
    <w:rsid w:val="0012103E"/>
    <w:rsid w:val="0012158E"/>
    <w:rsid w:val="00121B8E"/>
    <w:rsid w:val="00121CCA"/>
    <w:rsid w:val="001229A3"/>
    <w:rsid w:val="001230CF"/>
    <w:rsid w:val="00123A54"/>
    <w:rsid w:val="001242AF"/>
    <w:rsid w:val="00124729"/>
    <w:rsid w:val="00124CB1"/>
    <w:rsid w:val="00125169"/>
    <w:rsid w:val="001255C1"/>
    <w:rsid w:val="00125B20"/>
    <w:rsid w:val="001261D2"/>
    <w:rsid w:val="00127189"/>
    <w:rsid w:val="00127912"/>
    <w:rsid w:val="0013076E"/>
    <w:rsid w:val="00131060"/>
    <w:rsid w:val="001311B4"/>
    <w:rsid w:val="001335B3"/>
    <w:rsid w:val="00133966"/>
    <w:rsid w:val="00133C32"/>
    <w:rsid w:val="00134150"/>
    <w:rsid w:val="001343E2"/>
    <w:rsid w:val="00134702"/>
    <w:rsid w:val="00134973"/>
    <w:rsid w:val="0013500B"/>
    <w:rsid w:val="0013514C"/>
    <w:rsid w:val="0013538F"/>
    <w:rsid w:val="00136682"/>
    <w:rsid w:val="0013682D"/>
    <w:rsid w:val="00136863"/>
    <w:rsid w:val="00136E6F"/>
    <w:rsid w:val="00137A07"/>
    <w:rsid w:val="00137BEA"/>
    <w:rsid w:val="00137FD0"/>
    <w:rsid w:val="00140841"/>
    <w:rsid w:val="001415E1"/>
    <w:rsid w:val="0014296F"/>
    <w:rsid w:val="0014315B"/>
    <w:rsid w:val="00143D18"/>
    <w:rsid w:val="00144389"/>
    <w:rsid w:val="001445AC"/>
    <w:rsid w:val="001457AC"/>
    <w:rsid w:val="00145E07"/>
    <w:rsid w:val="00146E1F"/>
    <w:rsid w:val="0014790E"/>
    <w:rsid w:val="001504FE"/>
    <w:rsid w:val="001505BE"/>
    <w:rsid w:val="00150C5D"/>
    <w:rsid w:val="00150E9F"/>
    <w:rsid w:val="001510BE"/>
    <w:rsid w:val="001513BD"/>
    <w:rsid w:val="00151A62"/>
    <w:rsid w:val="00151BC5"/>
    <w:rsid w:val="00151BEB"/>
    <w:rsid w:val="00151C5B"/>
    <w:rsid w:val="00152774"/>
    <w:rsid w:val="0015285D"/>
    <w:rsid w:val="00153B97"/>
    <w:rsid w:val="00154525"/>
    <w:rsid w:val="001549A4"/>
    <w:rsid w:val="00155F25"/>
    <w:rsid w:val="00155F61"/>
    <w:rsid w:val="0015779F"/>
    <w:rsid w:val="00157BEA"/>
    <w:rsid w:val="00157D75"/>
    <w:rsid w:val="00160722"/>
    <w:rsid w:val="0016098C"/>
    <w:rsid w:val="00160DA0"/>
    <w:rsid w:val="0016217B"/>
    <w:rsid w:val="00162F15"/>
    <w:rsid w:val="0016347E"/>
    <w:rsid w:val="00164308"/>
    <w:rsid w:val="0016450C"/>
    <w:rsid w:val="00164540"/>
    <w:rsid w:val="0016458F"/>
    <w:rsid w:val="001647FF"/>
    <w:rsid w:val="00164DA0"/>
    <w:rsid w:val="001652BB"/>
    <w:rsid w:val="001656E1"/>
    <w:rsid w:val="001658F3"/>
    <w:rsid w:val="00166811"/>
    <w:rsid w:val="00166EA1"/>
    <w:rsid w:val="00167657"/>
    <w:rsid w:val="00167F97"/>
    <w:rsid w:val="00167FD4"/>
    <w:rsid w:val="00170107"/>
    <w:rsid w:val="00170184"/>
    <w:rsid w:val="001706BC"/>
    <w:rsid w:val="00171028"/>
    <w:rsid w:val="00171272"/>
    <w:rsid w:val="00172239"/>
    <w:rsid w:val="00173D15"/>
    <w:rsid w:val="0017596B"/>
    <w:rsid w:val="00175ABE"/>
    <w:rsid w:val="00175CBC"/>
    <w:rsid w:val="00175F35"/>
    <w:rsid w:val="00177435"/>
    <w:rsid w:val="00177667"/>
    <w:rsid w:val="0018088B"/>
    <w:rsid w:val="00180B35"/>
    <w:rsid w:val="001812AD"/>
    <w:rsid w:val="001817A4"/>
    <w:rsid w:val="00181B0C"/>
    <w:rsid w:val="001821E5"/>
    <w:rsid w:val="00182D2E"/>
    <w:rsid w:val="001837C4"/>
    <w:rsid w:val="001837C7"/>
    <w:rsid w:val="001838FD"/>
    <w:rsid w:val="001844D5"/>
    <w:rsid w:val="00185E5E"/>
    <w:rsid w:val="00186094"/>
    <w:rsid w:val="0018617D"/>
    <w:rsid w:val="00186D86"/>
    <w:rsid w:val="001874A5"/>
    <w:rsid w:val="0018763E"/>
    <w:rsid w:val="00187684"/>
    <w:rsid w:val="001877C6"/>
    <w:rsid w:val="00187ABD"/>
    <w:rsid w:val="00187B43"/>
    <w:rsid w:val="001900E9"/>
    <w:rsid w:val="001904A6"/>
    <w:rsid w:val="00190757"/>
    <w:rsid w:val="00190B2C"/>
    <w:rsid w:val="00190BE5"/>
    <w:rsid w:val="00190E26"/>
    <w:rsid w:val="001917EF"/>
    <w:rsid w:val="00192461"/>
    <w:rsid w:val="00192476"/>
    <w:rsid w:val="00192DE7"/>
    <w:rsid w:val="001930FE"/>
    <w:rsid w:val="001935A6"/>
    <w:rsid w:val="00193FA0"/>
    <w:rsid w:val="00194167"/>
    <w:rsid w:val="001942CB"/>
    <w:rsid w:val="00194871"/>
    <w:rsid w:val="00195599"/>
    <w:rsid w:val="00196877"/>
    <w:rsid w:val="001968A2"/>
    <w:rsid w:val="00196BA0"/>
    <w:rsid w:val="00197617"/>
    <w:rsid w:val="00197BAC"/>
    <w:rsid w:val="001A01D7"/>
    <w:rsid w:val="001A022D"/>
    <w:rsid w:val="001A05E0"/>
    <w:rsid w:val="001A094A"/>
    <w:rsid w:val="001A17CE"/>
    <w:rsid w:val="001A259D"/>
    <w:rsid w:val="001A2B4F"/>
    <w:rsid w:val="001A2D0C"/>
    <w:rsid w:val="001A301B"/>
    <w:rsid w:val="001A325D"/>
    <w:rsid w:val="001A43F4"/>
    <w:rsid w:val="001A44F2"/>
    <w:rsid w:val="001A46DE"/>
    <w:rsid w:val="001A479F"/>
    <w:rsid w:val="001A6108"/>
    <w:rsid w:val="001A622F"/>
    <w:rsid w:val="001A645B"/>
    <w:rsid w:val="001A6BF2"/>
    <w:rsid w:val="001A701E"/>
    <w:rsid w:val="001A744F"/>
    <w:rsid w:val="001B05D0"/>
    <w:rsid w:val="001B0720"/>
    <w:rsid w:val="001B07EA"/>
    <w:rsid w:val="001B0E4B"/>
    <w:rsid w:val="001B1ECD"/>
    <w:rsid w:val="001B200B"/>
    <w:rsid w:val="001B298A"/>
    <w:rsid w:val="001B37B6"/>
    <w:rsid w:val="001B3970"/>
    <w:rsid w:val="001B3CB7"/>
    <w:rsid w:val="001B401C"/>
    <w:rsid w:val="001B4171"/>
    <w:rsid w:val="001B4BE8"/>
    <w:rsid w:val="001B5622"/>
    <w:rsid w:val="001B56DA"/>
    <w:rsid w:val="001B583F"/>
    <w:rsid w:val="001B62F9"/>
    <w:rsid w:val="001B6DAB"/>
    <w:rsid w:val="001B6F7D"/>
    <w:rsid w:val="001B726F"/>
    <w:rsid w:val="001B77E1"/>
    <w:rsid w:val="001B79FB"/>
    <w:rsid w:val="001C06F5"/>
    <w:rsid w:val="001C2034"/>
    <w:rsid w:val="001C24D2"/>
    <w:rsid w:val="001C3BD7"/>
    <w:rsid w:val="001C48D7"/>
    <w:rsid w:val="001C594B"/>
    <w:rsid w:val="001C5B56"/>
    <w:rsid w:val="001C6801"/>
    <w:rsid w:val="001C69CC"/>
    <w:rsid w:val="001C6B5A"/>
    <w:rsid w:val="001C701B"/>
    <w:rsid w:val="001C7169"/>
    <w:rsid w:val="001C71F8"/>
    <w:rsid w:val="001C78A2"/>
    <w:rsid w:val="001C7A3F"/>
    <w:rsid w:val="001C7BF5"/>
    <w:rsid w:val="001D059B"/>
    <w:rsid w:val="001D084D"/>
    <w:rsid w:val="001D0BD9"/>
    <w:rsid w:val="001D0D5F"/>
    <w:rsid w:val="001D1076"/>
    <w:rsid w:val="001D21B2"/>
    <w:rsid w:val="001D24A5"/>
    <w:rsid w:val="001D2B18"/>
    <w:rsid w:val="001D40A4"/>
    <w:rsid w:val="001D4DB4"/>
    <w:rsid w:val="001D504E"/>
    <w:rsid w:val="001D505F"/>
    <w:rsid w:val="001D510E"/>
    <w:rsid w:val="001D5B06"/>
    <w:rsid w:val="001D5DE8"/>
    <w:rsid w:val="001D6792"/>
    <w:rsid w:val="001D7791"/>
    <w:rsid w:val="001D7F57"/>
    <w:rsid w:val="001E0CD9"/>
    <w:rsid w:val="001E0E4D"/>
    <w:rsid w:val="001E1376"/>
    <w:rsid w:val="001E1D13"/>
    <w:rsid w:val="001E260F"/>
    <w:rsid w:val="001E2E5B"/>
    <w:rsid w:val="001E30DC"/>
    <w:rsid w:val="001E3670"/>
    <w:rsid w:val="001E4167"/>
    <w:rsid w:val="001E4271"/>
    <w:rsid w:val="001E4DE6"/>
    <w:rsid w:val="001E4ECB"/>
    <w:rsid w:val="001E5D43"/>
    <w:rsid w:val="001E688D"/>
    <w:rsid w:val="001E797D"/>
    <w:rsid w:val="001F0A8D"/>
    <w:rsid w:val="001F0F34"/>
    <w:rsid w:val="001F1121"/>
    <w:rsid w:val="001F1790"/>
    <w:rsid w:val="001F1B32"/>
    <w:rsid w:val="001F1E0B"/>
    <w:rsid w:val="001F21BA"/>
    <w:rsid w:val="001F21C6"/>
    <w:rsid w:val="001F383C"/>
    <w:rsid w:val="001F3941"/>
    <w:rsid w:val="001F42E0"/>
    <w:rsid w:val="001F495B"/>
    <w:rsid w:val="001F4D67"/>
    <w:rsid w:val="001F4F0A"/>
    <w:rsid w:val="001F5724"/>
    <w:rsid w:val="001F62F5"/>
    <w:rsid w:val="001F720E"/>
    <w:rsid w:val="001F787D"/>
    <w:rsid w:val="001F7894"/>
    <w:rsid w:val="001F7EC1"/>
    <w:rsid w:val="001F7F9F"/>
    <w:rsid w:val="0020004C"/>
    <w:rsid w:val="002000ED"/>
    <w:rsid w:val="002002B0"/>
    <w:rsid w:val="0020221B"/>
    <w:rsid w:val="00202E61"/>
    <w:rsid w:val="00202F46"/>
    <w:rsid w:val="002033B7"/>
    <w:rsid w:val="00203515"/>
    <w:rsid w:val="00204197"/>
    <w:rsid w:val="0020536E"/>
    <w:rsid w:val="002053F5"/>
    <w:rsid w:val="00205D8C"/>
    <w:rsid w:val="00205E1B"/>
    <w:rsid w:val="002060E6"/>
    <w:rsid w:val="00206C73"/>
    <w:rsid w:val="002103CA"/>
    <w:rsid w:val="0021094D"/>
    <w:rsid w:val="002112CA"/>
    <w:rsid w:val="00211BC6"/>
    <w:rsid w:val="00211D33"/>
    <w:rsid w:val="00212063"/>
    <w:rsid w:val="0021237B"/>
    <w:rsid w:val="00212885"/>
    <w:rsid w:val="00212B86"/>
    <w:rsid w:val="00213897"/>
    <w:rsid w:val="00213CD6"/>
    <w:rsid w:val="00213F96"/>
    <w:rsid w:val="00214138"/>
    <w:rsid w:val="002141E9"/>
    <w:rsid w:val="00214FA5"/>
    <w:rsid w:val="002158B2"/>
    <w:rsid w:val="00215D8C"/>
    <w:rsid w:val="00215F43"/>
    <w:rsid w:val="002162DE"/>
    <w:rsid w:val="0021686B"/>
    <w:rsid w:val="0021774E"/>
    <w:rsid w:val="002177DE"/>
    <w:rsid w:val="002202E6"/>
    <w:rsid w:val="00220ED7"/>
    <w:rsid w:val="00220F79"/>
    <w:rsid w:val="002211EB"/>
    <w:rsid w:val="002211FC"/>
    <w:rsid w:val="002213BB"/>
    <w:rsid w:val="00221E15"/>
    <w:rsid w:val="002222FA"/>
    <w:rsid w:val="00223B25"/>
    <w:rsid w:val="00224448"/>
    <w:rsid w:val="00224F0A"/>
    <w:rsid w:val="00225273"/>
    <w:rsid w:val="00227421"/>
    <w:rsid w:val="0023053E"/>
    <w:rsid w:val="00230741"/>
    <w:rsid w:val="00230BC2"/>
    <w:rsid w:val="0023164D"/>
    <w:rsid w:val="0023191A"/>
    <w:rsid w:val="00231EA0"/>
    <w:rsid w:val="0023220C"/>
    <w:rsid w:val="002328F2"/>
    <w:rsid w:val="00232E83"/>
    <w:rsid w:val="002332A6"/>
    <w:rsid w:val="0023362E"/>
    <w:rsid w:val="00233760"/>
    <w:rsid w:val="00233919"/>
    <w:rsid w:val="00233D47"/>
    <w:rsid w:val="00234E18"/>
    <w:rsid w:val="002352E3"/>
    <w:rsid w:val="00236843"/>
    <w:rsid w:val="0023705C"/>
    <w:rsid w:val="002375F8"/>
    <w:rsid w:val="002376D2"/>
    <w:rsid w:val="0023797B"/>
    <w:rsid w:val="00237999"/>
    <w:rsid w:val="00240CE9"/>
    <w:rsid w:val="00240FE1"/>
    <w:rsid w:val="00241777"/>
    <w:rsid w:val="00241D86"/>
    <w:rsid w:val="0024217C"/>
    <w:rsid w:val="00242920"/>
    <w:rsid w:val="002430D8"/>
    <w:rsid w:val="00243B92"/>
    <w:rsid w:val="00243D82"/>
    <w:rsid w:val="0024419B"/>
    <w:rsid w:val="00244B22"/>
    <w:rsid w:val="00244CA9"/>
    <w:rsid w:val="00244E11"/>
    <w:rsid w:val="002450BB"/>
    <w:rsid w:val="002458A4"/>
    <w:rsid w:val="00245FE3"/>
    <w:rsid w:val="0024613C"/>
    <w:rsid w:val="00246608"/>
    <w:rsid w:val="00251861"/>
    <w:rsid w:val="00251DFE"/>
    <w:rsid w:val="00252F63"/>
    <w:rsid w:val="00253D52"/>
    <w:rsid w:val="00254470"/>
    <w:rsid w:val="0025447C"/>
    <w:rsid w:val="00254C94"/>
    <w:rsid w:val="00254FB9"/>
    <w:rsid w:val="00255439"/>
    <w:rsid w:val="00256B4F"/>
    <w:rsid w:val="00256C12"/>
    <w:rsid w:val="00257AA0"/>
    <w:rsid w:val="00257D17"/>
    <w:rsid w:val="00257ED3"/>
    <w:rsid w:val="002601CC"/>
    <w:rsid w:val="00260603"/>
    <w:rsid w:val="00260BA5"/>
    <w:rsid w:val="002610EB"/>
    <w:rsid w:val="0026117B"/>
    <w:rsid w:val="002611C6"/>
    <w:rsid w:val="00262529"/>
    <w:rsid w:val="00262AFC"/>
    <w:rsid w:val="00264012"/>
    <w:rsid w:val="0026482B"/>
    <w:rsid w:val="0026550D"/>
    <w:rsid w:val="002658F4"/>
    <w:rsid w:val="00265C81"/>
    <w:rsid w:val="002661A4"/>
    <w:rsid w:val="00266301"/>
    <w:rsid w:val="002664ED"/>
    <w:rsid w:val="00266725"/>
    <w:rsid w:val="00266798"/>
    <w:rsid w:val="002670B9"/>
    <w:rsid w:val="00267894"/>
    <w:rsid w:val="00270219"/>
    <w:rsid w:val="00270A5C"/>
    <w:rsid w:val="00270ECB"/>
    <w:rsid w:val="002711AB"/>
    <w:rsid w:val="002712CA"/>
    <w:rsid w:val="002718B9"/>
    <w:rsid w:val="00271C21"/>
    <w:rsid w:val="00271CED"/>
    <w:rsid w:val="00272C0A"/>
    <w:rsid w:val="00273117"/>
    <w:rsid w:val="0027396B"/>
    <w:rsid w:val="00274579"/>
    <w:rsid w:val="0027491A"/>
    <w:rsid w:val="0027535A"/>
    <w:rsid w:val="00275E6D"/>
    <w:rsid w:val="00276171"/>
    <w:rsid w:val="002765D9"/>
    <w:rsid w:val="00276B0F"/>
    <w:rsid w:val="00276BF9"/>
    <w:rsid w:val="00276C1E"/>
    <w:rsid w:val="00276FA2"/>
    <w:rsid w:val="00277DC0"/>
    <w:rsid w:val="0028067D"/>
    <w:rsid w:val="0028087E"/>
    <w:rsid w:val="00281015"/>
    <w:rsid w:val="0028127C"/>
    <w:rsid w:val="00281BC1"/>
    <w:rsid w:val="00281D66"/>
    <w:rsid w:val="00282698"/>
    <w:rsid w:val="00282A71"/>
    <w:rsid w:val="00283DB2"/>
    <w:rsid w:val="002844C9"/>
    <w:rsid w:val="00284A2D"/>
    <w:rsid w:val="00284BAE"/>
    <w:rsid w:val="00284BFE"/>
    <w:rsid w:val="00284E76"/>
    <w:rsid w:val="002854F1"/>
    <w:rsid w:val="0028625A"/>
    <w:rsid w:val="002863EE"/>
    <w:rsid w:val="00287775"/>
    <w:rsid w:val="00287BA2"/>
    <w:rsid w:val="002919E2"/>
    <w:rsid w:val="00291E26"/>
    <w:rsid w:val="00293709"/>
    <w:rsid w:val="00293C99"/>
    <w:rsid w:val="0029455C"/>
    <w:rsid w:val="0029482B"/>
    <w:rsid w:val="00294F29"/>
    <w:rsid w:val="0029583C"/>
    <w:rsid w:val="002958AF"/>
    <w:rsid w:val="00295A51"/>
    <w:rsid w:val="0029682D"/>
    <w:rsid w:val="002972C0"/>
    <w:rsid w:val="002976AF"/>
    <w:rsid w:val="00297B65"/>
    <w:rsid w:val="002A00C5"/>
    <w:rsid w:val="002A0547"/>
    <w:rsid w:val="002A128B"/>
    <w:rsid w:val="002A29F3"/>
    <w:rsid w:val="002A3541"/>
    <w:rsid w:val="002A3EA4"/>
    <w:rsid w:val="002A44BB"/>
    <w:rsid w:val="002A4542"/>
    <w:rsid w:val="002A498F"/>
    <w:rsid w:val="002A4B2D"/>
    <w:rsid w:val="002A532C"/>
    <w:rsid w:val="002A583F"/>
    <w:rsid w:val="002A6035"/>
    <w:rsid w:val="002A616C"/>
    <w:rsid w:val="002A6404"/>
    <w:rsid w:val="002A704F"/>
    <w:rsid w:val="002A79C7"/>
    <w:rsid w:val="002B0A10"/>
    <w:rsid w:val="002B277B"/>
    <w:rsid w:val="002B2826"/>
    <w:rsid w:val="002B45AB"/>
    <w:rsid w:val="002B48C3"/>
    <w:rsid w:val="002B4F21"/>
    <w:rsid w:val="002B5237"/>
    <w:rsid w:val="002B5AB9"/>
    <w:rsid w:val="002B5CCF"/>
    <w:rsid w:val="002B60B6"/>
    <w:rsid w:val="002B6622"/>
    <w:rsid w:val="002B6B5F"/>
    <w:rsid w:val="002B6D2C"/>
    <w:rsid w:val="002B720C"/>
    <w:rsid w:val="002B7F70"/>
    <w:rsid w:val="002C0793"/>
    <w:rsid w:val="002C146C"/>
    <w:rsid w:val="002C1993"/>
    <w:rsid w:val="002C246D"/>
    <w:rsid w:val="002C2541"/>
    <w:rsid w:val="002C3183"/>
    <w:rsid w:val="002C3A61"/>
    <w:rsid w:val="002C3AC7"/>
    <w:rsid w:val="002C4017"/>
    <w:rsid w:val="002C4D21"/>
    <w:rsid w:val="002C505B"/>
    <w:rsid w:val="002C595C"/>
    <w:rsid w:val="002C6237"/>
    <w:rsid w:val="002C6312"/>
    <w:rsid w:val="002C6551"/>
    <w:rsid w:val="002C6684"/>
    <w:rsid w:val="002C6E93"/>
    <w:rsid w:val="002C764F"/>
    <w:rsid w:val="002C7748"/>
    <w:rsid w:val="002C7FDF"/>
    <w:rsid w:val="002D09B2"/>
    <w:rsid w:val="002D12A3"/>
    <w:rsid w:val="002D15AA"/>
    <w:rsid w:val="002D15F8"/>
    <w:rsid w:val="002D2012"/>
    <w:rsid w:val="002D2184"/>
    <w:rsid w:val="002D2A26"/>
    <w:rsid w:val="002D2D06"/>
    <w:rsid w:val="002D3355"/>
    <w:rsid w:val="002D3617"/>
    <w:rsid w:val="002D3654"/>
    <w:rsid w:val="002D3EF6"/>
    <w:rsid w:val="002D467B"/>
    <w:rsid w:val="002D4CE1"/>
    <w:rsid w:val="002D4DF9"/>
    <w:rsid w:val="002D5CC7"/>
    <w:rsid w:val="002D6166"/>
    <w:rsid w:val="002D6D1B"/>
    <w:rsid w:val="002D7046"/>
    <w:rsid w:val="002D789E"/>
    <w:rsid w:val="002D7F7B"/>
    <w:rsid w:val="002E09A2"/>
    <w:rsid w:val="002E0A4D"/>
    <w:rsid w:val="002E11FC"/>
    <w:rsid w:val="002E2E88"/>
    <w:rsid w:val="002E32EA"/>
    <w:rsid w:val="002E3490"/>
    <w:rsid w:val="002E4E8E"/>
    <w:rsid w:val="002E64B0"/>
    <w:rsid w:val="002E680A"/>
    <w:rsid w:val="002E7515"/>
    <w:rsid w:val="002E799F"/>
    <w:rsid w:val="002F050B"/>
    <w:rsid w:val="002F08BC"/>
    <w:rsid w:val="002F0A1E"/>
    <w:rsid w:val="002F0F08"/>
    <w:rsid w:val="002F1049"/>
    <w:rsid w:val="002F2594"/>
    <w:rsid w:val="002F2965"/>
    <w:rsid w:val="002F2A72"/>
    <w:rsid w:val="002F30D2"/>
    <w:rsid w:val="002F36E0"/>
    <w:rsid w:val="002F397E"/>
    <w:rsid w:val="002F3A99"/>
    <w:rsid w:val="002F3AED"/>
    <w:rsid w:val="002F3EDB"/>
    <w:rsid w:val="002F3FBF"/>
    <w:rsid w:val="002F4593"/>
    <w:rsid w:val="002F5024"/>
    <w:rsid w:val="002F5142"/>
    <w:rsid w:val="002F59EC"/>
    <w:rsid w:val="002F5CB8"/>
    <w:rsid w:val="002F60D4"/>
    <w:rsid w:val="00300B89"/>
    <w:rsid w:val="00300D1D"/>
    <w:rsid w:val="003012AF"/>
    <w:rsid w:val="00301852"/>
    <w:rsid w:val="00302E5D"/>
    <w:rsid w:val="003037C1"/>
    <w:rsid w:val="00303D16"/>
    <w:rsid w:val="003041F7"/>
    <w:rsid w:val="00304A2E"/>
    <w:rsid w:val="00305500"/>
    <w:rsid w:val="00305C0B"/>
    <w:rsid w:val="00305CF6"/>
    <w:rsid w:val="00306097"/>
    <w:rsid w:val="00306892"/>
    <w:rsid w:val="00306951"/>
    <w:rsid w:val="00306B3D"/>
    <w:rsid w:val="00306E57"/>
    <w:rsid w:val="00307AF4"/>
    <w:rsid w:val="0031067F"/>
    <w:rsid w:val="003108EF"/>
    <w:rsid w:val="00310E7B"/>
    <w:rsid w:val="0031100B"/>
    <w:rsid w:val="00311224"/>
    <w:rsid w:val="0031196F"/>
    <w:rsid w:val="00311FE8"/>
    <w:rsid w:val="00312271"/>
    <w:rsid w:val="003129C1"/>
    <w:rsid w:val="00312E7D"/>
    <w:rsid w:val="003133E3"/>
    <w:rsid w:val="00313AA4"/>
    <w:rsid w:val="00314A24"/>
    <w:rsid w:val="00314FCB"/>
    <w:rsid w:val="00315517"/>
    <w:rsid w:val="00315554"/>
    <w:rsid w:val="00315E48"/>
    <w:rsid w:val="00315FE8"/>
    <w:rsid w:val="00316064"/>
    <w:rsid w:val="003163F8"/>
    <w:rsid w:val="003169DC"/>
    <w:rsid w:val="00316A58"/>
    <w:rsid w:val="003174E1"/>
    <w:rsid w:val="00317BA4"/>
    <w:rsid w:val="00320B81"/>
    <w:rsid w:val="00320D5E"/>
    <w:rsid w:val="00320E5D"/>
    <w:rsid w:val="00321BB9"/>
    <w:rsid w:val="003224A1"/>
    <w:rsid w:val="0032250C"/>
    <w:rsid w:val="00322AE5"/>
    <w:rsid w:val="00322F4D"/>
    <w:rsid w:val="0032342B"/>
    <w:rsid w:val="00324311"/>
    <w:rsid w:val="003247AF"/>
    <w:rsid w:val="00324C89"/>
    <w:rsid w:val="003252AA"/>
    <w:rsid w:val="00325C1A"/>
    <w:rsid w:val="00326387"/>
    <w:rsid w:val="003263B7"/>
    <w:rsid w:val="003264C1"/>
    <w:rsid w:val="00326620"/>
    <w:rsid w:val="003267DF"/>
    <w:rsid w:val="00327532"/>
    <w:rsid w:val="0032796B"/>
    <w:rsid w:val="00327C58"/>
    <w:rsid w:val="00330694"/>
    <w:rsid w:val="00331CDE"/>
    <w:rsid w:val="00331D29"/>
    <w:rsid w:val="00332C88"/>
    <w:rsid w:val="00332F51"/>
    <w:rsid w:val="00334428"/>
    <w:rsid w:val="00334548"/>
    <w:rsid w:val="00335654"/>
    <w:rsid w:val="0033591C"/>
    <w:rsid w:val="00335FDC"/>
    <w:rsid w:val="00336C9C"/>
    <w:rsid w:val="00336D03"/>
    <w:rsid w:val="00337B16"/>
    <w:rsid w:val="003408A6"/>
    <w:rsid w:val="00340D1E"/>
    <w:rsid w:val="00341440"/>
    <w:rsid w:val="003416BB"/>
    <w:rsid w:val="00341C8A"/>
    <w:rsid w:val="0034269B"/>
    <w:rsid w:val="00343613"/>
    <w:rsid w:val="0034363A"/>
    <w:rsid w:val="0034363C"/>
    <w:rsid w:val="00343DF0"/>
    <w:rsid w:val="003444DD"/>
    <w:rsid w:val="00345777"/>
    <w:rsid w:val="00347214"/>
    <w:rsid w:val="003505BD"/>
    <w:rsid w:val="00350634"/>
    <w:rsid w:val="00350E57"/>
    <w:rsid w:val="00350FA0"/>
    <w:rsid w:val="0035202D"/>
    <w:rsid w:val="003526CC"/>
    <w:rsid w:val="00352D21"/>
    <w:rsid w:val="00352E30"/>
    <w:rsid w:val="003532A6"/>
    <w:rsid w:val="00353C66"/>
    <w:rsid w:val="00353F35"/>
    <w:rsid w:val="00354AC7"/>
    <w:rsid w:val="003556C3"/>
    <w:rsid w:val="00355B30"/>
    <w:rsid w:val="00355FF4"/>
    <w:rsid w:val="003561E0"/>
    <w:rsid w:val="0035662E"/>
    <w:rsid w:val="003569CB"/>
    <w:rsid w:val="00357A27"/>
    <w:rsid w:val="00360006"/>
    <w:rsid w:val="00362BEB"/>
    <w:rsid w:val="00363B92"/>
    <w:rsid w:val="00363D2E"/>
    <w:rsid w:val="00364218"/>
    <w:rsid w:val="003649A1"/>
    <w:rsid w:val="00364C3E"/>
    <w:rsid w:val="003650C0"/>
    <w:rsid w:val="00365C6E"/>
    <w:rsid w:val="0036615C"/>
    <w:rsid w:val="00366C6C"/>
    <w:rsid w:val="00370D6F"/>
    <w:rsid w:val="00370FB7"/>
    <w:rsid w:val="00371044"/>
    <w:rsid w:val="00372C5D"/>
    <w:rsid w:val="00373F32"/>
    <w:rsid w:val="0037407C"/>
    <w:rsid w:val="00374F1C"/>
    <w:rsid w:val="003753FF"/>
    <w:rsid w:val="00375489"/>
    <w:rsid w:val="0037613B"/>
    <w:rsid w:val="00376832"/>
    <w:rsid w:val="00377046"/>
    <w:rsid w:val="00377A0A"/>
    <w:rsid w:val="00380105"/>
    <w:rsid w:val="00380D28"/>
    <w:rsid w:val="003813A6"/>
    <w:rsid w:val="00381792"/>
    <w:rsid w:val="00382470"/>
    <w:rsid w:val="00383029"/>
    <w:rsid w:val="0038331B"/>
    <w:rsid w:val="003837BA"/>
    <w:rsid w:val="003839C7"/>
    <w:rsid w:val="00384272"/>
    <w:rsid w:val="003844EB"/>
    <w:rsid w:val="00384E38"/>
    <w:rsid w:val="00385828"/>
    <w:rsid w:val="00386BE8"/>
    <w:rsid w:val="0038734A"/>
    <w:rsid w:val="00387D82"/>
    <w:rsid w:val="0039106D"/>
    <w:rsid w:val="003911C2"/>
    <w:rsid w:val="00391775"/>
    <w:rsid w:val="003923B0"/>
    <w:rsid w:val="00392696"/>
    <w:rsid w:val="00392802"/>
    <w:rsid w:val="003930E6"/>
    <w:rsid w:val="00393990"/>
    <w:rsid w:val="00393A6D"/>
    <w:rsid w:val="00394057"/>
    <w:rsid w:val="00395176"/>
    <w:rsid w:val="0039592F"/>
    <w:rsid w:val="00395B26"/>
    <w:rsid w:val="00396F96"/>
    <w:rsid w:val="00397DAC"/>
    <w:rsid w:val="00397EF2"/>
    <w:rsid w:val="003A07F0"/>
    <w:rsid w:val="003A136E"/>
    <w:rsid w:val="003A1902"/>
    <w:rsid w:val="003A381D"/>
    <w:rsid w:val="003A3CE8"/>
    <w:rsid w:val="003A4120"/>
    <w:rsid w:val="003A4808"/>
    <w:rsid w:val="003A4D31"/>
    <w:rsid w:val="003A4FAD"/>
    <w:rsid w:val="003A514C"/>
    <w:rsid w:val="003A52BE"/>
    <w:rsid w:val="003A534E"/>
    <w:rsid w:val="003A6276"/>
    <w:rsid w:val="003A6319"/>
    <w:rsid w:val="003A66CE"/>
    <w:rsid w:val="003A6B68"/>
    <w:rsid w:val="003A70CC"/>
    <w:rsid w:val="003A7127"/>
    <w:rsid w:val="003A75BC"/>
    <w:rsid w:val="003B0593"/>
    <w:rsid w:val="003B0A35"/>
    <w:rsid w:val="003B0F87"/>
    <w:rsid w:val="003B0F98"/>
    <w:rsid w:val="003B193A"/>
    <w:rsid w:val="003B1A76"/>
    <w:rsid w:val="003B1DA8"/>
    <w:rsid w:val="003B20BE"/>
    <w:rsid w:val="003B2944"/>
    <w:rsid w:val="003B30C5"/>
    <w:rsid w:val="003B3435"/>
    <w:rsid w:val="003B3779"/>
    <w:rsid w:val="003B44EF"/>
    <w:rsid w:val="003B4ABC"/>
    <w:rsid w:val="003B5850"/>
    <w:rsid w:val="003B6CCF"/>
    <w:rsid w:val="003B6F26"/>
    <w:rsid w:val="003C083C"/>
    <w:rsid w:val="003C1207"/>
    <w:rsid w:val="003C1552"/>
    <w:rsid w:val="003C16C5"/>
    <w:rsid w:val="003C1894"/>
    <w:rsid w:val="003C2DD5"/>
    <w:rsid w:val="003C3E7A"/>
    <w:rsid w:val="003C4FB6"/>
    <w:rsid w:val="003C544C"/>
    <w:rsid w:val="003C59CC"/>
    <w:rsid w:val="003C6F8E"/>
    <w:rsid w:val="003C7177"/>
    <w:rsid w:val="003C72C4"/>
    <w:rsid w:val="003C74EA"/>
    <w:rsid w:val="003D0450"/>
    <w:rsid w:val="003D07C0"/>
    <w:rsid w:val="003D0AB5"/>
    <w:rsid w:val="003D122E"/>
    <w:rsid w:val="003D1621"/>
    <w:rsid w:val="003D1685"/>
    <w:rsid w:val="003D2579"/>
    <w:rsid w:val="003D288C"/>
    <w:rsid w:val="003D2909"/>
    <w:rsid w:val="003D2B8D"/>
    <w:rsid w:val="003D3396"/>
    <w:rsid w:val="003D3815"/>
    <w:rsid w:val="003D5806"/>
    <w:rsid w:val="003D5D84"/>
    <w:rsid w:val="003D62F6"/>
    <w:rsid w:val="003D6ABD"/>
    <w:rsid w:val="003D73A8"/>
    <w:rsid w:val="003D7866"/>
    <w:rsid w:val="003D78BB"/>
    <w:rsid w:val="003D79D6"/>
    <w:rsid w:val="003D7D52"/>
    <w:rsid w:val="003E020C"/>
    <w:rsid w:val="003E0C5B"/>
    <w:rsid w:val="003E0E8F"/>
    <w:rsid w:val="003E0F33"/>
    <w:rsid w:val="003E1134"/>
    <w:rsid w:val="003E132A"/>
    <w:rsid w:val="003E1452"/>
    <w:rsid w:val="003E19AC"/>
    <w:rsid w:val="003E3006"/>
    <w:rsid w:val="003E3060"/>
    <w:rsid w:val="003E30F4"/>
    <w:rsid w:val="003E391C"/>
    <w:rsid w:val="003E3D04"/>
    <w:rsid w:val="003E4059"/>
    <w:rsid w:val="003E4288"/>
    <w:rsid w:val="003E480D"/>
    <w:rsid w:val="003E4852"/>
    <w:rsid w:val="003E4999"/>
    <w:rsid w:val="003E4EEB"/>
    <w:rsid w:val="003E5E0C"/>
    <w:rsid w:val="003E667C"/>
    <w:rsid w:val="003E74AE"/>
    <w:rsid w:val="003E7699"/>
    <w:rsid w:val="003E7B13"/>
    <w:rsid w:val="003E7DC3"/>
    <w:rsid w:val="003F0883"/>
    <w:rsid w:val="003F08F6"/>
    <w:rsid w:val="003F0C9E"/>
    <w:rsid w:val="003F0D32"/>
    <w:rsid w:val="003F17BD"/>
    <w:rsid w:val="003F18B7"/>
    <w:rsid w:val="003F2196"/>
    <w:rsid w:val="003F2335"/>
    <w:rsid w:val="003F23C9"/>
    <w:rsid w:val="003F2967"/>
    <w:rsid w:val="003F2F80"/>
    <w:rsid w:val="003F333B"/>
    <w:rsid w:val="003F335E"/>
    <w:rsid w:val="003F35AD"/>
    <w:rsid w:val="003F48EF"/>
    <w:rsid w:val="003F4C5C"/>
    <w:rsid w:val="003F5097"/>
    <w:rsid w:val="003F5195"/>
    <w:rsid w:val="003F55B8"/>
    <w:rsid w:val="003F565D"/>
    <w:rsid w:val="003F57EB"/>
    <w:rsid w:val="003F5ADF"/>
    <w:rsid w:val="003F62D6"/>
    <w:rsid w:val="003F6576"/>
    <w:rsid w:val="003F6E1B"/>
    <w:rsid w:val="003F6EC0"/>
    <w:rsid w:val="003F7153"/>
    <w:rsid w:val="004000A8"/>
    <w:rsid w:val="004001E0"/>
    <w:rsid w:val="004008C5"/>
    <w:rsid w:val="0040094B"/>
    <w:rsid w:val="00400D31"/>
    <w:rsid w:val="0040353C"/>
    <w:rsid w:val="0040365C"/>
    <w:rsid w:val="004038FF"/>
    <w:rsid w:val="00404952"/>
    <w:rsid w:val="004049D4"/>
    <w:rsid w:val="00404FFD"/>
    <w:rsid w:val="00405309"/>
    <w:rsid w:val="00405639"/>
    <w:rsid w:val="0040564E"/>
    <w:rsid w:val="004059DE"/>
    <w:rsid w:val="00405C8E"/>
    <w:rsid w:val="00406E2F"/>
    <w:rsid w:val="004073B8"/>
    <w:rsid w:val="00407F06"/>
    <w:rsid w:val="00410B91"/>
    <w:rsid w:val="00410E53"/>
    <w:rsid w:val="004111C2"/>
    <w:rsid w:val="00411713"/>
    <w:rsid w:val="00411888"/>
    <w:rsid w:val="00411DF5"/>
    <w:rsid w:val="00412CE8"/>
    <w:rsid w:val="00412D11"/>
    <w:rsid w:val="004135BC"/>
    <w:rsid w:val="0041409B"/>
    <w:rsid w:val="00414A89"/>
    <w:rsid w:val="00414E48"/>
    <w:rsid w:val="00416341"/>
    <w:rsid w:val="00416B4B"/>
    <w:rsid w:val="00416FA9"/>
    <w:rsid w:val="00417862"/>
    <w:rsid w:val="00417BED"/>
    <w:rsid w:val="00417CC4"/>
    <w:rsid w:val="00417F0A"/>
    <w:rsid w:val="00420AEF"/>
    <w:rsid w:val="00422BE4"/>
    <w:rsid w:val="00422E82"/>
    <w:rsid w:val="00423467"/>
    <w:rsid w:val="00423970"/>
    <w:rsid w:val="00423E48"/>
    <w:rsid w:val="00424C19"/>
    <w:rsid w:val="00425A2A"/>
    <w:rsid w:val="00425DE0"/>
    <w:rsid w:val="004261BC"/>
    <w:rsid w:val="00426FF0"/>
    <w:rsid w:val="004273F6"/>
    <w:rsid w:val="00430598"/>
    <w:rsid w:val="0043089B"/>
    <w:rsid w:val="00430D17"/>
    <w:rsid w:val="00431526"/>
    <w:rsid w:val="00431E99"/>
    <w:rsid w:val="00431F1D"/>
    <w:rsid w:val="004328FD"/>
    <w:rsid w:val="00433210"/>
    <w:rsid w:val="004339C2"/>
    <w:rsid w:val="00433FB0"/>
    <w:rsid w:val="0043438C"/>
    <w:rsid w:val="00434D05"/>
    <w:rsid w:val="004356E6"/>
    <w:rsid w:val="004362DC"/>
    <w:rsid w:val="004362E5"/>
    <w:rsid w:val="004363B4"/>
    <w:rsid w:val="00436808"/>
    <w:rsid w:val="00437734"/>
    <w:rsid w:val="00440A83"/>
    <w:rsid w:val="00441294"/>
    <w:rsid w:val="004413CA"/>
    <w:rsid w:val="00441578"/>
    <w:rsid w:val="0044160C"/>
    <w:rsid w:val="0044169D"/>
    <w:rsid w:val="00442123"/>
    <w:rsid w:val="00442A0E"/>
    <w:rsid w:val="00442BA6"/>
    <w:rsid w:val="00442C3F"/>
    <w:rsid w:val="00442E11"/>
    <w:rsid w:val="0044579D"/>
    <w:rsid w:val="0044581E"/>
    <w:rsid w:val="00447C54"/>
    <w:rsid w:val="004500D3"/>
    <w:rsid w:val="00450100"/>
    <w:rsid w:val="004501A9"/>
    <w:rsid w:val="00450312"/>
    <w:rsid w:val="00452309"/>
    <w:rsid w:val="00452B42"/>
    <w:rsid w:val="004538CD"/>
    <w:rsid w:val="004545E9"/>
    <w:rsid w:val="00454854"/>
    <w:rsid w:val="00454CC1"/>
    <w:rsid w:val="004557B9"/>
    <w:rsid w:val="00455A0A"/>
    <w:rsid w:val="00455E08"/>
    <w:rsid w:val="00456002"/>
    <w:rsid w:val="0045663B"/>
    <w:rsid w:val="004573B0"/>
    <w:rsid w:val="00457EAF"/>
    <w:rsid w:val="00460E45"/>
    <w:rsid w:val="00460FD7"/>
    <w:rsid w:val="00461871"/>
    <w:rsid w:val="00461A36"/>
    <w:rsid w:val="00461DBE"/>
    <w:rsid w:val="00461DDA"/>
    <w:rsid w:val="0046211C"/>
    <w:rsid w:val="00462253"/>
    <w:rsid w:val="004624D4"/>
    <w:rsid w:val="00462D59"/>
    <w:rsid w:val="0046327E"/>
    <w:rsid w:val="004642E1"/>
    <w:rsid w:val="004651ED"/>
    <w:rsid w:val="0046538E"/>
    <w:rsid w:val="004656D5"/>
    <w:rsid w:val="00466D18"/>
    <w:rsid w:val="004670FC"/>
    <w:rsid w:val="004674EC"/>
    <w:rsid w:val="004678F2"/>
    <w:rsid w:val="00467C44"/>
    <w:rsid w:val="004708FA"/>
    <w:rsid w:val="00470ABF"/>
    <w:rsid w:val="00470BDA"/>
    <w:rsid w:val="00470E36"/>
    <w:rsid w:val="00470EA3"/>
    <w:rsid w:val="0047145C"/>
    <w:rsid w:val="004718B8"/>
    <w:rsid w:val="00471CF9"/>
    <w:rsid w:val="00471F8D"/>
    <w:rsid w:val="00472F33"/>
    <w:rsid w:val="004738A7"/>
    <w:rsid w:val="004748A6"/>
    <w:rsid w:val="004749BF"/>
    <w:rsid w:val="00474BFF"/>
    <w:rsid w:val="00474C69"/>
    <w:rsid w:val="00475115"/>
    <w:rsid w:val="00475318"/>
    <w:rsid w:val="00475614"/>
    <w:rsid w:val="00475A92"/>
    <w:rsid w:val="0047610D"/>
    <w:rsid w:val="00476C2B"/>
    <w:rsid w:val="00477240"/>
    <w:rsid w:val="0047793D"/>
    <w:rsid w:val="00477A24"/>
    <w:rsid w:val="00477EFF"/>
    <w:rsid w:val="004803EE"/>
    <w:rsid w:val="00480624"/>
    <w:rsid w:val="004818FF"/>
    <w:rsid w:val="004825C6"/>
    <w:rsid w:val="00482705"/>
    <w:rsid w:val="004828F1"/>
    <w:rsid w:val="00482D34"/>
    <w:rsid w:val="00484442"/>
    <w:rsid w:val="00484E81"/>
    <w:rsid w:val="00485A1D"/>
    <w:rsid w:val="004861D1"/>
    <w:rsid w:val="004862BE"/>
    <w:rsid w:val="00486D34"/>
    <w:rsid w:val="00486DBD"/>
    <w:rsid w:val="00486EEB"/>
    <w:rsid w:val="00487113"/>
    <w:rsid w:val="00487582"/>
    <w:rsid w:val="004905D7"/>
    <w:rsid w:val="0049074D"/>
    <w:rsid w:val="004907C1"/>
    <w:rsid w:val="00490DE8"/>
    <w:rsid w:val="00490DF9"/>
    <w:rsid w:val="004916FC"/>
    <w:rsid w:val="00492658"/>
    <w:rsid w:val="004927F5"/>
    <w:rsid w:val="00492C10"/>
    <w:rsid w:val="0049325D"/>
    <w:rsid w:val="00493321"/>
    <w:rsid w:val="00493963"/>
    <w:rsid w:val="004941D8"/>
    <w:rsid w:val="00494380"/>
    <w:rsid w:val="004946EB"/>
    <w:rsid w:val="0049476C"/>
    <w:rsid w:val="0049543E"/>
    <w:rsid w:val="004972DD"/>
    <w:rsid w:val="00497591"/>
    <w:rsid w:val="004978B8"/>
    <w:rsid w:val="004A0291"/>
    <w:rsid w:val="004A042D"/>
    <w:rsid w:val="004A0E06"/>
    <w:rsid w:val="004A133B"/>
    <w:rsid w:val="004A136D"/>
    <w:rsid w:val="004A1C43"/>
    <w:rsid w:val="004A1EF6"/>
    <w:rsid w:val="004A27EF"/>
    <w:rsid w:val="004A325C"/>
    <w:rsid w:val="004A3594"/>
    <w:rsid w:val="004A35AE"/>
    <w:rsid w:val="004A3FF0"/>
    <w:rsid w:val="004A4808"/>
    <w:rsid w:val="004A57B2"/>
    <w:rsid w:val="004A65C0"/>
    <w:rsid w:val="004A663C"/>
    <w:rsid w:val="004A69A6"/>
    <w:rsid w:val="004A6FE7"/>
    <w:rsid w:val="004A760B"/>
    <w:rsid w:val="004A7AFD"/>
    <w:rsid w:val="004B0225"/>
    <w:rsid w:val="004B08F9"/>
    <w:rsid w:val="004B0D25"/>
    <w:rsid w:val="004B2989"/>
    <w:rsid w:val="004B2B8C"/>
    <w:rsid w:val="004B37E2"/>
    <w:rsid w:val="004B3874"/>
    <w:rsid w:val="004B42F7"/>
    <w:rsid w:val="004B4655"/>
    <w:rsid w:val="004B678A"/>
    <w:rsid w:val="004B69CE"/>
    <w:rsid w:val="004B6EA9"/>
    <w:rsid w:val="004B6FCF"/>
    <w:rsid w:val="004B714B"/>
    <w:rsid w:val="004B75A8"/>
    <w:rsid w:val="004B787E"/>
    <w:rsid w:val="004B7C49"/>
    <w:rsid w:val="004B7D96"/>
    <w:rsid w:val="004C0226"/>
    <w:rsid w:val="004C034E"/>
    <w:rsid w:val="004C05E0"/>
    <w:rsid w:val="004C08A7"/>
    <w:rsid w:val="004C0B4D"/>
    <w:rsid w:val="004C0D3F"/>
    <w:rsid w:val="004C1162"/>
    <w:rsid w:val="004C1175"/>
    <w:rsid w:val="004C1314"/>
    <w:rsid w:val="004C1783"/>
    <w:rsid w:val="004C1EFE"/>
    <w:rsid w:val="004C1F42"/>
    <w:rsid w:val="004C28D3"/>
    <w:rsid w:val="004C29C6"/>
    <w:rsid w:val="004C3857"/>
    <w:rsid w:val="004C39E3"/>
    <w:rsid w:val="004C3A7F"/>
    <w:rsid w:val="004C3AE6"/>
    <w:rsid w:val="004C3D9A"/>
    <w:rsid w:val="004C5EEA"/>
    <w:rsid w:val="004C6F8D"/>
    <w:rsid w:val="004C7947"/>
    <w:rsid w:val="004C7D72"/>
    <w:rsid w:val="004D181C"/>
    <w:rsid w:val="004D28FD"/>
    <w:rsid w:val="004D29EB"/>
    <w:rsid w:val="004D2B95"/>
    <w:rsid w:val="004D39F8"/>
    <w:rsid w:val="004D448F"/>
    <w:rsid w:val="004D4789"/>
    <w:rsid w:val="004D4B46"/>
    <w:rsid w:val="004D5A85"/>
    <w:rsid w:val="004D5BC3"/>
    <w:rsid w:val="004D5BCA"/>
    <w:rsid w:val="004D630E"/>
    <w:rsid w:val="004D6E7F"/>
    <w:rsid w:val="004D7651"/>
    <w:rsid w:val="004D7665"/>
    <w:rsid w:val="004D7CFF"/>
    <w:rsid w:val="004E0740"/>
    <w:rsid w:val="004E0864"/>
    <w:rsid w:val="004E08AE"/>
    <w:rsid w:val="004E17A6"/>
    <w:rsid w:val="004E1E93"/>
    <w:rsid w:val="004E2ACD"/>
    <w:rsid w:val="004E3312"/>
    <w:rsid w:val="004E40BA"/>
    <w:rsid w:val="004E41BA"/>
    <w:rsid w:val="004E421A"/>
    <w:rsid w:val="004E4B67"/>
    <w:rsid w:val="004E530D"/>
    <w:rsid w:val="004E6109"/>
    <w:rsid w:val="004E6471"/>
    <w:rsid w:val="004E65A0"/>
    <w:rsid w:val="004E6617"/>
    <w:rsid w:val="004E6B22"/>
    <w:rsid w:val="004E7754"/>
    <w:rsid w:val="004F0B18"/>
    <w:rsid w:val="004F290D"/>
    <w:rsid w:val="004F2DD7"/>
    <w:rsid w:val="004F3189"/>
    <w:rsid w:val="004F502D"/>
    <w:rsid w:val="004F6150"/>
    <w:rsid w:val="004F6238"/>
    <w:rsid w:val="004F6347"/>
    <w:rsid w:val="004F667E"/>
    <w:rsid w:val="004F68A2"/>
    <w:rsid w:val="004F6C03"/>
    <w:rsid w:val="004F74E6"/>
    <w:rsid w:val="004F75B9"/>
    <w:rsid w:val="00500623"/>
    <w:rsid w:val="00501171"/>
    <w:rsid w:val="00501503"/>
    <w:rsid w:val="00501DE6"/>
    <w:rsid w:val="00502128"/>
    <w:rsid w:val="00502145"/>
    <w:rsid w:val="00502565"/>
    <w:rsid w:val="0050297F"/>
    <w:rsid w:val="00502B23"/>
    <w:rsid w:val="0050321D"/>
    <w:rsid w:val="0050348E"/>
    <w:rsid w:val="0050353E"/>
    <w:rsid w:val="0050358E"/>
    <w:rsid w:val="00503622"/>
    <w:rsid w:val="00503A98"/>
    <w:rsid w:val="00504505"/>
    <w:rsid w:val="0050452B"/>
    <w:rsid w:val="0050498E"/>
    <w:rsid w:val="00504C97"/>
    <w:rsid w:val="00504E7F"/>
    <w:rsid w:val="005050D5"/>
    <w:rsid w:val="005058A9"/>
    <w:rsid w:val="005066C6"/>
    <w:rsid w:val="00506B78"/>
    <w:rsid w:val="00510329"/>
    <w:rsid w:val="005114A3"/>
    <w:rsid w:val="0051155F"/>
    <w:rsid w:val="0051198B"/>
    <w:rsid w:val="005119A0"/>
    <w:rsid w:val="005123FB"/>
    <w:rsid w:val="00512C2F"/>
    <w:rsid w:val="00512C38"/>
    <w:rsid w:val="005130B7"/>
    <w:rsid w:val="00513291"/>
    <w:rsid w:val="00513CAF"/>
    <w:rsid w:val="00514E43"/>
    <w:rsid w:val="00515334"/>
    <w:rsid w:val="005153BC"/>
    <w:rsid w:val="00515620"/>
    <w:rsid w:val="00515918"/>
    <w:rsid w:val="00515C5D"/>
    <w:rsid w:val="00516010"/>
    <w:rsid w:val="005161D6"/>
    <w:rsid w:val="00516DC2"/>
    <w:rsid w:val="00517682"/>
    <w:rsid w:val="0052056F"/>
    <w:rsid w:val="00520AA7"/>
    <w:rsid w:val="00521FB7"/>
    <w:rsid w:val="00522F32"/>
    <w:rsid w:val="005237B4"/>
    <w:rsid w:val="00523F55"/>
    <w:rsid w:val="00523F75"/>
    <w:rsid w:val="005253EA"/>
    <w:rsid w:val="005255FA"/>
    <w:rsid w:val="005268A2"/>
    <w:rsid w:val="005269E7"/>
    <w:rsid w:val="00526A0A"/>
    <w:rsid w:val="00526EE8"/>
    <w:rsid w:val="00526F82"/>
    <w:rsid w:val="00527251"/>
    <w:rsid w:val="005307CB"/>
    <w:rsid w:val="00530CA7"/>
    <w:rsid w:val="00530E55"/>
    <w:rsid w:val="00530F4F"/>
    <w:rsid w:val="00531E5F"/>
    <w:rsid w:val="00532A0D"/>
    <w:rsid w:val="00532D9B"/>
    <w:rsid w:val="00533D96"/>
    <w:rsid w:val="005341DF"/>
    <w:rsid w:val="005347D9"/>
    <w:rsid w:val="00534C23"/>
    <w:rsid w:val="00534DFC"/>
    <w:rsid w:val="00534E66"/>
    <w:rsid w:val="005352F4"/>
    <w:rsid w:val="0053541E"/>
    <w:rsid w:val="0053550D"/>
    <w:rsid w:val="00535D79"/>
    <w:rsid w:val="005365F0"/>
    <w:rsid w:val="0053666C"/>
    <w:rsid w:val="00536674"/>
    <w:rsid w:val="00536AB5"/>
    <w:rsid w:val="00536FB7"/>
    <w:rsid w:val="00537202"/>
    <w:rsid w:val="0053782E"/>
    <w:rsid w:val="00540B78"/>
    <w:rsid w:val="00540C00"/>
    <w:rsid w:val="00540DC3"/>
    <w:rsid w:val="00541BA2"/>
    <w:rsid w:val="00541CE5"/>
    <w:rsid w:val="005421FE"/>
    <w:rsid w:val="00542389"/>
    <w:rsid w:val="005429A6"/>
    <w:rsid w:val="00542A29"/>
    <w:rsid w:val="0054350A"/>
    <w:rsid w:val="005435CC"/>
    <w:rsid w:val="00544169"/>
    <w:rsid w:val="00545414"/>
    <w:rsid w:val="00545745"/>
    <w:rsid w:val="005457B9"/>
    <w:rsid w:val="00545B63"/>
    <w:rsid w:val="00547948"/>
    <w:rsid w:val="00547C30"/>
    <w:rsid w:val="005504C2"/>
    <w:rsid w:val="00550EEF"/>
    <w:rsid w:val="0055138F"/>
    <w:rsid w:val="0055211D"/>
    <w:rsid w:val="005523C6"/>
    <w:rsid w:val="005524A6"/>
    <w:rsid w:val="005529FC"/>
    <w:rsid w:val="005539C2"/>
    <w:rsid w:val="00553CE0"/>
    <w:rsid w:val="0055413F"/>
    <w:rsid w:val="00554731"/>
    <w:rsid w:val="0055539B"/>
    <w:rsid w:val="00556227"/>
    <w:rsid w:val="00556D7D"/>
    <w:rsid w:val="005605F2"/>
    <w:rsid w:val="00561A73"/>
    <w:rsid w:val="005632E9"/>
    <w:rsid w:val="00563A17"/>
    <w:rsid w:val="00563A4B"/>
    <w:rsid w:val="005640F9"/>
    <w:rsid w:val="00564FF9"/>
    <w:rsid w:val="005653DD"/>
    <w:rsid w:val="00565562"/>
    <w:rsid w:val="00565C8B"/>
    <w:rsid w:val="00565FAA"/>
    <w:rsid w:val="0056605D"/>
    <w:rsid w:val="005666A3"/>
    <w:rsid w:val="00566754"/>
    <w:rsid w:val="00566E10"/>
    <w:rsid w:val="00566F2B"/>
    <w:rsid w:val="0056703A"/>
    <w:rsid w:val="00567805"/>
    <w:rsid w:val="00567FD6"/>
    <w:rsid w:val="00570EC1"/>
    <w:rsid w:val="005711D1"/>
    <w:rsid w:val="0057128C"/>
    <w:rsid w:val="005718AD"/>
    <w:rsid w:val="0057246B"/>
    <w:rsid w:val="00572C6F"/>
    <w:rsid w:val="00572F53"/>
    <w:rsid w:val="00573139"/>
    <w:rsid w:val="005734EE"/>
    <w:rsid w:val="0057365E"/>
    <w:rsid w:val="005737B1"/>
    <w:rsid w:val="005743C6"/>
    <w:rsid w:val="00574468"/>
    <w:rsid w:val="00575D9A"/>
    <w:rsid w:val="0057615D"/>
    <w:rsid w:val="005764A7"/>
    <w:rsid w:val="0057675B"/>
    <w:rsid w:val="00577143"/>
    <w:rsid w:val="00577D5E"/>
    <w:rsid w:val="00580C12"/>
    <w:rsid w:val="0058117E"/>
    <w:rsid w:val="00581A33"/>
    <w:rsid w:val="00582966"/>
    <w:rsid w:val="00583060"/>
    <w:rsid w:val="00583458"/>
    <w:rsid w:val="00583494"/>
    <w:rsid w:val="005837D3"/>
    <w:rsid w:val="0058427E"/>
    <w:rsid w:val="005844C5"/>
    <w:rsid w:val="00584FC7"/>
    <w:rsid w:val="00585CC3"/>
    <w:rsid w:val="0058643D"/>
    <w:rsid w:val="00586805"/>
    <w:rsid w:val="00586A37"/>
    <w:rsid w:val="00587166"/>
    <w:rsid w:val="005874F8"/>
    <w:rsid w:val="00587734"/>
    <w:rsid w:val="005903D8"/>
    <w:rsid w:val="00590684"/>
    <w:rsid w:val="00590CF2"/>
    <w:rsid w:val="00591930"/>
    <w:rsid w:val="00591AE8"/>
    <w:rsid w:val="00592097"/>
    <w:rsid w:val="005929BA"/>
    <w:rsid w:val="00592ACF"/>
    <w:rsid w:val="00592E49"/>
    <w:rsid w:val="00592F07"/>
    <w:rsid w:val="00593A14"/>
    <w:rsid w:val="00593E9B"/>
    <w:rsid w:val="00594208"/>
    <w:rsid w:val="005945B4"/>
    <w:rsid w:val="00594990"/>
    <w:rsid w:val="00596D9D"/>
    <w:rsid w:val="00597AEE"/>
    <w:rsid w:val="00597B63"/>
    <w:rsid w:val="005A077E"/>
    <w:rsid w:val="005A0783"/>
    <w:rsid w:val="005A13BC"/>
    <w:rsid w:val="005A1659"/>
    <w:rsid w:val="005A17C2"/>
    <w:rsid w:val="005A1BFF"/>
    <w:rsid w:val="005A23C0"/>
    <w:rsid w:val="005A26BE"/>
    <w:rsid w:val="005A2762"/>
    <w:rsid w:val="005A28B9"/>
    <w:rsid w:val="005A2C76"/>
    <w:rsid w:val="005A2F1C"/>
    <w:rsid w:val="005A31B9"/>
    <w:rsid w:val="005A446A"/>
    <w:rsid w:val="005A4FA7"/>
    <w:rsid w:val="005A51BE"/>
    <w:rsid w:val="005A65E8"/>
    <w:rsid w:val="005A66D8"/>
    <w:rsid w:val="005A69EB"/>
    <w:rsid w:val="005A7115"/>
    <w:rsid w:val="005A76CB"/>
    <w:rsid w:val="005B003D"/>
    <w:rsid w:val="005B1610"/>
    <w:rsid w:val="005B180B"/>
    <w:rsid w:val="005B1B81"/>
    <w:rsid w:val="005B1E45"/>
    <w:rsid w:val="005B1F9E"/>
    <w:rsid w:val="005B22C3"/>
    <w:rsid w:val="005B2386"/>
    <w:rsid w:val="005B247C"/>
    <w:rsid w:val="005B28F4"/>
    <w:rsid w:val="005B2977"/>
    <w:rsid w:val="005B2981"/>
    <w:rsid w:val="005B3582"/>
    <w:rsid w:val="005B4FE3"/>
    <w:rsid w:val="005B5102"/>
    <w:rsid w:val="005B511E"/>
    <w:rsid w:val="005B563B"/>
    <w:rsid w:val="005B61BE"/>
    <w:rsid w:val="005B7404"/>
    <w:rsid w:val="005B76F1"/>
    <w:rsid w:val="005B77E5"/>
    <w:rsid w:val="005B7D2C"/>
    <w:rsid w:val="005C0471"/>
    <w:rsid w:val="005C15D8"/>
    <w:rsid w:val="005C1D9B"/>
    <w:rsid w:val="005C20A9"/>
    <w:rsid w:val="005C2221"/>
    <w:rsid w:val="005C2457"/>
    <w:rsid w:val="005C262F"/>
    <w:rsid w:val="005C4177"/>
    <w:rsid w:val="005C4524"/>
    <w:rsid w:val="005C4FE9"/>
    <w:rsid w:val="005C4FEA"/>
    <w:rsid w:val="005C5648"/>
    <w:rsid w:val="005C5957"/>
    <w:rsid w:val="005C5FB9"/>
    <w:rsid w:val="005C6042"/>
    <w:rsid w:val="005C6183"/>
    <w:rsid w:val="005C6280"/>
    <w:rsid w:val="005C6286"/>
    <w:rsid w:val="005C6480"/>
    <w:rsid w:val="005C67B2"/>
    <w:rsid w:val="005C6F92"/>
    <w:rsid w:val="005C75A7"/>
    <w:rsid w:val="005D07CA"/>
    <w:rsid w:val="005D086F"/>
    <w:rsid w:val="005D0A6A"/>
    <w:rsid w:val="005D0EDF"/>
    <w:rsid w:val="005D1B01"/>
    <w:rsid w:val="005D1FE9"/>
    <w:rsid w:val="005D3250"/>
    <w:rsid w:val="005D3407"/>
    <w:rsid w:val="005D3FCC"/>
    <w:rsid w:val="005D4E49"/>
    <w:rsid w:val="005D5215"/>
    <w:rsid w:val="005D5E81"/>
    <w:rsid w:val="005D62FA"/>
    <w:rsid w:val="005D65B5"/>
    <w:rsid w:val="005D68A3"/>
    <w:rsid w:val="005D6922"/>
    <w:rsid w:val="005D6A93"/>
    <w:rsid w:val="005D6CB1"/>
    <w:rsid w:val="005D6D14"/>
    <w:rsid w:val="005D720F"/>
    <w:rsid w:val="005E060A"/>
    <w:rsid w:val="005E2DE5"/>
    <w:rsid w:val="005E3CF1"/>
    <w:rsid w:val="005E424A"/>
    <w:rsid w:val="005E57C6"/>
    <w:rsid w:val="005E5C96"/>
    <w:rsid w:val="005E71AA"/>
    <w:rsid w:val="005E7434"/>
    <w:rsid w:val="005E761D"/>
    <w:rsid w:val="005E7955"/>
    <w:rsid w:val="005F079B"/>
    <w:rsid w:val="005F0A5D"/>
    <w:rsid w:val="005F0B0A"/>
    <w:rsid w:val="005F1E7B"/>
    <w:rsid w:val="005F32B9"/>
    <w:rsid w:val="005F3738"/>
    <w:rsid w:val="005F47CB"/>
    <w:rsid w:val="005F4E9F"/>
    <w:rsid w:val="005F5370"/>
    <w:rsid w:val="005F5A09"/>
    <w:rsid w:val="005F6042"/>
    <w:rsid w:val="005F6047"/>
    <w:rsid w:val="005F6579"/>
    <w:rsid w:val="005F6F56"/>
    <w:rsid w:val="005F7A93"/>
    <w:rsid w:val="005F7CE5"/>
    <w:rsid w:val="00600AC1"/>
    <w:rsid w:val="006012BE"/>
    <w:rsid w:val="006014A7"/>
    <w:rsid w:val="00601529"/>
    <w:rsid w:val="00601E3D"/>
    <w:rsid w:val="00601EF0"/>
    <w:rsid w:val="00601FF8"/>
    <w:rsid w:val="00603822"/>
    <w:rsid w:val="00603A8C"/>
    <w:rsid w:val="00603D1D"/>
    <w:rsid w:val="00604045"/>
    <w:rsid w:val="0060696E"/>
    <w:rsid w:val="00606CFE"/>
    <w:rsid w:val="00607D82"/>
    <w:rsid w:val="0061096B"/>
    <w:rsid w:val="00610A14"/>
    <w:rsid w:val="00610C81"/>
    <w:rsid w:val="006121B6"/>
    <w:rsid w:val="0061336C"/>
    <w:rsid w:val="00613840"/>
    <w:rsid w:val="00613B93"/>
    <w:rsid w:val="00613FE6"/>
    <w:rsid w:val="00614266"/>
    <w:rsid w:val="00614328"/>
    <w:rsid w:val="00614677"/>
    <w:rsid w:val="0061483B"/>
    <w:rsid w:val="006152B4"/>
    <w:rsid w:val="00616F28"/>
    <w:rsid w:val="006175C4"/>
    <w:rsid w:val="00617997"/>
    <w:rsid w:val="00620906"/>
    <w:rsid w:val="0062096E"/>
    <w:rsid w:val="00620DA4"/>
    <w:rsid w:val="006217A0"/>
    <w:rsid w:val="00621BF8"/>
    <w:rsid w:val="0062274D"/>
    <w:rsid w:val="00622F2A"/>
    <w:rsid w:val="00622F50"/>
    <w:rsid w:val="006241B6"/>
    <w:rsid w:val="00624473"/>
    <w:rsid w:val="00624697"/>
    <w:rsid w:val="00625541"/>
    <w:rsid w:val="006261AB"/>
    <w:rsid w:val="006267C6"/>
    <w:rsid w:val="0062709D"/>
    <w:rsid w:val="00627223"/>
    <w:rsid w:val="00627732"/>
    <w:rsid w:val="00627CC4"/>
    <w:rsid w:val="00627E78"/>
    <w:rsid w:val="00630734"/>
    <w:rsid w:val="00630826"/>
    <w:rsid w:val="006309DD"/>
    <w:rsid w:val="00630A7B"/>
    <w:rsid w:val="006312B3"/>
    <w:rsid w:val="00631A9D"/>
    <w:rsid w:val="0063265E"/>
    <w:rsid w:val="00632BC2"/>
    <w:rsid w:val="00632D06"/>
    <w:rsid w:val="0063322F"/>
    <w:rsid w:val="00634A65"/>
    <w:rsid w:val="00634D5A"/>
    <w:rsid w:val="00635BD8"/>
    <w:rsid w:val="00635DA0"/>
    <w:rsid w:val="00636889"/>
    <w:rsid w:val="00637042"/>
    <w:rsid w:val="00637068"/>
    <w:rsid w:val="00637666"/>
    <w:rsid w:val="00640728"/>
    <w:rsid w:val="006411B8"/>
    <w:rsid w:val="0064171D"/>
    <w:rsid w:val="00641D41"/>
    <w:rsid w:val="0064210D"/>
    <w:rsid w:val="00642211"/>
    <w:rsid w:val="0064250D"/>
    <w:rsid w:val="00643632"/>
    <w:rsid w:val="00643717"/>
    <w:rsid w:val="00643A9A"/>
    <w:rsid w:val="00643BBA"/>
    <w:rsid w:val="006445B4"/>
    <w:rsid w:val="0064495B"/>
    <w:rsid w:val="006458C0"/>
    <w:rsid w:val="00645D85"/>
    <w:rsid w:val="00646AC0"/>
    <w:rsid w:val="00647B50"/>
    <w:rsid w:val="00647D5E"/>
    <w:rsid w:val="00650E9F"/>
    <w:rsid w:val="006512E1"/>
    <w:rsid w:val="00651592"/>
    <w:rsid w:val="00651652"/>
    <w:rsid w:val="006517D4"/>
    <w:rsid w:val="00651819"/>
    <w:rsid w:val="00651CC7"/>
    <w:rsid w:val="006521CF"/>
    <w:rsid w:val="0065236A"/>
    <w:rsid w:val="006524E0"/>
    <w:rsid w:val="00652603"/>
    <w:rsid w:val="006540DA"/>
    <w:rsid w:val="00654D7F"/>
    <w:rsid w:val="00654DFC"/>
    <w:rsid w:val="006555F2"/>
    <w:rsid w:val="0065640A"/>
    <w:rsid w:val="00656A49"/>
    <w:rsid w:val="00656AC0"/>
    <w:rsid w:val="00657A43"/>
    <w:rsid w:val="00657DD9"/>
    <w:rsid w:val="00660797"/>
    <w:rsid w:val="00660A08"/>
    <w:rsid w:val="00661560"/>
    <w:rsid w:val="00662204"/>
    <w:rsid w:val="006628F6"/>
    <w:rsid w:val="00662C85"/>
    <w:rsid w:val="00663170"/>
    <w:rsid w:val="0066562F"/>
    <w:rsid w:val="00665976"/>
    <w:rsid w:val="00665A4A"/>
    <w:rsid w:val="00665D41"/>
    <w:rsid w:val="00665E95"/>
    <w:rsid w:val="00666054"/>
    <w:rsid w:val="006664B8"/>
    <w:rsid w:val="0066655A"/>
    <w:rsid w:val="00666DA5"/>
    <w:rsid w:val="00667F26"/>
    <w:rsid w:val="006703D9"/>
    <w:rsid w:val="00671350"/>
    <w:rsid w:val="0067143A"/>
    <w:rsid w:val="0067260B"/>
    <w:rsid w:val="00672913"/>
    <w:rsid w:val="006731BB"/>
    <w:rsid w:val="006733D7"/>
    <w:rsid w:val="00673488"/>
    <w:rsid w:val="0067382A"/>
    <w:rsid w:val="00674895"/>
    <w:rsid w:val="006750A8"/>
    <w:rsid w:val="0067512C"/>
    <w:rsid w:val="00675BEF"/>
    <w:rsid w:val="00675CD3"/>
    <w:rsid w:val="006767F1"/>
    <w:rsid w:val="00676813"/>
    <w:rsid w:val="006769A0"/>
    <w:rsid w:val="0067714E"/>
    <w:rsid w:val="0067731E"/>
    <w:rsid w:val="0067748E"/>
    <w:rsid w:val="00677A1D"/>
    <w:rsid w:val="00680077"/>
    <w:rsid w:val="006811A7"/>
    <w:rsid w:val="00681BDB"/>
    <w:rsid w:val="0068252C"/>
    <w:rsid w:val="00682739"/>
    <w:rsid w:val="00683842"/>
    <w:rsid w:val="00683CB0"/>
    <w:rsid w:val="006841D4"/>
    <w:rsid w:val="006843C1"/>
    <w:rsid w:val="006847DD"/>
    <w:rsid w:val="00686448"/>
    <w:rsid w:val="006865A0"/>
    <w:rsid w:val="0068679A"/>
    <w:rsid w:val="006874B0"/>
    <w:rsid w:val="0069047F"/>
    <w:rsid w:val="006910E3"/>
    <w:rsid w:val="00692084"/>
    <w:rsid w:val="006928DC"/>
    <w:rsid w:val="00692DAC"/>
    <w:rsid w:val="006936D7"/>
    <w:rsid w:val="00693958"/>
    <w:rsid w:val="0069403C"/>
    <w:rsid w:val="00694795"/>
    <w:rsid w:val="00694906"/>
    <w:rsid w:val="00694D2C"/>
    <w:rsid w:val="00696B32"/>
    <w:rsid w:val="00697415"/>
    <w:rsid w:val="00697703"/>
    <w:rsid w:val="00697CF8"/>
    <w:rsid w:val="00697FD1"/>
    <w:rsid w:val="006A01F4"/>
    <w:rsid w:val="006A074D"/>
    <w:rsid w:val="006A16C2"/>
    <w:rsid w:val="006A1BE3"/>
    <w:rsid w:val="006A20B1"/>
    <w:rsid w:val="006A2D6C"/>
    <w:rsid w:val="006A3930"/>
    <w:rsid w:val="006A3B96"/>
    <w:rsid w:val="006A47AD"/>
    <w:rsid w:val="006A4831"/>
    <w:rsid w:val="006A51E4"/>
    <w:rsid w:val="006A5660"/>
    <w:rsid w:val="006A7994"/>
    <w:rsid w:val="006A7B1D"/>
    <w:rsid w:val="006B09B1"/>
    <w:rsid w:val="006B10D0"/>
    <w:rsid w:val="006B1209"/>
    <w:rsid w:val="006B12A4"/>
    <w:rsid w:val="006B213D"/>
    <w:rsid w:val="006B2ED7"/>
    <w:rsid w:val="006B34C2"/>
    <w:rsid w:val="006B4375"/>
    <w:rsid w:val="006B4473"/>
    <w:rsid w:val="006B4947"/>
    <w:rsid w:val="006B512B"/>
    <w:rsid w:val="006B51A2"/>
    <w:rsid w:val="006B587D"/>
    <w:rsid w:val="006B58DE"/>
    <w:rsid w:val="006B67F9"/>
    <w:rsid w:val="006B68AD"/>
    <w:rsid w:val="006B69F3"/>
    <w:rsid w:val="006B6CB0"/>
    <w:rsid w:val="006B6DE0"/>
    <w:rsid w:val="006B798C"/>
    <w:rsid w:val="006B7E42"/>
    <w:rsid w:val="006C03CA"/>
    <w:rsid w:val="006C093E"/>
    <w:rsid w:val="006C0DD8"/>
    <w:rsid w:val="006C0E84"/>
    <w:rsid w:val="006C17B2"/>
    <w:rsid w:val="006C193D"/>
    <w:rsid w:val="006C1A94"/>
    <w:rsid w:val="006C1E28"/>
    <w:rsid w:val="006C25A5"/>
    <w:rsid w:val="006C281A"/>
    <w:rsid w:val="006C3A1C"/>
    <w:rsid w:val="006C3A45"/>
    <w:rsid w:val="006C3CFC"/>
    <w:rsid w:val="006C4094"/>
    <w:rsid w:val="006C4599"/>
    <w:rsid w:val="006C467E"/>
    <w:rsid w:val="006C59E2"/>
    <w:rsid w:val="006C5DA3"/>
    <w:rsid w:val="006C61A4"/>
    <w:rsid w:val="006C663C"/>
    <w:rsid w:val="006C6DE5"/>
    <w:rsid w:val="006C6F02"/>
    <w:rsid w:val="006C7885"/>
    <w:rsid w:val="006D0EE1"/>
    <w:rsid w:val="006D1495"/>
    <w:rsid w:val="006D1B59"/>
    <w:rsid w:val="006D1F39"/>
    <w:rsid w:val="006D2E1C"/>
    <w:rsid w:val="006D3896"/>
    <w:rsid w:val="006D3AED"/>
    <w:rsid w:val="006D3C53"/>
    <w:rsid w:val="006D3F6E"/>
    <w:rsid w:val="006D407C"/>
    <w:rsid w:val="006D47F3"/>
    <w:rsid w:val="006D4C54"/>
    <w:rsid w:val="006D56A3"/>
    <w:rsid w:val="006D5ACE"/>
    <w:rsid w:val="006D5D84"/>
    <w:rsid w:val="006D5E9B"/>
    <w:rsid w:val="006D6112"/>
    <w:rsid w:val="006D772F"/>
    <w:rsid w:val="006D7E8D"/>
    <w:rsid w:val="006E0025"/>
    <w:rsid w:val="006E0892"/>
    <w:rsid w:val="006E13BB"/>
    <w:rsid w:val="006E1CAA"/>
    <w:rsid w:val="006E25FD"/>
    <w:rsid w:val="006E2851"/>
    <w:rsid w:val="006E2AEB"/>
    <w:rsid w:val="006E384F"/>
    <w:rsid w:val="006E3EE1"/>
    <w:rsid w:val="006E3F87"/>
    <w:rsid w:val="006E4405"/>
    <w:rsid w:val="006E4556"/>
    <w:rsid w:val="006E4A5E"/>
    <w:rsid w:val="006E52C3"/>
    <w:rsid w:val="006E6245"/>
    <w:rsid w:val="006E6C2C"/>
    <w:rsid w:val="006E7195"/>
    <w:rsid w:val="006E73F8"/>
    <w:rsid w:val="006F1172"/>
    <w:rsid w:val="006F1678"/>
    <w:rsid w:val="006F19A9"/>
    <w:rsid w:val="006F1EB4"/>
    <w:rsid w:val="006F20C5"/>
    <w:rsid w:val="006F33F5"/>
    <w:rsid w:val="006F408A"/>
    <w:rsid w:val="006F4107"/>
    <w:rsid w:val="006F46CB"/>
    <w:rsid w:val="006F4EDF"/>
    <w:rsid w:val="006F725F"/>
    <w:rsid w:val="006F787D"/>
    <w:rsid w:val="006F78C4"/>
    <w:rsid w:val="00700571"/>
    <w:rsid w:val="00700797"/>
    <w:rsid w:val="007015F7"/>
    <w:rsid w:val="00701FF5"/>
    <w:rsid w:val="0070206A"/>
    <w:rsid w:val="0070287B"/>
    <w:rsid w:val="00703782"/>
    <w:rsid w:val="00703A2A"/>
    <w:rsid w:val="0070437D"/>
    <w:rsid w:val="00704889"/>
    <w:rsid w:val="00704ACA"/>
    <w:rsid w:val="00704EF4"/>
    <w:rsid w:val="0070505C"/>
    <w:rsid w:val="00705220"/>
    <w:rsid w:val="0070563F"/>
    <w:rsid w:val="00706B79"/>
    <w:rsid w:val="00706C45"/>
    <w:rsid w:val="00707208"/>
    <w:rsid w:val="007079BE"/>
    <w:rsid w:val="00707A6F"/>
    <w:rsid w:val="0071046F"/>
    <w:rsid w:val="00711705"/>
    <w:rsid w:val="007126DC"/>
    <w:rsid w:val="00712F6E"/>
    <w:rsid w:val="00714FCB"/>
    <w:rsid w:val="00715061"/>
    <w:rsid w:val="0071553F"/>
    <w:rsid w:val="00716526"/>
    <w:rsid w:val="00716F7B"/>
    <w:rsid w:val="00717D69"/>
    <w:rsid w:val="00717E0F"/>
    <w:rsid w:val="00717E64"/>
    <w:rsid w:val="00720901"/>
    <w:rsid w:val="00721337"/>
    <w:rsid w:val="00721586"/>
    <w:rsid w:val="00721B04"/>
    <w:rsid w:val="00722159"/>
    <w:rsid w:val="0072288B"/>
    <w:rsid w:val="00722D30"/>
    <w:rsid w:val="00723D25"/>
    <w:rsid w:val="00723DF4"/>
    <w:rsid w:val="00724E43"/>
    <w:rsid w:val="00724F86"/>
    <w:rsid w:val="0072634F"/>
    <w:rsid w:val="007267A6"/>
    <w:rsid w:val="00726EB9"/>
    <w:rsid w:val="007272BC"/>
    <w:rsid w:val="00727E4D"/>
    <w:rsid w:val="00730FFF"/>
    <w:rsid w:val="00731068"/>
    <w:rsid w:val="00732112"/>
    <w:rsid w:val="0073225A"/>
    <w:rsid w:val="0073257D"/>
    <w:rsid w:val="00732D99"/>
    <w:rsid w:val="00732F46"/>
    <w:rsid w:val="00733092"/>
    <w:rsid w:val="00733CC0"/>
    <w:rsid w:val="00733FA0"/>
    <w:rsid w:val="00734930"/>
    <w:rsid w:val="00734C36"/>
    <w:rsid w:val="00735037"/>
    <w:rsid w:val="007353B3"/>
    <w:rsid w:val="0073542F"/>
    <w:rsid w:val="007359F3"/>
    <w:rsid w:val="00735EBD"/>
    <w:rsid w:val="007360D3"/>
    <w:rsid w:val="00736489"/>
    <w:rsid w:val="00736FCB"/>
    <w:rsid w:val="00737F0E"/>
    <w:rsid w:val="007403CB"/>
    <w:rsid w:val="00740AEA"/>
    <w:rsid w:val="00740BB8"/>
    <w:rsid w:val="00740BEC"/>
    <w:rsid w:val="00741066"/>
    <w:rsid w:val="007416B3"/>
    <w:rsid w:val="00741963"/>
    <w:rsid w:val="00742165"/>
    <w:rsid w:val="007421C5"/>
    <w:rsid w:val="0074261D"/>
    <w:rsid w:val="00742E1C"/>
    <w:rsid w:val="007432CE"/>
    <w:rsid w:val="00743454"/>
    <w:rsid w:val="007437F0"/>
    <w:rsid w:val="0074451F"/>
    <w:rsid w:val="0074459E"/>
    <w:rsid w:val="0074555E"/>
    <w:rsid w:val="00745FC4"/>
    <w:rsid w:val="00746071"/>
    <w:rsid w:val="00746180"/>
    <w:rsid w:val="007469AE"/>
    <w:rsid w:val="00746AC9"/>
    <w:rsid w:val="007471DA"/>
    <w:rsid w:val="00747B51"/>
    <w:rsid w:val="00750051"/>
    <w:rsid w:val="007506DD"/>
    <w:rsid w:val="00750DE9"/>
    <w:rsid w:val="00750E5D"/>
    <w:rsid w:val="007518D5"/>
    <w:rsid w:val="00751E70"/>
    <w:rsid w:val="00751FFC"/>
    <w:rsid w:val="007527CF"/>
    <w:rsid w:val="00752C5B"/>
    <w:rsid w:val="00754E90"/>
    <w:rsid w:val="00756ADF"/>
    <w:rsid w:val="007603A1"/>
    <w:rsid w:val="007605A6"/>
    <w:rsid w:val="00760A13"/>
    <w:rsid w:val="00760E5C"/>
    <w:rsid w:val="0076100D"/>
    <w:rsid w:val="007613FA"/>
    <w:rsid w:val="00761B70"/>
    <w:rsid w:val="00761CC3"/>
    <w:rsid w:val="00761D03"/>
    <w:rsid w:val="00762559"/>
    <w:rsid w:val="0076346E"/>
    <w:rsid w:val="00763931"/>
    <w:rsid w:val="00763EDD"/>
    <w:rsid w:val="007640BC"/>
    <w:rsid w:val="0076414E"/>
    <w:rsid w:val="00764732"/>
    <w:rsid w:val="007652EC"/>
    <w:rsid w:val="00766351"/>
    <w:rsid w:val="00766CCE"/>
    <w:rsid w:val="00767DE7"/>
    <w:rsid w:val="00767E22"/>
    <w:rsid w:val="00770631"/>
    <w:rsid w:val="0077132A"/>
    <w:rsid w:val="00771F4D"/>
    <w:rsid w:val="00772161"/>
    <w:rsid w:val="007732CC"/>
    <w:rsid w:val="0077388D"/>
    <w:rsid w:val="00773CB7"/>
    <w:rsid w:val="00773E68"/>
    <w:rsid w:val="0077450B"/>
    <w:rsid w:val="00775E77"/>
    <w:rsid w:val="00776230"/>
    <w:rsid w:val="007763E5"/>
    <w:rsid w:val="00777AA9"/>
    <w:rsid w:val="00777BD4"/>
    <w:rsid w:val="00777BFA"/>
    <w:rsid w:val="00780607"/>
    <w:rsid w:val="00780893"/>
    <w:rsid w:val="00780AE5"/>
    <w:rsid w:val="00780B45"/>
    <w:rsid w:val="00781524"/>
    <w:rsid w:val="00781A15"/>
    <w:rsid w:val="00781F2A"/>
    <w:rsid w:val="007820AE"/>
    <w:rsid w:val="00782100"/>
    <w:rsid w:val="007821B7"/>
    <w:rsid w:val="0078261E"/>
    <w:rsid w:val="00782B0B"/>
    <w:rsid w:val="007835BA"/>
    <w:rsid w:val="00784B76"/>
    <w:rsid w:val="0078524D"/>
    <w:rsid w:val="00786018"/>
    <w:rsid w:val="00786F07"/>
    <w:rsid w:val="0078729D"/>
    <w:rsid w:val="007874FF"/>
    <w:rsid w:val="0078774C"/>
    <w:rsid w:val="00787E54"/>
    <w:rsid w:val="00787EA3"/>
    <w:rsid w:val="00790497"/>
    <w:rsid w:val="00790AF8"/>
    <w:rsid w:val="007921ED"/>
    <w:rsid w:val="00792398"/>
    <w:rsid w:val="00792860"/>
    <w:rsid w:val="00792A7D"/>
    <w:rsid w:val="007930AB"/>
    <w:rsid w:val="007938EC"/>
    <w:rsid w:val="00793A1B"/>
    <w:rsid w:val="00793F07"/>
    <w:rsid w:val="00794D33"/>
    <w:rsid w:val="0079561A"/>
    <w:rsid w:val="00795BEE"/>
    <w:rsid w:val="00795CF9"/>
    <w:rsid w:val="00795DCA"/>
    <w:rsid w:val="00795E87"/>
    <w:rsid w:val="0079661C"/>
    <w:rsid w:val="00796D24"/>
    <w:rsid w:val="00797C90"/>
    <w:rsid w:val="00797E2C"/>
    <w:rsid w:val="007A0D1D"/>
    <w:rsid w:val="007A111E"/>
    <w:rsid w:val="007A193F"/>
    <w:rsid w:val="007A29AF"/>
    <w:rsid w:val="007A2F89"/>
    <w:rsid w:val="007A3367"/>
    <w:rsid w:val="007A4B29"/>
    <w:rsid w:val="007A5DF0"/>
    <w:rsid w:val="007A6BBF"/>
    <w:rsid w:val="007A6F1D"/>
    <w:rsid w:val="007A76DA"/>
    <w:rsid w:val="007A77D3"/>
    <w:rsid w:val="007A7C48"/>
    <w:rsid w:val="007A7CA0"/>
    <w:rsid w:val="007B04EB"/>
    <w:rsid w:val="007B06FA"/>
    <w:rsid w:val="007B1DB6"/>
    <w:rsid w:val="007B2922"/>
    <w:rsid w:val="007B29BF"/>
    <w:rsid w:val="007B32C8"/>
    <w:rsid w:val="007B3FDE"/>
    <w:rsid w:val="007B4A95"/>
    <w:rsid w:val="007B4D9D"/>
    <w:rsid w:val="007B5185"/>
    <w:rsid w:val="007B5CD4"/>
    <w:rsid w:val="007B664E"/>
    <w:rsid w:val="007B68AB"/>
    <w:rsid w:val="007B6A8C"/>
    <w:rsid w:val="007B6C85"/>
    <w:rsid w:val="007B70CF"/>
    <w:rsid w:val="007B780B"/>
    <w:rsid w:val="007B7FA2"/>
    <w:rsid w:val="007C0117"/>
    <w:rsid w:val="007C0D02"/>
    <w:rsid w:val="007C1382"/>
    <w:rsid w:val="007C1ED4"/>
    <w:rsid w:val="007C297E"/>
    <w:rsid w:val="007C2AE5"/>
    <w:rsid w:val="007C2C8D"/>
    <w:rsid w:val="007C346B"/>
    <w:rsid w:val="007C36B6"/>
    <w:rsid w:val="007C456B"/>
    <w:rsid w:val="007C504F"/>
    <w:rsid w:val="007C51DC"/>
    <w:rsid w:val="007C53E3"/>
    <w:rsid w:val="007C586A"/>
    <w:rsid w:val="007C5CD4"/>
    <w:rsid w:val="007C5CF6"/>
    <w:rsid w:val="007D183D"/>
    <w:rsid w:val="007D29E9"/>
    <w:rsid w:val="007D2D58"/>
    <w:rsid w:val="007D502F"/>
    <w:rsid w:val="007D5063"/>
    <w:rsid w:val="007D5539"/>
    <w:rsid w:val="007D5D55"/>
    <w:rsid w:val="007D610E"/>
    <w:rsid w:val="007D71BB"/>
    <w:rsid w:val="007D7768"/>
    <w:rsid w:val="007D7A7E"/>
    <w:rsid w:val="007E07BB"/>
    <w:rsid w:val="007E0826"/>
    <w:rsid w:val="007E1013"/>
    <w:rsid w:val="007E17E2"/>
    <w:rsid w:val="007E1C57"/>
    <w:rsid w:val="007E242D"/>
    <w:rsid w:val="007E3F46"/>
    <w:rsid w:val="007E487E"/>
    <w:rsid w:val="007E4AC4"/>
    <w:rsid w:val="007E582F"/>
    <w:rsid w:val="007E5A35"/>
    <w:rsid w:val="007E5CF4"/>
    <w:rsid w:val="007E63EC"/>
    <w:rsid w:val="007E6E3A"/>
    <w:rsid w:val="007E7A99"/>
    <w:rsid w:val="007E7E79"/>
    <w:rsid w:val="007F0118"/>
    <w:rsid w:val="007F19E4"/>
    <w:rsid w:val="007F22B4"/>
    <w:rsid w:val="007F26CD"/>
    <w:rsid w:val="007F2AA4"/>
    <w:rsid w:val="007F33B0"/>
    <w:rsid w:val="007F33BD"/>
    <w:rsid w:val="007F34E6"/>
    <w:rsid w:val="007F36B1"/>
    <w:rsid w:val="007F38AA"/>
    <w:rsid w:val="007F4E8A"/>
    <w:rsid w:val="007F5DF7"/>
    <w:rsid w:val="007F6BE8"/>
    <w:rsid w:val="00800121"/>
    <w:rsid w:val="0080114A"/>
    <w:rsid w:val="008015B2"/>
    <w:rsid w:val="00801C2F"/>
    <w:rsid w:val="00801E74"/>
    <w:rsid w:val="00802573"/>
    <w:rsid w:val="00802574"/>
    <w:rsid w:val="0080264E"/>
    <w:rsid w:val="0080289B"/>
    <w:rsid w:val="00803160"/>
    <w:rsid w:val="008038AD"/>
    <w:rsid w:val="0080528D"/>
    <w:rsid w:val="0080624A"/>
    <w:rsid w:val="008079A7"/>
    <w:rsid w:val="00807A82"/>
    <w:rsid w:val="008100B0"/>
    <w:rsid w:val="008100ED"/>
    <w:rsid w:val="00810373"/>
    <w:rsid w:val="00810D88"/>
    <w:rsid w:val="00811A44"/>
    <w:rsid w:val="00811F06"/>
    <w:rsid w:val="00812389"/>
    <w:rsid w:val="008126F3"/>
    <w:rsid w:val="00812A27"/>
    <w:rsid w:val="00812E57"/>
    <w:rsid w:val="00812FA5"/>
    <w:rsid w:val="00813AEF"/>
    <w:rsid w:val="00813B10"/>
    <w:rsid w:val="00813D77"/>
    <w:rsid w:val="008141B2"/>
    <w:rsid w:val="008144DC"/>
    <w:rsid w:val="008146CB"/>
    <w:rsid w:val="0081502E"/>
    <w:rsid w:val="0081509C"/>
    <w:rsid w:val="00815541"/>
    <w:rsid w:val="00816907"/>
    <w:rsid w:val="00816962"/>
    <w:rsid w:val="00816C50"/>
    <w:rsid w:val="00817D82"/>
    <w:rsid w:val="00820212"/>
    <w:rsid w:val="008202EF"/>
    <w:rsid w:val="008208ED"/>
    <w:rsid w:val="00821235"/>
    <w:rsid w:val="00823050"/>
    <w:rsid w:val="00823569"/>
    <w:rsid w:val="00823C48"/>
    <w:rsid w:val="008252F1"/>
    <w:rsid w:val="008256B3"/>
    <w:rsid w:val="00826095"/>
    <w:rsid w:val="00826214"/>
    <w:rsid w:val="008265F4"/>
    <w:rsid w:val="0082756B"/>
    <w:rsid w:val="008306C0"/>
    <w:rsid w:val="008311D4"/>
    <w:rsid w:val="00831ACA"/>
    <w:rsid w:val="00831DD0"/>
    <w:rsid w:val="008322AF"/>
    <w:rsid w:val="0083236F"/>
    <w:rsid w:val="00833518"/>
    <w:rsid w:val="00833CA9"/>
    <w:rsid w:val="00834765"/>
    <w:rsid w:val="008348F1"/>
    <w:rsid w:val="00835A36"/>
    <w:rsid w:val="008365E5"/>
    <w:rsid w:val="00836B15"/>
    <w:rsid w:val="00836FD1"/>
    <w:rsid w:val="008370DA"/>
    <w:rsid w:val="00837D62"/>
    <w:rsid w:val="0084063E"/>
    <w:rsid w:val="0084081A"/>
    <w:rsid w:val="00840EF9"/>
    <w:rsid w:val="00840F3A"/>
    <w:rsid w:val="00840F50"/>
    <w:rsid w:val="0084153F"/>
    <w:rsid w:val="00841A4E"/>
    <w:rsid w:val="0084203A"/>
    <w:rsid w:val="0084215A"/>
    <w:rsid w:val="0084241D"/>
    <w:rsid w:val="00843319"/>
    <w:rsid w:val="00843411"/>
    <w:rsid w:val="00843A98"/>
    <w:rsid w:val="00843F3E"/>
    <w:rsid w:val="008441C1"/>
    <w:rsid w:val="0084420B"/>
    <w:rsid w:val="00844E65"/>
    <w:rsid w:val="00845B28"/>
    <w:rsid w:val="00845B98"/>
    <w:rsid w:val="00845C2E"/>
    <w:rsid w:val="0084642C"/>
    <w:rsid w:val="008464C8"/>
    <w:rsid w:val="008468AD"/>
    <w:rsid w:val="00846ABB"/>
    <w:rsid w:val="00847A9C"/>
    <w:rsid w:val="00850BEA"/>
    <w:rsid w:val="0085123C"/>
    <w:rsid w:val="00851B8F"/>
    <w:rsid w:val="00852359"/>
    <w:rsid w:val="00852C6F"/>
    <w:rsid w:val="00852D8F"/>
    <w:rsid w:val="00853240"/>
    <w:rsid w:val="0085329F"/>
    <w:rsid w:val="00854060"/>
    <w:rsid w:val="00854186"/>
    <w:rsid w:val="00854F7D"/>
    <w:rsid w:val="00856480"/>
    <w:rsid w:val="0085743A"/>
    <w:rsid w:val="0085789D"/>
    <w:rsid w:val="00860547"/>
    <w:rsid w:val="00860E86"/>
    <w:rsid w:val="008617FC"/>
    <w:rsid w:val="00862037"/>
    <w:rsid w:val="0086207C"/>
    <w:rsid w:val="008625AD"/>
    <w:rsid w:val="008628E8"/>
    <w:rsid w:val="00862B55"/>
    <w:rsid w:val="00863D7E"/>
    <w:rsid w:val="00864448"/>
    <w:rsid w:val="00864641"/>
    <w:rsid w:val="008646D0"/>
    <w:rsid w:val="00864D73"/>
    <w:rsid w:val="00865416"/>
    <w:rsid w:val="00865E81"/>
    <w:rsid w:val="0086611B"/>
    <w:rsid w:val="008663DE"/>
    <w:rsid w:val="00866D45"/>
    <w:rsid w:val="00866F63"/>
    <w:rsid w:val="00866F8B"/>
    <w:rsid w:val="0087086E"/>
    <w:rsid w:val="00871138"/>
    <w:rsid w:val="00873309"/>
    <w:rsid w:val="00873AB0"/>
    <w:rsid w:val="00873AF0"/>
    <w:rsid w:val="00873D5A"/>
    <w:rsid w:val="00875251"/>
    <w:rsid w:val="00876D58"/>
    <w:rsid w:val="00877860"/>
    <w:rsid w:val="00880771"/>
    <w:rsid w:val="00880D05"/>
    <w:rsid w:val="00880DDC"/>
    <w:rsid w:val="008811C1"/>
    <w:rsid w:val="00881588"/>
    <w:rsid w:val="0088160B"/>
    <w:rsid w:val="00881758"/>
    <w:rsid w:val="008823A1"/>
    <w:rsid w:val="00882834"/>
    <w:rsid w:val="00882D23"/>
    <w:rsid w:val="00883282"/>
    <w:rsid w:val="008836E8"/>
    <w:rsid w:val="0088374F"/>
    <w:rsid w:val="00883EDC"/>
    <w:rsid w:val="0088406F"/>
    <w:rsid w:val="008843A0"/>
    <w:rsid w:val="00884FC2"/>
    <w:rsid w:val="008850EE"/>
    <w:rsid w:val="00885EF9"/>
    <w:rsid w:val="008862E0"/>
    <w:rsid w:val="00886431"/>
    <w:rsid w:val="008868D2"/>
    <w:rsid w:val="00887891"/>
    <w:rsid w:val="00887AA7"/>
    <w:rsid w:val="00887D83"/>
    <w:rsid w:val="00890212"/>
    <w:rsid w:val="008902A2"/>
    <w:rsid w:val="00890974"/>
    <w:rsid w:val="00891946"/>
    <w:rsid w:val="008927CC"/>
    <w:rsid w:val="0089347A"/>
    <w:rsid w:val="008935B2"/>
    <w:rsid w:val="00893D4D"/>
    <w:rsid w:val="00893ECD"/>
    <w:rsid w:val="008946F0"/>
    <w:rsid w:val="00894C1D"/>
    <w:rsid w:val="00894EEC"/>
    <w:rsid w:val="008953DF"/>
    <w:rsid w:val="00895841"/>
    <w:rsid w:val="00895B92"/>
    <w:rsid w:val="00895B9F"/>
    <w:rsid w:val="008962EB"/>
    <w:rsid w:val="008965B7"/>
    <w:rsid w:val="008969E2"/>
    <w:rsid w:val="0089738F"/>
    <w:rsid w:val="008A0681"/>
    <w:rsid w:val="008A0F35"/>
    <w:rsid w:val="008A13A9"/>
    <w:rsid w:val="008A1DC2"/>
    <w:rsid w:val="008A24A7"/>
    <w:rsid w:val="008A2665"/>
    <w:rsid w:val="008A26AA"/>
    <w:rsid w:val="008A2817"/>
    <w:rsid w:val="008A2829"/>
    <w:rsid w:val="008A3785"/>
    <w:rsid w:val="008A3A89"/>
    <w:rsid w:val="008A4690"/>
    <w:rsid w:val="008A475B"/>
    <w:rsid w:val="008A520F"/>
    <w:rsid w:val="008A526F"/>
    <w:rsid w:val="008A59BB"/>
    <w:rsid w:val="008A618E"/>
    <w:rsid w:val="008A618F"/>
    <w:rsid w:val="008A621F"/>
    <w:rsid w:val="008A74BE"/>
    <w:rsid w:val="008A74E4"/>
    <w:rsid w:val="008A74E5"/>
    <w:rsid w:val="008A79D8"/>
    <w:rsid w:val="008A7BA4"/>
    <w:rsid w:val="008A7F9E"/>
    <w:rsid w:val="008B005A"/>
    <w:rsid w:val="008B16DC"/>
    <w:rsid w:val="008B1F11"/>
    <w:rsid w:val="008B2170"/>
    <w:rsid w:val="008B23D4"/>
    <w:rsid w:val="008B28CB"/>
    <w:rsid w:val="008B3617"/>
    <w:rsid w:val="008B3F5B"/>
    <w:rsid w:val="008B4643"/>
    <w:rsid w:val="008B47EA"/>
    <w:rsid w:val="008B49AF"/>
    <w:rsid w:val="008B6A03"/>
    <w:rsid w:val="008B6C9D"/>
    <w:rsid w:val="008B6E44"/>
    <w:rsid w:val="008C0F65"/>
    <w:rsid w:val="008C11E2"/>
    <w:rsid w:val="008C154C"/>
    <w:rsid w:val="008C18D9"/>
    <w:rsid w:val="008C20FF"/>
    <w:rsid w:val="008C261C"/>
    <w:rsid w:val="008C3529"/>
    <w:rsid w:val="008C3762"/>
    <w:rsid w:val="008C445B"/>
    <w:rsid w:val="008C4762"/>
    <w:rsid w:val="008C4BB4"/>
    <w:rsid w:val="008C4F8A"/>
    <w:rsid w:val="008C54E7"/>
    <w:rsid w:val="008C55A5"/>
    <w:rsid w:val="008C55FB"/>
    <w:rsid w:val="008C58A2"/>
    <w:rsid w:val="008C5A00"/>
    <w:rsid w:val="008C5A7C"/>
    <w:rsid w:val="008C5A87"/>
    <w:rsid w:val="008C6710"/>
    <w:rsid w:val="008C6C6F"/>
    <w:rsid w:val="008C79ED"/>
    <w:rsid w:val="008C7D5F"/>
    <w:rsid w:val="008D03EB"/>
    <w:rsid w:val="008D0488"/>
    <w:rsid w:val="008D0B7E"/>
    <w:rsid w:val="008D1324"/>
    <w:rsid w:val="008D13A0"/>
    <w:rsid w:val="008D1BDF"/>
    <w:rsid w:val="008D2327"/>
    <w:rsid w:val="008D2AF8"/>
    <w:rsid w:val="008D31F4"/>
    <w:rsid w:val="008D3907"/>
    <w:rsid w:val="008D4295"/>
    <w:rsid w:val="008D61FB"/>
    <w:rsid w:val="008D654B"/>
    <w:rsid w:val="008D6ACA"/>
    <w:rsid w:val="008D6BE8"/>
    <w:rsid w:val="008D70C8"/>
    <w:rsid w:val="008D72C7"/>
    <w:rsid w:val="008E0F75"/>
    <w:rsid w:val="008E1E80"/>
    <w:rsid w:val="008E1FC9"/>
    <w:rsid w:val="008E26C7"/>
    <w:rsid w:val="008E2AF0"/>
    <w:rsid w:val="008E2C2E"/>
    <w:rsid w:val="008E327F"/>
    <w:rsid w:val="008E39B9"/>
    <w:rsid w:val="008E3CA2"/>
    <w:rsid w:val="008E4438"/>
    <w:rsid w:val="008E4B91"/>
    <w:rsid w:val="008E4C8B"/>
    <w:rsid w:val="008E5F30"/>
    <w:rsid w:val="008E6985"/>
    <w:rsid w:val="008E6B2B"/>
    <w:rsid w:val="008E7437"/>
    <w:rsid w:val="008F0114"/>
    <w:rsid w:val="008F16AB"/>
    <w:rsid w:val="008F192B"/>
    <w:rsid w:val="008F23B3"/>
    <w:rsid w:val="008F2566"/>
    <w:rsid w:val="008F25D7"/>
    <w:rsid w:val="008F2826"/>
    <w:rsid w:val="008F2D6D"/>
    <w:rsid w:val="008F355C"/>
    <w:rsid w:val="008F3B5C"/>
    <w:rsid w:val="008F4174"/>
    <w:rsid w:val="008F5902"/>
    <w:rsid w:val="008F5D94"/>
    <w:rsid w:val="008F5E7D"/>
    <w:rsid w:val="008F63CB"/>
    <w:rsid w:val="008F6A0B"/>
    <w:rsid w:val="008F6D00"/>
    <w:rsid w:val="008F6DCC"/>
    <w:rsid w:val="00900156"/>
    <w:rsid w:val="009001F2"/>
    <w:rsid w:val="00900848"/>
    <w:rsid w:val="00900CDB"/>
    <w:rsid w:val="00900D3E"/>
    <w:rsid w:val="00900DFD"/>
    <w:rsid w:val="009022EA"/>
    <w:rsid w:val="00902704"/>
    <w:rsid w:val="00902878"/>
    <w:rsid w:val="00903A16"/>
    <w:rsid w:val="00903C7F"/>
    <w:rsid w:val="009050A1"/>
    <w:rsid w:val="00905A33"/>
    <w:rsid w:val="00905ECD"/>
    <w:rsid w:val="00906405"/>
    <w:rsid w:val="0090720F"/>
    <w:rsid w:val="00907435"/>
    <w:rsid w:val="00907ABA"/>
    <w:rsid w:val="00907B66"/>
    <w:rsid w:val="009101BA"/>
    <w:rsid w:val="009104FD"/>
    <w:rsid w:val="0091064E"/>
    <w:rsid w:val="00911561"/>
    <w:rsid w:val="00911585"/>
    <w:rsid w:val="00912116"/>
    <w:rsid w:val="00912AB2"/>
    <w:rsid w:val="00912FE4"/>
    <w:rsid w:val="00913F9C"/>
    <w:rsid w:val="0091442B"/>
    <w:rsid w:val="00914CA1"/>
    <w:rsid w:val="00914E97"/>
    <w:rsid w:val="009155FB"/>
    <w:rsid w:val="00915C8D"/>
    <w:rsid w:val="00915FF1"/>
    <w:rsid w:val="00916D7E"/>
    <w:rsid w:val="00916DD7"/>
    <w:rsid w:val="0091753A"/>
    <w:rsid w:val="00917B68"/>
    <w:rsid w:val="009209ED"/>
    <w:rsid w:val="00920AF6"/>
    <w:rsid w:val="00920FE2"/>
    <w:rsid w:val="00921492"/>
    <w:rsid w:val="0092166B"/>
    <w:rsid w:val="009221FA"/>
    <w:rsid w:val="009223AE"/>
    <w:rsid w:val="009223DA"/>
    <w:rsid w:val="00922D60"/>
    <w:rsid w:val="00923068"/>
    <w:rsid w:val="0092317E"/>
    <w:rsid w:val="0092347E"/>
    <w:rsid w:val="009235E4"/>
    <w:rsid w:val="00923CED"/>
    <w:rsid w:val="00924F8E"/>
    <w:rsid w:val="00925129"/>
    <w:rsid w:val="00925219"/>
    <w:rsid w:val="00925538"/>
    <w:rsid w:val="00925CE9"/>
    <w:rsid w:val="00926471"/>
    <w:rsid w:val="009267A3"/>
    <w:rsid w:val="009274C4"/>
    <w:rsid w:val="00927C8E"/>
    <w:rsid w:val="00930068"/>
    <w:rsid w:val="00930195"/>
    <w:rsid w:val="009310E0"/>
    <w:rsid w:val="00931AF3"/>
    <w:rsid w:val="00931CA8"/>
    <w:rsid w:val="00931CE2"/>
    <w:rsid w:val="00931D4F"/>
    <w:rsid w:val="00931E9A"/>
    <w:rsid w:val="009324AA"/>
    <w:rsid w:val="00932B23"/>
    <w:rsid w:val="009330BE"/>
    <w:rsid w:val="0093435D"/>
    <w:rsid w:val="00935243"/>
    <w:rsid w:val="009360C9"/>
    <w:rsid w:val="009374CD"/>
    <w:rsid w:val="00937B93"/>
    <w:rsid w:val="00937ECB"/>
    <w:rsid w:val="00937F6C"/>
    <w:rsid w:val="00940A91"/>
    <w:rsid w:val="00940C15"/>
    <w:rsid w:val="0094146B"/>
    <w:rsid w:val="0094267E"/>
    <w:rsid w:val="009433E3"/>
    <w:rsid w:val="0094397D"/>
    <w:rsid w:val="00944864"/>
    <w:rsid w:val="009451D5"/>
    <w:rsid w:val="0094533C"/>
    <w:rsid w:val="00945559"/>
    <w:rsid w:val="009458A1"/>
    <w:rsid w:val="00945BA7"/>
    <w:rsid w:val="00945BD5"/>
    <w:rsid w:val="00945C21"/>
    <w:rsid w:val="00946441"/>
    <w:rsid w:val="009471F9"/>
    <w:rsid w:val="00947888"/>
    <w:rsid w:val="009501A5"/>
    <w:rsid w:val="00950949"/>
    <w:rsid w:val="0095185B"/>
    <w:rsid w:val="00951D0A"/>
    <w:rsid w:val="00951E02"/>
    <w:rsid w:val="00953239"/>
    <w:rsid w:val="00953C5A"/>
    <w:rsid w:val="00954067"/>
    <w:rsid w:val="00955770"/>
    <w:rsid w:val="00955810"/>
    <w:rsid w:val="00956F69"/>
    <w:rsid w:val="00957120"/>
    <w:rsid w:val="0096008A"/>
    <w:rsid w:val="00962127"/>
    <w:rsid w:val="00962386"/>
    <w:rsid w:val="00962D9A"/>
    <w:rsid w:val="009633C7"/>
    <w:rsid w:val="009643C8"/>
    <w:rsid w:val="00964A23"/>
    <w:rsid w:val="00965861"/>
    <w:rsid w:val="009663DF"/>
    <w:rsid w:val="00966910"/>
    <w:rsid w:val="0096727A"/>
    <w:rsid w:val="009672A5"/>
    <w:rsid w:val="00967430"/>
    <w:rsid w:val="00967BF2"/>
    <w:rsid w:val="00967E9C"/>
    <w:rsid w:val="00970479"/>
    <w:rsid w:val="009705E4"/>
    <w:rsid w:val="00970AB7"/>
    <w:rsid w:val="00971383"/>
    <w:rsid w:val="009718D6"/>
    <w:rsid w:val="00972290"/>
    <w:rsid w:val="00973EB0"/>
    <w:rsid w:val="0097596D"/>
    <w:rsid w:val="00976352"/>
    <w:rsid w:val="0097751C"/>
    <w:rsid w:val="009775BC"/>
    <w:rsid w:val="00977BD9"/>
    <w:rsid w:val="00977EBF"/>
    <w:rsid w:val="00980412"/>
    <w:rsid w:val="009804EE"/>
    <w:rsid w:val="00981351"/>
    <w:rsid w:val="009816EE"/>
    <w:rsid w:val="0098197C"/>
    <w:rsid w:val="00981F50"/>
    <w:rsid w:val="00982088"/>
    <w:rsid w:val="009823AB"/>
    <w:rsid w:val="00982645"/>
    <w:rsid w:val="009845FB"/>
    <w:rsid w:val="00984EBB"/>
    <w:rsid w:val="00985068"/>
    <w:rsid w:val="00985CEB"/>
    <w:rsid w:val="00986A22"/>
    <w:rsid w:val="0098701E"/>
    <w:rsid w:val="009875AB"/>
    <w:rsid w:val="009879BB"/>
    <w:rsid w:val="00990596"/>
    <w:rsid w:val="00991575"/>
    <w:rsid w:val="00991884"/>
    <w:rsid w:val="009923E1"/>
    <w:rsid w:val="00993D5B"/>
    <w:rsid w:val="00993E18"/>
    <w:rsid w:val="0099569D"/>
    <w:rsid w:val="00995FC9"/>
    <w:rsid w:val="009964D9"/>
    <w:rsid w:val="00997455"/>
    <w:rsid w:val="009979EF"/>
    <w:rsid w:val="009A0501"/>
    <w:rsid w:val="009A072B"/>
    <w:rsid w:val="009A0ED4"/>
    <w:rsid w:val="009A11F8"/>
    <w:rsid w:val="009A163F"/>
    <w:rsid w:val="009A20A9"/>
    <w:rsid w:val="009A2807"/>
    <w:rsid w:val="009A2983"/>
    <w:rsid w:val="009A3AC9"/>
    <w:rsid w:val="009A40F7"/>
    <w:rsid w:val="009A440C"/>
    <w:rsid w:val="009A5572"/>
    <w:rsid w:val="009A5B42"/>
    <w:rsid w:val="009A5CFB"/>
    <w:rsid w:val="009A5DD0"/>
    <w:rsid w:val="009A6F03"/>
    <w:rsid w:val="009A77D0"/>
    <w:rsid w:val="009A7B7D"/>
    <w:rsid w:val="009B0318"/>
    <w:rsid w:val="009B1657"/>
    <w:rsid w:val="009B16D0"/>
    <w:rsid w:val="009B1797"/>
    <w:rsid w:val="009B1A4C"/>
    <w:rsid w:val="009B1FEA"/>
    <w:rsid w:val="009B2F69"/>
    <w:rsid w:val="009B3592"/>
    <w:rsid w:val="009B3A56"/>
    <w:rsid w:val="009B41B0"/>
    <w:rsid w:val="009B428C"/>
    <w:rsid w:val="009B4402"/>
    <w:rsid w:val="009B466C"/>
    <w:rsid w:val="009B5A51"/>
    <w:rsid w:val="009B7A3C"/>
    <w:rsid w:val="009C0440"/>
    <w:rsid w:val="009C0FF8"/>
    <w:rsid w:val="009C1BFE"/>
    <w:rsid w:val="009C2235"/>
    <w:rsid w:val="009C31AD"/>
    <w:rsid w:val="009C3D5C"/>
    <w:rsid w:val="009C4429"/>
    <w:rsid w:val="009C4BA5"/>
    <w:rsid w:val="009C4E40"/>
    <w:rsid w:val="009C51F6"/>
    <w:rsid w:val="009C5638"/>
    <w:rsid w:val="009C5A6A"/>
    <w:rsid w:val="009C7010"/>
    <w:rsid w:val="009D11C4"/>
    <w:rsid w:val="009D33D0"/>
    <w:rsid w:val="009D4EAD"/>
    <w:rsid w:val="009D5AC6"/>
    <w:rsid w:val="009D60C8"/>
    <w:rsid w:val="009D613C"/>
    <w:rsid w:val="009D62FF"/>
    <w:rsid w:val="009D6459"/>
    <w:rsid w:val="009D737E"/>
    <w:rsid w:val="009D7C58"/>
    <w:rsid w:val="009D7EAC"/>
    <w:rsid w:val="009E0B6D"/>
    <w:rsid w:val="009E0D07"/>
    <w:rsid w:val="009E3ECD"/>
    <w:rsid w:val="009E4676"/>
    <w:rsid w:val="009E4894"/>
    <w:rsid w:val="009E4F0B"/>
    <w:rsid w:val="009E4FE5"/>
    <w:rsid w:val="009E60EB"/>
    <w:rsid w:val="009E68D5"/>
    <w:rsid w:val="009E6D96"/>
    <w:rsid w:val="009E732F"/>
    <w:rsid w:val="009E7A20"/>
    <w:rsid w:val="009E7BA6"/>
    <w:rsid w:val="009E7FFD"/>
    <w:rsid w:val="009F0597"/>
    <w:rsid w:val="009F0A9B"/>
    <w:rsid w:val="009F0BB6"/>
    <w:rsid w:val="009F0D09"/>
    <w:rsid w:val="009F13E1"/>
    <w:rsid w:val="009F2780"/>
    <w:rsid w:val="009F3ADC"/>
    <w:rsid w:val="009F41EF"/>
    <w:rsid w:val="009F44A1"/>
    <w:rsid w:val="009F4828"/>
    <w:rsid w:val="009F5133"/>
    <w:rsid w:val="009F5276"/>
    <w:rsid w:val="009F56A2"/>
    <w:rsid w:val="009F59D9"/>
    <w:rsid w:val="009F6540"/>
    <w:rsid w:val="009F6882"/>
    <w:rsid w:val="009F71E0"/>
    <w:rsid w:val="00A0045F"/>
    <w:rsid w:val="00A0060A"/>
    <w:rsid w:val="00A014D9"/>
    <w:rsid w:val="00A01A21"/>
    <w:rsid w:val="00A03594"/>
    <w:rsid w:val="00A03F7C"/>
    <w:rsid w:val="00A04E11"/>
    <w:rsid w:val="00A04E40"/>
    <w:rsid w:val="00A05625"/>
    <w:rsid w:val="00A06041"/>
    <w:rsid w:val="00A070D5"/>
    <w:rsid w:val="00A072FE"/>
    <w:rsid w:val="00A0746E"/>
    <w:rsid w:val="00A075EF"/>
    <w:rsid w:val="00A07C58"/>
    <w:rsid w:val="00A10A4B"/>
    <w:rsid w:val="00A10EB9"/>
    <w:rsid w:val="00A1139C"/>
    <w:rsid w:val="00A11AE7"/>
    <w:rsid w:val="00A1222A"/>
    <w:rsid w:val="00A13729"/>
    <w:rsid w:val="00A13F8B"/>
    <w:rsid w:val="00A1479D"/>
    <w:rsid w:val="00A149A1"/>
    <w:rsid w:val="00A15B8F"/>
    <w:rsid w:val="00A15E24"/>
    <w:rsid w:val="00A16D5F"/>
    <w:rsid w:val="00A176EC"/>
    <w:rsid w:val="00A17762"/>
    <w:rsid w:val="00A177C9"/>
    <w:rsid w:val="00A17A22"/>
    <w:rsid w:val="00A17E83"/>
    <w:rsid w:val="00A206DA"/>
    <w:rsid w:val="00A208A5"/>
    <w:rsid w:val="00A20CA6"/>
    <w:rsid w:val="00A2101F"/>
    <w:rsid w:val="00A213EB"/>
    <w:rsid w:val="00A21466"/>
    <w:rsid w:val="00A218FE"/>
    <w:rsid w:val="00A21FF1"/>
    <w:rsid w:val="00A222FB"/>
    <w:rsid w:val="00A23247"/>
    <w:rsid w:val="00A2341B"/>
    <w:rsid w:val="00A23A42"/>
    <w:rsid w:val="00A23DB6"/>
    <w:rsid w:val="00A24268"/>
    <w:rsid w:val="00A2559B"/>
    <w:rsid w:val="00A25999"/>
    <w:rsid w:val="00A25D52"/>
    <w:rsid w:val="00A26B45"/>
    <w:rsid w:val="00A26D38"/>
    <w:rsid w:val="00A27450"/>
    <w:rsid w:val="00A27657"/>
    <w:rsid w:val="00A3038E"/>
    <w:rsid w:val="00A31120"/>
    <w:rsid w:val="00A31144"/>
    <w:rsid w:val="00A316B9"/>
    <w:rsid w:val="00A319A4"/>
    <w:rsid w:val="00A319EA"/>
    <w:rsid w:val="00A31A7B"/>
    <w:rsid w:val="00A32239"/>
    <w:rsid w:val="00A3299A"/>
    <w:rsid w:val="00A3462D"/>
    <w:rsid w:val="00A34A4A"/>
    <w:rsid w:val="00A352D3"/>
    <w:rsid w:val="00A357A5"/>
    <w:rsid w:val="00A358A1"/>
    <w:rsid w:val="00A36C5A"/>
    <w:rsid w:val="00A36C79"/>
    <w:rsid w:val="00A377AD"/>
    <w:rsid w:val="00A379CB"/>
    <w:rsid w:val="00A37E67"/>
    <w:rsid w:val="00A403FE"/>
    <w:rsid w:val="00A4058F"/>
    <w:rsid w:val="00A4084C"/>
    <w:rsid w:val="00A40944"/>
    <w:rsid w:val="00A40A41"/>
    <w:rsid w:val="00A40EB7"/>
    <w:rsid w:val="00A41639"/>
    <w:rsid w:val="00A4405D"/>
    <w:rsid w:val="00A45975"/>
    <w:rsid w:val="00A46105"/>
    <w:rsid w:val="00A46EA1"/>
    <w:rsid w:val="00A46EA8"/>
    <w:rsid w:val="00A471B9"/>
    <w:rsid w:val="00A4731B"/>
    <w:rsid w:val="00A47552"/>
    <w:rsid w:val="00A47996"/>
    <w:rsid w:val="00A47DD2"/>
    <w:rsid w:val="00A47F69"/>
    <w:rsid w:val="00A50A2B"/>
    <w:rsid w:val="00A51AC2"/>
    <w:rsid w:val="00A52366"/>
    <w:rsid w:val="00A5313F"/>
    <w:rsid w:val="00A5424C"/>
    <w:rsid w:val="00A54289"/>
    <w:rsid w:val="00A5439C"/>
    <w:rsid w:val="00A54552"/>
    <w:rsid w:val="00A549D3"/>
    <w:rsid w:val="00A557D1"/>
    <w:rsid w:val="00A56DEE"/>
    <w:rsid w:val="00A57F2C"/>
    <w:rsid w:val="00A6048A"/>
    <w:rsid w:val="00A60804"/>
    <w:rsid w:val="00A61316"/>
    <w:rsid w:val="00A61772"/>
    <w:rsid w:val="00A61893"/>
    <w:rsid w:val="00A61D05"/>
    <w:rsid w:val="00A61F78"/>
    <w:rsid w:val="00A62627"/>
    <w:rsid w:val="00A62F20"/>
    <w:rsid w:val="00A633C5"/>
    <w:rsid w:val="00A63C91"/>
    <w:rsid w:val="00A63FF3"/>
    <w:rsid w:val="00A645B5"/>
    <w:rsid w:val="00A653D0"/>
    <w:rsid w:val="00A6604C"/>
    <w:rsid w:val="00A666B1"/>
    <w:rsid w:val="00A66CED"/>
    <w:rsid w:val="00A67446"/>
    <w:rsid w:val="00A67E00"/>
    <w:rsid w:val="00A7098C"/>
    <w:rsid w:val="00A70AB2"/>
    <w:rsid w:val="00A71459"/>
    <w:rsid w:val="00A7153F"/>
    <w:rsid w:val="00A71C62"/>
    <w:rsid w:val="00A72342"/>
    <w:rsid w:val="00A72625"/>
    <w:rsid w:val="00A72830"/>
    <w:rsid w:val="00A72910"/>
    <w:rsid w:val="00A72D3E"/>
    <w:rsid w:val="00A730FD"/>
    <w:rsid w:val="00A7415A"/>
    <w:rsid w:val="00A74B22"/>
    <w:rsid w:val="00A74EC2"/>
    <w:rsid w:val="00A75F59"/>
    <w:rsid w:val="00A761E5"/>
    <w:rsid w:val="00A77861"/>
    <w:rsid w:val="00A825A9"/>
    <w:rsid w:val="00A83019"/>
    <w:rsid w:val="00A837E6"/>
    <w:rsid w:val="00A847D9"/>
    <w:rsid w:val="00A84D83"/>
    <w:rsid w:val="00A85195"/>
    <w:rsid w:val="00A8563B"/>
    <w:rsid w:val="00A85973"/>
    <w:rsid w:val="00A85F52"/>
    <w:rsid w:val="00A86904"/>
    <w:rsid w:val="00A87AFA"/>
    <w:rsid w:val="00A87B4C"/>
    <w:rsid w:val="00A87BDF"/>
    <w:rsid w:val="00A87C42"/>
    <w:rsid w:val="00A90515"/>
    <w:rsid w:val="00A9091F"/>
    <w:rsid w:val="00A91B72"/>
    <w:rsid w:val="00A91CA5"/>
    <w:rsid w:val="00A91D2D"/>
    <w:rsid w:val="00A92301"/>
    <w:rsid w:val="00A925A3"/>
    <w:rsid w:val="00A92AEC"/>
    <w:rsid w:val="00A92CBA"/>
    <w:rsid w:val="00A938F5"/>
    <w:rsid w:val="00A93B72"/>
    <w:rsid w:val="00A94603"/>
    <w:rsid w:val="00A953C5"/>
    <w:rsid w:val="00A954CE"/>
    <w:rsid w:val="00A95F06"/>
    <w:rsid w:val="00A960FF"/>
    <w:rsid w:val="00A968E9"/>
    <w:rsid w:val="00A96C37"/>
    <w:rsid w:val="00A978ED"/>
    <w:rsid w:val="00A97D1E"/>
    <w:rsid w:val="00AA092A"/>
    <w:rsid w:val="00AA0FA2"/>
    <w:rsid w:val="00AA1164"/>
    <w:rsid w:val="00AA1695"/>
    <w:rsid w:val="00AA1A2F"/>
    <w:rsid w:val="00AA24DF"/>
    <w:rsid w:val="00AA2864"/>
    <w:rsid w:val="00AA2CA7"/>
    <w:rsid w:val="00AA3339"/>
    <w:rsid w:val="00AA3686"/>
    <w:rsid w:val="00AA3B6C"/>
    <w:rsid w:val="00AA4C9E"/>
    <w:rsid w:val="00AA5262"/>
    <w:rsid w:val="00AA5AE2"/>
    <w:rsid w:val="00AA5BD2"/>
    <w:rsid w:val="00AA62CC"/>
    <w:rsid w:val="00AA69B8"/>
    <w:rsid w:val="00AA69E4"/>
    <w:rsid w:val="00AA6C0C"/>
    <w:rsid w:val="00AA6D6B"/>
    <w:rsid w:val="00AA7092"/>
    <w:rsid w:val="00AA73C0"/>
    <w:rsid w:val="00AA7C00"/>
    <w:rsid w:val="00AB0331"/>
    <w:rsid w:val="00AB03ED"/>
    <w:rsid w:val="00AB0869"/>
    <w:rsid w:val="00AB09A9"/>
    <w:rsid w:val="00AB0F43"/>
    <w:rsid w:val="00AB15A0"/>
    <w:rsid w:val="00AB1E0D"/>
    <w:rsid w:val="00AB1EA8"/>
    <w:rsid w:val="00AB2522"/>
    <w:rsid w:val="00AB2565"/>
    <w:rsid w:val="00AB2851"/>
    <w:rsid w:val="00AB2D81"/>
    <w:rsid w:val="00AB3166"/>
    <w:rsid w:val="00AB33C2"/>
    <w:rsid w:val="00AB34BF"/>
    <w:rsid w:val="00AB4203"/>
    <w:rsid w:val="00AB4F10"/>
    <w:rsid w:val="00AB4FE9"/>
    <w:rsid w:val="00AB596E"/>
    <w:rsid w:val="00AB634B"/>
    <w:rsid w:val="00AB683C"/>
    <w:rsid w:val="00AB7554"/>
    <w:rsid w:val="00AB7880"/>
    <w:rsid w:val="00AC028B"/>
    <w:rsid w:val="00AC05A2"/>
    <w:rsid w:val="00AC091A"/>
    <w:rsid w:val="00AC0E55"/>
    <w:rsid w:val="00AC0EE8"/>
    <w:rsid w:val="00AC14F9"/>
    <w:rsid w:val="00AC175C"/>
    <w:rsid w:val="00AC1CFE"/>
    <w:rsid w:val="00AC1E8F"/>
    <w:rsid w:val="00AC1F5F"/>
    <w:rsid w:val="00AC2B08"/>
    <w:rsid w:val="00AC3908"/>
    <w:rsid w:val="00AC39E4"/>
    <w:rsid w:val="00AC3A33"/>
    <w:rsid w:val="00AC458D"/>
    <w:rsid w:val="00AC4A11"/>
    <w:rsid w:val="00AC4CD9"/>
    <w:rsid w:val="00AC4E7A"/>
    <w:rsid w:val="00AC508A"/>
    <w:rsid w:val="00AC5424"/>
    <w:rsid w:val="00AC61CB"/>
    <w:rsid w:val="00AC6432"/>
    <w:rsid w:val="00AC6C99"/>
    <w:rsid w:val="00AC72B4"/>
    <w:rsid w:val="00AC7344"/>
    <w:rsid w:val="00AC7D71"/>
    <w:rsid w:val="00AD03DE"/>
    <w:rsid w:val="00AD06F0"/>
    <w:rsid w:val="00AD0DC9"/>
    <w:rsid w:val="00AD0FFB"/>
    <w:rsid w:val="00AD1484"/>
    <w:rsid w:val="00AD26B8"/>
    <w:rsid w:val="00AD289C"/>
    <w:rsid w:val="00AD40CF"/>
    <w:rsid w:val="00AD4154"/>
    <w:rsid w:val="00AD4193"/>
    <w:rsid w:val="00AD548D"/>
    <w:rsid w:val="00AD57AA"/>
    <w:rsid w:val="00AD6047"/>
    <w:rsid w:val="00AD6166"/>
    <w:rsid w:val="00AD6200"/>
    <w:rsid w:val="00AD62E8"/>
    <w:rsid w:val="00AD62F7"/>
    <w:rsid w:val="00AD69B3"/>
    <w:rsid w:val="00AD7A69"/>
    <w:rsid w:val="00AD7C00"/>
    <w:rsid w:val="00AE08B2"/>
    <w:rsid w:val="00AE0D5E"/>
    <w:rsid w:val="00AE159D"/>
    <w:rsid w:val="00AE199F"/>
    <w:rsid w:val="00AE19F8"/>
    <w:rsid w:val="00AE1D37"/>
    <w:rsid w:val="00AE1F26"/>
    <w:rsid w:val="00AE2AB6"/>
    <w:rsid w:val="00AE373A"/>
    <w:rsid w:val="00AE3A0F"/>
    <w:rsid w:val="00AE4796"/>
    <w:rsid w:val="00AE4B44"/>
    <w:rsid w:val="00AE500F"/>
    <w:rsid w:val="00AE52A0"/>
    <w:rsid w:val="00AE5582"/>
    <w:rsid w:val="00AE5BBE"/>
    <w:rsid w:val="00AE5FEC"/>
    <w:rsid w:val="00AE6019"/>
    <w:rsid w:val="00AE6176"/>
    <w:rsid w:val="00AE624C"/>
    <w:rsid w:val="00AE6A42"/>
    <w:rsid w:val="00AE6ADD"/>
    <w:rsid w:val="00AE715C"/>
    <w:rsid w:val="00AE73C6"/>
    <w:rsid w:val="00AF02C5"/>
    <w:rsid w:val="00AF0C4D"/>
    <w:rsid w:val="00AF10F2"/>
    <w:rsid w:val="00AF1FDF"/>
    <w:rsid w:val="00AF230E"/>
    <w:rsid w:val="00AF2B3D"/>
    <w:rsid w:val="00AF34A8"/>
    <w:rsid w:val="00AF3A78"/>
    <w:rsid w:val="00AF3E7B"/>
    <w:rsid w:val="00AF43C9"/>
    <w:rsid w:val="00AF46E2"/>
    <w:rsid w:val="00AF4BB2"/>
    <w:rsid w:val="00AF4D11"/>
    <w:rsid w:val="00AF4D12"/>
    <w:rsid w:val="00AF52FE"/>
    <w:rsid w:val="00AF5C01"/>
    <w:rsid w:val="00AF5E06"/>
    <w:rsid w:val="00AF71DB"/>
    <w:rsid w:val="00AF7F7F"/>
    <w:rsid w:val="00AF7FBE"/>
    <w:rsid w:val="00B004A3"/>
    <w:rsid w:val="00B00C21"/>
    <w:rsid w:val="00B00E53"/>
    <w:rsid w:val="00B018DE"/>
    <w:rsid w:val="00B019B4"/>
    <w:rsid w:val="00B02071"/>
    <w:rsid w:val="00B020B1"/>
    <w:rsid w:val="00B04103"/>
    <w:rsid w:val="00B0416F"/>
    <w:rsid w:val="00B043D6"/>
    <w:rsid w:val="00B044D5"/>
    <w:rsid w:val="00B04570"/>
    <w:rsid w:val="00B04769"/>
    <w:rsid w:val="00B0477E"/>
    <w:rsid w:val="00B04AD1"/>
    <w:rsid w:val="00B054C9"/>
    <w:rsid w:val="00B05680"/>
    <w:rsid w:val="00B056EC"/>
    <w:rsid w:val="00B062A4"/>
    <w:rsid w:val="00B062D0"/>
    <w:rsid w:val="00B06D24"/>
    <w:rsid w:val="00B1035F"/>
    <w:rsid w:val="00B10479"/>
    <w:rsid w:val="00B10C3D"/>
    <w:rsid w:val="00B10E78"/>
    <w:rsid w:val="00B10F3E"/>
    <w:rsid w:val="00B1113E"/>
    <w:rsid w:val="00B11157"/>
    <w:rsid w:val="00B11162"/>
    <w:rsid w:val="00B11318"/>
    <w:rsid w:val="00B1193D"/>
    <w:rsid w:val="00B11FA1"/>
    <w:rsid w:val="00B120F7"/>
    <w:rsid w:val="00B12195"/>
    <w:rsid w:val="00B1382D"/>
    <w:rsid w:val="00B13953"/>
    <w:rsid w:val="00B13C33"/>
    <w:rsid w:val="00B13E48"/>
    <w:rsid w:val="00B1532B"/>
    <w:rsid w:val="00B159EE"/>
    <w:rsid w:val="00B16532"/>
    <w:rsid w:val="00B16DA2"/>
    <w:rsid w:val="00B170DC"/>
    <w:rsid w:val="00B176B9"/>
    <w:rsid w:val="00B17956"/>
    <w:rsid w:val="00B17F77"/>
    <w:rsid w:val="00B2081E"/>
    <w:rsid w:val="00B21318"/>
    <w:rsid w:val="00B21552"/>
    <w:rsid w:val="00B2219F"/>
    <w:rsid w:val="00B22A14"/>
    <w:rsid w:val="00B2362A"/>
    <w:rsid w:val="00B23CF5"/>
    <w:rsid w:val="00B23DDA"/>
    <w:rsid w:val="00B24516"/>
    <w:rsid w:val="00B246FE"/>
    <w:rsid w:val="00B24B5D"/>
    <w:rsid w:val="00B24EA7"/>
    <w:rsid w:val="00B253A5"/>
    <w:rsid w:val="00B25C5B"/>
    <w:rsid w:val="00B25D44"/>
    <w:rsid w:val="00B25E28"/>
    <w:rsid w:val="00B265B8"/>
    <w:rsid w:val="00B2746F"/>
    <w:rsid w:val="00B300F7"/>
    <w:rsid w:val="00B30478"/>
    <w:rsid w:val="00B3061C"/>
    <w:rsid w:val="00B308F7"/>
    <w:rsid w:val="00B30A78"/>
    <w:rsid w:val="00B30CF6"/>
    <w:rsid w:val="00B30E91"/>
    <w:rsid w:val="00B3153D"/>
    <w:rsid w:val="00B32597"/>
    <w:rsid w:val="00B32937"/>
    <w:rsid w:val="00B33820"/>
    <w:rsid w:val="00B3385D"/>
    <w:rsid w:val="00B344E3"/>
    <w:rsid w:val="00B34667"/>
    <w:rsid w:val="00B34B06"/>
    <w:rsid w:val="00B3518F"/>
    <w:rsid w:val="00B352DB"/>
    <w:rsid w:val="00B35640"/>
    <w:rsid w:val="00B36DAC"/>
    <w:rsid w:val="00B372BF"/>
    <w:rsid w:val="00B37B39"/>
    <w:rsid w:val="00B433D2"/>
    <w:rsid w:val="00B4483D"/>
    <w:rsid w:val="00B44BC8"/>
    <w:rsid w:val="00B44CD8"/>
    <w:rsid w:val="00B45021"/>
    <w:rsid w:val="00B45357"/>
    <w:rsid w:val="00B4558C"/>
    <w:rsid w:val="00B45911"/>
    <w:rsid w:val="00B45F6B"/>
    <w:rsid w:val="00B472C5"/>
    <w:rsid w:val="00B47F8D"/>
    <w:rsid w:val="00B50FF6"/>
    <w:rsid w:val="00B512A3"/>
    <w:rsid w:val="00B5186A"/>
    <w:rsid w:val="00B52AED"/>
    <w:rsid w:val="00B52E3F"/>
    <w:rsid w:val="00B53B09"/>
    <w:rsid w:val="00B54616"/>
    <w:rsid w:val="00B55889"/>
    <w:rsid w:val="00B566FE"/>
    <w:rsid w:val="00B56AD1"/>
    <w:rsid w:val="00B5795A"/>
    <w:rsid w:val="00B6119C"/>
    <w:rsid w:val="00B613E1"/>
    <w:rsid w:val="00B61E4F"/>
    <w:rsid w:val="00B62883"/>
    <w:rsid w:val="00B62B72"/>
    <w:rsid w:val="00B6338C"/>
    <w:rsid w:val="00B63916"/>
    <w:rsid w:val="00B63A6B"/>
    <w:rsid w:val="00B63BE1"/>
    <w:rsid w:val="00B63F9D"/>
    <w:rsid w:val="00B64186"/>
    <w:rsid w:val="00B64ED2"/>
    <w:rsid w:val="00B654A7"/>
    <w:rsid w:val="00B65583"/>
    <w:rsid w:val="00B6568A"/>
    <w:rsid w:val="00B66337"/>
    <w:rsid w:val="00B70352"/>
    <w:rsid w:val="00B708EF"/>
    <w:rsid w:val="00B71335"/>
    <w:rsid w:val="00B71B97"/>
    <w:rsid w:val="00B723B3"/>
    <w:rsid w:val="00B72EE2"/>
    <w:rsid w:val="00B7314D"/>
    <w:rsid w:val="00B73DFE"/>
    <w:rsid w:val="00B753F9"/>
    <w:rsid w:val="00B754DD"/>
    <w:rsid w:val="00B75FA5"/>
    <w:rsid w:val="00B76EED"/>
    <w:rsid w:val="00B77E6E"/>
    <w:rsid w:val="00B800DF"/>
    <w:rsid w:val="00B80A46"/>
    <w:rsid w:val="00B81863"/>
    <w:rsid w:val="00B81AF7"/>
    <w:rsid w:val="00B8249C"/>
    <w:rsid w:val="00B8300B"/>
    <w:rsid w:val="00B83152"/>
    <w:rsid w:val="00B83936"/>
    <w:rsid w:val="00B83C4E"/>
    <w:rsid w:val="00B84260"/>
    <w:rsid w:val="00B8545F"/>
    <w:rsid w:val="00B858E3"/>
    <w:rsid w:val="00B85EC8"/>
    <w:rsid w:val="00B860DB"/>
    <w:rsid w:val="00B8680C"/>
    <w:rsid w:val="00B871A9"/>
    <w:rsid w:val="00B87474"/>
    <w:rsid w:val="00B87634"/>
    <w:rsid w:val="00B87728"/>
    <w:rsid w:val="00B87A5C"/>
    <w:rsid w:val="00B900B6"/>
    <w:rsid w:val="00B902ED"/>
    <w:rsid w:val="00B9077E"/>
    <w:rsid w:val="00B909DE"/>
    <w:rsid w:val="00B90E24"/>
    <w:rsid w:val="00B91E92"/>
    <w:rsid w:val="00B9201D"/>
    <w:rsid w:val="00B92517"/>
    <w:rsid w:val="00B93E4D"/>
    <w:rsid w:val="00B9441C"/>
    <w:rsid w:val="00B950B4"/>
    <w:rsid w:val="00B9518E"/>
    <w:rsid w:val="00B95C52"/>
    <w:rsid w:val="00B95F18"/>
    <w:rsid w:val="00B95FBB"/>
    <w:rsid w:val="00B971DA"/>
    <w:rsid w:val="00B971FD"/>
    <w:rsid w:val="00B97294"/>
    <w:rsid w:val="00B97AF1"/>
    <w:rsid w:val="00B97D37"/>
    <w:rsid w:val="00BA0310"/>
    <w:rsid w:val="00BA1A64"/>
    <w:rsid w:val="00BA1C52"/>
    <w:rsid w:val="00BA1DF3"/>
    <w:rsid w:val="00BA1F2C"/>
    <w:rsid w:val="00BA24EB"/>
    <w:rsid w:val="00BA2838"/>
    <w:rsid w:val="00BA3339"/>
    <w:rsid w:val="00BA3836"/>
    <w:rsid w:val="00BA387B"/>
    <w:rsid w:val="00BA42B6"/>
    <w:rsid w:val="00BA4A95"/>
    <w:rsid w:val="00BA4C72"/>
    <w:rsid w:val="00BA506B"/>
    <w:rsid w:val="00BA5785"/>
    <w:rsid w:val="00BA701B"/>
    <w:rsid w:val="00BA734F"/>
    <w:rsid w:val="00BA7861"/>
    <w:rsid w:val="00BA7AFF"/>
    <w:rsid w:val="00BA7BD6"/>
    <w:rsid w:val="00BA7F65"/>
    <w:rsid w:val="00BB0A55"/>
    <w:rsid w:val="00BB11DB"/>
    <w:rsid w:val="00BB11F1"/>
    <w:rsid w:val="00BB1AFE"/>
    <w:rsid w:val="00BB3115"/>
    <w:rsid w:val="00BB351D"/>
    <w:rsid w:val="00BB4749"/>
    <w:rsid w:val="00BB48F2"/>
    <w:rsid w:val="00BB4BC2"/>
    <w:rsid w:val="00BB567F"/>
    <w:rsid w:val="00BB5D37"/>
    <w:rsid w:val="00BB657B"/>
    <w:rsid w:val="00BB658C"/>
    <w:rsid w:val="00BB66A9"/>
    <w:rsid w:val="00BB67FD"/>
    <w:rsid w:val="00BB6D55"/>
    <w:rsid w:val="00BB73D6"/>
    <w:rsid w:val="00BB7A17"/>
    <w:rsid w:val="00BC0084"/>
    <w:rsid w:val="00BC020E"/>
    <w:rsid w:val="00BC0EB0"/>
    <w:rsid w:val="00BC1495"/>
    <w:rsid w:val="00BC1516"/>
    <w:rsid w:val="00BC1C03"/>
    <w:rsid w:val="00BC1E9F"/>
    <w:rsid w:val="00BC2276"/>
    <w:rsid w:val="00BC240B"/>
    <w:rsid w:val="00BC284F"/>
    <w:rsid w:val="00BC3815"/>
    <w:rsid w:val="00BC4468"/>
    <w:rsid w:val="00BC531E"/>
    <w:rsid w:val="00BC56BF"/>
    <w:rsid w:val="00BC5E5F"/>
    <w:rsid w:val="00BC657D"/>
    <w:rsid w:val="00BC6715"/>
    <w:rsid w:val="00BC6785"/>
    <w:rsid w:val="00BC685B"/>
    <w:rsid w:val="00BC6D3E"/>
    <w:rsid w:val="00BC6F18"/>
    <w:rsid w:val="00BC7044"/>
    <w:rsid w:val="00BC735A"/>
    <w:rsid w:val="00BD0537"/>
    <w:rsid w:val="00BD135D"/>
    <w:rsid w:val="00BD1730"/>
    <w:rsid w:val="00BD1C58"/>
    <w:rsid w:val="00BD2119"/>
    <w:rsid w:val="00BD214E"/>
    <w:rsid w:val="00BD29EE"/>
    <w:rsid w:val="00BD2F54"/>
    <w:rsid w:val="00BD2FC8"/>
    <w:rsid w:val="00BD30D6"/>
    <w:rsid w:val="00BD3A3B"/>
    <w:rsid w:val="00BD4231"/>
    <w:rsid w:val="00BD4592"/>
    <w:rsid w:val="00BD47FE"/>
    <w:rsid w:val="00BD5680"/>
    <w:rsid w:val="00BD5D0E"/>
    <w:rsid w:val="00BD6174"/>
    <w:rsid w:val="00BD65F7"/>
    <w:rsid w:val="00BD6849"/>
    <w:rsid w:val="00BD766F"/>
    <w:rsid w:val="00BD77C3"/>
    <w:rsid w:val="00BD7DF3"/>
    <w:rsid w:val="00BD7E62"/>
    <w:rsid w:val="00BE0642"/>
    <w:rsid w:val="00BE0D40"/>
    <w:rsid w:val="00BE0D74"/>
    <w:rsid w:val="00BE1B6A"/>
    <w:rsid w:val="00BE20FD"/>
    <w:rsid w:val="00BE276B"/>
    <w:rsid w:val="00BE277E"/>
    <w:rsid w:val="00BE3389"/>
    <w:rsid w:val="00BE35C3"/>
    <w:rsid w:val="00BE440E"/>
    <w:rsid w:val="00BE45E3"/>
    <w:rsid w:val="00BE4FF7"/>
    <w:rsid w:val="00BE54E1"/>
    <w:rsid w:val="00BE63AC"/>
    <w:rsid w:val="00BE68F9"/>
    <w:rsid w:val="00BE6B77"/>
    <w:rsid w:val="00BE70D0"/>
    <w:rsid w:val="00BE7290"/>
    <w:rsid w:val="00BE789A"/>
    <w:rsid w:val="00BF05C8"/>
    <w:rsid w:val="00BF071F"/>
    <w:rsid w:val="00BF0DB6"/>
    <w:rsid w:val="00BF1014"/>
    <w:rsid w:val="00BF187B"/>
    <w:rsid w:val="00BF20E8"/>
    <w:rsid w:val="00BF231D"/>
    <w:rsid w:val="00BF280E"/>
    <w:rsid w:val="00BF2A2A"/>
    <w:rsid w:val="00BF2F9E"/>
    <w:rsid w:val="00BF3497"/>
    <w:rsid w:val="00BF3AAB"/>
    <w:rsid w:val="00BF4253"/>
    <w:rsid w:val="00BF45BD"/>
    <w:rsid w:val="00BF558B"/>
    <w:rsid w:val="00BF55FE"/>
    <w:rsid w:val="00BF5927"/>
    <w:rsid w:val="00BF5B35"/>
    <w:rsid w:val="00BF5C03"/>
    <w:rsid w:val="00BF6EA0"/>
    <w:rsid w:val="00BF7BF4"/>
    <w:rsid w:val="00BF7F6C"/>
    <w:rsid w:val="00C0039D"/>
    <w:rsid w:val="00C00655"/>
    <w:rsid w:val="00C00A9D"/>
    <w:rsid w:val="00C01044"/>
    <w:rsid w:val="00C016D6"/>
    <w:rsid w:val="00C02646"/>
    <w:rsid w:val="00C02FB6"/>
    <w:rsid w:val="00C0336A"/>
    <w:rsid w:val="00C039E0"/>
    <w:rsid w:val="00C04021"/>
    <w:rsid w:val="00C045E5"/>
    <w:rsid w:val="00C046F8"/>
    <w:rsid w:val="00C04EBA"/>
    <w:rsid w:val="00C0527C"/>
    <w:rsid w:val="00C058D2"/>
    <w:rsid w:val="00C062D6"/>
    <w:rsid w:val="00C06519"/>
    <w:rsid w:val="00C06F82"/>
    <w:rsid w:val="00C0701B"/>
    <w:rsid w:val="00C10005"/>
    <w:rsid w:val="00C102ED"/>
    <w:rsid w:val="00C1071B"/>
    <w:rsid w:val="00C1088D"/>
    <w:rsid w:val="00C11388"/>
    <w:rsid w:val="00C11B48"/>
    <w:rsid w:val="00C13535"/>
    <w:rsid w:val="00C135AE"/>
    <w:rsid w:val="00C1387B"/>
    <w:rsid w:val="00C14432"/>
    <w:rsid w:val="00C14679"/>
    <w:rsid w:val="00C14720"/>
    <w:rsid w:val="00C15F16"/>
    <w:rsid w:val="00C16AE7"/>
    <w:rsid w:val="00C16B8C"/>
    <w:rsid w:val="00C16CB5"/>
    <w:rsid w:val="00C16CC7"/>
    <w:rsid w:val="00C173BA"/>
    <w:rsid w:val="00C17A09"/>
    <w:rsid w:val="00C17E4F"/>
    <w:rsid w:val="00C20AD4"/>
    <w:rsid w:val="00C21A2F"/>
    <w:rsid w:val="00C223E7"/>
    <w:rsid w:val="00C229FD"/>
    <w:rsid w:val="00C22C77"/>
    <w:rsid w:val="00C23327"/>
    <w:rsid w:val="00C23E36"/>
    <w:rsid w:val="00C24F22"/>
    <w:rsid w:val="00C25C3D"/>
    <w:rsid w:val="00C26396"/>
    <w:rsid w:val="00C265D6"/>
    <w:rsid w:val="00C26645"/>
    <w:rsid w:val="00C268BD"/>
    <w:rsid w:val="00C277F4"/>
    <w:rsid w:val="00C27A1A"/>
    <w:rsid w:val="00C303CD"/>
    <w:rsid w:val="00C30960"/>
    <w:rsid w:val="00C31C62"/>
    <w:rsid w:val="00C32842"/>
    <w:rsid w:val="00C32DEB"/>
    <w:rsid w:val="00C32FF2"/>
    <w:rsid w:val="00C3349E"/>
    <w:rsid w:val="00C342F9"/>
    <w:rsid w:val="00C346A9"/>
    <w:rsid w:val="00C34CB6"/>
    <w:rsid w:val="00C34FDA"/>
    <w:rsid w:val="00C352E5"/>
    <w:rsid w:val="00C357E0"/>
    <w:rsid w:val="00C35B12"/>
    <w:rsid w:val="00C369DA"/>
    <w:rsid w:val="00C36DAA"/>
    <w:rsid w:val="00C36DEB"/>
    <w:rsid w:val="00C3772A"/>
    <w:rsid w:val="00C37F95"/>
    <w:rsid w:val="00C400E7"/>
    <w:rsid w:val="00C40302"/>
    <w:rsid w:val="00C4111F"/>
    <w:rsid w:val="00C415F9"/>
    <w:rsid w:val="00C418B3"/>
    <w:rsid w:val="00C41F58"/>
    <w:rsid w:val="00C42208"/>
    <w:rsid w:val="00C42416"/>
    <w:rsid w:val="00C4245F"/>
    <w:rsid w:val="00C443D1"/>
    <w:rsid w:val="00C449F3"/>
    <w:rsid w:val="00C4669E"/>
    <w:rsid w:val="00C4718D"/>
    <w:rsid w:val="00C47447"/>
    <w:rsid w:val="00C50CC0"/>
    <w:rsid w:val="00C51227"/>
    <w:rsid w:val="00C51C68"/>
    <w:rsid w:val="00C51D6B"/>
    <w:rsid w:val="00C52372"/>
    <w:rsid w:val="00C52C0E"/>
    <w:rsid w:val="00C52EA0"/>
    <w:rsid w:val="00C53D08"/>
    <w:rsid w:val="00C54D8A"/>
    <w:rsid w:val="00C54DC2"/>
    <w:rsid w:val="00C54E5C"/>
    <w:rsid w:val="00C5594C"/>
    <w:rsid w:val="00C55D2A"/>
    <w:rsid w:val="00C56D11"/>
    <w:rsid w:val="00C579E9"/>
    <w:rsid w:val="00C6006F"/>
    <w:rsid w:val="00C6059F"/>
    <w:rsid w:val="00C62424"/>
    <w:rsid w:val="00C62CFE"/>
    <w:rsid w:val="00C62EF2"/>
    <w:rsid w:val="00C6313C"/>
    <w:rsid w:val="00C63A15"/>
    <w:rsid w:val="00C646D8"/>
    <w:rsid w:val="00C6539B"/>
    <w:rsid w:val="00C65C94"/>
    <w:rsid w:val="00C665AA"/>
    <w:rsid w:val="00C6682B"/>
    <w:rsid w:val="00C67A89"/>
    <w:rsid w:val="00C7036F"/>
    <w:rsid w:val="00C70B97"/>
    <w:rsid w:val="00C70E04"/>
    <w:rsid w:val="00C7113C"/>
    <w:rsid w:val="00C71DA7"/>
    <w:rsid w:val="00C728B5"/>
    <w:rsid w:val="00C739D7"/>
    <w:rsid w:val="00C73C3D"/>
    <w:rsid w:val="00C744FE"/>
    <w:rsid w:val="00C74549"/>
    <w:rsid w:val="00C7472E"/>
    <w:rsid w:val="00C74753"/>
    <w:rsid w:val="00C74788"/>
    <w:rsid w:val="00C748D4"/>
    <w:rsid w:val="00C7567A"/>
    <w:rsid w:val="00C7588A"/>
    <w:rsid w:val="00C758E3"/>
    <w:rsid w:val="00C75F45"/>
    <w:rsid w:val="00C76165"/>
    <w:rsid w:val="00C772EE"/>
    <w:rsid w:val="00C77727"/>
    <w:rsid w:val="00C777B4"/>
    <w:rsid w:val="00C77806"/>
    <w:rsid w:val="00C8008F"/>
    <w:rsid w:val="00C80675"/>
    <w:rsid w:val="00C80B8B"/>
    <w:rsid w:val="00C80EBA"/>
    <w:rsid w:val="00C81516"/>
    <w:rsid w:val="00C8187A"/>
    <w:rsid w:val="00C81E0B"/>
    <w:rsid w:val="00C822F2"/>
    <w:rsid w:val="00C8287E"/>
    <w:rsid w:val="00C839DA"/>
    <w:rsid w:val="00C83B8C"/>
    <w:rsid w:val="00C84199"/>
    <w:rsid w:val="00C84B5B"/>
    <w:rsid w:val="00C85B4E"/>
    <w:rsid w:val="00C867A7"/>
    <w:rsid w:val="00C872D2"/>
    <w:rsid w:val="00C87498"/>
    <w:rsid w:val="00C87645"/>
    <w:rsid w:val="00C90578"/>
    <w:rsid w:val="00C90B22"/>
    <w:rsid w:val="00C915F3"/>
    <w:rsid w:val="00C91C59"/>
    <w:rsid w:val="00C91CA5"/>
    <w:rsid w:val="00C91E6A"/>
    <w:rsid w:val="00C92600"/>
    <w:rsid w:val="00C92C49"/>
    <w:rsid w:val="00C942A0"/>
    <w:rsid w:val="00C94351"/>
    <w:rsid w:val="00C9508D"/>
    <w:rsid w:val="00C954D8"/>
    <w:rsid w:val="00C95616"/>
    <w:rsid w:val="00C95818"/>
    <w:rsid w:val="00C96223"/>
    <w:rsid w:val="00C96422"/>
    <w:rsid w:val="00C97652"/>
    <w:rsid w:val="00CA0E6B"/>
    <w:rsid w:val="00CA174C"/>
    <w:rsid w:val="00CA284D"/>
    <w:rsid w:val="00CA29A9"/>
    <w:rsid w:val="00CA2DBC"/>
    <w:rsid w:val="00CA37A8"/>
    <w:rsid w:val="00CA4199"/>
    <w:rsid w:val="00CA4A22"/>
    <w:rsid w:val="00CA4F44"/>
    <w:rsid w:val="00CA6307"/>
    <w:rsid w:val="00CB01B8"/>
    <w:rsid w:val="00CB0C73"/>
    <w:rsid w:val="00CB0F28"/>
    <w:rsid w:val="00CB1751"/>
    <w:rsid w:val="00CB1A43"/>
    <w:rsid w:val="00CB1BD3"/>
    <w:rsid w:val="00CB1DDD"/>
    <w:rsid w:val="00CB20D7"/>
    <w:rsid w:val="00CB26B7"/>
    <w:rsid w:val="00CB3B02"/>
    <w:rsid w:val="00CB488E"/>
    <w:rsid w:val="00CB5426"/>
    <w:rsid w:val="00CB5948"/>
    <w:rsid w:val="00CB59E3"/>
    <w:rsid w:val="00CB6844"/>
    <w:rsid w:val="00CB712B"/>
    <w:rsid w:val="00CB72FF"/>
    <w:rsid w:val="00CB745E"/>
    <w:rsid w:val="00CB77B5"/>
    <w:rsid w:val="00CB7D4C"/>
    <w:rsid w:val="00CC03D6"/>
    <w:rsid w:val="00CC1A3A"/>
    <w:rsid w:val="00CC1CDD"/>
    <w:rsid w:val="00CC1D62"/>
    <w:rsid w:val="00CC379E"/>
    <w:rsid w:val="00CC39C2"/>
    <w:rsid w:val="00CC4D77"/>
    <w:rsid w:val="00CC4F2E"/>
    <w:rsid w:val="00CC60FC"/>
    <w:rsid w:val="00CC69B3"/>
    <w:rsid w:val="00CC7636"/>
    <w:rsid w:val="00CC775B"/>
    <w:rsid w:val="00CD0B0E"/>
    <w:rsid w:val="00CD17ED"/>
    <w:rsid w:val="00CD1849"/>
    <w:rsid w:val="00CD2524"/>
    <w:rsid w:val="00CD277A"/>
    <w:rsid w:val="00CD2BF5"/>
    <w:rsid w:val="00CD3374"/>
    <w:rsid w:val="00CD33F0"/>
    <w:rsid w:val="00CD3A89"/>
    <w:rsid w:val="00CD4496"/>
    <w:rsid w:val="00CD59D1"/>
    <w:rsid w:val="00CD62E8"/>
    <w:rsid w:val="00CD66B1"/>
    <w:rsid w:val="00CD6773"/>
    <w:rsid w:val="00CD70DE"/>
    <w:rsid w:val="00CD7381"/>
    <w:rsid w:val="00CD7750"/>
    <w:rsid w:val="00CD7FCA"/>
    <w:rsid w:val="00CE0492"/>
    <w:rsid w:val="00CE04FC"/>
    <w:rsid w:val="00CE0573"/>
    <w:rsid w:val="00CE1178"/>
    <w:rsid w:val="00CE1320"/>
    <w:rsid w:val="00CE172C"/>
    <w:rsid w:val="00CE1BEA"/>
    <w:rsid w:val="00CE1DDA"/>
    <w:rsid w:val="00CE37D1"/>
    <w:rsid w:val="00CE4D28"/>
    <w:rsid w:val="00CE4EF8"/>
    <w:rsid w:val="00CE509B"/>
    <w:rsid w:val="00CE5276"/>
    <w:rsid w:val="00CE5BCD"/>
    <w:rsid w:val="00CE62D6"/>
    <w:rsid w:val="00CE675B"/>
    <w:rsid w:val="00CE7914"/>
    <w:rsid w:val="00CE79E0"/>
    <w:rsid w:val="00CF006B"/>
    <w:rsid w:val="00CF00AA"/>
    <w:rsid w:val="00CF0616"/>
    <w:rsid w:val="00CF0FA1"/>
    <w:rsid w:val="00CF1242"/>
    <w:rsid w:val="00CF1959"/>
    <w:rsid w:val="00CF2173"/>
    <w:rsid w:val="00CF29CA"/>
    <w:rsid w:val="00CF367B"/>
    <w:rsid w:val="00CF369F"/>
    <w:rsid w:val="00CF39BD"/>
    <w:rsid w:val="00CF3B3A"/>
    <w:rsid w:val="00CF44DD"/>
    <w:rsid w:val="00CF49A6"/>
    <w:rsid w:val="00CF4AFE"/>
    <w:rsid w:val="00CF4E51"/>
    <w:rsid w:val="00CF586A"/>
    <w:rsid w:val="00CF6984"/>
    <w:rsid w:val="00CF6D86"/>
    <w:rsid w:val="00D003FB"/>
    <w:rsid w:val="00D00456"/>
    <w:rsid w:val="00D00565"/>
    <w:rsid w:val="00D00933"/>
    <w:rsid w:val="00D00FDE"/>
    <w:rsid w:val="00D012F9"/>
    <w:rsid w:val="00D0132E"/>
    <w:rsid w:val="00D013A7"/>
    <w:rsid w:val="00D017D0"/>
    <w:rsid w:val="00D01933"/>
    <w:rsid w:val="00D019C8"/>
    <w:rsid w:val="00D0242E"/>
    <w:rsid w:val="00D0295A"/>
    <w:rsid w:val="00D02AEA"/>
    <w:rsid w:val="00D04093"/>
    <w:rsid w:val="00D055C6"/>
    <w:rsid w:val="00D056AD"/>
    <w:rsid w:val="00D05A2E"/>
    <w:rsid w:val="00D05E61"/>
    <w:rsid w:val="00D07A47"/>
    <w:rsid w:val="00D07BB4"/>
    <w:rsid w:val="00D07CB3"/>
    <w:rsid w:val="00D10332"/>
    <w:rsid w:val="00D1096B"/>
    <w:rsid w:val="00D10F8A"/>
    <w:rsid w:val="00D12476"/>
    <w:rsid w:val="00D12B1B"/>
    <w:rsid w:val="00D13506"/>
    <w:rsid w:val="00D14CF6"/>
    <w:rsid w:val="00D1516C"/>
    <w:rsid w:val="00D15477"/>
    <w:rsid w:val="00D1590F"/>
    <w:rsid w:val="00D1667D"/>
    <w:rsid w:val="00D16BEF"/>
    <w:rsid w:val="00D16E62"/>
    <w:rsid w:val="00D17F53"/>
    <w:rsid w:val="00D21891"/>
    <w:rsid w:val="00D21C0F"/>
    <w:rsid w:val="00D22107"/>
    <w:rsid w:val="00D22291"/>
    <w:rsid w:val="00D22FA0"/>
    <w:rsid w:val="00D237E5"/>
    <w:rsid w:val="00D23FC1"/>
    <w:rsid w:val="00D24813"/>
    <w:rsid w:val="00D24962"/>
    <w:rsid w:val="00D24B44"/>
    <w:rsid w:val="00D251D0"/>
    <w:rsid w:val="00D25AD4"/>
    <w:rsid w:val="00D266B3"/>
    <w:rsid w:val="00D27176"/>
    <w:rsid w:val="00D27929"/>
    <w:rsid w:val="00D30642"/>
    <w:rsid w:val="00D31115"/>
    <w:rsid w:val="00D31677"/>
    <w:rsid w:val="00D31931"/>
    <w:rsid w:val="00D31E71"/>
    <w:rsid w:val="00D31FA4"/>
    <w:rsid w:val="00D322FF"/>
    <w:rsid w:val="00D3251F"/>
    <w:rsid w:val="00D3332A"/>
    <w:rsid w:val="00D336FA"/>
    <w:rsid w:val="00D34017"/>
    <w:rsid w:val="00D3501A"/>
    <w:rsid w:val="00D3696B"/>
    <w:rsid w:val="00D369C2"/>
    <w:rsid w:val="00D36B1F"/>
    <w:rsid w:val="00D36B84"/>
    <w:rsid w:val="00D3715B"/>
    <w:rsid w:val="00D37D6E"/>
    <w:rsid w:val="00D37DD3"/>
    <w:rsid w:val="00D37F4B"/>
    <w:rsid w:val="00D40F00"/>
    <w:rsid w:val="00D4143B"/>
    <w:rsid w:val="00D42714"/>
    <w:rsid w:val="00D42991"/>
    <w:rsid w:val="00D4350C"/>
    <w:rsid w:val="00D43D69"/>
    <w:rsid w:val="00D44B29"/>
    <w:rsid w:val="00D44B97"/>
    <w:rsid w:val="00D453A9"/>
    <w:rsid w:val="00D45907"/>
    <w:rsid w:val="00D45C61"/>
    <w:rsid w:val="00D47A6E"/>
    <w:rsid w:val="00D50CB3"/>
    <w:rsid w:val="00D51106"/>
    <w:rsid w:val="00D51970"/>
    <w:rsid w:val="00D51EFC"/>
    <w:rsid w:val="00D52837"/>
    <w:rsid w:val="00D52AC9"/>
    <w:rsid w:val="00D52B33"/>
    <w:rsid w:val="00D52E54"/>
    <w:rsid w:val="00D5373E"/>
    <w:rsid w:val="00D5403D"/>
    <w:rsid w:val="00D55055"/>
    <w:rsid w:val="00D561BA"/>
    <w:rsid w:val="00D563E8"/>
    <w:rsid w:val="00D56808"/>
    <w:rsid w:val="00D568C0"/>
    <w:rsid w:val="00D56C51"/>
    <w:rsid w:val="00D60B40"/>
    <w:rsid w:val="00D60DEC"/>
    <w:rsid w:val="00D61C20"/>
    <w:rsid w:val="00D61E16"/>
    <w:rsid w:val="00D62127"/>
    <w:rsid w:val="00D623FF"/>
    <w:rsid w:val="00D629B6"/>
    <w:rsid w:val="00D633A0"/>
    <w:rsid w:val="00D63798"/>
    <w:rsid w:val="00D63DC7"/>
    <w:rsid w:val="00D63E19"/>
    <w:rsid w:val="00D642D4"/>
    <w:rsid w:val="00D6436F"/>
    <w:rsid w:val="00D645EE"/>
    <w:rsid w:val="00D647DA"/>
    <w:rsid w:val="00D647F7"/>
    <w:rsid w:val="00D64BD5"/>
    <w:rsid w:val="00D659CC"/>
    <w:rsid w:val="00D65F87"/>
    <w:rsid w:val="00D661C9"/>
    <w:rsid w:val="00D665E4"/>
    <w:rsid w:val="00D66847"/>
    <w:rsid w:val="00D668DE"/>
    <w:rsid w:val="00D66B66"/>
    <w:rsid w:val="00D66B8F"/>
    <w:rsid w:val="00D671E2"/>
    <w:rsid w:val="00D70967"/>
    <w:rsid w:val="00D71A02"/>
    <w:rsid w:val="00D71A82"/>
    <w:rsid w:val="00D71CDC"/>
    <w:rsid w:val="00D71F17"/>
    <w:rsid w:val="00D73107"/>
    <w:rsid w:val="00D74025"/>
    <w:rsid w:val="00D74064"/>
    <w:rsid w:val="00D7411A"/>
    <w:rsid w:val="00D748BD"/>
    <w:rsid w:val="00D74B37"/>
    <w:rsid w:val="00D74E34"/>
    <w:rsid w:val="00D75E3F"/>
    <w:rsid w:val="00D76DDE"/>
    <w:rsid w:val="00D77560"/>
    <w:rsid w:val="00D7770C"/>
    <w:rsid w:val="00D804A6"/>
    <w:rsid w:val="00D80A36"/>
    <w:rsid w:val="00D818ED"/>
    <w:rsid w:val="00D81DA9"/>
    <w:rsid w:val="00D82243"/>
    <w:rsid w:val="00D82AA2"/>
    <w:rsid w:val="00D83183"/>
    <w:rsid w:val="00D835D3"/>
    <w:rsid w:val="00D837BB"/>
    <w:rsid w:val="00D839CA"/>
    <w:rsid w:val="00D83B6A"/>
    <w:rsid w:val="00D85011"/>
    <w:rsid w:val="00D85016"/>
    <w:rsid w:val="00D852F8"/>
    <w:rsid w:val="00D85929"/>
    <w:rsid w:val="00D8592C"/>
    <w:rsid w:val="00D86355"/>
    <w:rsid w:val="00D86942"/>
    <w:rsid w:val="00D86BAD"/>
    <w:rsid w:val="00D86C32"/>
    <w:rsid w:val="00D8779E"/>
    <w:rsid w:val="00D87FB7"/>
    <w:rsid w:val="00D90C27"/>
    <w:rsid w:val="00D90E78"/>
    <w:rsid w:val="00D90EC1"/>
    <w:rsid w:val="00D91168"/>
    <w:rsid w:val="00D91F48"/>
    <w:rsid w:val="00D92D75"/>
    <w:rsid w:val="00D93A22"/>
    <w:rsid w:val="00D94982"/>
    <w:rsid w:val="00D94A4F"/>
    <w:rsid w:val="00D95327"/>
    <w:rsid w:val="00D95451"/>
    <w:rsid w:val="00D95E20"/>
    <w:rsid w:val="00D9717A"/>
    <w:rsid w:val="00D97469"/>
    <w:rsid w:val="00D9766A"/>
    <w:rsid w:val="00D97932"/>
    <w:rsid w:val="00DA0AAD"/>
    <w:rsid w:val="00DA0EC1"/>
    <w:rsid w:val="00DA1D7C"/>
    <w:rsid w:val="00DA291B"/>
    <w:rsid w:val="00DA3C86"/>
    <w:rsid w:val="00DA3E14"/>
    <w:rsid w:val="00DA3F0C"/>
    <w:rsid w:val="00DA3F9B"/>
    <w:rsid w:val="00DA48F2"/>
    <w:rsid w:val="00DA4C37"/>
    <w:rsid w:val="00DA4D9A"/>
    <w:rsid w:val="00DA5882"/>
    <w:rsid w:val="00DA5BCF"/>
    <w:rsid w:val="00DA6303"/>
    <w:rsid w:val="00DA6C4E"/>
    <w:rsid w:val="00DB04D9"/>
    <w:rsid w:val="00DB11E6"/>
    <w:rsid w:val="00DB1252"/>
    <w:rsid w:val="00DB1332"/>
    <w:rsid w:val="00DB1498"/>
    <w:rsid w:val="00DB173B"/>
    <w:rsid w:val="00DB1E3D"/>
    <w:rsid w:val="00DB2B9E"/>
    <w:rsid w:val="00DB3B9D"/>
    <w:rsid w:val="00DB4302"/>
    <w:rsid w:val="00DB43FC"/>
    <w:rsid w:val="00DB50AB"/>
    <w:rsid w:val="00DB50CD"/>
    <w:rsid w:val="00DB535F"/>
    <w:rsid w:val="00DB575F"/>
    <w:rsid w:val="00DB62C2"/>
    <w:rsid w:val="00DB6500"/>
    <w:rsid w:val="00DB67A7"/>
    <w:rsid w:val="00DB6A6E"/>
    <w:rsid w:val="00DB73AF"/>
    <w:rsid w:val="00DB75E9"/>
    <w:rsid w:val="00DB786E"/>
    <w:rsid w:val="00DB7AD2"/>
    <w:rsid w:val="00DC0730"/>
    <w:rsid w:val="00DC08EC"/>
    <w:rsid w:val="00DC0D04"/>
    <w:rsid w:val="00DC0D76"/>
    <w:rsid w:val="00DC116E"/>
    <w:rsid w:val="00DC16F7"/>
    <w:rsid w:val="00DC1906"/>
    <w:rsid w:val="00DC1CD9"/>
    <w:rsid w:val="00DC1E00"/>
    <w:rsid w:val="00DC22E1"/>
    <w:rsid w:val="00DC22F2"/>
    <w:rsid w:val="00DC2308"/>
    <w:rsid w:val="00DC314C"/>
    <w:rsid w:val="00DC3349"/>
    <w:rsid w:val="00DC3574"/>
    <w:rsid w:val="00DC3D44"/>
    <w:rsid w:val="00DC452E"/>
    <w:rsid w:val="00DC4760"/>
    <w:rsid w:val="00DC51A1"/>
    <w:rsid w:val="00DC5217"/>
    <w:rsid w:val="00DC5809"/>
    <w:rsid w:val="00DC59CB"/>
    <w:rsid w:val="00DC62D4"/>
    <w:rsid w:val="00DC6C71"/>
    <w:rsid w:val="00DC6F02"/>
    <w:rsid w:val="00DC712E"/>
    <w:rsid w:val="00DC7347"/>
    <w:rsid w:val="00DC7E3A"/>
    <w:rsid w:val="00DD0DED"/>
    <w:rsid w:val="00DD1695"/>
    <w:rsid w:val="00DD1FFD"/>
    <w:rsid w:val="00DD24D4"/>
    <w:rsid w:val="00DD2983"/>
    <w:rsid w:val="00DD2A48"/>
    <w:rsid w:val="00DD2B29"/>
    <w:rsid w:val="00DD2C92"/>
    <w:rsid w:val="00DD3114"/>
    <w:rsid w:val="00DD3787"/>
    <w:rsid w:val="00DD38A9"/>
    <w:rsid w:val="00DD41D2"/>
    <w:rsid w:val="00DD62B8"/>
    <w:rsid w:val="00DD6BEF"/>
    <w:rsid w:val="00DD6F6E"/>
    <w:rsid w:val="00DD6F70"/>
    <w:rsid w:val="00DD7BF4"/>
    <w:rsid w:val="00DD7DC6"/>
    <w:rsid w:val="00DE0627"/>
    <w:rsid w:val="00DE1257"/>
    <w:rsid w:val="00DE14F2"/>
    <w:rsid w:val="00DE1B18"/>
    <w:rsid w:val="00DE1E25"/>
    <w:rsid w:val="00DE2116"/>
    <w:rsid w:val="00DE23EC"/>
    <w:rsid w:val="00DE32D5"/>
    <w:rsid w:val="00DE3A82"/>
    <w:rsid w:val="00DE3BC4"/>
    <w:rsid w:val="00DE3BDC"/>
    <w:rsid w:val="00DE5407"/>
    <w:rsid w:val="00DE558C"/>
    <w:rsid w:val="00DE5E49"/>
    <w:rsid w:val="00DE5F94"/>
    <w:rsid w:val="00DE682F"/>
    <w:rsid w:val="00DE6B44"/>
    <w:rsid w:val="00DE6BE1"/>
    <w:rsid w:val="00DE6C88"/>
    <w:rsid w:val="00DE6F7C"/>
    <w:rsid w:val="00DE7CFD"/>
    <w:rsid w:val="00DE7D0D"/>
    <w:rsid w:val="00DF0F83"/>
    <w:rsid w:val="00DF3215"/>
    <w:rsid w:val="00DF3464"/>
    <w:rsid w:val="00DF3B1A"/>
    <w:rsid w:val="00DF3DE7"/>
    <w:rsid w:val="00DF43E2"/>
    <w:rsid w:val="00DF45A3"/>
    <w:rsid w:val="00DF53FE"/>
    <w:rsid w:val="00DF54C0"/>
    <w:rsid w:val="00DF5C5B"/>
    <w:rsid w:val="00DF68D5"/>
    <w:rsid w:val="00DF6B24"/>
    <w:rsid w:val="00DF7070"/>
    <w:rsid w:val="00DF736C"/>
    <w:rsid w:val="00DF7458"/>
    <w:rsid w:val="00DF748A"/>
    <w:rsid w:val="00DF749C"/>
    <w:rsid w:val="00DF77C9"/>
    <w:rsid w:val="00DF7CBA"/>
    <w:rsid w:val="00E00079"/>
    <w:rsid w:val="00E00779"/>
    <w:rsid w:val="00E01751"/>
    <w:rsid w:val="00E01D76"/>
    <w:rsid w:val="00E022D8"/>
    <w:rsid w:val="00E02430"/>
    <w:rsid w:val="00E0278F"/>
    <w:rsid w:val="00E02C37"/>
    <w:rsid w:val="00E02D17"/>
    <w:rsid w:val="00E02DF0"/>
    <w:rsid w:val="00E0372C"/>
    <w:rsid w:val="00E039F4"/>
    <w:rsid w:val="00E03CB2"/>
    <w:rsid w:val="00E04D97"/>
    <w:rsid w:val="00E058D6"/>
    <w:rsid w:val="00E05AAE"/>
    <w:rsid w:val="00E05AC4"/>
    <w:rsid w:val="00E06801"/>
    <w:rsid w:val="00E06E19"/>
    <w:rsid w:val="00E0765C"/>
    <w:rsid w:val="00E07D27"/>
    <w:rsid w:val="00E100CB"/>
    <w:rsid w:val="00E105B3"/>
    <w:rsid w:val="00E10B76"/>
    <w:rsid w:val="00E10DCB"/>
    <w:rsid w:val="00E1155A"/>
    <w:rsid w:val="00E117D3"/>
    <w:rsid w:val="00E1197A"/>
    <w:rsid w:val="00E11FA7"/>
    <w:rsid w:val="00E120BB"/>
    <w:rsid w:val="00E120DC"/>
    <w:rsid w:val="00E1236B"/>
    <w:rsid w:val="00E12CE8"/>
    <w:rsid w:val="00E12D49"/>
    <w:rsid w:val="00E13A61"/>
    <w:rsid w:val="00E13F51"/>
    <w:rsid w:val="00E14AA4"/>
    <w:rsid w:val="00E14CDA"/>
    <w:rsid w:val="00E15DD7"/>
    <w:rsid w:val="00E15F58"/>
    <w:rsid w:val="00E16584"/>
    <w:rsid w:val="00E167EE"/>
    <w:rsid w:val="00E16B06"/>
    <w:rsid w:val="00E16DF8"/>
    <w:rsid w:val="00E17001"/>
    <w:rsid w:val="00E177C5"/>
    <w:rsid w:val="00E20315"/>
    <w:rsid w:val="00E2046E"/>
    <w:rsid w:val="00E20A95"/>
    <w:rsid w:val="00E20BC2"/>
    <w:rsid w:val="00E2126F"/>
    <w:rsid w:val="00E218F8"/>
    <w:rsid w:val="00E21BAF"/>
    <w:rsid w:val="00E21D98"/>
    <w:rsid w:val="00E2296D"/>
    <w:rsid w:val="00E23709"/>
    <w:rsid w:val="00E23EFE"/>
    <w:rsid w:val="00E267B5"/>
    <w:rsid w:val="00E26A9A"/>
    <w:rsid w:val="00E2721F"/>
    <w:rsid w:val="00E27300"/>
    <w:rsid w:val="00E2756F"/>
    <w:rsid w:val="00E27D2C"/>
    <w:rsid w:val="00E305A7"/>
    <w:rsid w:val="00E320E1"/>
    <w:rsid w:val="00E325F2"/>
    <w:rsid w:val="00E3297D"/>
    <w:rsid w:val="00E333FF"/>
    <w:rsid w:val="00E33A18"/>
    <w:rsid w:val="00E33FAF"/>
    <w:rsid w:val="00E34506"/>
    <w:rsid w:val="00E3574A"/>
    <w:rsid w:val="00E35D85"/>
    <w:rsid w:val="00E36017"/>
    <w:rsid w:val="00E360CB"/>
    <w:rsid w:val="00E36D12"/>
    <w:rsid w:val="00E36D74"/>
    <w:rsid w:val="00E374B6"/>
    <w:rsid w:val="00E37A8A"/>
    <w:rsid w:val="00E407DF"/>
    <w:rsid w:val="00E40E55"/>
    <w:rsid w:val="00E40FE0"/>
    <w:rsid w:val="00E40FFA"/>
    <w:rsid w:val="00E412A8"/>
    <w:rsid w:val="00E41631"/>
    <w:rsid w:val="00E423C7"/>
    <w:rsid w:val="00E42B75"/>
    <w:rsid w:val="00E42BBE"/>
    <w:rsid w:val="00E4434B"/>
    <w:rsid w:val="00E44446"/>
    <w:rsid w:val="00E44F1C"/>
    <w:rsid w:val="00E44FCC"/>
    <w:rsid w:val="00E44FD2"/>
    <w:rsid w:val="00E4526E"/>
    <w:rsid w:val="00E46136"/>
    <w:rsid w:val="00E46590"/>
    <w:rsid w:val="00E46777"/>
    <w:rsid w:val="00E474B9"/>
    <w:rsid w:val="00E4778C"/>
    <w:rsid w:val="00E50DD0"/>
    <w:rsid w:val="00E51053"/>
    <w:rsid w:val="00E53060"/>
    <w:rsid w:val="00E53C1F"/>
    <w:rsid w:val="00E541A9"/>
    <w:rsid w:val="00E5431D"/>
    <w:rsid w:val="00E54A41"/>
    <w:rsid w:val="00E54FDB"/>
    <w:rsid w:val="00E550F0"/>
    <w:rsid w:val="00E55EEF"/>
    <w:rsid w:val="00E56225"/>
    <w:rsid w:val="00E56D7F"/>
    <w:rsid w:val="00E56DAD"/>
    <w:rsid w:val="00E5744B"/>
    <w:rsid w:val="00E603E2"/>
    <w:rsid w:val="00E6074F"/>
    <w:rsid w:val="00E608E5"/>
    <w:rsid w:val="00E60DD5"/>
    <w:rsid w:val="00E61DA8"/>
    <w:rsid w:val="00E62190"/>
    <w:rsid w:val="00E626F0"/>
    <w:rsid w:val="00E62A27"/>
    <w:rsid w:val="00E6324A"/>
    <w:rsid w:val="00E6346F"/>
    <w:rsid w:val="00E63583"/>
    <w:rsid w:val="00E63ABC"/>
    <w:rsid w:val="00E6542C"/>
    <w:rsid w:val="00E657D8"/>
    <w:rsid w:val="00E65F2A"/>
    <w:rsid w:val="00E6607E"/>
    <w:rsid w:val="00E661A2"/>
    <w:rsid w:val="00E6652A"/>
    <w:rsid w:val="00E66ACD"/>
    <w:rsid w:val="00E66AE2"/>
    <w:rsid w:val="00E67E21"/>
    <w:rsid w:val="00E67F1A"/>
    <w:rsid w:val="00E700DD"/>
    <w:rsid w:val="00E70C28"/>
    <w:rsid w:val="00E71A11"/>
    <w:rsid w:val="00E723CB"/>
    <w:rsid w:val="00E72418"/>
    <w:rsid w:val="00E72BDC"/>
    <w:rsid w:val="00E72E49"/>
    <w:rsid w:val="00E7355B"/>
    <w:rsid w:val="00E73755"/>
    <w:rsid w:val="00E73C29"/>
    <w:rsid w:val="00E74103"/>
    <w:rsid w:val="00E746D6"/>
    <w:rsid w:val="00E74E48"/>
    <w:rsid w:val="00E74F65"/>
    <w:rsid w:val="00E750E4"/>
    <w:rsid w:val="00E75C18"/>
    <w:rsid w:val="00E75C89"/>
    <w:rsid w:val="00E76914"/>
    <w:rsid w:val="00E77622"/>
    <w:rsid w:val="00E778D6"/>
    <w:rsid w:val="00E77A41"/>
    <w:rsid w:val="00E80CD5"/>
    <w:rsid w:val="00E8279F"/>
    <w:rsid w:val="00E839FC"/>
    <w:rsid w:val="00E83DDB"/>
    <w:rsid w:val="00E841DC"/>
    <w:rsid w:val="00E84204"/>
    <w:rsid w:val="00E843A0"/>
    <w:rsid w:val="00E8493D"/>
    <w:rsid w:val="00E84E3D"/>
    <w:rsid w:val="00E854F1"/>
    <w:rsid w:val="00E855D7"/>
    <w:rsid w:val="00E85EEA"/>
    <w:rsid w:val="00E85F75"/>
    <w:rsid w:val="00E86972"/>
    <w:rsid w:val="00E87ECE"/>
    <w:rsid w:val="00E908B5"/>
    <w:rsid w:val="00E90AC9"/>
    <w:rsid w:val="00E933A8"/>
    <w:rsid w:val="00E93C5A"/>
    <w:rsid w:val="00E93D2E"/>
    <w:rsid w:val="00E942A4"/>
    <w:rsid w:val="00E96DD9"/>
    <w:rsid w:val="00E9714C"/>
    <w:rsid w:val="00E975CB"/>
    <w:rsid w:val="00EA046E"/>
    <w:rsid w:val="00EA0566"/>
    <w:rsid w:val="00EA0773"/>
    <w:rsid w:val="00EA0B5F"/>
    <w:rsid w:val="00EA0BBE"/>
    <w:rsid w:val="00EA19B7"/>
    <w:rsid w:val="00EA1BC8"/>
    <w:rsid w:val="00EA1FEE"/>
    <w:rsid w:val="00EA2289"/>
    <w:rsid w:val="00EA2D60"/>
    <w:rsid w:val="00EA2E47"/>
    <w:rsid w:val="00EA353E"/>
    <w:rsid w:val="00EA3CD8"/>
    <w:rsid w:val="00EA3E09"/>
    <w:rsid w:val="00EA4097"/>
    <w:rsid w:val="00EA4813"/>
    <w:rsid w:val="00EA4A91"/>
    <w:rsid w:val="00EA4BCF"/>
    <w:rsid w:val="00EA4EBB"/>
    <w:rsid w:val="00EA5F52"/>
    <w:rsid w:val="00EA649F"/>
    <w:rsid w:val="00EA78B0"/>
    <w:rsid w:val="00EB03A7"/>
    <w:rsid w:val="00EB08A6"/>
    <w:rsid w:val="00EB2054"/>
    <w:rsid w:val="00EB2450"/>
    <w:rsid w:val="00EB24B6"/>
    <w:rsid w:val="00EB31C8"/>
    <w:rsid w:val="00EB325E"/>
    <w:rsid w:val="00EB36ED"/>
    <w:rsid w:val="00EB3E9C"/>
    <w:rsid w:val="00EB4182"/>
    <w:rsid w:val="00EB4254"/>
    <w:rsid w:val="00EB448C"/>
    <w:rsid w:val="00EB4D3C"/>
    <w:rsid w:val="00EB525C"/>
    <w:rsid w:val="00EB5338"/>
    <w:rsid w:val="00EB6205"/>
    <w:rsid w:val="00EB6382"/>
    <w:rsid w:val="00EB6F00"/>
    <w:rsid w:val="00EB75B7"/>
    <w:rsid w:val="00EC01D3"/>
    <w:rsid w:val="00EC1594"/>
    <w:rsid w:val="00EC18B8"/>
    <w:rsid w:val="00EC23C4"/>
    <w:rsid w:val="00EC2CB2"/>
    <w:rsid w:val="00EC3F7B"/>
    <w:rsid w:val="00EC44C8"/>
    <w:rsid w:val="00EC4C82"/>
    <w:rsid w:val="00EC4C87"/>
    <w:rsid w:val="00EC4F2A"/>
    <w:rsid w:val="00EC5171"/>
    <w:rsid w:val="00EC55F3"/>
    <w:rsid w:val="00EC66E9"/>
    <w:rsid w:val="00EC6AEC"/>
    <w:rsid w:val="00EC6F04"/>
    <w:rsid w:val="00ED0118"/>
    <w:rsid w:val="00ED047B"/>
    <w:rsid w:val="00ED096B"/>
    <w:rsid w:val="00ED1D3E"/>
    <w:rsid w:val="00ED2D76"/>
    <w:rsid w:val="00ED2DA5"/>
    <w:rsid w:val="00ED3487"/>
    <w:rsid w:val="00ED3CE3"/>
    <w:rsid w:val="00ED4040"/>
    <w:rsid w:val="00ED42A5"/>
    <w:rsid w:val="00ED4387"/>
    <w:rsid w:val="00ED5015"/>
    <w:rsid w:val="00ED61D4"/>
    <w:rsid w:val="00ED6881"/>
    <w:rsid w:val="00ED6D86"/>
    <w:rsid w:val="00ED6E2D"/>
    <w:rsid w:val="00ED7440"/>
    <w:rsid w:val="00ED768A"/>
    <w:rsid w:val="00ED7EE4"/>
    <w:rsid w:val="00EE0603"/>
    <w:rsid w:val="00EE0821"/>
    <w:rsid w:val="00EE0F0D"/>
    <w:rsid w:val="00EE1828"/>
    <w:rsid w:val="00EE1C9D"/>
    <w:rsid w:val="00EE224D"/>
    <w:rsid w:val="00EE2A73"/>
    <w:rsid w:val="00EE3258"/>
    <w:rsid w:val="00EE366C"/>
    <w:rsid w:val="00EE3E85"/>
    <w:rsid w:val="00EE5635"/>
    <w:rsid w:val="00EE56B2"/>
    <w:rsid w:val="00EE5A4E"/>
    <w:rsid w:val="00EE5BAE"/>
    <w:rsid w:val="00EE60D4"/>
    <w:rsid w:val="00EE61C4"/>
    <w:rsid w:val="00EE6337"/>
    <w:rsid w:val="00EE66C9"/>
    <w:rsid w:val="00EE7081"/>
    <w:rsid w:val="00EE7B7E"/>
    <w:rsid w:val="00EE7C47"/>
    <w:rsid w:val="00EE7E82"/>
    <w:rsid w:val="00EF027C"/>
    <w:rsid w:val="00EF0544"/>
    <w:rsid w:val="00EF0AA2"/>
    <w:rsid w:val="00EF0B8A"/>
    <w:rsid w:val="00EF0EC0"/>
    <w:rsid w:val="00EF1239"/>
    <w:rsid w:val="00EF18E1"/>
    <w:rsid w:val="00EF1A1F"/>
    <w:rsid w:val="00EF1E8B"/>
    <w:rsid w:val="00EF20F7"/>
    <w:rsid w:val="00EF2285"/>
    <w:rsid w:val="00EF472F"/>
    <w:rsid w:val="00EF49F8"/>
    <w:rsid w:val="00EF4EFF"/>
    <w:rsid w:val="00EF5582"/>
    <w:rsid w:val="00EF5B11"/>
    <w:rsid w:val="00EF66EB"/>
    <w:rsid w:val="00EF671C"/>
    <w:rsid w:val="00EF78BC"/>
    <w:rsid w:val="00F00252"/>
    <w:rsid w:val="00F00CC8"/>
    <w:rsid w:val="00F01408"/>
    <w:rsid w:val="00F015A3"/>
    <w:rsid w:val="00F01808"/>
    <w:rsid w:val="00F02287"/>
    <w:rsid w:val="00F028F4"/>
    <w:rsid w:val="00F036B1"/>
    <w:rsid w:val="00F03FCA"/>
    <w:rsid w:val="00F04AA3"/>
    <w:rsid w:val="00F05320"/>
    <w:rsid w:val="00F05A48"/>
    <w:rsid w:val="00F05E49"/>
    <w:rsid w:val="00F06057"/>
    <w:rsid w:val="00F074EF"/>
    <w:rsid w:val="00F07A71"/>
    <w:rsid w:val="00F1074E"/>
    <w:rsid w:val="00F108A8"/>
    <w:rsid w:val="00F10F1F"/>
    <w:rsid w:val="00F110C9"/>
    <w:rsid w:val="00F11837"/>
    <w:rsid w:val="00F11EFC"/>
    <w:rsid w:val="00F12D17"/>
    <w:rsid w:val="00F12E7D"/>
    <w:rsid w:val="00F13A79"/>
    <w:rsid w:val="00F13D48"/>
    <w:rsid w:val="00F13DC6"/>
    <w:rsid w:val="00F14284"/>
    <w:rsid w:val="00F14AFE"/>
    <w:rsid w:val="00F15003"/>
    <w:rsid w:val="00F15188"/>
    <w:rsid w:val="00F15689"/>
    <w:rsid w:val="00F15985"/>
    <w:rsid w:val="00F15CA1"/>
    <w:rsid w:val="00F1748E"/>
    <w:rsid w:val="00F2020A"/>
    <w:rsid w:val="00F20BEA"/>
    <w:rsid w:val="00F21522"/>
    <w:rsid w:val="00F2159A"/>
    <w:rsid w:val="00F22275"/>
    <w:rsid w:val="00F2232E"/>
    <w:rsid w:val="00F22C26"/>
    <w:rsid w:val="00F233F5"/>
    <w:rsid w:val="00F23714"/>
    <w:rsid w:val="00F23E6E"/>
    <w:rsid w:val="00F24AE6"/>
    <w:rsid w:val="00F252DF"/>
    <w:rsid w:val="00F25B60"/>
    <w:rsid w:val="00F26B67"/>
    <w:rsid w:val="00F26B6D"/>
    <w:rsid w:val="00F26C34"/>
    <w:rsid w:val="00F27100"/>
    <w:rsid w:val="00F279B7"/>
    <w:rsid w:val="00F27B40"/>
    <w:rsid w:val="00F27FF9"/>
    <w:rsid w:val="00F300C7"/>
    <w:rsid w:val="00F302C3"/>
    <w:rsid w:val="00F303CC"/>
    <w:rsid w:val="00F3055F"/>
    <w:rsid w:val="00F30655"/>
    <w:rsid w:val="00F311A9"/>
    <w:rsid w:val="00F314C6"/>
    <w:rsid w:val="00F3173B"/>
    <w:rsid w:val="00F32874"/>
    <w:rsid w:val="00F33815"/>
    <w:rsid w:val="00F33F9A"/>
    <w:rsid w:val="00F34419"/>
    <w:rsid w:val="00F34880"/>
    <w:rsid w:val="00F34A69"/>
    <w:rsid w:val="00F3524E"/>
    <w:rsid w:val="00F35283"/>
    <w:rsid w:val="00F36366"/>
    <w:rsid w:val="00F36FA0"/>
    <w:rsid w:val="00F37196"/>
    <w:rsid w:val="00F3792B"/>
    <w:rsid w:val="00F37A0B"/>
    <w:rsid w:val="00F37B89"/>
    <w:rsid w:val="00F40095"/>
    <w:rsid w:val="00F4056F"/>
    <w:rsid w:val="00F4077B"/>
    <w:rsid w:val="00F41179"/>
    <w:rsid w:val="00F42A4C"/>
    <w:rsid w:val="00F42DCC"/>
    <w:rsid w:val="00F42E55"/>
    <w:rsid w:val="00F430D1"/>
    <w:rsid w:val="00F4359A"/>
    <w:rsid w:val="00F43639"/>
    <w:rsid w:val="00F44A56"/>
    <w:rsid w:val="00F44D6F"/>
    <w:rsid w:val="00F44FDC"/>
    <w:rsid w:val="00F45502"/>
    <w:rsid w:val="00F45785"/>
    <w:rsid w:val="00F46D82"/>
    <w:rsid w:val="00F46DD7"/>
    <w:rsid w:val="00F47852"/>
    <w:rsid w:val="00F47A6B"/>
    <w:rsid w:val="00F50299"/>
    <w:rsid w:val="00F5068B"/>
    <w:rsid w:val="00F5070E"/>
    <w:rsid w:val="00F51203"/>
    <w:rsid w:val="00F5139A"/>
    <w:rsid w:val="00F51764"/>
    <w:rsid w:val="00F51D1A"/>
    <w:rsid w:val="00F53610"/>
    <w:rsid w:val="00F536B7"/>
    <w:rsid w:val="00F53CFB"/>
    <w:rsid w:val="00F54A45"/>
    <w:rsid w:val="00F5547F"/>
    <w:rsid w:val="00F554C9"/>
    <w:rsid w:val="00F557F6"/>
    <w:rsid w:val="00F55D25"/>
    <w:rsid w:val="00F55F72"/>
    <w:rsid w:val="00F55FBC"/>
    <w:rsid w:val="00F57670"/>
    <w:rsid w:val="00F606D4"/>
    <w:rsid w:val="00F607BE"/>
    <w:rsid w:val="00F6083B"/>
    <w:rsid w:val="00F60ACA"/>
    <w:rsid w:val="00F611E4"/>
    <w:rsid w:val="00F6166A"/>
    <w:rsid w:val="00F6168E"/>
    <w:rsid w:val="00F61C12"/>
    <w:rsid w:val="00F62710"/>
    <w:rsid w:val="00F62A24"/>
    <w:rsid w:val="00F64041"/>
    <w:rsid w:val="00F64555"/>
    <w:rsid w:val="00F648EF"/>
    <w:rsid w:val="00F655D5"/>
    <w:rsid w:val="00F6567A"/>
    <w:rsid w:val="00F65C97"/>
    <w:rsid w:val="00F65E23"/>
    <w:rsid w:val="00F66BEA"/>
    <w:rsid w:val="00F66D23"/>
    <w:rsid w:val="00F6754D"/>
    <w:rsid w:val="00F67DAB"/>
    <w:rsid w:val="00F70C49"/>
    <w:rsid w:val="00F72989"/>
    <w:rsid w:val="00F72D64"/>
    <w:rsid w:val="00F73213"/>
    <w:rsid w:val="00F7325F"/>
    <w:rsid w:val="00F735E8"/>
    <w:rsid w:val="00F73A08"/>
    <w:rsid w:val="00F73CA7"/>
    <w:rsid w:val="00F758DA"/>
    <w:rsid w:val="00F75C5F"/>
    <w:rsid w:val="00F75D1C"/>
    <w:rsid w:val="00F776D3"/>
    <w:rsid w:val="00F77AC8"/>
    <w:rsid w:val="00F8043A"/>
    <w:rsid w:val="00F80C8A"/>
    <w:rsid w:val="00F817C6"/>
    <w:rsid w:val="00F819F4"/>
    <w:rsid w:val="00F81B6A"/>
    <w:rsid w:val="00F8262B"/>
    <w:rsid w:val="00F826B3"/>
    <w:rsid w:val="00F82859"/>
    <w:rsid w:val="00F82E3B"/>
    <w:rsid w:val="00F8309B"/>
    <w:rsid w:val="00F83B25"/>
    <w:rsid w:val="00F83F5A"/>
    <w:rsid w:val="00F84A7E"/>
    <w:rsid w:val="00F84C75"/>
    <w:rsid w:val="00F84F57"/>
    <w:rsid w:val="00F856ED"/>
    <w:rsid w:val="00F857A2"/>
    <w:rsid w:val="00F85FBE"/>
    <w:rsid w:val="00F8705A"/>
    <w:rsid w:val="00F873A0"/>
    <w:rsid w:val="00F90220"/>
    <w:rsid w:val="00F907EF"/>
    <w:rsid w:val="00F90B11"/>
    <w:rsid w:val="00F9293F"/>
    <w:rsid w:val="00F930DA"/>
    <w:rsid w:val="00F93637"/>
    <w:rsid w:val="00F93EB7"/>
    <w:rsid w:val="00F94676"/>
    <w:rsid w:val="00F94D0D"/>
    <w:rsid w:val="00F94F68"/>
    <w:rsid w:val="00F9514F"/>
    <w:rsid w:val="00F95268"/>
    <w:rsid w:val="00F95399"/>
    <w:rsid w:val="00F959F8"/>
    <w:rsid w:val="00F96605"/>
    <w:rsid w:val="00F966AE"/>
    <w:rsid w:val="00F97B3E"/>
    <w:rsid w:val="00FA031A"/>
    <w:rsid w:val="00FA0C91"/>
    <w:rsid w:val="00FA1315"/>
    <w:rsid w:val="00FA2418"/>
    <w:rsid w:val="00FA2B82"/>
    <w:rsid w:val="00FA47E1"/>
    <w:rsid w:val="00FA4BC5"/>
    <w:rsid w:val="00FA51BF"/>
    <w:rsid w:val="00FA5BCB"/>
    <w:rsid w:val="00FA5F3F"/>
    <w:rsid w:val="00FA6B61"/>
    <w:rsid w:val="00FA7015"/>
    <w:rsid w:val="00FA75AC"/>
    <w:rsid w:val="00FA78C4"/>
    <w:rsid w:val="00FB061F"/>
    <w:rsid w:val="00FB085A"/>
    <w:rsid w:val="00FB08DE"/>
    <w:rsid w:val="00FB0D79"/>
    <w:rsid w:val="00FB18CD"/>
    <w:rsid w:val="00FB2025"/>
    <w:rsid w:val="00FB2189"/>
    <w:rsid w:val="00FB25E1"/>
    <w:rsid w:val="00FB2BA0"/>
    <w:rsid w:val="00FB399A"/>
    <w:rsid w:val="00FB4A2A"/>
    <w:rsid w:val="00FB4C04"/>
    <w:rsid w:val="00FB5420"/>
    <w:rsid w:val="00FB5621"/>
    <w:rsid w:val="00FB5B05"/>
    <w:rsid w:val="00FB5D7C"/>
    <w:rsid w:val="00FB5F23"/>
    <w:rsid w:val="00FB6A11"/>
    <w:rsid w:val="00FB7F45"/>
    <w:rsid w:val="00FC01A2"/>
    <w:rsid w:val="00FC0275"/>
    <w:rsid w:val="00FC09AB"/>
    <w:rsid w:val="00FC1315"/>
    <w:rsid w:val="00FC144B"/>
    <w:rsid w:val="00FC1DC8"/>
    <w:rsid w:val="00FC2010"/>
    <w:rsid w:val="00FC2312"/>
    <w:rsid w:val="00FC2917"/>
    <w:rsid w:val="00FC356F"/>
    <w:rsid w:val="00FC374C"/>
    <w:rsid w:val="00FC382A"/>
    <w:rsid w:val="00FC410E"/>
    <w:rsid w:val="00FC4732"/>
    <w:rsid w:val="00FC4D33"/>
    <w:rsid w:val="00FC5138"/>
    <w:rsid w:val="00FC532A"/>
    <w:rsid w:val="00FC6928"/>
    <w:rsid w:val="00FC717C"/>
    <w:rsid w:val="00FC76CC"/>
    <w:rsid w:val="00FC7F26"/>
    <w:rsid w:val="00FD1B79"/>
    <w:rsid w:val="00FD28B4"/>
    <w:rsid w:val="00FD2A64"/>
    <w:rsid w:val="00FD2DB6"/>
    <w:rsid w:val="00FD3156"/>
    <w:rsid w:val="00FD3FB7"/>
    <w:rsid w:val="00FD483C"/>
    <w:rsid w:val="00FD5CF0"/>
    <w:rsid w:val="00FD5D1C"/>
    <w:rsid w:val="00FD6024"/>
    <w:rsid w:val="00FD67E8"/>
    <w:rsid w:val="00FD760F"/>
    <w:rsid w:val="00FE01D5"/>
    <w:rsid w:val="00FE0379"/>
    <w:rsid w:val="00FE08E5"/>
    <w:rsid w:val="00FE1826"/>
    <w:rsid w:val="00FE1832"/>
    <w:rsid w:val="00FE1BE3"/>
    <w:rsid w:val="00FE3263"/>
    <w:rsid w:val="00FE3862"/>
    <w:rsid w:val="00FE402D"/>
    <w:rsid w:val="00FE472A"/>
    <w:rsid w:val="00FE4A77"/>
    <w:rsid w:val="00FE500F"/>
    <w:rsid w:val="00FE501D"/>
    <w:rsid w:val="00FE51B2"/>
    <w:rsid w:val="00FE704D"/>
    <w:rsid w:val="00FE79F6"/>
    <w:rsid w:val="00FE7C1B"/>
    <w:rsid w:val="00FE7FC3"/>
    <w:rsid w:val="00FF11AB"/>
    <w:rsid w:val="00FF1B3C"/>
    <w:rsid w:val="00FF2F8B"/>
    <w:rsid w:val="00FF3824"/>
    <w:rsid w:val="00FF4E1F"/>
    <w:rsid w:val="00FF5E45"/>
    <w:rsid w:val="00FF6C6F"/>
    <w:rsid w:val="00FF7958"/>
    <w:rsid w:val="00FF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F3524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rsid w:val="00A61772"/>
    <w:pPr>
      <w:spacing w:after="100"/>
    </w:pPr>
  </w:style>
  <w:style w:type="paragraph" w:styleId="TOC2">
    <w:name w:val="toc 2"/>
    <w:basedOn w:val="Normal"/>
    <w:next w:val="Normal"/>
    <w:autoRedefine/>
    <w:uiPriority w:val="39"/>
    <w:unhideWhenUsed/>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paragraph" w:styleId="TOC3">
    <w:name w:val="toc 3"/>
    <w:basedOn w:val="Normal"/>
    <w:next w:val="Normal"/>
    <w:autoRedefine/>
    <w:uiPriority w:val="39"/>
    <w:unhideWhenUsed/>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semiHidden/>
    <w:unhideWhenUsed/>
    <w:rsid w:val="000829B1"/>
    <w:rPr>
      <w:sz w:val="16"/>
      <w:szCs w:val="16"/>
    </w:rPr>
  </w:style>
  <w:style w:type="paragraph" w:styleId="CommentText">
    <w:name w:val="annotation text"/>
    <w:basedOn w:val="Normal"/>
    <w:link w:val="CommentTextChar"/>
    <w:semiHidden/>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semiHidden/>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 w:type="paragraph" w:styleId="TOC4">
    <w:name w:val="toc 4"/>
    <w:basedOn w:val="Normal"/>
    <w:next w:val="Normal"/>
    <w:autoRedefine/>
    <w:uiPriority w:val="39"/>
    <w:unhideWhenUsed/>
    <w:rsid w:val="00D3251F"/>
    <w:pPr>
      <w:spacing w:after="100"/>
      <w:ind w:left="660"/>
    </w:pPr>
  </w:style>
  <w:style w:type="character" w:customStyle="1" w:styleId="Heading5Char">
    <w:name w:val="Heading 5 Char"/>
    <w:basedOn w:val="DefaultParagraphFont"/>
    <w:link w:val="Heading5"/>
    <w:uiPriority w:val="9"/>
    <w:rsid w:val="00F3524E"/>
    <w:rPr>
      <w:rFonts w:asciiTheme="majorHAnsi" w:eastAsiaTheme="majorEastAsia" w:hAnsiTheme="majorHAnsi" w:cstheme="majorBidi"/>
      <w:color w:val="243F60" w:themeColor="accent1" w:themeShade="7F"/>
      <w:sz w:val="22"/>
      <w:szCs w:val="22"/>
    </w:rPr>
  </w:style>
  <w:style w:type="paragraph" w:styleId="TOC5">
    <w:name w:val="toc 5"/>
    <w:basedOn w:val="Normal"/>
    <w:next w:val="Normal"/>
    <w:autoRedefine/>
    <w:uiPriority w:val="39"/>
    <w:unhideWhenUsed/>
    <w:rsid w:val="00385828"/>
    <w:pPr>
      <w:spacing w:after="100"/>
      <w:ind w:left="880"/>
    </w:pPr>
  </w:style>
  <w:style w:type="character" w:customStyle="1" w:styleId="jrnl">
    <w:name w:val="jrnl"/>
    <w:rsid w:val="005D07CA"/>
  </w:style>
  <w:style w:type="character" w:customStyle="1" w:styleId="highlight">
    <w:name w:val="highlight"/>
    <w:basedOn w:val="DefaultParagraphFont"/>
    <w:rsid w:val="005F32B9"/>
  </w:style>
  <w:style w:type="paragraph" w:customStyle="1" w:styleId="desc2">
    <w:name w:val="desc2"/>
    <w:basedOn w:val="Normal"/>
    <w:rsid w:val="00366C6C"/>
    <w:pPr>
      <w:spacing w:after="0" w:line="240" w:lineRule="auto"/>
    </w:pPr>
    <w:rPr>
      <w:rFonts w:ascii="Times New Roman" w:eastAsia="Times New Roman" w:hAnsi="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F3524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rsid w:val="00A61772"/>
    <w:pPr>
      <w:spacing w:after="100"/>
    </w:pPr>
  </w:style>
  <w:style w:type="paragraph" w:styleId="TOC2">
    <w:name w:val="toc 2"/>
    <w:basedOn w:val="Normal"/>
    <w:next w:val="Normal"/>
    <w:autoRedefine/>
    <w:uiPriority w:val="39"/>
    <w:unhideWhenUsed/>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paragraph" w:styleId="TOC3">
    <w:name w:val="toc 3"/>
    <w:basedOn w:val="Normal"/>
    <w:next w:val="Normal"/>
    <w:autoRedefine/>
    <w:uiPriority w:val="39"/>
    <w:unhideWhenUsed/>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semiHidden/>
    <w:unhideWhenUsed/>
    <w:rsid w:val="000829B1"/>
    <w:rPr>
      <w:sz w:val="16"/>
      <w:szCs w:val="16"/>
    </w:rPr>
  </w:style>
  <w:style w:type="paragraph" w:styleId="CommentText">
    <w:name w:val="annotation text"/>
    <w:basedOn w:val="Normal"/>
    <w:link w:val="CommentTextChar"/>
    <w:semiHidden/>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semiHidden/>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 w:type="paragraph" w:styleId="TOC4">
    <w:name w:val="toc 4"/>
    <w:basedOn w:val="Normal"/>
    <w:next w:val="Normal"/>
    <w:autoRedefine/>
    <w:uiPriority w:val="39"/>
    <w:unhideWhenUsed/>
    <w:rsid w:val="00D3251F"/>
    <w:pPr>
      <w:spacing w:after="100"/>
      <w:ind w:left="660"/>
    </w:pPr>
  </w:style>
  <w:style w:type="character" w:customStyle="1" w:styleId="Heading5Char">
    <w:name w:val="Heading 5 Char"/>
    <w:basedOn w:val="DefaultParagraphFont"/>
    <w:link w:val="Heading5"/>
    <w:uiPriority w:val="9"/>
    <w:rsid w:val="00F3524E"/>
    <w:rPr>
      <w:rFonts w:asciiTheme="majorHAnsi" w:eastAsiaTheme="majorEastAsia" w:hAnsiTheme="majorHAnsi" w:cstheme="majorBidi"/>
      <w:color w:val="243F60" w:themeColor="accent1" w:themeShade="7F"/>
      <w:sz w:val="22"/>
      <w:szCs w:val="22"/>
    </w:rPr>
  </w:style>
  <w:style w:type="paragraph" w:styleId="TOC5">
    <w:name w:val="toc 5"/>
    <w:basedOn w:val="Normal"/>
    <w:next w:val="Normal"/>
    <w:autoRedefine/>
    <w:uiPriority w:val="39"/>
    <w:unhideWhenUsed/>
    <w:rsid w:val="00385828"/>
    <w:pPr>
      <w:spacing w:after="100"/>
      <w:ind w:left="880"/>
    </w:pPr>
  </w:style>
  <w:style w:type="character" w:customStyle="1" w:styleId="jrnl">
    <w:name w:val="jrnl"/>
    <w:rsid w:val="005D07CA"/>
  </w:style>
  <w:style w:type="character" w:customStyle="1" w:styleId="highlight">
    <w:name w:val="highlight"/>
    <w:basedOn w:val="DefaultParagraphFont"/>
    <w:rsid w:val="005F32B9"/>
  </w:style>
  <w:style w:type="paragraph" w:customStyle="1" w:styleId="desc2">
    <w:name w:val="desc2"/>
    <w:basedOn w:val="Normal"/>
    <w:rsid w:val="00366C6C"/>
    <w:pPr>
      <w:spacing w:after="0" w:line="240" w:lineRule="auto"/>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232">
      <w:bodyDiv w:val="1"/>
      <w:marLeft w:val="0"/>
      <w:marRight w:val="0"/>
      <w:marTop w:val="0"/>
      <w:marBottom w:val="0"/>
      <w:divBdr>
        <w:top w:val="none" w:sz="0" w:space="0" w:color="auto"/>
        <w:left w:val="none" w:sz="0" w:space="0" w:color="auto"/>
        <w:bottom w:val="none" w:sz="0" w:space="0" w:color="auto"/>
        <w:right w:val="none" w:sz="0" w:space="0" w:color="auto"/>
      </w:divBdr>
    </w:div>
    <w:div w:id="40521806">
      <w:bodyDiv w:val="1"/>
      <w:marLeft w:val="109"/>
      <w:marRight w:val="109"/>
      <w:marTop w:val="0"/>
      <w:marBottom w:val="0"/>
      <w:divBdr>
        <w:top w:val="none" w:sz="0" w:space="0" w:color="auto"/>
        <w:left w:val="none" w:sz="0" w:space="0" w:color="auto"/>
        <w:bottom w:val="none" w:sz="0" w:space="0" w:color="auto"/>
        <w:right w:val="none" w:sz="0" w:space="0" w:color="auto"/>
      </w:divBdr>
    </w:div>
    <w:div w:id="57872350">
      <w:bodyDiv w:val="1"/>
      <w:marLeft w:val="0"/>
      <w:marRight w:val="0"/>
      <w:marTop w:val="0"/>
      <w:marBottom w:val="0"/>
      <w:divBdr>
        <w:top w:val="none" w:sz="0" w:space="0" w:color="auto"/>
        <w:left w:val="none" w:sz="0" w:space="0" w:color="auto"/>
        <w:bottom w:val="none" w:sz="0" w:space="0" w:color="auto"/>
        <w:right w:val="none" w:sz="0" w:space="0" w:color="auto"/>
      </w:divBdr>
    </w:div>
    <w:div w:id="181092616">
      <w:bodyDiv w:val="1"/>
      <w:marLeft w:val="0"/>
      <w:marRight w:val="0"/>
      <w:marTop w:val="44"/>
      <w:marBottom w:val="100"/>
      <w:divBdr>
        <w:top w:val="none" w:sz="0" w:space="0" w:color="auto"/>
        <w:left w:val="none" w:sz="0" w:space="0" w:color="auto"/>
        <w:bottom w:val="none" w:sz="0" w:space="0" w:color="auto"/>
        <w:right w:val="none" w:sz="0" w:space="0" w:color="auto"/>
      </w:divBdr>
      <w:divsChild>
        <w:div w:id="915937916">
          <w:marLeft w:val="0"/>
          <w:marRight w:val="0"/>
          <w:marTop w:val="100"/>
          <w:marBottom w:val="100"/>
          <w:divBdr>
            <w:top w:val="none" w:sz="0" w:space="0" w:color="auto"/>
            <w:left w:val="none" w:sz="0" w:space="0" w:color="auto"/>
            <w:bottom w:val="none" w:sz="0" w:space="0" w:color="auto"/>
            <w:right w:val="none" w:sz="0" w:space="0" w:color="auto"/>
          </w:divBdr>
          <w:divsChild>
            <w:div w:id="1868366916">
              <w:marLeft w:val="0"/>
              <w:marRight w:val="0"/>
              <w:marTop w:val="0"/>
              <w:marBottom w:val="0"/>
              <w:divBdr>
                <w:top w:val="none" w:sz="0" w:space="0" w:color="auto"/>
                <w:left w:val="none" w:sz="0" w:space="0" w:color="auto"/>
                <w:bottom w:val="none" w:sz="0" w:space="0" w:color="auto"/>
                <w:right w:val="none" w:sz="0" w:space="0" w:color="auto"/>
              </w:divBdr>
              <w:divsChild>
                <w:div w:id="1224831981">
                  <w:marLeft w:val="0"/>
                  <w:marRight w:val="0"/>
                  <w:marTop w:val="0"/>
                  <w:marBottom w:val="0"/>
                  <w:divBdr>
                    <w:top w:val="none" w:sz="0" w:space="0" w:color="auto"/>
                    <w:left w:val="single" w:sz="2" w:space="0" w:color="EEEEEE"/>
                    <w:bottom w:val="none" w:sz="0" w:space="0" w:color="auto"/>
                    <w:right w:val="none" w:sz="0" w:space="0" w:color="auto"/>
                  </w:divBdr>
                  <w:divsChild>
                    <w:div w:id="428237793">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0409">
      <w:bodyDiv w:val="1"/>
      <w:marLeft w:val="0"/>
      <w:marRight w:val="5"/>
      <w:marTop w:val="0"/>
      <w:marBottom w:val="436"/>
      <w:divBdr>
        <w:top w:val="none" w:sz="0" w:space="0" w:color="auto"/>
        <w:left w:val="none" w:sz="0" w:space="0" w:color="auto"/>
        <w:bottom w:val="none" w:sz="0" w:space="0" w:color="auto"/>
        <w:right w:val="none" w:sz="0" w:space="0" w:color="auto"/>
      </w:divBdr>
      <w:divsChild>
        <w:div w:id="1847404447">
          <w:marLeft w:val="1647"/>
          <w:marRight w:val="0"/>
          <w:marTop w:val="327"/>
          <w:marBottom w:val="218"/>
          <w:divBdr>
            <w:top w:val="none" w:sz="0" w:space="0" w:color="auto"/>
            <w:left w:val="none" w:sz="0" w:space="0" w:color="auto"/>
            <w:bottom w:val="none" w:sz="0" w:space="0" w:color="auto"/>
            <w:right w:val="none" w:sz="0" w:space="0" w:color="auto"/>
          </w:divBdr>
        </w:div>
      </w:divsChild>
    </w:div>
    <w:div w:id="225071471">
      <w:bodyDiv w:val="1"/>
      <w:marLeft w:val="0"/>
      <w:marRight w:val="0"/>
      <w:marTop w:val="0"/>
      <w:marBottom w:val="0"/>
      <w:divBdr>
        <w:top w:val="none" w:sz="0" w:space="0" w:color="auto"/>
        <w:left w:val="none" w:sz="0" w:space="0" w:color="auto"/>
        <w:bottom w:val="none" w:sz="0" w:space="0" w:color="auto"/>
        <w:right w:val="none" w:sz="0" w:space="0" w:color="auto"/>
      </w:divBdr>
      <w:divsChild>
        <w:div w:id="256644278">
          <w:marLeft w:val="0"/>
          <w:marRight w:val="0"/>
          <w:marTop w:val="0"/>
          <w:marBottom w:val="0"/>
          <w:divBdr>
            <w:top w:val="none" w:sz="0" w:space="0" w:color="auto"/>
            <w:left w:val="none" w:sz="0" w:space="0" w:color="auto"/>
            <w:bottom w:val="none" w:sz="0" w:space="0" w:color="auto"/>
            <w:right w:val="none" w:sz="0" w:space="0" w:color="auto"/>
          </w:divBdr>
          <w:divsChild>
            <w:div w:id="869536686">
              <w:marLeft w:val="0"/>
              <w:marRight w:val="0"/>
              <w:marTop w:val="0"/>
              <w:marBottom w:val="0"/>
              <w:divBdr>
                <w:top w:val="none" w:sz="0" w:space="0" w:color="auto"/>
                <w:left w:val="none" w:sz="0" w:space="0" w:color="auto"/>
                <w:bottom w:val="none" w:sz="0" w:space="0" w:color="auto"/>
                <w:right w:val="none" w:sz="0" w:space="0" w:color="auto"/>
              </w:divBdr>
              <w:divsChild>
                <w:div w:id="7167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6780">
      <w:bodyDiv w:val="1"/>
      <w:marLeft w:val="0"/>
      <w:marRight w:val="0"/>
      <w:marTop w:val="0"/>
      <w:marBottom w:val="0"/>
      <w:divBdr>
        <w:top w:val="none" w:sz="0" w:space="0" w:color="auto"/>
        <w:left w:val="none" w:sz="0" w:space="0" w:color="auto"/>
        <w:bottom w:val="none" w:sz="0" w:space="0" w:color="auto"/>
        <w:right w:val="none" w:sz="0" w:space="0" w:color="auto"/>
      </w:divBdr>
    </w:div>
    <w:div w:id="440612725">
      <w:bodyDiv w:val="1"/>
      <w:marLeft w:val="0"/>
      <w:marRight w:val="0"/>
      <w:marTop w:val="0"/>
      <w:marBottom w:val="0"/>
      <w:divBdr>
        <w:top w:val="none" w:sz="0" w:space="0" w:color="auto"/>
        <w:left w:val="none" w:sz="0" w:space="0" w:color="auto"/>
        <w:bottom w:val="none" w:sz="0" w:space="0" w:color="auto"/>
        <w:right w:val="none" w:sz="0" w:space="0" w:color="auto"/>
      </w:divBdr>
    </w:div>
    <w:div w:id="441387176">
      <w:bodyDiv w:val="1"/>
      <w:marLeft w:val="0"/>
      <w:marRight w:val="0"/>
      <w:marTop w:val="0"/>
      <w:marBottom w:val="0"/>
      <w:divBdr>
        <w:top w:val="none" w:sz="0" w:space="0" w:color="auto"/>
        <w:left w:val="none" w:sz="0" w:space="0" w:color="auto"/>
        <w:bottom w:val="none" w:sz="0" w:space="0" w:color="auto"/>
        <w:right w:val="none" w:sz="0" w:space="0" w:color="auto"/>
      </w:divBdr>
    </w:div>
    <w:div w:id="481504111">
      <w:bodyDiv w:val="1"/>
      <w:marLeft w:val="0"/>
      <w:marRight w:val="0"/>
      <w:marTop w:val="0"/>
      <w:marBottom w:val="0"/>
      <w:divBdr>
        <w:top w:val="none" w:sz="0" w:space="0" w:color="auto"/>
        <w:left w:val="none" w:sz="0" w:space="0" w:color="auto"/>
        <w:bottom w:val="none" w:sz="0" w:space="0" w:color="auto"/>
        <w:right w:val="none" w:sz="0" w:space="0" w:color="auto"/>
      </w:divBdr>
      <w:divsChild>
        <w:div w:id="2109539039">
          <w:marLeft w:val="0"/>
          <w:marRight w:val="0"/>
          <w:marTop w:val="0"/>
          <w:marBottom w:val="0"/>
          <w:divBdr>
            <w:top w:val="none" w:sz="0" w:space="0" w:color="auto"/>
            <w:left w:val="none" w:sz="0" w:space="0" w:color="auto"/>
            <w:bottom w:val="none" w:sz="0" w:space="0" w:color="auto"/>
            <w:right w:val="none" w:sz="0" w:space="0" w:color="auto"/>
          </w:divBdr>
          <w:divsChild>
            <w:div w:id="16372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79386">
      <w:bodyDiv w:val="1"/>
      <w:marLeft w:val="0"/>
      <w:marRight w:val="0"/>
      <w:marTop w:val="0"/>
      <w:marBottom w:val="0"/>
      <w:divBdr>
        <w:top w:val="none" w:sz="0" w:space="0" w:color="auto"/>
        <w:left w:val="none" w:sz="0" w:space="0" w:color="auto"/>
        <w:bottom w:val="none" w:sz="0" w:space="0" w:color="auto"/>
        <w:right w:val="none" w:sz="0" w:space="0" w:color="auto"/>
      </w:divBdr>
    </w:div>
    <w:div w:id="520555427">
      <w:bodyDiv w:val="1"/>
      <w:marLeft w:val="0"/>
      <w:marRight w:val="0"/>
      <w:marTop w:val="0"/>
      <w:marBottom w:val="0"/>
      <w:divBdr>
        <w:top w:val="none" w:sz="0" w:space="0" w:color="auto"/>
        <w:left w:val="none" w:sz="0" w:space="0" w:color="auto"/>
        <w:bottom w:val="none" w:sz="0" w:space="0" w:color="auto"/>
        <w:right w:val="none" w:sz="0" w:space="0" w:color="auto"/>
      </w:divBdr>
    </w:div>
    <w:div w:id="543375273">
      <w:bodyDiv w:val="1"/>
      <w:marLeft w:val="0"/>
      <w:marRight w:val="0"/>
      <w:marTop w:val="0"/>
      <w:marBottom w:val="0"/>
      <w:divBdr>
        <w:top w:val="none" w:sz="0" w:space="0" w:color="auto"/>
        <w:left w:val="none" w:sz="0" w:space="0" w:color="auto"/>
        <w:bottom w:val="none" w:sz="0" w:space="0" w:color="auto"/>
        <w:right w:val="none" w:sz="0" w:space="0" w:color="auto"/>
      </w:divBdr>
      <w:divsChild>
        <w:div w:id="1790926095">
          <w:marLeft w:val="0"/>
          <w:marRight w:val="0"/>
          <w:marTop w:val="0"/>
          <w:marBottom w:val="0"/>
          <w:divBdr>
            <w:top w:val="none" w:sz="0" w:space="0" w:color="auto"/>
            <w:left w:val="none" w:sz="0" w:space="0" w:color="auto"/>
            <w:bottom w:val="none" w:sz="0" w:space="0" w:color="auto"/>
            <w:right w:val="none" w:sz="0" w:space="0" w:color="auto"/>
          </w:divBdr>
          <w:divsChild>
            <w:div w:id="1729651481">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553082190">
      <w:bodyDiv w:val="1"/>
      <w:marLeft w:val="0"/>
      <w:marRight w:val="0"/>
      <w:marTop w:val="0"/>
      <w:marBottom w:val="0"/>
      <w:divBdr>
        <w:top w:val="none" w:sz="0" w:space="0" w:color="auto"/>
        <w:left w:val="none" w:sz="0" w:space="0" w:color="auto"/>
        <w:bottom w:val="none" w:sz="0" w:space="0" w:color="auto"/>
        <w:right w:val="none" w:sz="0" w:space="0" w:color="auto"/>
      </w:divBdr>
    </w:div>
    <w:div w:id="557981915">
      <w:bodyDiv w:val="1"/>
      <w:marLeft w:val="0"/>
      <w:marRight w:val="0"/>
      <w:marTop w:val="0"/>
      <w:marBottom w:val="0"/>
      <w:divBdr>
        <w:top w:val="none" w:sz="0" w:space="0" w:color="auto"/>
        <w:left w:val="none" w:sz="0" w:space="0" w:color="auto"/>
        <w:bottom w:val="none" w:sz="0" w:space="0" w:color="auto"/>
        <w:right w:val="none" w:sz="0" w:space="0" w:color="auto"/>
      </w:divBdr>
    </w:div>
    <w:div w:id="589698791">
      <w:bodyDiv w:val="1"/>
      <w:marLeft w:val="0"/>
      <w:marRight w:val="0"/>
      <w:marTop w:val="0"/>
      <w:marBottom w:val="0"/>
      <w:divBdr>
        <w:top w:val="none" w:sz="0" w:space="0" w:color="auto"/>
        <w:left w:val="none" w:sz="0" w:space="0" w:color="auto"/>
        <w:bottom w:val="none" w:sz="0" w:space="0" w:color="auto"/>
        <w:right w:val="none" w:sz="0" w:space="0" w:color="auto"/>
      </w:divBdr>
      <w:divsChild>
        <w:div w:id="1524317856">
          <w:marLeft w:val="0"/>
          <w:marRight w:val="0"/>
          <w:marTop w:val="0"/>
          <w:marBottom w:val="0"/>
          <w:divBdr>
            <w:top w:val="none" w:sz="0" w:space="0" w:color="auto"/>
            <w:left w:val="none" w:sz="0" w:space="0" w:color="auto"/>
            <w:bottom w:val="none" w:sz="0" w:space="0" w:color="auto"/>
            <w:right w:val="none" w:sz="0" w:space="0" w:color="auto"/>
          </w:divBdr>
          <w:divsChild>
            <w:div w:id="1363047494">
              <w:marLeft w:val="0"/>
              <w:marRight w:val="0"/>
              <w:marTop w:val="0"/>
              <w:marBottom w:val="0"/>
              <w:divBdr>
                <w:top w:val="none" w:sz="0" w:space="0" w:color="auto"/>
                <w:left w:val="none" w:sz="0" w:space="0" w:color="auto"/>
                <w:bottom w:val="none" w:sz="0" w:space="0" w:color="auto"/>
                <w:right w:val="none" w:sz="0" w:space="0" w:color="auto"/>
              </w:divBdr>
              <w:divsChild>
                <w:div w:id="845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15236">
      <w:bodyDiv w:val="1"/>
      <w:marLeft w:val="0"/>
      <w:marRight w:val="0"/>
      <w:marTop w:val="0"/>
      <w:marBottom w:val="0"/>
      <w:divBdr>
        <w:top w:val="none" w:sz="0" w:space="0" w:color="auto"/>
        <w:left w:val="none" w:sz="0" w:space="0" w:color="auto"/>
        <w:bottom w:val="none" w:sz="0" w:space="0" w:color="auto"/>
        <w:right w:val="none" w:sz="0" w:space="0" w:color="auto"/>
      </w:divBdr>
      <w:divsChild>
        <w:div w:id="695233771">
          <w:marLeft w:val="0"/>
          <w:marRight w:val="0"/>
          <w:marTop w:val="0"/>
          <w:marBottom w:val="0"/>
          <w:divBdr>
            <w:top w:val="none" w:sz="0" w:space="0" w:color="auto"/>
            <w:left w:val="none" w:sz="0" w:space="0" w:color="auto"/>
            <w:bottom w:val="none" w:sz="0" w:space="0" w:color="auto"/>
            <w:right w:val="none" w:sz="0" w:space="0" w:color="auto"/>
          </w:divBdr>
          <w:divsChild>
            <w:div w:id="1563248125">
              <w:marLeft w:val="0"/>
              <w:marRight w:val="0"/>
              <w:marTop w:val="0"/>
              <w:marBottom w:val="0"/>
              <w:divBdr>
                <w:top w:val="none" w:sz="0" w:space="0" w:color="auto"/>
                <w:left w:val="none" w:sz="0" w:space="0" w:color="auto"/>
                <w:bottom w:val="none" w:sz="0" w:space="0" w:color="auto"/>
                <w:right w:val="none" w:sz="0" w:space="0" w:color="auto"/>
              </w:divBdr>
              <w:divsChild>
                <w:div w:id="947852382">
                  <w:marLeft w:val="0"/>
                  <w:marRight w:val="0"/>
                  <w:marTop w:val="0"/>
                  <w:marBottom w:val="0"/>
                  <w:divBdr>
                    <w:top w:val="none" w:sz="0" w:space="0" w:color="auto"/>
                    <w:left w:val="none" w:sz="0" w:space="0" w:color="auto"/>
                    <w:bottom w:val="none" w:sz="0" w:space="0" w:color="auto"/>
                    <w:right w:val="none" w:sz="0" w:space="0" w:color="auto"/>
                  </w:divBdr>
                  <w:divsChild>
                    <w:div w:id="1387725819">
                      <w:marLeft w:val="0"/>
                      <w:marRight w:val="0"/>
                      <w:marTop w:val="0"/>
                      <w:marBottom w:val="0"/>
                      <w:divBdr>
                        <w:top w:val="none" w:sz="0" w:space="0" w:color="auto"/>
                        <w:left w:val="none" w:sz="0" w:space="0" w:color="auto"/>
                        <w:bottom w:val="none" w:sz="0" w:space="0" w:color="auto"/>
                        <w:right w:val="none" w:sz="0" w:space="0" w:color="auto"/>
                      </w:divBdr>
                      <w:divsChild>
                        <w:div w:id="614754941">
                          <w:marLeft w:val="0"/>
                          <w:marRight w:val="0"/>
                          <w:marTop w:val="0"/>
                          <w:marBottom w:val="0"/>
                          <w:divBdr>
                            <w:top w:val="none" w:sz="0" w:space="0" w:color="auto"/>
                            <w:left w:val="none" w:sz="0" w:space="0" w:color="auto"/>
                            <w:bottom w:val="none" w:sz="0" w:space="0" w:color="auto"/>
                            <w:right w:val="none" w:sz="0" w:space="0" w:color="auto"/>
                          </w:divBdr>
                          <w:divsChild>
                            <w:div w:id="602106261">
                              <w:marLeft w:val="0"/>
                              <w:marRight w:val="0"/>
                              <w:marTop w:val="0"/>
                              <w:marBottom w:val="0"/>
                              <w:divBdr>
                                <w:top w:val="none" w:sz="0" w:space="0" w:color="auto"/>
                                <w:left w:val="none" w:sz="0" w:space="0" w:color="auto"/>
                                <w:bottom w:val="none" w:sz="0" w:space="0" w:color="auto"/>
                                <w:right w:val="none" w:sz="0" w:space="0" w:color="auto"/>
                              </w:divBdr>
                              <w:divsChild>
                                <w:div w:id="406002127">
                                  <w:marLeft w:val="0"/>
                                  <w:marRight w:val="0"/>
                                  <w:marTop w:val="0"/>
                                  <w:marBottom w:val="0"/>
                                  <w:divBdr>
                                    <w:top w:val="none" w:sz="0" w:space="0" w:color="auto"/>
                                    <w:left w:val="none" w:sz="0" w:space="0" w:color="auto"/>
                                    <w:bottom w:val="none" w:sz="0" w:space="0" w:color="auto"/>
                                    <w:right w:val="none" w:sz="0" w:space="0" w:color="auto"/>
                                  </w:divBdr>
                                  <w:divsChild>
                                    <w:div w:id="1548105312">
                                      <w:marLeft w:val="0"/>
                                      <w:marRight w:val="0"/>
                                      <w:marTop w:val="0"/>
                                      <w:marBottom w:val="0"/>
                                      <w:divBdr>
                                        <w:top w:val="none" w:sz="0" w:space="0" w:color="auto"/>
                                        <w:left w:val="none" w:sz="0" w:space="0" w:color="auto"/>
                                        <w:bottom w:val="none" w:sz="0" w:space="0" w:color="auto"/>
                                        <w:right w:val="none" w:sz="0" w:space="0" w:color="auto"/>
                                      </w:divBdr>
                                      <w:divsChild>
                                        <w:div w:id="1427113006">
                                          <w:marLeft w:val="0"/>
                                          <w:marRight w:val="0"/>
                                          <w:marTop w:val="0"/>
                                          <w:marBottom w:val="0"/>
                                          <w:divBdr>
                                            <w:top w:val="none" w:sz="0" w:space="0" w:color="auto"/>
                                            <w:left w:val="none" w:sz="0" w:space="0" w:color="auto"/>
                                            <w:bottom w:val="none" w:sz="0" w:space="0" w:color="auto"/>
                                            <w:right w:val="none" w:sz="0" w:space="0" w:color="auto"/>
                                          </w:divBdr>
                                          <w:divsChild>
                                            <w:div w:id="1455518737">
                                              <w:marLeft w:val="0"/>
                                              <w:marRight w:val="0"/>
                                              <w:marTop w:val="0"/>
                                              <w:marBottom w:val="0"/>
                                              <w:divBdr>
                                                <w:top w:val="none" w:sz="0" w:space="0" w:color="auto"/>
                                                <w:left w:val="none" w:sz="0" w:space="0" w:color="auto"/>
                                                <w:bottom w:val="none" w:sz="0" w:space="0" w:color="auto"/>
                                                <w:right w:val="none" w:sz="0" w:space="0" w:color="auto"/>
                                              </w:divBdr>
                                              <w:divsChild>
                                                <w:div w:id="167715808">
                                                  <w:marLeft w:val="0"/>
                                                  <w:marRight w:val="0"/>
                                                  <w:marTop w:val="0"/>
                                                  <w:marBottom w:val="0"/>
                                                  <w:divBdr>
                                                    <w:top w:val="none" w:sz="0" w:space="0" w:color="auto"/>
                                                    <w:left w:val="none" w:sz="0" w:space="0" w:color="auto"/>
                                                    <w:bottom w:val="none" w:sz="0" w:space="0" w:color="auto"/>
                                                    <w:right w:val="none" w:sz="0" w:space="0" w:color="auto"/>
                                                  </w:divBdr>
                                                  <w:divsChild>
                                                    <w:div w:id="434591487">
                                                      <w:marLeft w:val="0"/>
                                                      <w:marRight w:val="0"/>
                                                      <w:marTop w:val="0"/>
                                                      <w:marBottom w:val="0"/>
                                                      <w:divBdr>
                                                        <w:top w:val="none" w:sz="0" w:space="0" w:color="auto"/>
                                                        <w:left w:val="none" w:sz="0" w:space="0" w:color="auto"/>
                                                        <w:bottom w:val="none" w:sz="0" w:space="0" w:color="auto"/>
                                                        <w:right w:val="none" w:sz="0" w:space="0" w:color="auto"/>
                                                      </w:divBdr>
                                                      <w:divsChild>
                                                        <w:div w:id="678386051">
                                                          <w:marLeft w:val="0"/>
                                                          <w:marRight w:val="0"/>
                                                          <w:marTop w:val="218"/>
                                                          <w:marBottom w:val="218"/>
                                                          <w:divBdr>
                                                            <w:top w:val="none" w:sz="0" w:space="0" w:color="auto"/>
                                                            <w:left w:val="none" w:sz="0" w:space="0" w:color="auto"/>
                                                            <w:bottom w:val="none" w:sz="0" w:space="0" w:color="auto"/>
                                                            <w:right w:val="none" w:sz="0" w:space="0" w:color="auto"/>
                                                          </w:divBdr>
                                                          <w:divsChild>
                                                            <w:div w:id="1973517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5545234">
      <w:bodyDiv w:val="1"/>
      <w:marLeft w:val="0"/>
      <w:marRight w:val="0"/>
      <w:marTop w:val="0"/>
      <w:marBottom w:val="0"/>
      <w:divBdr>
        <w:top w:val="none" w:sz="0" w:space="0" w:color="auto"/>
        <w:left w:val="none" w:sz="0" w:space="0" w:color="auto"/>
        <w:bottom w:val="none" w:sz="0" w:space="0" w:color="auto"/>
        <w:right w:val="none" w:sz="0" w:space="0" w:color="auto"/>
      </w:divBdr>
    </w:div>
    <w:div w:id="683285112">
      <w:bodyDiv w:val="1"/>
      <w:marLeft w:val="0"/>
      <w:marRight w:val="0"/>
      <w:marTop w:val="0"/>
      <w:marBottom w:val="0"/>
      <w:divBdr>
        <w:top w:val="none" w:sz="0" w:space="0" w:color="auto"/>
        <w:left w:val="none" w:sz="0" w:space="0" w:color="auto"/>
        <w:bottom w:val="none" w:sz="0" w:space="0" w:color="auto"/>
        <w:right w:val="none" w:sz="0" w:space="0" w:color="auto"/>
      </w:divBdr>
    </w:div>
    <w:div w:id="717584233">
      <w:bodyDiv w:val="1"/>
      <w:marLeft w:val="0"/>
      <w:marRight w:val="0"/>
      <w:marTop w:val="0"/>
      <w:marBottom w:val="0"/>
      <w:divBdr>
        <w:top w:val="none" w:sz="0" w:space="0" w:color="auto"/>
        <w:left w:val="none" w:sz="0" w:space="0" w:color="auto"/>
        <w:bottom w:val="none" w:sz="0" w:space="0" w:color="auto"/>
        <w:right w:val="none" w:sz="0" w:space="0" w:color="auto"/>
      </w:divBdr>
    </w:div>
    <w:div w:id="800147494">
      <w:bodyDiv w:val="1"/>
      <w:marLeft w:val="0"/>
      <w:marRight w:val="0"/>
      <w:marTop w:val="0"/>
      <w:marBottom w:val="0"/>
      <w:divBdr>
        <w:top w:val="none" w:sz="0" w:space="0" w:color="auto"/>
        <w:left w:val="none" w:sz="0" w:space="0" w:color="auto"/>
        <w:bottom w:val="none" w:sz="0" w:space="0" w:color="auto"/>
        <w:right w:val="none" w:sz="0" w:space="0" w:color="auto"/>
      </w:divBdr>
    </w:div>
    <w:div w:id="841772200">
      <w:bodyDiv w:val="1"/>
      <w:marLeft w:val="0"/>
      <w:marRight w:val="0"/>
      <w:marTop w:val="0"/>
      <w:marBottom w:val="0"/>
      <w:divBdr>
        <w:top w:val="none" w:sz="0" w:space="0" w:color="auto"/>
        <w:left w:val="none" w:sz="0" w:space="0" w:color="auto"/>
        <w:bottom w:val="none" w:sz="0" w:space="0" w:color="auto"/>
        <w:right w:val="none" w:sz="0" w:space="0" w:color="auto"/>
      </w:divBdr>
    </w:div>
    <w:div w:id="843400737">
      <w:bodyDiv w:val="1"/>
      <w:marLeft w:val="0"/>
      <w:marRight w:val="0"/>
      <w:marTop w:val="0"/>
      <w:marBottom w:val="0"/>
      <w:divBdr>
        <w:top w:val="none" w:sz="0" w:space="0" w:color="auto"/>
        <w:left w:val="none" w:sz="0" w:space="0" w:color="auto"/>
        <w:bottom w:val="none" w:sz="0" w:space="0" w:color="auto"/>
        <w:right w:val="none" w:sz="0" w:space="0" w:color="auto"/>
      </w:divBdr>
      <w:divsChild>
        <w:div w:id="544486638">
          <w:marLeft w:val="0"/>
          <w:marRight w:val="1"/>
          <w:marTop w:val="0"/>
          <w:marBottom w:val="0"/>
          <w:divBdr>
            <w:top w:val="none" w:sz="0" w:space="0" w:color="auto"/>
            <w:left w:val="none" w:sz="0" w:space="0" w:color="auto"/>
            <w:bottom w:val="none" w:sz="0" w:space="0" w:color="auto"/>
            <w:right w:val="none" w:sz="0" w:space="0" w:color="auto"/>
          </w:divBdr>
          <w:divsChild>
            <w:div w:id="1431659217">
              <w:marLeft w:val="0"/>
              <w:marRight w:val="0"/>
              <w:marTop w:val="0"/>
              <w:marBottom w:val="0"/>
              <w:divBdr>
                <w:top w:val="none" w:sz="0" w:space="0" w:color="auto"/>
                <w:left w:val="none" w:sz="0" w:space="0" w:color="auto"/>
                <w:bottom w:val="none" w:sz="0" w:space="0" w:color="auto"/>
                <w:right w:val="none" w:sz="0" w:space="0" w:color="auto"/>
              </w:divBdr>
              <w:divsChild>
                <w:div w:id="1208834567">
                  <w:marLeft w:val="0"/>
                  <w:marRight w:val="1"/>
                  <w:marTop w:val="0"/>
                  <w:marBottom w:val="0"/>
                  <w:divBdr>
                    <w:top w:val="none" w:sz="0" w:space="0" w:color="auto"/>
                    <w:left w:val="none" w:sz="0" w:space="0" w:color="auto"/>
                    <w:bottom w:val="none" w:sz="0" w:space="0" w:color="auto"/>
                    <w:right w:val="none" w:sz="0" w:space="0" w:color="auto"/>
                  </w:divBdr>
                  <w:divsChild>
                    <w:div w:id="851727354">
                      <w:marLeft w:val="0"/>
                      <w:marRight w:val="0"/>
                      <w:marTop w:val="0"/>
                      <w:marBottom w:val="0"/>
                      <w:divBdr>
                        <w:top w:val="none" w:sz="0" w:space="0" w:color="auto"/>
                        <w:left w:val="none" w:sz="0" w:space="0" w:color="auto"/>
                        <w:bottom w:val="none" w:sz="0" w:space="0" w:color="auto"/>
                        <w:right w:val="none" w:sz="0" w:space="0" w:color="auto"/>
                      </w:divBdr>
                      <w:divsChild>
                        <w:div w:id="2077195818">
                          <w:marLeft w:val="0"/>
                          <w:marRight w:val="0"/>
                          <w:marTop w:val="0"/>
                          <w:marBottom w:val="0"/>
                          <w:divBdr>
                            <w:top w:val="none" w:sz="0" w:space="0" w:color="auto"/>
                            <w:left w:val="none" w:sz="0" w:space="0" w:color="auto"/>
                            <w:bottom w:val="none" w:sz="0" w:space="0" w:color="auto"/>
                            <w:right w:val="none" w:sz="0" w:space="0" w:color="auto"/>
                          </w:divBdr>
                          <w:divsChild>
                            <w:div w:id="1250772286">
                              <w:marLeft w:val="0"/>
                              <w:marRight w:val="0"/>
                              <w:marTop w:val="120"/>
                              <w:marBottom w:val="360"/>
                              <w:divBdr>
                                <w:top w:val="none" w:sz="0" w:space="0" w:color="auto"/>
                                <w:left w:val="none" w:sz="0" w:space="0" w:color="auto"/>
                                <w:bottom w:val="none" w:sz="0" w:space="0" w:color="auto"/>
                                <w:right w:val="none" w:sz="0" w:space="0" w:color="auto"/>
                              </w:divBdr>
                              <w:divsChild>
                                <w:div w:id="1573079721">
                                  <w:marLeft w:val="420"/>
                                  <w:marRight w:val="0"/>
                                  <w:marTop w:val="0"/>
                                  <w:marBottom w:val="0"/>
                                  <w:divBdr>
                                    <w:top w:val="none" w:sz="0" w:space="0" w:color="auto"/>
                                    <w:left w:val="none" w:sz="0" w:space="0" w:color="auto"/>
                                    <w:bottom w:val="none" w:sz="0" w:space="0" w:color="auto"/>
                                    <w:right w:val="none" w:sz="0" w:space="0" w:color="auto"/>
                                  </w:divBdr>
                                  <w:divsChild>
                                    <w:div w:id="134323830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18029">
      <w:bodyDiv w:val="1"/>
      <w:marLeft w:val="0"/>
      <w:marRight w:val="0"/>
      <w:marTop w:val="0"/>
      <w:marBottom w:val="0"/>
      <w:divBdr>
        <w:top w:val="none" w:sz="0" w:space="0" w:color="auto"/>
        <w:left w:val="none" w:sz="0" w:space="0" w:color="auto"/>
        <w:bottom w:val="none" w:sz="0" w:space="0" w:color="auto"/>
        <w:right w:val="none" w:sz="0" w:space="0" w:color="auto"/>
      </w:divBdr>
      <w:divsChild>
        <w:div w:id="1234391918">
          <w:marLeft w:val="0"/>
          <w:marRight w:val="0"/>
          <w:marTop w:val="0"/>
          <w:marBottom w:val="0"/>
          <w:divBdr>
            <w:top w:val="none" w:sz="0" w:space="0" w:color="auto"/>
            <w:left w:val="none" w:sz="0" w:space="0" w:color="auto"/>
            <w:bottom w:val="none" w:sz="0" w:space="0" w:color="auto"/>
            <w:right w:val="none" w:sz="0" w:space="0" w:color="auto"/>
          </w:divBdr>
          <w:divsChild>
            <w:div w:id="745104636">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872546346">
      <w:bodyDiv w:val="1"/>
      <w:marLeft w:val="0"/>
      <w:marRight w:val="0"/>
      <w:marTop w:val="0"/>
      <w:marBottom w:val="0"/>
      <w:divBdr>
        <w:top w:val="none" w:sz="0" w:space="0" w:color="auto"/>
        <w:left w:val="none" w:sz="0" w:space="0" w:color="auto"/>
        <w:bottom w:val="none" w:sz="0" w:space="0" w:color="auto"/>
        <w:right w:val="none" w:sz="0" w:space="0" w:color="auto"/>
      </w:divBdr>
    </w:div>
    <w:div w:id="911160181">
      <w:bodyDiv w:val="1"/>
      <w:marLeft w:val="0"/>
      <w:marRight w:val="0"/>
      <w:marTop w:val="0"/>
      <w:marBottom w:val="0"/>
      <w:divBdr>
        <w:top w:val="none" w:sz="0" w:space="0" w:color="auto"/>
        <w:left w:val="none" w:sz="0" w:space="0" w:color="auto"/>
        <w:bottom w:val="none" w:sz="0" w:space="0" w:color="auto"/>
        <w:right w:val="none" w:sz="0" w:space="0" w:color="auto"/>
      </w:divBdr>
    </w:div>
    <w:div w:id="923958622">
      <w:bodyDiv w:val="1"/>
      <w:marLeft w:val="0"/>
      <w:marRight w:val="0"/>
      <w:marTop w:val="0"/>
      <w:marBottom w:val="0"/>
      <w:divBdr>
        <w:top w:val="none" w:sz="0" w:space="0" w:color="auto"/>
        <w:left w:val="none" w:sz="0" w:space="0" w:color="auto"/>
        <w:bottom w:val="none" w:sz="0" w:space="0" w:color="auto"/>
        <w:right w:val="none" w:sz="0" w:space="0" w:color="auto"/>
      </w:divBdr>
    </w:div>
    <w:div w:id="992831155">
      <w:bodyDiv w:val="1"/>
      <w:marLeft w:val="0"/>
      <w:marRight w:val="0"/>
      <w:marTop w:val="0"/>
      <w:marBottom w:val="0"/>
      <w:divBdr>
        <w:top w:val="none" w:sz="0" w:space="0" w:color="auto"/>
        <w:left w:val="none" w:sz="0" w:space="0" w:color="auto"/>
        <w:bottom w:val="none" w:sz="0" w:space="0" w:color="auto"/>
        <w:right w:val="none" w:sz="0" w:space="0" w:color="auto"/>
      </w:divBdr>
    </w:div>
    <w:div w:id="1019621861">
      <w:bodyDiv w:val="1"/>
      <w:marLeft w:val="0"/>
      <w:marRight w:val="0"/>
      <w:marTop w:val="0"/>
      <w:marBottom w:val="0"/>
      <w:divBdr>
        <w:top w:val="none" w:sz="0" w:space="0" w:color="auto"/>
        <w:left w:val="none" w:sz="0" w:space="0" w:color="auto"/>
        <w:bottom w:val="none" w:sz="0" w:space="0" w:color="auto"/>
        <w:right w:val="none" w:sz="0" w:space="0" w:color="auto"/>
      </w:divBdr>
    </w:div>
    <w:div w:id="1031955271">
      <w:bodyDiv w:val="1"/>
      <w:marLeft w:val="0"/>
      <w:marRight w:val="0"/>
      <w:marTop w:val="0"/>
      <w:marBottom w:val="0"/>
      <w:divBdr>
        <w:top w:val="none" w:sz="0" w:space="0" w:color="auto"/>
        <w:left w:val="none" w:sz="0" w:space="0" w:color="auto"/>
        <w:bottom w:val="none" w:sz="0" w:space="0" w:color="auto"/>
        <w:right w:val="none" w:sz="0" w:space="0" w:color="auto"/>
      </w:divBdr>
    </w:div>
    <w:div w:id="1048997527">
      <w:bodyDiv w:val="1"/>
      <w:marLeft w:val="0"/>
      <w:marRight w:val="0"/>
      <w:marTop w:val="0"/>
      <w:marBottom w:val="0"/>
      <w:divBdr>
        <w:top w:val="none" w:sz="0" w:space="0" w:color="auto"/>
        <w:left w:val="none" w:sz="0" w:space="0" w:color="auto"/>
        <w:bottom w:val="none" w:sz="0" w:space="0" w:color="auto"/>
        <w:right w:val="none" w:sz="0" w:space="0" w:color="auto"/>
      </w:divBdr>
    </w:div>
    <w:div w:id="1054617135">
      <w:bodyDiv w:val="1"/>
      <w:marLeft w:val="0"/>
      <w:marRight w:val="0"/>
      <w:marTop w:val="0"/>
      <w:marBottom w:val="0"/>
      <w:divBdr>
        <w:top w:val="none" w:sz="0" w:space="0" w:color="auto"/>
        <w:left w:val="none" w:sz="0" w:space="0" w:color="auto"/>
        <w:bottom w:val="none" w:sz="0" w:space="0" w:color="auto"/>
        <w:right w:val="none" w:sz="0" w:space="0" w:color="auto"/>
      </w:divBdr>
    </w:div>
    <w:div w:id="1069308831">
      <w:bodyDiv w:val="1"/>
      <w:marLeft w:val="0"/>
      <w:marRight w:val="0"/>
      <w:marTop w:val="0"/>
      <w:marBottom w:val="0"/>
      <w:divBdr>
        <w:top w:val="none" w:sz="0" w:space="0" w:color="auto"/>
        <w:left w:val="none" w:sz="0" w:space="0" w:color="auto"/>
        <w:bottom w:val="none" w:sz="0" w:space="0" w:color="auto"/>
        <w:right w:val="none" w:sz="0" w:space="0" w:color="auto"/>
      </w:divBdr>
    </w:div>
    <w:div w:id="1082605510">
      <w:bodyDiv w:val="1"/>
      <w:marLeft w:val="0"/>
      <w:marRight w:val="0"/>
      <w:marTop w:val="0"/>
      <w:marBottom w:val="0"/>
      <w:divBdr>
        <w:top w:val="none" w:sz="0" w:space="0" w:color="auto"/>
        <w:left w:val="none" w:sz="0" w:space="0" w:color="auto"/>
        <w:bottom w:val="none" w:sz="0" w:space="0" w:color="auto"/>
        <w:right w:val="none" w:sz="0" w:space="0" w:color="auto"/>
      </w:divBdr>
    </w:div>
    <w:div w:id="1087072190">
      <w:bodyDiv w:val="1"/>
      <w:marLeft w:val="0"/>
      <w:marRight w:val="0"/>
      <w:marTop w:val="0"/>
      <w:marBottom w:val="0"/>
      <w:divBdr>
        <w:top w:val="none" w:sz="0" w:space="0" w:color="auto"/>
        <w:left w:val="none" w:sz="0" w:space="0" w:color="auto"/>
        <w:bottom w:val="none" w:sz="0" w:space="0" w:color="auto"/>
        <w:right w:val="none" w:sz="0" w:space="0" w:color="auto"/>
      </w:divBdr>
      <w:divsChild>
        <w:div w:id="353969883">
          <w:marLeft w:val="0"/>
          <w:marRight w:val="0"/>
          <w:marTop w:val="0"/>
          <w:marBottom w:val="0"/>
          <w:divBdr>
            <w:top w:val="none" w:sz="0" w:space="0" w:color="auto"/>
            <w:left w:val="none" w:sz="0" w:space="0" w:color="auto"/>
            <w:bottom w:val="none" w:sz="0" w:space="0" w:color="auto"/>
            <w:right w:val="none" w:sz="0" w:space="0" w:color="auto"/>
          </w:divBdr>
          <w:divsChild>
            <w:div w:id="730202589">
              <w:marLeft w:val="0"/>
              <w:marRight w:val="0"/>
              <w:marTop w:val="0"/>
              <w:marBottom w:val="0"/>
              <w:divBdr>
                <w:top w:val="none" w:sz="0" w:space="0" w:color="auto"/>
                <w:left w:val="none" w:sz="0" w:space="0" w:color="auto"/>
                <w:bottom w:val="none" w:sz="0" w:space="0" w:color="auto"/>
                <w:right w:val="none" w:sz="0" w:space="0" w:color="auto"/>
              </w:divBdr>
              <w:divsChild>
                <w:div w:id="578255488">
                  <w:marLeft w:val="0"/>
                  <w:marRight w:val="0"/>
                  <w:marTop w:val="0"/>
                  <w:marBottom w:val="0"/>
                  <w:divBdr>
                    <w:top w:val="none" w:sz="0" w:space="0" w:color="auto"/>
                    <w:left w:val="none" w:sz="0" w:space="0" w:color="auto"/>
                    <w:bottom w:val="none" w:sz="0" w:space="0" w:color="auto"/>
                    <w:right w:val="none" w:sz="0" w:space="0" w:color="auto"/>
                  </w:divBdr>
                  <w:divsChild>
                    <w:div w:id="1857379212">
                      <w:marLeft w:val="0"/>
                      <w:marRight w:val="0"/>
                      <w:marTop w:val="0"/>
                      <w:marBottom w:val="0"/>
                      <w:divBdr>
                        <w:top w:val="none" w:sz="0" w:space="0" w:color="auto"/>
                        <w:left w:val="none" w:sz="0" w:space="0" w:color="auto"/>
                        <w:bottom w:val="none" w:sz="0" w:space="0" w:color="auto"/>
                        <w:right w:val="none" w:sz="0" w:space="0" w:color="auto"/>
                      </w:divBdr>
                      <w:divsChild>
                        <w:div w:id="323363815">
                          <w:marLeft w:val="0"/>
                          <w:marRight w:val="0"/>
                          <w:marTop w:val="0"/>
                          <w:marBottom w:val="0"/>
                          <w:divBdr>
                            <w:top w:val="none" w:sz="0" w:space="0" w:color="auto"/>
                            <w:left w:val="none" w:sz="0" w:space="0" w:color="auto"/>
                            <w:bottom w:val="none" w:sz="0" w:space="0" w:color="auto"/>
                            <w:right w:val="none" w:sz="0" w:space="0" w:color="auto"/>
                          </w:divBdr>
                          <w:divsChild>
                            <w:div w:id="403644052">
                              <w:marLeft w:val="0"/>
                              <w:marRight w:val="0"/>
                              <w:marTop w:val="0"/>
                              <w:marBottom w:val="0"/>
                              <w:divBdr>
                                <w:top w:val="none" w:sz="0" w:space="0" w:color="auto"/>
                                <w:left w:val="none" w:sz="0" w:space="0" w:color="auto"/>
                                <w:bottom w:val="none" w:sz="0" w:space="0" w:color="auto"/>
                                <w:right w:val="none" w:sz="0" w:space="0" w:color="auto"/>
                              </w:divBdr>
                              <w:divsChild>
                                <w:div w:id="1595868458">
                                  <w:marLeft w:val="0"/>
                                  <w:marRight w:val="0"/>
                                  <w:marTop w:val="0"/>
                                  <w:marBottom w:val="0"/>
                                  <w:divBdr>
                                    <w:top w:val="none" w:sz="0" w:space="0" w:color="auto"/>
                                    <w:left w:val="none" w:sz="0" w:space="0" w:color="auto"/>
                                    <w:bottom w:val="none" w:sz="0" w:space="0" w:color="auto"/>
                                    <w:right w:val="none" w:sz="0" w:space="0" w:color="auto"/>
                                  </w:divBdr>
                                  <w:divsChild>
                                    <w:div w:id="2007777574">
                                      <w:marLeft w:val="0"/>
                                      <w:marRight w:val="0"/>
                                      <w:marTop w:val="0"/>
                                      <w:marBottom w:val="0"/>
                                      <w:divBdr>
                                        <w:top w:val="none" w:sz="0" w:space="0" w:color="auto"/>
                                        <w:left w:val="none" w:sz="0" w:space="0" w:color="auto"/>
                                        <w:bottom w:val="none" w:sz="0" w:space="0" w:color="auto"/>
                                        <w:right w:val="none" w:sz="0" w:space="0" w:color="auto"/>
                                      </w:divBdr>
                                      <w:divsChild>
                                        <w:div w:id="1614944714">
                                          <w:marLeft w:val="0"/>
                                          <w:marRight w:val="0"/>
                                          <w:marTop w:val="0"/>
                                          <w:marBottom w:val="0"/>
                                          <w:divBdr>
                                            <w:top w:val="none" w:sz="0" w:space="0" w:color="auto"/>
                                            <w:left w:val="none" w:sz="0" w:space="0" w:color="auto"/>
                                            <w:bottom w:val="none" w:sz="0" w:space="0" w:color="auto"/>
                                            <w:right w:val="none" w:sz="0" w:space="0" w:color="auto"/>
                                          </w:divBdr>
                                          <w:divsChild>
                                            <w:div w:id="782304022">
                                              <w:marLeft w:val="0"/>
                                              <w:marRight w:val="0"/>
                                              <w:marTop w:val="0"/>
                                              <w:marBottom w:val="0"/>
                                              <w:divBdr>
                                                <w:top w:val="none" w:sz="0" w:space="0" w:color="auto"/>
                                                <w:left w:val="none" w:sz="0" w:space="0" w:color="auto"/>
                                                <w:bottom w:val="none" w:sz="0" w:space="0" w:color="auto"/>
                                                <w:right w:val="none" w:sz="0" w:space="0" w:color="auto"/>
                                              </w:divBdr>
                                              <w:divsChild>
                                                <w:div w:id="1371564744">
                                                  <w:marLeft w:val="0"/>
                                                  <w:marRight w:val="0"/>
                                                  <w:marTop w:val="0"/>
                                                  <w:marBottom w:val="0"/>
                                                  <w:divBdr>
                                                    <w:top w:val="none" w:sz="0" w:space="0" w:color="auto"/>
                                                    <w:left w:val="none" w:sz="0" w:space="0" w:color="auto"/>
                                                    <w:bottom w:val="none" w:sz="0" w:space="0" w:color="auto"/>
                                                    <w:right w:val="none" w:sz="0" w:space="0" w:color="auto"/>
                                                  </w:divBdr>
                                                  <w:divsChild>
                                                    <w:div w:id="1384794259">
                                                      <w:marLeft w:val="0"/>
                                                      <w:marRight w:val="0"/>
                                                      <w:marTop w:val="0"/>
                                                      <w:marBottom w:val="0"/>
                                                      <w:divBdr>
                                                        <w:top w:val="none" w:sz="0" w:space="0" w:color="auto"/>
                                                        <w:left w:val="none" w:sz="0" w:space="0" w:color="auto"/>
                                                        <w:bottom w:val="none" w:sz="0" w:space="0" w:color="auto"/>
                                                        <w:right w:val="none" w:sz="0" w:space="0" w:color="auto"/>
                                                      </w:divBdr>
                                                      <w:divsChild>
                                                        <w:div w:id="473374160">
                                                          <w:marLeft w:val="0"/>
                                                          <w:marRight w:val="0"/>
                                                          <w:marTop w:val="218"/>
                                                          <w:marBottom w:val="218"/>
                                                          <w:divBdr>
                                                            <w:top w:val="none" w:sz="0" w:space="0" w:color="auto"/>
                                                            <w:left w:val="none" w:sz="0" w:space="0" w:color="auto"/>
                                                            <w:bottom w:val="none" w:sz="0" w:space="0" w:color="auto"/>
                                                            <w:right w:val="none" w:sz="0" w:space="0" w:color="auto"/>
                                                          </w:divBdr>
                                                          <w:divsChild>
                                                            <w:div w:id="181583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196733">
      <w:bodyDiv w:val="1"/>
      <w:marLeft w:val="0"/>
      <w:marRight w:val="0"/>
      <w:marTop w:val="0"/>
      <w:marBottom w:val="0"/>
      <w:divBdr>
        <w:top w:val="none" w:sz="0" w:space="0" w:color="auto"/>
        <w:left w:val="none" w:sz="0" w:space="0" w:color="auto"/>
        <w:bottom w:val="none" w:sz="0" w:space="0" w:color="auto"/>
        <w:right w:val="none" w:sz="0" w:space="0" w:color="auto"/>
      </w:divBdr>
      <w:divsChild>
        <w:div w:id="344871560">
          <w:marLeft w:val="0"/>
          <w:marRight w:val="0"/>
          <w:marTop w:val="0"/>
          <w:marBottom w:val="0"/>
          <w:divBdr>
            <w:top w:val="none" w:sz="0" w:space="0" w:color="auto"/>
            <w:left w:val="none" w:sz="0" w:space="0" w:color="auto"/>
            <w:bottom w:val="none" w:sz="0" w:space="0" w:color="auto"/>
            <w:right w:val="none" w:sz="0" w:space="0" w:color="auto"/>
          </w:divBdr>
          <w:divsChild>
            <w:div w:id="1196432410">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162811854">
      <w:bodyDiv w:val="1"/>
      <w:marLeft w:val="0"/>
      <w:marRight w:val="0"/>
      <w:marTop w:val="0"/>
      <w:marBottom w:val="0"/>
      <w:divBdr>
        <w:top w:val="none" w:sz="0" w:space="0" w:color="auto"/>
        <w:left w:val="none" w:sz="0" w:space="0" w:color="auto"/>
        <w:bottom w:val="none" w:sz="0" w:space="0" w:color="auto"/>
        <w:right w:val="none" w:sz="0" w:space="0" w:color="auto"/>
      </w:divBdr>
    </w:div>
    <w:div w:id="1167549977">
      <w:bodyDiv w:val="1"/>
      <w:marLeft w:val="0"/>
      <w:marRight w:val="0"/>
      <w:marTop w:val="0"/>
      <w:marBottom w:val="0"/>
      <w:divBdr>
        <w:top w:val="none" w:sz="0" w:space="0" w:color="auto"/>
        <w:left w:val="none" w:sz="0" w:space="0" w:color="auto"/>
        <w:bottom w:val="none" w:sz="0" w:space="0" w:color="auto"/>
        <w:right w:val="none" w:sz="0" w:space="0" w:color="auto"/>
      </w:divBdr>
    </w:div>
    <w:div w:id="1266498743">
      <w:bodyDiv w:val="1"/>
      <w:marLeft w:val="0"/>
      <w:marRight w:val="0"/>
      <w:marTop w:val="0"/>
      <w:marBottom w:val="0"/>
      <w:divBdr>
        <w:top w:val="none" w:sz="0" w:space="0" w:color="auto"/>
        <w:left w:val="none" w:sz="0" w:space="0" w:color="auto"/>
        <w:bottom w:val="none" w:sz="0" w:space="0" w:color="auto"/>
        <w:right w:val="none" w:sz="0" w:space="0" w:color="auto"/>
      </w:divBdr>
      <w:divsChild>
        <w:div w:id="1355957325">
          <w:marLeft w:val="0"/>
          <w:marRight w:val="0"/>
          <w:marTop w:val="0"/>
          <w:marBottom w:val="0"/>
          <w:divBdr>
            <w:top w:val="none" w:sz="0" w:space="0" w:color="auto"/>
            <w:left w:val="none" w:sz="0" w:space="0" w:color="auto"/>
            <w:bottom w:val="none" w:sz="0" w:space="0" w:color="auto"/>
            <w:right w:val="none" w:sz="0" w:space="0" w:color="auto"/>
          </w:divBdr>
          <w:divsChild>
            <w:div w:id="1755517058">
              <w:marLeft w:val="0"/>
              <w:marRight w:val="0"/>
              <w:marTop w:val="0"/>
              <w:marBottom w:val="0"/>
              <w:divBdr>
                <w:top w:val="none" w:sz="0" w:space="0" w:color="auto"/>
                <w:left w:val="none" w:sz="0" w:space="0" w:color="auto"/>
                <w:bottom w:val="none" w:sz="0" w:space="0" w:color="auto"/>
                <w:right w:val="none" w:sz="0" w:space="0" w:color="auto"/>
              </w:divBdr>
              <w:divsChild>
                <w:div w:id="1263802669">
                  <w:marLeft w:val="0"/>
                  <w:marRight w:val="0"/>
                  <w:marTop w:val="0"/>
                  <w:marBottom w:val="0"/>
                  <w:divBdr>
                    <w:top w:val="none" w:sz="0" w:space="0" w:color="auto"/>
                    <w:left w:val="none" w:sz="0" w:space="0" w:color="auto"/>
                    <w:bottom w:val="none" w:sz="0" w:space="0" w:color="auto"/>
                    <w:right w:val="none" w:sz="0" w:space="0" w:color="auto"/>
                  </w:divBdr>
                  <w:divsChild>
                    <w:div w:id="1461798378">
                      <w:marLeft w:val="0"/>
                      <w:marRight w:val="0"/>
                      <w:marTop w:val="0"/>
                      <w:marBottom w:val="0"/>
                      <w:divBdr>
                        <w:top w:val="none" w:sz="0" w:space="0" w:color="auto"/>
                        <w:left w:val="none" w:sz="0" w:space="0" w:color="auto"/>
                        <w:bottom w:val="none" w:sz="0" w:space="0" w:color="auto"/>
                        <w:right w:val="none" w:sz="0" w:space="0" w:color="auto"/>
                      </w:divBdr>
                      <w:divsChild>
                        <w:div w:id="313920995">
                          <w:marLeft w:val="0"/>
                          <w:marRight w:val="0"/>
                          <w:marTop w:val="0"/>
                          <w:marBottom w:val="0"/>
                          <w:divBdr>
                            <w:top w:val="none" w:sz="0" w:space="0" w:color="auto"/>
                            <w:left w:val="none" w:sz="0" w:space="0" w:color="auto"/>
                            <w:bottom w:val="none" w:sz="0" w:space="0" w:color="auto"/>
                            <w:right w:val="none" w:sz="0" w:space="0" w:color="auto"/>
                          </w:divBdr>
                          <w:divsChild>
                            <w:div w:id="559250608">
                              <w:marLeft w:val="0"/>
                              <w:marRight w:val="0"/>
                              <w:marTop w:val="0"/>
                              <w:marBottom w:val="0"/>
                              <w:divBdr>
                                <w:top w:val="none" w:sz="0" w:space="0" w:color="auto"/>
                                <w:left w:val="none" w:sz="0" w:space="0" w:color="auto"/>
                                <w:bottom w:val="none" w:sz="0" w:space="0" w:color="auto"/>
                                <w:right w:val="none" w:sz="0" w:space="0" w:color="auto"/>
                              </w:divBdr>
                              <w:divsChild>
                                <w:div w:id="199519571">
                                  <w:marLeft w:val="0"/>
                                  <w:marRight w:val="0"/>
                                  <w:marTop w:val="0"/>
                                  <w:marBottom w:val="0"/>
                                  <w:divBdr>
                                    <w:top w:val="none" w:sz="0" w:space="0" w:color="auto"/>
                                    <w:left w:val="none" w:sz="0" w:space="0" w:color="auto"/>
                                    <w:bottom w:val="none" w:sz="0" w:space="0" w:color="auto"/>
                                    <w:right w:val="none" w:sz="0" w:space="0" w:color="auto"/>
                                  </w:divBdr>
                                  <w:divsChild>
                                    <w:div w:id="1147673689">
                                      <w:marLeft w:val="0"/>
                                      <w:marRight w:val="0"/>
                                      <w:marTop w:val="0"/>
                                      <w:marBottom w:val="0"/>
                                      <w:divBdr>
                                        <w:top w:val="none" w:sz="0" w:space="0" w:color="auto"/>
                                        <w:left w:val="none" w:sz="0" w:space="0" w:color="auto"/>
                                        <w:bottom w:val="none" w:sz="0" w:space="0" w:color="auto"/>
                                        <w:right w:val="none" w:sz="0" w:space="0" w:color="auto"/>
                                      </w:divBdr>
                                      <w:divsChild>
                                        <w:div w:id="6458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476370">
      <w:bodyDiv w:val="1"/>
      <w:marLeft w:val="0"/>
      <w:marRight w:val="0"/>
      <w:marTop w:val="0"/>
      <w:marBottom w:val="0"/>
      <w:divBdr>
        <w:top w:val="none" w:sz="0" w:space="0" w:color="auto"/>
        <w:left w:val="none" w:sz="0" w:space="0" w:color="auto"/>
        <w:bottom w:val="none" w:sz="0" w:space="0" w:color="auto"/>
        <w:right w:val="none" w:sz="0" w:space="0" w:color="auto"/>
      </w:divBdr>
      <w:divsChild>
        <w:div w:id="755518445">
          <w:marLeft w:val="0"/>
          <w:marRight w:val="0"/>
          <w:marTop w:val="0"/>
          <w:marBottom w:val="0"/>
          <w:divBdr>
            <w:top w:val="none" w:sz="0" w:space="0" w:color="auto"/>
            <w:left w:val="single" w:sz="8" w:space="0" w:color="F8F6F2"/>
            <w:bottom w:val="none" w:sz="0" w:space="0" w:color="auto"/>
            <w:right w:val="single" w:sz="8" w:space="0" w:color="EEEFF0"/>
          </w:divBdr>
          <w:divsChild>
            <w:div w:id="1890221686">
              <w:marLeft w:val="304"/>
              <w:marRight w:val="304"/>
              <w:marTop w:val="304"/>
              <w:marBottom w:val="304"/>
              <w:divBdr>
                <w:top w:val="none" w:sz="0" w:space="0" w:color="auto"/>
                <w:left w:val="none" w:sz="0" w:space="0" w:color="auto"/>
                <w:bottom w:val="none" w:sz="0" w:space="0" w:color="auto"/>
                <w:right w:val="none" w:sz="0" w:space="0" w:color="auto"/>
              </w:divBdr>
            </w:div>
          </w:divsChild>
        </w:div>
      </w:divsChild>
    </w:div>
    <w:div w:id="1340353673">
      <w:bodyDiv w:val="1"/>
      <w:marLeft w:val="0"/>
      <w:marRight w:val="0"/>
      <w:marTop w:val="0"/>
      <w:marBottom w:val="0"/>
      <w:divBdr>
        <w:top w:val="none" w:sz="0" w:space="0" w:color="auto"/>
        <w:left w:val="none" w:sz="0" w:space="0" w:color="auto"/>
        <w:bottom w:val="none" w:sz="0" w:space="0" w:color="auto"/>
        <w:right w:val="none" w:sz="0" w:space="0" w:color="auto"/>
      </w:divBdr>
    </w:div>
    <w:div w:id="1367870591">
      <w:bodyDiv w:val="1"/>
      <w:marLeft w:val="0"/>
      <w:marRight w:val="0"/>
      <w:marTop w:val="0"/>
      <w:marBottom w:val="0"/>
      <w:divBdr>
        <w:top w:val="none" w:sz="0" w:space="0" w:color="auto"/>
        <w:left w:val="none" w:sz="0" w:space="0" w:color="auto"/>
        <w:bottom w:val="none" w:sz="0" w:space="0" w:color="auto"/>
        <w:right w:val="none" w:sz="0" w:space="0" w:color="auto"/>
      </w:divBdr>
      <w:divsChild>
        <w:div w:id="239755106">
          <w:marLeft w:val="0"/>
          <w:marRight w:val="1"/>
          <w:marTop w:val="0"/>
          <w:marBottom w:val="0"/>
          <w:divBdr>
            <w:top w:val="none" w:sz="0" w:space="0" w:color="auto"/>
            <w:left w:val="none" w:sz="0" w:space="0" w:color="auto"/>
            <w:bottom w:val="none" w:sz="0" w:space="0" w:color="auto"/>
            <w:right w:val="none" w:sz="0" w:space="0" w:color="auto"/>
          </w:divBdr>
          <w:divsChild>
            <w:div w:id="1732271331">
              <w:marLeft w:val="0"/>
              <w:marRight w:val="0"/>
              <w:marTop w:val="0"/>
              <w:marBottom w:val="0"/>
              <w:divBdr>
                <w:top w:val="none" w:sz="0" w:space="0" w:color="auto"/>
                <w:left w:val="none" w:sz="0" w:space="0" w:color="auto"/>
                <w:bottom w:val="none" w:sz="0" w:space="0" w:color="auto"/>
                <w:right w:val="none" w:sz="0" w:space="0" w:color="auto"/>
              </w:divBdr>
              <w:divsChild>
                <w:div w:id="326325470">
                  <w:marLeft w:val="0"/>
                  <w:marRight w:val="1"/>
                  <w:marTop w:val="0"/>
                  <w:marBottom w:val="0"/>
                  <w:divBdr>
                    <w:top w:val="none" w:sz="0" w:space="0" w:color="auto"/>
                    <w:left w:val="none" w:sz="0" w:space="0" w:color="auto"/>
                    <w:bottom w:val="none" w:sz="0" w:space="0" w:color="auto"/>
                    <w:right w:val="none" w:sz="0" w:space="0" w:color="auto"/>
                  </w:divBdr>
                  <w:divsChild>
                    <w:div w:id="1163475859">
                      <w:marLeft w:val="0"/>
                      <w:marRight w:val="0"/>
                      <w:marTop w:val="0"/>
                      <w:marBottom w:val="0"/>
                      <w:divBdr>
                        <w:top w:val="none" w:sz="0" w:space="0" w:color="auto"/>
                        <w:left w:val="none" w:sz="0" w:space="0" w:color="auto"/>
                        <w:bottom w:val="none" w:sz="0" w:space="0" w:color="auto"/>
                        <w:right w:val="none" w:sz="0" w:space="0" w:color="auto"/>
                      </w:divBdr>
                      <w:divsChild>
                        <w:div w:id="427628757">
                          <w:marLeft w:val="0"/>
                          <w:marRight w:val="0"/>
                          <w:marTop w:val="0"/>
                          <w:marBottom w:val="0"/>
                          <w:divBdr>
                            <w:top w:val="none" w:sz="0" w:space="0" w:color="auto"/>
                            <w:left w:val="none" w:sz="0" w:space="0" w:color="auto"/>
                            <w:bottom w:val="none" w:sz="0" w:space="0" w:color="auto"/>
                            <w:right w:val="none" w:sz="0" w:space="0" w:color="auto"/>
                          </w:divBdr>
                          <w:divsChild>
                            <w:div w:id="497817612">
                              <w:marLeft w:val="0"/>
                              <w:marRight w:val="0"/>
                              <w:marTop w:val="120"/>
                              <w:marBottom w:val="360"/>
                              <w:divBdr>
                                <w:top w:val="none" w:sz="0" w:space="0" w:color="auto"/>
                                <w:left w:val="none" w:sz="0" w:space="0" w:color="auto"/>
                                <w:bottom w:val="none" w:sz="0" w:space="0" w:color="auto"/>
                                <w:right w:val="none" w:sz="0" w:space="0" w:color="auto"/>
                              </w:divBdr>
                              <w:divsChild>
                                <w:div w:id="20011844">
                                  <w:marLeft w:val="0"/>
                                  <w:marRight w:val="0"/>
                                  <w:marTop w:val="0"/>
                                  <w:marBottom w:val="0"/>
                                  <w:divBdr>
                                    <w:top w:val="none" w:sz="0" w:space="0" w:color="auto"/>
                                    <w:left w:val="none" w:sz="0" w:space="0" w:color="auto"/>
                                    <w:bottom w:val="none" w:sz="0" w:space="0" w:color="auto"/>
                                    <w:right w:val="none" w:sz="0" w:space="0" w:color="auto"/>
                                  </w:divBdr>
                                </w:div>
                                <w:div w:id="14452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236731">
      <w:bodyDiv w:val="1"/>
      <w:marLeft w:val="0"/>
      <w:marRight w:val="0"/>
      <w:marTop w:val="0"/>
      <w:marBottom w:val="0"/>
      <w:divBdr>
        <w:top w:val="none" w:sz="0" w:space="0" w:color="auto"/>
        <w:left w:val="none" w:sz="0" w:space="0" w:color="auto"/>
        <w:bottom w:val="none" w:sz="0" w:space="0" w:color="auto"/>
        <w:right w:val="none" w:sz="0" w:space="0" w:color="auto"/>
      </w:divBdr>
    </w:div>
    <w:div w:id="1453596688">
      <w:bodyDiv w:val="1"/>
      <w:marLeft w:val="0"/>
      <w:marRight w:val="5"/>
      <w:marTop w:val="0"/>
      <w:marBottom w:val="436"/>
      <w:divBdr>
        <w:top w:val="none" w:sz="0" w:space="0" w:color="auto"/>
        <w:left w:val="none" w:sz="0" w:space="0" w:color="auto"/>
        <w:bottom w:val="none" w:sz="0" w:space="0" w:color="auto"/>
        <w:right w:val="none" w:sz="0" w:space="0" w:color="auto"/>
      </w:divBdr>
      <w:divsChild>
        <w:div w:id="1575967839">
          <w:marLeft w:val="1647"/>
          <w:marRight w:val="0"/>
          <w:marTop w:val="327"/>
          <w:marBottom w:val="218"/>
          <w:divBdr>
            <w:top w:val="none" w:sz="0" w:space="0" w:color="auto"/>
            <w:left w:val="none" w:sz="0" w:space="0" w:color="auto"/>
            <w:bottom w:val="none" w:sz="0" w:space="0" w:color="auto"/>
            <w:right w:val="none" w:sz="0" w:space="0" w:color="auto"/>
          </w:divBdr>
        </w:div>
      </w:divsChild>
    </w:div>
    <w:div w:id="1453863481">
      <w:bodyDiv w:val="1"/>
      <w:marLeft w:val="0"/>
      <w:marRight w:val="0"/>
      <w:marTop w:val="0"/>
      <w:marBottom w:val="0"/>
      <w:divBdr>
        <w:top w:val="none" w:sz="0" w:space="0" w:color="auto"/>
        <w:left w:val="none" w:sz="0" w:space="0" w:color="auto"/>
        <w:bottom w:val="none" w:sz="0" w:space="0" w:color="auto"/>
        <w:right w:val="none" w:sz="0" w:space="0" w:color="auto"/>
      </w:divBdr>
    </w:div>
    <w:div w:id="1454472269">
      <w:bodyDiv w:val="1"/>
      <w:marLeft w:val="0"/>
      <w:marRight w:val="0"/>
      <w:marTop w:val="0"/>
      <w:marBottom w:val="0"/>
      <w:divBdr>
        <w:top w:val="none" w:sz="0" w:space="0" w:color="auto"/>
        <w:left w:val="none" w:sz="0" w:space="0" w:color="auto"/>
        <w:bottom w:val="none" w:sz="0" w:space="0" w:color="auto"/>
        <w:right w:val="none" w:sz="0" w:space="0" w:color="auto"/>
      </w:divBdr>
      <w:divsChild>
        <w:div w:id="870067766">
          <w:marLeft w:val="0"/>
          <w:marRight w:val="0"/>
          <w:marTop w:val="0"/>
          <w:marBottom w:val="0"/>
          <w:divBdr>
            <w:top w:val="none" w:sz="0" w:space="0" w:color="auto"/>
            <w:left w:val="none" w:sz="0" w:space="0" w:color="auto"/>
            <w:bottom w:val="none" w:sz="0" w:space="0" w:color="auto"/>
            <w:right w:val="none" w:sz="0" w:space="0" w:color="auto"/>
          </w:divBdr>
          <w:divsChild>
            <w:div w:id="1604649415">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464883203">
      <w:bodyDiv w:val="1"/>
      <w:marLeft w:val="0"/>
      <w:marRight w:val="0"/>
      <w:marTop w:val="0"/>
      <w:marBottom w:val="0"/>
      <w:divBdr>
        <w:top w:val="none" w:sz="0" w:space="0" w:color="auto"/>
        <w:left w:val="none" w:sz="0" w:space="0" w:color="auto"/>
        <w:bottom w:val="none" w:sz="0" w:space="0" w:color="auto"/>
        <w:right w:val="none" w:sz="0" w:space="0" w:color="auto"/>
      </w:divBdr>
    </w:div>
    <w:div w:id="1504859486">
      <w:bodyDiv w:val="1"/>
      <w:marLeft w:val="0"/>
      <w:marRight w:val="0"/>
      <w:marTop w:val="0"/>
      <w:marBottom w:val="0"/>
      <w:divBdr>
        <w:top w:val="none" w:sz="0" w:space="0" w:color="auto"/>
        <w:left w:val="none" w:sz="0" w:space="0" w:color="auto"/>
        <w:bottom w:val="none" w:sz="0" w:space="0" w:color="auto"/>
        <w:right w:val="none" w:sz="0" w:space="0" w:color="auto"/>
      </w:divBdr>
    </w:div>
    <w:div w:id="1530995517">
      <w:bodyDiv w:val="1"/>
      <w:marLeft w:val="0"/>
      <w:marRight w:val="0"/>
      <w:marTop w:val="0"/>
      <w:marBottom w:val="0"/>
      <w:divBdr>
        <w:top w:val="none" w:sz="0" w:space="0" w:color="auto"/>
        <w:left w:val="none" w:sz="0" w:space="0" w:color="auto"/>
        <w:bottom w:val="none" w:sz="0" w:space="0" w:color="auto"/>
        <w:right w:val="none" w:sz="0" w:space="0" w:color="auto"/>
      </w:divBdr>
    </w:div>
    <w:div w:id="1608341995">
      <w:bodyDiv w:val="1"/>
      <w:marLeft w:val="0"/>
      <w:marRight w:val="0"/>
      <w:marTop w:val="0"/>
      <w:marBottom w:val="0"/>
      <w:divBdr>
        <w:top w:val="none" w:sz="0" w:space="0" w:color="auto"/>
        <w:left w:val="none" w:sz="0" w:space="0" w:color="auto"/>
        <w:bottom w:val="none" w:sz="0" w:space="0" w:color="auto"/>
        <w:right w:val="none" w:sz="0" w:space="0" w:color="auto"/>
      </w:divBdr>
    </w:div>
    <w:div w:id="1642466822">
      <w:bodyDiv w:val="1"/>
      <w:marLeft w:val="0"/>
      <w:marRight w:val="0"/>
      <w:marTop w:val="0"/>
      <w:marBottom w:val="0"/>
      <w:divBdr>
        <w:top w:val="none" w:sz="0" w:space="0" w:color="auto"/>
        <w:left w:val="none" w:sz="0" w:space="0" w:color="auto"/>
        <w:bottom w:val="none" w:sz="0" w:space="0" w:color="auto"/>
        <w:right w:val="none" w:sz="0" w:space="0" w:color="auto"/>
      </w:divBdr>
    </w:div>
    <w:div w:id="1650137102">
      <w:bodyDiv w:val="1"/>
      <w:marLeft w:val="0"/>
      <w:marRight w:val="0"/>
      <w:marTop w:val="0"/>
      <w:marBottom w:val="0"/>
      <w:divBdr>
        <w:top w:val="none" w:sz="0" w:space="0" w:color="auto"/>
        <w:left w:val="none" w:sz="0" w:space="0" w:color="auto"/>
        <w:bottom w:val="none" w:sz="0" w:space="0" w:color="auto"/>
        <w:right w:val="none" w:sz="0" w:space="0" w:color="auto"/>
      </w:divBdr>
    </w:div>
    <w:div w:id="1662999524">
      <w:bodyDiv w:val="1"/>
      <w:marLeft w:val="0"/>
      <w:marRight w:val="0"/>
      <w:marTop w:val="0"/>
      <w:marBottom w:val="0"/>
      <w:divBdr>
        <w:top w:val="none" w:sz="0" w:space="0" w:color="auto"/>
        <w:left w:val="none" w:sz="0" w:space="0" w:color="auto"/>
        <w:bottom w:val="none" w:sz="0" w:space="0" w:color="auto"/>
        <w:right w:val="none" w:sz="0" w:space="0" w:color="auto"/>
      </w:divBdr>
    </w:div>
    <w:div w:id="1695885996">
      <w:bodyDiv w:val="1"/>
      <w:marLeft w:val="0"/>
      <w:marRight w:val="0"/>
      <w:marTop w:val="0"/>
      <w:marBottom w:val="0"/>
      <w:divBdr>
        <w:top w:val="none" w:sz="0" w:space="0" w:color="auto"/>
        <w:left w:val="none" w:sz="0" w:space="0" w:color="auto"/>
        <w:bottom w:val="none" w:sz="0" w:space="0" w:color="auto"/>
        <w:right w:val="none" w:sz="0" w:space="0" w:color="auto"/>
      </w:divBdr>
    </w:div>
    <w:div w:id="1696885891">
      <w:bodyDiv w:val="1"/>
      <w:marLeft w:val="0"/>
      <w:marRight w:val="0"/>
      <w:marTop w:val="0"/>
      <w:marBottom w:val="0"/>
      <w:divBdr>
        <w:top w:val="none" w:sz="0" w:space="0" w:color="auto"/>
        <w:left w:val="none" w:sz="0" w:space="0" w:color="auto"/>
        <w:bottom w:val="none" w:sz="0" w:space="0" w:color="auto"/>
        <w:right w:val="none" w:sz="0" w:space="0" w:color="auto"/>
      </w:divBdr>
      <w:divsChild>
        <w:div w:id="678656661">
          <w:marLeft w:val="0"/>
          <w:marRight w:val="0"/>
          <w:marTop w:val="0"/>
          <w:marBottom w:val="0"/>
          <w:divBdr>
            <w:top w:val="none" w:sz="0" w:space="0" w:color="auto"/>
            <w:left w:val="none" w:sz="0" w:space="0" w:color="auto"/>
            <w:bottom w:val="none" w:sz="0" w:space="0" w:color="auto"/>
            <w:right w:val="none" w:sz="0" w:space="0" w:color="auto"/>
          </w:divBdr>
          <w:divsChild>
            <w:div w:id="791755097">
              <w:marLeft w:val="0"/>
              <w:marRight w:val="0"/>
              <w:marTop w:val="0"/>
              <w:marBottom w:val="0"/>
              <w:divBdr>
                <w:top w:val="none" w:sz="0" w:space="0" w:color="auto"/>
                <w:left w:val="none" w:sz="0" w:space="0" w:color="auto"/>
                <w:bottom w:val="none" w:sz="0" w:space="0" w:color="auto"/>
                <w:right w:val="none" w:sz="0" w:space="0" w:color="auto"/>
              </w:divBdr>
              <w:divsChild>
                <w:div w:id="1215236688">
                  <w:marLeft w:val="0"/>
                  <w:marRight w:val="0"/>
                  <w:marTop w:val="0"/>
                  <w:marBottom w:val="0"/>
                  <w:divBdr>
                    <w:top w:val="none" w:sz="0" w:space="0" w:color="auto"/>
                    <w:left w:val="none" w:sz="0" w:space="0" w:color="auto"/>
                    <w:bottom w:val="none" w:sz="0" w:space="0" w:color="auto"/>
                    <w:right w:val="none" w:sz="0" w:space="0" w:color="auto"/>
                  </w:divBdr>
                  <w:divsChild>
                    <w:div w:id="304631538">
                      <w:marLeft w:val="0"/>
                      <w:marRight w:val="0"/>
                      <w:marTop w:val="0"/>
                      <w:marBottom w:val="0"/>
                      <w:divBdr>
                        <w:top w:val="none" w:sz="0" w:space="0" w:color="auto"/>
                        <w:left w:val="none" w:sz="0" w:space="0" w:color="auto"/>
                        <w:bottom w:val="none" w:sz="0" w:space="0" w:color="auto"/>
                        <w:right w:val="none" w:sz="0" w:space="0" w:color="auto"/>
                      </w:divBdr>
                      <w:divsChild>
                        <w:div w:id="1903784411">
                          <w:marLeft w:val="0"/>
                          <w:marRight w:val="0"/>
                          <w:marTop w:val="0"/>
                          <w:marBottom w:val="0"/>
                          <w:divBdr>
                            <w:top w:val="none" w:sz="0" w:space="0" w:color="auto"/>
                            <w:left w:val="none" w:sz="0" w:space="0" w:color="auto"/>
                            <w:bottom w:val="none" w:sz="0" w:space="0" w:color="auto"/>
                            <w:right w:val="none" w:sz="0" w:space="0" w:color="auto"/>
                          </w:divBdr>
                          <w:divsChild>
                            <w:div w:id="1472363818">
                              <w:marLeft w:val="0"/>
                              <w:marRight w:val="0"/>
                              <w:marTop w:val="0"/>
                              <w:marBottom w:val="0"/>
                              <w:divBdr>
                                <w:top w:val="none" w:sz="0" w:space="0" w:color="auto"/>
                                <w:left w:val="none" w:sz="0" w:space="0" w:color="auto"/>
                                <w:bottom w:val="none" w:sz="0" w:space="0" w:color="auto"/>
                                <w:right w:val="none" w:sz="0" w:space="0" w:color="auto"/>
                              </w:divBdr>
                              <w:divsChild>
                                <w:div w:id="1661420437">
                                  <w:marLeft w:val="0"/>
                                  <w:marRight w:val="0"/>
                                  <w:marTop w:val="0"/>
                                  <w:marBottom w:val="0"/>
                                  <w:divBdr>
                                    <w:top w:val="none" w:sz="0" w:space="0" w:color="auto"/>
                                    <w:left w:val="none" w:sz="0" w:space="0" w:color="auto"/>
                                    <w:bottom w:val="none" w:sz="0" w:space="0" w:color="auto"/>
                                    <w:right w:val="none" w:sz="0" w:space="0" w:color="auto"/>
                                  </w:divBdr>
                                  <w:divsChild>
                                    <w:div w:id="123274500">
                                      <w:marLeft w:val="0"/>
                                      <w:marRight w:val="0"/>
                                      <w:marTop w:val="0"/>
                                      <w:marBottom w:val="0"/>
                                      <w:divBdr>
                                        <w:top w:val="none" w:sz="0" w:space="0" w:color="auto"/>
                                        <w:left w:val="none" w:sz="0" w:space="0" w:color="auto"/>
                                        <w:bottom w:val="none" w:sz="0" w:space="0" w:color="auto"/>
                                        <w:right w:val="none" w:sz="0" w:space="0" w:color="auto"/>
                                      </w:divBdr>
                                      <w:divsChild>
                                        <w:div w:id="2081127343">
                                          <w:marLeft w:val="0"/>
                                          <w:marRight w:val="0"/>
                                          <w:marTop w:val="0"/>
                                          <w:marBottom w:val="0"/>
                                          <w:divBdr>
                                            <w:top w:val="none" w:sz="0" w:space="0" w:color="auto"/>
                                            <w:left w:val="none" w:sz="0" w:space="0" w:color="auto"/>
                                            <w:bottom w:val="none" w:sz="0" w:space="0" w:color="auto"/>
                                            <w:right w:val="none" w:sz="0" w:space="0" w:color="auto"/>
                                          </w:divBdr>
                                          <w:divsChild>
                                            <w:div w:id="80682119">
                                              <w:marLeft w:val="0"/>
                                              <w:marRight w:val="0"/>
                                              <w:marTop w:val="0"/>
                                              <w:marBottom w:val="0"/>
                                              <w:divBdr>
                                                <w:top w:val="none" w:sz="0" w:space="0" w:color="auto"/>
                                                <w:left w:val="none" w:sz="0" w:space="0" w:color="auto"/>
                                                <w:bottom w:val="none" w:sz="0" w:space="0" w:color="auto"/>
                                                <w:right w:val="none" w:sz="0" w:space="0" w:color="auto"/>
                                              </w:divBdr>
                                              <w:divsChild>
                                                <w:div w:id="1093862207">
                                                  <w:marLeft w:val="0"/>
                                                  <w:marRight w:val="0"/>
                                                  <w:marTop w:val="0"/>
                                                  <w:marBottom w:val="0"/>
                                                  <w:divBdr>
                                                    <w:top w:val="none" w:sz="0" w:space="0" w:color="auto"/>
                                                    <w:left w:val="none" w:sz="0" w:space="0" w:color="auto"/>
                                                    <w:bottom w:val="none" w:sz="0" w:space="0" w:color="auto"/>
                                                    <w:right w:val="none" w:sz="0" w:space="0" w:color="auto"/>
                                                  </w:divBdr>
                                                  <w:divsChild>
                                                    <w:div w:id="808741043">
                                                      <w:marLeft w:val="0"/>
                                                      <w:marRight w:val="0"/>
                                                      <w:marTop w:val="0"/>
                                                      <w:marBottom w:val="0"/>
                                                      <w:divBdr>
                                                        <w:top w:val="none" w:sz="0" w:space="0" w:color="auto"/>
                                                        <w:left w:val="none" w:sz="0" w:space="0" w:color="auto"/>
                                                        <w:bottom w:val="none" w:sz="0" w:space="0" w:color="auto"/>
                                                        <w:right w:val="none" w:sz="0" w:space="0" w:color="auto"/>
                                                      </w:divBdr>
                                                      <w:divsChild>
                                                        <w:div w:id="1878347039">
                                                          <w:marLeft w:val="0"/>
                                                          <w:marRight w:val="0"/>
                                                          <w:marTop w:val="218"/>
                                                          <w:marBottom w:val="218"/>
                                                          <w:divBdr>
                                                            <w:top w:val="none" w:sz="0" w:space="0" w:color="auto"/>
                                                            <w:left w:val="none" w:sz="0" w:space="0" w:color="auto"/>
                                                            <w:bottom w:val="none" w:sz="0" w:space="0" w:color="auto"/>
                                                            <w:right w:val="none" w:sz="0" w:space="0" w:color="auto"/>
                                                          </w:divBdr>
                                                          <w:divsChild>
                                                            <w:div w:id="644358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3308011">
      <w:bodyDiv w:val="1"/>
      <w:marLeft w:val="0"/>
      <w:marRight w:val="0"/>
      <w:marTop w:val="0"/>
      <w:marBottom w:val="0"/>
      <w:divBdr>
        <w:top w:val="none" w:sz="0" w:space="0" w:color="auto"/>
        <w:left w:val="none" w:sz="0" w:space="0" w:color="auto"/>
        <w:bottom w:val="none" w:sz="0" w:space="0" w:color="auto"/>
        <w:right w:val="none" w:sz="0" w:space="0" w:color="auto"/>
      </w:divBdr>
    </w:div>
    <w:div w:id="1733431720">
      <w:bodyDiv w:val="1"/>
      <w:marLeft w:val="0"/>
      <w:marRight w:val="0"/>
      <w:marTop w:val="0"/>
      <w:marBottom w:val="0"/>
      <w:divBdr>
        <w:top w:val="none" w:sz="0" w:space="0" w:color="auto"/>
        <w:left w:val="none" w:sz="0" w:space="0" w:color="auto"/>
        <w:bottom w:val="none" w:sz="0" w:space="0" w:color="auto"/>
        <w:right w:val="none" w:sz="0" w:space="0" w:color="auto"/>
      </w:divBdr>
    </w:div>
    <w:div w:id="1784031351">
      <w:bodyDiv w:val="1"/>
      <w:marLeft w:val="0"/>
      <w:marRight w:val="0"/>
      <w:marTop w:val="0"/>
      <w:marBottom w:val="0"/>
      <w:divBdr>
        <w:top w:val="none" w:sz="0" w:space="0" w:color="auto"/>
        <w:left w:val="none" w:sz="0" w:space="0" w:color="auto"/>
        <w:bottom w:val="none" w:sz="0" w:space="0" w:color="auto"/>
        <w:right w:val="none" w:sz="0" w:space="0" w:color="auto"/>
      </w:divBdr>
    </w:div>
    <w:div w:id="1804738378">
      <w:bodyDiv w:val="1"/>
      <w:marLeft w:val="0"/>
      <w:marRight w:val="0"/>
      <w:marTop w:val="0"/>
      <w:marBottom w:val="0"/>
      <w:divBdr>
        <w:top w:val="none" w:sz="0" w:space="0" w:color="auto"/>
        <w:left w:val="none" w:sz="0" w:space="0" w:color="auto"/>
        <w:bottom w:val="none" w:sz="0" w:space="0" w:color="auto"/>
        <w:right w:val="none" w:sz="0" w:space="0" w:color="auto"/>
      </w:divBdr>
      <w:divsChild>
        <w:div w:id="1443184667">
          <w:marLeft w:val="0"/>
          <w:marRight w:val="0"/>
          <w:marTop w:val="0"/>
          <w:marBottom w:val="0"/>
          <w:divBdr>
            <w:top w:val="none" w:sz="0" w:space="0" w:color="auto"/>
            <w:left w:val="none" w:sz="0" w:space="0" w:color="auto"/>
            <w:bottom w:val="none" w:sz="0" w:space="0" w:color="auto"/>
            <w:right w:val="none" w:sz="0" w:space="0" w:color="auto"/>
          </w:divBdr>
          <w:divsChild>
            <w:div w:id="997731503">
              <w:marLeft w:val="0"/>
              <w:marRight w:val="0"/>
              <w:marTop w:val="0"/>
              <w:marBottom w:val="0"/>
              <w:divBdr>
                <w:top w:val="none" w:sz="0" w:space="0" w:color="auto"/>
                <w:left w:val="none" w:sz="0" w:space="0" w:color="auto"/>
                <w:bottom w:val="none" w:sz="0" w:space="0" w:color="auto"/>
                <w:right w:val="none" w:sz="0" w:space="0" w:color="auto"/>
              </w:divBdr>
              <w:divsChild>
                <w:div w:id="1850437691">
                  <w:marLeft w:val="0"/>
                  <w:marRight w:val="0"/>
                  <w:marTop w:val="0"/>
                  <w:marBottom w:val="0"/>
                  <w:divBdr>
                    <w:top w:val="none" w:sz="0" w:space="0" w:color="auto"/>
                    <w:left w:val="none" w:sz="0" w:space="0" w:color="auto"/>
                    <w:bottom w:val="none" w:sz="0" w:space="0" w:color="auto"/>
                    <w:right w:val="none" w:sz="0" w:space="0" w:color="auto"/>
                  </w:divBdr>
                  <w:divsChild>
                    <w:div w:id="1204755000">
                      <w:marLeft w:val="75"/>
                      <w:marRight w:val="75"/>
                      <w:marTop w:val="150"/>
                      <w:marBottom w:val="0"/>
                      <w:divBdr>
                        <w:top w:val="none" w:sz="0" w:space="0" w:color="auto"/>
                        <w:left w:val="none" w:sz="0" w:space="0" w:color="auto"/>
                        <w:bottom w:val="none" w:sz="0" w:space="0" w:color="auto"/>
                        <w:right w:val="none" w:sz="0" w:space="0" w:color="auto"/>
                      </w:divBdr>
                      <w:divsChild>
                        <w:div w:id="2079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346630">
      <w:bodyDiv w:val="1"/>
      <w:marLeft w:val="0"/>
      <w:marRight w:val="0"/>
      <w:marTop w:val="0"/>
      <w:marBottom w:val="0"/>
      <w:divBdr>
        <w:top w:val="none" w:sz="0" w:space="0" w:color="auto"/>
        <w:left w:val="none" w:sz="0" w:space="0" w:color="auto"/>
        <w:bottom w:val="none" w:sz="0" w:space="0" w:color="auto"/>
        <w:right w:val="none" w:sz="0" w:space="0" w:color="auto"/>
      </w:divBdr>
    </w:div>
    <w:div w:id="1956129427">
      <w:bodyDiv w:val="1"/>
      <w:marLeft w:val="0"/>
      <w:marRight w:val="0"/>
      <w:marTop w:val="0"/>
      <w:marBottom w:val="0"/>
      <w:divBdr>
        <w:top w:val="none" w:sz="0" w:space="0" w:color="auto"/>
        <w:left w:val="none" w:sz="0" w:space="0" w:color="auto"/>
        <w:bottom w:val="none" w:sz="0" w:space="0" w:color="auto"/>
        <w:right w:val="none" w:sz="0" w:space="0" w:color="auto"/>
      </w:divBdr>
    </w:div>
    <w:div w:id="1958104394">
      <w:bodyDiv w:val="1"/>
      <w:marLeft w:val="0"/>
      <w:marRight w:val="0"/>
      <w:marTop w:val="0"/>
      <w:marBottom w:val="0"/>
      <w:divBdr>
        <w:top w:val="none" w:sz="0" w:space="0" w:color="auto"/>
        <w:left w:val="none" w:sz="0" w:space="0" w:color="auto"/>
        <w:bottom w:val="none" w:sz="0" w:space="0" w:color="auto"/>
        <w:right w:val="none" w:sz="0" w:space="0" w:color="auto"/>
      </w:divBdr>
      <w:divsChild>
        <w:div w:id="1562902664">
          <w:marLeft w:val="0"/>
          <w:marRight w:val="0"/>
          <w:marTop w:val="0"/>
          <w:marBottom w:val="0"/>
          <w:divBdr>
            <w:top w:val="none" w:sz="0" w:space="0" w:color="auto"/>
            <w:left w:val="none" w:sz="0" w:space="0" w:color="auto"/>
            <w:bottom w:val="none" w:sz="0" w:space="0" w:color="auto"/>
            <w:right w:val="none" w:sz="0" w:space="0" w:color="auto"/>
          </w:divBdr>
          <w:divsChild>
            <w:div w:id="164251819">
              <w:marLeft w:val="0"/>
              <w:marRight w:val="0"/>
              <w:marTop w:val="0"/>
              <w:marBottom w:val="0"/>
              <w:divBdr>
                <w:top w:val="none" w:sz="0" w:space="0" w:color="auto"/>
                <w:left w:val="single" w:sz="6" w:space="0" w:color="E2E2E2"/>
                <w:bottom w:val="none" w:sz="0" w:space="0" w:color="auto"/>
                <w:right w:val="single" w:sz="6" w:space="0" w:color="E2E2E2"/>
              </w:divBdr>
              <w:divsChild>
                <w:div w:id="364522332">
                  <w:marLeft w:val="0"/>
                  <w:marRight w:val="0"/>
                  <w:marTop w:val="0"/>
                  <w:marBottom w:val="0"/>
                  <w:divBdr>
                    <w:top w:val="none" w:sz="0" w:space="0" w:color="auto"/>
                    <w:left w:val="none" w:sz="0" w:space="0" w:color="auto"/>
                    <w:bottom w:val="none" w:sz="0" w:space="0" w:color="auto"/>
                    <w:right w:val="none" w:sz="0" w:space="0" w:color="auto"/>
                  </w:divBdr>
                  <w:divsChild>
                    <w:div w:id="14711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473905">
      <w:bodyDiv w:val="1"/>
      <w:marLeft w:val="0"/>
      <w:marRight w:val="0"/>
      <w:marTop w:val="0"/>
      <w:marBottom w:val="0"/>
      <w:divBdr>
        <w:top w:val="none" w:sz="0" w:space="0" w:color="auto"/>
        <w:left w:val="none" w:sz="0" w:space="0" w:color="auto"/>
        <w:bottom w:val="none" w:sz="0" w:space="0" w:color="auto"/>
        <w:right w:val="none" w:sz="0" w:space="0" w:color="auto"/>
      </w:divBdr>
    </w:div>
    <w:div w:id="2030907594">
      <w:bodyDiv w:val="1"/>
      <w:marLeft w:val="0"/>
      <w:marRight w:val="0"/>
      <w:marTop w:val="0"/>
      <w:marBottom w:val="0"/>
      <w:divBdr>
        <w:top w:val="none" w:sz="0" w:space="0" w:color="auto"/>
        <w:left w:val="none" w:sz="0" w:space="0" w:color="auto"/>
        <w:bottom w:val="none" w:sz="0" w:space="0" w:color="auto"/>
        <w:right w:val="none" w:sz="0" w:space="0" w:color="auto"/>
      </w:divBdr>
      <w:divsChild>
        <w:div w:id="691416000">
          <w:marLeft w:val="0"/>
          <w:marRight w:val="0"/>
          <w:marTop w:val="0"/>
          <w:marBottom w:val="0"/>
          <w:divBdr>
            <w:top w:val="none" w:sz="0" w:space="0" w:color="auto"/>
            <w:left w:val="none" w:sz="0" w:space="0" w:color="auto"/>
            <w:bottom w:val="none" w:sz="0" w:space="0" w:color="auto"/>
            <w:right w:val="none" w:sz="0" w:space="0" w:color="auto"/>
          </w:divBdr>
          <w:divsChild>
            <w:div w:id="1949655224">
              <w:marLeft w:val="0"/>
              <w:marRight w:val="0"/>
              <w:marTop w:val="0"/>
              <w:marBottom w:val="0"/>
              <w:divBdr>
                <w:top w:val="none" w:sz="0" w:space="0" w:color="auto"/>
                <w:left w:val="none" w:sz="0" w:space="0" w:color="auto"/>
                <w:bottom w:val="none" w:sz="0" w:space="0" w:color="auto"/>
                <w:right w:val="none" w:sz="0" w:space="0" w:color="auto"/>
              </w:divBdr>
              <w:divsChild>
                <w:div w:id="2077971808">
                  <w:marLeft w:val="0"/>
                  <w:marRight w:val="0"/>
                  <w:marTop w:val="0"/>
                  <w:marBottom w:val="0"/>
                  <w:divBdr>
                    <w:top w:val="none" w:sz="0" w:space="0" w:color="auto"/>
                    <w:left w:val="none" w:sz="0" w:space="0" w:color="auto"/>
                    <w:bottom w:val="none" w:sz="0" w:space="0" w:color="auto"/>
                    <w:right w:val="none" w:sz="0" w:space="0" w:color="auto"/>
                  </w:divBdr>
                  <w:divsChild>
                    <w:div w:id="1321272320">
                      <w:marLeft w:val="0"/>
                      <w:marRight w:val="0"/>
                      <w:marTop w:val="0"/>
                      <w:marBottom w:val="0"/>
                      <w:divBdr>
                        <w:top w:val="none" w:sz="0" w:space="0" w:color="auto"/>
                        <w:left w:val="none" w:sz="0" w:space="0" w:color="auto"/>
                        <w:bottom w:val="none" w:sz="0" w:space="0" w:color="auto"/>
                        <w:right w:val="none" w:sz="0" w:space="0" w:color="auto"/>
                      </w:divBdr>
                      <w:divsChild>
                        <w:div w:id="647638138">
                          <w:marLeft w:val="0"/>
                          <w:marRight w:val="0"/>
                          <w:marTop w:val="0"/>
                          <w:marBottom w:val="0"/>
                          <w:divBdr>
                            <w:top w:val="none" w:sz="0" w:space="0" w:color="auto"/>
                            <w:left w:val="none" w:sz="0" w:space="0" w:color="auto"/>
                            <w:bottom w:val="none" w:sz="0" w:space="0" w:color="auto"/>
                            <w:right w:val="none" w:sz="0" w:space="0" w:color="auto"/>
                          </w:divBdr>
                          <w:divsChild>
                            <w:div w:id="1440951210">
                              <w:marLeft w:val="0"/>
                              <w:marRight w:val="0"/>
                              <w:marTop w:val="0"/>
                              <w:marBottom w:val="0"/>
                              <w:divBdr>
                                <w:top w:val="none" w:sz="0" w:space="0" w:color="auto"/>
                                <w:left w:val="none" w:sz="0" w:space="0" w:color="auto"/>
                                <w:bottom w:val="none" w:sz="0" w:space="0" w:color="auto"/>
                                <w:right w:val="none" w:sz="0" w:space="0" w:color="auto"/>
                              </w:divBdr>
                              <w:divsChild>
                                <w:div w:id="229581301">
                                  <w:marLeft w:val="0"/>
                                  <w:marRight w:val="0"/>
                                  <w:marTop w:val="0"/>
                                  <w:marBottom w:val="0"/>
                                  <w:divBdr>
                                    <w:top w:val="none" w:sz="0" w:space="0" w:color="auto"/>
                                    <w:left w:val="none" w:sz="0" w:space="0" w:color="auto"/>
                                    <w:bottom w:val="none" w:sz="0" w:space="0" w:color="auto"/>
                                    <w:right w:val="none" w:sz="0" w:space="0" w:color="auto"/>
                                  </w:divBdr>
                                  <w:divsChild>
                                    <w:div w:id="2090881977">
                                      <w:marLeft w:val="-4091"/>
                                      <w:marRight w:val="0"/>
                                      <w:marTop w:val="0"/>
                                      <w:marBottom w:val="0"/>
                                      <w:divBdr>
                                        <w:top w:val="none" w:sz="0" w:space="0" w:color="auto"/>
                                        <w:left w:val="none" w:sz="0" w:space="0" w:color="auto"/>
                                        <w:bottom w:val="none" w:sz="0" w:space="0" w:color="auto"/>
                                        <w:right w:val="none" w:sz="0" w:space="0" w:color="auto"/>
                                      </w:divBdr>
                                      <w:divsChild>
                                        <w:div w:id="1767454937">
                                          <w:marLeft w:val="0"/>
                                          <w:marRight w:val="0"/>
                                          <w:marTop w:val="0"/>
                                          <w:marBottom w:val="0"/>
                                          <w:divBdr>
                                            <w:top w:val="none" w:sz="0" w:space="0" w:color="auto"/>
                                            <w:left w:val="double" w:sz="12" w:space="4" w:color="3B3B3B"/>
                                            <w:bottom w:val="double" w:sz="12" w:space="4" w:color="3B3B3B"/>
                                            <w:right w:val="double" w:sz="12" w:space="4" w:color="3B3B3B"/>
                                          </w:divBdr>
                                          <w:divsChild>
                                            <w:div w:id="456728668">
                                              <w:marLeft w:val="0"/>
                                              <w:marRight w:val="0"/>
                                              <w:marTop w:val="0"/>
                                              <w:marBottom w:val="0"/>
                                              <w:divBdr>
                                                <w:top w:val="single" w:sz="4" w:space="4" w:color="6F6F6F"/>
                                                <w:left w:val="single" w:sz="4" w:space="4" w:color="6F6F6F"/>
                                                <w:bottom w:val="single" w:sz="4" w:space="4" w:color="6F6F6F"/>
                                                <w:right w:val="single" w:sz="4" w:space="4" w:color="6F6F6F"/>
                                              </w:divBdr>
                                            </w:div>
                                          </w:divsChild>
                                        </w:div>
                                      </w:divsChild>
                                    </w:div>
                                  </w:divsChild>
                                </w:div>
                              </w:divsChild>
                            </w:div>
                          </w:divsChild>
                        </w:div>
                      </w:divsChild>
                    </w:div>
                  </w:divsChild>
                </w:div>
              </w:divsChild>
            </w:div>
          </w:divsChild>
        </w:div>
      </w:divsChild>
    </w:div>
    <w:div w:id="2051878153">
      <w:bodyDiv w:val="1"/>
      <w:marLeft w:val="0"/>
      <w:marRight w:val="5"/>
      <w:marTop w:val="0"/>
      <w:marBottom w:val="436"/>
      <w:divBdr>
        <w:top w:val="none" w:sz="0" w:space="0" w:color="auto"/>
        <w:left w:val="none" w:sz="0" w:space="0" w:color="auto"/>
        <w:bottom w:val="none" w:sz="0" w:space="0" w:color="auto"/>
        <w:right w:val="none" w:sz="0" w:space="0" w:color="auto"/>
      </w:divBdr>
      <w:divsChild>
        <w:div w:id="286939282">
          <w:marLeft w:val="1647"/>
          <w:marRight w:val="0"/>
          <w:marTop w:val="327"/>
          <w:marBottom w:val="218"/>
          <w:divBdr>
            <w:top w:val="none" w:sz="0" w:space="0" w:color="auto"/>
            <w:left w:val="none" w:sz="0" w:space="0" w:color="auto"/>
            <w:bottom w:val="none" w:sz="0" w:space="0" w:color="auto"/>
            <w:right w:val="none" w:sz="0" w:space="0" w:color="auto"/>
          </w:divBdr>
        </w:div>
      </w:divsChild>
    </w:div>
    <w:div w:id="2071153375">
      <w:bodyDiv w:val="1"/>
      <w:marLeft w:val="0"/>
      <w:marRight w:val="0"/>
      <w:marTop w:val="44"/>
      <w:marBottom w:val="100"/>
      <w:divBdr>
        <w:top w:val="none" w:sz="0" w:space="0" w:color="auto"/>
        <w:left w:val="none" w:sz="0" w:space="0" w:color="auto"/>
        <w:bottom w:val="none" w:sz="0" w:space="0" w:color="auto"/>
        <w:right w:val="none" w:sz="0" w:space="0" w:color="auto"/>
      </w:divBdr>
      <w:divsChild>
        <w:div w:id="1442917392">
          <w:marLeft w:val="0"/>
          <w:marRight w:val="0"/>
          <w:marTop w:val="100"/>
          <w:marBottom w:val="100"/>
          <w:divBdr>
            <w:top w:val="none" w:sz="0" w:space="0" w:color="auto"/>
            <w:left w:val="none" w:sz="0" w:space="0" w:color="auto"/>
            <w:bottom w:val="none" w:sz="0" w:space="0" w:color="auto"/>
            <w:right w:val="none" w:sz="0" w:space="0" w:color="auto"/>
          </w:divBdr>
          <w:divsChild>
            <w:div w:id="1360163023">
              <w:marLeft w:val="0"/>
              <w:marRight w:val="0"/>
              <w:marTop w:val="0"/>
              <w:marBottom w:val="0"/>
              <w:divBdr>
                <w:top w:val="none" w:sz="0" w:space="0" w:color="auto"/>
                <w:left w:val="none" w:sz="0" w:space="0" w:color="auto"/>
                <w:bottom w:val="none" w:sz="0" w:space="0" w:color="auto"/>
                <w:right w:val="none" w:sz="0" w:space="0" w:color="auto"/>
              </w:divBdr>
              <w:divsChild>
                <w:div w:id="1819104407">
                  <w:marLeft w:val="0"/>
                  <w:marRight w:val="0"/>
                  <w:marTop w:val="0"/>
                  <w:marBottom w:val="0"/>
                  <w:divBdr>
                    <w:top w:val="none" w:sz="0" w:space="0" w:color="auto"/>
                    <w:left w:val="single" w:sz="2" w:space="0" w:color="EEEEEE"/>
                    <w:bottom w:val="none" w:sz="0" w:space="0" w:color="auto"/>
                    <w:right w:val="none" w:sz="0" w:space="0" w:color="auto"/>
                  </w:divBdr>
                  <w:divsChild>
                    <w:div w:id="750858750">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25511">
      <w:bodyDiv w:val="1"/>
      <w:marLeft w:val="0"/>
      <w:marRight w:val="0"/>
      <w:marTop w:val="0"/>
      <w:marBottom w:val="0"/>
      <w:divBdr>
        <w:top w:val="none" w:sz="0" w:space="0" w:color="auto"/>
        <w:left w:val="none" w:sz="0" w:space="0" w:color="auto"/>
        <w:bottom w:val="none" w:sz="0" w:space="0" w:color="auto"/>
        <w:right w:val="none" w:sz="0" w:space="0" w:color="auto"/>
      </w:divBdr>
      <w:divsChild>
        <w:div w:id="88738213">
          <w:marLeft w:val="0"/>
          <w:marRight w:val="1"/>
          <w:marTop w:val="0"/>
          <w:marBottom w:val="0"/>
          <w:divBdr>
            <w:top w:val="none" w:sz="0" w:space="0" w:color="auto"/>
            <w:left w:val="none" w:sz="0" w:space="0" w:color="auto"/>
            <w:bottom w:val="none" w:sz="0" w:space="0" w:color="auto"/>
            <w:right w:val="none" w:sz="0" w:space="0" w:color="auto"/>
          </w:divBdr>
          <w:divsChild>
            <w:div w:id="2000769226">
              <w:marLeft w:val="0"/>
              <w:marRight w:val="0"/>
              <w:marTop w:val="0"/>
              <w:marBottom w:val="0"/>
              <w:divBdr>
                <w:top w:val="none" w:sz="0" w:space="0" w:color="auto"/>
                <w:left w:val="none" w:sz="0" w:space="0" w:color="auto"/>
                <w:bottom w:val="none" w:sz="0" w:space="0" w:color="auto"/>
                <w:right w:val="none" w:sz="0" w:space="0" w:color="auto"/>
              </w:divBdr>
              <w:divsChild>
                <w:div w:id="1341933516">
                  <w:marLeft w:val="0"/>
                  <w:marRight w:val="1"/>
                  <w:marTop w:val="0"/>
                  <w:marBottom w:val="0"/>
                  <w:divBdr>
                    <w:top w:val="none" w:sz="0" w:space="0" w:color="auto"/>
                    <w:left w:val="none" w:sz="0" w:space="0" w:color="auto"/>
                    <w:bottom w:val="none" w:sz="0" w:space="0" w:color="auto"/>
                    <w:right w:val="none" w:sz="0" w:space="0" w:color="auto"/>
                  </w:divBdr>
                  <w:divsChild>
                    <w:div w:id="658266274">
                      <w:marLeft w:val="0"/>
                      <w:marRight w:val="0"/>
                      <w:marTop w:val="0"/>
                      <w:marBottom w:val="0"/>
                      <w:divBdr>
                        <w:top w:val="none" w:sz="0" w:space="0" w:color="auto"/>
                        <w:left w:val="none" w:sz="0" w:space="0" w:color="auto"/>
                        <w:bottom w:val="none" w:sz="0" w:space="0" w:color="auto"/>
                        <w:right w:val="none" w:sz="0" w:space="0" w:color="auto"/>
                      </w:divBdr>
                      <w:divsChild>
                        <w:div w:id="1217619289">
                          <w:marLeft w:val="0"/>
                          <w:marRight w:val="0"/>
                          <w:marTop w:val="0"/>
                          <w:marBottom w:val="0"/>
                          <w:divBdr>
                            <w:top w:val="none" w:sz="0" w:space="0" w:color="auto"/>
                            <w:left w:val="none" w:sz="0" w:space="0" w:color="auto"/>
                            <w:bottom w:val="none" w:sz="0" w:space="0" w:color="auto"/>
                            <w:right w:val="none" w:sz="0" w:space="0" w:color="auto"/>
                          </w:divBdr>
                          <w:divsChild>
                            <w:div w:id="1845822436">
                              <w:marLeft w:val="0"/>
                              <w:marRight w:val="0"/>
                              <w:marTop w:val="120"/>
                              <w:marBottom w:val="360"/>
                              <w:divBdr>
                                <w:top w:val="none" w:sz="0" w:space="0" w:color="auto"/>
                                <w:left w:val="none" w:sz="0" w:space="0" w:color="auto"/>
                                <w:bottom w:val="none" w:sz="0" w:space="0" w:color="auto"/>
                                <w:right w:val="none" w:sz="0" w:space="0" w:color="auto"/>
                              </w:divBdr>
                              <w:divsChild>
                                <w:div w:id="1802845178">
                                  <w:marLeft w:val="420"/>
                                  <w:marRight w:val="0"/>
                                  <w:marTop w:val="0"/>
                                  <w:marBottom w:val="0"/>
                                  <w:divBdr>
                                    <w:top w:val="none" w:sz="0" w:space="0" w:color="auto"/>
                                    <w:left w:val="none" w:sz="0" w:space="0" w:color="auto"/>
                                    <w:bottom w:val="none" w:sz="0" w:space="0" w:color="auto"/>
                                    <w:right w:val="none" w:sz="0" w:space="0" w:color="auto"/>
                                  </w:divBdr>
                                  <w:divsChild>
                                    <w:div w:id="148415686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29364">
      <w:bodyDiv w:val="1"/>
      <w:marLeft w:val="0"/>
      <w:marRight w:val="5"/>
      <w:marTop w:val="0"/>
      <w:marBottom w:val="436"/>
      <w:divBdr>
        <w:top w:val="none" w:sz="0" w:space="0" w:color="auto"/>
        <w:left w:val="none" w:sz="0" w:space="0" w:color="auto"/>
        <w:bottom w:val="none" w:sz="0" w:space="0" w:color="auto"/>
        <w:right w:val="none" w:sz="0" w:space="0" w:color="auto"/>
      </w:divBdr>
      <w:divsChild>
        <w:div w:id="390427843">
          <w:marLeft w:val="1647"/>
          <w:marRight w:val="0"/>
          <w:marTop w:val="327"/>
          <w:marBottom w:val="218"/>
          <w:divBdr>
            <w:top w:val="none" w:sz="0" w:space="0" w:color="auto"/>
            <w:left w:val="none" w:sz="0" w:space="0" w:color="auto"/>
            <w:bottom w:val="none" w:sz="0" w:space="0" w:color="auto"/>
            <w:right w:val="none" w:sz="0" w:space="0" w:color="auto"/>
          </w:divBdr>
        </w:div>
      </w:divsChild>
    </w:div>
    <w:div w:id="21390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shell@exponent.com" TargetMode="External"/><Relationship Id="rId18" Type="http://schemas.openxmlformats.org/officeDocument/2006/relationships/hyperlink" Target="mailto:kcaldwell@cdc.gov" TargetMode="External"/><Relationship Id="rId26" Type="http://schemas.openxmlformats.org/officeDocument/2006/relationships/hyperlink" Target="mailto:mlen@adem.state.al.us" TargetMode="External"/><Relationship Id="rId3" Type="http://schemas.openxmlformats.org/officeDocument/2006/relationships/styles" Target="styles.xml"/><Relationship Id="rId21" Type="http://schemas.openxmlformats.org/officeDocument/2006/relationships/hyperlink" Target="mailto:wturner@cdc.gov" TargetMode="External"/><Relationship Id="rId7" Type="http://schemas.openxmlformats.org/officeDocument/2006/relationships/footnotes" Target="footnotes.xml"/><Relationship Id="rId12" Type="http://schemas.openxmlformats.org/officeDocument/2006/relationships/hyperlink" Target="http://www.sawtooth.com/index.php/site-information/privacy-policy/" TargetMode="External"/><Relationship Id="rId17" Type="http://schemas.openxmlformats.org/officeDocument/2006/relationships/hyperlink" Target="http://www.cdc.gov/exposurereport" TargetMode="External"/><Relationship Id="rId25" Type="http://schemas.openxmlformats.org/officeDocument/2006/relationships/hyperlink" Target="mailto:David.Hayden@dcnr.alabama.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nderha@dhfs.state.wi.us" TargetMode="External"/><Relationship Id="rId20" Type="http://schemas.openxmlformats.org/officeDocument/2006/relationships/hyperlink" Target="mailto:asjodin@cdc.gov" TargetMode="External"/><Relationship Id="rId29" Type="http://schemas.openxmlformats.org/officeDocument/2006/relationships/hyperlink" Target="http://www.ncbi.nlm.nih.gov/pubmed/?term=lorber+2008+pb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wtooth.com/index.php/software/products/wincati/" TargetMode="External"/><Relationship Id="rId24" Type="http://schemas.openxmlformats.org/officeDocument/2006/relationships/hyperlink" Target="mailto:Nick.Nichols@dcnr.alabama.gov"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barron@state.pa.us" TargetMode="External"/><Relationship Id="rId23" Type="http://schemas.openxmlformats.org/officeDocument/2006/relationships/hyperlink" Target="mailto:john.guarisco@adph.state.al.us" TargetMode="External"/><Relationship Id="rId28" Type="http://schemas.openxmlformats.org/officeDocument/2006/relationships/hyperlink" Target="http://www.cdc.gov/exposurereport/index.html" TargetMode="External"/><Relationship Id="rId10" Type="http://schemas.openxmlformats.org/officeDocument/2006/relationships/hyperlink" Target="http://www.uab.edu/cores/survey-research-unit" TargetMode="External"/><Relationship Id="rId19" Type="http://schemas.openxmlformats.org/officeDocument/2006/relationships/hyperlink" Target="mailto:acalafat@cdc.gov"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dc.gov/exposurereport/index.html" TargetMode="External"/><Relationship Id="rId14" Type="http://schemas.openxmlformats.org/officeDocument/2006/relationships/hyperlink" Target="mailto:ajf01@health.state.ny.us" TargetMode="External"/><Relationship Id="rId22" Type="http://schemas.openxmlformats.org/officeDocument/2006/relationships/hyperlink" Target="mailto:karon.lewis@adph.state.al.us" TargetMode="External"/><Relationship Id="rId27" Type="http://schemas.openxmlformats.org/officeDocument/2006/relationships/hyperlink" Target="http://www.bls.gov/oes/current/oes_11500.htm" TargetMode="External"/><Relationship Id="rId30" Type="http://schemas.openxmlformats.org/officeDocument/2006/relationships/hyperlink" Target="http://quickfacts.census.gov/qfd/states/01/0101852.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5F231-6F23-4F28-B4AA-A58AAB60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11248</Words>
  <Characters>64118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75216</CharactersWithSpaces>
  <SharedDoc>false</SharedDoc>
  <HLinks>
    <vt:vector size="618" baseType="variant">
      <vt:variant>
        <vt:i4>2949238</vt:i4>
      </vt:variant>
      <vt:variant>
        <vt:i4>429</vt:i4>
      </vt:variant>
      <vt:variant>
        <vt:i4>0</vt:i4>
      </vt:variant>
      <vt:variant>
        <vt:i4>5</vt:i4>
      </vt:variant>
      <vt:variant>
        <vt:lpwstr>http://www.epa.gov/glnpo/aoc/rochester.html</vt:lpwstr>
      </vt:variant>
      <vt:variant>
        <vt:lpwstr/>
      </vt:variant>
      <vt:variant>
        <vt:i4>8257598</vt:i4>
      </vt:variant>
      <vt:variant>
        <vt:i4>426</vt:i4>
      </vt:variant>
      <vt:variant>
        <vt:i4>0</vt:i4>
      </vt:variant>
      <vt:variant>
        <vt:i4>5</vt:i4>
      </vt:variant>
      <vt:variant>
        <vt:lpwstr>http://www.epa.gov/glnpo/aoc/eighteenmile.html</vt:lpwstr>
      </vt:variant>
      <vt:variant>
        <vt:lpwstr/>
      </vt:variant>
      <vt:variant>
        <vt:i4>5242907</vt:i4>
      </vt:variant>
      <vt:variant>
        <vt:i4>423</vt:i4>
      </vt:variant>
      <vt:variant>
        <vt:i4>0</vt:i4>
      </vt:variant>
      <vt:variant>
        <vt:i4>5</vt:i4>
      </vt:variant>
      <vt:variant>
        <vt:lpwstr>http://www.epa.gov/glnpo/aoc/niagara.html</vt:lpwstr>
      </vt:variant>
      <vt:variant>
        <vt:lpwstr/>
      </vt:variant>
      <vt:variant>
        <vt:i4>5570584</vt:i4>
      </vt:variant>
      <vt:variant>
        <vt:i4>420</vt:i4>
      </vt:variant>
      <vt:variant>
        <vt:i4>0</vt:i4>
      </vt:variant>
      <vt:variant>
        <vt:i4>5</vt:i4>
      </vt:variant>
      <vt:variant>
        <vt:lpwstr>http://www.epa.gov/glnpo/aoc/buffalo.html</vt:lpwstr>
      </vt:variant>
      <vt:variant>
        <vt:lpwstr/>
      </vt:variant>
      <vt:variant>
        <vt:i4>4587541</vt:i4>
      </vt:variant>
      <vt:variant>
        <vt:i4>417</vt:i4>
      </vt:variant>
      <vt:variant>
        <vt:i4>0</vt:i4>
      </vt:variant>
      <vt:variant>
        <vt:i4>5</vt:i4>
      </vt:variant>
      <vt:variant>
        <vt:lpwstr>http://www.epa.gov/glnpo/aoc/stlouis.html</vt:lpwstr>
      </vt:variant>
      <vt:variant>
        <vt:lpwstr/>
      </vt:variant>
      <vt:variant>
        <vt:i4>5505049</vt:i4>
      </vt:variant>
      <vt:variant>
        <vt:i4>414</vt:i4>
      </vt:variant>
      <vt:variant>
        <vt:i4>0</vt:i4>
      </vt:variant>
      <vt:variant>
        <vt:i4>5</vt:i4>
      </vt:variant>
      <vt:variant>
        <vt:lpwstr>http://www.epa.gov/glnpo/aoc/detroit.html</vt:lpwstr>
      </vt:variant>
      <vt:variant>
        <vt:lpwstr/>
      </vt:variant>
      <vt:variant>
        <vt:i4>5242882</vt:i4>
      </vt:variant>
      <vt:variant>
        <vt:i4>411</vt:i4>
      </vt:variant>
      <vt:variant>
        <vt:i4>0</vt:i4>
      </vt:variant>
      <vt:variant>
        <vt:i4>5</vt:i4>
      </vt:variant>
      <vt:variant>
        <vt:lpwstr>http://www.epa.gov/glnpo/aoc/sagrivr.html</vt:lpwstr>
      </vt:variant>
      <vt:variant>
        <vt:lpwstr/>
      </vt:variant>
      <vt:variant>
        <vt:i4>5898258</vt:i4>
      </vt:variant>
      <vt:variant>
        <vt:i4>408</vt:i4>
      </vt:variant>
      <vt:variant>
        <vt:i4>0</vt:i4>
      </vt:variant>
      <vt:variant>
        <vt:i4>5</vt:i4>
      </vt:variant>
      <vt:variant>
        <vt:lpwstr>http://www.epa.gov/glnpo/aoc/</vt:lpwstr>
      </vt:variant>
      <vt:variant>
        <vt:lpwstr/>
      </vt:variant>
      <vt:variant>
        <vt:i4>8192106</vt:i4>
      </vt:variant>
      <vt:variant>
        <vt:i4>405</vt:i4>
      </vt:variant>
      <vt:variant>
        <vt:i4>0</vt:i4>
      </vt:variant>
      <vt:variant>
        <vt:i4>5</vt:i4>
      </vt:variant>
      <vt:variant>
        <vt:lpwstr>http://www.isr.umich.edu/src/smp/Electronic Copies/51-Draft106.pdf</vt:lpwstr>
      </vt:variant>
      <vt:variant>
        <vt:lpwstr/>
      </vt:variant>
      <vt:variant>
        <vt:i4>6291531</vt:i4>
      </vt:variant>
      <vt:variant>
        <vt:i4>402</vt:i4>
      </vt:variant>
      <vt:variant>
        <vt:i4>0</vt:i4>
      </vt:variant>
      <vt:variant>
        <vt:i4>5</vt:i4>
      </vt:variant>
      <vt:variant>
        <vt:lpwstr>http://www.michigan.gov/documents/mdch/FCS_Final_rpt_061407_199288_7.pdf</vt:lpwstr>
      </vt:variant>
      <vt:variant>
        <vt:lpwstr/>
      </vt:variant>
      <vt:variant>
        <vt:i4>6225944</vt:i4>
      </vt:variant>
      <vt:variant>
        <vt:i4>399</vt:i4>
      </vt:variant>
      <vt:variant>
        <vt:i4>0</vt:i4>
      </vt:variant>
      <vt:variant>
        <vt:i4>5</vt:i4>
      </vt:variant>
      <vt:variant>
        <vt:lpwstr>http://www.census.gov/srd/papers/pdf/ev90-19.pdf</vt:lpwstr>
      </vt:variant>
      <vt:variant>
        <vt:lpwstr/>
      </vt:variant>
      <vt:variant>
        <vt:i4>2490454</vt:i4>
      </vt:variant>
      <vt:variant>
        <vt:i4>396</vt:i4>
      </vt:variant>
      <vt:variant>
        <vt:i4>0</vt:i4>
      </vt:variant>
      <vt:variant>
        <vt:i4>5</vt:i4>
      </vt:variant>
      <vt:variant>
        <vt:lpwstr>http://greatlakesrestoration.us/pdfs/glri_actionplan.pdf</vt:lpwstr>
      </vt:variant>
      <vt:variant>
        <vt:lpwstr/>
      </vt:variant>
      <vt:variant>
        <vt:i4>262145</vt:i4>
      </vt:variant>
      <vt:variant>
        <vt:i4>393</vt:i4>
      </vt:variant>
      <vt:variant>
        <vt:i4>0</vt:i4>
      </vt:variant>
      <vt:variant>
        <vt:i4>5</vt:i4>
      </vt:variant>
      <vt:variant>
        <vt:lpwstr>http://aspe.hhs.gov/datacncl/inclusn.htm</vt:lpwstr>
      </vt:variant>
      <vt:variant>
        <vt:lpwstr/>
      </vt:variant>
      <vt:variant>
        <vt:i4>7208994</vt:i4>
      </vt:variant>
      <vt:variant>
        <vt:i4>390</vt:i4>
      </vt:variant>
      <vt:variant>
        <vt:i4>0</vt:i4>
      </vt:variant>
      <vt:variant>
        <vt:i4>5</vt:i4>
      </vt:variant>
      <vt:variant>
        <vt:lpwstr>http://www.bls.gov/oes/current/oessrcma.htm</vt:lpwstr>
      </vt:variant>
      <vt:variant>
        <vt:lpwstr/>
      </vt:variant>
      <vt:variant>
        <vt:i4>7340136</vt:i4>
      </vt:variant>
      <vt:variant>
        <vt:i4>387</vt:i4>
      </vt:variant>
      <vt:variant>
        <vt:i4>0</vt:i4>
      </vt:variant>
      <vt:variant>
        <vt:i4>5</vt:i4>
      </vt:variant>
      <vt:variant>
        <vt:lpwstr>http://www.atsdr.cdc.gov/DT/pcb007.html</vt:lpwstr>
      </vt:variant>
      <vt:variant>
        <vt:lpwstr/>
      </vt:variant>
      <vt:variant>
        <vt:i4>7208994</vt:i4>
      </vt:variant>
      <vt:variant>
        <vt:i4>384</vt:i4>
      </vt:variant>
      <vt:variant>
        <vt:i4>0</vt:i4>
      </vt:variant>
      <vt:variant>
        <vt:i4>5</vt:i4>
      </vt:variant>
      <vt:variant>
        <vt:lpwstr>http://www.bls.gov/oes/current/oessrcma.htm</vt:lpwstr>
      </vt:variant>
      <vt:variant>
        <vt:lpwstr/>
      </vt:variant>
      <vt:variant>
        <vt:i4>5177386</vt:i4>
      </vt:variant>
      <vt:variant>
        <vt:i4>381</vt:i4>
      </vt:variant>
      <vt:variant>
        <vt:i4>0</vt:i4>
      </vt:variant>
      <vt:variant>
        <vt:i4>5</vt:i4>
      </vt:variant>
      <vt:variant>
        <vt:lpwstr>mailto:efitzgerald@uamail.albany.edu</vt:lpwstr>
      </vt:variant>
      <vt:variant>
        <vt:lpwstr/>
      </vt:variant>
      <vt:variant>
        <vt:i4>1966139</vt:i4>
      </vt:variant>
      <vt:variant>
        <vt:i4>378</vt:i4>
      </vt:variant>
      <vt:variant>
        <vt:i4>0</vt:i4>
      </vt:variant>
      <vt:variant>
        <vt:i4>5</vt:i4>
      </vt:variant>
      <vt:variant>
        <vt:lpwstr>mailto:kkannan@wadsworth.org</vt:lpwstr>
      </vt:variant>
      <vt:variant>
        <vt:lpwstr/>
      </vt:variant>
      <vt:variant>
        <vt:i4>786557</vt:i4>
      </vt:variant>
      <vt:variant>
        <vt:i4>375</vt:i4>
      </vt:variant>
      <vt:variant>
        <vt:i4>0</vt:i4>
      </vt:variant>
      <vt:variant>
        <vt:i4>5</vt:i4>
      </vt:variant>
      <vt:variant>
        <vt:lpwstr>mailto:patrick.parsons@wadsworth.org</vt:lpwstr>
      </vt:variant>
      <vt:variant>
        <vt:lpwstr/>
      </vt:variant>
      <vt:variant>
        <vt:i4>458795</vt:i4>
      </vt:variant>
      <vt:variant>
        <vt:i4>372</vt:i4>
      </vt:variant>
      <vt:variant>
        <vt:i4>0</vt:i4>
      </vt:variant>
      <vt:variant>
        <vt:i4>5</vt:i4>
      </vt:variant>
      <vt:variant>
        <vt:lpwstr>mailto:aldous@wadsworth.org</vt:lpwstr>
      </vt:variant>
      <vt:variant>
        <vt:lpwstr/>
      </vt:variant>
      <vt:variant>
        <vt:i4>3342367</vt:i4>
      </vt:variant>
      <vt:variant>
        <vt:i4>369</vt:i4>
      </vt:variant>
      <vt:variant>
        <vt:i4>0</vt:i4>
      </vt:variant>
      <vt:variant>
        <vt:i4>5</vt:i4>
      </vt:variant>
      <vt:variant>
        <vt:lpwstr>mailto:kss08@health.state.ny.us</vt:lpwstr>
      </vt:variant>
      <vt:variant>
        <vt:lpwstr/>
      </vt:variant>
      <vt:variant>
        <vt:i4>2621462</vt:i4>
      </vt:variant>
      <vt:variant>
        <vt:i4>366</vt:i4>
      </vt:variant>
      <vt:variant>
        <vt:i4>0</vt:i4>
      </vt:variant>
      <vt:variant>
        <vt:i4>5</vt:i4>
      </vt:variant>
      <vt:variant>
        <vt:lpwstr>mailto:jxb23@health.state.ny.us</vt:lpwstr>
      </vt:variant>
      <vt:variant>
        <vt:lpwstr/>
      </vt:variant>
      <vt:variant>
        <vt:i4>3014671</vt:i4>
      </vt:variant>
      <vt:variant>
        <vt:i4>363</vt:i4>
      </vt:variant>
      <vt:variant>
        <vt:i4>0</vt:i4>
      </vt:variant>
      <vt:variant>
        <vt:i4>5</vt:i4>
      </vt:variant>
      <vt:variant>
        <vt:lpwstr>mailto:jab25@health.state.ny.us</vt:lpwstr>
      </vt:variant>
      <vt:variant>
        <vt:lpwstr/>
      </vt:variant>
      <vt:variant>
        <vt:i4>2686996</vt:i4>
      </vt:variant>
      <vt:variant>
        <vt:i4>360</vt:i4>
      </vt:variant>
      <vt:variant>
        <vt:i4>0</vt:i4>
      </vt:variant>
      <vt:variant>
        <vt:i4>5</vt:i4>
      </vt:variant>
      <vt:variant>
        <vt:lpwstr>mailto:kxf07@health.state.ny.us</vt:lpwstr>
      </vt:variant>
      <vt:variant>
        <vt:lpwstr/>
      </vt:variant>
      <vt:variant>
        <vt:i4>3801100</vt:i4>
      </vt:variant>
      <vt:variant>
        <vt:i4>357</vt:i4>
      </vt:variant>
      <vt:variant>
        <vt:i4>0</vt:i4>
      </vt:variant>
      <vt:variant>
        <vt:i4>5</vt:i4>
      </vt:variant>
      <vt:variant>
        <vt:lpwstr>mailto:jar11@health.state.ny.us</vt:lpwstr>
      </vt:variant>
      <vt:variant>
        <vt:lpwstr/>
      </vt:variant>
      <vt:variant>
        <vt:i4>2621445</vt:i4>
      </vt:variant>
      <vt:variant>
        <vt:i4>354</vt:i4>
      </vt:variant>
      <vt:variant>
        <vt:i4>0</vt:i4>
      </vt:variant>
      <vt:variant>
        <vt:i4>5</vt:i4>
      </vt:variant>
      <vt:variant>
        <vt:lpwstr>mailto:mig01@health.state.ny.us</vt:lpwstr>
      </vt:variant>
      <vt:variant>
        <vt:lpwstr/>
      </vt:variant>
      <vt:variant>
        <vt:i4>3801101</vt:i4>
      </vt:variant>
      <vt:variant>
        <vt:i4>351</vt:i4>
      </vt:variant>
      <vt:variant>
        <vt:i4>0</vt:i4>
      </vt:variant>
      <vt:variant>
        <vt:i4>5</vt:i4>
      </vt:variant>
      <vt:variant>
        <vt:lpwstr>mailto:sah02@health.state.ny.us</vt:lpwstr>
      </vt:variant>
      <vt:variant>
        <vt:lpwstr/>
      </vt:variant>
      <vt:variant>
        <vt:i4>2228227</vt:i4>
      </vt:variant>
      <vt:variant>
        <vt:i4>348</vt:i4>
      </vt:variant>
      <vt:variant>
        <vt:i4>0</vt:i4>
      </vt:variant>
      <vt:variant>
        <vt:i4>5</vt:i4>
      </vt:variant>
      <vt:variant>
        <vt:lpwstr>mailto:bonnielafromboise@fdlrez.com</vt:lpwstr>
      </vt:variant>
      <vt:variant>
        <vt:lpwstr/>
      </vt:variant>
      <vt:variant>
        <vt:i4>6226035</vt:i4>
      </vt:variant>
      <vt:variant>
        <vt:i4>345</vt:i4>
      </vt:variant>
      <vt:variant>
        <vt:i4>0</vt:i4>
      </vt:variant>
      <vt:variant>
        <vt:i4>5</vt:i4>
      </vt:variant>
      <vt:variant>
        <vt:lpwstr>mailto:debsmith@fdlrez.com</vt:lpwstr>
      </vt:variant>
      <vt:variant>
        <vt:lpwstr/>
      </vt:variant>
      <vt:variant>
        <vt:i4>7012445</vt:i4>
      </vt:variant>
      <vt:variant>
        <vt:i4>342</vt:i4>
      </vt:variant>
      <vt:variant>
        <vt:i4>0</vt:i4>
      </vt:variant>
      <vt:variant>
        <vt:i4>5</vt:i4>
      </vt:variant>
      <vt:variant>
        <vt:lpwstr>mailto:jessica.nelson@state.mn.us</vt:lpwstr>
      </vt:variant>
      <vt:variant>
        <vt:lpwstr/>
      </vt:variant>
      <vt:variant>
        <vt:i4>5636193</vt:i4>
      </vt:variant>
      <vt:variant>
        <vt:i4>339</vt:i4>
      </vt:variant>
      <vt:variant>
        <vt:i4>0</vt:i4>
      </vt:variant>
      <vt:variant>
        <vt:i4>5</vt:i4>
      </vt:variant>
      <vt:variant>
        <vt:lpwstr>mailto:betsy.edhlund@state.mn.us</vt:lpwstr>
      </vt:variant>
      <vt:variant>
        <vt:lpwstr/>
      </vt:variant>
      <vt:variant>
        <vt:i4>3473417</vt:i4>
      </vt:variant>
      <vt:variant>
        <vt:i4>336</vt:i4>
      </vt:variant>
      <vt:variant>
        <vt:i4>0</vt:i4>
      </vt:variant>
      <vt:variant>
        <vt:i4>5</vt:i4>
      </vt:variant>
      <vt:variant>
        <vt:lpwstr>mailto:carin.huset@state.mn.us</vt:lpwstr>
      </vt:variant>
      <vt:variant>
        <vt:lpwstr/>
      </vt:variant>
      <vt:variant>
        <vt:i4>8061009</vt:i4>
      </vt:variant>
      <vt:variant>
        <vt:i4>333</vt:i4>
      </vt:variant>
      <vt:variant>
        <vt:i4>0</vt:i4>
      </vt:variant>
      <vt:variant>
        <vt:i4>5</vt:i4>
      </vt:variant>
      <vt:variant>
        <vt:lpwstr>mailto:paul.swedenborg@state.mn.us</vt:lpwstr>
      </vt:variant>
      <vt:variant>
        <vt:lpwstr/>
      </vt:variant>
      <vt:variant>
        <vt:i4>5505149</vt:i4>
      </vt:variant>
      <vt:variant>
        <vt:i4>330</vt:i4>
      </vt:variant>
      <vt:variant>
        <vt:i4>0</vt:i4>
      </vt:variant>
      <vt:variant>
        <vt:i4>5</vt:i4>
      </vt:variant>
      <vt:variant>
        <vt:lpwstr>mailto:deanna.scher@state.mn.us</vt:lpwstr>
      </vt:variant>
      <vt:variant>
        <vt:lpwstr/>
      </vt:variant>
      <vt:variant>
        <vt:i4>6160508</vt:i4>
      </vt:variant>
      <vt:variant>
        <vt:i4>327</vt:i4>
      </vt:variant>
      <vt:variant>
        <vt:i4>0</vt:i4>
      </vt:variant>
      <vt:variant>
        <vt:i4>5</vt:i4>
      </vt:variant>
      <vt:variant>
        <vt:lpwstr>mailto:larry.souther@state.mn.us</vt:lpwstr>
      </vt:variant>
      <vt:variant>
        <vt:lpwstr/>
      </vt:variant>
      <vt:variant>
        <vt:i4>6029415</vt:i4>
      </vt:variant>
      <vt:variant>
        <vt:i4>324</vt:i4>
      </vt:variant>
      <vt:variant>
        <vt:i4>0</vt:i4>
      </vt:variant>
      <vt:variant>
        <vt:i4>5</vt:i4>
      </vt:variant>
      <vt:variant>
        <vt:lpwstr>mailto:jill.korinek@state.mn.us</vt:lpwstr>
      </vt:variant>
      <vt:variant>
        <vt:lpwstr/>
      </vt:variant>
      <vt:variant>
        <vt:i4>2555992</vt:i4>
      </vt:variant>
      <vt:variant>
        <vt:i4>321</vt:i4>
      </vt:variant>
      <vt:variant>
        <vt:i4>0</vt:i4>
      </vt:variant>
      <vt:variant>
        <vt:i4>5</vt:i4>
      </vt:variant>
      <vt:variant>
        <vt:lpwstr>mailto:david.bw.jones@state.mn.us</vt:lpwstr>
      </vt:variant>
      <vt:variant>
        <vt:lpwstr/>
      </vt:variant>
      <vt:variant>
        <vt:i4>1507376</vt:i4>
      </vt:variant>
      <vt:variant>
        <vt:i4>318</vt:i4>
      </vt:variant>
      <vt:variant>
        <vt:i4>0</vt:i4>
      </vt:variant>
      <vt:variant>
        <vt:i4>5</vt:i4>
      </vt:variant>
      <vt:variant>
        <vt:lpwstr>mailto:eileen.grundstrom@state.mn.us</vt:lpwstr>
      </vt:variant>
      <vt:variant>
        <vt:lpwstr/>
      </vt:variant>
      <vt:variant>
        <vt:i4>1966120</vt:i4>
      </vt:variant>
      <vt:variant>
        <vt:i4>315</vt:i4>
      </vt:variant>
      <vt:variant>
        <vt:i4>0</vt:i4>
      </vt:variant>
      <vt:variant>
        <vt:i4>5</vt:i4>
      </vt:variant>
      <vt:variant>
        <vt:lpwstr>blocked::mailto:patricia.mccann@state.mn.us</vt:lpwstr>
      </vt:variant>
      <vt:variant>
        <vt:lpwstr/>
      </vt:variant>
      <vt:variant>
        <vt:i4>4653158</vt:i4>
      </vt:variant>
      <vt:variant>
        <vt:i4>312</vt:i4>
      </vt:variant>
      <vt:variant>
        <vt:i4>0</vt:i4>
      </vt:variant>
      <vt:variant>
        <vt:i4>5</vt:i4>
      </vt:variant>
      <vt:variant>
        <vt:lpwstr>mailto:rita.messing@state.mn.us</vt:lpwstr>
      </vt:variant>
      <vt:variant>
        <vt:lpwstr/>
      </vt:variant>
      <vt:variant>
        <vt:i4>131183</vt:i4>
      </vt:variant>
      <vt:variant>
        <vt:i4>309</vt:i4>
      </vt:variant>
      <vt:variant>
        <vt:i4>0</vt:i4>
      </vt:variant>
      <vt:variant>
        <vt:i4>5</vt:i4>
      </vt:variant>
      <vt:variant>
        <vt:lpwstr>mailto:gardine3@msu.edu</vt:lpwstr>
      </vt:variant>
      <vt:variant>
        <vt:lpwstr/>
      </vt:variant>
      <vt:variant>
        <vt:i4>7733312</vt:i4>
      </vt:variant>
      <vt:variant>
        <vt:i4>306</vt:i4>
      </vt:variant>
      <vt:variant>
        <vt:i4>0</vt:i4>
      </vt:variant>
      <vt:variant>
        <vt:i4>5</vt:i4>
      </vt:variant>
      <vt:variant>
        <vt:lpwstr>mailto:wirthj@msu.edu</vt:lpwstr>
      </vt:variant>
      <vt:variant>
        <vt:lpwstr/>
      </vt:variant>
      <vt:variant>
        <vt:i4>4980840</vt:i4>
      </vt:variant>
      <vt:variant>
        <vt:i4>303</vt:i4>
      </vt:variant>
      <vt:variant>
        <vt:i4>0</vt:i4>
      </vt:variant>
      <vt:variant>
        <vt:i4>5</vt:i4>
      </vt:variant>
      <vt:variant>
        <vt:lpwstr>mailto:taffeb@michigan.gov</vt:lpwstr>
      </vt:variant>
      <vt:variant>
        <vt:lpwstr/>
      </vt:variant>
      <vt:variant>
        <vt:i4>5308521</vt:i4>
      </vt:variant>
      <vt:variant>
        <vt:i4>300</vt:i4>
      </vt:variant>
      <vt:variant>
        <vt:i4>0</vt:i4>
      </vt:variant>
      <vt:variant>
        <vt:i4>5</vt:i4>
      </vt:variant>
      <vt:variant>
        <vt:lpwstr>mailto:groetschk@michigan.gov</vt:lpwstr>
      </vt:variant>
      <vt:variant>
        <vt:lpwstr/>
      </vt:variant>
      <vt:variant>
        <vt:i4>3342350</vt:i4>
      </vt:variant>
      <vt:variant>
        <vt:i4>297</vt:i4>
      </vt:variant>
      <vt:variant>
        <vt:i4>0</vt:i4>
      </vt:variant>
      <vt:variant>
        <vt:i4>5</vt:i4>
      </vt:variant>
      <vt:variant>
        <vt:lpwstr>mailto:manentes@michigan.gov</vt:lpwstr>
      </vt:variant>
      <vt:variant>
        <vt:lpwstr/>
      </vt:variant>
      <vt:variant>
        <vt:i4>2818072</vt:i4>
      </vt:variant>
      <vt:variant>
        <vt:i4>294</vt:i4>
      </vt:variant>
      <vt:variant>
        <vt:i4>0</vt:i4>
      </vt:variant>
      <vt:variant>
        <vt:i4>5</vt:i4>
      </vt:variant>
      <vt:variant>
        <vt:lpwstr>mailto:dykemal@michigan.gov</vt:lpwstr>
      </vt:variant>
      <vt:variant>
        <vt:lpwstr/>
      </vt:variant>
      <vt:variant>
        <vt:i4>7143500</vt:i4>
      </vt:variant>
      <vt:variant>
        <vt:i4>291</vt:i4>
      </vt:variant>
      <vt:variant>
        <vt:i4>0</vt:i4>
      </vt:variant>
      <vt:variant>
        <vt:i4>5</vt:i4>
      </vt:variant>
      <vt:variant>
        <vt:lpwstr>mailto:wturner@cdc.gov</vt:lpwstr>
      </vt:variant>
      <vt:variant>
        <vt:lpwstr/>
      </vt:variant>
      <vt:variant>
        <vt:i4>7471194</vt:i4>
      </vt:variant>
      <vt:variant>
        <vt:i4>288</vt:i4>
      </vt:variant>
      <vt:variant>
        <vt:i4>0</vt:i4>
      </vt:variant>
      <vt:variant>
        <vt:i4>5</vt:i4>
      </vt:variant>
      <vt:variant>
        <vt:lpwstr>mailto:asjodin@cdc.gov</vt:lpwstr>
      </vt:variant>
      <vt:variant>
        <vt:lpwstr/>
      </vt:variant>
      <vt:variant>
        <vt:i4>458800</vt:i4>
      </vt:variant>
      <vt:variant>
        <vt:i4>285</vt:i4>
      </vt:variant>
      <vt:variant>
        <vt:i4>0</vt:i4>
      </vt:variant>
      <vt:variant>
        <vt:i4>5</vt:i4>
      </vt:variant>
      <vt:variant>
        <vt:lpwstr>mailto:acalafat@cdc.gov</vt:lpwstr>
      </vt:variant>
      <vt:variant>
        <vt:lpwstr/>
      </vt:variant>
      <vt:variant>
        <vt:i4>1310779</vt:i4>
      </vt:variant>
      <vt:variant>
        <vt:i4>282</vt:i4>
      </vt:variant>
      <vt:variant>
        <vt:i4>0</vt:i4>
      </vt:variant>
      <vt:variant>
        <vt:i4>5</vt:i4>
      </vt:variant>
      <vt:variant>
        <vt:lpwstr>mailto:kcaldwell@cdc.gov</vt:lpwstr>
      </vt:variant>
      <vt:variant>
        <vt:lpwstr/>
      </vt:variant>
      <vt:variant>
        <vt:i4>6160471</vt:i4>
      </vt:variant>
      <vt:variant>
        <vt:i4>279</vt:i4>
      </vt:variant>
      <vt:variant>
        <vt:i4>0</vt:i4>
      </vt:variant>
      <vt:variant>
        <vt:i4>5</vt:i4>
      </vt:variant>
      <vt:variant>
        <vt:lpwstr>http://www.cdc.gov/exposurereport</vt:lpwstr>
      </vt:variant>
      <vt:variant>
        <vt:lpwstr/>
      </vt:variant>
      <vt:variant>
        <vt:i4>2359390</vt:i4>
      </vt:variant>
      <vt:variant>
        <vt:i4>276</vt:i4>
      </vt:variant>
      <vt:variant>
        <vt:i4>0</vt:i4>
      </vt:variant>
      <vt:variant>
        <vt:i4>5</vt:i4>
      </vt:variant>
      <vt:variant>
        <vt:lpwstr>mailto:dawn.wyllie@ihs.gov</vt:lpwstr>
      </vt:variant>
      <vt:variant>
        <vt:lpwstr/>
      </vt:variant>
      <vt:variant>
        <vt:i4>6946908</vt:i4>
      </vt:variant>
      <vt:variant>
        <vt:i4>273</vt:i4>
      </vt:variant>
      <vt:variant>
        <vt:i4>0</vt:i4>
      </vt:variant>
      <vt:variant>
        <vt:i4>5</vt:i4>
      </vt:variant>
      <vt:variant>
        <vt:lpwstr>mailto:anderha@dhfs.state.wi.us</vt:lpwstr>
      </vt:variant>
      <vt:variant>
        <vt:lpwstr/>
      </vt:variant>
      <vt:variant>
        <vt:i4>3211343</vt:i4>
      </vt:variant>
      <vt:variant>
        <vt:i4>270</vt:i4>
      </vt:variant>
      <vt:variant>
        <vt:i4>0</vt:i4>
      </vt:variant>
      <vt:variant>
        <vt:i4>5</vt:i4>
      </vt:variant>
      <vt:variant>
        <vt:lpwstr>mailto:tbarron@state.pa.us</vt:lpwstr>
      </vt:variant>
      <vt:variant>
        <vt:lpwstr/>
      </vt:variant>
      <vt:variant>
        <vt:i4>2424838</vt:i4>
      </vt:variant>
      <vt:variant>
        <vt:i4>267</vt:i4>
      </vt:variant>
      <vt:variant>
        <vt:i4>0</vt:i4>
      </vt:variant>
      <vt:variant>
        <vt:i4>5</vt:i4>
      </vt:variant>
      <vt:variant>
        <vt:lpwstr>mailto:ajf01@health.state.ny.us</vt:lpwstr>
      </vt:variant>
      <vt:variant>
        <vt:lpwstr/>
      </vt:variant>
      <vt:variant>
        <vt:i4>1966120</vt:i4>
      </vt:variant>
      <vt:variant>
        <vt:i4>264</vt:i4>
      </vt:variant>
      <vt:variant>
        <vt:i4>0</vt:i4>
      </vt:variant>
      <vt:variant>
        <vt:i4>5</vt:i4>
      </vt:variant>
      <vt:variant>
        <vt:lpwstr>blocked::mailto:patricia.mccann@state.mn.us</vt:lpwstr>
      </vt:variant>
      <vt:variant>
        <vt:lpwstr/>
      </vt:variant>
      <vt:variant>
        <vt:i4>5308521</vt:i4>
      </vt:variant>
      <vt:variant>
        <vt:i4>261</vt:i4>
      </vt:variant>
      <vt:variant>
        <vt:i4>0</vt:i4>
      </vt:variant>
      <vt:variant>
        <vt:i4>5</vt:i4>
      </vt:variant>
      <vt:variant>
        <vt:lpwstr>mailto:groetschk@michigan.gov</vt:lpwstr>
      </vt:variant>
      <vt:variant>
        <vt:lpwstr/>
      </vt:variant>
      <vt:variant>
        <vt:i4>7274525</vt:i4>
      </vt:variant>
      <vt:variant>
        <vt:i4>258</vt:i4>
      </vt:variant>
      <vt:variant>
        <vt:i4>0</vt:i4>
      </vt:variant>
      <vt:variant>
        <vt:i4>5</vt:i4>
      </vt:variant>
      <vt:variant>
        <vt:lpwstr>mailto:thomas.hornshaw@epa.state.il.us</vt:lpwstr>
      </vt:variant>
      <vt:variant>
        <vt:lpwstr/>
      </vt:variant>
      <vt:variant>
        <vt:i4>7929857</vt:i4>
      </vt:variant>
      <vt:variant>
        <vt:i4>255</vt:i4>
      </vt:variant>
      <vt:variant>
        <vt:i4>0</vt:i4>
      </vt:variant>
      <vt:variant>
        <vt:i4>5</vt:i4>
      </vt:variant>
      <vt:variant>
        <vt:lpwstr>mailto:smith.edwin@epa.gov</vt:lpwstr>
      </vt:variant>
      <vt:variant>
        <vt:lpwstr/>
      </vt:variant>
      <vt:variant>
        <vt:i4>4849717</vt:i4>
      </vt:variant>
      <vt:variant>
        <vt:i4>252</vt:i4>
      </vt:variant>
      <vt:variant>
        <vt:i4>0</vt:i4>
      </vt:variant>
      <vt:variant>
        <vt:i4>5</vt:i4>
      </vt:variant>
      <vt:variant>
        <vt:lpwstr>mailto:murphy.elizabeth@epa.gov</vt:lpwstr>
      </vt:variant>
      <vt:variant>
        <vt:lpwstr/>
      </vt:variant>
      <vt:variant>
        <vt:i4>5242934</vt:i4>
      </vt:variant>
      <vt:variant>
        <vt:i4>249</vt:i4>
      </vt:variant>
      <vt:variant>
        <vt:i4>0</vt:i4>
      </vt:variant>
      <vt:variant>
        <vt:i4>5</vt:i4>
      </vt:variant>
      <vt:variant>
        <vt:lpwstr>mailto:fisher.jacqueline@epa.gov</vt:lpwstr>
      </vt:variant>
      <vt:variant>
        <vt:lpwstr/>
      </vt:variant>
      <vt:variant>
        <vt:i4>3670131</vt:i4>
      </vt:variant>
      <vt:variant>
        <vt:i4>246</vt:i4>
      </vt:variant>
      <vt:variant>
        <vt:i4>0</vt:i4>
      </vt:variant>
      <vt:variant>
        <vt:i4>5</vt:i4>
      </vt:variant>
      <vt:variant>
        <vt:lpwstr>http://www.zoomerang.com/Terms-of-Use/</vt:lpwstr>
      </vt:variant>
      <vt:variant>
        <vt:lpwstr/>
      </vt:variant>
      <vt:variant>
        <vt:i4>6226001</vt:i4>
      </vt:variant>
      <vt:variant>
        <vt:i4>243</vt:i4>
      </vt:variant>
      <vt:variant>
        <vt:i4>0</vt:i4>
      </vt:variant>
      <vt:variant>
        <vt:i4>5</vt:i4>
      </vt:variant>
      <vt:variant>
        <vt:lpwstr>http://www.markettools.com/company/privacy-policy</vt:lpwstr>
      </vt:variant>
      <vt:variant>
        <vt:lpwstr/>
      </vt:variant>
      <vt:variant>
        <vt:i4>1507378</vt:i4>
      </vt:variant>
      <vt:variant>
        <vt:i4>236</vt:i4>
      </vt:variant>
      <vt:variant>
        <vt:i4>0</vt:i4>
      </vt:variant>
      <vt:variant>
        <vt:i4>5</vt:i4>
      </vt:variant>
      <vt:variant>
        <vt:lpwstr/>
      </vt:variant>
      <vt:variant>
        <vt:lpwstr>_Toc305153120</vt:lpwstr>
      </vt:variant>
      <vt:variant>
        <vt:i4>1310770</vt:i4>
      </vt:variant>
      <vt:variant>
        <vt:i4>230</vt:i4>
      </vt:variant>
      <vt:variant>
        <vt:i4>0</vt:i4>
      </vt:variant>
      <vt:variant>
        <vt:i4>5</vt:i4>
      </vt:variant>
      <vt:variant>
        <vt:lpwstr/>
      </vt:variant>
      <vt:variant>
        <vt:lpwstr>_Toc305153119</vt:lpwstr>
      </vt:variant>
      <vt:variant>
        <vt:i4>1310770</vt:i4>
      </vt:variant>
      <vt:variant>
        <vt:i4>224</vt:i4>
      </vt:variant>
      <vt:variant>
        <vt:i4>0</vt:i4>
      </vt:variant>
      <vt:variant>
        <vt:i4>5</vt:i4>
      </vt:variant>
      <vt:variant>
        <vt:lpwstr/>
      </vt:variant>
      <vt:variant>
        <vt:lpwstr>_Toc305153118</vt:lpwstr>
      </vt:variant>
      <vt:variant>
        <vt:i4>1310770</vt:i4>
      </vt:variant>
      <vt:variant>
        <vt:i4>218</vt:i4>
      </vt:variant>
      <vt:variant>
        <vt:i4>0</vt:i4>
      </vt:variant>
      <vt:variant>
        <vt:i4>5</vt:i4>
      </vt:variant>
      <vt:variant>
        <vt:lpwstr/>
      </vt:variant>
      <vt:variant>
        <vt:lpwstr>_Toc305153117</vt:lpwstr>
      </vt:variant>
      <vt:variant>
        <vt:i4>1310770</vt:i4>
      </vt:variant>
      <vt:variant>
        <vt:i4>212</vt:i4>
      </vt:variant>
      <vt:variant>
        <vt:i4>0</vt:i4>
      </vt:variant>
      <vt:variant>
        <vt:i4>5</vt:i4>
      </vt:variant>
      <vt:variant>
        <vt:lpwstr/>
      </vt:variant>
      <vt:variant>
        <vt:lpwstr>_Toc305153116</vt:lpwstr>
      </vt:variant>
      <vt:variant>
        <vt:i4>1310770</vt:i4>
      </vt:variant>
      <vt:variant>
        <vt:i4>206</vt:i4>
      </vt:variant>
      <vt:variant>
        <vt:i4>0</vt:i4>
      </vt:variant>
      <vt:variant>
        <vt:i4>5</vt:i4>
      </vt:variant>
      <vt:variant>
        <vt:lpwstr/>
      </vt:variant>
      <vt:variant>
        <vt:lpwstr>_Toc305153115</vt:lpwstr>
      </vt:variant>
      <vt:variant>
        <vt:i4>1310770</vt:i4>
      </vt:variant>
      <vt:variant>
        <vt:i4>200</vt:i4>
      </vt:variant>
      <vt:variant>
        <vt:i4>0</vt:i4>
      </vt:variant>
      <vt:variant>
        <vt:i4>5</vt:i4>
      </vt:variant>
      <vt:variant>
        <vt:lpwstr/>
      </vt:variant>
      <vt:variant>
        <vt:lpwstr>_Toc305153114</vt:lpwstr>
      </vt:variant>
      <vt:variant>
        <vt:i4>1310770</vt:i4>
      </vt:variant>
      <vt:variant>
        <vt:i4>194</vt:i4>
      </vt:variant>
      <vt:variant>
        <vt:i4>0</vt:i4>
      </vt:variant>
      <vt:variant>
        <vt:i4>5</vt:i4>
      </vt:variant>
      <vt:variant>
        <vt:lpwstr/>
      </vt:variant>
      <vt:variant>
        <vt:lpwstr>_Toc305153113</vt:lpwstr>
      </vt:variant>
      <vt:variant>
        <vt:i4>1310770</vt:i4>
      </vt:variant>
      <vt:variant>
        <vt:i4>188</vt:i4>
      </vt:variant>
      <vt:variant>
        <vt:i4>0</vt:i4>
      </vt:variant>
      <vt:variant>
        <vt:i4>5</vt:i4>
      </vt:variant>
      <vt:variant>
        <vt:lpwstr/>
      </vt:variant>
      <vt:variant>
        <vt:lpwstr>_Toc305153112</vt:lpwstr>
      </vt:variant>
      <vt:variant>
        <vt:i4>1310770</vt:i4>
      </vt:variant>
      <vt:variant>
        <vt:i4>182</vt:i4>
      </vt:variant>
      <vt:variant>
        <vt:i4>0</vt:i4>
      </vt:variant>
      <vt:variant>
        <vt:i4>5</vt:i4>
      </vt:variant>
      <vt:variant>
        <vt:lpwstr/>
      </vt:variant>
      <vt:variant>
        <vt:lpwstr>_Toc305153111</vt:lpwstr>
      </vt:variant>
      <vt:variant>
        <vt:i4>1310770</vt:i4>
      </vt:variant>
      <vt:variant>
        <vt:i4>176</vt:i4>
      </vt:variant>
      <vt:variant>
        <vt:i4>0</vt:i4>
      </vt:variant>
      <vt:variant>
        <vt:i4>5</vt:i4>
      </vt:variant>
      <vt:variant>
        <vt:lpwstr/>
      </vt:variant>
      <vt:variant>
        <vt:lpwstr>_Toc305153110</vt:lpwstr>
      </vt:variant>
      <vt:variant>
        <vt:i4>1376306</vt:i4>
      </vt:variant>
      <vt:variant>
        <vt:i4>170</vt:i4>
      </vt:variant>
      <vt:variant>
        <vt:i4>0</vt:i4>
      </vt:variant>
      <vt:variant>
        <vt:i4>5</vt:i4>
      </vt:variant>
      <vt:variant>
        <vt:lpwstr/>
      </vt:variant>
      <vt:variant>
        <vt:lpwstr>_Toc305153109</vt:lpwstr>
      </vt:variant>
      <vt:variant>
        <vt:i4>1376306</vt:i4>
      </vt:variant>
      <vt:variant>
        <vt:i4>164</vt:i4>
      </vt:variant>
      <vt:variant>
        <vt:i4>0</vt:i4>
      </vt:variant>
      <vt:variant>
        <vt:i4>5</vt:i4>
      </vt:variant>
      <vt:variant>
        <vt:lpwstr/>
      </vt:variant>
      <vt:variant>
        <vt:lpwstr>_Toc305153108</vt:lpwstr>
      </vt:variant>
      <vt:variant>
        <vt:i4>1376306</vt:i4>
      </vt:variant>
      <vt:variant>
        <vt:i4>158</vt:i4>
      </vt:variant>
      <vt:variant>
        <vt:i4>0</vt:i4>
      </vt:variant>
      <vt:variant>
        <vt:i4>5</vt:i4>
      </vt:variant>
      <vt:variant>
        <vt:lpwstr/>
      </vt:variant>
      <vt:variant>
        <vt:lpwstr>_Toc305153107</vt:lpwstr>
      </vt:variant>
      <vt:variant>
        <vt:i4>1376306</vt:i4>
      </vt:variant>
      <vt:variant>
        <vt:i4>152</vt:i4>
      </vt:variant>
      <vt:variant>
        <vt:i4>0</vt:i4>
      </vt:variant>
      <vt:variant>
        <vt:i4>5</vt:i4>
      </vt:variant>
      <vt:variant>
        <vt:lpwstr/>
      </vt:variant>
      <vt:variant>
        <vt:lpwstr>_Toc305153106</vt:lpwstr>
      </vt:variant>
      <vt:variant>
        <vt:i4>1376306</vt:i4>
      </vt:variant>
      <vt:variant>
        <vt:i4>146</vt:i4>
      </vt:variant>
      <vt:variant>
        <vt:i4>0</vt:i4>
      </vt:variant>
      <vt:variant>
        <vt:i4>5</vt:i4>
      </vt:variant>
      <vt:variant>
        <vt:lpwstr/>
      </vt:variant>
      <vt:variant>
        <vt:lpwstr>_Toc305153105</vt:lpwstr>
      </vt:variant>
      <vt:variant>
        <vt:i4>1376306</vt:i4>
      </vt:variant>
      <vt:variant>
        <vt:i4>140</vt:i4>
      </vt:variant>
      <vt:variant>
        <vt:i4>0</vt:i4>
      </vt:variant>
      <vt:variant>
        <vt:i4>5</vt:i4>
      </vt:variant>
      <vt:variant>
        <vt:lpwstr/>
      </vt:variant>
      <vt:variant>
        <vt:lpwstr>_Toc305153104</vt:lpwstr>
      </vt:variant>
      <vt:variant>
        <vt:i4>1376306</vt:i4>
      </vt:variant>
      <vt:variant>
        <vt:i4>134</vt:i4>
      </vt:variant>
      <vt:variant>
        <vt:i4>0</vt:i4>
      </vt:variant>
      <vt:variant>
        <vt:i4>5</vt:i4>
      </vt:variant>
      <vt:variant>
        <vt:lpwstr/>
      </vt:variant>
      <vt:variant>
        <vt:lpwstr>_Toc305153103</vt:lpwstr>
      </vt:variant>
      <vt:variant>
        <vt:i4>1376306</vt:i4>
      </vt:variant>
      <vt:variant>
        <vt:i4>128</vt:i4>
      </vt:variant>
      <vt:variant>
        <vt:i4>0</vt:i4>
      </vt:variant>
      <vt:variant>
        <vt:i4>5</vt:i4>
      </vt:variant>
      <vt:variant>
        <vt:lpwstr/>
      </vt:variant>
      <vt:variant>
        <vt:lpwstr>_Toc305153102</vt:lpwstr>
      </vt:variant>
      <vt:variant>
        <vt:i4>1376306</vt:i4>
      </vt:variant>
      <vt:variant>
        <vt:i4>122</vt:i4>
      </vt:variant>
      <vt:variant>
        <vt:i4>0</vt:i4>
      </vt:variant>
      <vt:variant>
        <vt:i4>5</vt:i4>
      </vt:variant>
      <vt:variant>
        <vt:lpwstr/>
      </vt:variant>
      <vt:variant>
        <vt:lpwstr>_Toc305153101</vt:lpwstr>
      </vt:variant>
      <vt:variant>
        <vt:i4>1376306</vt:i4>
      </vt:variant>
      <vt:variant>
        <vt:i4>116</vt:i4>
      </vt:variant>
      <vt:variant>
        <vt:i4>0</vt:i4>
      </vt:variant>
      <vt:variant>
        <vt:i4>5</vt:i4>
      </vt:variant>
      <vt:variant>
        <vt:lpwstr/>
      </vt:variant>
      <vt:variant>
        <vt:lpwstr>_Toc305153100</vt:lpwstr>
      </vt:variant>
      <vt:variant>
        <vt:i4>1835059</vt:i4>
      </vt:variant>
      <vt:variant>
        <vt:i4>110</vt:i4>
      </vt:variant>
      <vt:variant>
        <vt:i4>0</vt:i4>
      </vt:variant>
      <vt:variant>
        <vt:i4>5</vt:i4>
      </vt:variant>
      <vt:variant>
        <vt:lpwstr/>
      </vt:variant>
      <vt:variant>
        <vt:lpwstr>_Toc305153099</vt:lpwstr>
      </vt:variant>
      <vt:variant>
        <vt:i4>1835059</vt:i4>
      </vt:variant>
      <vt:variant>
        <vt:i4>104</vt:i4>
      </vt:variant>
      <vt:variant>
        <vt:i4>0</vt:i4>
      </vt:variant>
      <vt:variant>
        <vt:i4>5</vt:i4>
      </vt:variant>
      <vt:variant>
        <vt:lpwstr/>
      </vt:variant>
      <vt:variant>
        <vt:lpwstr>_Toc305153098</vt:lpwstr>
      </vt:variant>
      <vt:variant>
        <vt:i4>1835059</vt:i4>
      </vt:variant>
      <vt:variant>
        <vt:i4>98</vt:i4>
      </vt:variant>
      <vt:variant>
        <vt:i4>0</vt:i4>
      </vt:variant>
      <vt:variant>
        <vt:i4>5</vt:i4>
      </vt:variant>
      <vt:variant>
        <vt:lpwstr/>
      </vt:variant>
      <vt:variant>
        <vt:lpwstr>_Toc305153097</vt:lpwstr>
      </vt:variant>
      <vt:variant>
        <vt:i4>1835059</vt:i4>
      </vt:variant>
      <vt:variant>
        <vt:i4>92</vt:i4>
      </vt:variant>
      <vt:variant>
        <vt:i4>0</vt:i4>
      </vt:variant>
      <vt:variant>
        <vt:i4>5</vt:i4>
      </vt:variant>
      <vt:variant>
        <vt:lpwstr/>
      </vt:variant>
      <vt:variant>
        <vt:lpwstr>_Toc305153096</vt:lpwstr>
      </vt:variant>
      <vt:variant>
        <vt:i4>1835059</vt:i4>
      </vt:variant>
      <vt:variant>
        <vt:i4>86</vt:i4>
      </vt:variant>
      <vt:variant>
        <vt:i4>0</vt:i4>
      </vt:variant>
      <vt:variant>
        <vt:i4>5</vt:i4>
      </vt:variant>
      <vt:variant>
        <vt:lpwstr/>
      </vt:variant>
      <vt:variant>
        <vt:lpwstr>_Toc305153095</vt:lpwstr>
      </vt:variant>
      <vt:variant>
        <vt:i4>1835059</vt:i4>
      </vt:variant>
      <vt:variant>
        <vt:i4>80</vt:i4>
      </vt:variant>
      <vt:variant>
        <vt:i4>0</vt:i4>
      </vt:variant>
      <vt:variant>
        <vt:i4>5</vt:i4>
      </vt:variant>
      <vt:variant>
        <vt:lpwstr/>
      </vt:variant>
      <vt:variant>
        <vt:lpwstr>_Toc305153094</vt:lpwstr>
      </vt:variant>
      <vt:variant>
        <vt:i4>1835059</vt:i4>
      </vt:variant>
      <vt:variant>
        <vt:i4>74</vt:i4>
      </vt:variant>
      <vt:variant>
        <vt:i4>0</vt:i4>
      </vt:variant>
      <vt:variant>
        <vt:i4>5</vt:i4>
      </vt:variant>
      <vt:variant>
        <vt:lpwstr/>
      </vt:variant>
      <vt:variant>
        <vt:lpwstr>_Toc305153093</vt:lpwstr>
      </vt:variant>
      <vt:variant>
        <vt:i4>1835059</vt:i4>
      </vt:variant>
      <vt:variant>
        <vt:i4>68</vt:i4>
      </vt:variant>
      <vt:variant>
        <vt:i4>0</vt:i4>
      </vt:variant>
      <vt:variant>
        <vt:i4>5</vt:i4>
      </vt:variant>
      <vt:variant>
        <vt:lpwstr/>
      </vt:variant>
      <vt:variant>
        <vt:lpwstr>_Toc305153092</vt:lpwstr>
      </vt:variant>
      <vt:variant>
        <vt:i4>1835059</vt:i4>
      </vt:variant>
      <vt:variant>
        <vt:i4>62</vt:i4>
      </vt:variant>
      <vt:variant>
        <vt:i4>0</vt:i4>
      </vt:variant>
      <vt:variant>
        <vt:i4>5</vt:i4>
      </vt:variant>
      <vt:variant>
        <vt:lpwstr/>
      </vt:variant>
      <vt:variant>
        <vt:lpwstr>_Toc305153091</vt:lpwstr>
      </vt:variant>
      <vt:variant>
        <vt:i4>1835059</vt:i4>
      </vt:variant>
      <vt:variant>
        <vt:i4>56</vt:i4>
      </vt:variant>
      <vt:variant>
        <vt:i4>0</vt:i4>
      </vt:variant>
      <vt:variant>
        <vt:i4>5</vt:i4>
      </vt:variant>
      <vt:variant>
        <vt:lpwstr/>
      </vt:variant>
      <vt:variant>
        <vt:lpwstr>_Toc305153090</vt:lpwstr>
      </vt:variant>
      <vt:variant>
        <vt:i4>1900595</vt:i4>
      </vt:variant>
      <vt:variant>
        <vt:i4>50</vt:i4>
      </vt:variant>
      <vt:variant>
        <vt:i4>0</vt:i4>
      </vt:variant>
      <vt:variant>
        <vt:i4>5</vt:i4>
      </vt:variant>
      <vt:variant>
        <vt:lpwstr/>
      </vt:variant>
      <vt:variant>
        <vt:lpwstr>_Toc305153089</vt:lpwstr>
      </vt:variant>
      <vt:variant>
        <vt:i4>1900595</vt:i4>
      </vt:variant>
      <vt:variant>
        <vt:i4>44</vt:i4>
      </vt:variant>
      <vt:variant>
        <vt:i4>0</vt:i4>
      </vt:variant>
      <vt:variant>
        <vt:i4>5</vt:i4>
      </vt:variant>
      <vt:variant>
        <vt:lpwstr/>
      </vt:variant>
      <vt:variant>
        <vt:lpwstr>_Toc305153088</vt:lpwstr>
      </vt:variant>
      <vt:variant>
        <vt:i4>1900595</vt:i4>
      </vt:variant>
      <vt:variant>
        <vt:i4>38</vt:i4>
      </vt:variant>
      <vt:variant>
        <vt:i4>0</vt:i4>
      </vt:variant>
      <vt:variant>
        <vt:i4>5</vt:i4>
      </vt:variant>
      <vt:variant>
        <vt:lpwstr/>
      </vt:variant>
      <vt:variant>
        <vt:lpwstr>_Toc305153087</vt:lpwstr>
      </vt:variant>
      <vt:variant>
        <vt:i4>1900595</vt:i4>
      </vt:variant>
      <vt:variant>
        <vt:i4>32</vt:i4>
      </vt:variant>
      <vt:variant>
        <vt:i4>0</vt:i4>
      </vt:variant>
      <vt:variant>
        <vt:i4>5</vt:i4>
      </vt:variant>
      <vt:variant>
        <vt:lpwstr/>
      </vt:variant>
      <vt:variant>
        <vt:lpwstr>_Toc305153086</vt:lpwstr>
      </vt:variant>
      <vt:variant>
        <vt:i4>1900595</vt:i4>
      </vt:variant>
      <vt:variant>
        <vt:i4>26</vt:i4>
      </vt:variant>
      <vt:variant>
        <vt:i4>0</vt:i4>
      </vt:variant>
      <vt:variant>
        <vt:i4>5</vt:i4>
      </vt:variant>
      <vt:variant>
        <vt:lpwstr/>
      </vt:variant>
      <vt:variant>
        <vt:lpwstr>_Toc305153085</vt:lpwstr>
      </vt:variant>
      <vt:variant>
        <vt:i4>1900595</vt:i4>
      </vt:variant>
      <vt:variant>
        <vt:i4>20</vt:i4>
      </vt:variant>
      <vt:variant>
        <vt:i4>0</vt:i4>
      </vt:variant>
      <vt:variant>
        <vt:i4>5</vt:i4>
      </vt:variant>
      <vt:variant>
        <vt:lpwstr/>
      </vt:variant>
      <vt:variant>
        <vt:lpwstr>_Toc305153084</vt:lpwstr>
      </vt:variant>
      <vt:variant>
        <vt:i4>1900595</vt:i4>
      </vt:variant>
      <vt:variant>
        <vt:i4>14</vt:i4>
      </vt:variant>
      <vt:variant>
        <vt:i4>0</vt:i4>
      </vt:variant>
      <vt:variant>
        <vt:i4>5</vt:i4>
      </vt:variant>
      <vt:variant>
        <vt:lpwstr/>
      </vt:variant>
      <vt:variant>
        <vt:lpwstr>_Toc305153083</vt:lpwstr>
      </vt:variant>
      <vt:variant>
        <vt:i4>1900595</vt:i4>
      </vt:variant>
      <vt:variant>
        <vt:i4>8</vt:i4>
      </vt:variant>
      <vt:variant>
        <vt:i4>0</vt:i4>
      </vt:variant>
      <vt:variant>
        <vt:i4>5</vt:i4>
      </vt:variant>
      <vt:variant>
        <vt:lpwstr/>
      </vt:variant>
      <vt:variant>
        <vt:lpwstr>_Toc305153082</vt:lpwstr>
      </vt:variant>
      <vt:variant>
        <vt:i4>1900595</vt:i4>
      </vt:variant>
      <vt:variant>
        <vt:i4>2</vt:i4>
      </vt:variant>
      <vt:variant>
        <vt:i4>0</vt:i4>
      </vt:variant>
      <vt:variant>
        <vt:i4>5</vt:i4>
      </vt:variant>
      <vt:variant>
        <vt:lpwstr/>
      </vt:variant>
      <vt:variant>
        <vt:lpwstr>_Toc305153081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fsh8@cdc.gov</dc:creator>
  <cp:lastModifiedBy>OS Reviewer</cp:lastModifiedBy>
  <cp:revision>3</cp:revision>
  <cp:lastPrinted>2013-09-11T19:37:00Z</cp:lastPrinted>
  <dcterms:created xsi:type="dcterms:W3CDTF">2013-10-29T17:32:00Z</dcterms:created>
  <dcterms:modified xsi:type="dcterms:W3CDTF">2013-10-29T17:33:00Z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-1057827294</vt:i4>
  </property>
  <property fmtid="{D5CDD505-2E9C-101B-9397-08002B2CF9AE}" pid="4" name="_EmailSubject">
    <vt:lpwstr>Revisions to 0923-12RO Anniston Follow-up Study after Monday October 21, 2013 Conference Call</vt:lpwstr>
  </property>
  <property fmtid="{D5CDD505-2E9C-101B-9397-08002B2CF9AE}" pid="5" name="_AuthorEmail">
    <vt:lpwstr>Cortney_Higgins@omb.eop.gov</vt:lpwstr>
  </property>
  <property fmtid="{D5CDD505-2E9C-101B-9397-08002B2CF9AE}" pid="6" name="_AuthorEmailDisplayName">
    <vt:lpwstr>Higgins, Cortney</vt:lpwstr>
  </property>
</Properties>
</file>