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29" w:rsidRPr="00857BA7" w:rsidRDefault="003C3229" w:rsidP="009F5D80">
      <w:pPr>
        <w:ind w:left="720" w:firstLine="720"/>
        <w:jc w:val="center"/>
        <w:rPr>
          <w:b/>
        </w:rPr>
      </w:pPr>
      <w:r w:rsidRPr="00857BA7">
        <w:rPr>
          <w:b/>
        </w:rPr>
        <w:t xml:space="preserve">Supporting Statement </w:t>
      </w:r>
      <w:r w:rsidR="00DC016C">
        <w:rPr>
          <w:b/>
        </w:rPr>
        <w:t>A</w:t>
      </w:r>
    </w:p>
    <w:p w:rsidR="003C3229" w:rsidRPr="00857BA7" w:rsidRDefault="003C3229" w:rsidP="00BA54DD">
      <w:pPr>
        <w:ind w:left="720"/>
        <w:jc w:val="center"/>
        <w:rPr>
          <w:b/>
        </w:rPr>
      </w:pPr>
    </w:p>
    <w:p w:rsidR="003C3229" w:rsidRPr="00857BA7" w:rsidRDefault="003C3229" w:rsidP="00BA54DD">
      <w:pPr>
        <w:ind w:left="720"/>
        <w:jc w:val="center"/>
        <w:rPr>
          <w:b/>
        </w:rPr>
      </w:pPr>
    </w:p>
    <w:p w:rsidR="003C3229" w:rsidRPr="00857BA7" w:rsidRDefault="003C3229" w:rsidP="00BA54DD">
      <w:pPr>
        <w:ind w:left="720"/>
        <w:jc w:val="center"/>
        <w:rPr>
          <w:b/>
        </w:rPr>
      </w:pPr>
      <w:proofErr w:type="gramStart"/>
      <w:r w:rsidRPr="00857BA7">
        <w:rPr>
          <w:b/>
        </w:rPr>
        <w:t>for</w:t>
      </w:r>
      <w:proofErr w:type="gramEnd"/>
    </w:p>
    <w:p w:rsidR="003C3229" w:rsidRPr="00857BA7" w:rsidRDefault="003C3229" w:rsidP="00BA54DD">
      <w:pPr>
        <w:ind w:left="720"/>
        <w:rPr>
          <w:b/>
        </w:rPr>
      </w:pPr>
    </w:p>
    <w:p w:rsidR="0095467F" w:rsidRPr="00857BA7" w:rsidRDefault="001C5830" w:rsidP="00BA54DD">
      <w:pPr>
        <w:ind w:left="720"/>
        <w:jc w:val="center"/>
        <w:rPr>
          <w:b/>
        </w:rPr>
      </w:pPr>
      <w:r w:rsidRPr="00857BA7">
        <w:rPr>
          <w:b/>
        </w:rPr>
        <w:t>Formative Research to Support the Development of Sickle Cell Disease Educational Messages and Materials for the Division of Blood Disorders</w:t>
      </w:r>
    </w:p>
    <w:p w:rsidR="001C5830" w:rsidRPr="00857BA7" w:rsidRDefault="001C5830" w:rsidP="00CD1D04">
      <w:pPr>
        <w:rPr>
          <w:b/>
        </w:rPr>
      </w:pPr>
    </w:p>
    <w:p w:rsidR="00102F0E" w:rsidRPr="00857BA7" w:rsidRDefault="00102F0E" w:rsidP="00CD1D04">
      <w:pPr>
        <w:rPr>
          <w:b/>
        </w:rPr>
      </w:pPr>
    </w:p>
    <w:p w:rsidR="003C3229" w:rsidRPr="00857BA7" w:rsidRDefault="00343699" w:rsidP="003C3229">
      <w:pPr>
        <w:jc w:val="center"/>
        <w:rPr>
          <w:b/>
        </w:rPr>
      </w:pPr>
      <w:r>
        <w:rPr>
          <w:b/>
        </w:rPr>
        <w:t xml:space="preserve">Request for </w:t>
      </w:r>
      <w:r w:rsidR="0058382D">
        <w:rPr>
          <w:b/>
        </w:rPr>
        <w:t>Reinstatement</w:t>
      </w:r>
      <w:r w:rsidR="00430AFB">
        <w:rPr>
          <w:b/>
        </w:rPr>
        <w:t xml:space="preserve"> </w:t>
      </w:r>
    </w:p>
    <w:p w:rsidR="003C3229" w:rsidRPr="00857BA7" w:rsidRDefault="003C3229" w:rsidP="00CD1D04">
      <w:pPr>
        <w:rPr>
          <w:b/>
        </w:rPr>
      </w:pPr>
    </w:p>
    <w:p w:rsidR="003C3229" w:rsidRPr="00857BA7" w:rsidRDefault="003C3229" w:rsidP="00CD1D04">
      <w:pPr>
        <w:rPr>
          <w:b/>
        </w:rPr>
      </w:pPr>
    </w:p>
    <w:p w:rsidR="003C3229" w:rsidRPr="00857BA7" w:rsidRDefault="003C3229" w:rsidP="00CD1D04">
      <w:pPr>
        <w:rPr>
          <w:b/>
        </w:rPr>
      </w:pPr>
    </w:p>
    <w:p w:rsidR="003C3229" w:rsidRPr="00857BA7" w:rsidRDefault="003C3229" w:rsidP="00CD1D04">
      <w:pPr>
        <w:rPr>
          <w:b/>
        </w:rPr>
      </w:pPr>
    </w:p>
    <w:p w:rsidR="00102F0E" w:rsidRPr="00857BA7" w:rsidRDefault="00102F0E" w:rsidP="00CD1D04">
      <w:pPr>
        <w:rPr>
          <w:b/>
        </w:rPr>
      </w:pPr>
    </w:p>
    <w:p w:rsidR="0058382D" w:rsidRDefault="0058382D" w:rsidP="007D30C7">
      <w:pPr>
        <w:rPr>
          <w:rFonts w:cs="Calibri"/>
          <w:noProof/>
          <w:color w:val="1F497D"/>
        </w:rPr>
      </w:pPr>
    </w:p>
    <w:p w:rsidR="0058382D" w:rsidRDefault="0058382D" w:rsidP="007D30C7">
      <w:pPr>
        <w:rPr>
          <w:rFonts w:cs="Calibri"/>
          <w:noProof/>
          <w:color w:val="1F497D"/>
        </w:rPr>
      </w:pPr>
    </w:p>
    <w:p w:rsidR="0058382D" w:rsidRDefault="0058382D" w:rsidP="007D30C7">
      <w:pPr>
        <w:rPr>
          <w:rFonts w:cs="Calibri"/>
          <w:noProof/>
          <w:color w:val="1F497D"/>
        </w:rPr>
      </w:pPr>
    </w:p>
    <w:p w:rsidR="0058382D" w:rsidRDefault="0058382D" w:rsidP="007D30C7">
      <w:pPr>
        <w:rPr>
          <w:rFonts w:cs="Calibri"/>
          <w:noProof/>
          <w:color w:val="1F497D"/>
        </w:rPr>
      </w:pPr>
    </w:p>
    <w:p w:rsidR="0058382D" w:rsidRDefault="0058382D" w:rsidP="007D30C7">
      <w:pPr>
        <w:rPr>
          <w:rFonts w:cs="Calibri"/>
          <w:noProof/>
          <w:color w:val="1F497D"/>
        </w:rPr>
      </w:pPr>
    </w:p>
    <w:p w:rsidR="0058382D" w:rsidRDefault="0058382D" w:rsidP="007D30C7">
      <w:pPr>
        <w:rPr>
          <w:rFonts w:cs="Calibri"/>
          <w:noProof/>
          <w:color w:val="1F497D"/>
        </w:rPr>
      </w:pPr>
    </w:p>
    <w:p w:rsidR="007D30C7" w:rsidRDefault="007D30C7" w:rsidP="007D30C7">
      <w:pPr>
        <w:rPr>
          <w:rFonts w:cs="Calibri"/>
          <w:noProof/>
          <w:color w:val="1F497D"/>
        </w:rPr>
      </w:pPr>
      <w:r>
        <w:rPr>
          <w:rFonts w:cs="Calibri"/>
          <w:noProof/>
          <w:color w:val="1F497D"/>
        </w:rPr>
        <w:t>JoAnn M. Thierry, PhD</w:t>
      </w:r>
    </w:p>
    <w:p w:rsidR="007D30C7" w:rsidRDefault="007D30C7" w:rsidP="007D30C7">
      <w:pPr>
        <w:rPr>
          <w:rFonts w:cs="Calibri"/>
          <w:noProof/>
          <w:color w:val="1F497D"/>
        </w:rPr>
      </w:pPr>
      <w:r>
        <w:rPr>
          <w:rFonts w:cs="Calibri"/>
          <w:noProof/>
          <w:color w:val="1F497D"/>
        </w:rPr>
        <w:t>Team Leader</w:t>
      </w:r>
    </w:p>
    <w:p w:rsidR="007D30C7" w:rsidRDefault="007D30C7" w:rsidP="007D30C7">
      <w:pPr>
        <w:rPr>
          <w:rFonts w:cs="Calibri"/>
          <w:noProof/>
          <w:color w:val="1F497D"/>
        </w:rPr>
      </w:pPr>
      <w:r>
        <w:rPr>
          <w:rFonts w:cs="Calibri"/>
          <w:noProof/>
          <w:color w:val="1F497D"/>
        </w:rPr>
        <w:t>Prevention Research Team</w:t>
      </w:r>
    </w:p>
    <w:p w:rsidR="007D30C7" w:rsidRDefault="007D30C7" w:rsidP="007D30C7">
      <w:pPr>
        <w:rPr>
          <w:rFonts w:cs="Calibri"/>
          <w:noProof/>
          <w:color w:val="1F497D"/>
        </w:rPr>
      </w:pPr>
      <w:r>
        <w:rPr>
          <w:rFonts w:cs="Calibri"/>
          <w:noProof/>
          <w:color w:val="1F497D"/>
        </w:rPr>
        <w:t>Division of Blood Disorders</w:t>
      </w:r>
    </w:p>
    <w:p w:rsidR="007D30C7" w:rsidRDefault="007D30C7" w:rsidP="007D30C7">
      <w:pPr>
        <w:rPr>
          <w:rFonts w:cs="Calibri"/>
          <w:noProof/>
          <w:color w:val="1F497D"/>
        </w:rPr>
      </w:pPr>
      <w:r>
        <w:rPr>
          <w:rFonts w:cs="Calibri"/>
          <w:noProof/>
          <w:color w:val="1F497D"/>
        </w:rPr>
        <w:t>National Center on Birth Defects and Developmental Disabilities</w:t>
      </w:r>
    </w:p>
    <w:p w:rsidR="007D30C7" w:rsidRDefault="007D30C7" w:rsidP="007D30C7">
      <w:pPr>
        <w:rPr>
          <w:rFonts w:cs="Calibri"/>
          <w:noProof/>
          <w:color w:val="1F497D"/>
        </w:rPr>
      </w:pPr>
      <w:r>
        <w:rPr>
          <w:rFonts w:cs="Calibri"/>
          <w:noProof/>
          <w:color w:val="1F497D"/>
        </w:rPr>
        <w:t>Centers for Disease Control and Prevention</w:t>
      </w:r>
    </w:p>
    <w:p w:rsidR="007D30C7" w:rsidRDefault="007D30C7" w:rsidP="007D30C7">
      <w:pPr>
        <w:rPr>
          <w:rFonts w:cs="Calibri"/>
          <w:noProof/>
          <w:color w:val="1F497D"/>
        </w:rPr>
      </w:pPr>
      <w:r>
        <w:rPr>
          <w:rFonts w:cs="Calibri"/>
          <w:noProof/>
          <w:color w:val="1F497D"/>
        </w:rPr>
        <w:t>1600 Clifton Road, MS E-64</w:t>
      </w:r>
    </w:p>
    <w:p w:rsidR="007D30C7" w:rsidRDefault="007D30C7" w:rsidP="007D30C7">
      <w:pPr>
        <w:rPr>
          <w:rFonts w:cs="Calibri"/>
          <w:noProof/>
          <w:color w:val="1F497D"/>
        </w:rPr>
      </w:pPr>
      <w:r>
        <w:rPr>
          <w:rFonts w:cs="Calibri"/>
          <w:noProof/>
          <w:color w:val="1F497D"/>
        </w:rPr>
        <w:t>Atlanta, GA 30333</w:t>
      </w:r>
    </w:p>
    <w:p w:rsidR="007D30C7" w:rsidRDefault="00D44B7A" w:rsidP="007D30C7">
      <w:pPr>
        <w:rPr>
          <w:rFonts w:cs="Calibri"/>
          <w:noProof/>
          <w:color w:val="1F497D"/>
        </w:rPr>
      </w:pPr>
      <w:hyperlink r:id="rId9" w:history="1">
        <w:r w:rsidR="007D30C7">
          <w:rPr>
            <w:rStyle w:val="Hyperlink"/>
            <w:rFonts w:cs="Calibri"/>
            <w:noProof/>
          </w:rPr>
          <w:t>Jxt4@cdc.gov</w:t>
        </w:r>
      </w:hyperlink>
    </w:p>
    <w:p w:rsidR="007D30C7" w:rsidRDefault="007D30C7" w:rsidP="007D30C7">
      <w:pPr>
        <w:rPr>
          <w:rFonts w:cs="Calibri"/>
          <w:noProof/>
          <w:color w:val="1F497D"/>
        </w:rPr>
      </w:pPr>
      <w:r>
        <w:rPr>
          <w:rFonts w:cs="Calibri"/>
          <w:noProof/>
          <w:color w:val="1F497D"/>
        </w:rPr>
        <w:t>Phone:  404-498-6730</w:t>
      </w:r>
    </w:p>
    <w:p w:rsidR="007D30C7" w:rsidRDefault="007D30C7" w:rsidP="007D30C7">
      <w:pPr>
        <w:rPr>
          <w:rFonts w:cs="Calibri"/>
          <w:noProof/>
          <w:color w:val="1F497D"/>
        </w:rPr>
      </w:pPr>
      <w:r>
        <w:rPr>
          <w:rFonts w:cs="Calibri"/>
          <w:noProof/>
          <w:color w:val="1F497D"/>
        </w:rPr>
        <w:t>Fax: 404-498-6799</w:t>
      </w:r>
    </w:p>
    <w:p w:rsidR="00102F0E" w:rsidRPr="00A5438B" w:rsidRDefault="00102F0E" w:rsidP="00CD1D04"/>
    <w:p w:rsidR="0058382D" w:rsidRDefault="0058382D" w:rsidP="003C3229"/>
    <w:p w:rsidR="00AE3492" w:rsidRPr="00A5438B" w:rsidRDefault="00944F3F" w:rsidP="003C3229">
      <w:r>
        <w:t>May 6</w:t>
      </w:r>
      <w:r w:rsidR="008E1CC5">
        <w:t>, 2013</w:t>
      </w:r>
    </w:p>
    <w:p w:rsidR="00A5438B" w:rsidRDefault="00A5438B" w:rsidP="003C3229">
      <w:pPr>
        <w:rPr>
          <w:b/>
        </w:rPr>
      </w:pPr>
    </w:p>
    <w:p w:rsidR="00A5438B" w:rsidRDefault="00A5438B" w:rsidP="003C3229">
      <w:pPr>
        <w:rPr>
          <w:b/>
        </w:rPr>
      </w:pPr>
    </w:p>
    <w:p w:rsidR="00A5438B" w:rsidRDefault="00A5438B" w:rsidP="003C3229">
      <w:pPr>
        <w:rPr>
          <w:b/>
        </w:rPr>
      </w:pPr>
      <w:bookmarkStart w:id="0" w:name="_GoBack"/>
      <w:bookmarkEnd w:id="0"/>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A5438B" w:rsidRDefault="00A5438B" w:rsidP="003C3229">
      <w:pPr>
        <w:rPr>
          <w:b/>
        </w:rPr>
      </w:pPr>
    </w:p>
    <w:p w:rsidR="00B349FF" w:rsidRPr="00480E0D" w:rsidRDefault="00B349FF" w:rsidP="00B349FF">
      <w:pPr>
        <w:jc w:val="center"/>
        <w:rPr>
          <w:b/>
        </w:rPr>
      </w:pPr>
      <w:r w:rsidRPr="00480E0D">
        <w:rPr>
          <w:b/>
        </w:rPr>
        <w:lastRenderedPageBreak/>
        <w:t xml:space="preserve">Table of Contents  </w:t>
      </w:r>
    </w:p>
    <w:p w:rsidR="00B349FF" w:rsidRPr="00480E0D" w:rsidRDefault="00B349FF" w:rsidP="00B349FF">
      <w:pPr>
        <w:rPr>
          <w:rFonts w:ascii="Courier New" w:hAnsi="Courier New" w:cs="Courier New"/>
          <w:b/>
        </w:rPr>
      </w:pPr>
      <w:r w:rsidRPr="00480E0D">
        <w:rPr>
          <w:rFonts w:ascii="Courier New" w:hAnsi="Courier New" w:cs="Courier New"/>
          <w:b/>
        </w:rPr>
        <w:tab/>
      </w:r>
    </w:p>
    <w:p w:rsidR="00B349FF" w:rsidRPr="00480E0D" w:rsidRDefault="00B349FF" w:rsidP="00B349FF">
      <w:pPr>
        <w:rPr>
          <w:b/>
          <w:u w:val="single"/>
        </w:rPr>
      </w:pPr>
      <w:r w:rsidRPr="00480E0D">
        <w:rPr>
          <w:b/>
          <w:u w:val="single"/>
        </w:rPr>
        <w:t xml:space="preserve">A. </w:t>
      </w:r>
      <w:r w:rsidRPr="00480E0D">
        <w:rPr>
          <w:b/>
          <w:u w:val="single"/>
        </w:rPr>
        <w:tab/>
        <w:t>Justification</w:t>
      </w:r>
    </w:p>
    <w:p w:rsidR="00B349FF" w:rsidRPr="00480E0D" w:rsidRDefault="00B349FF" w:rsidP="00B349FF">
      <w:pPr>
        <w:rPr>
          <w:b/>
        </w:rPr>
      </w:pPr>
    </w:p>
    <w:p w:rsidR="00B349FF" w:rsidRPr="00480E0D" w:rsidRDefault="00B349FF" w:rsidP="00B349FF">
      <w:pPr>
        <w:ind w:left="720" w:hanging="720"/>
        <w:rPr>
          <w:bCs/>
        </w:rPr>
      </w:pPr>
      <w:r w:rsidRPr="00480E0D">
        <w:rPr>
          <w:bCs/>
        </w:rPr>
        <w:t xml:space="preserve">A.1. </w:t>
      </w:r>
      <w:r w:rsidRPr="00480E0D">
        <w:rPr>
          <w:bCs/>
        </w:rPr>
        <w:tab/>
        <w:t>Circumstances Making the Collection of Information Necessary</w:t>
      </w:r>
    </w:p>
    <w:p w:rsidR="00B349FF" w:rsidRPr="00480E0D" w:rsidRDefault="00B349FF" w:rsidP="00B349FF">
      <w:pPr>
        <w:keepNext/>
        <w:outlineLvl w:val="1"/>
        <w:rPr>
          <w:bCs/>
        </w:rPr>
      </w:pPr>
      <w:r w:rsidRPr="00480E0D">
        <w:rPr>
          <w:bCs/>
        </w:rPr>
        <w:t xml:space="preserve">A.2.  </w:t>
      </w:r>
      <w:r w:rsidRPr="00480E0D">
        <w:rPr>
          <w:bCs/>
        </w:rPr>
        <w:tab/>
        <w:t xml:space="preserve">Purpose and Use of Information Collection      </w:t>
      </w:r>
    </w:p>
    <w:p w:rsidR="00B349FF" w:rsidRPr="00480E0D" w:rsidRDefault="00B349FF" w:rsidP="00B349FF">
      <w:pPr>
        <w:ind w:left="720" w:hanging="720"/>
        <w:rPr>
          <w:bCs/>
        </w:rPr>
      </w:pPr>
      <w:r w:rsidRPr="00480E0D">
        <w:rPr>
          <w:bCs/>
        </w:rPr>
        <w:t xml:space="preserve">A.3.  </w:t>
      </w:r>
      <w:r w:rsidRPr="00480E0D">
        <w:rPr>
          <w:bCs/>
        </w:rPr>
        <w:tab/>
        <w:t>Use of Improved Information Technology and Burden Reduction</w:t>
      </w:r>
    </w:p>
    <w:p w:rsidR="00B349FF" w:rsidRPr="00480E0D" w:rsidRDefault="00B349FF" w:rsidP="00B349FF">
      <w:pPr>
        <w:ind w:left="720" w:hanging="720"/>
        <w:rPr>
          <w:bCs/>
        </w:rPr>
      </w:pPr>
      <w:r w:rsidRPr="00480E0D">
        <w:rPr>
          <w:bCs/>
        </w:rPr>
        <w:t xml:space="preserve">A.4.  </w:t>
      </w:r>
      <w:r w:rsidRPr="00480E0D">
        <w:rPr>
          <w:bCs/>
        </w:rPr>
        <w:tab/>
        <w:t>Efforts to Identify Duplication and Use of Similar Information</w:t>
      </w:r>
    </w:p>
    <w:p w:rsidR="00B349FF" w:rsidRPr="00480E0D" w:rsidRDefault="00B349FF" w:rsidP="00B349FF">
      <w:pPr>
        <w:rPr>
          <w:bCs/>
        </w:rPr>
      </w:pPr>
      <w:r w:rsidRPr="00480E0D">
        <w:rPr>
          <w:bCs/>
        </w:rPr>
        <w:t xml:space="preserve">A.5.  </w:t>
      </w:r>
      <w:r w:rsidRPr="00480E0D">
        <w:rPr>
          <w:bCs/>
        </w:rPr>
        <w:tab/>
        <w:t xml:space="preserve">Impact on Small Businesses or Other Small Entities </w:t>
      </w:r>
    </w:p>
    <w:p w:rsidR="00B349FF" w:rsidRPr="00480E0D" w:rsidRDefault="00B349FF" w:rsidP="00B349FF">
      <w:pPr>
        <w:rPr>
          <w:bCs/>
        </w:rPr>
      </w:pPr>
      <w:r w:rsidRPr="00480E0D">
        <w:rPr>
          <w:bCs/>
        </w:rPr>
        <w:t xml:space="preserve">A.6.  </w:t>
      </w:r>
      <w:r w:rsidRPr="00480E0D">
        <w:rPr>
          <w:bCs/>
        </w:rPr>
        <w:tab/>
        <w:t>Consequences of Collecting the Information Less Frequently</w:t>
      </w:r>
    </w:p>
    <w:p w:rsidR="00B349FF" w:rsidRPr="00480E0D" w:rsidRDefault="00B349FF" w:rsidP="00B349FF">
      <w:pPr>
        <w:rPr>
          <w:bCs/>
        </w:rPr>
      </w:pPr>
      <w:r w:rsidRPr="00480E0D">
        <w:rPr>
          <w:bCs/>
        </w:rPr>
        <w:t xml:space="preserve">A.7.  </w:t>
      </w:r>
      <w:r w:rsidRPr="00480E0D">
        <w:rPr>
          <w:bCs/>
        </w:rPr>
        <w:tab/>
        <w:t>Special Circumstances Relating to the Guidelines of 5 CFR 1320.5</w:t>
      </w:r>
    </w:p>
    <w:p w:rsidR="00B349FF" w:rsidRPr="00480E0D" w:rsidRDefault="00B349FF" w:rsidP="00B349FF">
      <w:pPr>
        <w:ind w:left="720" w:hanging="720"/>
        <w:rPr>
          <w:bCs/>
        </w:rPr>
      </w:pPr>
      <w:r w:rsidRPr="00480E0D">
        <w:rPr>
          <w:bCs/>
        </w:rPr>
        <w:t xml:space="preserve">A.8. </w:t>
      </w:r>
      <w:r w:rsidRPr="00480E0D">
        <w:rPr>
          <w:bCs/>
        </w:rPr>
        <w:tab/>
        <w:t>Comments in Response to the Federal Register Notice and Efforts to Consult Outside the Agency</w:t>
      </w:r>
    </w:p>
    <w:p w:rsidR="00B349FF" w:rsidRPr="00480E0D" w:rsidRDefault="00B349FF" w:rsidP="00B349FF">
      <w:pPr>
        <w:ind w:left="720" w:hanging="720"/>
        <w:rPr>
          <w:bCs/>
        </w:rPr>
      </w:pPr>
      <w:r w:rsidRPr="00480E0D">
        <w:rPr>
          <w:bCs/>
        </w:rPr>
        <w:t xml:space="preserve">A. 9.  </w:t>
      </w:r>
      <w:r w:rsidRPr="00480E0D">
        <w:rPr>
          <w:bCs/>
        </w:rPr>
        <w:tab/>
        <w:t>Explanation of Any Payment or Gift to Respondents</w:t>
      </w:r>
    </w:p>
    <w:p w:rsidR="00B349FF" w:rsidRPr="00480E0D" w:rsidRDefault="00B349FF" w:rsidP="00B349FF">
      <w:pPr>
        <w:ind w:left="720" w:hanging="720"/>
        <w:rPr>
          <w:bCs/>
        </w:rPr>
      </w:pPr>
      <w:r w:rsidRPr="00480E0D">
        <w:rPr>
          <w:bCs/>
        </w:rPr>
        <w:t xml:space="preserve">A.10.  </w:t>
      </w:r>
      <w:r w:rsidRPr="00480E0D">
        <w:rPr>
          <w:bCs/>
        </w:rPr>
        <w:tab/>
        <w:t>Assurance of Confidentiality Provided to Respondents</w:t>
      </w:r>
    </w:p>
    <w:p w:rsidR="00B349FF" w:rsidRPr="00480E0D" w:rsidRDefault="00B349FF" w:rsidP="00B349FF">
      <w:pPr>
        <w:rPr>
          <w:bCs/>
        </w:rPr>
      </w:pPr>
      <w:r w:rsidRPr="00480E0D">
        <w:rPr>
          <w:bCs/>
        </w:rPr>
        <w:t xml:space="preserve">A.11. </w:t>
      </w:r>
      <w:r w:rsidRPr="00480E0D">
        <w:rPr>
          <w:bCs/>
        </w:rPr>
        <w:tab/>
        <w:t>Justification for Sensitive Questions</w:t>
      </w:r>
    </w:p>
    <w:p w:rsidR="00B349FF" w:rsidRPr="00480E0D" w:rsidRDefault="00B349FF" w:rsidP="00B349FF">
      <w:pPr>
        <w:ind w:left="720" w:hanging="720"/>
        <w:rPr>
          <w:bCs/>
        </w:rPr>
      </w:pPr>
      <w:r w:rsidRPr="00480E0D">
        <w:rPr>
          <w:bCs/>
        </w:rPr>
        <w:t xml:space="preserve">A.12.  </w:t>
      </w:r>
      <w:r w:rsidRPr="00480E0D">
        <w:rPr>
          <w:bCs/>
        </w:rPr>
        <w:tab/>
        <w:t>Estimates of Annualized Burden Hours and Costs</w:t>
      </w:r>
    </w:p>
    <w:p w:rsidR="00B349FF" w:rsidRPr="00480E0D" w:rsidRDefault="00B349FF" w:rsidP="00B349FF">
      <w:pPr>
        <w:keepNext/>
        <w:jc w:val="both"/>
        <w:outlineLvl w:val="2"/>
        <w:rPr>
          <w:bCs/>
        </w:rPr>
      </w:pPr>
      <w:r w:rsidRPr="00480E0D">
        <w:rPr>
          <w:bCs/>
        </w:rPr>
        <w:t xml:space="preserve">A.13.  </w:t>
      </w:r>
      <w:r w:rsidRPr="00480E0D">
        <w:rPr>
          <w:bCs/>
        </w:rPr>
        <w:tab/>
        <w:t xml:space="preserve">Estimates of Other Total Annual Cost Burden to Respondents </w:t>
      </w:r>
      <w:r>
        <w:rPr>
          <w:bCs/>
        </w:rPr>
        <w:t>or</w:t>
      </w:r>
      <w:r w:rsidRPr="00480E0D">
        <w:rPr>
          <w:bCs/>
        </w:rPr>
        <w:t xml:space="preserve"> Record Keepers</w:t>
      </w:r>
    </w:p>
    <w:p w:rsidR="00B349FF" w:rsidRPr="00480E0D" w:rsidRDefault="00B349FF" w:rsidP="00B349FF">
      <w:pPr>
        <w:ind w:left="720" w:hanging="720"/>
        <w:rPr>
          <w:bCs/>
        </w:rPr>
      </w:pPr>
      <w:r w:rsidRPr="00480E0D">
        <w:rPr>
          <w:bCs/>
        </w:rPr>
        <w:t xml:space="preserve">A.14.  </w:t>
      </w:r>
      <w:r w:rsidRPr="00480E0D">
        <w:rPr>
          <w:bCs/>
        </w:rPr>
        <w:tab/>
        <w:t>Annualized Cost to the Government</w:t>
      </w:r>
    </w:p>
    <w:p w:rsidR="00B349FF" w:rsidRPr="00480E0D" w:rsidRDefault="00B349FF" w:rsidP="00B349FF">
      <w:pPr>
        <w:ind w:left="720" w:hanging="720"/>
        <w:rPr>
          <w:bCs/>
        </w:rPr>
      </w:pPr>
      <w:r w:rsidRPr="00480E0D">
        <w:rPr>
          <w:bCs/>
        </w:rPr>
        <w:t xml:space="preserve">A.15.  </w:t>
      </w:r>
      <w:r w:rsidRPr="00480E0D">
        <w:rPr>
          <w:bCs/>
        </w:rPr>
        <w:tab/>
        <w:t>Explanation for Program Changes or Adjustments</w:t>
      </w:r>
    </w:p>
    <w:p w:rsidR="00B349FF" w:rsidRPr="00480E0D" w:rsidRDefault="00B349FF" w:rsidP="00B349FF">
      <w:pPr>
        <w:ind w:left="720" w:hanging="720"/>
        <w:rPr>
          <w:bCs/>
        </w:rPr>
      </w:pPr>
      <w:r w:rsidRPr="00480E0D">
        <w:rPr>
          <w:bCs/>
        </w:rPr>
        <w:t xml:space="preserve">A.16.  </w:t>
      </w:r>
      <w:r w:rsidRPr="00480E0D">
        <w:rPr>
          <w:bCs/>
        </w:rPr>
        <w:tab/>
        <w:t>Plans for Tabulation and Publication and Project Time Schedule</w:t>
      </w:r>
    </w:p>
    <w:p w:rsidR="00B349FF" w:rsidRPr="00480E0D" w:rsidRDefault="00B349FF" w:rsidP="00B349FF">
      <w:r w:rsidRPr="00480E0D">
        <w:t xml:space="preserve">A.17.  </w:t>
      </w:r>
      <w:r w:rsidRPr="00480E0D">
        <w:tab/>
        <w:t xml:space="preserve">Reason(s) Display of OMB Expiration Date is Inappropriate </w:t>
      </w:r>
    </w:p>
    <w:p w:rsidR="00B349FF" w:rsidRPr="00480E0D" w:rsidRDefault="00B349FF" w:rsidP="00B349FF">
      <w:pPr>
        <w:ind w:left="360" w:hanging="360"/>
        <w:rPr>
          <w:rFonts w:ascii="Courier New" w:hAnsi="Courier New" w:cs="Courier New"/>
        </w:rPr>
      </w:pPr>
      <w:r w:rsidRPr="00480E0D">
        <w:t xml:space="preserve">A.18.  </w:t>
      </w:r>
      <w:r w:rsidRPr="00480E0D">
        <w:tab/>
        <w:t>Exceptions to Certification for Paperwork Reduction Act Submissions</w:t>
      </w:r>
    </w:p>
    <w:p w:rsidR="00B349FF" w:rsidRDefault="00B349FF" w:rsidP="00B349FF">
      <w:pPr>
        <w:rPr>
          <w:b/>
          <w:sz w:val="22"/>
          <w:szCs w:val="22"/>
        </w:rPr>
      </w:pPr>
    </w:p>
    <w:p w:rsidR="00AE3492" w:rsidRPr="00857BA7" w:rsidRDefault="00B349FF" w:rsidP="00B349FF">
      <w:pPr>
        <w:rPr>
          <w:b/>
        </w:rPr>
      </w:pPr>
      <w:r>
        <w:rPr>
          <w:b/>
          <w:sz w:val="22"/>
          <w:szCs w:val="22"/>
        </w:rPr>
        <w:br w:type="page"/>
      </w:r>
    </w:p>
    <w:p w:rsidR="00343699" w:rsidRPr="005A3E2B" w:rsidRDefault="00343699" w:rsidP="00343699">
      <w:pPr>
        <w:jc w:val="center"/>
        <w:rPr>
          <w:b/>
        </w:rPr>
      </w:pPr>
      <w:r w:rsidRPr="005A3E2B">
        <w:rPr>
          <w:b/>
        </w:rPr>
        <w:lastRenderedPageBreak/>
        <w:t xml:space="preserve">LIST OF ATTACHMENTS </w:t>
      </w:r>
    </w:p>
    <w:p w:rsidR="00343699" w:rsidRPr="005A3E2B" w:rsidRDefault="00343699" w:rsidP="00343699">
      <w:pPr>
        <w:jc w:val="center"/>
        <w:rPr>
          <w:b/>
        </w:rPr>
      </w:pPr>
      <w:r w:rsidRPr="005A3E2B">
        <w:rPr>
          <w:b/>
        </w:rPr>
        <w:t xml:space="preserve"> </w:t>
      </w:r>
    </w:p>
    <w:p w:rsidR="00343699" w:rsidRPr="005F44E3" w:rsidRDefault="00343699" w:rsidP="00343699">
      <w:pPr>
        <w:rPr>
          <w:b/>
        </w:rPr>
      </w:pPr>
      <w:r w:rsidRPr="005F44E3">
        <w:rPr>
          <w:b/>
        </w:rPr>
        <w:t>Attachment 1: Applicable Laws or Regulations</w:t>
      </w:r>
    </w:p>
    <w:p w:rsidR="00343699" w:rsidRPr="005F44E3" w:rsidRDefault="00343699" w:rsidP="00343699"/>
    <w:p w:rsidR="00343699" w:rsidRDefault="00343699" w:rsidP="00343699">
      <w:pPr>
        <w:rPr>
          <w:b/>
        </w:rPr>
      </w:pPr>
      <w:r w:rsidRPr="005F44E3">
        <w:rPr>
          <w:b/>
        </w:rPr>
        <w:t xml:space="preserve">Attachment 2:  </w:t>
      </w:r>
      <w:r>
        <w:rPr>
          <w:b/>
        </w:rPr>
        <w:t xml:space="preserve">60- Day </w:t>
      </w:r>
      <w:r w:rsidRPr="005F44E3">
        <w:rPr>
          <w:b/>
        </w:rPr>
        <w:t>Federal Register Notice</w:t>
      </w:r>
    </w:p>
    <w:p w:rsidR="00343699" w:rsidRPr="005F44E3" w:rsidRDefault="00343699" w:rsidP="00343699"/>
    <w:p w:rsidR="00343699" w:rsidRDefault="00343699" w:rsidP="00343699">
      <w:pPr>
        <w:rPr>
          <w:b/>
        </w:rPr>
      </w:pPr>
      <w:r w:rsidRPr="005F44E3">
        <w:rPr>
          <w:b/>
        </w:rPr>
        <w:t xml:space="preserve">Attachment 3:  </w:t>
      </w:r>
      <w:r>
        <w:rPr>
          <w:b/>
        </w:rPr>
        <w:t>Privacy Protection Agreement</w:t>
      </w:r>
    </w:p>
    <w:p w:rsidR="00343699" w:rsidRDefault="00343699" w:rsidP="00343699">
      <w:pPr>
        <w:rPr>
          <w:b/>
        </w:rPr>
      </w:pPr>
    </w:p>
    <w:p w:rsidR="00343699" w:rsidRDefault="001A0CC2" w:rsidP="00343699">
      <w:pPr>
        <w:rPr>
          <w:b/>
        </w:rPr>
      </w:pPr>
      <w:r>
        <w:rPr>
          <w:b/>
        </w:rPr>
        <w:t>Data Collection Instruments:</w:t>
      </w:r>
    </w:p>
    <w:p w:rsidR="001A0CC2" w:rsidRDefault="001A0CC2" w:rsidP="00343699">
      <w:pPr>
        <w:rPr>
          <w:b/>
        </w:rPr>
      </w:pPr>
      <w:r>
        <w:rPr>
          <w:b/>
        </w:rPr>
        <w:tab/>
        <w:t>Attachment 4: Focus Group Moderator’s Guide</w:t>
      </w:r>
    </w:p>
    <w:p w:rsidR="001A0CC2" w:rsidRDefault="001A0CC2" w:rsidP="00343699">
      <w:pPr>
        <w:rPr>
          <w:b/>
        </w:rPr>
      </w:pPr>
      <w:r>
        <w:rPr>
          <w:b/>
        </w:rPr>
        <w:tab/>
        <w:t>Attachment 5: Participant Screener and Recruitment Script</w:t>
      </w:r>
    </w:p>
    <w:p w:rsidR="001A0CC2" w:rsidRDefault="001A0CC2" w:rsidP="00343699">
      <w:pPr>
        <w:rPr>
          <w:b/>
        </w:rPr>
      </w:pPr>
    </w:p>
    <w:p w:rsidR="001A0CC2" w:rsidRDefault="001A0CC2" w:rsidP="00343699">
      <w:pPr>
        <w:rPr>
          <w:b/>
        </w:rPr>
      </w:pPr>
      <w:r>
        <w:rPr>
          <w:b/>
        </w:rPr>
        <w:t>Attachment 6:  IRB Approval</w:t>
      </w:r>
    </w:p>
    <w:p w:rsidR="001A0CC2" w:rsidRDefault="001A0CC2" w:rsidP="00343699">
      <w:pPr>
        <w:rPr>
          <w:b/>
        </w:rPr>
      </w:pPr>
    </w:p>
    <w:p w:rsidR="001A0CC2" w:rsidRDefault="001A0CC2" w:rsidP="00343699">
      <w:pPr>
        <w:rPr>
          <w:b/>
        </w:rPr>
      </w:pPr>
      <w:r>
        <w:rPr>
          <w:b/>
        </w:rPr>
        <w:t>Supplemental Forms:</w:t>
      </w:r>
    </w:p>
    <w:p w:rsidR="001A0CC2" w:rsidRDefault="001A0CC2" w:rsidP="00343699">
      <w:pPr>
        <w:rPr>
          <w:b/>
        </w:rPr>
      </w:pPr>
      <w:r>
        <w:rPr>
          <w:b/>
        </w:rPr>
        <w:t xml:space="preserve">  </w:t>
      </w:r>
      <w:r>
        <w:rPr>
          <w:b/>
        </w:rPr>
        <w:tab/>
        <w:t>Supplemental 1: Permission Form for Parents of Adolescents Aged 15-17</w:t>
      </w:r>
    </w:p>
    <w:p w:rsidR="001A0CC2" w:rsidRDefault="001A0CC2" w:rsidP="00343699">
      <w:pPr>
        <w:rPr>
          <w:b/>
        </w:rPr>
      </w:pPr>
      <w:r>
        <w:rPr>
          <w:b/>
        </w:rPr>
        <w:tab/>
        <w:t>Supplemental 2</w:t>
      </w:r>
      <w:r w:rsidR="00E56EDC">
        <w:rPr>
          <w:b/>
        </w:rPr>
        <w:t>:</w:t>
      </w:r>
      <w:r>
        <w:rPr>
          <w:b/>
        </w:rPr>
        <w:t xml:space="preserve"> Assent for </w:t>
      </w:r>
      <w:r w:rsidR="00E56EDC">
        <w:rPr>
          <w:b/>
        </w:rPr>
        <w:t>Adolescents Aged 15-17</w:t>
      </w:r>
    </w:p>
    <w:p w:rsidR="00E56EDC" w:rsidRDefault="00E56EDC" w:rsidP="00343699">
      <w:pPr>
        <w:rPr>
          <w:b/>
        </w:rPr>
      </w:pPr>
      <w:r>
        <w:rPr>
          <w:b/>
        </w:rPr>
        <w:tab/>
        <w:t>Supplemental 3: Informed Consent for Adults</w:t>
      </w:r>
    </w:p>
    <w:p w:rsidR="00E56EDC" w:rsidRPr="005F44E3" w:rsidRDefault="00E56EDC" w:rsidP="00343699">
      <w:pPr>
        <w:rPr>
          <w:b/>
        </w:rPr>
      </w:pPr>
      <w:r>
        <w:rPr>
          <w:b/>
        </w:rPr>
        <w:tab/>
        <w:t xml:space="preserve">Supplemental 4: Demographic Information Sheet  </w:t>
      </w:r>
    </w:p>
    <w:p w:rsidR="00343699" w:rsidRDefault="00343699" w:rsidP="003C3229">
      <w:pPr>
        <w:rPr>
          <w:b/>
        </w:rPr>
      </w:pPr>
    </w:p>
    <w:p w:rsidR="00343699" w:rsidRDefault="00343699">
      <w:pPr>
        <w:rPr>
          <w:b/>
        </w:rPr>
      </w:pPr>
      <w:r>
        <w:rPr>
          <w:b/>
        </w:rPr>
        <w:br w:type="page"/>
      </w:r>
    </w:p>
    <w:p w:rsidR="00AE3492" w:rsidRPr="00857BA7" w:rsidRDefault="003C3229" w:rsidP="003C3229">
      <w:pPr>
        <w:rPr>
          <w:b/>
        </w:rPr>
      </w:pPr>
      <w:r w:rsidRPr="00857BA7">
        <w:rPr>
          <w:b/>
        </w:rPr>
        <w:lastRenderedPageBreak/>
        <w:t>A. Justification</w:t>
      </w:r>
    </w:p>
    <w:p w:rsidR="008E1537" w:rsidRPr="00857BA7" w:rsidRDefault="008E1537" w:rsidP="008E1537">
      <w:pPr>
        <w:pStyle w:val="ListBullet"/>
        <w:numPr>
          <w:ilvl w:val="0"/>
          <w:numId w:val="0"/>
        </w:numPr>
        <w:ind w:left="1440" w:hanging="360"/>
        <w:rPr>
          <w:b/>
          <w:sz w:val="24"/>
          <w:szCs w:val="24"/>
        </w:rPr>
      </w:pPr>
    </w:p>
    <w:p w:rsidR="00B72307" w:rsidRPr="00857BA7" w:rsidRDefault="00C55761" w:rsidP="00B72307">
      <w:pPr>
        <w:pStyle w:val="Heading2"/>
        <w:spacing w:before="0" w:after="0"/>
        <w:rPr>
          <w:rFonts w:ascii="Times New Roman" w:hAnsi="Times New Roman"/>
          <w:i w:val="0"/>
          <w:sz w:val="24"/>
          <w:szCs w:val="24"/>
        </w:rPr>
      </w:pPr>
      <w:bookmarkStart w:id="1" w:name="_Toc151782176"/>
      <w:bookmarkStart w:id="2" w:name="_Toc158526216"/>
      <w:r w:rsidRPr="00857BA7">
        <w:rPr>
          <w:rFonts w:ascii="Times New Roman" w:hAnsi="Times New Roman"/>
          <w:i w:val="0"/>
          <w:sz w:val="24"/>
          <w:szCs w:val="24"/>
        </w:rPr>
        <w:t>A</w:t>
      </w:r>
      <w:r w:rsidR="00A5295E">
        <w:rPr>
          <w:rFonts w:ascii="Times New Roman" w:hAnsi="Times New Roman"/>
          <w:i w:val="0"/>
          <w:sz w:val="24"/>
          <w:szCs w:val="24"/>
        </w:rPr>
        <w:t>.</w:t>
      </w:r>
      <w:r w:rsidRPr="00857BA7">
        <w:rPr>
          <w:rFonts w:ascii="Times New Roman" w:hAnsi="Times New Roman"/>
          <w:i w:val="0"/>
          <w:sz w:val="24"/>
          <w:szCs w:val="24"/>
        </w:rPr>
        <w:t xml:space="preserve">1. </w:t>
      </w:r>
      <w:bookmarkEnd w:id="1"/>
      <w:bookmarkEnd w:id="2"/>
      <w:r w:rsidRPr="00857BA7">
        <w:rPr>
          <w:rFonts w:ascii="Times New Roman" w:hAnsi="Times New Roman"/>
          <w:i w:val="0"/>
          <w:sz w:val="24"/>
          <w:szCs w:val="24"/>
        </w:rPr>
        <w:t xml:space="preserve">Circumstances </w:t>
      </w:r>
      <w:r w:rsidR="007A38A5" w:rsidRPr="00857BA7">
        <w:rPr>
          <w:rFonts w:ascii="Times New Roman" w:hAnsi="Times New Roman"/>
          <w:i w:val="0"/>
          <w:sz w:val="24"/>
          <w:szCs w:val="24"/>
        </w:rPr>
        <w:t>Making the Collection of Information Necessary</w:t>
      </w:r>
    </w:p>
    <w:p w:rsidR="008E1537" w:rsidRPr="00857BA7" w:rsidRDefault="008E1537" w:rsidP="008E1537">
      <w:pPr>
        <w:pStyle w:val="ListBullet"/>
        <w:numPr>
          <w:ilvl w:val="0"/>
          <w:numId w:val="0"/>
        </w:numPr>
        <w:rPr>
          <w:sz w:val="24"/>
          <w:szCs w:val="24"/>
        </w:rPr>
      </w:pPr>
    </w:p>
    <w:p w:rsidR="0095467F" w:rsidRPr="00857BA7" w:rsidRDefault="0095467F" w:rsidP="008E1537">
      <w:pPr>
        <w:pStyle w:val="ListBullet"/>
        <w:numPr>
          <w:ilvl w:val="0"/>
          <w:numId w:val="0"/>
        </w:numPr>
        <w:rPr>
          <w:sz w:val="24"/>
          <w:szCs w:val="24"/>
          <w:u w:val="single"/>
        </w:rPr>
      </w:pPr>
      <w:r w:rsidRPr="00857BA7">
        <w:rPr>
          <w:sz w:val="24"/>
          <w:szCs w:val="24"/>
          <w:u w:val="single"/>
        </w:rPr>
        <w:t>Background</w:t>
      </w:r>
    </w:p>
    <w:p w:rsidR="0095467F" w:rsidRPr="00857BA7" w:rsidRDefault="0095467F" w:rsidP="008E1537">
      <w:pPr>
        <w:pStyle w:val="ListBullet"/>
        <w:numPr>
          <w:ilvl w:val="0"/>
          <w:numId w:val="0"/>
        </w:numPr>
        <w:rPr>
          <w:sz w:val="24"/>
          <w:szCs w:val="24"/>
          <w:u w:val="single"/>
        </w:rPr>
      </w:pPr>
    </w:p>
    <w:p w:rsidR="008A3731" w:rsidRPr="00857BA7" w:rsidRDefault="008A3731" w:rsidP="008B5534">
      <w:pPr>
        <w:pStyle w:val="ListBullet"/>
        <w:numPr>
          <w:ilvl w:val="0"/>
          <w:numId w:val="0"/>
        </w:numPr>
        <w:rPr>
          <w:sz w:val="24"/>
          <w:szCs w:val="24"/>
        </w:rPr>
      </w:pPr>
      <w:r w:rsidRPr="00857BA7">
        <w:rPr>
          <w:sz w:val="24"/>
          <w:szCs w:val="24"/>
        </w:rPr>
        <w:t>This Information Collection Request is submitted under the classification “</w:t>
      </w:r>
      <w:r w:rsidR="00C710A5">
        <w:rPr>
          <w:sz w:val="24"/>
          <w:szCs w:val="24"/>
        </w:rPr>
        <w:t>R</w:t>
      </w:r>
      <w:r w:rsidR="00430AFB">
        <w:rPr>
          <w:sz w:val="24"/>
          <w:szCs w:val="24"/>
        </w:rPr>
        <w:t>einstatement</w:t>
      </w:r>
      <w:r w:rsidR="00E56EDC">
        <w:rPr>
          <w:sz w:val="24"/>
          <w:szCs w:val="24"/>
        </w:rPr>
        <w:t>.</w:t>
      </w:r>
      <w:r w:rsidRPr="00857BA7">
        <w:rPr>
          <w:sz w:val="24"/>
          <w:szCs w:val="24"/>
        </w:rPr>
        <w:t>”</w:t>
      </w:r>
      <w:r w:rsidR="00520849" w:rsidRPr="00857BA7">
        <w:rPr>
          <w:sz w:val="24"/>
          <w:szCs w:val="24"/>
        </w:rPr>
        <w:t xml:space="preserve">  The length of data collection requested for OMB-PRA approval is one year.</w:t>
      </w:r>
      <w:r w:rsidR="003C3229" w:rsidRPr="00857BA7">
        <w:rPr>
          <w:sz w:val="24"/>
          <w:szCs w:val="24"/>
        </w:rPr>
        <w:t xml:space="preserve"> The Division of Blood Disorders, </w:t>
      </w:r>
      <w:r w:rsidR="007A38A5" w:rsidRPr="00857BA7">
        <w:rPr>
          <w:sz w:val="24"/>
          <w:szCs w:val="24"/>
        </w:rPr>
        <w:t xml:space="preserve">located within the National Center on Birth Defects and Developmental Disabilities (NCBDDD), Centers for Disease Control and Prevention (CDC), is making this request as authorized by </w:t>
      </w:r>
      <w:r w:rsidR="00825097" w:rsidRPr="00857BA7">
        <w:rPr>
          <w:color w:val="000000"/>
          <w:sz w:val="24"/>
          <w:szCs w:val="24"/>
        </w:rPr>
        <w:t xml:space="preserve">Section 301 of the Public Health Service Act (42 U.S.C. 241; Attachment 1).  </w:t>
      </w:r>
    </w:p>
    <w:p w:rsidR="008A3731" w:rsidRPr="00857BA7" w:rsidRDefault="008A3731" w:rsidP="008B5534">
      <w:pPr>
        <w:pStyle w:val="ListBullet"/>
        <w:numPr>
          <w:ilvl w:val="0"/>
          <w:numId w:val="0"/>
        </w:numPr>
        <w:rPr>
          <w:sz w:val="24"/>
          <w:szCs w:val="24"/>
        </w:rPr>
      </w:pPr>
    </w:p>
    <w:p w:rsidR="001C5830" w:rsidRPr="00857BA7" w:rsidRDefault="001C5830" w:rsidP="00AE5B8B">
      <w:pPr>
        <w:pStyle w:val="ListBullet"/>
        <w:numPr>
          <w:ilvl w:val="0"/>
          <w:numId w:val="0"/>
        </w:numPr>
        <w:rPr>
          <w:sz w:val="24"/>
          <w:szCs w:val="24"/>
        </w:rPr>
      </w:pPr>
      <w:r w:rsidRPr="00857BA7">
        <w:rPr>
          <w:sz w:val="24"/>
          <w:szCs w:val="24"/>
        </w:rPr>
        <w:t xml:space="preserve">Working with community-based organizations, the Prevention Research Team in the Division of Blood Disorders seeks to address the need for educational messages and materials for adolescents, young adults, adults, and older adults living with sickle cell disease (SCD). To effectively reach these populations with culturally relevant messages and materials, it is important to fully understand and reflect the needs and desires of the target audiences. </w:t>
      </w:r>
    </w:p>
    <w:p w:rsidR="001C5830" w:rsidRPr="00857BA7" w:rsidRDefault="001C5830" w:rsidP="001C5830">
      <w:pPr>
        <w:pStyle w:val="ListBullet"/>
        <w:numPr>
          <w:ilvl w:val="0"/>
          <w:numId w:val="0"/>
        </w:numPr>
        <w:ind w:left="1440" w:hanging="360"/>
        <w:rPr>
          <w:sz w:val="24"/>
          <w:szCs w:val="24"/>
        </w:rPr>
      </w:pPr>
    </w:p>
    <w:p w:rsidR="001C5830" w:rsidRPr="00857BA7" w:rsidRDefault="001C5830" w:rsidP="001C5830">
      <w:pPr>
        <w:pStyle w:val="BodyText"/>
        <w:rPr>
          <w:sz w:val="24"/>
          <w:szCs w:val="24"/>
        </w:rPr>
      </w:pPr>
      <w:r w:rsidRPr="00857BA7">
        <w:rPr>
          <w:sz w:val="24"/>
          <w:szCs w:val="24"/>
        </w:rPr>
        <w:t>SCD is a genetic disease that occurs in 1 of every 500 African American births in the United States, as well as other populations in the U.S., including Hispanic Americans and other emerging populations. People living with SCD often have episodes of extreme pain, damage to vital organs, and in the recent past, shorter life spans.</w:t>
      </w:r>
    </w:p>
    <w:p w:rsidR="001C5830" w:rsidRPr="00857BA7" w:rsidRDefault="001C5830" w:rsidP="001C5830">
      <w:pPr>
        <w:pStyle w:val="BodyText"/>
        <w:rPr>
          <w:sz w:val="24"/>
          <w:szCs w:val="24"/>
        </w:rPr>
      </w:pPr>
    </w:p>
    <w:p w:rsidR="001C5830" w:rsidRPr="00857BA7" w:rsidRDefault="001C5830" w:rsidP="001C5830">
      <w:pPr>
        <w:pStyle w:val="BodyText"/>
        <w:rPr>
          <w:sz w:val="24"/>
          <w:szCs w:val="24"/>
        </w:rPr>
      </w:pPr>
      <w:r w:rsidRPr="00857BA7">
        <w:rPr>
          <w:sz w:val="24"/>
          <w:szCs w:val="24"/>
        </w:rPr>
        <w:t xml:space="preserve">With advances in scientific research and treatments, people with SCD are now living longer and SCD is no longer simply a pediatric disease. Adolescents and young adults need to be prepared for the transition from pediatric care, where they typically have minimal responsibilities for arranging for their care, to adult care, where they must assume full responsibility for their health care and disease self-management. Adults and older adults face additional challenges coordinating their care among providers, handling relationships and starting a family, and managing changes to their health in combination with their SCD. To improve the quality of life of people living with SCD, there is an immediate need to provide effective materials for adolescents, young adults, </w:t>
      </w:r>
      <w:r w:rsidR="003C2351">
        <w:rPr>
          <w:sz w:val="24"/>
          <w:szCs w:val="24"/>
        </w:rPr>
        <w:t xml:space="preserve">adults, </w:t>
      </w:r>
      <w:r w:rsidRPr="00857BA7">
        <w:rPr>
          <w:sz w:val="24"/>
          <w:szCs w:val="24"/>
        </w:rPr>
        <w:t>and older adults.</w:t>
      </w:r>
    </w:p>
    <w:p w:rsidR="001C5830" w:rsidRPr="00857BA7" w:rsidRDefault="001C5830" w:rsidP="001C5830">
      <w:pPr>
        <w:pStyle w:val="ListBullet"/>
        <w:numPr>
          <w:ilvl w:val="0"/>
          <w:numId w:val="0"/>
        </w:numPr>
        <w:ind w:left="1440" w:hanging="360"/>
        <w:rPr>
          <w:sz w:val="24"/>
          <w:szCs w:val="24"/>
        </w:rPr>
      </w:pPr>
    </w:p>
    <w:p w:rsidR="00C55761" w:rsidRPr="00857BA7" w:rsidRDefault="001C5830" w:rsidP="00C55761">
      <w:pPr>
        <w:pStyle w:val="BodyText"/>
        <w:rPr>
          <w:sz w:val="24"/>
          <w:szCs w:val="24"/>
        </w:rPr>
      </w:pPr>
      <w:r w:rsidRPr="00857BA7">
        <w:rPr>
          <w:sz w:val="24"/>
          <w:szCs w:val="24"/>
        </w:rPr>
        <w:t>The purpose of this project is to develop new messages and materials for adolescents, young adults, adults, and older adults livin</w:t>
      </w:r>
      <w:r w:rsidR="00747649" w:rsidRPr="00857BA7">
        <w:rPr>
          <w:sz w:val="24"/>
          <w:szCs w:val="24"/>
        </w:rPr>
        <w:t>g with SCD</w:t>
      </w:r>
      <w:r w:rsidRPr="00857BA7">
        <w:rPr>
          <w:sz w:val="24"/>
          <w:szCs w:val="24"/>
        </w:rPr>
        <w:t xml:space="preserve">. In particular, this project seeks to develop messages and materials that meet the needs of these audiences and fill a gap in existing materials related to the adoption of healthy behaviors and the prevention of complications associated with sickle cell disease. </w:t>
      </w:r>
      <w:r w:rsidR="00C55761" w:rsidRPr="00857BA7">
        <w:rPr>
          <w:sz w:val="24"/>
          <w:szCs w:val="24"/>
        </w:rPr>
        <w:t>Within the broad goals of the project described above, the specific aims of the formative research are:</w:t>
      </w:r>
    </w:p>
    <w:p w:rsidR="00C55761" w:rsidRPr="00857BA7" w:rsidRDefault="00C55761" w:rsidP="00C55761">
      <w:pPr>
        <w:pStyle w:val="BodyText"/>
        <w:rPr>
          <w:sz w:val="24"/>
          <w:szCs w:val="24"/>
        </w:rPr>
      </w:pPr>
    </w:p>
    <w:p w:rsidR="00C55761" w:rsidRPr="00857BA7" w:rsidRDefault="00C55761" w:rsidP="00EA7EA2">
      <w:pPr>
        <w:numPr>
          <w:ilvl w:val="0"/>
          <w:numId w:val="12"/>
        </w:numPr>
        <w:tabs>
          <w:tab w:val="left" w:pos="720"/>
        </w:tabs>
        <w:spacing w:after="60"/>
      </w:pPr>
      <w:r w:rsidRPr="00857BA7">
        <w:t xml:space="preserve">Identify informational needs of the intended audiences. </w:t>
      </w:r>
    </w:p>
    <w:p w:rsidR="00C55761" w:rsidRPr="00857BA7" w:rsidRDefault="00C55761" w:rsidP="00EA7EA2">
      <w:pPr>
        <w:numPr>
          <w:ilvl w:val="0"/>
          <w:numId w:val="12"/>
        </w:numPr>
      </w:pPr>
      <w:r w:rsidRPr="00857BA7">
        <w:t xml:space="preserve">Identify media preferences of the intended audiences. </w:t>
      </w:r>
    </w:p>
    <w:p w:rsidR="00C55761" w:rsidRPr="00857BA7" w:rsidRDefault="00C55761" w:rsidP="00747649">
      <w:pPr>
        <w:pStyle w:val="BodyText"/>
        <w:rPr>
          <w:sz w:val="24"/>
          <w:szCs w:val="24"/>
        </w:rPr>
      </w:pPr>
    </w:p>
    <w:p w:rsidR="001C5830" w:rsidRPr="00857BA7" w:rsidRDefault="001C5830" w:rsidP="00747649">
      <w:pPr>
        <w:pStyle w:val="BodyText"/>
        <w:rPr>
          <w:rFonts w:eastAsia="Calibri"/>
          <w:sz w:val="24"/>
          <w:szCs w:val="24"/>
        </w:rPr>
      </w:pPr>
      <w:r w:rsidRPr="00857BA7">
        <w:rPr>
          <w:sz w:val="24"/>
          <w:szCs w:val="24"/>
        </w:rPr>
        <w:t xml:space="preserve">As a first step in the message and materials development process, the CDC has charged the American Institutes for Research (AIR) with conducting formative research activities – an environmental scan </w:t>
      </w:r>
      <w:r w:rsidR="00747649" w:rsidRPr="00857BA7">
        <w:rPr>
          <w:sz w:val="24"/>
          <w:szCs w:val="24"/>
        </w:rPr>
        <w:t xml:space="preserve">of existing materials </w:t>
      </w:r>
      <w:r w:rsidRPr="00857BA7">
        <w:rPr>
          <w:sz w:val="24"/>
          <w:szCs w:val="24"/>
        </w:rPr>
        <w:t>and focus groups</w:t>
      </w:r>
      <w:r w:rsidR="00747649" w:rsidRPr="00857BA7">
        <w:rPr>
          <w:sz w:val="24"/>
          <w:szCs w:val="24"/>
        </w:rPr>
        <w:t xml:space="preserve"> with people with SCD</w:t>
      </w:r>
      <w:r w:rsidRPr="00857BA7">
        <w:rPr>
          <w:sz w:val="24"/>
          <w:szCs w:val="24"/>
        </w:rPr>
        <w:t xml:space="preserve">. </w:t>
      </w:r>
      <w:r w:rsidR="00747649" w:rsidRPr="00857BA7">
        <w:rPr>
          <w:sz w:val="24"/>
          <w:szCs w:val="24"/>
        </w:rPr>
        <w:t xml:space="preserve">This document addresses the collection of qualitative data through focus groups. </w:t>
      </w:r>
      <w:r w:rsidR="00747649" w:rsidRPr="00857BA7">
        <w:rPr>
          <w:rFonts w:eastAsia="Calibri"/>
          <w:sz w:val="24"/>
          <w:szCs w:val="24"/>
        </w:rPr>
        <w:t>The environmental scan will provide an understanding of what SCD materials are available to patients. This includes identifying key health messages, formats, the extent to which materials cover relevant age groups, and the gaps in information, target audiences, or messages. To identify media preferences, informational needs, and responses to existing messages, formative focus groups with four target audiences will be conducted.</w:t>
      </w:r>
    </w:p>
    <w:p w:rsidR="00825097" w:rsidRPr="00857BA7" w:rsidRDefault="00825097" w:rsidP="00747649">
      <w:pPr>
        <w:pStyle w:val="BodyText"/>
        <w:rPr>
          <w:rFonts w:eastAsia="Calibri"/>
          <w:sz w:val="24"/>
          <w:szCs w:val="24"/>
        </w:rPr>
      </w:pPr>
    </w:p>
    <w:p w:rsidR="00825097" w:rsidRPr="00BC02F2" w:rsidRDefault="00825097" w:rsidP="00747649">
      <w:pPr>
        <w:pStyle w:val="BodyText"/>
        <w:rPr>
          <w:rFonts w:eastAsia="Calibri"/>
          <w:sz w:val="24"/>
          <w:szCs w:val="24"/>
          <w:u w:val="single"/>
        </w:rPr>
      </w:pPr>
      <w:r w:rsidRPr="00BC02F2">
        <w:rPr>
          <w:rFonts w:eastAsia="Calibri"/>
          <w:sz w:val="24"/>
          <w:szCs w:val="24"/>
          <w:u w:val="single"/>
        </w:rPr>
        <w:t xml:space="preserve">Privacy Impact Assessment </w:t>
      </w:r>
      <w:r w:rsidR="00F74666">
        <w:rPr>
          <w:rFonts w:eastAsia="Calibri"/>
          <w:sz w:val="24"/>
          <w:szCs w:val="24"/>
          <w:u w:val="single"/>
        </w:rPr>
        <w:t>Information</w:t>
      </w:r>
    </w:p>
    <w:p w:rsidR="00825097" w:rsidRPr="00512723" w:rsidRDefault="00825097" w:rsidP="00747649">
      <w:pPr>
        <w:pStyle w:val="BodyText"/>
        <w:rPr>
          <w:rFonts w:eastAsia="Calibri"/>
          <w:sz w:val="24"/>
          <w:szCs w:val="24"/>
        </w:rPr>
      </w:pPr>
    </w:p>
    <w:p w:rsidR="00B72307" w:rsidRPr="00512723" w:rsidRDefault="00825097" w:rsidP="00BC02F2">
      <w:pPr>
        <w:pStyle w:val="BodyText"/>
        <w:numPr>
          <w:ilvl w:val="0"/>
          <w:numId w:val="15"/>
        </w:numPr>
        <w:ind w:left="360" w:hanging="360"/>
        <w:rPr>
          <w:rFonts w:eastAsia="Calibri"/>
          <w:sz w:val="24"/>
          <w:szCs w:val="24"/>
          <w:u w:val="single"/>
        </w:rPr>
      </w:pPr>
      <w:r w:rsidRPr="00512723">
        <w:rPr>
          <w:rFonts w:eastAsia="Calibri"/>
          <w:sz w:val="24"/>
          <w:szCs w:val="24"/>
          <w:u w:val="single"/>
        </w:rPr>
        <w:t>Overview of the Data Collection System</w:t>
      </w:r>
    </w:p>
    <w:p w:rsidR="000A7929" w:rsidRDefault="00FB512A" w:rsidP="000A7929">
      <w:pPr>
        <w:pStyle w:val="ListBullet"/>
        <w:numPr>
          <w:ilvl w:val="0"/>
          <w:numId w:val="0"/>
        </w:numPr>
        <w:ind w:left="360"/>
        <w:rPr>
          <w:bCs/>
        </w:rPr>
      </w:pPr>
      <w:r w:rsidRPr="00512723">
        <w:rPr>
          <w:bCs/>
          <w:sz w:val="24"/>
          <w:szCs w:val="24"/>
        </w:rPr>
        <w:t>CDC will collect qualitative data through in-per</w:t>
      </w:r>
      <w:r w:rsidR="000A7929">
        <w:rPr>
          <w:bCs/>
          <w:sz w:val="24"/>
          <w:szCs w:val="24"/>
        </w:rPr>
        <w:t xml:space="preserve">son and telephone focus groups. </w:t>
      </w:r>
      <w:r w:rsidRPr="00512723">
        <w:rPr>
          <w:bCs/>
          <w:sz w:val="24"/>
          <w:szCs w:val="24"/>
        </w:rPr>
        <w:t>A total of 10 focus groups will be conducted.</w:t>
      </w:r>
      <w:r w:rsidR="000A7929">
        <w:rPr>
          <w:bCs/>
          <w:sz w:val="24"/>
          <w:szCs w:val="24"/>
        </w:rPr>
        <w:t xml:space="preserve"> </w:t>
      </w:r>
      <w:r w:rsidRPr="00512723">
        <w:rPr>
          <w:bCs/>
        </w:rPr>
        <w:t xml:space="preserve">Each focus group will be conducted with eight to nine participants and will last 2 hours. The use of trained moderators and a structured moderator’s guide will ensure that consistent data are collected across the groups.  </w:t>
      </w:r>
      <w:r w:rsidR="00EE72FD">
        <w:rPr>
          <w:bCs/>
        </w:rPr>
        <w:t xml:space="preserve">The focus groups will be audiotaped with the permission of each participant. </w:t>
      </w:r>
      <w:r w:rsidR="00512723" w:rsidRPr="003B0863">
        <w:rPr>
          <w:bCs/>
        </w:rPr>
        <w:t>Upon completion of each focus group, the audiotapes will be sent to a professional transcription company that will produce transcripts.</w:t>
      </w:r>
      <w:r w:rsidR="000A7929" w:rsidRPr="003B0863">
        <w:rPr>
          <w:bCs/>
        </w:rPr>
        <w:t xml:space="preserve"> </w:t>
      </w:r>
      <w:r w:rsidR="000A7929">
        <w:rPr>
          <w:bCs/>
        </w:rPr>
        <w:t xml:space="preserve">All AIR staff </w:t>
      </w:r>
      <w:proofErr w:type="gramStart"/>
      <w:r w:rsidR="000A7929">
        <w:rPr>
          <w:bCs/>
        </w:rPr>
        <w:t>are</w:t>
      </w:r>
      <w:proofErr w:type="gramEnd"/>
      <w:r w:rsidR="000A7929">
        <w:rPr>
          <w:bCs/>
        </w:rPr>
        <w:t xml:space="preserve"> required to complete Human Subjects Protection training. Non-AIR staff (e.g., </w:t>
      </w:r>
      <w:r w:rsidR="000A7929" w:rsidRPr="003B0863">
        <w:rPr>
          <w:bCs/>
        </w:rPr>
        <w:t>moderator</w:t>
      </w:r>
      <w:r w:rsidR="000A7929">
        <w:rPr>
          <w:bCs/>
        </w:rPr>
        <w:t>s</w:t>
      </w:r>
      <w:r w:rsidR="000A7929" w:rsidRPr="003B0863">
        <w:rPr>
          <w:bCs/>
        </w:rPr>
        <w:t>, transcriptionist</w:t>
      </w:r>
      <w:r w:rsidR="000A7929">
        <w:rPr>
          <w:bCs/>
        </w:rPr>
        <w:t>s, etc.,</w:t>
      </w:r>
      <w:r w:rsidR="000A7929" w:rsidRPr="003B0863">
        <w:rPr>
          <w:bCs/>
        </w:rPr>
        <w:t xml:space="preserve"> will be </w:t>
      </w:r>
      <w:r w:rsidR="000A7929">
        <w:rPr>
          <w:bCs/>
        </w:rPr>
        <w:t xml:space="preserve">required </w:t>
      </w:r>
      <w:r w:rsidR="000A7929" w:rsidRPr="003B0863">
        <w:rPr>
          <w:bCs/>
        </w:rPr>
        <w:t>to sign a</w:t>
      </w:r>
      <w:r w:rsidR="000A7929" w:rsidRPr="00512723">
        <w:rPr>
          <w:bCs/>
        </w:rPr>
        <w:t xml:space="preserve"> Privacy Protection Agreement (Attachment </w:t>
      </w:r>
      <w:r w:rsidR="000A7929">
        <w:rPr>
          <w:bCs/>
        </w:rPr>
        <w:t>3</w:t>
      </w:r>
      <w:r w:rsidR="000A7929" w:rsidRPr="00512723">
        <w:rPr>
          <w:bCs/>
        </w:rPr>
        <w:t>)</w:t>
      </w:r>
      <w:r w:rsidR="000A7929">
        <w:rPr>
          <w:bCs/>
        </w:rPr>
        <w:t>.</w:t>
      </w:r>
      <w:r w:rsidR="000A7929" w:rsidRPr="00512723">
        <w:rPr>
          <w:bCs/>
        </w:rPr>
        <w:t xml:space="preserve"> </w:t>
      </w:r>
      <w:r w:rsidR="00512723" w:rsidRPr="003B0863">
        <w:rPr>
          <w:bCs/>
        </w:rPr>
        <w:t>When the electronic versions of the transcripts are returned to AIR, the moderator will edit each transcript to remove all references to each participant’s identity beyond his or her first name.</w:t>
      </w:r>
      <w:r w:rsidR="00512723">
        <w:rPr>
          <w:bCs/>
        </w:rPr>
        <w:t xml:space="preserve"> </w:t>
      </w:r>
      <w:r w:rsidR="000A7929">
        <w:rPr>
          <w:bCs/>
        </w:rPr>
        <w:t xml:space="preserve">The audiotapes (and other related data) will be stored on AIR’s computer system, in password protected directories. The audio files will be destroyed after transcripts have been prepared. </w:t>
      </w:r>
    </w:p>
    <w:p w:rsidR="00512723" w:rsidRDefault="00512723" w:rsidP="000A7929">
      <w:pPr>
        <w:pStyle w:val="ListBullet"/>
        <w:numPr>
          <w:ilvl w:val="0"/>
          <w:numId w:val="0"/>
        </w:numPr>
        <w:ind w:left="360"/>
        <w:rPr>
          <w:bCs/>
        </w:rPr>
      </w:pPr>
    </w:p>
    <w:p w:rsidR="00B72307" w:rsidRPr="00512723" w:rsidRDefault="00825097" w:rsidP="00BC02F2">
      <w:pPr>
        <w:pStyle w:val="BodyText"/>
        <w:numPr>
          <w:ilvl w:val="0"/>
          <w:numId w:val="15"/>
        </w:numPr>
        <w:ind w:left="360" w:hanging="360"/>
        <w:rPr>
          <w:rFonts w:eastAsia="Calibri"/>
          <w:sz w:val="24"/>
          <w:szCs w:val="24"/>
          <w:u w:val="single"/>
        </w:rPr>
      </w:pPr>
      <w:r w:rsidRPr="00512723">
        <w:rPr>
          <w:rFonts w:eastAsia="Calibri"/>
          <w:sz w:val="24"/>
          <w:szCs w:val="24"/>
          <w:u w:val="single"/>
        </w:rPr>
        <w:t>Items of Information to be Collected</w:t>
      </w:r>
    </w:p>
    <w:p w:rsidR="00512723" w:rsidRPr="00512723" w:rsidRDefault="00512723" w:rsidP="00512723">
      <w:pPr>
        <w:pStyle w:val="ListBullet"/>
        <w:numPr>
          <w:ilvl w:val="0"/>
          <w:numId w:val="0"/>
        </w:numPr>
        <w:ind w:left="360"/>
        <w:rPr>
          <w:bCs/>
          <w:sz w:val="24"/>
          <w:szCs w:val="24"/>
        </w:rPr>
      </w:pPr>
      <w:r w:rsidRPr="00512723">
        <w:rPr>
          <w:bCs/>
          <w:sz w:val="24"/>
          <w:szCs w:val="24"/>
        </w:rPr>
        <w:t>During the screening process, AIR will collect data including the participants’ name, address, phone number, race/ethnicity, age, education level, and</w:t>
      </w:r>
      <w:r w:rsidR="000A7929" w:rsidRPr="00512723">
        <w:rPr>
          <w:bCs/>
          <w:sz w:val="24"/>
          <w:szCs w:val="24"/>
        </w:rPr>
        <w:t xml:space="preserve"> </w:t>
      </w:r>
      <w:r w:rsidR="000A7929">
        <w:rPr>
          <w:bCs/>
          <w:sz w:val="24"/>
          <w:szCs w:val="24"/>
        </w:rPr>
        <w:t xml:space="preserve">type </w:t>
      </w:r>
      <w:r w:rsidR="004259CB">
        <w:rPr>
          <w:bCs/>
          <w:sz w:val="24"/>
          <w:szCs w:val="24"/>
        </w:rPr>
        <w:t xml:space="preserve">of </w:t>
      </w:r>
      <w:r w:rsidRPr="00512723">
        <w:rPr>
          <w:bCs/>
          <w:sz w:val="24"/>
          <w:szCs w:val="24"/>
        </w:rPr>
        <w:t>SCD. This information will be used to schedule participants for the groups, mail out a confirmation letter verifying the person’s participation and provide the exact date, time and location of the focus group</w:t>
      </w:r>
      <w:r w:rsidR="000A7929" w:rsidRPr="00512723">
        <w:rPr>
          <w:bCs/>
          <w:sz w:val="24"/>
          <w:szCs w:val="24"/>
        </w:rPr>
        <w:t xml:space="preserve">. </w:t>
      </w:r>
      <w:r w:rsidR="000A7929">
        <w:rPr>
          <w:bCs/>
          <w:sz w:val="24"/>
          <w:szCs w:val="24"/>
        </w:rPr>
        <w:t xml:space="preserve">Participant demographics will be summarized in focus group reports. Individual identifiers that would permit identification of a respondent will be deleted from data files stored on AIR’s computer system. </w:t>
      </w:r>
    </w:p>
    <w:p w:rsidR="000A7929" w:rsidRDefault="000A7929" w:rsidP="000A7929">
      <w:pPr>
        <w:pStyle w:val="BodyText"/>
        <w:ind w:left="360"/>
        <w:rPr>
          <w:rFonts w:eastAsia="Calibri"/>
          <w:sz w:val="24"/>
          <w:szCs w:val="24"/>
        </w:rPr>
      </w:pPr>
    </w:p>
    <w:p w:rsidR="000A7929" w:rsidRPr="00512723" w:rsidRDefault="000A7929" w:rsidP="000A7929">
      <w:pPr>
        <w:pStyle w:val="ListBullet"/>
        <w:numPr>
          <w:ilvl w:val="0"/>
          <w:numId w:val="0"/>
        </w:numPr>
        <w:ind w:left="360"/>
        <w:rPr>
          <w:bCs/>
          <w:sz w:val="24"/>
          <w:szCs w:val="24"/>
        </w:rPr>
      </w:pPr>
      <w:r w:rsidRPr="00512723">
        <w:rPr>
          <w:bCs/>
          <w:sz w:val="24"/>
          <w:szCs w:val="24"/>
        </w:rPr>
        <w:t>The following information will be collected</w:t>
      </w:r>
      <w:r>
        <w:rPr>
          <w:bCs/>
          <w:sz w:val="24"/>
          <w:szCs w:val="24"/>
        </w:rPr>
        <w:t xml:space="preserve"> during focus groups</w:t>
      </w:r>
      <w:r w:rsidRPr="00512723">
        <w:rPr>
          <w:bCs/>
          <w:sz w:val="24"/>
          <w:szCs w:val="24"/>
        </w:rPr>
        <w:t>:</w:t>
      </w:r>
    </w:p>
    <w:p w:rsidR="000A7929" w:rsidRPr="00512723" w:rsidRDefault="000A7929" w:rsidP="000A7929">
      <w:pPr>
        <w:pStyle w:val="ListBullet"/>
        <w:numPr>
          <w:ilvl w:val="0"/>
          <w:numId w:val="4"/>
        </w:numPr>
        <w:ind w:left="1080"/>
        <w:rPr>
          <w:bCs/>
          <w:sz w:val="24"/>
          <w:szCs w:val="24"/>
        </w:rPr>
      </w:pPr>
      <w:r w:rsidRPr="00512723">
        <w:rPr>
          <w:bCs/>
          <w:sz w:val="24"/>
          <w:szCs w:val="24"/>
        </w:rPr>
        <w:t xml:space="preserve">Informational needs of the intended audiences: </w:t>
      </w:r>
    </w:p>
    <w:p w:rsidR="000A7929" w:rsidRPr="00512723" w:rsidRDefault="000A7929" w:rsidP="000A7929">
      <w:pPr>
        <w:pStyle w:val="ListBullet"/>
        <w:numPr>
          <w:ilvl w:val="1"/>
          <w:numId w:val="4"/>
        </w:numPr>
        <w:ind w:left="1800"/>
        <w:rPr>
          <w:bCs/>
          <w:sz w:val="24"/>
          <w:szCs w:val="24"/>
        </w:rPr>
      </w:pPr>
      <w:r w:rsidRPr="00512723">
        <w:rPr>
          <w:bCs/>
          <w:sz w:val="24"/>
          <w:szCs w:val="24"/>
        </w:rPr>
        <w:t xml:space="preserve">When are the most appropriate times to receive this information? </w:t>
      </w:r>
    </w:p>
    <w:p w:rsidR="000A7929" w:rsidRPr="00512723" w:rsidRDefault="000A7929" w:rsidP="000A7929">
      <w:pPr>
        <w:pStyle w:val="ListBullet"/>
        <w:numPr>
          <w:ilvl w:val="1"/>
          <w:numId w:val="4"/>
        </w:numPr>
        <w:ind w:left="1800"/>
        <w:rPr>
          <w:bCs/>
          <w:sz w:val="24"/>
          <w:szCs w:val="24"/>
        </w:rPr>
      </w:pPr>
      <w:r w:rsidRPr="00512723">
        <w:rPr>
          <w:bCs/>
          <w:sz w:val="24"/>
          <w:szCs w:val="24"/>
        </w:rPr>
        <w:t>What does each audience need to know about SCD</w:t>
      </w:r>
      <w:r>
        <w:rPr>
          <w:bCs/>
          <w:sz w:val="24"/>
          <w:szCs w:val="24"/>
        </w:rPr>
        <w:t xml:space="preserve"> to reduce the risk of complications and to facilitate more effective disease self-management</w:t>
      </w:r>
      <w:r w:rsidRPr="00512723">
        <w:rPr>
          <w:bCs/>
          <w:sz w:val="24"/>
          <w:szCs w:val="24"/>
        </w:rPr>
        <w:t xml:space="preserve">?  </w:t>
      </w:r>
    </w:p>
    <w:p w:rsidR="000A7929" w:rsidRPr="00512723" w:rsidRDefault="000A7929" w:rsidP="000A7929">
      <w:pPr>
        <w:pStyle w:val="ListBullet"/>
        <w:numPr>
          <w:ilvl w:val="1"/>
          <w:numId w:val="4"/>
        </w:numPr>
        <w:ind w:left="1800"/>
        <w:rPr>
          <w:bCs/>
          <w:sz w:val="24"/>
          <w:szCs w:val="24"/>
        </w:rPr>
      </w:pPr>
      <w:r w:rsidRPr="00512723">
        <w:rPr>
          <w:bCs/>
          <w:sz w:val="24"/>
          <w:szCs w:val="24"/>
        </w:rPr>
        <w:t>To what extent do existing messages and materials address the target audiences’ needs?</w:t>
      </w:r>
    </w:p>
    <w:p w:rsidR="000A7929" w:rsidRPr="00512723" w:rsidRDefault="000A7929" w:rsidP="000A7929">
      <w:pPr>
        <w:pStyle w:val="ListBullet"/>
        <w:numPr>
          <w:ilvl w:val="0"/>
          <w:numId w:val="4"/>
        </w:numPr>
        <w:ind w:left="1080"/>
        <w:rPr>
          <w:bCs/>
          <w:sz w:val="24"/>
          <w:szCs w:val="24"/>
        </w:rPr>
      </w:pPr>
      <w:r w:rsidRPr="00512723">
        <w:rPr>
          <w:bCs/>
          <w:sz w:val="24"/>
          <w:szCs w:val="24"/>
        </w:rPr>
        <w:t xml:space="preserve">Media preferences of the intended audiences: </w:t>
      </w:r>
    </w:p>
    <w:p w:rsidR="000A7929" w:rsidRPr="00512723" w:rsidRDefault="000A7929" w:rsidP="000A7929">
      <w:pPr>
        <w:pStyle w:val="ListBullet"/>
        <w:numPr>
          <w:ilvl w:val="1"/>
          <w:numId w:val="4"/>
        </w:numPr>
        <w:ind w:left="1800"/>
        <w:rPr>
          <w:bCs/>
          <w:sz w:val="24"/>
          <w:szCs w:val="24"/>
        </w:rPr>
      </w:pPr>
      <w:r w:rsidRPr="00512723">
        <w:rPr>
          <w:bCs/>
          <w:sz w:val="24"/>
          <w:szCs w:val="24"/>
        </w:rPr>
        <w:t xml:space="preserve">How (in what format) does each audience prefer to receive information?  </w:t>
      </w:r>
    </w:p>
    <w:p w:rsidR="000A7929" w:rsidRPr="00512723" w:rsidRDefault="000A7929" w:rsidP="000A7929">
      <w:pPr>
        <w:pStyle w:val="ListBullet"/>
        <w:numPr>
          <w:ilvl w:val="1"/>
          <w:numId w:val="4"/>
        </w:numPr>
        <w:ind w:left="1800"/>
        <w:rPr>
          <w:bCs/>
          <w:sz w:val="24"/>
          <w:szCs w:val="24"/>
        </w:rPr>
      </w:pPr>
      <w:r w:rsidRPr="00512723">
        <w:rPr>
          <w:bCs/>
          <w:sz w:val="24"/>
          <w:szCs w:val="24"/>
        </w:rPr>
        <w:t>Who does each audience prefer to receive information from?</w:t>
      </w:r>
    </w:p>
    <w:p w:rsidR="00F313BE" w:rsidRPr="00512723" w:rsidRDefault="00F313BE" w:rsidP="00512723">
      <w:pPr>
        <w:pStyle w:val="BodyText"/>
        <w:ind w:left="360"/>
        <w:rPr>
          <w:rFonts w:eastAsia="Calibri"/>
          <w:sz w:val="24"/>
          <w:szCs w:val="24"/>
        </w:rPr>
      </w:pPr>
    </w:p>
    <w:p w:rsidR="00825097" w:rsidRPr="00512723" w:rsidRDefault="00825097" w:rsidP="00BC02F2">
      <w:pPr>
        <w:pStyle w:val="ListParagraph"/>
        <w:numPr>
          <w:ilvl w:val="0"/>
          <w:numId w:val="15"/>
        </w:numPr>
        <w:spacing w:after="0" w:line="240" w:lineRule="auto"/>
        <w:ind w:left="360" w:hanging="360"/>
        <w:rPr>
          <w:sz w:val="24"/>
          <w:szCs w:val="24"/>
          <w:u w:val="single"/>
        </w:rPr>
      </w:pPr>
      <w:r w:rsidRPr="00512723">
        <w:rPr>
          <w:sz w:val="24"/>
          <w:szCs w:val="24"/>
          <w:u w:val="single"/>
        </w:rPr>
        <w:t>Identification of Website(s) and Website Content Directed at Children Under 13 Years of Age</w:t>
      </w:r>
    </w:p>
    <w:p w:rsidR="00B72307" w:rsidRPr="00512723" w:rsidRDefault="00FB512A" w:rsidP="00FB512A">
      <w:pPr>
        <w:pStyle w:val="BodyText"/>
        <w:ind w:left="360"/>
        <w:rPr>
          <w:rFonts w:eastAsia="Calibri"/>
          <w:sz w:val="24"/>
          <w:szCs w:val="24"/>
        </w:rPr>
      </w:pPr>
      <w:r w:rsidRPr="00512723">
        <w:rPr>
          <w:bCs/>
          <w:kern w:val="24"/>
          <w:sz w:val="24"/>
          <w:szCs w:val="24"/>
        </w:rPr>
        <w:t>This research will not involve Web-based data collection methods</w:t>
      </w:r>
      <w:r w:rsidR="000A7929">
        <w:rPr>
          <w:bCs/>
          <w:kern w:val="24"/>
          <w:sz w:val="24"/>
          <w:szCs w:val="24"/>
        </w:rPr>
        <w:t xml:space="preserve">; </w:t>
      </w:r>
      <w:r w:rsidRPr="00512723">
        <w:rPr>
          <w:bCs/>
          <w:kern w:val="24"/>
          <w:sz w:val="24"/>
          <w:szCs w:val="24"/>
        </w:rPr>
        <w:t xml:space="preserve">will not refer respondents to </w:t>
      </w:r>
      <w:r w:rsidR="000A7929" w:rsidRPr="00512723">
        <w:rPr>
          <w:bCs/>
          <w:kern w:val="24"/>
          <w:sz w:val="24"/>
          <w:szCs w:val="24"/>
        </w:rPr>
        <w:t>a website</w:t>
      </w:r>
      <w:r w:rsidR="000A7929">
        <w:rPr>
          <w:bCs/>
          <w:kern w:val="24"/>
          <w:sz w:val="24"/>
          <w:szCs w:val="24"/>
        </w:rPr>
        <w:t xml:space="preserve">; and will not involve children </w:t>
      </w:r>
      <w:proofErr w:type="gramStart"/>
      <w:r w:rsidR="000A7929">
        <w:rPr>
          <w:bCs/>
          <w:kern w:val="24"/>
          <w:sz w:val="24"/>
          <w:szCs w:val="24"/>
        </w:rPr>
        <w:t>under</w:t>
      </w:r>
      <w:proofErr w:type="gramEnd"/>
      <w:r w:rsidR="000A7929">
        <w:rPr>
          <w:bCs/>
          <w:kern w:val="24"/>
          <w:sz w:val="24"/>
          <w:szCs w:val="24"/>
        </w:rPr>
        <w:t xml:space="preserve"> 13 years of age</w:t>
      </w:r>
      <w:r w:rsidR="000A7929" w:rsidRPr="00512723">
        <w:rPr>
          <w:bCs/>
          <w:kern w:val="24"/>
          <w:sz w:val="24"/>
          <w:szCs w:val="24"/>
        </w:rPr>
        <w:t>.</w:t>
      </w:r>
    </w:p>
    <w:p w:rsidR="002D355E" w:rsidRPr="00512723" w:rsidRDefault="002D355E" w:rsidP="00FA05BC">
      <w:pPr>
        <w:pStyle w:val="ListBullet"/>
        <w:numPr>
          <w:ilvl w:val="0"/>
          <w:numId w:val="0"/>
        </w:numPr>
        <w:rPr>
          <w:bCs/>
          <w:sz w:val="24"/>
          <w:szCs w:val="24"/>
        </w:rPr>
      </w:pPr>
    </w:p>
    <w:p w:rsidR="004B675A" w:rsidRDefault="004B675A" w:rsidP="00B72307">
      <w:pPr>
        <w:pStyle w:val="Heading2"/>
        <w:spacing w:before="0" w:after="0"/>
        <w:rPr>
          <w:rFonts w:ascii="Times New Roman" w:hAnsi="Times New Roman"/>
          <w:i w:val="0"/>
          <w:sz w:val="24"/>
          <w:szCs w:val="24"/>
        </w:rPr>
      </w:pPr>
    </w:p>
    <w:p w:rsidR="004B675A" w:rsidRDefault="004B675A" w:rsidP="00B72307">
      <w:pPr>
        <w:pStyle w:val="Heading2"/>
        <w:spacing w:before="0" w:after="0"/>
        <w:rPr>
          <w:rFonts w:ascii="Times New Roman" w:hAnsi="Times New Roman"/>
          <w:i w:val="0"/>
          <w:sz w:val="24"/>
          <w:szCs w:val="24"/>
        </w:rPr>
      </w:pPr>
    </w:p>
    <w:p w:rsidR="00B72307" w:rsidRPr="00857BA7" w:rsidRDefault="004F26AB"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lastRenderedPageBreak/>
        <w:t>A.</w:t>
      </w:r>
      <w:r w:rsidR="009E4118" w:rsidRPr="00857BA7">
        <w:rPr>
          <w:rFonts w:ascii="Times New Roman" w:hAnsi="Times New Roman"/>
          <w:i w:val="0"/>
          <w:sz w:val="24"/>
          <w:szCs w:val="24"/>
        </w:rPr>
        <w:t>2. Purpose and Use of Information</w:t>
      </w:r>
    </w:p>
    <w:p w:rsidR="009E4118" w:rsidRPr="00857BA7" w:rsidRDefault="009E4118" w:rsidP="009E4118">
      <w:pPr>
        <w:rPr>
          <w:i/>
          <w:u w:val="single"/>
        </w:rPr>
      </w:pPr>
    </w:p>
    <w:p w:rsidR="00516826" w:rsidRPr="00857BA7" w:rsidRDefault="0051317E" w:rsidP="00516826">
      <w:r w:rsidRPr="00857BA7">
        <w:t xml:space="preserve">The CDC’s Division of Blood Disorders </w:t>
      </w:r>
      <w:r w:rsidR="00C55761" w:rsidRPr="00857BA7">
        <w:t xml:space="preserve">and it’s contractor, AIR </w:t>
      </w:r>
      <w:r w:rsidRPr="00857BA7">
        <w:t xml:space="preserve">will conduct </w:t>
      </w:r>
      <w:r w:rsidR="00053637">
        <w:t xml:space="preserve">a total of 10 </w:t>
      </w:r>
      <w:r w:rsidRPr="00857BA7">
        <w:t xml:space="preserve">focus groups to gather information that will be used to design educational materials for </w:t>
      </w:r>
      <w:r w:rsidR="00C55761" w:rsidRPr="00857BA7">
        <w:t>people with SCD in the following age groups: adolescents (15-17), y</w:t>
      </w:r>
      <w:r w:rsidR="00C55761" w:rsidRPr="00857BA7">
        <w:rPr>
          <w:bCs/>
        </w:rPr>
        <w:t xml:space="preserve">oung adults (18–25), adults (ages 26–35), and  older adults (ages 36+).  </w:t>
      </w:r>
      <w:r w:rsidR="00636AFE" w:rsidRPr="00857BA7">
        <w:t xml:space="preserve">Data will be collected only once for each participant in the focus groups. </w:t>
      </w:r>
      <w:r w:rsidR="00C55761" w:rsidRPr="00857BA7">
        <w:t>The materials will address adoption of healthy behaviors and the prevention of complications associated with sickle cell disease</w:t>
      </w:r>
      <w:r w:rsidRPr="00857BA7">
        <w:t xml:space="preserve">. The groups will also explore how </w:t>
      </w:r>
      <w:r w:rsidR="00C55761" w:rsidRPr="00857BA7">
        <w:t xml:space="preserve">people with SCD </w:t>
      </w:r>
      <w:r w:rsidRPr="00857BA7">
        <w:t xml:space="preserve">prefer to receive health messages and health information (e.g., brochures, videos, podcasts, </w:t>
      </w:r>
      <w:r w:rsidR="009E1353" w:rsidRPr="00857BA7">
        <w:t>and social</w:t>
      </w:r>
      <w:r w:rsidR="00F01BE6" w:rsidRPr="00857BA7">
        <w:t xml:space="preserve"> media</w:t>
      </w:r>
      <w:r w:rsidRPr="00857BA7">
        <w:t>)</w:t>
      </w:r>
      <w:r w:rsidR="00D91EEC" w:rsidRPr="00857BA7">
        <w:t>.</w:t>
      </w:r>
      <w:r w:rsidRPr="00857BA7">
        <w:t xml:space="preserve"> These findings will inform the development of key messages tailored to the target audiences.</w:t>
      </w:r>
    </w:p>
    <w:p w:rsidR="0066598B" w:rsidRPr="00857BA7" w:rsidRDefault="0066598B" w:rsidP="0066598B">
      <w:pPr>
        <w:rPr>
          <w:highlight w:val="yellow"/>
        </w:rPr>
      </w:pPr>
    </w:p>
    <w:p w:rsidR="004376F0" w:rsidRPr="00857BA7" w:rsidRDefault="004376F0" w:rsidP="00945B8B">
      <w:r w:rsidRPr="00857BA7">
        <w:t xml:space="preserve">The </w:t>
      </w:r>
      <w:r w:rsidR="00F01BE6" w:rsidRPr="00857BA7">
        <w:t xml:space="preserve">focus groups </w:t>
      </w:r>
      <w:r w:rsidRPr="00857BA7">
        <w:t xml:space="preserve">will </w:t>
      </w:r>
      <w:r w:rsidR="00F01BE6" w:rsidRPr="00857BA7">
        <w:t xml:space="preserve">identify </w:t>
      </w:r>
      <w:r w:rsidR="002109C6" w:rsidRPr="00857BA7">
        <w:t>messages or information</w:t>
      </w:r>
      <w:r w:rsidR="0018589D" w:rsidRPr="00857BA7">
        <w:t xml:space="preserve"> about </w:t>
      </w:r>
      <w:r w:rsidR="00C55761" w:rsidRPr="00857BA7">
        <w:t xml:space="preserve">preventing complications and staying healthy </w:t>
      </w:r>
      <w:r w:rsidR="00CA12B1" w:rsidRPr="00857BA7">
        <w:t xml:space="preserve">that </w:t>
      </w:r>
      <w:r w:rsidR="00C55761" w:rsidRPr="00857BA7">
        <w:t xml:space="preserve">are </w:t>
      </w:r>
      <w:r w:rsidR="002109C6" w:rsidRPr="00857BA7">
        <w:t xml:space="preserve">important to </w:t>
      </w:r>
      <w:r w:rsidR="0084573E" w:rsidRPr="00857BA7">
        <w:t>communicate</w:t>
      </w:r>
      <w:r w:rsidR="00CA12B1" w:rsidRPr="00857BA7">
        <w:t xml:space="preserve"> to people with SCD</w:t>
      </w:r>
      <w:r w:rsidR="002109C6" w:rsidRPr="00857BA7">
        <w:t>.</w:t>
      </w:r>
      <w:r w:rsidR="0051317E" w:rsidRPr="00857BA7">
        <w:t xml:space="preserve"> A </w:t>
      </w:r>
      <w:r w:rsidR="00C55761" w:rsidRPr="00857BA7">
        <w:t xml:space="preserve">moderator’s guide </w:t>
      </w:r>
      <w:r w:rsidR="0051317E" w:rsidRPr="00857BA7">
        <w:t xml:space="preserve">will be used to structure and facilitate the discussion in each group. </w:t>
      </w:r>
      <w:r w:rsidR="00C55761" w:rsidRPr="00857BA7">
        <w:t>The guide</w:t>
      </w:r>
      <w:r w:rsidR="00F01BE6" w:rsidRPr="00857BA7">
        <w:t>s</w:t>
      </w:r>
      <w:r w:rsidR="00C55761" w:rsidRPr="00857BA7">
        <w:t xml:space="preserve"> will be tailored by audience</w:t>
      </w:r>
      <w:r w:rsidR="00F01BE6" w:rsidRPr="00857BA7">
        <w:t xml:space="preserve"> and are included as</w:t>
      </w:r>
      <w:r w:rsidR="00EA7EA2" w:rsidRPr="00857BA7">
        <w:t xml:space="preserve"> </w:t>
      </w:r>
      <w:r w:rsidR="0026720E" w:rsidRPr="00857BA7">
        <w:t>Attachment</w:t>
      </w:r>
      <w:r w:rsidR="00C55761" w:rsidRPr="00857BA7">
        <w:t xml:space="preserve"> </w:t>
      </w:r>
      <w:r w:rsidR="007D1B94">
        <w:t>4</w:t>
      </w:r>
      <w:r w:rsidR="00C55761" w:rsidRPr="00857BA7">
        <w:t>.</w:t>
      </w:r>
      <w:r w:rsidR="000362BA">
        <w:t xml:space="preserve"> </w:t>
      </w:r>
      <w:r w:rsidR="00737E68" w:rsidRPr="00857BA7">
        <w:t>The consequence of not collecting the information would be to place an added burden on people with SCD by not providing materials that address issues related to preventing adverse complications and outcomes.</w:t>
      </w:r>
      <w:r w:rsidR="00EE72FD">
        <w:t xml:space="preserve"> Previous research has indicated that </w:t>
      </w:r>
      <w:r w:rsidR="004545F8">
        <w:t xml:space="preserve">a </w:t>
      </w:r>
      <w:r w:rsidR="00EE72FD">
        <w:t>major factor in the  increased number of people with SCD that experience life threatening</w:t>
      </w:r>
      <w:r w:rsidR="004545F8">
        <w:t xml:space="preserve"> illnesses</w:t>
      </w:r>
      <w:r w:rsidR="00EE72FD">
        <w:t xml:space="preserve"> can be attributed to </w:t>
      </w:r>
      <w:r w:rsidR="004545F8">
        <w:t xml:space="preserve">the </w:t>
      </w:r>
      <w:r w:rsidR="00EE72FD">
        <w:t>lack of knowledge about how to prevent or manage SCD</w:t>
      </w:r>
      <w:r w:rsidR="004545F8">
        <w:t xml:space="preserve"> complications</w:t>
      </w:r>
      <w:r w:rsidR="00EE72FD">
        <w:t>.</w:t>
      </w:r>
    </w:p>
    <w:p w:rsidR="004376F0" w:rsidRPr="00857BA7" w:rsidRDefault="004376F0" w:rsidP="00945B8B"/>
    <w:p w:rsidR="00825097" w:rsidRPr="00FB512A" w:rsidRDefault="00737E68" w:rsidP="0038535F">
      <w:pPr>
        <w:keepNext/>
        <w:rPr>
          <w:u w:val="single"/>
        </w:rPr>
      </w:pPr>
      <w:r>
        <w:rPr>
          <w:u w:val="single"/>
        </w:rPr>
        <w:t xml:space="preserve">2.1 </w:t>
      </w:r>
      <w:r w:rsidR="009D21EE" w:rsidRPr="009D21EE">
        <w:rPr>
          <w:u w:val="single"/>
        </w:rPr>
        <w:t>Privacy Impact Assessment</w:t>
      </w:r>
    </w:p>
    <w:p w:rsidR="00825097" w:rsidRPr="00857BA7" w:rsidRDefault="00825097" w:rsidP="0038535F">
      <w:pPr>
        <w:keepNext/>
      </w:pPr>
    </w:p>
    <w:p w:rsidR="00407250" w:rsidRPr="00857BA7" w:rsidRDefault="0091790E" w:rsidP="0038535F">
      <w:pPr>
        <w:keepNext/>
      </w:pPr>
      <w:r w:rsidRPr="00857BA7">
        <w:t xml:space="preserve">The data collection </w:t>
      </w:r>
      <w:r w:rsidR="0035416A" w:rsidRPr="00857BA7">
        <w:t>efforts pose few, if any, risks to the respondents.</w:t>
      </w:r>
      <w:r w:rsidRPr="00857BA7">
        <w:t xml:space="preserve"> Focus group participants will be asked </w:t>
      </w:r>
      <w:r w:rsidR="00080CCB" w:rsidRPr="00857BA7">
        <w:t>about what kinds of information on self-management and prevention behaviors would be most useful to them and the best ways to present this information.</w:t>
      </w:r>
      <w:r w:rsidR="0035416A" w:rsidRPr="00857BA7">
        <w:t xml:space="preserve"> The discussion topics are not sensitive and should not cause emotional stress or anxiety among the participants. The proposed data collection will have no effect on the respondent’s privacy. </w:t>
      </w:r>
      <w:r w:rsidR="00FE46D4" w:rsidRPr="00857BA7">
        <w:t>A breach to participant privacy</w:t>
      </w:r>
      <w:r w:rsidR="0035416A" w:rsidRPr="00857BA7">
        <w:t xml:space="preserve"> is a minor risk. </w:t>
      </w:r>
      <w:r w:rsidR="004D1021" w:rsidRPr="00857BA7">
        <w:t xml:space="preserve">An </w:t>
      </w:r>
      <w:r w:rsidR="00080CCB" w:rsidRPr="00857BA7">
        <w:t xml:space="preserve">informed consent form </w:t>
      </w:r>
      <w:r w:rsidR="004D1021" w:rsidRPr="00857BA7">
        <w:t xml:space="preserve">will be obtained from all of the participants before the discussion. </w:t>
      </w:r>
      <w:r w:rsidR="00080CCB" w:rsidRPr="00857BA7">
        <w:t xml:space="preserve">For minors aged 15-17, consent and permission will be obtained from parents and </w:t>
      </w:r>
      <w:r w:rsidR="0023540F">
        <w:t>adolescents</w:t>
      </w:r>
      <w:r w:rsidR="0023540F" w:rsidRPr="00857BA7">
        <w:t xml:space="preserve"> </w:t>
      </w:r>
      <w:r w:rsidR="00080CCB" w:rsidRPr="00857BA7">
        <w:t xml:space="preserve">will be asked to provide written assent to participate. </w:t>
      </w:r>
      <w:r w:rsidR="004D1021" w:rsidRPr="00857BA7">
        <w:t xml:space="preserve">At the beginning of the focus group, participants will be </w:t>
      </w:r>
      <w:r w:rsidR="00407250" w:rsidRPr="00857BA7">
        <w:t>assured</w:t>
      </w:r>
      <w:r w:rsidR="004D1021" w:rsidRPr="00857BA7">
        <w:t xml:space="preserve"> that any comments made during the </w:t>
      </w:r>
      <w:r w:rsidR="00407250" w:rsidRPr="00857BA7">
        <w:t>focus</w:t>
      </w:r>
      <w:r w:rsidR="004D1021" w:rsidRPr="00857BA7">
        <w:t xml:space="preserve"> group will </w:t>
      </w:r>
      <w:r w:rsidR="00FE46D4" w:rsidRPr="00857BA7">
        <w:t>not be attributed to them by name in any of the resulting reports</w:t>
      </w:r>
      <w:r w:rsidR="004D1021" w:rsidRPr="00857BA7">
        <w:t xml:space="preserve">. </w:t>
      </w:r>
      <w:r w:rsidR="00BF7706" w:rsidRPr="00857BA7">
        <w:t>P</w:t>
      </w:r>
      <w:r w:rsidR="004D1021" w:rsidRPr="00857BA7">
        <w:t>articipants will be reminded that their participation is voluntary an</w:t>
      </w:r>
      <w:r w:rsidR="00362FF4" w:rsidRPr="00857BA7">
        <w:t>d</w:t>
      </w:r>
      <w:r w:rsidR="004D1021" w:rsidRPr="00857BA7">
        <w:t xml:space="preserve"> </w:t>
      </w:r>
      <w:r w:rsidR="00781177" w:rsidRPr="00857BA7">
        <w:t xml:space="preserve">that </w:t>
      </w:r>
      <w:r w:rsidR="004D1021" w:rsidRPr="00857BA7">
        <w:t xml:space="preserve">they may choose not to answer a question at any time or may withdraw from the focus group. </w:t>
      </w:r>
      <w:r w:rsidR="00191B32" w:rsidRPr="00857BA7">
        <w:t xml:space="preserve"> </w:t>
      </w:r>
      <w:r w:rsidR="00407250" w:rsidRPr="00857BA7">
        <w:t xml:space="preserve">To further </w:t>
      </w:r>
      <w:r w:rsidR="00FE46D4" w:rsidRPr="00857BA7">
        <w:t>safeguard</w:t>
      </w:r>
      <w:r w:rsidR="00191B32" w:rsidRPr="00857BA7">
        <w:t xml:space="preserve"> </w:t>
      </w:r>
      <w:r w:rsidR="00FE46D4" w:rsidRPr="00857BA7">
        <w:t>participant information</w:t>
      </w:r>
      <w:r w:rsidR="00407250" w:rsidRPr="00857BA7">
        <w:t>, transcript</w:t>
      </w:r>
      <w:r w:rsidR="004715B2" w:rsidRPr="00857BA7">
        <w:t>ionist</w:t>
      </w:r>
      <w:r w:rsidR="00407250" w:rsidRPr="00857BA7">
        <w:t>s will remove all references to each participant’s identity beyond his or her first name</w:t>
      </w:r>
      <w:r w:rsidR="00362FF4" w:rsidRPr="00857BA7">
        <w:t>,</w:t>
      </w:r>
      <w:r w:rsidR="00407250" w:rsidRPr="00857BA7">
        <w:t xml:space="preserve"> and all focus group tapes, notes, and transcripts will be destroyed when the project is completed</w:t>
      </w:r>
      <w:r w:rsidR="00DF1071" w:rsidRPr="00857BA7">
        <w:t>.</w:t>
      </w:r>
      <w:r w:rsidR="00CA1EDC" w:rsidRPr="00857BA7">
        <w:t xml:space="preserve">  Furthermore, </w:t>
      </w:r>
      <w:r w:rsidR="00CA1EDC" w:rsidRPr="00857BA7">
        <w:rPr>
          <w:bCs/>
        </w:rPr>
        <w:t>each recruiter, moderator, observer</w:t>
      </w:r>
      <w:r w:rsidR="002E188B" w:rsidRPr="00857BA7">
        <w:rPr>
          <w:bCs/>
        </w:rPr>
        <w:t xml:space="preserve">, </w:t>
      </w:r>
      <w:r w:rsidR="00CA1EDC" w:rsidRPr="00857BA7">
        <w:rPr>
          <w:bCs/>
        </w:rPr>
        <w:t>note</w:t>
      </w:r>
      <w:r w:rsidR="00CA12B1" w:rsidRPr="00857BA7">
        <w:rPr>
          <w:bCs/>
        </w:rPr>
        <w:t xml:space="preserve"> </w:t>
      </w:r>
      <w:r w:rsidR="00CA1EDC" w:rsidRPr="00857BA7">
        <w:rPr>
          <w:bCs/>
        </w:rPr>
        <w:t>taker, and transcriptionist will be asked to sign a</w:t>
      </w:r>
      <w:r w:rsidR="00CA1EDC" w:rsidRPr="00857BA7">
        <w:rPr>
          <w:bCs/>
          <w:i/>
        </w:rPr>
        <w:t xml:space="preserve"> Privacy Protection</w:t>
      </w:r>
      <w:r w:rsidR="00CA1EDC" w:rsidRPr="00857BA7">
        <w:rPr>
          <w:bCs/>
        </w:rPr>
        <w:t xml:space="preserve"> </w:t>
      </w:r>
      <w:r w:rsidR="00CA1EDC" w:rsidRPr="00857BA7">
        <w:rPr>
          <w:bCs/>
          <w:i/>
        </w:rPr>
        <w:t xml:space="preserve">Agreement </w:t>
      </w:r>
      <w:r w:rsidR="00080CCB" w:rsidRPr="00857BA7">
        <w:rPr>
          <w:bCs/>
        </w:rPr>
        <w:t>as shown in Attachment</w:t>
      </w:r>
      <w:r w:rsidR="0013668B" w:rsidRPr="00857BA7">
        <w:rPr>
          <w:bCs/>
        </w:rPr>
        <w:t> </w:t>
      </w:r>
      <w:r w:rsidR="007D1B94">
        <w:rPr>
          <w:bCs/>
        </w:rPr>
        <w:t>3</w:t>
      </w:r>
      <w:r w:rsidR="00CA1EDC" w:rsidRPr="00857BA7">
        <w:rPr>
          <w:bCs/>
        </w:rPr>
        <w:t>.</w:t>
      </w:r>
    </w:p>
    <w:p w:rsidR="00407250" w:rsidRPr="00857BA7" w:rsidRDefault="00407250" w:rsidP="009B2059"/>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47435C" w:rsidRPr="00857BA7">
        <w:rPr>
          <w:rFonts w:ascii="Times New Roman" w:hAnsi="Times New Roman"/>
          <w:i w:val="0"/>
          <w:sz w:val="24"/>
          <w:szCs w:val="24"/>
        </w:rPr>
        <w:t xml:space="preserve">3. Use of </w:t>
      </w:r>
      <w:r w:rsidR="00737E68">
        <w:rPr>
          <w:rFonts w:ascii="Times New Roman" w:hAnsi="Times New Roman"/>
          <w:i w:val="0"/>
          <w:sz w:val="24"/>
          <w:szCs w:val="24"/>
        </w:rPr>
        <w:t xml:space="preserve">Improved </w:t>
      </w:r>
      <w:r w:rsidR="0047435C" w:rsidRPr="00857BA7">
        <w:rPr>
          <w:rFonts w:ascii="Times New Roman" w:hAnsi="Times New Roman"/>
          <w:i w:val="0"/>
          <w:sz w:val="24"/>
          <w:szCs w:val="24"/>
        </w:rPr>
        <w:t>Information Technology</w:t>
      </w:r>
      <w:r w:rsidR="00A0730A" w:rsidRPr="00857BA7">
        <w:rPr>
          <w:rFonts w:ascii="Times New Roman" w:hAnsi="Times New Roman"/>
          <w:i w:val="0"/>
          <w:sz w:val="24"/>
          <w:szCs w:val="24"/>
        </w:rPr>
        <w:t xml:space="preserve"> and Burden Reduction</w:t>
      </w:r>
    </w:p>
    <w:p w:rsidR="0047435C" w:rsidRPr="00857BA7" w:rsidRDefault="0047435C" w:rsidP="00B2381C"/>
    <w:p w:rsidR="0047435C" w:rsidRPr="00857BA7" w:rsidRDefault="00B35CBD" w:rsidP="00B35CBD">
      <w:pPr>
        <w:jc w:val="both"/>
      </w:pPr>
      <w:r w:rsidRPr="00857BA7">
        <w:t xml:space="preserve">A total of 10 focus groups will be completed. </w:t>
      </w:r>
      <w:r w:rsidR="0047435C" w:rsidRPr="00857BA7">
        <w:t xml:space="preserve">The information </w:t>
      </w:r>
      <w:r w:rsidRPr="00857BA7">
        <w:t xml:space="preserve">will be </w:t>
      </w:r>
      <w:r w:rsidR="0047435C" w:rsidRPr="00857BA7">
        <w:t xml:space="preserve">gathered </w:t>
      </w:r>
      <w:r w:rsidRPr="00857BA7">
        <w:t xml:space="preserve">in-person for eight of the 10 focus groups. </w:t>
      </w:r>
      <w:r w:rsidR="00613078" w:rsidRPr="00857BA7">
        <w:t xml:space="preserve">The </w:t>
      </w:r>
      <w:r w:rsidR="00CA12B1" w:rsidRPr="00857BA7">
        <w:t xml:space="preserve">eight </w:t>
      </w:r>
      <w:r w:rsidR="00613078" w:rsidRPr="00857BA7">
        <w:t xml:space="preserve">in-person groups will be held </w:t>
      </w:r>
      <w:r w:rsidR="00613078" w:rsidRPr="00857BA7">
        <w:rPr>
          <w:bCs/>
        </w:rPr>
        <w:t xml:space="preserve">in four cities: Atlanta, GA; Detroit, MI; Oakland, CA; and Philadelphia, PA. </w:t>
      </w:r>
      <w:r w:rsidRPr="00857BA7">
        <w:t xml:space="preserve">Two of the 10 focus groups will be collected by using telephone focus groups and employing the use of a toll-free conference line. </w:t>
      </w:r>
      <w:r w:rsidR="00F01BE6" w:rsidRPr="00857BA7">
        <w:t xml:space="preserve">Telephone focus groups do not provide data which are as rich or detailed as in-person focus groups, nor do they create </w:t>
      </w:r>
      <w:r w:rsidR="00626F5B" w:rsidRPr="00857BA7">
        <w:t xml:space="preserve">as powerful a group dynamic as in-person groups. However, the use of telephone technology will allow us to collect information from geographically disparate individuals who do not live in or near large population centers. This will inform about the SCD informational needs of individuals who live in such areas. </w:t>
      </w:r>
      <w:r w:rsidR="0069333C" w:rsidRPr="00857BA7">
        <w:t xml:space="preserve">Collecting the information in written form, through the mail or electronically, would not be </w:t>
      </w:r>
      <w:r w:rsidR="005131D9" w:rsidRPr="00857BA7">
        <w:t xml:space="preserve">effective in </w:t>
      </w:r>
      <w:r w:rsidR="005131D9" w:rsidRPr="00857BA7">
        <w:lastRenderedPageBreak/>
        <w:t xml:space="preserve">obtaining the kind of information required. </w:t>
      </w:r>
      <w:r w:rsidR="0069333C" w:rsidRPr="00857BA7">
        <w:t xml:space="preserve">The </w:t>
      </w:r>
      <w:r w:rsidR="00631977" w:rsidRPr="00857BA7">
        <w:t>nuances of the information requested require</w:t>
      </w:r>
      <w:r w:rsidR="005131D9" w:rsidRPr="00857BA7">
        <w:t xml:space="preserve"> face-to-face </w:t>
      </w:r>
      <w:r w:rsidRPr="00857BA7">
        <w:t xml:space="preserve">or verbal </w:t>
      </w:r>
      <w:r w:rsidR="005131D9" w:rsidRPr="00857BA7">
        <w:t>discussion</w:t>
      </w:r>
      <w:r w:rsidR="008437A4" w:rsidRPr="00857BA7">
        <w:t>,</w:t>
      </w:r>
      <w:r w:rsidR="005131D9" w:rsidRPr="00857BA7">
        <w:t xml:space="preserve"> and fully understanding </w:t>
      </w:r>
      <w:r w:rsidR="00631977" w:rsidRPr="00857BA7">
        <w:t>them</w:t>
      </w:r>
      <w:r w:rsidR="005131D9" w:rsidRPr="00857BA7">
        <w:t xml:space="preserve"> </w:t>
      </w:r>
      <w:r w:rsidR="0069333C" w:rsidRPr="00857BA7">
        <w:t xml:space="preserve">depends on probes from </w:t>
      </w:r>
      <w:r w:rsidR="005131D9" w:rsidRPr="00857BA7">
        <w:t xml:space="preserve">an </w:t>
      </w:r>
      <w:r w:rsidR="00631977" w:rsidRPr="00857BA7">
        <w:t>experienced moderator</w:t>
      </w:r>
      <w:r w:rsidR="0002759A" w:rsidRPr="00857BA7">
        <w:t>. Open</w:t>
      </w:r>
      <w:r w:rsidR="0069333C" w:rsidRPr="00857BA7">
        <w:t xml:space="preserve">-ended questions </w:t>
      </w:r>
      <w:r w:rsidR="003269DE" w:rsidRPr="00857BA7">
        <w:t xml:space="preserve">will be </w:t>
      </w:r>
      <w:r w:rsidR="0069333C" w:rsidRPr="00857BA7">
        <w:t xml:space="preserve">used to elicit opinions and reactions. To respond to the </w:t>
      </w:r>
      <w:r w:rsidR="0002759A" w:rsidRPr="00857BA7">
        <w:t xml:space="preserve">questions in the </w:t>
      </w:r>
      <w:r w:rsidRPr="00857BA7">
        <w:t xml:space="preserve">moderator’s guide </w:t>
      </w:r>
      <w:r w:rsidR="0069333C" w:rsidRPr="00857BA7">
        <w:t xml:space="preserve">in writing would require long essay-type answers and be more time-consuming than </w:t>
      </w:r>
      <w:r w:rsidR="002109C6" w:rsidRPr="00857BA7">
        <w:t>focus</w:t>
      </w:r>
      <w:r w:rsidR="003269DE" w:rsidRPr="00857BA7">
        <w:t xml:space="preserve"> groups</w:t>
      </w:r>
      <w:r w:rsidR="0069333C" w:rsidRPr="00857BA7">
        <w:t>.</w:t>
      </w:r>
    </w:p>
    <w:p w:rsidR="00E25306" w:rsidRPr="00857BA7" w:rsidRDefault="00E25306" w:rsidP="00FA05BC">
      <w:pPr>
        <w:pStyle w:val="ListBullet"/>
        <w:numPr>
          <w:ilvl w:val="0"/>
          <w:numId w:val="0"/>
        </w:numPr>
        <w:rPr>
          <w:bCs/>
          <w:sz w:val="24"/>
          <w:szCs w:val="24"/>
        </w:rPr>
      </w:pPr>
    </w:p>
    <w:p w:rsidR="00B72307" w:rsidRPr="00857BA7" w:rsidRDefault="007B638F" w:rsidP="00B72307">
      <w:pPr>
        <w:pStyle w:val="Heading2"/>
        <w:keepNext/>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 xml:space="preserve">4. Efforts </w:t>
      </w:r>
      <w:r w:rsidR="00A74760" w:rsidRPr="00857BA7">
        <w:rPr>
          <w:rFonts w:ascii="Times New Roman" w:hAnsi="Times New Roman"/>
          <w:i w:val="0"/>
          <w:sz w:val="24"/>
          <w:szCs w:val="24"/>
        </w:rPr>
        <w:t>to</w:t>
      </w:r>
      <w:r w:rsidR="00744ED9" w:rsidRPr="00857BA7">
        <w:rPr>
          <w:rFonts w:ascii="Times New Roman" w:hAnsi="Times New Roman"/>
          <w:i w:val="0"/>
          <w:sz w:val="24"/>
          <w:szCs w:val="24"/>
        </w:rPr>
        <w:t xml:space="preserve"> Identify Duplication</w:t>
      </w:r>
      <w:r w:rsidR="005377B9" w:rsidRPr="00857BA7">
        <w:rPr>
          <w:rFonts w:ascii="Times New Roman" w:hAnsi="Times New Roman"/>
          <w:i w:val="0"/>
          <w:sz w:val="24"/>
          <w:szCs w:val="24"/>
        </w:rPr>
        <w:t xml:space="preserve"> and Use of Similar Information</w:t>
      </w:r>
    </w:p>
    <w:p w:rsidR="00D2321E" w:rsidRPr="00857BA7" w:rsidRDefault="00D2321E" w:rsidP="00CA12B1">
      <w:pPr>
        <w:keepNext/>
      </w:pPr>
    </w:p>
    <w:p w:rsidR="000A7929" w:rsidRDefault="00626F5B" w:rsidP="000A7929">
      <w:pPr>
        <w:pStyle w:val="Default"/>
      </w:pPr>
      <w:r w:rsidRPr="00857BA7">
        <w:t>To the best of our knowledge, there has been no research conducted to assess the informational needs of people with SCD that would enable the development of self-management and prevention messages that are tailored to specific, age-related target audiences.</w:t>
      </w:r>
      <w:r w:rsidR="00A5235D">
        <w:t xml:space="preserve"> </w:t>
      </w:r>
      <w:r w:rsidR="000A7929">
        <w:t>The National Heart Lung and Blood Institute collected information on SCD awareness campaigns in a media scan in 2009.</w:t>
      </w:r>
      <w:r w:rsidR="000A7929">
        <w:rPr>
          <w:rStyle w:val="FootnoteReference"/>
        </w:rPr>
        <w:footnoteReference w:id="1"/>
      </w:r>
      <w:r w:rsidR="000A7929">
        <w:t xml:space="preserve">  It was noted that:</w:t>
      </w:r>
    </w:p>
    <w:p w:rsidR="00053637" w:rsidRDefault="00053637" w:rsidP="000A7929">
      <w:pPr>
        <w:pStyle w:val="Default"/>
      </w:pPr>
    </w:p>
    <w:p w:rsidR="000A7929" w:rsidRDefault="000A7929" w:rsidP="000A7929">
      <w:pPr>
        <w:pStyle w:val="Default"/>
        <w:ind w:left="720"/>
        <w:rPr>
          <w:i/>
        </w:rPr>
      </w:pPr>
      <w:r w:rsidRPr="00435EC8">
        <w:rPr>
          <w:i/>
        </w:rPr>
        <w:t>In summary, the environmental scan found only a limited number of campaigns. The focus of these campaigns was primarily on general awareness, rather than treatment options, management, or prevention of SCD complica</w:t>
      </w:r>
      <w:r w:rsidRPr="00435EC8">
        <w:rPr>
          <w:i/>
        </w:rPr>
        <w:softHyphen/>
        <w:t>tions</w:t>
      </w:r>
      <w:r>
        <w:rPr>
          <w:i/>
        </w:rPr>
        <w:t xml:space="preserve"> (p. 19).</w:t>
      </w:r>
      <w:r>
        <w:rPr>
          <w:rStyle w:val="FootnoteReference"/>
          <w:i/>
        </w:rPr>
        <w:footnoteReference w:id="2"/>
      </w:r>
      <w:r w:rsidRPr="00435EC8">
        <w:rPr>
          <w:i/>
        </w:rPr>
        <w:t xml:space="preserve"> </w:t>
      </w:r>
    </w:p>
    <w:p w:rsidR="00053637" w:rsidRDefault="00053637" w:rsidP="000A7929">
      <w:pPr>
        <w:pStyle w:val="Default"/>
        <w:ind w:left="720"/>
        <w:rPr>
          <w:i/>
        </w:rPr>
      </w:pPr>
    </w:p>
    <w:p w:rsidR="000A7929" w:rsidRDefault="000A7929" w:rsidP="000A7929">
      <w:pPr>
        <w:keepNext/>
      </w:pPr>
      <w:r>
        <w:t xml:space="preserve">The </w:t>
      </w:r>
      <w:r w:rsidRPr="00E10160">
        <w:t xml:space="preserve">Health Resources and Services Administration </w:t>
      </w:r>
      <w:r>
        <w:t xml:space="preserve">conducted a series of five focus groups with adults with SCD in 2010 to </w:t>
      </w:r>
      <w:r w:rsidRPr="00E10160">
        <w:t xml:space="preserve">assess the gaps in information </w:t>
      </w:r>
      <w:r>
        <w:t xml:space="preserve">about access to care </w:t>
      </w:r>
      <w:r w:rsidRPr="00E10160">
        <w:t>and needs of people and families with SCD and obtain recommendations for future works</w:t>
      </w:r>
      <w:r>
        <w:t>. Neither of these efforts dealt with identification of behaviors and strategies to promote the self-management of SCD and the avoidance of complications from SCD for targeted populations – the major informational goals of these focus groups.</w:t>
      </w:r>
    </w:p>
    <w:p w:rsidR="000A7929" w:rsidRDefault="000A7929" w:rsidP="000A7929">
      <w:pPr>
        <w:pStyle w:val="Default"/>
      </w:pPr>
    </w:p>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 xml:space="preserve">5. </w:t>
      </w:r>
      <w:r w:rsidR="005377B9" w:rsidRPr="00857BA7">
        <w:rPr>
          <w:rFonts w:ascii="Times New Roman" w:hAnsi="Times New Roman"/>
          <w:i w:val="0"/>
          <w:sz w:val="24"/>
          <w:szCs w:val="24"/>
        </w:rPr>
        <w:t xml:space="preserve">Impact on Small Businesses or Other </w:t>
      </w:r>
      <w:r w:rsidR="00744ED9" w:rsidRPr="00857BA7">
        <w:rPr>
          <w:rFonts w:ascii="Times New Roman" w:hAnsi="Times New Roman"/>
          <w:i w:val="0"/>
          <w:sz w:val="24"/>
          <w:szCs w:val="24"/>
        </w:rPr>
        <w:t>Small Entities</w:t>
      </w:r>
    </w:p>
    <w:p w:rsidR="00744ED9" w:rsidRPr="00857BA7" w:rsidRDefault="00744ED9" w:rsidP="00744ED9"/>
    <w:p w:rsidR="00744ED9" w:rsidRPr="00857BA7" w:rsidRDefault="00430AFB" w:rsidP="00744ED9">
      <w:r>
        <w:t>No small businesses will be involved in this data collection</w:t>
      </w:r>
      <w:r w:rsidR="00027F79">
        <w:t>.</w:t>
      </w:r>
      <w:r w:rsidR="005377B9" w:rsidRPr="00857BA7">
        <w:t xml:space="preserve">  </w:t>
      </w:r>
    </w:p>
    <w:p w:rsidR="00087B1E" w:rsidRPr="00857BA7" w:rsidRDefault="00087B1E" w:rsidP="00744ED9">
      <w:pPr>
        <w:rPr>
          <w:b/>
          <w:i/>
          <w:u w:val="single"/>
        </w:rPr>
      </w:pPr>
    </w:p>
    <w:p w:rsidR="00B72307" w:rsidRPr="00857BA7" w:rsidRDefault="007B638F" w:rsidP="00A5235D">
      <w:pPr>
        <w:pStyle w:val="Heading2"/>
        <w:keepNext/>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 xml:space="preserve">6. Consequences </w:t>
      </w:r>
      <w:r w:rsidR="005377B9" w:rsidRPr="00857BA7">
        <w:rPr>
          <w:rFonts w:ascii="Times New Roman" w:hAnsi="Times New Roman"/>
          <w:i w:val="0"/>
          <w:sz w:val="24"/>
          <w:szCs w:val="24"/>
        </w:rPr>
        <w:t>o</w:t>
      </w:r>
      <w:r w:rsidR="00744ED9" w:rsidRPr="00857BA7">
        <w:rPr>
          <w:rFonts w:ascii="Times New Roman" w:hAnsi="Times New Roman"/>
          <w:i w:val="0"/>
          <w:sz w:val="24"/>
          <w:szCs w:val="24"/>
        </w:rPr>
        <w:t>f</w:t>
      </w:r>
      <w:r w:rsidR="005377B9" w:rsidRPr="00857BA7">
        <w:rPr>
          <w:rFonts w:ascii="Times New Roman" w:hAnsi="Times New Roman"/>
          <w:i w:val="0"/>
          <w:sz w:val="24"/>
          <w:szCs w:val="24"/>
        </w:rPr>
        <w:t xml:space="preserve"> Collecting the</w:t>
      </w:r>
      <w:r w:rsidR="00744ED9" w:rsidRPr="00857BA7">
        <w:rPr>
          <w:rFonts w:ascii="Times New Roman" w:hAnsi="Times New Roman"/>
          <w:i w:val="0"/>
          <w:sz w:val="24"/>
          <w:szCs w:val="24"/>
        </w:rPr>
        <w:t xml:space="preserve"> Information Less Frequently</w:t>
      </w:r>
    </w:p>
    <w:p w:rsidR="00744ED9" w:rsidRPr="00857BA7" w:rsidRDefault="00744ED9" w:rsidP="00A5235D">
      <w:pPr>
        <w:keepNext/>
      </w:pPr>
    </w:p>
    <w:p w:rsidR="00B848D4" w:rsidRPr="00857BA7" w:rsidRDefault="00952888" w:rsidP="00A5235D">
      <w:pPr>
        <w:keepNext/>
      </w:pPr>
      <w:r w:rsidRPr="00857BA7">
        <w:t xml:space="preserve">This is a one-time study. There are no plans to repeat it. Data will be collected only once for each participant in the focus groups. </w:t>
      </w:r>
      <w:r w:rsidR="00B848D4" w:rsidRPr="00857BA7">
        <w:t xml:space="preserve">The consequence of not collecting the information would be to place an added burden on </w:t>
      </w:r>
      <w:r w:rsidRPr="00857BA7">
        <w:t>people with SCD</w:t>
      </w:r>
      <w:r w:rsidR="00B848D4" w:rsidRPr="00857BA7">
        <w:t xml:space="preserve"> by not providing materials that address </w:t>
      </w:r>
      <w:r w:rsidRPr="00857BA7">
        <w:t xml:space="preserve">issues related to preventing adverse complications and outcomes. </w:t>
      </w:r>
      <w:r w:rsidR="00B848D4" w:rsidRPr="00857BA7">
        <w:t xml:space="preserve">The collection of this information would allow for development of necessary materials to address the issues of </w:t>
      </w:r>
      <w:r w:rsidR="0029326A" w:rsidRPr="00857BA7">
        <w:t xml:space="preserve">healthy behaviors and preventive activities </w:t>
      </w:r>
      <w:r w:rsidR="00B848D4" w:rsidRPr="00857BA7">
        <w:t>for the intended audience</w:t>
      </w:r>
      <w:r w:rsidR="0029326A" w:rsidRPr="00857BA7">
        <w:t>s</w:t>
      </w:r>
      <w:r w:rsidR="00B848D4" w:rsidRPr="00857BA7">
        <w:t>.</w:t>
      </w:r>
    </w:p>
    <w:p w:rsidR="008F62B0" w:rsidRPr="00857BA7" w:rsidRDefault="008F62B0" w:rsidP="00744ED9"/>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744ED9" w:rsidRPr="00857BA7">
        <w:rPr>
          <w:rFonts w:ascii="Times New Roman" w:hAnsi="Times New Roman"/>
          <w:i w:val="0"/>
          <w:sz w:val="24"/>
          <w:szCs w:val="24"/>
        </w:rPr>
        <w:t>7.</w:t>
      </w:r>
      <w:r w:rsidR="006B175C" w:rsidRPr="00857BA7">
        <w:rPr>
          <w:rFonts w:ascii="Times New Roman" w:hAnsi="Times New Roman"/>
          <w:i w:val="0"/>
          <w:sz w:val="24"/>
          <w:szCs w:val="24"/>
        </w:rPr>
        <w:t xml:space="preserve"> Special Circumstances Relating to the Guidelines of 5 CFR 1320.5</w:t>
      </w:r>
    </w:p>
    <w:p w:rsidR="006B175C" w:rsidRPr="00857BA7" w:rsidRDefault="006B175C" w:rsidP="00744ED9">
      <w:pPr>
        <w:rPr>
          <w:i/>
          <w:u w:val="single"/>
        </w:rPr>
      </w:pPr>
    </w:p>
    <w:p w:rsidR="006B175C" w:rsidRDefault="00430AFB" w:rsidP="00744ED9">
      <w:r>
        <w:t>This request fully complies with the regulation 5 CFR 1320.5</w:t>
      </w:r>
      <w:r w:rsidR="00952888" w:rsidRPr="00857BA7">
        <w:t>.</w:t>
      </w:r>
    </w:p>
    <w:p w:rsidR="00737E68" w:rsidRDefault="00737E68" w:rsidP="00744ED9"/>
    <w:p w:rsidR="00737E68" w:rsidRPr="00857BA7" w:rsidRDefault="00737E68" w:rsidP="00744ED9"/>
    <w:p w:rsidR="00EA7EA2" w:rsidRPr="00857BA7" w:rsidRDefault="00EA7EA2" w:rsidP="00744ED9"/>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lastRenderedPageBreak/>
        <w:t>A.</w:t>
      </w:r>
      <w:r w:rsidR="00537554" w:rsidRPr="00857BA7">
        <w:rPr>
          <w:rFonts w:ascii="Times New Roman" w:hAnsi="Times New Roman"/>
          <w:i w:val="0"/>
          <w:sz w:val="24"/>
          <w:szCs w:val="24"/>
        </w:rPr>
        <w:t xml:space="preserve">8. </w:t>
      </w:r>
      <w:r w:rsidR="0096489E" w:rsidRPr="00857BA7">
        <w:rPr>
          <w:rFonts w:ascii="Times New Roman" w:hAnsi="Times New Roman"/>
          <w:i w:val="0"/>
          <w:sz w:val="24"/>
          <w:szCs w:val="24"/>
        </w:rPr>
        <w:t xml:space="preserve">Comments in Response to the Federal Register Notice and Efforts to </w:t>
      </w:r>
      <w:r w:rsidR="00537554" w:rsidRPr="00857BA7">
        <w:rPr>
          <w:rFonts w:ascii="Times New Roman" w:hAnsi="Times New Roman"/>
          <w:i w:val="0"/>
          <w:sz w:val="24"/>
          <w:szCs w:val="24"/>
        </w:rPr>
        <w:t>Consult</w:t>
      </w:r>
      <w:r w:rsidR="00744ED9" w:rsidRPr="00857BA7">
        <w:rPr>
          <w:rFonts w:ascii="Times New Roman" w:hAnsi="Times New Roman"/>
          <w:i w:val="0"/>
          <w:sz w:val="24"/>
          <w:szCs w:val="24"/>
        </w:rPr>
        <w:t xml:space="preserve"> Outside the Agency</w:t>
      </w:r>
    </w:p>
    <w:p w:rsidR="00744ED9" w:rsidRPr="00857BA7" w:rsidRDefault="00744ED9" w:rsidP="00744ED9">
      <w:pPr>
        <w:rPr>
          <w:i/>
          <w:u w:val="single"/>
        </w:rPr>
      </w:pPr>
    </w:p>
    <w:p w:rsidR="00B72307" w:rsidRDefault="006B175C" w:rsidP="00B72307">
      <w:pPr>
        <w:numPr>
          <w:ilvl w:val="0"/>
          <w:numId w:val="17"/>
        </w:numPr>
      </w:pPr>
      <w:r w:rsidRPr="0038535F">
        <w:t xml:space="preserve">A copy of the agency’s </w:t>
      </w:r>
      <w:r w:rsidR="0096489E" w:rsidRPr="0038535F">
        <w:t>60-day Federal Register N</w:t>
      </w:r>
      <w:r w:rsidRPr="0038535F">
        <w:t>otice is attached (</w:t>
      </w:r>
      <w:r w:rsidR="00CC0759" w:rsidRPr="0038535F">
        <w:rPr>
          <w:i/>
        </w:rPr>
        <w:t xml:space="preserve">60-day Federal Register Notice </w:t>
      </w:r>
      <w:r w:rsidR="00F57B5F" w:rsidRPr="0038535F">
        <w:t>Attachment</w:t>
      </w:r>
      <w:r w:rsidR="00DF1071" w:rsidRPr="0038535F">
        <w:t xml:space="preserve"> </w:t>
      </w:r>
      <w:r w:rsidR="00B2381C" w:rsidRPr="0038535F">
        <w:t>2</w:t>
      </w:r>
      <w:r w:rsidRPr="0038535F">
        <w:t>). The notice, as required by 5 CFR 1320.</w:t>
      </w:r>
      <w:r w:rsidR="00C17422" w:rsidRPr="0038535F">
        <w:t>8 (d),</w:t>
      </w:r>
      <w:r w:rsidR="00906ED3" w:rsidRPr="0038535F">
        <w:t xml:space="preserve"> was published on</w:t>
      </w:r>
      <w:r w:rsidR="00EE72FD">
        <w:t xml:space="preserve"> </w:t>
      </w:r>
      <w:r w:rsidR="00430AFB">
        <w:t xml:space="preserve">January 16, 2013 </w:t>
      </w:r>
      <w:r w:rsidR="00737E68">
        <w:t xml:space="preserve">(volume </w:t>
      </w:r>
      <w:r w:rsidR="00430AFB">
        <w:t>78</w:t>
      </w:r>
      <w:r w:rsidR="00737E68">
        <w:t xml:space="preserve">, number </w:t>
      </w:r>
      <w:r w:rsidR="00430AFB">
        <w:t>11</w:t>
      </w:r>
      <w:r w:rsidR="00737E68">
        <w:t xml:space="preserve">, pages </w:t>
      </w:r>
      <w:r w:rsidR="00430AFB">
        <w:t>3429 - 3430</w:t>
      </w:r>
      <w:r w:rsidR="002064EF">
        <w:t>)</w:t>
      </w:r>
      <w:r w:rsidR="00537554" w:rsidRPr="0038535F">
        <w:t>.</w:t>
      </w:r>
      <w:r w:rsidR="00C17422" w:rsidRPr="0038535F">
        <w:t xml:space="preserve"> </w:t>
      </w:r>
      <w:r w:rsidR="00430AFB">
        <w:t xml:space="preserve">No </w:t>
      </w:r>
      <w:r w:rsidR="002064EF">
        <w:t>comment</w:t>
      </w:r>
      <w:r w:rsidR="00430AFB">
        <w:t>s</w:t>
      </w:r>
      <w:r w:rsidR="002064EF">
        <w:t xml:space="preserve"> </w:t>
      </w:r>
      <w:r w:rsidR="00430AFB">
        <w:t xml:space="preserve">were </w:t>
      </w:r>
      <w:r w:rsidR="002064EF">
        <w:t>received in response to this notice.</w:t>
      </w:r>
    </w:p>
    <w:p w:rsidR="007A3BBA" w:rsidRPr="0038535F" w:rsidRDefault="007A3BBA" w:rsidP="007A3BBA">
      <w:pPr>
        <w:ind w:left="720"/>
      </w:pPr>
    </w:p>
    <w:p w:rsidR="00B72307" w:rsidRPr="0038535F" w:rsidRDefault="002064EF" w:rsidP="00B72307">
      <w:pPr>
        <w:numPr>
          <w:ilvl w:val="0"/>
          <w:numId w:val="17"/>
        </w:numPr>
      </w:pPr>
      <w:r>
        <w:t xml:space="preserve">This data collection effort has been developed in collaboration with several organizations outside CDC. </w:t>
      </w:r>
      <w:r w:rsidR="00430AFB">
        <w:t>T</w:t>
      </w:r>
      <w:r w:rsidR="0038535F" w:rsidRPr="0038535F">
        <w:t xml:space="preserve">he following list of representatives from </w:t>
      </w:r>
      <w:r>
        <w:t xml:space="preserve">these </w:t>
      </w:r>
      <w:r w:rsidR="0038535F" w:rsidRPr="0038535F">
        <w:t xml:space="preserve">organizations were consulted and asked to review the data collection instruments for this study. </w:t>
      </w:r>
    </w:p>
    <w:p w:rsidR="0038535F" w:rsidRDefault="0038535F" w:rsidP="0038535F">
      <w:pPr>
        <w:rPr>
          <w:b/>
          <w:bCs/>
          <w:noProof/>
          <w:sz w:val="22"/>
          <w:szCs w:val="22"/>
        </w:rPr>
      </w:pPr>
    </w:p>
    <w:p w:rsidR="0038535F" w:rsidRPr="0038535F" w:rsidRDefault="0038535F" w:rsidP="0038535F">
      <w:pPr>
        <w:ind w:left="720"/>
        <w:rPr>
          <w:b/>
          <w:bCs/>
          <w:noProof/>
        </w:rPr>
      </w:pPr>
      <w:r w:rsidRPr="0038535F">
        <w:rPr>
          <w:b/>
          <w:bCs/>
          <w:noProof/>
        </w:rPr>
        <w:t>Marie Boyle</w:t>
      </w:r>
    </w:p>
    <w:p w:rsidR="0038535F" w:rsidRPr="0038535F" w:rsidRDefault="0038535F" w:rsidP="0038535F">
      <w:pPr>
        <w:ind w:left="720"/>
        <w:rPr>
          <w:bCs/>
          <w:noProof/>
        </w:rPr>
      </w:pPr>
      <w:r w:rsidRPr="0038535F">
        <w:rPr>
          <w:bCs/>
          <w:noProof/>
        </w:rPr>
        <w:t>Public Health Advisor</w:t>
      </w:r>
    </w:p>
    <w:p w:rsidR="0038535F" w:rsidRPr="0038535F" w:rsidRDefault="0038535F" w:rsidP="0038535F">
      <w:pPr>
        <w:ind w:left="720"/>
        <w:rPr>
          <w:bCs/>
          <w:noProof/>
        </w:rPr>
      </w:pPr>
      <w:r w:rsidRPr="0038535F">
        <w:rPr>
          <w:bCs/>
          <w:noProof/>
        </w:rPr>
        <w:t>National Heart, Lung, and Blood Institute</w:t>
      </w:r>
    </w:p>
    <w:p w:rsidR="0038535F" w:rsidRPr="0038535F" w:rsidRDefault="0038535F" w:rsidP="0038535F">
      <w:pPr>
        <w:ind w:left="720"/>
        <w:rPr>
          <w:bCs/>
          <w:noProof/>
        </w:rPr>
      </w:pPr>
      <w:r w:rsidRPr="0038535F">
        <w:rPr>
          <w:bCs/>
          <w:noProof/>
        </w:rPr>
        <w:t>31 Center Dr, Bldg 31, 4A10F</w:t>
      </w:r>
    </w:p>
    <w:p w:rsidR="0038535F" w:rsidRPr="0038535F" w:rsidRDefault="0038535F" w:rsidP="0038535F">
      <w:pPr>
        <w:ind w:left="720"/>
        <w:rPr>
          <w:bCs/>
          <w:noProof/>
        </w:rPr>
      </w:pPr>
      <w:r w:rsidRPr="0038535F">
        <w:rPr>
          <w:bCs/>
          <w:noProof/>
        </w:rPr>
        <w:t>Bethesda, MD 20892</w:t>
      </w:r>
    </w:p>
    <w:p w:rsidR="0038535F" w:rsidRPr="0038535F" w:rsidRDefault="0038535F" w:rsidP="0038535F">
      <w:pPr>
        <w:ind w:left="720"/>
        <w:rPr>
          <w:bCs/>
          <w:noProof/>
        </w:rPr>
      </w:pPr>
      <w:r w:rsidRPr="0038535F">
        <w:rPr>
          <w:bCs/>
          <w:noProof/>
        </w:rPr>
        <w:t>(301) 594-1950</w:t>
      </w:r>
    </w:p>
    <w:p w:rsidR="0038535F" w:rsidRPr="0038535F" w:rsidRDefault="00D44B7A" w:rsidP="0038535F">
      <w:pPr>
        <w:ind w:left="720"/>
        <w:rPr>
          <w:bCs/>
          <w:noProof/>
        </w:rPr>
      </w:pPr>
      <w:hyperlink r:id="rId10" w:history="1">
        <w:r w:rsidR="0038535F" w:rsidRPr="0038535F">
          <w:rPr>
            <w:rStyle w:val="Hyperlink"/>
            <w:bCs/>
            <w:noProof/>
          </w:rPr>
          <w:t>marie.boyle@nih.hhs.gov</w:t>
        </w:r>
      </w:hyperlink>
    </w:p>
    <w:p w:rsidR="0038535F" w:rsidRPr="0038535F" w:rsidRDefault="0038535F" w:rsidP="0038535F">
      <w:pPr>
        <w:ind w:left="720"/>
        <w:rPr>
          <w:b/>
          <w:bCs/>
          <w:noProof/>
        </w:rPr>
      </w:pPr>
    </w:p>
    <w:p w:rsidR="0038535F" w:rsidRPr="0038535F" w:rsidRDefault="0038535F" w:rsidP="0038535F">
      <w:pPr>
        <w:ind w:left="720"/>
        <w:rPr>
          <w:b/>
          <w:bCs/>
          <w:noProof/>
        </w:rPr>
      </w:pPr>
      <w:r w:rsidRPr="0038535F">
        <w:rPr>
          <w:b/>
          <w:bCs/>
          <w:noProof/>
        </w:rPr>
        <w:t>R. Lorraine Brown, RN, BS</w:t>
      </w:r>
    </w:p>
    <w:p w:rsidR="0038535F" w:rsidRPr="0038535F" w:rsidRDefault="0038535F" w:rsidP="0038535F">
      <w:pPr>
        <w:ind w:left="720"/>
        <w:rPr>
          <w:noProof/>
        </w:rPr>
      </w:pPr>
      <w:r w:rsidRPr="0038535F">
        <w:rPr>
          <w:noProof/>
        </w:rPr>
        <w:t>Public Health Analyst</w:t>
      </w:r>
    </w:p>
    <w:p w:rsidR="0038535F" w:rsidRPr="0038535F" w:rsidRDefault="0038535F" w:rsidP="0038535F">
      <w:pPr>
        <w:ind w:left="720"/>
        <w:rPr>
          <w:noProof/>
        </w:rPr>
      </w:pPr>
      <w:r w:rsidRPr="0038535F">
        <w:rPr>
          <w:noProof/>
        </w:rPr>
        <w:t>Health Resources and Services Administration</w:t>
      </w:r>
    </w:p>
    <w:p w:rsidR="0038535F" w:rsidRPr="0038535F" w:rsidRDefault="0038535F" w:rsidP="0038535F">
      <w:pPr>
        <w:ind w:left="720"/>
        <w:rPr>
          <w:noProof/>
        </w:rPr>
      </w:pPr>
      <w:r w:rsidRPr="0038535F">
        <w:rPr>
          <w:noProof/>
        </w:rPr>
        <w:t>5600 Fishers Lane, 18A-19 PKLN</w:t>
      </w:r>
    </w:p>
    <w:p w:rsidR="0038535F" w:rsidRPr="0038535F" w:rsidRDefault="0038535F" w:rsidP="0038535F">
      <w:pPr>
        <w:ind w:left="720"/>
        <w:rPr>
          <w:noProof/>
        </w:rPr>
      </w:pPr>
      <w:r w:rsidRPr="0038535F">
        <w:rPr>
          <w:noProof/>
        </w:rPr>
        <w:t>Rockville, MD 20857</w:t>
      </w:r>
    </w:p>
    <w:p w:rsidR="0038535F" w:rsidRPr="0038535F" w:rsidRDefault="0038535F" w:rsidP="0038535F">
      <w:pPr>
        <w:ind w:left="720"/>
        <w:rPr>
          <w:noProof/>
        </w:rPr>
      </w:pPr>
      <w:r w:rsidRPr="0038535F">
        <w:rPr>
          <w:noProof/>
        </w:rPr>
        <w:t>(301) 443-1080</w:t>
      </w:r>
    </w:p>
    <w:p w:rsidR="0038535F" w:rsidRPr="0038535F" w:rsidRDefault="00D44B7A" w:rsidP="0038535F">
      <w:pPr>
        <w:ind w:left="720"/>
        <w:rPr>
          <w:noProof/>
        </w:rPr>
      </w:pPr>
      <w:hyperlink r:id="rId11" w:history="1">
        <w:r w:rsidR="0038535F" w:rsidRPr="0038535F">
          <w:rPr>
            <w:rStyle w:val="Hyperlink"/>
            <w:noProof/>
          </w:rPr>
          <w:t>lbrown@hrsa.gov</w:t>
        </w:r>
      </w:hyperlink>
    </w:p>
    <w:p w:rsidR="0038535F" w:rsidRPr="0038535F" w:rsidRDefault="0038535F" w:rsidP="0038535F">
      <w:pPr>
        <w:ind w:left="720"/>
        <w:rPr>
          <w:b/>
        </w:rPr>
      </w:pPr>
    </w:p>
    <w:p w:rsidR="0038535F" w:rsidRPr="0038535F" w:rsidRDefault="0038535F" w:rsidP="0038535F">
      <w:pPr>
        <w:ind w:left="720"/>
        <w:rPr>
          <w:noProof/>
        </w:rPr>
      </w:pPr>
      <w:r w:rsidRPr="0038535F">
        <w:rPr>
          <w:b/>
        </w:rPr>
        <w:t>Carlton Haywood Jr., PhD, MA</w:t>
      </w:r>
    </w:p>
    <w:p w:rsidR="0038535F" w:rsidRPr="0038535F" w:rsidRDefault="0038535F" w:rsidP="0038535F">
      <w:pPr>
        <w:ind w:left="720"/>
        <w:rPr>
          <w:noProof/>
        </w:rPr>
      </w:pPr>
      <w:r w:rsidRPr="0038535F">
        <w:rPr>
          <w:bCs/>
          <w:noProof/>
        </w:rPr>
        <w:t>Assistant Professor</w:t>
      </w:r>
    </w:p>
    <w:p w:rsidR="0038535F" w:rsidRPr="0038535F" w:rsidRDefault="0038535F" w:rsidP="0038535F">
      <w:pPr>
        <w:ind w:left="720"/>
        <w:rPr>
          <w:noProof/>
        </w:rPr>
      </w:pPr>
      <w:r w:rsidRPr="0038535F">
        <w:rPr>
          <w:noProof/>
        </w:rPr>
        <w:t>Johns Hopkins Berman Institute of Bioethnics</w:t>
      </w:r>
    </w:p>
    <w:p w:rsidR="0038535F" w:rsidRPr="0038535F" w:rsidRDefault="0038535F" w:rsidP="0038535F">
      <w:pPr>
        <w:ind w:left="720"/>
        <w:rPr>
          <w:noProof/>
        </w:rPr>
      </w:pPr>
      <w:r w:rsidRPr="0038535F">
        <w:rPr>
          <w:noProof/>
        </w:rPr>
        <w:t>624 N. Broadway, Hampton House, Room 355</w:t>
      </w:r>
    </w:p>
    <w:p w:rsidR="0038535F" w:rsidRPr="0038535F" w:rsidRDefault="0038535F" w:rsidP="0038535F">
      <w:pPr>
        <w:tabs>
          <w:tab w:val="left" w:pos="2970"/>
        </w:tabs>
        <w:ind w:left="720"/>
        <w:rPr>
          <w:noProof/>
          <w:lang w:val="es-ES"/>
        </w:rPr>
      </w:pPr>
      <w:r w:rsidRPr="0038535F">
        <w:rPr>
          <w:noProof/>
          <w:lang w:val="es-ES"/>
        </w:rPr>
        <w:t>Baltimore, MD</w:t>
      </w:r>
    </w:p>
    <w:p w:rsidR="0038535F" w:rsidRPr="0038535F" w:rsidRDefault="0038535F" w:rsidP="0038535F">
      <w:pPr>
        <w:ind w:left="720"/>
        <w:rPr>
          <w:noProof/>
          <w:lang w:val="es-ES"/>
        </w:rPr>
      </w:pPr>
      <w:r w:rsidRPr="0038535F">
        <w:rPr>
          <w:noProof/>
          <w:lang w:val="es-ES"/>
        </w:rPr>
        <w:t>(410) 614-6335</w:t>
      </w:r>
    </w:p>
    <w:p w:rsidR="0038535F" w:rsidRPr="0038535F" w:rsidRDefault="00D44B7A" w:rsidP="0038535F">
      <w:pPr>
        <w:ind w:left="720"/>
        <w:rPr>
          <w:noProof/>
          <w:lang w:val="es-ES"/>
        </w:rPr>
      </w:pPr>
      <w:hyperlink r:id="rId12" w:history="1">
        <w:r w:rsidR="0038535F" w:rsidRPr="0038535F">
          <w:rPr>
            <w:rStyle w:val="Hyperlink"/>
            <w:noProof/>
            <w:lang w:val="es-ES"/>
          </w:rPr>
          <w:t>chaywood@jhsph.edu</w:t>
        </w:r>
      </w:hyperlink>
      <w:r w:rsidR="0038535F" w:rsidRPr="0038535F">
        <w:rPr>
          <w:noProof/>
          <w:lang w:val="es-ES"/>
        </w:rPr>
        <w:t xml:space="preserve"> </w:t>
      </w:r>
    </w:p>
    <w:p w:rsidR="0038535F" w:rsidRPr="0038535F" w:rsidRDefault="0038535F" w:rsidP="0038535F">
      <w:pPr>
        <w:ind w:left="720"/>
        <w:rPr>
          <w:b/>
          <w:lang w:val="es-ES"/>
        </w:rPr>
      </w:pPr>
    </w:p>
    <w:p w:rsidR="0038535F" w:rsidRPr="0038535F" w:rsidRDefault="0038535F" w:rsidP="0038535F">
      <w:pPr>
        <w:ind w:left="720"/>
        <w:rPr>
          <w:b/>
          <w:lang w:val="es-ES"/>
        </w:rPr>
      </w:pPr>
      <w:proofErr w:type="spellStart"/>
      <w:r w:rsidRPr="0038535F">
        <w:rPr>
          <w:b/>
          <w:bCs/>
          <w:lang w:val="es-ES"/>
        </w:rPr>
        <w:t>Lanetta</w:t>
      </w:r>
      <w:proofErr w:type="spellEnd"/>
      <w:r w:rsidRPr="0038535F">
        <w:rPr>
          <w:b/>
          <w:bCs/>
          <w:lang w:val="es-ES"/>
        </w:rPr>
        <w:t xml:space="preserve"> B. Jordan, MD, MPH, MSPH</w:t>
      </w:r>
    </w:p>
    <w:p w:rsidR="0038535F" w:rsidRPr="0038535F" w:rsidRDefault="0038535F" w:rsidP="0038535F">
      <w:pPr>
        <w:ind w:left="720"/>
      </w:pPr>
      <w:r w:rsidRPr="0038535F">
        <w:t xml:space="preserve">Director of Sickle Cell Services </w:t>
      </w:r>
    </w:p>
    <w:p w:rsidR="0038535F" w:rsidRPr="0038535F" w:rsidRDefault="0038535F" w:rsidP="0038535F">
      <w:pPr>
        <w:ind w:left="720"/>
      </w:pPr>
      <w:r w:rsidRPr="0038535F">
        <w:t>(</w:t>
      </w:r>
      <w:proofErr w:type="gramStart"/>
      <w:r w:rsidRPr="0038535F">
        <w:t>and</w:t>
      </w:r>
      <w:proofErr w:type="gramEnd"/>
      <w:r w:rsidRPr="0038535F">
        <w:t xml:space="preserve"> CMO of the SCDAA)</w:t>
      </w:r>
    </w:p>
    <w:p w:rsidR="0038535F" w:rsidRPr="0038535F" w:rsidRDefault="0038535F" w:rsidP="0038535F">
      <w:pPr>
        <w:ind w:left="720"/>
      </w:pPr>
      <w:r w:rsidRPr="0038535F">
        <w:t>Memorial Healthcare System</w:t>
      </w:r>
    </w:p>
    <w:p w:rsidR="0038535F" w:rsidRPr="0038535F" w:rsidRDefault="0038535F" w:rsidP="0038535F">
      <w:pPr>
        <w:ind w:left="720"/>
      </w:pPr>
      <w:r w:rsidRPr="0038535F">
        <w:t>Broward Hospital District</w:t>
      </w:r>
    </w:p>
    <w:p w:rsidR="0038535F" w:rsidRPr="0038535F" w:rsidRDefault="0038535F" w:rsidP="0038535F">
      <w:pPr>
        <w:ind w:left="720"/>
      </w:pPr>
      <w:r w:rsidRPr="0038535F">
        <w:t>3501 Johnson Street</w:t>
      </w:r>
    </w:p>
    <w:p w:rsidR="0038535F" w:rsidRPr="0038535F" w:rsidRDefault="0038535F" w:rsidP="0038535F">
      <w:pPr>
        <w:ind w:left="720"/>
      </w:pPr>
      <w:r w:rsidRPr="0038535F">
        <w:t>Hollywood, FL 33021</w:t>
      </w:r>
    </w:p>
    <w:p w:rsidR="0038535F" w:rsidRPr="0038535F" w:rsidRDefault="0038535F" w:rsidP="0038535F">
      <w:pPr>
        <w:ind w:left="720"/>
      </w:pPr>
      <w:r w:rsidRPr="0038535F">
        <w:t>(954) 265-5805</w:t>
      </w:r>
    </w:p>
    <w:p w:rsidR="0038535F" w:rsidRPr="0038535F" w:rsidRDefault="00D44B7A" w:rsidP="0038535F">
      <w:pPr>
        <w:ind w:left="720"/>
        <w:rPr>
          <w:color w:val="0000FF"/>
          <w:u w:val="single"/>
        </w:rPr>
      </w:pPr>
      <w:hyperlink r:id="rId13" w:history="1">
        <w:r w:rsidR="0038535F" w:rsidRPr="0038535F">
          <w:rPr>
            <w:color w:val="0000FF"/>
            <w:u w:val="single"/>
          </w:rPr>
          <w:t>ljordan@mhs.net</w:t>
        </w:r>
      </w:hyperlink>
    </w:p>
    <w:p w:rsidR="0038535F" w:rsidRPr="0038535F" w:rsidRDefault="0038535F" w:rsidP="0038535F">
      <w:pPr>
        <w:ind w:left="720"/>
      </w:pPr>
    </w:p>
    <w:p w:rsidR="009F7AB9" w:rsidRDefault="009F7AB9" w:rsidP="0038535F">
      <w:pPr>
        <w:ind w:left="720"/>
        <w:rPr>
          <w:b/>
        </w:rPr>
      </w:pPr>
    </w:p>
    <w:p w:rsidR="0038535F" w:rsidRPr="0038535F" w:rsidRDefault="0038535F" w:rsidP="0038535F">
      <w:pPr>
        <w:ind w:left="720"/>
        <w:rPr>
          <w:b/>
        </w:rPr>
      </w:pPr>
      <w:proofErr w:type="spellStart"/>
      <w:r w:rsidRPr="0038535F">
        <w:rPr>
          <w:b/>
        </w:rPr>
        <w:t>Roshni</w:t>
      </w:r>
      <w:proofErr w:type="spellEnd"/>
      <w:r w:rsidRPr="0038535F">
        <w:rPr>
          <w:b/>
        </w:rPr>
        <w:t xml:space="preserve"> </w:t>
      </w:r>
      <w:proofErr w:type="spellStart"/>
      <w:r w:rsidRPr="0038535F">
        <w:rPr>
          <w:b/>
        </w:rPr>
        <w:t>Kulkarni</w:t>
      </w:r>
      <w:proofErr w:type="spellEnd"/>
      <w:r w:rsidRPr="0038535F">
        <w:rPr>
          <w:b/>
        </w:rPr>
        <w:t>, MD</w:t>
      </w:r>
    </w:p>
    <w:p w:rsidR="0038535F" w:rsidRPr="0038535F" w:rsidRDefault="0038535F" w:rsidP="0038535F">
      <w:pPr>
        <w:ind w:left="720"/>
      </w:pPr>
      <w:r w:rsidRPr="0038535F">
        <w:t>Professor and Director</w:t>
      </w:r>
    </w:p>
    <w:p w:rsidR="0038535F" w:rsidRPr="0038535F" w:rsidRDefault="0038535F" w:rsidP="0038535F">
      <w:pPr>
        <w:ind w:left="720"/>
      </w:pPr>
      <w:r w:rsidRPr="0038535F">
        <w:lastRenderedPageBreak/>
        <w:t>Pediatric &amp; Adolescent Hematology/Oncology</w:t>
      </w:r>
    </w:p>
    <w:p w:rsidR="0038535F" w:rsidRPr="0038535F" w:rsidRDefault="0038535F" w:rsidP="0038535F">
      <w:pPr>
        <w:ind w:left="720"/>
      </w:pPr>
      <w:r w:rsidRPr="0038535F">
        <w:t>Department of Pediatrics and Human Development</w:t>
      </w:r>
    </w:p>
    <w:p w:rsidR="0038535F" w:rsidRPr="0038535F" w:rsidRDefault="0038535F" w:rsidP="0038535F">
      <w:pPr>
        <w:ind w:left="720"/>
      </w:pPr>
      <w:r w:rsidRPr="0038535F">
        <w:t>Michigan State University</w:t>
      </w:r>
    </w:p>
    <w:p w:rsidR="0038535F" w:rsidRPr="0038535F" w:rsidRDefault="0038535F" w:rsidP="0038535F">
      <w:pPr>
        <w:ind w:left="720"/>
      </w:pPr>
      <w:r w:rsidRPr="0038535F">
        <w:t>B215 Clinical Center</w:t>
      </w:r>
    </w:p>
    <w:p w:rsidR="0038535F" w:rsidRPr="0038535F" w:rsidRDefault="0038535F" w:rsidP="0038535F">
      <w:pPr>
        <w:ind w:left="720"/>
      </w:pPr>
      <w:r w:rsidRPr="0038535F">
        <w:t>East Lansing, MI 48824</w:t>
      </w:r>
    </w:p>
    <w:p w:rsidR="0038535F" w:rsidRPr="0038535F" w:rsidRDefault="0038535F" w:rsidP="0038535F">
      <w:pPr>
        <w:ind w:left="720"/>
      </w:pPr>
      <w:r w:rsidRPr="0038535F">
        <w:t>(517) 355-5039</w:t>
      </w:r>
    </w:p>
    <w:p w:rsidR="0038535F" w:rsidRPr="0038535F" w:rsidRDefault="00D44B7A" w:rsidP="0038535F">
      <w:pPr>
        <w:ind w:left="720"/>
      </w:pPr>
      <w:hyperlink r:id="rId14" w:history="1">
        <w:r w:rsidR="0038535F" w:rsidRPr="0038535F">
          <w:rPr>
            <w:rStyle w:val="Hyperlink"/>
          </w:rPr>
          <w:t>roshni.kulkarni@hc.msu.edu</w:t>
        </w:r>
      </w:hyperlink>
    </w:p>
    <w:p w:rsidR="0038535F" w:rsidRPr="0038535F" w:rsidRDefault="0038535F" w:rsidP="0038535F">
      <w:pPr>
        <w:ind w:left="720"/>
      </w:pPr>
    </w:p>
    <w:p w:rsidR="0038535F" w:rsidRPr="0038535F" w:rsidRDefault="0038535F" w:rsidP="0038535F">
      <w:pPr>
        <w:keepNext/>
        <w:ind w:left="720"/>
        <w:rPr>
          <w:b/>
        </w:rPr>
      </w:pPr>
      <w:r w:rsidRPr="0038535F">
        <w:rPr>
          <w:b/>
        </w:rPr>
        <w:t xml:space="preserve">Elyse </w:t>
      </w:r>
      <w:proofErr w:type="spellStart"/>
      <w:r w:rsidRPr="0038535F">
        <w:rPr>
          <w:b/>
        </w:rPr>
        <w:t>Mandell</w:t>
      </w:r>
      <w:proofErr w:type="spellEnd"/>
      <w:r w:rsidRPr="0038535F">
        <w:rPr>
          <w:b/>
        </w:rPr>
        <w:t>, APRN</w:t>
      </w:r>
    </w:p>
    <w:p w:rsidR="0038535F" w:rsidRPr="0038535F" w:rsidRDefault="0038535F" w:rsidP="0038535F">
      <w:pPr>
        <w:keepNext/>
        <w:ind w:left="720"/>
      </w:pPr>
      <w:r w:rsidRPr="0038535F">
        <w:t xml:space="preserve">Nurse Practitioner </w:t>
      </w:r>
    </w:p>
    <w:p w:rsidR="0038535F" w:rsidRPr="0038535F" w:rsidRDefault="0038535F" w:rsidP="0038535F">
      <w:pPr>
        <w:keepNext/>
        <w:ind w:left="720"/>
      </w:pPr>
      <w:r w:rsidRPr="0038535F">
        <w:t>International Association of Sickle Cell Nurses and Physician Assistants</w:t>
      </w:r>
    </w:p>
    <w:p w:rsidR="0038535F" w:rsidRPr="0038535F" w:rsidRDefault="0038535F" w:rsidP="0038535F">
      <w:pPr>
        <w:keepNext/>
        <w:ind w:left="720"/>
      </w:pPr>
      <w:r w:rsidRPr="0038535F">
        <w:t>Division of Hematology Brigham &amp; Women's Hospital</w:t>
      </w:r>
    </w:p>
    <w:p w:rsidR="0038535F" w:rsidRPr="0038535F" w:rsidRDefault="0038535F" w:rsidP="0038535F">
      <w:pPr>
        <w:keepNext/>
        <w:ind w:left="720"/>
      </w:pPr>
      <w:r w:rsidRPr="0038535F">
        <w:t>75 Francis Street</w:t>
      </w:r>
    </w:p>
    <w:p w:rsidR="0038535F" w:rsidRPr="0038535F" w:rsidRDefault="0038535F" w:rsidP="0038535F">
      <w:pPr>
        <w:keepNext/>
        <w:ind w:left="720"/>
      </w:pPr>
      <w:r w:rsidRPr="0038535F">
        <w:t>Boston MA 02115</w:t>
      </w:r>
    </w:p>
    <w:p w:rsidR="0038535F" w:rsidRPr="0038535F" w:rsidRDefault="0038535F" w:rsidP="0038535F">
      <w:pPr>
        <w:keepNext/>
        <w:ind w:left="720"/>
      </w:pPr>
      <w:r w:rsidRPr="0038535F">
        <w:t>(617) 732-8485</w:t>
      </w:r>
    </w:p>
    <w:p w:rsidR="0038535F" w:rsidRPr="0038535F" w:rsidRDefault="00D44B7A" w:rsidP="0038535F">
      <w:pPr>
        <w:keepNext/>
        <w:ind w:left="720"/>
        <w:rPr>
          <w:color w:val="0000FF"/>
          <w:u w:val="single"/>
        </w:rPr>
      </w:pPr>
      <w:hyperlink r:id="rId15" w:history="1">
        <w:r w:rsidR="0038535F" w:rsidRPr="0038535F">
          <w:rPr>
            <w:color w:val="0000FF"/>
            <w:u w:val="single"/>
          </w:rPr>
          <w:t>emandell@partners.org</w:t>
        </w:r>
      </w:hyperlink>
    </w:p>
    <w:p w:rsidR="0038535F" w:rsidRPr="0038535F" w:rsidRDefault="0038535F" w:rsidP="0038535F">
      <w:pPr>
        <w:ind w:left="720"/>
        <w:rPr>
          <w:color w:val="0000FF"/>
          <w:u w:val="single"/>
        </w:rPr>
      </w:pPr>
    </w:p>
    <w:p w:rsidR="0038535F" w:rsidRPr="0038535F" w:rsidRDefault="0038535F" w:rsidP="0038535F">
      <w:pPr>
        <w:ind w:left="720"/>
        <w:rPr>
          <w:b/>
        </w:rPr>
      </w:pPr>
      <w:r w:rsidRPr="0038535F">
        <w:rPr>
          <w:b/>
        </w:rPr>
        <w:t>Shirley Miller</w:t>
      </w:r>
    </w:p>
    <w:p w:rsidR="0038535F" w:rsidRPr="0038535F" w:rsidRDefault="0038535F" w:rsidP="0038535F">
      <w:pPr>
        <w:ind w:left="720"/>
      </w:pPr>
      <w:r w:rsidRPr="0038535F">
        <w:t>Sickle Cell Disease Association of America</w:t>
      </w:r>
    </w:p>
    <w:p w:rsidR="0038535F" w:rsidRPr="0038535F" w:rsidRDefault="0038535F" w:rsidP="0038535F">
      <w:pPr>
        <w:ind w:left="720"/>
      </w:pPr>
      <w:r w:rsidRPr="0038535F">
        <w:t>P.O. Box 225602</w:t>
      </w:r>
    </w:p>
    <w:p w:rsidR="0038535F" w:rsidRPr="0038535F" w:rsidRDefault="0038535F" w:rsidP="0038535F">
      <w:pPr>
        <w:ind w:left="720"/>
      </w:pPr>
      <w:r w:rsidRPr="0038535F">
        <w:t xml:space="preserve">Dallas, TX 75222 </w:t>
      </w:r>
    </w:p>
    <w:p w:rsidR="0038535F" w:rsidRPr="0038535F" w:rsidRDefault="0038535F" w:rsidP="0038535F">
      <w:pPr>
        <w:ind w:left="720"/>
      </w:pPr>
      <w:r w:rsidRPr="0038535F">
        <w:t>(214) 796-1639</w:t>
      </w:r>
    </w:p>
    <w:p w:rsidR="0038535F" w:rsidRPr="0038535F" w:rsidRDefault="00D44B7A" w:rsidP="0038535F">
      <w:pPr>
        <w:ind w:left="720"/>
        <w:rPr>
          <w:highlight w:val="yellow"/>
        </w:rPr>
      </w:pPr>
      <w:hyperlink r:id="rId16" w:history="1">
        <w:r w:rsidR="0038535F" w:rsidRPr="0038535F">
          <w:rPr>
            <w:rStyle w:val="Hyperlink"/>
          </w:rPr>
          <w:t>shirleyrenee3@gmail.com</w:t>
        </w:r>
      </w:hyperlink>
      <w:r w:rsidR="0038535F" w:rsidRPr="0038535F">
        <w:t xml:space="preserve"> </w:t>
      </w:r>
      <w:r w:rsidR="0038535F" w:rsidRPr="0038535F">
        <w:rPr>
          <w:highlight w:val="yellow"/>
        </w:rPr>
        <w:t xml:space="preserve"> </w:t>
      </w:r>
    </w:p>
    <w:p w:rsidR="0038535F" w:rsidRPr="0038535F" w:rsidRDefault="0038535F" w:rsidP="0038535F">
      <w:pPr>
        <w:ind w:left="720"/>
        <w:rPr>
          <w:b/>
        </w:rPr>
      </w:pPr>
    </w:p>
    <w:p w:rsidR="0038535F" w:rsidRPr="0038535F" w:rsidRDefault="0038535F" w:rsidP="00A8114F">
      <w:pPr>
        <w:keepNext/>
        <w:ind w:left="720"/>
        <w:rPr>
          <w:b/>
        </w:rPr>
      </w:pPr>
      <w:r w:rsidRPr="0038535F">
        <w:rPr>
          <w:b/>
        </w:rPr>
        <w:t>Claudia R. Morris, MD</w:t>
      </w:r>
    </w:p>
    <w:p w:rsidR="0038535F" w:rsidRPr="0038535F" w:rsidRDefault="0038535F" w:rsidP="00A8114F">
      <w:pPr>
        <w:keepNext/>
        <w:ind w:left="720"/>
      </w:pPr>
      <w:r w:rsidRPr="0038535F">
        <w:t>Director of Fellowship Research</w:t>
      </w:r>
    </w:p>
    <w:p w:rsidR="0038535F" w:rsidRPr="0038535F" w:rsidRDefault="0038535F" w:rsidP="00A8114F">
      <w:pPr>
        <w:keepNext/>
        <w:ind w:left="720"/>
      </w:pPr>
      <w:r w:rsidRPr="0038535F">
        <w:t>Pediatric Emergency Medicine Fellowship</w:t>
      </w:r>
    </w:p>
    <w:p w:rsidR="0038535F" w:rsidRPr="0038535F" w:rsidRDefault="0038535F" w:rsidP="00A8114F">
      <w:pPr>
        <w:keepNext/>
        <w:ind w:left="720"/>
      </w:pPr>
      <w:r w:rsidRPr="0038535F">
        <w:t>Children’s Hospital Oakland Research Institute in Oakland</w:t>
      </w:r>
    </w:p>
    <w:p w:rsidR="0038535F" w:rsidRPr="0038535F" w:rsidRDefault="0038535F" w:rsidP="00A8114F">
      <w:pPr>
        <w:keepNext/>
        <w:ind w:left="720"/>
        <w:rPr>
          <w:b/>
          <w:bCs/>
          <w:noProof/>
        </w:rPr>
      </w:pPr>
      <w:r w:rsidRPr="0038535F">
        <w:rPr>
          <w:bCs/>
          <w:noProof/>
        </w:rPr>
        <w:t xml:space="preserve">747 52nd Street    </w:t>
      </w:r>
    </w:p>
    <w:p w:rsidR="0038535F" w:rsidRPr="0038535F" w:rsidRDefault="0038535F" w:rsidP="00A8114F">
      <w:pPr>
        <w:keepNext/>
        <w:ind w:left="720"/>
        <w:rPr>
          <w:bCs/>
          <w:noProof/>
        </w:rPr>
      </w:pPr>
      <w:r w:rsidRPr="0038535F">
        <w:rPr>
          <w:bCs/>
          <w:noProof/>
        </w:rPr>
        <w:t xml:space="preserve">Oakland, CA 94609  </w:t>
      </w:r>
    </w:p>
    <w:p w:rsidR="0038535F" w:rsidRPr="0038535F" w:rsidRDefault="0038535F" w:rsidP="00A8114F">
      <w:pPr>
        <w:keepNext/>
        <w:ind w:left="720"/>
        <w:rPr>
          <w:bCs/>
          <w:noProof/>
        </w:rPr>
      </w:pPr>
      <w:r w:rsidRPr="0038535F">
        <w:rPr>
          <w:bCs/>
          <w:noProof/>
        </w:rPr>
        <w:t xml:space="preserve">(510) 428-3000                                                                                                                            </w:t>
      </w:r>
    </w:p>
    <w:p w:rsidR="0038535F" w:rsidRPr="0038535F" w:rsidRDefault="00D44B7A" w:rsidP="00A8114F">
      <w:pPr>
        <w:keepNext/>
        <w:ind w:left="720"/>
        <w:rPr>
          <w:bCs/>
          <w:noProof/>
        </w:rPr>
      </w:pPr>
      <w:hyperlink r:id="rId17" w:history="1">
        <w:r w:rsidR="0038535F" w:rsidRPr="0038535F">
          <w:rPr>
            <w:rStyle w:val="Hyperlink"/>
            <w:bCs/>
            <w:noProof/>
          </w:rPr>
          <w:t>cmorris@mail.cho.org</w:t>
        </w:r>
      </w:hyperlink>
    </w:p>
    <w:p w:rsidR="0038535F" w:rsidRPr="0038535F" w:rsidRDefault="0038535F" w:rsidP="0038535F">
      <w:pPr>
        <w:ind w:left="720"/>
        <w:rPr>
          <w:bCs/>
          <w:noProof/>
        </w:rPr>
      </w:pPr>
    </w:p>
    <w:p w:rsidR="0038535F" w:rsidRPr="0038535F" w:rsidRDefault="0038535F" w:rsidP="0038535F">
      <w:pPr>
        <w:ind w:left="720"/>
        <w:rPr>
          <w:b/>
        </w:rPr>
      </w:pPr>
      <w:r w:rsidRPr="0038535F">
        <w:rPr>
          <w:b/>
        </w:rPr>
        <w:t xml:space="preserve">Monique </w:t>
      </w:r>
      <w:proofErr w:type="spellStart"/>
      <w:r w:rsidRPr="0038535F">
        <w:rPr>
          <w:b/>
        </w:rPr>
        <w:t>Ndenecho</w:t>
      </w:r>
      <w:proofErr w:type="spellEnd"/>
      <w:r w:rsidRPr="0038535F">
        <w:rPr>
          <w:b/>
        </w:rPr>
        <w:t>, MPH</w:t>
      </w:r>
    </w:p>
    <w:p w:rsidR="0038535F" w:rsidRPr="0038535F" w:rsidRDefault="0038535F" w:rsidP="0038535F">
      <w:pPr>
        <w:ind w:left="720"/>
        <w:rPr>
          <w:bCs/>
          <w:noProof/>
        </w:rPr>
      </w:pPr>
      <w:r w:rsidRPr="0038535F">
        <w:rPr>
          <w:bCs/>
          <w:noProof/>
        </w:rPr>
        <w:t>Public Health Advisor</w:t>
      </w:r>
    </w:p>
    <w:p w:rsidR="0038535F" w:rsidRPr="0038535F" w:rsidRDefault="0038535F" w:rsidP="0038535F">
      <w:pPr>
        <w:ind w:left="720"/>
        <w:rPr>
          <w:bCs/>
          <w:noProof/>
        </w:rPr>
      </w:pPr>
      <w:r w:rsidRPr="0038535F">
        <w:rPr>
          <w:bCs/>
          <w:noProof/>
        </w:rPr>
        <w:t>National Heart, Lung, and Blood Institute</w:t>
      </w:r>
    </w:p>
    <w:p w:rsidR="0038535F" w:rsidRPr="0038535F" w:rsidRDefault="0038535F" w:rsidP="0038535F">
      <w:pPr>
        <w:ind w:left="720"/>
        <w:rPr>
          <w:bCs/>
          <w:noProof/>
        </w:rPr>
      </w:pPr>
      <w:r w:rsidRPr="0038535F">
        <w:rPr>
          <w:bCs/>
          <w:noProof/>
        </w:rPr>
        <w:t>31 Center Drive, Bldg 31, 4A31</w:t>
      </w:r>
    </w:p>
    <w:p w:rsidR="0038535F" w:rsidRPr="0038535F" w:rsidRDefault="0038535F" w:rsidP="0038535F">
      <w:pPr>
        <w:ind w:left="720"/>
        <w:rPr>
          <w:bCs/>
          <w:noProof/>
        </w:rPr>
      </w:pPr>
      <w:r w:rsidRPr="0038535F">
        <w:rPr>
          <w:bCs/>
          <w:noProof/>
        </w:rPr>
        <w:t>Bethesda, MD 20892</w:t>
      </w:r>
    </w:p>
    <w:p w:rsidR="0038535F" w:rsidRPr="0038535F" w:rsidRDefault="0038535F" w:rsidP="0038535F">
      <w:pPr>
        <w:ind w:left="720"/>
        <w:rPr>
          <w:bCs/>
          <w:noProof/>
        </w:rPr>
      </w:pPr>
      <w:r w:rsidRPr="0038535F">
        <w:rPr>
          <w:bCs/>
          <w:noProof/>
        </w:rPr>
        <w:t>(301) 827-4877</w:t>
      </w:r>
    </w:p>
    <w:p w:rsidR="0038535F" w:rsidRPr="0038535F" w:rsidRDefault="00D44B7A" w:rsidP="0038535F">
      <w:pPr>
        <w:ind w:left="720"/>
        <w:rPr>
          <w:bCs/>
          <w:noProof/>
        </w:rPr>
      </w:pPr>
      <w:hyperlink r:id="rId18" w:history="1">
        <w:r w:rsidR="0038535F" w:rsidRPr="0038535F">
          <w:rPr>
            <w:rStyle w:val="Hyperlink"/>
            <w:bCs/>
            <w:noProof/>
          </w:rPr>
          <w:t>monique.ndenecho@nih.hhs.gov</w:t>
        </w:r>
      </w:hyperlink>
    </w:p>
    <w:p w:rsidR="0038535F" w:rsidRPr="0038535F" w:rsidRDefault="0038535F" w:rsidP="0038535F">
      <w:pPr>
        <w:ind w:left="720"/>
        <w:rPr>
          <w:bCs/>
          <w:noProof/>
        </w:rPr>
      </w:pPr>
    </w:p>
    <w:p w:rsidR="0038535F" w:rsidRPr="0038535F" w:rsidRDefault="0038535F" w:rsidP="0038535F">
      <w:pPr>
        <w:ind w:left="720"/>
        <w:rPr>
          <w:b/>
        </w:rPr>
      </w:pPr>
      <w:r w:rsidRPr="0038535F">
        <w:rPr>
          <w:b/>
        </w:rPr>
        <w:t xml:space="preserve">Janet </w:t>
      </w:r>
      <w:proofErr w:type="spellStart"/>
      <w:r w:rsidRPr="0038535F">
        <w:rPr>
          <w:b/>
        </w:rPr>
        <w:t>Ohene-Frempong</w:t>
      </w:r>
      <w:proofErr w:type="spellEnd"/>
      <w:r w:rsidRPr="0038535F">
        <w:t xml:space="preserve">, </w:t>
      </w:r>
      <w:r w:rsidRPr="0038535F">
        <w:rPr>
          <w:b/>
        </w:rPr>
        <w:t>MPH</w:t>
      </w:r>
    </w:p>
    <w:p w:rsidR="0038535F" w:rsidRPr="0038535F" w:rsidRDefault="0038535F" w:rsidP="0038535F">
      <w:pPr>
        <w:ind w:left="720"/>
        <w:rPr>
          <w:bCs/>
          <w:noProof/>
        </w:rPr>
      </w:pPr>
      <w:r w:rsidRPr="0038535F">
        <w:rPr>
          <w:bCs/>
          <w:noProof/>
        </w:rPr>
        <w:t>President</w:t>
      </w:r>
    </w:p>
    <w:p w:rsidR="0038535F" w:rsidRPr="0038535F" w:rsidRDefault="0038535F" w:rsidP="0038535F">
      <w:pPr>
        <w:ind w:left="720"/>
        <w:rPr>
          <w:bCs/>
          <w:noProof/>
        </w:rPr>
      </w:pPr>
      <w:r w:rsidRPr="0038535F">
        <w:rPr>
          <w:bCs/>
          <w:noProof/>
        </w:rPr>
        <w:t>J.O. Frempong &amp; Associates</w:t>
      </w:r>
    </w:p>
    <w:p w:rsidR="0038535F" w:rsidRPr="0038535F" w:rsidRDefault="0038535F" w:rsidP="0038535F">
      <w:pPr>
        <w:ind w:left="720"/>
        <w:rPr>
          <w:bCs/>
          <w:noProof/>
        </w:rPr>
      </w:pPr>
      <w:r w:rsidRPr="0038535F">
        <w:rPr>
          <w:bCs/>
          <w:noProof/>
        </w:rPr>
        <w:t>7097 Ronaele Drive</w:t>
      </w:r>
    </w:p>
    <w:p w:rsidR="0038535F" w:rsidRPr="0038535F" w:rsidRDefault="0038535F" w:rsidP="0038535F">
      <w:pPr>
        <w:ind w:left="720"/>
        <w:rPr>
          <w:bCs/>
          <w:noProof/>
        </w:rPr>
      </w:pPr>
      <w:r w:rsidRPr="0038535F">
        <w:rPr>
          <w:bCs/>
          <w:noProof/>
        </w:rPr>
        <w:t>Elkins Park, PA 19027</w:t>
      </w:r>
    </w:p>
    <w:p w:rsidR="0038535F" w:rsidRPr="0038535F" w:rsidRDefault="0038535F" w:rsidP="0038535F">
      <w:pPr>
        <w:ind w:left="720"/>
        <w:rPr>
          <w:bCs/>
          <w:noProof/>
        </w:rPr>
      </w:pPr>
      <w:r w:rsidRPr="0038535F">
        <w:rPr>
          <w:bCs/>
          <w:noProof/>
        </w:rPr>
        <w:t>(215) 460-7754</w:t>
      </w:r>
    </w:p>
    <w:p w:rsidR="0038535F" w:rsidRPr="0038535F" w:rsidRDefault="00D44B7A" w:rsidP="0038535F">
      <w:pPr>
        <w:ind w:left="720"/>
        <w:rPr>
          <w:bCs/>
          <w:noProof/>
        </w:rPr>
      </w:pPr>
      <w:hyperlink r:id="rId19" w:history="1">
        <w:r w:rsidR="0038535F" w:rsidRPr="0038535F">
          <w:rPr>
            <w:rStyle w:val="Hyperlink"/>
            <w:bCs/>
            <w:noProof/>
          </w:rPr>
          <w:t>jofrempong@comcast.net</w:t>
        </w:r>
      </w:hyperlink>
    </w:p>
    <w:p w:rsidR="0038535F" w:rsidRPr="0038535F" w:rsidRDefault="0038535F" w:rsidP="0038535F">
      <w:pPr>
        <w:ind w:left="720"/>
        <w:rPr>
          <w:bCs/>
          <w:noProof/>
        </w:rPr>
      </w:pPr>
    </w:p>
    <w:p w:rsidR="0038535F" w:rsidRPr="0038535F" w:rsidRDefault="0038535F" w:rsidP="0038535F">
      <w:pPr>
        <w:ind w:left="720"/>
        <w:rPr>
          <w:b/>
        </w:rPr>
      </w:pPr>
      <w:r w:rsidRPr="0038535F">
        <w:rPr>
          <w:b/>
        </w:rPr>
        <w:lastRenderedPageBreak/>
        <w:t xml:space="preserve">Allan Platt, PA-C, </w:t>
      </w:r>
      <w:proofErr w:type="spellStart"/>
      <w:r w:rsidRPr="0038535F">
        <w:rPr>
          <w:b/>
        </w:rPr>
        <w:t>MMSc</w:t>
      </w:r>
      <w:proofErr w:type="spellEnd"/>
    </w:p>
    <w:p w:rsidR="0038535F" w:rsidRPr="0038535F" w:rsidRDefault="0038535F" w:rsidP="0038535F">
      <w:pPr>
        <w:ind w:left="720"/>
        <w:rPr>
          <w:bCs/>
          <w:noProof/>
        </w:rPr>
      </w:pPr>
      <w:r w:rsidRPr="0038535F">
        <w:rPr>
          <w:bCs/>
          <w:noProof/>
        </w:rPr>
        <w:t>Advanced Didactic Coordiantor, Physician Assistant Program</w:t>
      </w:r>
    </w:p>
    <w:p w:rsidR="0038535F" w:rsidRPr="0038535F" w:rsidRDefault="0038535F" w:rsidP="0038535F">
      <w:pPr>
        <w:ind w:left="720"/>
        <w:rPr>
          <w:bCs/>
          <w:noProof/>
        </w:rPr>
      </w:pPr>
      <w:r w:rsidRPr="0038535F">
        <w:rPr>
          <w:bCs/>
          <w:noProof/>
        </w:rPr>
        <w:t>Emory University School of Medicine</w:t>
      </w:r>
    </w:p>
    <w:p w:rsidR="0038535F" w:rsidRPr="0038535F" w:rsidRDefault="0038535F" w:rsidP="0038535F">
      <w:pPr>
        <w:ind w:left="720"/>
        <w:rPr>
          <w:bCs/>
          <w:noProof/>
        </w:rPr>
      </w:pPr>
      <w:r w:rsidRPr="0038535F">
        <w:rPr>
          <w:bCs/>
          <w:noProof/>
        </w:rPr>
        <w:t>1460 Clifton Road, NE</w:t>
      </w:r>
    </w:p>
    <w:p w:rsidR="0038535F" w:rsidRPr="0038535F" w:rsidRDefault="0038535F" w:rsidP="0038535F">
      <w:pPr>
        <w:ind w:left="720"/>
        <w:rPr>
          <w:bCs/>
          <w:noProof/>
          <w:lang w:val="es-ES"/>
        </w:rPr>
      </w:pPr>
      <w:r w:rsidRPr="0038535F">
        <w:rPr>
          <w:bCs/>
          <w:noProof/>
          <w:lang w:val="es-ES"/>
        </w:rPr>
        <w:t>Atlanta, GA 30322</w:t>
      </w:r>
    </w:p>
    <w:p w:rsidR="0038535F" w:rsidRPr="0038535F" w:rsidRDefault="0038535F" w:rsidP="0038535F">
      <w:pPr>
        <w:ind w:left="720"/>
        <w:rPr>
          <w:bCs/>
          <w:noProof/>
          <w:lang w:val="es-ES"/>
        </w:rPr>
      </w:pPr>
      <w:r w:rsidRPr="0038535F">
        <w:rPr>
          <w:bCs/>
          <w:noProof/>
          <w:lang w:val="es-ES"/>
        </w:rPr>
        <w:t>(404) 727-7825</w:t>
      </w:r>
    </w:p>
    <w:p w:rsidR="0038535F" w:rsidRPr="0038535F" w:rsidRDefault="00D44B7A" w:rsidP="0038535F">
      <w:pPr>
        <w:ind w:left="720"/>
        <w:rPr>
          <w:bCs/>
          <w:noProof/>
          <w:lang w:val="es-ES"/>
        </w:rPr>
      </w:pPr>
      <w:hyperlink r:id="rId20" w:history="1">
        <w:r w:rsidR="0038535F" w:rsidRPr="0038535F">
          <w:rPr>
            <w:rStyle w:val="Hyperlink"/>
            <w:bCs/>
            <w:noProof/>
            <w:lang w:val="es-ES"/>
          </w:rPr>
          <w:t>aplatt@emory.edu</w:t>
        </w:r>
      </w:hyperlink>
    </w:p>
    <w:p w:rsidR="0038535F" w:rsidRPr="0038535F" w:rsidRDefault="0038535F" w:rsidP="0038535F">
      <w:pPr>
        <w:ind w:left="720"/>
        <w:rPr>
          <w:bCs/>
          <w:noProof/>
          <w:lang w:val="es-ES"/>
        </w:rPr>
      </w:pPr>
    </w:p>
    <w:p w:rsidR="0038535F" w:rsidRPr="0038535F" w:rsidRDefault="0038535F" w:rsidP="0038535F">
      <w:pPr>
        <w:ind w:left="720"/>
        <w:rPr>
          <w:b/>
          <w:bCs/>
          <w:lang w:val="es-ES"/>
        </w:rPr>
      </w:pPr>
      <w:proofErr w:type="spellStart"/>
      <w:r w:rsidRPr="0038535F">
        <w:rPr>
          <w:b/>
          <w:bCs/>
          <w:lang w:val="es-ES"/>
        </w:rPr>
        <w:t>Elna</w:t>
      </w:r>
      <w:proofErr w:type="spellEnd"/>
      <w:r w:rsidRPr="0038535F">
        <w:rPr>
          <w:b/>
          <w:bCs/>
          <w:lang w:val="es-ES"/>
        </w:rPr>
        <w:t xml:space="preserve"> </w:t>
      </w:r>
      <w:proofErr w:type="spellStart"/>
      <w:r w:rsidRPr="0038535F">
        <w:rPr>
          <w:b/>
          <w:bCs/>
          <w:lang w:val="es-ES"/>
        </w:rPr>
        <w:t>Saah</w:t>
      </w:r>
      <w:proofErr w:type="spellEnd"/>
      <w:r w:rsidRPr="0038535F">
        <w:rPr>
          <w:b/>
          <w:bCs/>
          <w:lang w:val="es-ES"/>
        </w:rPr>
        <w:t>, MD</w:t>
      </w:r>
    </w:p>
    <w:p w:rsidR="0038535F" w:rsidRPr="0038535F" w:rsidRDefault="0038535F" w:rsidP="0038535F">
      <w:pPr>
        <w:ind w:left="720"/>
        <w:rPr>
          <w:bCs/>
        </w:rPr>
      </w:pPr>
      <w:r w:rsidRPr="0038535F">
        <w:rPr>
          <w:bCs/>
        </w:rPr>
        <w:t>Director of the Sickle Cell Disease Treatment Program</w:t>
      </w:r>
    </w:p>
    <w:p w:rsidR="0038535F" w:rsidRPr="0038535F" w:rsidRDefault="0038535F" w:rsidP="0038535F">
      <w:pPr>
        <w:ind w:left="720"/>
        <w:rPr>
          <w:bCs/>
        </w:rPr>
      </w:pPr>
      <w:r w:rsidRPr="0038535F">
        <w:rPr>
          <w:bCs/>
        </w:rPr>
        <w:t xml:space="preserve">Michigan State University </w:t>
      </w:r>
    </w:p>
    <w:p w:rsidR="0038535F" w:rsidRPr="0038535F" w:rsidRDefault="0038535F" w:rsidP="0038535F">
      <w:pPr>
        <w:ind w:left="720"/>
      </w:pPr>
      <w:r w:rsidRPr="0038535F">
        <w:t>138 Service Rd, # 110A</w:t>
      </w:r>
    </w:p>
    <w:p w:rsidR="0038535F" w:rsidRPr="0038535F" w:rsidRDefault="0038535F" w:rsidP="0038535F">
      <w:pPr>
        <w:ind w:left="720"/>
        <w:rPr>
          <w:bCs/>
        </w:rPr>
      </w:pPr>
      <w:r w:rsidRPr="0038535F">
        <w:t>East Lansing, MI 48824</w:t>
      </w:r>
    </w:p>
    <w:p w:rsidR="0038535F" w:rsidRPr="0038535F" w:rsidRDefault="0038535F" w:rsidP="0038535F">
      <w:pPr>
        <w:ind w:left="720"/>
        <w:rPr>
          <w:bCs/>
        </w:rPr>
      </w:pPr>
      <w:r w:rsidRPr="0038535F">
        <w:rPr>
          <w:bCs/>
        </w:rPr>
        <w:t>(517) 364-5440</w:t>
      </w:r>
    </w:p>
    <w:p w:rsidR="0038535F" w:rsidRDefault="00D44B7A" w:rsidP="0038535F">
      <w:pPr>
        <w:ind w:left="720"/>
      </w:pPr>
      <w:hyperlink r:id="rId21" w:history="1">
        <w:r w:rsidR="0038535F" w:rsidRPr="0038535F">
          <w:rPr>
            <w:rStyle w:val="Hyperlink"/>
            <w:bCs/>
          </w:rPr>
          <w:t>elna.saah@hc.msu.edu</w:t>
        </w:r>
      </w:hyperlink>
    </w:p>
    <w:p w:rsidR="000A5FF7" w:rsidRPr="00857BA7" w:rsidRDefault="000A5FF7" w:rsidP="00B2381C"/>
    <w:p w:rsidR="00B7230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781860" w:rsidRPr="00857BA7">
        <w:rPr>
          <w:rFonts w:ascii="Times New Roman" w:hAnsi="Times New Roman"/>
          <w:i w:val="0"/>
          <w:sz w:val="24"/>
          <w:szCs w:val="24"/>
        </w:rPr>
        <w:t>9</w:t>
      </w:r>
      <w:r w:rsidR="00500F76" w:rsidRPr="00857BA7">
        <w:rPr>
          <w:rFonts w:ascii="Times New Roman" w:hAnsi="Times New Roman"/>
          <w:i w:val="0"/>
          <w:sz w:val="24"/>
          <w:szCs w:val="24"/>
        </w:rPr>
        <w:t xml:space="preserve">. </w:t>
      </w:r>
      <w:r w:rsidR="0034186F" w:rsidRPr="00857BA7">
        <w:rPr>
          <w:rFonts w:ascii="Times New Roman" w:hAnsi="Times New Roman"/>
          <w:i w:val="0"/>
          <w:sz w:val="24"/>
          <w:szCs w:val="24"/>
        </w:rPr>
        <w:t xml:space="preserve">Explanation of Any </w:t>
      </w:r>
      <w:r w:rsidR="00500F76" w:rsidRPr="00857BA7">
        <w:rPr>
          <w:rFonts w:ascii="Times New Roman" w:hAnsi="Times New Roman"/>
          <w:i w:val="0"/>
          <w:sz w:val="24"/>
          <w:szCs w:val="24"/>
        </w:rPr>
        <w:t>Payment</w:t>
      </w:r>
      <w:r w:rsidR="0034186F" w:rsidRPr="00857BA7">
        <w:rPr>
          <w:rFonts w:ascii="Times New Roman" w:hAnsi="Times New Roman"/>
          <w:i w:val="0"/>
          <w:sz w:val="24"/>
          <w:szCs w:val="24"/>
        </w:rPr>
        <w:t xml:space="preserve"> or </w:t>
      </w:r>
      <w:r w:rsidR="00595262" w:rsidRPr="00857BA7">
        <w:rPr>
          <w:rFonts w:ascii="Times New Roman" w:hAnsi="Times New Roman"/>
          <w:i w:val="0"/>
          <w:sz w:val="24"/>
          <w:szCs w:val="24"/>
        </w:rPr>
        <w:t>Gift to</w:t>
      </w:r>
      <w:r w:rsidR="00500F76" w:rsidRPr="00857BA7">
        <w:rPr>
          <w:rFonts w:ascii="Times New Roman" w:hAnsi="Times New Roman"/>
          <w:i w:val="0"/>
          <w:sz w:val="24"/>
          <w:szCs w:val="24"/>
        </w:rPr>
        <w:t xml:space="preserve"> Respondents</w:t>
      </w:r>
    </w:p>
    <w:p w:rsidR="0072278E" w:rsidRPr="0072278E" w:rsidRDefault="0072278E" w:rsidP="0072278E"/>
    <w:p w:rsidR="0072278E" w:rsidRDefault="0072278E" w:rsidP="0072278E">
      <w:r w:rsidRPr="00867863">
        <w:t>Respondents who</w:t>
      </w:r>
      <w:r>
        <w:t xml:space="preserve"> participate in the </w:t>
      </w:r>
      <w:r w:rsidRPr="009F7AB9">
        <w:t>2 hour</w:t>
      </w:r>
      <w:r>
        <w:t xml:space="preserve"> discussion will receive $75.00 ($37.50 per hour) as a token of appreciation for their interest. </w:t>
      </w:r>
      <w:r w:rsidRPr="00867863">
        <w:t xml:space="preserve">The population being recruited for these focus groups is difficult to reach. The Participant Screener and Recruitment Script include information on the incentive, as shown in Attachment 5. Research has consistently shown the value of offering a modest remuneration for motivating respondents to participate in a research study: Focus groups are unique from other data-gathering processes in terms of the investment that must be made by the individual. It is therefore no surprise that a tradition has been established to provide incentive for participation. </w:t>
      </w:r>
    </w:p>
    <w:p w:rsidR="0072278E" w:rsidRPr="00867863" w:rsidRDefault="0072278E" w:rsidP="0072278E"/>
    <w:p w:rsidR="0072278E" w:rsidRPr="0072278E" w:rsidRDefault="0072278E" w:rsidP="0072278E">
      <w:pPr>
        <w:rPr>
          <w:i/>
        </w:rPr>
      </w:pPr>
      <w:r w:rsidRPr="0072278E">
        <w:rPr>
          <w:i/>
        </w:rPr>
        <w:t xml:space="preserve">“From a practical aspect, it would be next to impossible to conduct focus groups without incentives in some situations. The incentive is not a reward and not an honorarium or salary. It is an incentive to motivate participation. It serves as a stimulus to attend the session. The primary function of the incentive is to get the participants to show for the focus group—and to show up on time. The incentive serves to protect the promised time slot from being preempted.” </w:t>
      </w:r>
      <w:r w:rsidRPr="0072278E">
        <w:rPr>
          <w:i/>
          <w:vertAlign w:val="superscript"/>
        </w:rPr>
        <w:t>1</w:t>
      </w:r>
      <w:r w:rsidRPr="0072278E">
        <w:rPr>
          <w:i/>
        </w:rPr>
        <w:t xml:space="preserve">. </w:t>
      </w:r>
    </w:p>
    <w:p w:rsidR="0072278E" w:rsidRPr="00867863" w:rsidRDefault="0072278E" w:rsidP="0072278E"/>
    <w:p w:rsidR="0072278E" w:rsidRDefault="0072278E" w:rsidP="0072278E">
      <w:r w:rsidRPr="00867863">
        <w:t>The IRB approval of the study (see Attachment 6) included the review and approval of this level of remuneration.</w:t>
      </w:r>
    </w:p>
    <w:p w:rsidR="003D5B43" w:rsidRPr="00857BA7" w:rsidRDefault="003D5B43" w:rsidP="00CA12B1"/>
    <w:p w:rsidR="00B72307" w:rsidRPr="00857BA7" w:rsidRDefault="007B638F" w:rsidP="00B72307">
      <w:pPr>
        <w:pStyle w:val="Heading2"/>
        <w:keepNext/>
        <w:spacing w:before="0" w:after="0"/>
        <w:rPr>
          <w:rFonts w:ascii="Times New Roman" w:hAnsi="Times New Roman"/>
          <w:i w:val="0"/>
          <w:sz w:val="24"/>
          <w:szCs w:val="24"/>
        </w:rPr>
      </w:pPr>
      <w:r w:rsidRPr="00857BA7">
        <w:rPr>
          <w:rFonts w:ascii="Times New Roman" w:hAnsi="Times New Roman"/>
          <w:i w:val="0"/>
          <w:sz w:val="24"/>
          <w:szCs w:val="24"/>
        </w:rPr>
        <w:t>A.</w:t>
      </w:r>
      <w:r w:rsidR="00781860" w:rsidRPr="00857BA7">
        <w:rPr>
          <w:rFonts w:ascii="Times New Roman" w:hAnsi="Times New Roman"/>
          <w:i w:val="0"/>
          <w:sz w:val="24"/>
          <w:szCs w:val="24"/>
        </w:rPr>
        <w:t>10</w:t>
      </w:r>
      <w:r w:rsidR="00500F76" w:rsidRPr="00857BA7">
        <w:rPr>
          <w:rFonts w:ascii="Times New Roman" w:hAnsi="Times New Roman"/>
          <w:i w:val="0"/>
          <w:sz w:val="24"/>
          <w:szCs w:val="24"/>
        </w:rPr>
        <w:t>. Assurance of Confidentiality</w:t>
      </w:r>
      <w:r w:rsidR="00435EB8" w:rsidRPr="00857BA7">
        <w:rPr>
          <w:rFonts w:ascii="Times New Roman" w:hAnsi="Times New Roman"/>
          <w:i w:val="0"/>
          <w:sz w:val="24"/>
          <w:szCs w:val="24"/>
        </w:rPr>
        <w:t xml:space="preserve"> Provided to Respondents</w:t>
      </w:r>
    </w:p>
    <w:p w:rsidR="00B96107" w:rsidRPr="00346FD4" w:rsidRDefault="00B96107" w:rsidP="00346FD4"/>
    <w:p w:rsidR="00F73901" w:rsidRDefault="007A3BBA" w:rsidP="00346FD4">
      <w:r w:rsidRPr="00372DCC">
        <w:t>This submission has been reviewed by t</w:t>
      </w:r>
      <w:r w:rsidR="005D4469" w:rsidRPr="00372DCC">
        <w:t xml:space="preserve">he </w:t>
      </w:r>
      <w:r w:rsidR="00C22B27">
        <w:t>NCBDDD</w:t>
      </w:r>
      <w:r w:rsidR="005D4469" w:rsidRPr="00372DCC">
        <w:t xml:space="preserve"> Privacy Act Officer, who determined that the Privacy Act does </w:t>
      </w:r>
      <w:r w:rsidR="00673A73">
        <w:t xml:space="preserve">not </w:t>
      </w:r>
      <w:r w:rsidR="005D4469" w:rsidRPr="00372DCC">
        <w:t>apply.</w:t>
      </w:r>
      <w:r w:rsidR="005D4469">
        <w:t xml:space="preserve"> </w:t>
      </w:r>
      <w:r w:rsidR="00A73C43" w:rsidRPr="00346FD4">
        <w:t xml:space="preserve">Informed </w:t>
      </w:r>
      <w:r w:rsidR="00CA12B1" w:rsidRPr="00346FD4">
        <w:t>c</w:t>
      </w:r>
      <w:r w:rsidR="00A73C43" w:rsidRPr="00346FD4">
        <w:t>onsent (</w:t>
      </w:r>
      <w:r w:rsidR="0026720E" w:rsidRPr="00346FD4">
        <w:t xml:space="preserve">see </w:t>
      </w:r>
      <w:r w:rsidR="00A8114F">
        <w:t>S</w:t>
      </w:r>
      <w:r w:rsidR="00C73C47" w:rsidRPr="00346FD4">
        <w:t xml:space="preserve">upplementary </w:t>
      </w:r>
      <w:r w:rsidR="00A8114F">
        <w:t>A</w:t>
      </w:r>
      <w:r w:rsidR="00A73C43" w:rsidRPr="00346FD4">
        <w:t>ttachmen</w:t>
      </w:r>
      <w:r w:rsidR="0026720E" w:rsidRPr="00346FD4">
        <w:t>t</w:t>
      </w:r>
      <w:r w:rsidR="00CA12B1" w:rsidRPr="00346FD4">
        <w:t>s</w:t>
      </w:r>
      <w:r w:rsidR="0026720E" w:rsidRPr="00346FD4">
        <w:t xml:space="preserve"> </w:t>
      </w:r>
      <w:r w:rsidR="007D1B94" w:rsidRPr="00346FD4">
        <w:t xml:space="preserve">7, </w:t>
      </w:r>
      <w:r w:rsidR="00A8114F">
        <w:t xml:space="preserve">8, </w:t>
      </w:r>
      <w:r w:rsidR="00CA12B1" w:rsidRPr="00346FD4">
        <w:t xml:space="preserve">and </w:t>
      </w:r>
      <w:r w:rsidR="00A8114F">
        <w:t>9</w:t>
      </w:r>
      <w:r w:rsidR="00A73C43" w:rsidRPr="00346FD4">
        <w:t xml:space="preserve">) will be obtained from all of the participants </w:t>
      </w:r>
      <w:r w:rsidR="00CA12B1" w:rsidRPr="00346FD4">
        <w:t xml:space="preserve">as part of the focus group, but </w:t>
      </w:r>
      <w:r w:rsidR="00A73C43" w:rsidRPr="00346FD4">
        <w:t>before the focus group discussion</w:t>
      </w:r>
      <w:r w:rsidR="00CA12B1" w:rsidRPr="00346FD4">
        <w:t xml:space="preserve"> commences</w:t>
      </w:r>
      <w:r w:rsidR="00A73C43" w:rsidRPr="00346FD4">
        <w:t xml:space="preserve">. </w:t>
      </w:r>
      <w:r w:rsidR="00CA12B1" w:rsidRPr="00346FD4">
        <w:t>Participants under age 18 will be required to submit a parental permission form</w:t>
      </w:r>
      <w:r w:rsidR="0031339C" w:rsidRPr="00346FD4">
        <w:t>/consent</w:t>
      </w:r>
      <w:r w:rsidR="00CA12B1" w:rsidRPr="00346FD4">
        <w:t xml:space="preserve"> </w:t>
      </w:r>
      <w:r w:rsidR="0031339C" w:rsidRPr="00346FD4">
        <w:t xml:space="preserve">prior to participating in the focus group. </w:t>
      </w:r>
      <w:r w:rsidR="00A73C43" w:rsidRPr="00346FD4">
        <w:t>At the beginning of the focus group, participants will be assured that any comments made during the focus group</w:t>
      </w:r>
      <w:r w:rsidR="004D29D7" w:rsidRPr="00346FD4">
        <w:t xml:space="preserve"> will not be attributed to them by name in any of the resulting reports</w:t>
      </w:r>
      <w:r w:rsidR="00A73C43" w:rsidRPr="00346FD4">
        <w:t>. Participants will be reminded that their participation is voluntary and</w:t>
      </w:r>
      <w:r w:rsidR="000A5FF7" w:rsidRPr="00346FD4">
        <w:t xml:space="preserve"> that</w:t>
      </w:r>
      <w:r w:rsidR="00A73C43" w:rsidRPr="00346FD4">
        <w:t xml:space="preserve"> they may choose to withdraw at any time without penalty or loss of benefits.</w:t>
      </w:r>
      <w:r w:rsidR="00906ED3" w:rsidRPr="00346FD4">
        <w:t xml:space="preserve"> In addition, during the focus groups, participants will be identified by first name only, to minimize any risk of disclosure. </w:t>
      </w:r>
    </w:p>
    <w:p w:rsidR="00F73901" w:rsidRDefault="00F73901" w:rsidP="00346FD4"/>
    <w:p w:rsidR="00F73901" w:rsidRPr="00E81C59" w:rsidRDefault="00F73901" w:rsidP="00F73901">
      <w:proofErr w:type="gramStart"/>
      <w:r w:rsidRPr="00E81C59">
        <w:rPr>
          <w:u w:val="single"/>
        </w:rPr>
        <w:t>IRB Approval</w:t>
      </w:r>
      <w:r w:rsidRPr="00E81C59">
        <w:t>.</w:t>
      </w:r>
      <w:proofErr w:type="gramEnd"/>
      <w:r w:rsidRPr="00E81C59">
        <w:t xml:space="preserve"> This information collection has been determined not to involve research.</w:t>
      </w:r>
    </w:p>
    <w:p w:rsidR="00A73C43" w:rsidRPr="00346FD4" w:rsidRDefault="00A73C43" w:rsidP="00346FD4"/>
    <w:p w:rsidR="002064EF" w:rsidRDefault="002064EF" w:rsidP="00500F76">
      <w:pPr>
        <w:rPr>
          <w:u w:val="single"/>
        </w:rPr>
      </w:pPr>
    </w:p>
    <w:p w:rsidR="00500F76" w:rsidRPr="00FB512A" w:rsidRDefault="009D21EE" w:rsidP="00500F76">
      <w:pPr>
        <w:rPr>
          <w:u w:val="single"/>
        </w:rPr>
      </w:pPr>
      <w:r w:rsidRPr="009D21EE">
        <w:rPr>
          <w:u w:val="single"/>
        </w:rPr>
        <w:t>Privacy Impact Assessment Information</w:t>
      </w:r>
    </w:p>
    <w:p w:rsidR="00BC33DA" w:rsidRPr="00857BA7" w:rsidRDefault="00BC33DA" w:rsidP="00500F76"/>
    <w:p w:rsidR="001A7F96" w:rsidRDefault="00631683" w:rsidP="009A2029">
      <w:pPr>
        <w:numPr>
          <w:ilvl w:val="0"/>
          <w:numId w:val="18"/>
        </w:numPr>
      </w:pPr>
      <w:r>
        <w:t xml:space="preserve">This project will not maintain any </w:t>
      </w:r>
      <w:r w:rsidRPr="00631683">
        <w:t>indivi</w:t>
      </w:r>
      <w:r>
        <w:t xml:space="preserve">dually identifiable information. </w:t>
      </w:r>
      <w:r w:rsidRPr="00631683">
        <w:t>The legal authority to collect and maintain this data is granted by Public Health Service Act, Section 301, "Research and Investigation," (42 U.S.C. 241); and Sections 304, 306 and 308(d) which discuss authority to maintain data and provide assurances of confidentiality for health research and related activities (42 U.S.C. 242 b, k, and m(d))</w:t>
      </w:r>
      <w:r w:rsidR="002064EF">
        <w:t>.</w:t>
      </w:r>
      <w:r w:rsidRPr="00631683">
        <w:t xml:space="preserve"> </w:t>
      </w:r>
    </w:p>
    <w:p w:rsidR="009A2029" w:rsidRDefault="009A2029" w:rsidP="009A2029">
      <w:pPr>
        <w:ind w:left="360"/>
      </w:pPr>
    </w:p>
    <w:p w:rsidR="00A5235D" w:rsidRDefault="00A4746E">
      <w:pPr>
        <w:numPr>
          <w:ilvl w:val="0"/>
          <w:numId w:val="18"/>
        </w:numPr>
      </w:pPr>
      <w:r w:rsidRPr="00A4746E">
        <w:t xml:space="preserve">All data (hard copy and electronic) will be stored at </w:t>
      </w:r>
      <w:r>
        <w:t>AIR</w:t>
      </w:r>
      <w:r w:rsidRPr="00A4746E">
        <w:t>, CDC’s selected contractor. All study materials will be properly filed, maintained, and secured. The storage of hard copy media that includes identifiable information (</w:t>
      </w:r>
      <w:r>
        <w:t xml:space="preserve">audio </w:t>
      </w:r>
      <w:r w:rsidRPr="00A4746E">
        <w:t>tapes</w:t>
      </w:r>
      <w:r>
        <w:t xml:space="preserve">, video tapes, </w:t>
      </w:r>
      <w:r w:rsidRPr="00A4746E">
        <w:t>research notes</w:t>
      </w:r>
      <w:r>
        <w:t>, and transcriptions</w:t>
      </w:r>
      <w:r w:rsidRPr="00A4746E">
        <w:t>) or other sensitive project data will be stored in a lockable container inside a lockable office.</w:t>
      </w:r>
      <w:r w:rsidR="00A0158D">
        <w:t xml:space="preserve"> </w:t>
      </w:r>
      <w:r w:rsidR="00C73C47">
        <w:t>Hard copy c</w:t>
      </w:r>
      <w:r>
        <w:t>rosswalk files that map individual identifiable data to a de-identified code shall be stored in a separate folder/container from data required for research purposes.</w:t>
      </w:r>
    </w:p>
    <w:p w:rsidR="00A0158D" w:rsidRDefault="00A0158D" w:rsidP="00A0158D">
      <w:pPr>
        <w:ind w:left="720"/>
      </w:pPr>
    </w:p>
    <w:p w:rsidR="00A0158D" w:rsidRDefault="00A4746E" w:rsidP="00673A73">
      <w:pPr>
        <w:ind w:left="360"/>
      </w:pPr>
      <w:r w:rsidRPr="00A4746E">
        <w:t xml:space="preserve">Electronic data will be kept on contractor’s secured server, which is password protected and in a secured location with restricted physical access. </w:t>
      </w:r>
      <w:r w:rsidR="00A0158D">
        <w:t xml:space="preserve">The storage of sensitive personal identifiers on local desktop hard drives is not authorized. De-identified information is not considered sensitive and can be emailed at the discretion of the user. Only valid business email accounts can be used to support messaging of project data.  Email forwarders involving non-business email accounts shall not be used. For file transfer between staff or between staff and clients, external contractors, </w:t>
      </w:r>
      <w:proofErr w:type="spellStart"/>
      <w:r w:rsidR="00A0158D">
        <w:t>etc</w:t>
      </w:r>
      <w:proofErr w:type="spellEnd"/>
      <w:r w:rsidR="00A0158D">
        <w:t>, arrangements shall be made to use only secure FTP (SFTP) services (provided by AIR).</w:t>
      </w:r>
    </w:p>
    <w:p w:rsidR="00A0158D" w:rsidRDefault="00A0158D" w:rsidP="00A0158D">
      <w:pPr>
        <w:ind w:left="720"/>
      </w:pPr>
    </w:p>
    <w:p w:rsidR="00A0158D" w:rsidRPr="00857BA7" w:rsidRDefault="00C73C47" w:rsidP="00673A73">
      <w:pPr>
        <w:ind w:left="360"/>
      </w:pPr>
      <w:r>
        <w:t xml:space="preserve">Audio/video recordings will be destroyed as soon as possible at the end of the project. </w:t>
      </w:r>
      <w:r w:rsidR="00A0158D">
        <w:t xml:space="preserve">Data needs to be retained for a period of time up to 1 year after end of project at which time </w:t>
      </w:r>
      <w:r>
        <w:t xml:space="preserve">the data </w:t>
      </w:r>
      <w:r w:rsidR="00A0158D">
        <w:t xml:space="preserve">will be eligible for deletion/destruction </w:t>
      </w:r>
      <w:r>
        <w:t xml:space="preserve">and decided upon by final approval by the AIR project director. </w:t>
      </w:r>
      <w:proofErr w:type="gramStart"/>
      <w:r w:rsidR="00A0158D">
        <w:t>(e.g., after transcription or as per other client agreements)</w:t>
      </w:r>
      <w:r w:rsidR="00A8114F">
        <w:t>.</w:t>
      </w:r>
      <w:proofErr w:type="gramEnd"/>
    </w:p>
    <w:p w:rsidR="00A0158D" w:rsidRDefault="00A0158D" w:rsidP="00A4746E">
      <w:pPr>
        <w:ind w:left="720"/>
      </w:pPr>
    </w:p>
    <w:p w:rsidR="00B72307" w:rsidRPr="00857BA7" w:rsidRDefault="0023540F" w:rsidP="00B72307">
      <w:pPr>
        <w:numPr>
          <w:ilvl w:val="0"/>
          <w:numId w:val="18"/>
        </w:numPr>
      </w:pPr>
      <w:r w:rsidRPr="0023540F">
        <w:t xml:space="preserve">An informed consent form will be obtained from all of the participants before the discussion. For minors aged 15-17, consent and permission will be obtained from parents </w:t>
      </w:r>
      <w:r>
        <w:t xml:space="preserve">in advance of the group </w:t>
      </w:r>
      <w:r w:rsidRPr="0023540F">
        <w:t xml:space="preserve">and </w:t>
      </w:r>
      <w:r>
        <w:t xml:space="preserve">adolescents </w:t>
      </w:r>
      <w:r w:rsidRPr="0023540F">
        <w:t xml:space="preserve">will be asked to provide written assent to participate. At the beginning of the focus group, participants will be assured that any comments made during the focus group will not be attributed to them by name in any of the resulting reports. </w:t>
      </w:r>
      <w:r>
        <w:t>The informed consent, permission, and adolescen</w:t>
      </w:r>
      <w:r w:rsidR="00A8114F">
        <w:t>t assent forms can be found in S</w:t>
      </w:r>
      <w:r>
        <w:t xml:space="preserve">upplementary </w:t>
      </w:r>
      <w:r w:rsidR="00A8114F">
        <w:t>A</w:t>
      </w:r>
      <w:r>
        <w:t xml:space="preserve">ttachments </w:t>
      </w:r>
      <w:r w:rsidR="00A8114F">
        <w:t>7, 8, and 9.</w:t>
      </w:r>
      <w:r>
        <w:t xml:space="preserve"> </w:t>
      </w:r>
      <w:r w:rsidRPr="0023540F">
        <w:t xml:space="preserve"> </w:t>
      </w:r>
    </w:p>
    <w:p w:rsidR="00B72307" w:rsidRPr="00857BA7" w:rsidRDefault="00B72307" w:rsidP="00B72307">
      <w:pPr>
        <w:pStyle w:val="ListParagraph"/>
        <w:rPr>
          <w:sz w:val="24"/>
          <w:szCs w:val="24"/>
        </w:rPr>
      </w:pPr>
    </w:p>
    <w:p w:rsidR="00B72307" w:rsidRDefault="0023540F" w:rsidP="00B72307">
      <w:pPr>
        <w:numPr>
          <w:ilvl w:val="0"/>
          <w:numId w:val="18"/>
        </w:numPr>
      </w:pPr>
      <w:r w:rsidRPr="0023540F">
        <w:t xml:space="preserve">At the beginning of the group discussion, participants will be reminded </w:t>
      </w:r>
      <w:r>
        <w:t xml:space="preserve">by the moderator </w:t>
      </w:r>
      <w:r w:rsidRPr="0023540F">
        <w:t xml:space="preserve">that their participation is voluntary and that they may choose not to answer a question at any time or may withdraw from the focus group. Should they decide to withdraw from the focus group discussion, they will still receive their incentive. In addition, this information will also be disclosed to the </w:t>
      </w:r>
      <w:r>
        <w:t xml:space="preserve">participants </w:t>
      </w:r>
      <w:r w:rsidRPr="0023540F">
        <w:t>in the informed consent</w:t>
      </w:r>
      <w:r>
        <w:t>, adolescent assent, and parental permission</w:t>
      </w:r>
      <w:r w:rsidRPr="0023540F">
        <w:t xml:space="preserve"> form</w:t>
      </w:r>
      <w:r>
        <w:t>s</w:t>
      </w:r>
      <w:r w:rsidRPr="0023540F">
        <w:t xml:space="preserve">.  </w:t>
      </w:r>
    </w:p>
    <w:p w:rsidR="001A7F96" w:rsidRDefault="001A7F96" w:rsidP="009A2029">
      <w:pPr>
        <w:pStyle w:val="ListParagraph"/>
      </w:pPr>
    </w:p>
    <w:p w:rsidR="006D1FCF" w:rsidRDefault="006D1FCF" w:rsidP="00673A73">
      <w:pPr>
        <w:ind w:left="360"/>
      </w:pPr>
    </w:p>
    <w:p w:rsidR="0058382D" w:rsidRDefault="0058382D" w:rsidP="00673A73">
      <w:pPr>
        <w:ind w:left="360"/>
      </w:pPr>
    </w:p>
    <w:p w:rsidR="0058382D" w:rsidRPr="00857BA7" w:rsidRDefault="0058382D" w:rsidP="00673A73">
      <w:pPr>
        <w:ind w:left="360"/>
      </w:pPr>
    </w:p>
    <w:p w:rsidR="00631683" w:rsidRDefault="00631683" w:rsidP="00B2381C"/>
    <w:p w:rsidR="00433F25" w:rsidRPr="00857BA7" w:rsidRDefault="00433F25" w:rsidP="00B2381C"/>
    <w:p w:rsidR="00B72307" w:rsidRPr="00857BA7" w:rsidRDefault="007B638F"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lastRenderedPageBreak/>
        <w:t>A.</w:t>
      </w:r>
      <w:r w:rsidR="00500F76" w:rsidRPr="00857BA7">
        <w:rPr>
          <w:rFonts w:ascii="Times New Roman" w:hAnsi="Times New Roman"/>
          <w:i w:val="0"/>
          <w:sz w:val="24"/>
          <w:szCs w:val="24"/>
        </w:rPr>
        <w:t>1</w:t>
      </w:r>
      <w:r w:rsidR="00D4285A" w:rsidRPr="00857BA7">
        <w:rPr>
          <w:rFonts w:ascii="Times New Roman" w:hAnsi="Times New Roman"/>
          <w:i w:val="0"/>
          <w:sz w:val="24"/>
          <w:szCs w:val="24"/>
        </w:rPr>
        <w:t>1</w:t>
      </w:r>
      <w:r w:rsidR="00500F76" w:rsidRPr="00857BA7">
        <w:rPr>
          <w:rFonts w:ascii="Times New Roman" w:hAnsi="Times New Roman"/>
          <w:i w:val="0"/>
          <w:sz w:val="24"/>
          <w:szCs w:val="24"/>
        </w:rPr>
        <w:t>.</w:t>
      </w:r>
      <w:r w:rsidR="00D4285A" w:rsidRPr="00857BA7">
        <w:rPr>
          <w:rFonts w:ascii="Times New Roman" w:hAnsi="Times New Roman"/>
          <w:i w:val="0"/>
          <w:sz w:val="24"/>
          <w:szCs w:val="24"/>
        </w:rPr>
        <w:t xml:space="preserve"> Justification for Sensitive</w:t>
      </w:r>
      <w:r w:rsidR="00500F76" w:rsidRPr="00857BA7">
        <w:rPr>
          <w:rFonts w:ascii="Times New Roman" w:hAnsi="Times New Roman"/>
          <w:i w:val="0"/>
          <w:sz w:val="24"/>
          <w:szCs w:val="24"/>
        </w:rPr>
        <w:t xml:space="preserve"> Question</w:t>
      </w:r>
      <w:r w:rsidR="00D4285A" w:rsidRPr="00857BA7">
        <w:rPr>
          <w:rFonts w:ascii="Times New Roman" w:hAnsi="Times New Roman"/>
          <w:i w:val="0"/>
          <w:sz w:val="24"/>
          <w:szCs w:val="24"/>
        </w:rPr>
        <w:t>s</w:t>
      </w:r>
    </w:p>
    <w:p w:rsidR="00EC09F7" w:rsidRPr="00857BA7" w:rsidRDefault="00EC09F7" w:rsidP="00EC09F7"/>
    <w:p w:rsidR="00730B03" w:rsidRPr="00857BA7" w:rsidRDefault="00EC09F7" w:rsidP="00500F76">
      <w:r w:rsidRPr="00857BA7">
        <w:t xml:space="preserve">Depending on a person’s background and experiences, questions involving </w:t>
      </w:r>
      <w:r w:rsidR="007B6BB0" w:rsidRPr="00857BA7">
        <w:t>SCD</w:t>
      </w:r>
      <w:r w:rsidRPr="00857BA7">
        <w:t xml:space="preserve"> and living with </w:t>
      </w:r>
      <w:r w:rsidR="007B6BB0" w:rsidRPr="00857BA7">
        <w:t xml:space="preserve">SCD </w:t>
      </w:r>
      <w:r w:rsidRPr="00857BA7">
        <w:t xml:space="preserve">always have the potential to be sensitive and to </w:t>
      </w:r>
      <w:r w:rsidR="00730B03" w:rsidRPr="00857BA7">
        <w:t xml:space="preserve">include discussions of informational needs related to sexual behaviors. Since priapism is a common concomitant of SCD, it is not unreasonable that participants will express their desire for information to allow them to avoid or deal with this condition and to avoid subsequent complications. </w:t>
      </w:r>
      <w:r w:rsidRPr="00857BA7">
        <w:t xml:space="preserve"> </w:t>
      </w:r>
      <w:r w:rsidR="00CD4BF9" w:rsidRPr="00857BA7">
        <w:t xml:space="preserve">To </w:t>
      </w:r>
      <w:r w:rsidR="00730B03" w:rsidRPr="00857BA7">
        <w:t xml:space="preserve">accommodate </w:t>
      </w:r>
      <w:r w:rsidRPr="00857BA7">
        <w:t>th</w:t>
      </w:r>
      <w:r w:rsidR="00730B03" w:rsidRPr="00857BA7">
        <w:t>e</w:t>
      </w:r>
      <w:r w:rsidRPr="00857BA7">
        <w:t xml:space="preserve"> issue of </w:t>
      </w:r>
      <w:r w:rsidR="00730B03" w:rsidRPr="00857BA7">
        <w:t>dealing with sensitive topics</w:t>
      </w:r>
      <w:r w:rsidRPr="00857BA7">
        <w:t>, the focus groups will be conducted by trained moderators who have experience in working with adolescents</w:t>
      </w:r>
      <w:r w:rsidR="00730B03" w:rsidRPr="00857BA7">
        <w:t xml:space="preserve"> (for the adolescent focus groups)</w:t>
      </w:r>
      <w:r w:rsidRPr="00857BA7">
        <w:t xml:space="preserve"> and specialized populations (e.g.</w:t>
      </w:r>
      <w:r w:rsidR="0052363A" w:rsidRPr="00857BA7">
        <w:t>,</w:t>
      </w:r>
      <w:r w:rsidRPr="00857BA7">
        <w:t xml:space="preserve"> people with blood disorders). </w:t>
      </w:r>
      <w:r w:rsidR="00730B03" w:rsidRPr="00857BA7">
        <w:t>In addition, all individuals in each focus group will be of the same gender (as will be the moderator</w:t>
      </w:r>
      <w:r w:rsidR="00C42D26" w:rsidRPr="00857BA7">
        <w:t>)</w:t>
      </w:r>
      <w:r w:rsidR="00730B03" w:rsidRPr="00857BA7">
        <w:t>.</w:t>
      </w:r>
    </w:p>
    <w:p w:rsidR="00730B03" w:rsidRPr="00857BA7" w:rsidRDefault="00730B03" w:rsidP="00500F76"/>
    <w:p w:rsidR="00500F76" w:rsidRPr="00857BA7" w:rsidRDefault="00470182" w:rsidP="00500F76">
      <w:pPr>
        <w:rPr>
          <w:highlight w:val="yellow"/>
        </w:rPr>
      </w:pPr>
      <w:r w:rsidRPr="00857BA7">
        <w:t xml:space="preserve">Without this information, CDC cannot address the gaps in informational materials on </w:t>
      </w:r>
      <w:r w:rsidR="00F841C4" w:rsidRPr="00857BA7">
        <w:t xml:space="preserve">prevention of complications and behaviors to stay health for </w:t>
      </w:r>
      <w:r w:rsidRPr="00857BA7">
        <w:t xml:space="preserve">people living with </w:t>
      </w:r>
      <w:r w:rsidR="00F841C4" w:rsidRPr="00857BA7">
        <w:t>SCD</w:t>
      </w:r>
      <w:r w:rsidRPr="00857BA7">
        <w:t xml:space="preserve">. CDC will use this information to develop </w:t>
      </w:r>
      <w:r w:rsidR="00F841C4" w:rsidRPr="00857BA7">
        <w:t xml:space="preserve">messages and possibly, materials </w:t>
      </w:r>
      <w:r w:rsidRPr="00857BA7">
        <w:t>for the target audiences.</w:t>
      </w:r>
    </w:p>
    <w:p w:rsidR="00470182" w:rsidRPr="00857BA7" w:rsidRDefault="00470182" w:rsidP="00500F76">
      <w:pPr>
        <w:rPr>
          <w:highlight w:val="yellow"/>
        </w:rPr>
      </w:pPr>
    </w:p>
    <w:p w:rsidR="00470182" w:rsidRPr="00857BA7" w:rsidRDefault="003D5B43" w:rsidP="00470182">
      <w:r w:rsidRPr="00857BA7">
        <w:t>Informed consent</w:t>
      </w:r>
      <w:r w:rsidR="00470182" w:rsidRPr="00857BA7">
        <w:t xml:space="preserve"> will be obtained from all of the participants before the discussion</w:t>
      </w:r>
      <w:r w:rsidRPr="00857BA7">
        <w:t xml:space="preserve"> (in the case of adolescents, parents will provide permission and consent and adolescents will provide assent)</w:t>
      </w:r>
      <w:r w:rsidR="00470182" w:rsidRPr="00857BA7">
        <w:t>. At the beginning of the focus group, participants will be assured that any comments made during the focus group will</w:t>
      </w:r>
      <w:r w:rsidR="00D45BD5" w:rsidRPr="00857BA7">
        <w:t xml:space="preserve"> not be attributed to them by name in any of the reports resulting from this research</w:t>
      </w:r>
      <w:r w:rsidR="00470182" w:rsidRPr="00857BA7">
        <w:t>. Participants will be reminded that their participation is voluntary an</w:t>
      </w:r>
      <w:r w:rsidR="002F69C1" w:rsidRPr="00857BA7">
        <w:t>d</w:t>
      </w:r>
      <w:r w:rsidR="00470182" w:rsidRPr="00857BA7">
        <w:t xml:space="preserve"> </w:t>
      </w:r>
      <w:r w:rsidR="00C43164" w:rsidRPr="00857BA7">
        <w:t xml:space="preserve">that </w:t>
      </w:r>
      <w:r w:rsidR="00470182" w:rsidRPr="00857BA7">
        <w:t>they may choose not to answer a question at any time or may withdraw from the focus group for any reason and without penalty.</w:t>
      </w:r>
      <w:r w:rsidR="002569F4" w:rsidRPr="00857BA7">
        <w:t xml:space="preserve"> </w:t>
      </w:r>
    </w:p>
    <w:p w:rsidR="00BC7F24" w:rsidRPr="00857BA7" w:rsidRDefault="00BC7F24" w:rsidP="00470182"/>
    <w:p w:rsidR="00B72307" w:rsidRDefault="00A5295E" w:rsidP="00A8114F">
      <w:pPr>
        <w:pStyle w:val="Heading2"/>
        <w:keepNext/>
        <w:spacing w:before="0" w:after="0"/>
        <w:rPr>
          <w:rFonts w:ascii="Times New Roman" w:hAnsi="Times New Roman"/>
          <w:i w:val="0"/>
          <w:sz w:val="24"/>
          <w:szCs w:val="24"/>
        </w:rPr>
      </w:pPr>
      <w:r w:rsidRPr="00A5295E">
        <w:rPr>
          <w:rFonts w:ascii="Times New Roman" w:hAnsi="Times New Roman"/>
          <w:i w:val="0"/>
          <w:sz w:val="24"/>
          <w:szCs w:val="24"/>
        </w:rPr>
        <w:t>A.</w:t>
      </w:r>
      <w:r w:rsidR="00500F76" w:rsidRPr="00A5295E">
        <w:rPr>
          <w:rFonts w:ascii="Times New Roman" w:hAnsi="Times New Roman"/>
          <w:i w:val="0"/>
          <w:sz w:val="24"/>
          <w:szCs w:val="24"/>
        </w:rPr>
        <w:t>1</w:t>
      </w:r>
      <w:r w:rsidR="00C70A30" w:rsidRPr="00A5295E">
        <w:rPr>
          <w:rFonts w:ascii="Times New Roman" w:hAnsi="Times New Roman"/>
          <w:i w:val="0"/>
          <w:sz w:val="24"/>
          <w:szCs w:val="24"/>
        </w:rPr>
        <w:t>2</w:t>
      </w:r>
      <w:r w:rsidR="00500F76" w:rsidRPr="00A5295E">
        <w:rPr>
          <w:rFonts w:ascii="Times New Roman" w:hAnsi="Times New Roman"/>
          <w:i w:val="0"/>
          <w:sz w:val="24"/>
          <w:szCs w:val="24"/>
        </w:rPr>
        <w:t>. Estimates of Annualized Burden</w:t>
      </w:r>
      <w:r w:rsidR="00D540D1" w:rsidRPr="00A5295E">
        <w:rPr>
          <w:rFonts w:ascii="Times New Roman" w:hAnsi="Times New Roman"/>
          <w:i w:val="0"/>
          <w:sz w:val="24"/>
          <w:szCs w:val="24"/>
        </w:rPr>
        <w:t xml:space="preserve"> Hours and Costs</w:t>
      </w:r>
    </w:p>
    <w:p w:rsidR="00A8114F" w:rsidRPr="00A8114F" w:rsidRDefault="00A8114F" w:rsidP="00A8114F">
      <w:pPr>
        <w:keepNext/>
      </w:pPr>
    </w:p>
    <w:p w:rsidR="0012668E" w:rsidRPr="00857BA7" w:rsidRDefault="00FB709E" w:rsidP="00A8114F">
      <w:pPr>
        <w:keepNext/>
        <w:keepLines/>
      </w:pPr>
      <w:r w:rsidRPr="00857BA7">
        <w:t xml:space="preserve">The CDC’s Division of Blood Disorders and it’s contractor, AIR will conduct </w:t>
      </w:r>
      <w:r>
        <w:t xml:space="preserve">a total of 10 </w:t>
      </w:r>
      <w:r w:rsidRPr="00857BA7">
        <w:t>focus groups to gather information that will be used to design educational materials for people with SCD in the following age groups: adolescents (15-17), y</w:t>
      </w:r>
      <w:r w:rsidRPr="00857BA7">
        <w:rPr>
          <w:bCs/>
        </w:rPr>
        <w:t xml:space="preserve">oung adults (18–25), adults (ages 26–35), and  older adults (ages 36+).  </w:t>
      </w:r>
      <w:r w:rsidR="0012668E" w:rsidRPr="00857BA7">
        <w:t xml:space="preserve">It is estimated that </w:t>
      </w:r>
      <w:r w:rsidR="00537554" w:rsidRPr="00857BA7">
        <w:t>120</w:t>
      </w:r>
      <w:r w:rsidR="00AF0671" w:rsidRPr="00857BA7">
        <w:t xml:space="preserve"> </w:t>
      </w:r>
      <w:r w:rsidR="0012668E" w:rsidRPr="00857BA7">
        <w:t xml:space="preserve">respondents </w:t>
      </w:r>
      <w:r w:rsidR="00AF0671" w:rsidRPr="00857BA7">
        <w:t xml:space="preserve">will have to be screened </w:t>
      </w:r>
      <w:r w:rsidR="0012668E" w:rsidRPr="00857BA7">
        <w:t xml:space="preserve">in order to recruit </w:t>
      </w:r>
      <w:r w:rsidR="00D439D7" w:rsidRPr="00857BA7">
        <w:t>90</w:t>
      </w:r>
      <w:r w:rsidR="0012668E" w:rsidRPr="00857BA7">
        <w:t xml:space="preserve"> </w:t>
      </w:r>
      <w:r w:rsidR="00AF0671" w:rsidRPr="00857BA7">
        <w:t xml:space="preserve">focus group participants. </w:t>
      </w:r>
      <w:r w:rsidR="0012668E" w:rsidRPr="00857BA7">
        <w:t xml:space="preserve">Each screening will </w:t>
      </w:r>
      <w:r w:rsidR="00AF0671" w:rsidRPr="00857BA7">
        <w:t xml:space="preserve">take </w:t>
      </w:r>
      <w:r w:rsidR="0012668E" w:rsidRPr="00857BA7">
        <w:t xml:space="preserve">approximately </w:t>
      </w:r>
      <w:r w:rsidR="00AF0671" w:rsidRPr="00857BA7">
        <w:t>12</w:t>
      </w:r>
      <w:r w:rsidR="0012668E" w:rsidRPr="00857BA7">
        <w:t xml:space="preserve"> minutes. The estimated response burden for the screening process </w:t>
      </w:r>
      <w:r w:rsidR="00AF0671" w:rsidRPr="00857BA7">
        <w:t xml:space="preserve">is </w:t>
      </w:r>
      <w:r w:rsidR="00397D66" w:rsidRPr="00857BA7">
        <w:t xml:space="preserve">24 </w:t>
      </w:r>
      <w:r w:rsidR="0012668E" w:rsidRPr="00857BA7">
        <w:t>hours.</w:t>
      </w:r>
    </w:p>
    <w:p w:rsidR="0012668E" w:rsidRPr="00857BA7" w:rsidRDefault="0012668E" w:rsidP="0012668E">
      <w:pPr>
        <w:keepNext/>
        <w:keepLines/>
        <w:rPr>
          <w:highlight w:val="yellow"/>
        </w:rPr>
      </w:pPr>
    </w:p>
    <w:p w:rsidR="00AF0671" w:rsidRDefault="00AF0671" w:rsidP="0012668E">
      <w:pPr>
        <w:keepNext/>
        <w:keepLines/>
      </w:pPr>
      <w:r w:rsidRPr="00857BA7">
        <w:t>T</w:t>
      </w:r>
      <w:r w:rsidR="0012668E" w:rsidRPr="00857BA7">
        <w:t xml:space="preserve">he </w:t>
      </w:r>
      <w:r w:rsidRPr="00857BA7">
        <w:t xml:space="preserve">focus groups will have </w:t>
      </w:r>
      <w:r w:rsidR="007B6BB0" w:rsidRPr="00857BA7">
        <w:t xml:space="preserve">up to </w:t>
      </w:r>
      <w:r w:rsidR="0052363A" w:rsidRPr="00857BA7">
        <w:t xml:space="preserve">nine </w:t>
      </w:r>
      <w:r w:rsidRPr="00857BA7">
        <w:t xml:space="preserve">participants each. </w:t>
      </w:r>
      <w:r w:rsidR="00537554" w:rsidRPr="00857BA7">
        <w:t>T</w:t>
      </w:r>
      <w:r w:rsidR="007B6BB0" w:rsidRPr="00857BA7">
        <w:t>en</w:t>
      </w:r>
      <w:r w:rsidRPr="00857BA7">
        <w:t xml:space="preserve"> focus groups will</w:t>
      </w:r>
      <w:r w:rsidR="00537554" w:rsidRPr="00857BA7">
        <w:t xml:space="preserve"> be conducted</w:t>
      </w:r>
      <w:r w:rsidR="0052363A" w:rsidRPr="00857BA7">
        <w:t>,</w:t>
      </w:r>
      <w:r w:rsidR="00537554" w:rsidRPr="00857BA7">
        <w:t xml:space="preserve"> </w:t>
      </w:r>
      <w:r w:rsidR="00FD399F" w:rsidRPr="00857BA7">
        <w:t xml:space="preserve">with </w:t>
      </w:r>
      <w:r w:rsidR="00537554" w:rsidRPr="00857BA7">
        <w:t xml:space="preserve">a total of </w:t>
      </w:r>
      <w:r w:rsidR="00730B03" w:rsidRPr="00857BA7">
        <w:t xml:space="preserve">up to </w:t>
      </w:r>
      <w:r w:rsidR="007B6BB0" w:rsidRPr="00857BA7">
        <w:t>90</w:t>
      </w:r>
      <w:r w:rsidR="00537554" w:rsidRPr="00857BA7">
        <w:t xml:space="preserve"> </w:t>
      </w:r>
      <w:r w:rsidRPr="00857BA7">
        <w:t xml:space="preserve">participants. </w:t>
      </w:r>
      <w:r w:rsidR="0052363A" w:rsidRPr="00857BA7">
        <w:t xml:space="preserve">Each </w:t>
      </w:r>
      <w:r w:rsidRPr="00857BA7">
        <w:t xml:space="preserve">focus group will take </w:t>
      </w:r>
      <w:r w:rsidR="007B6BB0" w:rsidRPr="00857BA7">
        <w:t>2 hours</w:t>
      </w:r>
      <w:r w:rsidR="0052363A" w:rsidRPr="00857BA7">
        <w:t>,</w:t>
      </w:r>
      <w:r w:rsidR="001D6504" w:rsidRPr="00857BA7">
        <w:t xml:space="preserve"> for a total burden of </w:t>
      </w:r>
      <w:r w:rsidR="00D439D7" w:rsidRPr="00857BA7">
        <w:t>180</w:t>
      </w:r>
      <w:r w:rsidR="001D6504" w:rsidRPr="00857BA7">
        <w:t xml:space="preserve"> </w:t>
      </w:r>
      <w:r w:rsidRPr="00857BA7">
        <w:t>hours.</w:t>
      </w:r>
      <w:r w:rsidR="00206FA7" w:rsidRPr="00857BA7">
        <w:t xml:space="preserve"> </w:t>
      </w:r>
      <w:r w:rsidR="006D1FCF">
        <w:t xml:space="preserve">The estimated annualized burden hours are 204. </w:t>
      </w:r>
      <w:r w:rsidR="00B2381C" w:rsidRPr="00857BA7">
        <w:t>There is no cost to respondents other than their time.</w:t>
      </w:r>
    </w:p>
    <w:p w:rsidR="00BC33DA" w:rsidRPr="00857BA7" w:rsidRDefault="00BC33DA" w:rsidP="0012668E">
      <w:pPr>
        <w:keepNext/>
        <w:keepLines/>
        <w:rPr>
          <w:highlight w:val="yellow"/>
        </w:rPr>
      </w:pPr>
    </w:p>
    <w:p w:rsidR="00BC33DA" w:rsidRPr="00857BA7" w:rsidRDefault="00BC33DA" w:rsidP="00C87CD8">
      <w:pPr>
        <w:keepNext/>
        <w:keepLines/>
        <w:rPr>
          <w:b/>
        </w:rPr>
      </w:pPr>
      <w:r w:rsidRPr="00857BA7">
        <w:rPr>
          <w:b/>
        </w:rPr>
        <w:t>Estimated Annualized Burden Hours</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3"/>
        <w:gridCol w:w="1665"/>
        <w:gridCol w:w="1530"/>
        <w:gridCol w:w="1620"/>
        <w:gridCol w:w="1890"/>
        <w:gridCol w:w="990"/>
      </w:tblGrid>
      <w:tr w:rsidR="00857BA7" w:rsidRPr="00DF010B" w:rsidTr="00430AFB">
        <w:trPr>
          <w:cantSplit/>
          <w:tblHeader/>
        </w:trPr>
        <w:tc>
          <w:tcPr>
            <w:tcW w:w="2583"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Type of Respondents</w:t>
            </w:r>
          </w:p>
        </w:tc>
        <w:tc>
          <w:tcPr>
            <w:tcW w:w="1665"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Form Name</w:t>
            </w:r>
          </w:p>
        </w:tc>
        <w:tc>
          <w:tcPr>
            <w:tcW w:w="1530"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No. of Respondents</w:t>
            </w:r>
          </w:p>
        </w:tc>
        <w:tc>
          <w:tcPr>
            <w:tcW w:w="1620"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No. Responses per Respondent</w:t>
            </w:r>
          </w:p>
        </w:tc>
        <w:tc>
          <w:tcPr>
            <w:tcW w:w="1890"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Average Burden per Response (in hours)</w:t>
            </w:r>
          </w:p>
        </w:tc>
        <w:tc>
          <w:tcPr>
            <w:tcW w:w="990" w:type="dxa"/>
            <w:shd w:val="clear" w:color="auto" w:fill="D9D9D9"/>
            <w:vAlign w:val="center"/>
          </w:tcPr>
          <w:p w:rsidR="00857BA7" w:rsidRPr="00DF010B" w:rsidRDefault="00857BA7" w:rsidP="00BC02F2">
            <w:pPr>
              <w:pStyle w:val="ListBullet"/>
              <w:numPr>
                <w:ilvl w:val="0"/>
                <w:numId w:val="0"/>
              </w:numPr>
              <w:rPr>
                <w:b/>
                <w:bCs/>
                <w:sz w:val="24"/>
                <w:szCs w:val="24"/>
              </w:rPr>
            </w:pPr>
            <w:r w:rsidRPr="00DF010B">
              <w:rPr>
                <w:b/>
                <w:bCs/>
                <w:sz w:val="24"/>
                <w:szCs w:val="24"/>
              </w:rPr>
              <w:t>Total Burden</w:t>
            </w:r>
          </w:p>
          <w:p w:rsidR="00857BA7" w:rsidRPr="00DF010B" w:rsidRDefault="00857BA7" w:rsidP="00BC02F2">
            <w:pPr>
              <w:pStyle w:val="ListBullet"/>
              <w:numPr>
                <w:ilvl w:val="0"/>
                <w:numId w:val="0"/>
              </w:numPr>
              <w:rPr>
                <w:b/>
                <w:bCs/>
                <w:sz w:val="24"/>
                <w:szCs w:val="24"/>
              </w:rPr>
            </w:pPr>
            <w:r w:rsidRPr="00DF010B">
              <w:rPr>
                <w:b/>
                <w:bCs/>
                <w:sz w:val="24"/>
                <w:szCs w:val="24"/>
              </w:rPr>
              <w:t>Hours</w:t>
            </w:r>
          </w:p>
        </w:tc>
      </w:tr>
      <w:tr w:rsidR="00857BA7" w:rsidRPr="00DF010B" w:rsidTr="00430AFB">
        <w:trPr>
          <w:cantSplit/>
          <w:trHeight w:val="458"/>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Parents of adolescents (aged 15–17) living with SCD</w:t>
            </w:r>
          </w:p>
        </w:tc>
        <w:tc>
          <w:tcPr>
            <w:tcW w:w="1665" w:type="dxa"/>
            <w:vMerge w:val="restart"/>
            <w:vAlign w:val="center"/>
          </w:tcPr>
          <w:p w:rsidR="00857BA7" w:rsidRPr="00DF010B" w:rsidRDefault="00857BA7" w:rsidP="00BC02F2">
            <w:pPr>
              <w:pStyle w:val="ListBullet"/>
              <w:numPr>
                <w:ilvl w:val="0"/>
                <w:numId w:val="0"/>
              </w:numPr>
              <w:rPr>
                <w:bCs/>
                <w:sz w:val="24"/>
                <w:szCs w:val="24"/>
              </w:rPr>
            </w:pPr>
            <w:r w:rsidRPr="00DF010B">
              <w:rPr>
                <w:bCs/>
                <w:sz w:val="24"/>
                <w:szCs w:val="24"/>
              </w:rPr>
              <w:t>Participant Screener and Recruitment Script</w:t>
            </w:r>
          </w:p>
        </w:tc>
        <w:tc>
          <w:tcPr>
            <w:tcW w:w="1530"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120</w:t>
            </w:r>
          </w:p>
        </w:tc>
        <w:tc>
          <w:tcPr>
            <w:tcW w:w="1620"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w:t>
            </w:r>
          </w:p>
        </w:tc>
        <w:tc>
          <w:tcPr>
            <w:tcW w:w="1890"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12/60</w:t>
            </w:r>
          </w:p>
        </w:tc>
        <w:tc>
          <w:tcPr>
            <w:tcW w:w="990" w:type="dxa"/>
            <w:vMerge w:val="restart"/>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24</w:t>
            </w:r>
          </w:p>
        </w:tc>
      </w:tr>
      <w:tr w:rsidR="00857BA7" w:rsidRPr="00DF010B" w:rsidTr="00430AFB">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Young adults aged (18–25 living with SCD</w:t>
            </w:r>
          </w:p>
        </w:tc>
        <w:tc>
          <w:tcPr>
            <w:tcW w:w="1665" w:type="dxa"/>
            <w:vMerge/>
            <w:vAlign w:val="center"/>
          </w:tcPr>
          <w:p w:rsidR="00857BA7" w:rsidRPr="00DF010B" w:rsidRDefault="00857BA7" w:rsidP="00BC02F2">
            <w:pPr>
              <w:pStyle w:val="ListBullet"/>
              <w:numPr>
                <w:ilvl w:val="0"/>
                <w:numId w:val="0"/>
              </w:numPr>
              <w:rPr>
                <w:bCs/>
                <w:sz w:val="24"/>
                <w:szCs w:val="24"/>
              </w:rPr>
            </w:pPr>
          </w:p>
        </w:tc>
        <w:tc>
          <w:tcPr>
            <w:tcW w:w="1530" w:type="dxa"/>
            <w:vMerge/>
            <w:vAlign w:val="center"/>
          </w:tcPr>
          <w:p w:rsidR="00857BA7" w:rsidRPr="00DF010B" w:rsidRDefault="00857BA7" w:rsidP="00BC02F2">
            <w:pPr>
              <w:pStyle w:val="ListBullet"/>
              <w:numPr>
                <w:ilvl w:val="0"/>
                <w:numId w:val="0"/>
              </w:numPr>
              <w:jc w:val="center"/>
              <w:rPr>
                <w:bCs/>
                <w:sz w:val="24"/>
                <w:szCs w:val="24"/>
              </w:rPr>
            </w:pPr>
          </w:p>
        </w:tc>
        <w:tc>
          <w:tcPr>
            <w:tcW w:w="1620" w:type="dxa"/>
            <w:vMerge/>
            <w:vAlign w:val="center"/>
          </w:tcPr>
          <w:p w:rsidR="00857BA7" w:rsidRPr="00DF010B" w:rsidRDefault="00857BA7" w:rsidP="00BC02F2">
            <w:pPr>
              <w:pStyle w:val="ListBullet"/>
              <w:numPr>
                <w:ilvl w:val="0"/>
                <w:numId w:val="0"/>
              </w:numPr>
              <w:jc w:val="center"/>
              <w:rPr>
                <w:bCs/>
                <w:sz w:val="24"/>
                <w:szCs w:val="24"/>
              </w:rPr>
            </w:pPr>
          </w:p>
        </w:tc>
        <w:tc>
          <w:tcPr>
            <w:tcW w:w="1890" w:type="dxa"/>
            <w:vMerge/>
            <w:vAlign w:val="center"/>
          </w:tcPr>
          <w:p w:rsidR="00857BA7" w:rsidRPr="00DF010B" w:rsidRDefault="00857BA7" w:rsidP="00BC02F2">
            <w:pPr>
              <w:pStyle w:val="ListBullet"/>
              <w:numPr>
                <w:ilvl w:val="0"/>
                <w:numId w:val="0"/>
              </w:numPr>
              <w:jc w:val="center"/>
              <w:rPr>
                <w:bCs/>
                <w:sz w:val="24"/>
                <w:szCs w:val="24"/>
              </w:rPr>
            </w:pPr>
          </w:p>
        </w:tc>
        <w:tc>
          <w:tcPr>
            <w:tcW w:w="990" w:type="dxa"/>
            <w:vMerge/>
            <w:vAlign w:val="center"/>
          </w:tcPr>
          <w:p w:rsidR="00857BA7" w:rsidRPr="00DF010B" w:rsidRDefault="00857BA7" w:rsidP="00BC02F2">
            <w:pPr>
              <w:pStyle w:val="ListBullet"/>
              <w:numPr>
                <w:ilvl w:val="0"/>
                <w:numId w:val="0"/>
              </w:numPr>
              <w:ind w:left="360"/>
              <w:jc w:val="center"/>
              <w:rPr>
                <w:bCs/>
                <w:sz w:val="24"/>
                <w:szCs w:val="24"/>
              </w:rPr>
            </w:pPr>
          </w:p>
        </w:tc>
      </w:tr>
      <w:tr w:rsidR="00857BA7" w:rsidRPr="00DF010B" w:rsidTr="00430AFB">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Adults (aged 26-35) living with SCD</w:t>
            </w:r>
          </w:p>
        </w:tc>
        <w:tc>
          <w:tcPr>
            <w:tcW w:w="1665" w:type="dxa"/>
            <w:vMerge/>
            <w:vAlign w:val="center"/>
          </w:tcPr>
          <w:p w:rsidR="00857BA7" w:rsidRPr="00DF010B" w:rsidRDefault="00857BA7" w:rsidP="00BC02F2">
            <w:pPr>
              <w:pStyle w:val="ListBullet"/>
              <w:numPr>
                <w:ilvl w:val="0"/>
                <w:numId w:val="0"/>
              </w:numPr>
              <w:rPr>
                <w:bCs/>
                <w:sz w:val="24"/>
                <w:szCs w:val="24"/>
              </w:rPr>
            </w:pPr>
          </w:p>
        </w:tc>
        <w:tc>
          <w:tcPr>
            <w:tcW w:w="1530" w:type="dxa"/>
            <w:vMerge/>
            <w:vAlign w:val="center"/>
          </w:tcPr>
          <w:p w:rsidR="00857BA7" w:rsidRPr="00DF010B" w:rsidRDefault="00857BA7" w:rsidP="00BC02F2">
            <w:pPr>
              <w:pStyle w:val="ListBullet"/>
              <w:numPr>
                <w:ilvl w:val="0"/>
                <w:numId w:val="0"/>
              </w:numPr>
              <w:jc w:val="center"/>
              <w:rPr>
                <w:bCs/>
                <w:sz w:val="24"/>
                <w:szCs w:val="24"/>
              </w:rPr>
            </w:pPr>
          </w:p>
        </w:tc>
        <w:tc>
          <w:tcPr>
            <w:tcW w:w="1620" w:type="dxa"/>
            <w:vMerge/>
            <w:vAlign w:val="center"/>
          </w:tcPr>
          <w:p w:rsidR="00857BA7" w:rsidRPr="00DF010B" w:rsidRDefault="00857BA7" w:rsidP="00BC02F2">
            <w:pPr>
              <w:pStyle w:val="ListBullet"/>
              <w:numPr>
                <w:ilvl w:val="0"/>
                <w:numId w:val="0"/>
              </w:numPr>
              <w:jc w:val="center"/>
              <w:rPr>
                <w:bCs/>
                <w:sz w:val="24"/>
                <w:szCs w:val="24"/>
              </w:rPr>
            </w:pPr>
          </w:p>
        </w:tc>
        <w:tc>
          <w:tcPr>
            <w:tcW w:w="1890" w:type="dxa"/>
            <w:vMerge/>
            <w:vAlign w:val="center"/>
          </w:tcPr>
          <w:p w:rsidR="00857BA7" w:rsidRPr="00DF010B" w:rsidRDefault="00857BA7" w:rsidP="00BC02F2">
            <w:pPr>
              <w:pStyle w:val="ListBullet"/>
              <w:numPr>
                <w:ilvl w:val="0"/>
                <w:numId w:val="0"/>
              </w:numPr>
              <w:jc w:val="center"/>
              <w:rPr>
                <w:bCs/>
                <w:sz w:val="24"/>
                <w:szCs w:val="24"/>
              </w:rPr>
            </w:pPr>
          </w:p>
        </w:tc>
        <w:tc>
          <w:tcPr>
            <w:tcW w:w="990" w:type="dxa"/>
            <w:vMerge/>
            <w:vAlign w:val="center"/>
          </w:tcPr>
          <w:p w:rsidR="00857BA7" w:rsidRPr="00DF010B" w:rsidRDefault="00857BA7" w:rsidP="00BC02F2">
            <w:pPr>
              <w:pStyle w:val="ListBullet"/>
              <w:numPr>
                <w:ilvl w:val="0"/>
                <w:numId w:val="0"/>
              </w:numPr>
              <w:ind w:left="360"/>
              <w:jc w:val="center"/>
              <w:rPr>
                <w:bCs/>
                <w:sz w:val="24"/>
                <w:szCs w:val="24"/>
              </w:rPr>
            </w:pPr>
          </w:p>
        </w:tc>
      </w:tr>
      <w:tr w:rsidR="00857BA7" w:rsidRPr="00DF010B" w:rsidTr="00430AFB">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Older adults (aged 36+) living with SCD</w:t>
            </w:r>
          </w:p>
        </w:tc>
        <w:tc>
          <w:tcPr>
            <w:tcW w:w="1665" w:type="dxa"/>
            <w:vMerge/>
            <w:vAlign w:val="center"/>
          </w:tcPr>
          <w:p w:rsidR="00857BA7" w:rsidRPr="00DF010B" w:rsidRDefault="00857BA7" w:rsidP="00BC02F2">
            <w:pPr>
              <w:pStyle w:val="ListBullet"/>
              <w:numPr>
                <w:ilvl w:val="0"/>
                <w:numId w:val="0"/>
              </w:numPr>
              <w:rPr>
                <w:bCs/>
                <w:sz w:val="24"/>
                <w:szCs w:val="24"/>
              </w:rPr>
            </w:pPr>
          </w:p>
        </w:tc>
        <w:tc>
          <w:tcPr>
            <w:tcW w:w="1530" w:type="dxa"/>
            <w:vMerge/>
            <w:vAlign w:val="center"/>
          </w:tcPr>
          <w:p w:rsidR="00857BA7" w:rsidRPr="00DF010B" w:rsidRDefault="00857BA7" w:rsidP="00BC02F2">
            <w:pPr>
              <w:pStyle w:val="ListBullet"/>
              <w:numPr>
                <w:ilvl w:val="0"/>
                <w:numId w:val="0"/>
              </w:numPr>
              <w:jc w:val="center"/>
              <w:rPr>
                <w:bCs/>
                <w:sz w:val="24"/>
                <w:szCs w:val="24"/>
              </w:rPr>
            </w:pPr>
          </w:p>
        </w:tc>
        <w:tc>
          <w:tcPr>
            <w:tcW w:w="1620" w:type="dxa"/>
            <w:vMerge/>
            <w:vAlign w:val="center"/>
          </w:tcPr>
          <w:p w:rsidR="00857BA7" w:rsidRPr="00DF010B" w:rsidRDefault="00857BA7" w:rsidP="00BC02F2">
            <w:pPr>
              <w:pStyle w:val="ListBullet"/>
              <w:numPr>
                <w:ilvl w:val="0"/>
                <w:numId w:val="0"/>
              </w:numPr>
              <w:jc w:val="center"/>
              <w:rPr>
                <w:bCs/>
                <w:sz w:val="24"/>
                <w:szCs w:val="24"/>
              </w:rPr>
            </w:pPr>
          </w:p>
        </w:tc>
        <w:tc>
          <w:tcPr>
            <w:tcW w:w="1890" w:type="dxa"/>
            <w:vMerge/>
            <w:vAlign w:val="center"/>
          </w:tcPr>
          <w:p w:rsidR="00857BA7" w:rsidRPr="00DF010B" w:rsidRDefault="00857BA7" w:rsidP="00BC02F2">
            <w:pPr>
              <w:pStyle w:val="ListBullet"/>
              <w:numPr>
                <w:ilvl w:val="0"/>
                <w:numId w:val="0"/>
              </w:numPr>
              <w:jc w:val="center"/>
              <w:rPr>
                <w:bCs/>
                <w:sz w:val="24"/>
                <w:szCs w:val="24"/>
              </w:rPr>
            </w:pPr>
          </w:p>
        </w:tc>
        <w:tc>
          <w:tcPr>
            <w:tcW w:w="990" w:type="dxa"/>
            <w:vMerge/>
            <w:vAlign w:val="center"/>
          </w:tcPr>
          <w:p w:rsidR="00857BA7" w:rsidRPr="00DF010B" w:rsidRDefault="00857BA7" w:rsidP="00BC02F2">
            <w:pPr>
              <w:pStyle w:val="ListBullet"/>
              <w:numPr>
                <w:ilvl w:val="0"/>
                <w:numId w:val="0"/>
              </w:numPr>
              <w:ind w:left="360"/>
              <w:jc w:val="center"/>
              <w:rPr>
                <w:bCs/>
                <w:sz w:val="24"/>
                <w:szCs w:val="24"/>
              </w:rPr>
            </w:pPr>
          </w:p>
        </w:tc>
      </w:tr>
      <w:tr w:rsidR="00857BA7" w:rsidRPr="00DF010B" w:rsidTr="00430AFB">
        <w:trPr>
          <w:cantSplit/>
          <w:trHeight w:val="457"/>
        </w:trPr>
        <w:tc>
          <w:tcPr>
            <w:tcW w:w="2583" w:type="dxa"/>
          </w:tcPr>
          <w:p w:rsidR="00430AFB" w:rsidRDefault="00430AFB" w:rsidP="00BC02F2">
            <w:pPr>
              <w:pStyle w:val="ListBullet"/>
              <w:numPr>
                <w:ilvl w:val="0"/>
                <w:numId w:val="0"/>
              </w:numPr>
              <w:rPr>
                <w:bCs/>
                <w:sz w:val="24"/>
                <w:szCs w:val="24"/>
              </w:rPr>
            </w:pPr>
          </w:p>
          <w:p w:rsidR="00857BA7" w:rsidRPr="00DF010B" w:rsidRDefault="00857BA7" w:rsidP="00BC02F2">
            <w:pPr>
              <w:pStyle w:val="ListBullet"/>
              <w:numPr>
                <w:ilvl w:val="0"/>
                <w:numId w:val="0"/>
              </w:numPr>
              <w:rPr>
                <w:bCs/>
                <w:sz w:val="24"/>
                <w:szCs w:val="24"/>
              </w:rPr>
            </w:pPr>
            <w:r w:rsidRPr="00DF010B">
              <w:rPr>
                <w:bCs/>
                <w:sz w:val="24"/>
                <w:szCs w:val="24"/>
              </w:rPr>
              <w:t>Adolescents (aged 15-17) living with SCD</w:t>
            </w:r>
          </w:p>
        </w:tc>
        <w:tc>
          <w:tcPr>
            <w:tcW w:w="1665" w:type="dxa"/>
            <w:vMerge w:val="restart"/>
            <w:tcBorders>
              <w:top w:val="single" w:sz="4" w:space="0" w:color="auto"/>
            </w:tcBorders>
            <w:vAlign w:val="center"/>
          </w:tcPr>
          <w:p w:rsidR="00857BA7" w:rsidRPr="00DF010B" w:rsidRDefault="00857BA7" w:rsidP="00BC02F2">
            <w:pPr>
              <w:pStyle w:val="ListBullet"/>
              <w:numPr>
                <w:ilvl w:val="0"/>
                <w:numId w:val="0"/>
              </w:numPr>
              <w:rPr>
                <w:bCs/>
                <w:sz w:val="24"/>
                <w:szCs w:val="24"/>
              </w:rPr>
            </w:pPr>
            <w:r w:rsidRPr="00DF010B">
              <w:rPr>
                <w:bCs/>
                <w:sz w:val="24"/>
                <w:szCs w:val="24"/>
              </w:rPr>
              <w:t>Focus Group Moderator’s Guide</w:t>
            </w:r>
          </w:p>
        </w:tc>
        <w:tc>
          <w:tcPr>
            <w:tcW w:w="1530"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90</w:t>
            </w:r>
          </w:p>
          <w:p w:rsidR="00857BA7" w:rsidRPr="00DF010B" w:rsidRDefault="00857BA7" w:rsidP="006D1FCF">
            <w:pPr>
              <w:pStyle w:val="ListBullet"/>
              <w:numPr>
                <w:ilvl w:val="0"/>
                <w:numId w:val="0"/>
              </w:numPr>
              <w:jc w:val="center"/>
              <w:rPr>
                <w:bCs/>
                <w:sz w:val="24"/>
                <w:szCs w:val="24"/>
              </w:rPr>
            </w:pPr>
            <w:r w:rsidRPr="00DF010B">
              <w:rPr>
                <w:bCs/>
                <w:sz w:val="24"/>
                <w:szCs w:val="24"/>
              </w:rPr>
              <w:t>(10 groups x 9 participants per group)</w:t>
            </w:r>
          </w:p>
        </w:tc>
        <w:tc>
          <w:tcPr>
            <w:tcW w:w="1620"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w:t>
            </w:r>
          </w:p>
        </w:tc>
        <w:tc>
          <w:tcPr>
            <w:tcW w:w="1890"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2</w:t>
            </w:r>
          </w:p>
        </w:tc>
        <w:tc>
          <w:tcPr>
            <w:tcW w:w="990" w:type="dxa"/>
            <w:vMerge w:val="restart"/>
            <w:tcBorders>
              <w:top w:val="single" w:sz="4" w:space="0" w:color="auto"/>
            </w:tcBorders>
            <w:vAlign w:val="center"/>
          </w:tcPr>
          <w:p w:rsidR="00857BA7" w:rsidRPr="00DF010B" w:rsidRDefault="00857BA7" w:rsidP="00BC02F2">
            <w:pPr>
              <w:pStyle w:val="ListBullet"/>
              <w:numPr>
                <w:ilvl w:val="0"/>
                <w:numId w:val="0"/>
              </w:numPr>
              <w:jc w:val="center"/>
              <w:rPr>
                <w:bCs/>
                <w:sz w:val="24"/>
                <w:szCs w:val="24"/>
              </w:rPr>
            </w:pPr>
            <w:r w:rsidRPr="00DF010B">
              <w:rPr>
                <w:bCs/>
                <w:sz w:val="24"/>
                <w:szCs w:val="24"/>
              </w:rPr>
              <w:t>180</w:t>
            </w:r>
          </w:p>
        </w:tc>
      </w:tr>
      <w:tr w:rsidR="00857BA7" w:rsidRPr="00DF010B" w:rsidTr="00430AFB">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Young adults aged (18–25 living with SCD</w:t>
            </w:r>
          </w:p>
        </w:tc>
        <w:tc>
          <w:tcPr>
            <w:tcW w:w="1665" w:type="dxa"/>
            <w:vMerge/>
            <w:vAlign w:val="center"/>
          </w:tcPr>
          <w:p w:rsidR="00857BA7" w:rsidRPr="00DF010B" w:rsidRDefault="00857BA7" w:rsidP="00BC02F2">
            <w:pPr>
              <w:pStyle w:val="ListBullet"/>
              <w:numPr>
                <w:ilvl w:val="0"/>
                <w:numId w:val="0"/>
              </w:numPr>
              <w:rPr>
                <w:bCs/>
                <w:sz w:val="24"/>
                <w:szCs w:val="24"/>
              </w:rPr>
            </w:pPr>
          </w:p>
        </w:tc>
        <w:tc>
          <w:tcPr>
            <w:tcW w:w="1530" w:type="dxa"/>
            <w:vMerge/>
            <w:vAlign w:val="center"/>
          </w:tcPr>
          <w:p w:rsidR="00857BA7" w:rsidRPr="00DF010B" w:rsidRDefault="00857BA7" w:rsidP="00BC02F2">
            <w:pPr>
              <w:pStyle w:val="ListBullet"/>
              <w:ind w:left="0"/>
              <w:jc w:val="center"/>
              <w:rPr>
                <w:bCs/>
                <w:sz w:val="24"/>
                <w:szCs w:val="24"/>
              </w:rPr>
            </w:pPr>
          </w:p>
        </w:tc>
        <w:tc>
          <w:tcPr>
            <w:tcW w:w="1620" w:type="dxa"/>
            <w:vMerge/>
            <w:vAlign w:val="center"/>
          </w:tcPr>
          <w:p w:rsidR="00857BA7" w:rsidRPr="00DF010B" w:rsidRDefault="00857BA7" w:rsidP="00BC02F2">
            <w:pPr>
              <w:pStyle w:val="ListBullet"/>
              <w:ind w:left="0"/>
              <w:jc w:val="center"/>
              <w:rPr>
                <w:bCs/>
                <w:sz w:val="24"/>
                <w:szCs w:val="24"/>
              </w:rPr>
            </w:pPr>
          </w:p>
        </w:tc>
        <w:tc>
          <w:tcPr>
            <w:tcW w:w="1890" w:type="dxa"/>
            <w:vMerge/>
            <w:vAlign w:val="center"/>
          </w:tcPr>
          <w:p w:rsidR="00857BA7" w:rsidRPr="00DF010B" w:rsidRDefault="00857BA7" w:rsidP="00BC02F2">
            <w:pPr>
              <w:pStyle w:val="ListBullet"/>
              <w:ind w:left="360"/>
              <w:rPr>
                <w:bCs/>
                <w:sz w:val="24"/>
                <w:szCs w:val="24"/>
              </w:rPr>
            </w:pPr>
          </w:p>
        </w:tc>
        <w:tc>
          <w:tcPr>
            <w:tcW w:w="990" w:type="dxa"/>
            <w:vMerge/>
            <w:vAlign w:val="center"/>
          </w:tcPr>
          <w:p w:rsidR="00857BA7" w:rsidRPr="00DF010B" w:rsidRDefault="00857BA7" w:rsidP="00BC02F2">
            <w:pPr>
              <w:pStyle w:val="ListBullet"/>
              <w:ind w:left="0"/>
              <w:jc w:val="center"/>
              <w:rPr>
                <w:bCs/>
                <w:sz w:val="24"/>
                <w:szCs w:val="24"/>
              </w:rPr>
            </w:pPr>
          </w:p>
        </w:tc>
      </w:tr>
      <w:tr w:rsidR="00857BA7" w:rsidRPr="00DF010B" w:rsidTr="00430AFB">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Adults (aged 26-35) living with SCD</w:t>
            </w:r>
          </w:p>
        </w:tc>
        <w:tc>
          <w:tcPr>
            <w:tcW w:w="1665" w:type="dxa"/>
            <w:vMerge/>
            <w:vAlign w:val="center"/>
          </w:tcPr>
          <w:p w:rsidR="00857BA7" w:rsidRPr="00DF010B" w:rsidRDefault="00857BA7" w:rsidP="00BC02F2">
            <w:pPr>
              <w:pStyle w:val="ListBullet"/>
              <w:numPr>
                <w:ilvl w:val="0"/>
                <w:numId w:val="0"/>
              </w:numPr>
              <w:rPr>
                <w:bCs/>
                <w:sz w:val="24"/>
                <w:szCs w:val="24"/>
              </w:rPr>
            </w:pPr>
          </w:p>
        </w:tc>
        <w:tc>
          <w:tcPr>
            <w:tcW w:w="1530" w:type="dxa"/>
            <w:vMerge/>
            <w:vAlign w:val="center"/>
          </w:tcPr>
          <w:p w:rsidR="00857BA7" w:rsidRPr="00DF010B" w:rsidRDefault="00857BA7" w:rsidP="00BC02F2">
            <w:pPr>
              <w:pStyle w:val="ListBullet"/>
              <w:ind w:left="0"/>
              <w:jc w:val="center"/>
              <w:rPr>
                <w:bCs/>
                <w:sz w:val="24"/>
                <w:szCs w:val="24"/>
              </w:rPr>
            </w:pPr>
          </w:p>
        </w:tc>
        <w:tc>
          <w:tcPr>
            <w:tcW w:w="1620" w:type="dxa"/>
            <w:vMerge/>
            <w:vAlign w:val="center"/>
          </w:tcPr>
          <w:p w:rsidR="00857BA7" w:rsidRPr="00DF010B" w:rsidRDefault="00857BA7" w:rsidP="00BC02F2">
            <w:pPr>
              <w:pStyle w:val="ListBullet"/>
              <w:ind w:left="0"/>
              <w:jc w:val="center"/>
              <w:rPr>
                <w:bCs/>
                <w:sz w:val="24"/>
                <w:szCs w:val="24"/>
              </w:rPr>
            </w:pPr>
          </w:p>
        </w:tc>
        <w:tc>
          <w:tcPr>
            <w:tcW w:w="1890" w:type="dxa"/>
            <w:vMerge/>
            <w:vAlign w:val="center"/>
          </w:tcPr>
          <w:p w:rsidR="00857BA7" w:rsidRPr="00DF010B" w:rsidRDefault="00857BA7" w:rsidP="00BC02F2">
            <w:pPr>
              <w:pStyle w:val="ListBullet"/>
              <w:ind w:left="360"/>
              <w:rPr>
                <w:bCs/>
                <w:sz w:val="24"/>
                <w:szCs w:val="24"/>
              </w:rPr>
            </w:pPr>
          </w:p>
        </w:tc>
        <w:tc>
          <w:tcPr>
            <w:tcW w:w="990" w:type="dxa"/>
            <w:vMerge/>
            <w:vAlign w:val="center"/>
          </w:tcPr>
          <w:p w:rsidR="00857BA7" w:rsidRPr="00DF010B" w:rsidRDefault="00857BA7" w:rsidP="00BC02F2">
            <w:pPr>
              <w:pStyle w:val="ListBullet"/>
              <w:ind w:left="0"/>
              <w:jc w:val="center"/>
              <w:rPr>
                <w:bCs/>
                <w:sz w:val="24"/>
                <w:szCs w:val="24"/>
              </w:rPr>
            </w:pPr>
          </w:p>
        </w:tc>
      </w:tr>
      <w:tr w:rsidR="00857BA7" w:rsidRPr="00DF010B" w:rsidTr="00430AFB">
        <w:trPr>
          <w:cantSplit/>
          <w:trHeight w:val="457"/>
        </w:trPr>
        <w:tc>
          <w:tcPr>
            <w:tcW w:w="2583" w:type="dxa"/>
          </w:tcPr>
          <w:p w:rsidR="00857BA7" w:rsidRPr="00DF010B" w:rsidRDefault="00857BA7" w:rsidP="00BC02F2">
            <w:pPr>
              <w:pStyle w:val="ListBullet"/>
              <w:numPr>
                <w:ilvl w:val="0"/>
                <w:numId w:val="0"/>
              </w:numPr>
              <w:rPr>
                <w:bCs/>
                <w:sz w:val="24"/>
                <w:szCs w:val="24"/>
              </w:rPr>
            </w:pPr>
            <w:r w:rsidRPr="00DF010B">
              <w:rPr>
                <w:bCs/>
                <w:sz w:val="24"/>
                <w:szCs w:val="24"/>
              </w:rPr>
              <w:t>Older adults (aged 36+) living with SCD</w:t>
            </w:r>
          </w:p>
        </w:tc>
        <w:tc>
          <w:tcPr>
            <w:tcW w:w="1665" w:type="dxa"/>
            <w:vMerge/>
            <w:vAlign w:val="center"/>
          </w:tcPr>
          <w:p w:rsidR="00857BA7" w:rsidRPr="00DF010B" w:rsidRDefault="00857BA7" w:rsidP="00BC02F2">
            <w:pPr>
              <w:pStyle w:val="ListBullet"/>
              <w:numPr>
                <w:ilvl w:val="0"/>
                <w:numId w:val="0"/>
              </w:numPr>
              <w:rPr>
                <w:bCs/>
                <w:sz w:val="24"/>
                <w:szCs w:val="24"/>
              </w:rPr>
            </w:pPr>
          </w:p>
        </w:tc>
        <w:tc>
          <w:tcPr>
            <w:tcW w:w="1530" w:type="dxa"/>
            <w:vMerge/>
            <w:vAlign w:val="center"/>
          </w:tcPr>
          <w:p w:rsidR="00857BA7" w:rsidRPr="00DF010B" w:rsidRDefault="00857BA7" w:rsidP="00BC02F2">
            <w:pPr>
              <w:pStyle w:val="ListBullet"/>
              <w:numPr>
                <w:ilvl w:val="0"/>
                <w:numId w:val="0"/>
              </w:numPr>
              <w:jc w:val="center"/>
              <w:rPr>
                <w:bCs/>
                <w:sz w:val="24"/>
                <w:szCs w:val="24"/>
              </w:rPr>
            </w:pPr>
          </w:p>
        </w:tc>
        <w:tc>
          <w:tcPr>
            <w:tcW w:w="1620" w:type="dxa"/>
            <w:vMerge/>
            <w:vAlign w:val="center"/>
          </w:tcPr>
          <w:p w:rsidR="00857BA7" w:rsidRPr="00DF010B" w:rsidRDefault="00857BA7" w:rsidP="00BC02F2">
            <w:pPr>
              <w:pStyle w:val="ListBullet"/>
              <w:numPr>
                <w:ilvl w:val="0"/>
                <w:numId w:val="0"/>
              </w:numPr>
              <w:jc w:val="center"/>
              <w:rPr>
                <w:bCs/>
                <w:sz w:val="24"/>
                <w:szCs w:val="24"/>
              </w:rPr>
            </w:pPr>
          </w:p>
        </w:tc>
        <w:tc>
          <w:tcPr>
            <w:tcW w:w="1890" w:type="dxa"/>
            <w:vMerge/>
            <w:vAlign w:val="center"/>
          </w:tcPr>
          <w:p w:rsidR="00857BA7" w:rsidRPr="00DF010B" w:rsidRDefault="00857BA7" w:rsidP="00BC02F2">
            <w:pPr>
              <w:pStyle w:val="ListBullet"/>
              <w:numPr>
                <w:ilvl w:val="0"/>
                <w:numId w:val="0"/>
              </w:numPr>
              <w:ind w:left="360"/>
              <w:rPr>
                <w:bCs/>
                <w:sz w:val="24"/>
                <w:szCs w:val="24"/>
              </w:rPr>
            </w:pPr>
          </w:p>
        </w:tc>
        <w:tc>
          <w:tcPr>
            <w:tcW w:w="990" w:type="dxa"/>
            <w:vMerge/>
            <w:vAlign w:val="center"/>
          </w:tcPr>
          <w:p w:rsidR="00857BA7" w:rsidRPr="00DF010B" w:rsidRDefault="00857BA7" w:rsidP="00BC02F2">
            <w:pPr>
              <w:pStyle w:val="ListBullet"/>
              <w:numPr>
                <w:ilvl w:val="0"/>
                <w:numId w:val="0"/>
              </w:numPr>
              <w:jc w:val="center"/>
              <w:rPr>
                <w:bCs/>
                <w:sz w:val="24"/>
                <w:szCs w:val="24"/>
              </w:rPr>
            </w:pPr>
          </w:p>
        </w:tc>
      </w:tr>
      <w:tr w:rsidR="00857BA7" w:rsidRPr="00DF010B" w:rsidTr="00430AFB">
        <w:trPr>
          <w:cantSplit/>
        </w:trPr>
        <w:tc>
          <w:tcPr>
            <w:tcW w:w="2583" w:type="dxa"/>
          </w:tcPr>
          <w:p w:rsidR="00857BA7" w:rsidRPr="00DF010B" w:rsidRDefault="00857BA7" w:rsidP="00BC02F2">
            <w:pPr>
              <w:pStyle w:val="ListBullet"/>
              <w:numPr>
                <w:ilvl w:val="0"/>
                <w:numId w:val="0"/>
              </w:numPr>
              <w:jc w:val="center"/>
              <w:rPr>
                <w:b/>
                <w:bCs/>
                <w:sz w:val="24"/>
                <w:szCs w:val="24"/>
              </w:rPr>
            </w:pPr>
            <w:r w:rsidRPr="00DF010B">
              <w:rPr>
                <w:b/>
                <w:bCs/>
                <w:sz w:val="24"/>
                <w:szCs w:val="24"/>
              </w:rPr>
              <w:t>TOTAL</w:t>
            </w:r>
          </w:p>
        </w:tc>
        <w:tc>
          <w:tcPr>
            <w:tcW w:w="1665" w:type="dxa"/>
            <w:vAlign w:val="center"/>
          </w:tcPr>
          <w:p w:rsidR="00857BA7" w:rsidRPr="00DF010B" w:rsidRDefault="00857BA7" w:rsidP="00BC02F2">
            <w:pPr>
              <w:pStyle w:val="ListBullet"/>
              <w:numPr>
                <w:ilvl w:val="0"/>
                <w:numId w:val="0"/>
              </w:numPr>
              <w:jc w:val="center"/>
              <w:rPr>
                <w:b/>
                <w:bCs/>
                <w:sz w:val="24"/>
                <w:szCs w:val="24"/>
              </w:rPr>
            </w:pPr>
          </w:p>
        </w:tc>
        <w:tc>
          <w:tcPr>
            <w:tcW w:w="1530" w:type="dxa"/>
            <w:vAlign w:val="center"/>
          </w:tcPr>
          <w:p w:rsidR="00857BA7" w:rsidRPr="00DF010B" w:rsidRDefault="00857BA7" w:rsidP="00BC02F2">
            <w:pPr>
              <w:pStyle w:val="ListBullet"/>
              <w:numPr>
                <w:ilvl w:val="0"/>
                <w:numId w:val="0"/>
              </w:numPr>
              <w:jc w:val="center"/>
              <w:rPr>
                <w:b/>
                <w:bCs/>
                <w:sz w:val="24"/>
                <w:szCs w:val="24"/>
              </w:rPr>
            </w:pPr>
          </w:p>
        </w:tc>
        <w:tc>
          <w:tcPr>
            <w:tcW w:w="1620" w:type="dxa"/>
            <w:vAlign w:val="center"/>
          </w:tcPr>
          <w:p w:rsidR="00857BA7" w:rsidRPr="00DF010B" w:rsidRDefault="00857BA7" w:rsidP="00BC02F2">
            <w:pPr>
              <w:pStyle w:val="ListBullet"/>
              <w:numPr>
                <w:ilvl w:val="0"/>
                <w:numId w:val="0"/>
              </w:numPr>
              <w:jc w:val="center"/>
              <w:rPr>
                <w:b/>
                <w:bCs/>
                <w:sz w:val="24"/>
                <w:szCs w:val="24"/>
              </w:rPr>
            </w:pPr>
          </w:p>
        </w:tc>
        <w:tc>
          <w:tcPr>
            <w:tcW w:w="1890" w:type="dxa"/>
            <w:vAlign w:val="center"/>
          </w:tcPr>
          <w:p w:rsidR="00857BA7" w:rsidRPr="00DF010B" w:rsidRDefault="00857BA7" w:rsidP="00BC02F2">
            <w:pPr>
              <w:pStyle w:val="ListBullet"/>
              <w:numPr>
                <w:ilvl w:val="0"/>
                <w:numId w:val="0"/>
              </w:numPr>
              <w:jc w:val="center"/>
              <w:rPr>
                <w:b/>
                <w:bCs/>
                <w:sz w:val="24"/>
                <w:szCs w:val="24"/>
              </w:rPr>
            </w:pPr>
          </w:p>
        </w:tc>
        <w:tc>
          <w:tcPr>
            <w:tcW w:w="990" w:type="dxa"/>
            <w:vAlign w:val="center"/>
          </w:tcPr>
          <w:p w:rsidR="00857BA7" w:rsidRPr="00DF010B" w:rsidRDefault="00631683" w:rsidP="00BC02F2">
            <w:pPr>
              <w:pStyle w:val="ListBullet"/>
              <w:numPr>
                <w:ilvl w:val="0"/>
                <w:numId w:val="0"/>
              </w:numPr>
              <w:jc w:val="center"/>
              <w:rPr>
                <w:b/>
                <w:bCs/>
                <w:sz w:val="24"/>
                <w:szCs w:val="24"/>
              </w:rPr>
            </w:pPr>
            <w:r>
              <w:rPr>
                <w:b/>
                <w:bCs/>
                <w:sz w:val="24"/>
                <w:szCs w:val="24"/>
              </w:rPr>
              <w:t>204</w:t>
            </w:r>
          </w:p>
        </w:tc>
      </w:tr>
    </w:tbl>
    <w:p w:rsidR="00BC33DA" w:rsidRPr="00DF010B" w:rsidRDefault="00BC33DA" w:rsidP="00C87CD8">
      <w:pPr>
        <w:keepNext/>
        <w:keepLines/>
        <w:rPr>
          <w:b/>
        </w:rPr>
      </w:pPr>
    </w:p>
    <w:p w:rsidR="00C150BE" w:rsidRPr="00DF010B" w:rsidRDefault="00B72307" w:rsidP="00C87CD8">
      <w:pPr>
        <w:keepNext/>
        <w:keepLines/>
        <w:rPr>
          <w:b/>
        </w:rPr>
      </w:pPr>
      <w:r w:rsidRPr="00DF010B">
        <w:rPr>
          <w:b/>
        </w:rPr>
        <w:t>Estimated Annualized Burden Costs</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440"/>
        <w:gridCol w:w="1800"/>
        <w:gridCol w:w="1620"/>
        <w:gridCol w:w="2250"/>
      </w:tblGrid>
      <w:tr w:rsidR="0017018F" w:rsidRPr="00DF010B" w:rsidTr="0017018F">
        <w:trPr>
          <w:cantSplit/>
          <w:tblHeader/>
        </w:trPr>
        <w:tc>
          <w:tcPr>
            <w:tcW w:w="2988"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Type of Respondents</w:t>
            </w:r>
          </w:p>
        </w:tc>
        <w:tc>
          <w:tcPr>
            <w:tcW w:w="1440"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Form Name</w:t>
            </w:r>
          </w:p>
        </w:tc>
        <w:tc>
          <w:tcPr>
            <w:tcW w:w="1800"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Total Burden</w:t>
            </w:r>
          </w:p>
          <w:p w:rsidR="0017018F" w:rsidRPr="00DF010B" w:rsidRDefault="0017018F" w:rsidP="00967C4C">
            <w:pPr>
              <w:pStyle w:val="ListBullet"/>
              <w:numPr>
                <w:ilvl w:val="0"/>
                <w:numId w:val="0"/>
              </w:numPr>
              <w:rPr>
                <w:b/>
                <w:bCs/>
                <w:sz w:val="24"/>
                <w:szCs w:val="24"/>
              </w:rPr>
            </w:pPr>
            <w:r w:rsidRPr="00DF010B">
              <w:rPr>
                <w:b/>
                <w:bCs/>
                <w:sz w:val="24"/>
                <w:szCs w:val="24"/>
              </w:rPr>
              <w:t>Hours</w:t>
            </w:r>
          </w:p>
        </w:tc>
        <w:tc>
          <w:tcPr>
            <w:tcW w:w="1620" w:type="dxa"/>
            <w:shd w:val="clear" w:color="auto" w:fill="D9D9D9"/>
            <w:vAlign w:val="center"/>
          </w:tcPr>
          <w:p w:rsidR="0017018F" w:rsidRPr="00DF010B" w:rsidRDefault="0017018F" w:rsidP="00967C4C">
            <w:pPr>
              <w:pStyle w:val="ListBullet"/>
              <w:numPr>
                <w:ilvl w:val="0"/>
                <w:numId w:val="0"/>
              </w:numPr>
              <w:rPr>
                <w:b/>
                <w:bCs/>
                <w:sz w:val="24"/>
                <w:szCs w:val="24"/>
              </w:rPr>
            </w:pPr>
            <w:r w:rsidRPr="00DF010B">
              <w:rPr>
                <w:b/>
                <w:bCs/>
                <w:sz w:val="24"/>
                <w:szCs w:val="24"/>
              </w:rPr>
              <w:t>Hourly Wage Rate ($)</w:t>
            </w:r>
          </w:p>
        </w:tc>
        <w:tc>
          <w:tcPr>
            <w:tcW w:w="2250" w:type="dxa"/>
            <w:shd w:val="clear" w:color="auto" w:fill="D9D9D9"/>
            <w:vAlign w:val="center"/>
          </w:tcPr>
          <w:p w:rsidR="0017018F" w:rsidRPr="00DF010B" w:rsidRDefault="0017018F" w:rsidP="007D523B">
            <w:pPr>
              <w:pStyle w:val="ListBullet"/>
              <w:numPr>
                <w:ilvl w:val="0"/>
                <w:numId w:val="0"/>
              </w:numPr>
              <w:rPr>
                <w:b/>
                <w:bCs/>
                <w:sz w:val="24"/>
                <w:szCs w:val="24"/>
              </w:rPr>
            </w:pPr>
            <w:r w:rsidRPr="00DF010B">
              <w:rPr>
                <w:b/>
                <w:bCs/>
                <w:sz w:val="24"/>
                <w:szCs w:val="24"/>
              </w:rPr>
              <w:t>Total Respondent</w:t>
            </w:r>
          </w:p>
          <w:p w:rsidR="0017018F" w:rsidRPr="00DF010B" w:rsidRDefault="0017018F" w:rsidP="007D523B">
            <w:pPr>
              <w:pStyle w:val="ListBullet"/>
              <w:numPr>
                <w:ilvl w:val="0"/>
                <w:numId w:val="0"/>
              </w:numPr>
              <w:rPr>
                <w:b/>
                <w:bCs/>
                <w:sz w:val="24"/>
                <w:szCs w:val="24"/>
              </w:rPr>
            </w:pPr>
            <w:r w:rsidRPr="00DF010B">
              <w:rPr>
                <w:b/>
                <w:bCs/>
                <w:sz w:val="24"/>
                <w:szCs w:val="24"/>
              </w:rPr>
              <w:t>Costs ($)</w:t>
            </w:r>
          </w:p>
        </w:tc>
      </w:tr>
      <w:tr w:rsidR="0017018F" w:rsidRPr="00DF010B" w:rsidTr="0017018F">
        <w:trPr>
          <w:cantSplit/>
          <w:trHeight w:val="458"/>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Parents of adolescents (aged 15–17) living with SCD</w:t>
            </w:r>
          </w:p>
        </w:tc>
        <w:tc>
          <w:tcPr>
            <w:tcW w:w="1440" w:type="dxa"/>
            <w:vMerge w:val="restart"/>
            <w:vAlign w:val="center"/>
          </w:tcPr>
          <w:p w:rsidR="0017018F" w:rsidRPr="00DF010B" w:rsidRDefault="0017018F" w:rsidP="00967C4C">
            <w:pPr>
              <w:pStyle w:val="ListBullet"/>
              <w:numPr>
                <w:ilvl w:val="0"/>
                <w:numId w:val="0"/>
              </w:numPr>
              <w:rPr>
                <w:bCs/>
                <w:sz w:val="24"/>
                <w:szCs w:val="24"/>
              </w:rPr>
            </w:pPr>
            <w:r w:rsidRPr="00DF010B">
              <w:rPr>
                <w:bCs/>
                <w:sz w:val="24"/>
                <w:szCs w:val="24"/>
              </w:rPr>
              <w:t>Participant Screener and Recruitment Script</w:t>
            </w:r>
          </w:p>
        </w:tc>
        <w:tc>
          <w:tcPr>
            <w:tcW w:w="1800" w:type="dxa"/>
            <w:vMerge w:val="restart"/>
            <w:vAlign w:val="center"/>
          </w:tcPr>
          <w:p w:rsidR="0017018F" w:rsidRPr="00DF010B" w:rsidRDefault="0017018F" w:rsidP="00967C4C">
            <w:pPr>
              <w:pStyle w:val="ListBullet"/>
              <w:numPr>
                <w:ilvl w:val="0"/>
                <w:numId w:val="0"/>
              </w:numPr>
              <w:jc w:val="center"/>
              <w:rPr>
                <w:bCs/>
                <w:sz w:val="24"/>
                <w:szCs w:val="24"/>
              </w:rPr>
            </w:pPr>
            <w:r w:rsidRPr="00DF010B">
              <w:rPr>
                <w:bCs/>
                <w:sz w:val="24"/>
                <w:szCs w:val="24"/>
              </w:rPr>
              <w:t>24</w:t>
            </w:r>
          </w:p>
        </w:tc>
        <w:tc>
          <w:tcPr>
            <w:tcW w:w="1620" w:type="dxa"/>
            <w:vMerge w:val="restart"/>
            <w:vAlign w:val="center"/>
          </w:tcPr>
          <w:p w:rsidR="0017018F" w:rsidRPr="00DF010B" w:rsidRDefault="0017018F" w:rsidP="00A5295E">
            <w:pPr>
              <w:pStyle w:val="ListBullet"/>
              <w:numPr>
                <w:ilvl w:val="0"/>
                <w:numId w:val="0"/>
              </w:numPr>
              <w:jc w:val="center"/>
              <w:rPr>
                <w:bCs/>
                <w:sz w:val="24"/>
                <w:szCs w:val="24"/>
              </w:rPr>
            </w:pPr>
            <w:r w:rsidRPr="00DF010B">
              <w:rPr>
                <w:bCs/>
                <w:sz w:val="24"/>
                <w:szCs w:val="24"/>
              </w:rPr>
              <w:t>$</w:t>
            </w:r>
            <w:r>
              <w:rPr>
                <w:bCs/>
                <w:sz w:val="24"/>
                <w:szCs w:val="24"/>
              </w:rPr>
              <w:t>21.35</w:t>
            </w:r>
          </w:p>
        </w:tc>
        <w:tc>
          <w:tcPr>
            <w:tcW w:w="2250" w:type="dxa"/>
            <w:vMerge w:val="restart"/>
            <w:vAlign w:val="center"/>
          </w:tcPr>
          <w:p w:rsidR="0017018F" w:rsidRPr="00DF010B" w:rsidRDefault="0017018F" w:rsidP="00A5295E">
            <w:pPr>
              <w:pStyle w:val="ListBullet"/>
              <w:numPr>
                <w:ilvl w:val="0"/>
                <w:numId w:val="0"/>
              </w:numPr>
              <w:jc w:val="center"/>
              <w:rPr>
                <w:bCs/>
                <w:sz w:val="24"/>
                <w:szCs w:val="24"/>
              </w:rPr>
            </w:pPr>
            <w:r w:rsidRPr="00DF010B">
              <w:rPr>
                <w:bCs/>
                <w:sz w:val="24"/>
                <w:szCs w:val="24"/>
              </w:rPr>
              <w:t>$</w:t>
            </w:r>
            <w:r>
              <w:rPr>
                <w:bCs/>
                <w:sz w:val="24"/>
                <w:szCs w:val="24"/>
              </w:rPr>
              <w:t>512.40</w:t>
            </w: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Young adults aged (18–25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ind w:left="360"/>
              <w:jc w:val="center"/>
              <w:rPr>
                <w:bCs/>
                <w:sz w:val="24"/>
                <w:szCs w:val="24"/>
              </w:rPr>
            </w:pPr>
          </w:p>
        </w:tc>
        <w:tc>
          <w:tcPr>
            <w:tcW w:w="1620" w:type="dxa"/>
            <w:vMerge/>
            <w:vAlign w:val="center"/>
          </w:tcPr>
          <w:p w:rsidR="0017018F" w:rsidRPr="00DF010B" w:rsidRDefault="0017018F" w:rsidP="00D829B5">
            <w:pPr>
              <w:pStyle w:val="ListBullet"/>
              <w:numPr>
                <w:ilvl w:val="0"/>
                <w:numId w:val="0"/>
              </w:numPr>
              <w:jc w:val="center"/>
              <w:rPr>
                <w:bCs/>
                <w:sz w:val="24"/>
                <w:szCs w:val="24"/>
              </w:rPr>
            </w:pPr>
          </w:p>
        </w:tc>
        <w:tc>
          <w:tcPr>
            <w:tcW w:w="2250" w:type="dxa"/>
            <w:vMerge/>
          </w:tcPr>
          <w:p w:rsidR="0017018F" w:rsidRPr="00DF010B" w:rsidRDefault="0017018F" w:rsidP="00967C4C">
            <w:pPr>
              <w:pStyle w:val="ListBullet"/>
              <w:numPr>
                <w:ilvl w:val="0"/>
                <w:numId w:val="0"/>
              </w:numPr>
              <w:ind w:left="36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Adults (aged 26-35)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ind w:left="360"/>
              <w:jc w:val="center"/>
              <w:rPr>
                <w:bCs/>
                <w:sz w:val="24"/>
                <w:szCs w:val="24"/>
              </w:rPr>
            </w:pPr>
          </w:p>
        </w:tc>
        <w:tc>
          <w:tcPr>
            <w:tcW w:w="1620" w:type="dxa"/>
            <w:vMerge/>
            <w:vAlign w:val="center"/>
          </w:tcPr>
          <w:p w:rsidR="0017018F" w:rsidRPr="00DF010B" w:rsidRDefault="0017018F" w:rsidP="00D829B5">
            <w:pPr>
              <w:pStyle w:val="ListBullet"/>
              <w:numPr>
                <w:ilvl w:val="0"/>
                <w:numId w:val="0"/>
              </w:numPr>
              <w:jc w:val="center"/>
              <w:rPr>
                <w:bCs/>
                <w:sz w:val="24"/>
                <w:szCs w:val="24"/>
              </w:rPr>
            </w:pPr>
          </w:p>
        </w:tc>
        <w:tc>
          <w:tcPr>
            <w:tcW w:w="2250" w:type="dxa"/>
            <w:vMerge/>
          </w:tcPr>
          <w:p w:rsidR="0017018F" w:rsidRPr="00DF010B" w:rsidRDefault="0017018F" w:rsidP="00967C4C">
            <w:pPr>
              <w:pStyle w:val="ListBullet"/>
              <w:numPr>
                <w:ilvl w:val="0"/>
                <w:numId w:val="0"/>
              </w:numPr>
              <w:ind w:left="36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Older adults (aged 36+)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ind w:left="360"/>
              <w:jc w:val="center"/>
              <w:rPr>
                <w:bCs/>
                <w:sz w:val="24"/>
                <w:szCs w:val="24"/>
              </w:rPr>
            </w:pPr>
          </w:p>
        </w:tc>
        <w:tc>
          <w:tcPr>
            <w:tcW w:w="1620" w:type="dxa"/>
            <w:vMerge/>
            <w:vAlign w:val="center"/>
          </w:tcPr>
          <w:p w:rsidR="0017018F" w:rsidRPr="00DF010B" w:rsidRDefault="0017018F" w:rsidP="00D829B5">
            <w:pPr>
              <w:pStyle w:val="ListBullet"/>
              <w:numPr>
                <w:ilvl w:val="0"/>
                <w:numId w:val="0"/>
              </w:numPr>
              <w:jc w:val="center"/>
              <w:rPr>
                <w:bCs/>
                <w:sz w:val="24"/>
                <w:szCs w:val="24"/>
              </w:rPr>
            </w:pPr>
          </w:p>
        </w:tc>
        <w:tc>
          <w:tcPr>
            <w:tcW w:w="2250" w:type="dxa"/>
            <w:vMerge/>
          </w:tcPr>
          <w:p w:rsidR="0017018F" w:rsidRPr="00DF010B" w:rsidRDefault="0017018F" w:rsidP="00967C4C">
            <w:pPr>
              <w:pStyle w:val="ListBullet"/>
              <w:numPr>
                <w:ilvl w:val="0"/>
                <w:numId w:val="0"/>
              </w:numPr>
              <w:ind w:left="36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Adolescents (aged 15-17) living with SCD</w:t>
            </w:r>
          </w:p>
        </w:tc>
        <w:tc>
          <w:tcPr>
            <w:tcW w:w="1440" w:type="dxa"/>
            <w:vMerge w:val="restart"/>
            <w:tcBorders>
              <w:top w:val="single" w:sz="4" w:space="0" w:color="auto"/>
            </w:tcBorders>
            <w:vAlign w:val="center"/>
          </w:tcPr>
          <w:p w:rsidR="0017018F" w:rsidRPr="00DF010B" w:rsidRDefault="0017018F" w:rsidP="00967C4C">
            <w:pPr>
              <w:pStyle w:val="ListBullet"/>
              <w:numPr>
                <w:ilvl w:val="0"/>
                <w:numId w:val="0"/>
              </w:numPr>
              <w:rPr>
                <w:bCs/>
                <w:sz w:val="24"/>
                <w:szCs w:val="24"/>
              </w:rPr>
            </w:pPr>
            <w:r w:rsidRPr="00DF010B">
              <w:rPr>
                <w:bCs/>
                <w:sz w:val="24"/>
                <w:szCs w:val="24"/>
              </w:rPr>
              <w:t>Focus Group Moderator’s Guide</w:t>
            </w:r>
          </w:p>
        </w:tc>
        <w:tc>
          <w:tcPr>
            <w:tcW w:w="1800" w:type="dxa"/>
            <w:vMerge w:val="restart"/>
            <w:tcBorders>
              <w:top w:val="single" w:sz="4" w:space="0" w:color="auto"/>
            </w:tcBorders>
            <w:vAlign w:val="center"/>
          </w:tcPr>
          <w:p w:rsidR="0017018F" w:rsidRPr="00DF010B" w:rsidRDefault="0017018F" w:rsidP="00967C4C">
            <w:pPr>
              <w:pStyle w:val="ListBullet"/>
              <w:numPr>
                <w:ilvl w:val="0"/>
                <w:numId w:val="0"/>
              </w:numPr>
              <w:jc w:val="center"/>
              <w:rPr>
                <w:bCs/>
                <w:sz w:val="24"/>
                <w:szCs w:val="24"/>
              </w:rPr>
            </w:pPr>
            <w:r w:rsidRPr="00DF010B">
              <w:rPr>
                <w:bCs/>
                <w:sz w:val="24"/>
                <w:szCs w:val="24"/>
              </w:rPr>
              <w:t>180</w:t>
            </w:r>
          </w:p>
        </w:tc>
        <w:tc>
          <w:tcPr>
            <w:tcW w:w="1620" w:type="dxa"/>
            <w:vMerge w:val="restart"/>
            <w:tcBorders>
              <w:top w:val="single" w:sz="4" w:space="0" w:color="auto"/>
            </w:tcBorders>
            <w:vAlign w:val="center"/>
          </w:tcPr>
          <w:p w:rsidR="0017018F" w:rsidRPr="00DF010B" w:rsidRDefault="0017018F" w:rsidP="00A5295E">
            <w:pPr>
              <w:jc w:val="center"/>
            </w:pPr>
            <w:r w:rsidRPr="00DF010B">
              <w:rPr>
                <w:bCs/>
              </w:rPr>
              <w:t>$</w:t>
            </w:r>
            <w:r>
              <w:rPr>
                <w:bCs/>
              </w:rPr>
              <w:t>21.35</w:t>
            </w:r>
          </w:p>
        </w:tc>
        <w:tc>
          <w:tcPr>
            <w:tcW w:w="2250" w:type="dxa"/>
            <w:vMerge w:val="restart"/>
            <w:tcBorders>
              <w:top w:val="single" w:sz="4" w:space="0" w:color="auto"/>
            </w:tcBorders>
            <w:vAlign w:val="center"/>
          </w:tcPr>
          <w:p w:rsidR="0017018F" w:rsidRPr="00DF010B" w:rsidRDefault="0017018F" w:rsidP="00A5295E">
            <w:pPr>
              <w:pStyle w:val="ListBullet"/>
              <w:numPr>
                <w:ilvl w:val="0"/>
                <w:numId w:val="0"/>
              </w:numPr>
              <w:jc w:val="center"/>
              <w:rPr>
                <w:bCs/>
                <w:sz w:val="24"/>
                <w:szCs w:val="24"/>
              </w:rPr>
            </w:pPr>
            <w:r w:rsidRPr="00DF010B">
              <w:rPr>
                <w:bCs/>
                <w:sz w:val="24"/>
                <w:szCs w:val="24"/>
              </w:rPr>
              <w:t>$</w:t>
            </w:r>
            <w:r>
              <w:rPr>
                <w:bCs/>
                <w:sz w:val="24"/>
                <w:szCs w:val="24"/>
              </w:rPr>
              <w:t>3,843.00</w:t>
            </w: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Young adults aged (18–25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ind w:left="0"/>
              <w:jc w:val="center"/>
              <w:rPr>
                <w:bCs/>
                <w:sz w:val="24"/>
                <w:szCs w:val="24"/>
              </w:rPr>
            </w:pPr>
          </w:p>
        </w:tc>
        <w:tc>
          <w:tcPr>
            <w:tcW w:w="1620" w:type="dxa"/>
            <w:vMerge/>
            <w:vAlign w:val="center"/>
          </w:tcPr>
          <w:p w:rsidR="0017018F" w:rsidRPr="00DF010B" w:rsidRDefault="0017018F" w:rsidP="00967C4C">
            <w:pPr>
              <w:jc w:val="center"/>
            </w:pPr>
          </w:p>
        </w:tc>
        <w:tc>
          <w:tcPr>
            <w:tcW w:w="2250" w:type="dxa"/>
            <w:vMerge/>
          </w:tcPr>
          <w:p w:rsidR="0017018F" w:rsidRPr="00DF010B" w:rsidRDefault="0017018F" w:rsidP="00967C4C">
            <w:pPr>
              <w:pStyle w:val="ListBullet"/>
              <w:ind w:left="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Adults (aged 26-35)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ind w:left="0"/>
              <w:jc w:val="center"/>
              <w:rPr>
                <w:bCs/>
                <w:sz w:val="24"/>
                <w:szCs w:val="24"/>
              </w:rPr>
            </w:pPr>
          </w:p>
        </w:tc>
        <w:tc>
          <w:tcPr>
            <w:tcW w:w="1620" w:type="dxa"/>
            <w:vMerge/>
            <w:vAlign w:val="center"/>
          </w:tcPr>
          <w:p w:rsidR="0017018F" w:rsidRPr="00DF010B" w:rsidRDefault="0017018F" w:rsidP="00967C4C">
            <w:pPr>
              <w:jc w:val="center"/>
            </w:pPr>
          </w:p>
        </w:tc>
        <w:tc>
          <w:tcPr>
            <w:tcW w:w="2250" w:type="dxa"/>
            <w:vMerge/>
          </w:tcPr>
          <w:p w:rsidR="0017018F" w:rsidRPr="00DF010B" w:rsidRDefault="0017018F" w:rsidP="00967C4C">
            <w:pPr>
              <w:pStyle w:val="ListBullet"/>
              <w:ind w:left="0"/>
              <w:jc w:val="center"/>
              <w:rPr>
                <w:bCs/>
                <w:sz w:val="24"/>
                <w:szCs w:val="24"/>
              </w:rPr>
            </w:pPr>
          </w:p>
        </w:tc>
      </w:tr>
      <w:tr w:rsidR="0017018F" w:rsidRPr="00DF010B" w:rsidTr="0017018F">
        <w:trPr>
          <w:cantSplit/>
          <w:trHeight w:val="457"/>
        </w:trPr>
        <w:tc>
          <w:tcPr>
            <w:tcW w:w="2988" w:type="dxa"/>
          </w:tcPr>
          <w:p w:rsidR="0017018F" w:rsidRPr="00DF010B" w:rsidRDefault="0017018F" w:rsidP="00967C4C">
            <w:pPr>
              <w:pStyle w:val="ListBullet"/>
              <w:numPr>
                <w:ilvl w:val="0"/>
                <w:numId w:val="0"/>
              </w:numPr>
              <w:rPr>
                <w:bCs/>
                <w:sz w:val="24"/>
                <w:szCs w:val="24"/>
              </w:rPr>
            </w:pPr>
            <w:r w:rsidRPr="00DF010B">
              <w:rPr>
                <w:bCs/>
                <w:sz w:val="24"/>
                <w:szCs w:val="24"/>
              </w:rPr>
              <w:t>Older adults (aged 36+) living with SCD</w:t>
            </w:r>
          </w:p>
        </w:tc>
        <w:tc>
          <w:tcPr>
            <w:tcW w:w="1440" w:type="dxa"/>
            <w:vMerge/>
            <w:vAlign w:val="center"/>
          </w:tcPr>
          <w:p w:rsidR="0017018F" w:rsidRPr="00DF010B" w:rsidRDefault="0017018F" w:rsidP="00967C4C">
            <w:pPr>
              <w:pStyle w:val="ListBullet"/>
              <w:numPr>
                <w:ilvl w:val="0"/>
                <w:numId w:val="0"/>
              </w:numPr>
              <w:rPr>
                <w:bCs/>
                <w:sz w:val="24"/>
                <w:szCs w:val="24"/>
              </w:rPr>
            </w:pPr>
          </w:p>
        </w:tc>
        <w:tc>
          <w:tcPr>
            <w:tcW w:w="1800" w:type="dxa"/>
            <w:vMerge/>
            <w:vAlign w:val="center"/>
          </w:tcPr>
          <w:p w:rsidR="0017018F" w:rsidRPr="00DF010B" w:rsidRDefault="0017018F" w:rsidP="00967C4C">
            <w:pPr>
              <w:pStyle w:val="ListBullet"/>
              <w:numPr>
                <w:ilvl w:val="0"/>
                <w:numId w:val="0"/>
              </w:numPr>
              <w:jc w:val="center"/>
              <w:rPr>
                <w:bCs/>
                <w:sz w:val="24"/>
                <w:szCs w:val="24"/>
              </w:rPr>
            </w:pPr>
          </w:p>
        </w:tc>
        <w:tc>
          <w:tcPr>
            <w:tcW w:w="1620" w:type="dxa"/>
            <w:vMerge/>
            <w:vAlign w:val="center"/>
          </w:tcPr>
          <w:p w:rsidR="0017018F" w:rsidRPr="00DF010B" w:rsidRDefault="0017018F" w:rsidP="00967C4C">
            <w:pPr>
              <w:jc w:val="center"/>
            </w:pPr>
          </w:p>
        </w:tc>
        <w:tc>
          <w:tcPr>
            <w:tcW w:w="2250" w:type="dxa"/>
            <w:vMerge/>
          </w:tcPr>
          <w:p w:rsidR="0017018F" w:rsidRPr="00DF010B" w:rsidRDefault="0017018F" w:rsidP="00967C4C">
            <w:pPr>
              <w:pStyle w:val="ListBullet"/>
              <w:numPr>
                <w:ilvl w:val="0"/>
                <w:numId w:val="0"/>
              </w:numPr>
              <w:jc w:val="center"/>
              <w:rPr>
                <w:bCs/>
                <w:sz w:val="24"/>
                <w:szCs w:val="24"/>
              </w:rPr>
            </w:pPr>
          </w:p>
        </w:tc>
      </w:tr>
      <w:tr w:rsidR="0017018F" w:rsidRPr="00DF010B" w:rsidTr="0017018F">
        <w:trPr>
          <w:cantSplit/>
        </w:trPr>
        <w:tc>
          <w:tcPr>
            <w:tcW w:w="2988" w:type="dxa"/>
          </w:tcPr>
          <w:p w:rsidR="0017018F" w:rsidRPr="00DF010B" w:rsidRDefault="0017018F" w:rsidP="00967C4C">
            <w:pPr>
              <w:pStyle w:val="ListBullet"/>
              <w:numPr>
                <w:ilvl w:val="0"/>
                <w:numId w:val="0"/>
              </w:numPr>
              <w:jc w:val="center"/>
              <w:rPr>
                <w:b/>
                <w:bCs/>
                <w:sz w:val="24"/>
                <w:szCs w:val="24"/>
              </w:rPr>
            </w:pPr>
            <w:r w:rsidRPr="00DF010B">
              <w:rPr>
                <w:b/>
                <w:bCs/>
                <w:sz w:val="24"/>
                <w:szCs w:val="24"/>
              </w:rPr>
              <w:t>TOTAL</w:t>
            </w:r>
          </w:p>
        </w:tc>
        <w:tc>
          <w:tcPr>
            <w:tcW w:w="1440" w:type="dxa"/>
            <w:vAlign w:val="center"/>
          </w:tcPr>
          <w:p w:rsidR="0017018F" w:rsidRPr="00DF010B" w:rsidRDefault="0017018F" w:rsidP="00967C4C">
            <w:pPr>
              <w:pStyle w:val="ListBullet"/>
              <w:numPr>
                <w:ilvl w:val="0"/>
                <w:numId w:val="0"/>
              </w:numPr>
              <w:jc w:val="center"/>
              <w:rPr>
                <w:b/>
                <w:bCs/>
                <w:sz w:val="24"/>
                <w:szCs w:val="24"/>
              </w:rPr>
            </w:pPr>
          </w:p>
        </w:tc>
        <w:tc>
          <w:tcPr>
            <w:tcW w:w="1800" w:type="dxa"/>
            <w:vAlign w:val="center"/>
          </w:tcPr>
          <w:p w:rsidR="0017018F" w:rsidRPr="00DF010B" w:rsidRDefault="0017018F" w:rsidP="00857BA7">
            <w:pPr>
              <w:pStyle w:val="ListBullet"/>
              <w:numPr>
                <w:ilvl w:val="0"/>
                <w:numId w:val="0"/>
              </w:numPr>
              <w:jc w:val="center"/>
              <w:rPr>
                <w:b/>
                <w:bCs/>
                <w:sz w:val="24"/>
                <w:szCs w:val="24"/>
              </w:rPr>
            </w:pPr>
            <w:r>
              <w:rPr>
                <w:b/>
                <w:bCs/>
                <w:sz w:val="24"/>
                <w:szCs w:val="24"/>
              </w:rPr>
              <w:t>204</w:t>
            </w:r>
          </w:p>
        </w:tc>
        <w:tc>
          <w:tcPr>
            <w:tcW w:w="1620" w:type="dxa"/>
          </w:tcPr>
          <w:p w:rsidR="0017018F" w:rsidRPr="00DF010B" w:rsidRDefault="0017018F" w:rsidP="00967C4C">
            <w:pPr>
              <w:pStyle w:val="ListBullet"/>
              <w:numPr>
                <w:ilvl w:val="0"/>
                <w:numId w:val="0"/>
              </w:numPr>
              <w:jc w:val="center"/>
              <w:rPr>
                <w:b/>
                <w:bCs/>
                <w:sz w:val="24"/>
                <w:szCs w:val="24"/>
              </w:rPr>
            </w:pPr>
          </w:p>
        </w:tc>
        <w:tc>
          <w:tcPr>
            <w:tcW w:w="2250" w:type="dxa"/>
          </w:tcPr>
          <w:p w:rsidR="0017018F" w:rsidRPr="00DF010B" w:rsidRDefault="0017018F" w:rsidP="00A5295E">
            <w:pPr>
              <w:pStyle w:val="ListBullet"/>
              <w:numPr>
                <w:ilvl w:val="0"/>
                <w:numId w:val="0"/>
              </w:numPr>
              <w:jc w:val="center"/>
              <w:rPr>
                <w:b/>
                <w:bCs/>
                <w:sz w:val="24"/>
                <w:szCs w:val="24"/>
              </w:rPr>
            </w:pPr>
            <w:r>
              <w:rPr>
                <w:b/>
                <w:bCs/>
                <w:sz w:val="24"/>
                <w:szCs w:val="24"/>
              </w:rPr>
              <w:t>$4,355.40</w:t>
            </w:r>
          </w:p>
        </w:tc>
      </w:tr>
    </w:tbl>
    <w:p w:rsidR="002E188B" w:rsidRPr="00DF010B" w:rsidRDefault="002E188B" w:rsidP="00FA05BC">
      <w:pPr>
        <w:pStyle w:val="ListBullet"/>
        <w:numPr>
          <w:ilvl w:val="0"/>
          <w:numId w:val="0"/>
        </w:numPr>
        <w:rPr>
          <w:sz w:val="24"/>
          <w:szCs w:val="24"/>
          <w:highlight w:val="yellow"/>
        </w:rPr>
      </w:pPr>
    </w:p>
    <w:p w:rsidR="006D1FCF" w:rsidRDefault="006D1FCF" w:rsidP="004B3F6A">
      <w:pPr>
        <w:pStyle w:val="ListBullet"/>
        <w:numPr>
          <w:ilvl w:val="0"/>
          <w:numId w:val="0"/>
        </w:numPr>
        <w:rPr>
          <w:bCs/>
          <w:sz w:val="24"/>
          <w:szCs w:val="24"/>
        </w:rPr>
      </w:pPr>
    </w:p>
    <w:p w:rsidR="006D1FCF" w:rsidRPr="00673A73" w:rsidRDefault="006D1FCF" w:rsidP="004B3F6A">
      <w:pPr>
        <w:pStyle w:val="ListBullet"/>
        <w:numPr>
          <w:ilvl w:val="0"/>
          <w:numId w:val="0"/>
        </w:numPr>
        <w:rPr>
          <w:b/>
          <w:bCs/>
          <w:sz w:val="24"/>
          <w:szCs w:val="24"/>
        </w:rPr>
      </w:pPr>
      <w:r w:rsidRPr="00673A73">
        <w:rPr>
          <w:b/>
          <w:bCs/>
          <w:sz w:val="24"/>
          <w:szCs w:val="24"/>
        </w:rPr>
        <w:t>Estimates of annualized cost to respondents</w:t>
      </w:r>
    </w:p>
    <w:p w:rsidR="006D1FCF" w:rsidRDefault="006D1FCF" w:rsidP="004B3F6A">
      <w:pPr>
        <w:pStyle w:val="ListBullet"/>
        <w:numPr>
          <w:ilvl w:val="0"/>
          <w:numId w:val="0"/>
        </w:numPr>
        <w:rPr>
          <w:bCs/>
          <w:sz w:val="24"/>
          <w:szCs w:val="24"/>
        </w:rPr>
      </w:pPr>
    </w:p>
    <w:p w:rsidR="004B3F6A" w:rsidRPr="00857BA7" w:rsidRDefault="004B3F6A" w:rsidP="004B3F6A">
      <w:pPr>
        <w:pStyle w:val="ListBullet"/>
        <w:numPr>
          <w:ilvl w:val="0"/>
          <w:numId w:val="0"/>
        </w:numPr>
        <w:rPr>
          <w:sz w:val="24"/>
          <w:szCs w:val="24"/>
        </w:rPr>
      </w:pPr>
      <w:r w:rsidRPr="00857BA7">
        <w:rPr>
          <w:bCs/>
          <w:sz w:val="24"/>
          <w:szCs w:val="24"/>
        </w:rPr>
        <w:t xml:space="preserve">The hourly wage cost is based on the U.S. Department of Labor’s “May </w:t>
      </w:r>
      <w:r w:rsidR="00A5295E" w:rsidRPr="00857BA7">
        <w:rPr>
          <w:bCs/>
          <w:sz w:val="24"/>
          <w:szCs w:val="24"/>
        </w:rPr>
        <w:t>20</w:t>
      </w:r>
      <w:r w:rsidR="00A5295E">
        <w:rPr>
          <w:bCs/>
          <w:sz w:val="24"/>
          <w:szCs w:val="24"/>
        </w:rPr>
        <w:t>10</w:t>
      </w:r>
      <w:r w:rsidR="00A5295E" w:rsidRPr="00857BA7">
        <w:rPr>
          <w:bCs/>
          <w:sz w:val="24"/>
          <w:szCs w:val="24"/>
        </w:rPr>
        <w:t xml:space="preserve"> </w:t>
      </w:r>
      <w:r w:rsidRPr="00857BA7">
        <w:rPr>
          <w:bCs/>
          <w:sz w:val="24"/>
          <w:szCs w:val="24"/>
        </w:rPr>
        <w:t>National Occupational Employment and Wage Estimates,” which lists the mean hourly w</w:t>
      </w:r>
      <w:r w:rsidR="00C87CD8" w:rsidRPr="00857BA7">
        <w:rPr>
          <w:bCs/>
          <w:sz w:val="24"/>
          <w:szCs w:val="24"/>
        </w:rPr>
        <w:t>age for all occupations as $</w:t>
      </w:r>
      <w:r w:rsidR="00A5295E">
        <w:rPr>
          <w:bCs/>
          <w:sz w:val="24"/>
          <w:szCs w:val="24"/>
        </w:rPr>
        <w:t>21.35</w:t>
      </w:r>
      <w:r w:rsidRPr="00857BA7">
        <w:rPr>
          <w:bCs/>
          <w:sz w:val="24"/>
          <w:szCs w:val="24"/>
        </w:rPr>
        <w:t xml:space="preserve">. See </w:t>
      </w:r>
      <w:hyperlink r:id="rId22" w:anchor="00-0000" w:history="1">
        <w:r w:rsidR="00C87CD8" w:rsidRPr="00857BA7">
          <w:rPr>
            <w:rStyle w:val="Hyperlink"/>
            <w:sz w:val="24"/>
            <w:szCs w:val="24"/>
          </w:rPr>
          <w:t>http://www.bls.gov/oes/c</w:t>
        </w:r>
        <w:bookmarkStart w:id="3" w:name="_Hlt292991125"/>
        <w:r w:rsidR="00C87CD8" w:rsidRPr="00857BA7">
          <w:rPr>
            <w:rStyle w:val="Hyperlink"/>
            <w:sz w:val="24"/>
            <w:szCs w:val="24"/>
          </w:rPr>
          <w:t>u</w:t>
        </w:r>
        <w:bookmarkEnd w:id="3"/>
        <w:r w:rsidR="00C87CD8" w:rsidRPr="00857BA7">
          <w:rPr>
            <w:rStyle w:val="Hyperlink"/>
            <w:sz w:val="24"/>
            <w:szCs w:val="24"/>
          </w:rPr>
          <w:t>rrent/oes_nat.htm#00-0000</w:t>
        </w:r>
      </w:hyperlink>
      <w:r w:rsidR="00C87CD8" w:rsidRPr="00857BA7">
        <w:rPr>
          <w:sz w:val="24"/>
          <w:szCs w:val="24"/>
        </w:rPr>
        <w:t xml:space="preserve"> </w:t>
      </w:r>
    </w:p>
    <w:p w:rsidR="004B3F6A" w:rsidRPr="00857BA7" w:rsidRDefault="004B3F6A" w:rsidP="00FA05BC">
      <w:pPr>
        <w:pStyle w:val="ListBullet"/>
        <w:numPr>
          <w:ilvl w:val="0"/>
          <w:numId w:val="0"/>
        </w:numPr>
        <w:rPr>
          <w:bCs/>
          <w:sz w:val="24"/>
          <w:szCs w:val="24"/>
        </w:rPr>
      </w:pPr>
    </w:p>
    <w:p w:rsidR="009C1AC0" w:rsidRPr="00857BA7" w:rsidRDefault="009C1AC0" w:rsidP="00744ED9"/>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69333C" w:rsidRPr="00857BA7">
        <w:rPr>
          <w:rFonts w:ascii="Times New Roman" w:hAnsi="Times New Roman"/>
          <w:i w:val="0"/>
          <w:sz w:val="24"/>
          <w:szCs w:val="24"/>
        </w:rPr>
        <w:t>1</w:t>
      </w:r>
      <w:r w:rsidR="00C70A30" w:rsidRPr="00857BA7">
        <w:rPr>
          <w:rFonts w:ascii="Times New Roman" w:hAnsi="Times New Roman"/>
          <w:i w:val="0"/>
          <w:sz w:val="24"/>
          <w:szCs w:val="24"/>
        </w:rPr>
        <w:t>3</w:t>
      </w:r>
      <w:r w:rsidR="0069333C" w:rsidRPr="00857BA7">
        <w:rPr>
          <w:rFonts w:ascii="Times New Roman" w:hAnsi="Times New Roman"/>
          <w:i w:val="0"/>
          <w:sz w:val="24"/>
          <w:szCs w:val="24"/>
        </w:rPr>
        <w:t xml:space="preserve">. Estimates of </w:t>
      </w:r>
      <w:r w:rsidR="00C70A30" w:rsidRPr="00857BA7">
        <w:rPr>
          <w:rFonts w:ascii="Times New Roman" w:hAnsi="Times New Roman"/>
          <w:i w:val="0"/>
          <w:sz w:val="24"/>
          <w:szCs w:val="24"/>
        </w:rPr>
        <w:t xml:space="preserve">Other Total </w:t>
      </w:r>
      <w:r w:rsidR="0069333C" w:rsidRPr="00857BA7">
        <w:rPr>
          <w:rFonts w:ascii="Times New Roman" w:hAnsi="Times New Roman"/>
          <w:i w:val="0"/>
          <w:sz w:val="24"/>
          <w:szCs w:val="24"/>
        </w:rPr>
        <w:t>Annual Cost Burden to Respondents</w:t>
      </w:r>
      <w:r w:rsidR="00C70A30" w:rsidRPr="00857BA7">
        <w:rPr>
          <w:rFonts w:ascii="Times New Roman" w:hAnsi="Times New Roman"/>
          <w:i w:val="0"/>
          <w:sz w:val="24"/>
          <w:szCs w:val="24"/>
        </w:rPr>
        <w:t xml:space="preserve"> or Record Keepers</w:t>
      </w:r>
    </w:p>
    <w:p w:rsidR="0069333C" w:rsidRPr="00857BA7" w:rsidRDefault="0069333C" w:rsidP="0069333C"/>
    <w:p w:rsidR="0069333C" w:rsidRPr="00857BA7" w:rsidRDefault="003B0863" w:rsidP="0069333C">
      <w:r w:rsidRPr="00857BA7">
        <w:t>There are no direct costs to respondents other than their time to participate in the study</w:t>
      </w:r>
      <w:r w:rsidR="0069333C" w:rsidRPr="00857BA7">
        <w:t>.</w:t>
      </w:r>
    </w:p>
    <w:p w:rsidR="003B0863" w:rsidRPr="00857BA7" w:rsidRDefault="003B0863" w:rsidP="0069333C"/>
    <w:p w:rsidR="00F82715" w:rsidRDefault="00F82715" w:rsidP="00B72307">
      <w:pPr>
        <w:pStyle w:val="Heading2"/>
        <w:spacing w:before="0" w:after="0"/>
        <w:rPr>
          <w:rFonts w:ascii="Times New Roman" w:hAnsi="Times New Roman"/>
          <w:i w:val="0"/>
          <w:sz w:val="24"/>
          <w:szCs w:val="24"/>
        </w:rPr>
      </w:pPr>
    </w:p>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69333C" w:rsidRPr="00857BA7">
        <w:rPr>
          <w:rFonts w:ascii="Times New Roman" w:hAnsi="Times New Roman"/>
          <w:i w:val="0"/>
          <w:sz w:val="24"/>
          <w:szCs w:val="24"/>
        </w:rPr>
        <w:t>1</w:t>
      </w:r>
      <w:r w:rsidR="00C70A30" w:rsidRPr="00857BA7">
        <w:rPr>
          <w:rFonts w:ascii="Times New Roman" w:hAnsi="Times New Roman"/>
          <w:i w:val="0"/>
          <w:sz w:val="24"/>
          <w:szCs w:val="24"/>
        </w:rPr>
        <w:t>4</w:t>
      </w:r>
      <w:r w:rsidR="0069333C" w:rsidRPr="00857BA7">
        <w:rPr>
          <w:rFonts w:ascii="Times New Roman" w:hAnsi="Times New Roman"/>
          <w:i w:val="0"/>
          <w:sz w:val="24"/>
          <w:szCs w:val="24"/>
        </w:rPr>
        <w:t>. Annualized Cost to the Government</w:t>
      </w:r>
    </w:p>
    <w:p w:rsidR="0069333C" w:rsidRPr="00857BA7" w:rsidRDefault="0069333C" w:rsidP="0069333C"/>
    <w:p w:rsidR="00A5295E" w:rsidRDefault="003B0863" w:rsidP="00A321B3">
      <w:r w:rsidRPr="00857BA7">
        <w:rPr>
          <w:bCs/>
        </w:rPr>
        <w:t xml:space="preserve">The total cost to the Federal Government for </w:t>
      </w:r>
      <w:r w:rsidR="00A321B3">
        <w:rPr>
          <w:bCs/>
        </w:rPr>
        <w:t xml:space="preserve">collecting and analyzing the </w:t>
      </w:r>
      <w:r w:rsidR="00A5295E">
        <w:rPr>
          <w:bCs/>
        </w:rPr>
        <w:t xml:space="preserve">data </w:t>
      </w:r>
      <w:r w:rsidR="00A321B3">
        <w:rPr>
          <w:bCs/>
        </w:rPr>
        <w:t xml:space="preserve">as described within this submission </w:t>
      </w:r>
      <w:r w:rsidRPr="00483ACE">
        <w:rPr>
          <w:bCs/>
        </w:rPr>
        <w:t>is $</w:t>
      </w:r>
      <w:r w:rsidR="00800615" w:rsidRPr="00483ACE">
        <w:rPr>
          <w:bCs/>
        </w:rPr>
        <w:t>176,918</w:t>
      </w:r>
      <w:r w:rsidRPr="00483ACE">
        <w:rPr>
          <w:bCs/>
        </w:rPr>
        <w:t xml:space="preserve">.  </w:t>
      </w:r>
      <w:r w:rsidR="00A321B3" w:rsidRPr="00483ACE">
        <w:t>The</w:t>
      </w:r>
      <w:r w:rsidR="00A321B3" w:rsidRPr="00857BA7">
        <w:t xml:space="preserve"> average annualized cost to the Government to collect this information is $</w:t>
      </w:r>
      <w:r w:rsidR="00800615" w:rsidRPr="00800615">
        <w:t>176,918</w:t>
      </w:r>
      <w:r w:rsidR="00800615">
        <w:t xml:space="preserve"> </w:t>
      </w:r>
      <w:r w:rsidR="00A321B3" w:rsidRPr="00857BA7">
        <w:t xml:space="preserve">for the one-year OMB approval period that is requested.  </w:t>
      </w:r>
      <w:r w:rsidR="00A5295E" w:rsidRPr="00857BA7">
        <w:t xml:space="preserve">However it is noted here that this is a multi-year project The total project period is three years and includes formative research through working group consultation and environmental scan (year 1), data collection period  for which this OMB application covers (year 2) and post-data collection period (year 3) is a total of 3 years. </w:t>
      </w:r>
    </w:p>
    <w:p w:rsidR="00A5295E" w:rsidRDefault="00A5295E" w:rsidP="00A321B3"/>
    <w:p w:rsidR="003B0863" w:rsidRDefault="00A321B3" w:rsidP="00A321B3">
      <w:pPr>
        <w:rPr>
          <w:bCs/>
        </w:rPr>
      </w:pPr>
      <w:r w:rsidRPr="00857BA7">
        <w:t xml:space="preserve">Since we are requesting only a 1-year OMB approval period, only the costs of data collection during the 1-year OMB approval period appear below in the “annualized cost” calculation. </w:t>
      </w:r>
      <w:r w:rsidR="003B0863" w:rsidRPr="00857BA7">
        <w:rPr>
          <w:bCs/>
        </w:rPr>
        <w:t>The table below shows the basic cost components.</w:t>
      </w:r>
    </w:p>
    <w:p w:rsidR="00673A73" w:rsidRDefault="00673A73" w:rsidP="00A321B3">
      <w:pPr>
        <w:rPr>
          <w:bCs/>
        </w:rPr>
      </w:pPr>
    </w:p>
    <w:p w:rsidR="00673A73" w:rsidRDefault="00673A73" w:rsidP="00A321B3">
      <w:pPr>
        <w:rPr>
          <w:bCs/>
        </w:rPr>
      </w:pPr>
    </w:p>
    <w:p w:rsidR="00A321B3" w:rsidRDefault="00A321B3" w:rsidP="00A321B3">
      <w:pPr>
        <w:rPr>
          <w:bCs/>
        </w:rPr>
      </w:pPr>
    </w:p>
    <w:p w:rsidR="007D1B94" w:rsidRPr="00857BA7" w:rsidRDefault="007D1B94" w:rsidP="007D1B94">
      <w:pPr>
        <w:rPr>
          <w:b/>
          <w:highlight w:val="yellow"/>
        </w:rPr>
      </w:pPr>
      <w:r w:rsidRPr="00857BA7">
        <w:rPr>
          <w:b/>
          <w:i/>
        </w:rPr>
        <w:t>Annualized Cost to the Federal Government</w:t>
      </w:r>
    </w:p>
    <w:tbl>
      <w:tblPr>
        <w:tblStyle w:val="TableGrid"/>
        <w:tblW w:w="8658" w:type="dxa"/>
        <w:tblLook w:val="04A0" w:firstRow="1" w:lastRow="0" w:firstColumn="1" w:lastColumn="0" w:noHBand="0" w:noVBand="1"/>
      </w:tblPr>
      <w:tblGrid>
        <w:gridCol w:w="2668"/>
        <w:gridCol w:w="4060"/>
        <w:gridCol w:w="1930"/>
      </w:tblGrid>
      <w:tr w:rsidR="00631683" w:rsidRPr="00800615" w:rsidTr="00800615">
        <w:tc>
          <w:tcPr>
            <w:tcW w:w="2668" w:type="dxa"/>
          </w:tcPr>
          <w:p w:rsidR="00631683" w:rsidRPr="00800615" w:rsidRDefault="00631683" w:rsidP="003B0863">
            <w:pPr>
              <w:spacing w:after="100" w:afterAutospacing="1"/>
              <w:rPr>
                <w:b/>
                <w:bCs/>
              </w:rPr>
            </w:pPr>
          </w:p>
        </w:tc>
        <w:tc>
          <w:tcPr>
            <w:tcW w:w="4060" w:type="dxa"/>
          </w:tcPr>
          <w:p w:rsidR="00631683" w:rsidRPr="00800615" w:rsidRDefault="00631683" w:rsidP="003B0863">
            <w:pPr>
              <w:spacing w:after="100" w:afterAutospacing="1"/>
              <w:rPr>
                <w:b/>
                <w:bCs/>
              </w:rPr>
            </w:pPr>
          </w:p>
        </w:tc>
        <w:tc>
          <w:tcPr>
            <w:tcW w:w="1930" w:type="dxa"/>
          </w:tcPr>
          <w:p w:rsidR="00631683" w:rsidRPr="00800615" w:rsidRDefault="000025B8" w:rsidP="003B0863">
            <w:pPr>
              <w:spacing w:after="100" w:afterAutospacing="1"/>
              <w:rPr>
                <w:b/>
                <w:bCs/>
              </w:rPr>
            </w:pPr>
            <w:r w:rsidRPr="00800615">
              <w:rPr>
                <w:b/>
                <w:bCs/>
              </w:rPr>
              <w:t>Total ($)</w:t>
            </w:r>
          </w:p>
        </w:tc>
      </w:tr>
      <w:tr w:rsidR="00763E34" w:rsidTr="00800615">
        <w:tc>
          <w:tcPr>
            <w:tcW w:w="2668" w:type="dxa"/>
            <w:vMerge w:val="restart"/>
          </w:tcPr>
          <w:p w:rsidR="00763E34" w:rsidRPr="00800615" w:rsidRDefault="00763E34" w:rsidP="00763E34">
            <w:pPr>
              <w:spacing w:after="100" w:afterAutospacing="1"/>
              <w:rPr>
                <w:b/>
                <w:bCs/>
              </w:rPr>
            </w:pPr>
            <w:r w:rsidRPr="00800615">
              <w:rPr>
                <w:b/>
                <w:bCs/>
              </w:rPr>
              <w:t>Federal Government Personnel Costs</w:t>
            </w:r>
          </w:p>
        </w:tc>
        <w:tc>
          <w:tcPr>
            <w:tcW w:w="4060" w:type="dxa"/>
          </w:tcPr>
          <w:p w:rsidR="00763E34" w:rsidRDefault="00763E34" w:rsidP="00763E34">
            <w:pPr>
              <w:spacing w:after="100" w:afterAutospacing="1"/>
              <w:rPr>
                <w:bCs/>
              </w:rPr>
            </w:pPr>
            <w:r>
              <w:rPr>
                <w:bCs/>
              </w:rPr>
              <w:t>CDC Technical Monitor GS13 (.05 FTE)</w:t>
            </w:r>
          </w:p>
        </w:tc>
        <w:tc>
          <w:tcPr>
            <w:tcW w:w="1930" w:type="dxa"/>
          </w:tcPr>
          <w:p w:rsidR="00763E34" w:rsidRDefault="00763E34" w:rsidP="00763E34">
            <w:pPr>
              <w:spacing w:after="100" w:afterAutospacing="1"/>
              <w:rPr>
                <w:bCs/>
              </w:rPr>
            </w:pPr>
            <w:r>
              <w:rPr>
                <w:bCs/>
              </w:rPr>
              <w:t>$4,181</w:t>
            </w:r>
          </w:p>
        </w:tc>
      </w:tr>
      <w:tr w:rsidR="00763E34" w:rsidTr="00800615">
        <w:tc>
          <w:tcPr>
            <w:tcW w:w="2668" w:type="dxa"/>
            <w:vMerge/>
          </w:tcPr>
          <w:p w:rsidR="00763E34" w:rsidRPr="00800615" w:rsidRDefault="00763E34" w:rsidP="00763E34">
            <w:pPr>
              <w:spacing w:after="100" w:afterAutospacing="1"/>
              <w:rPr>
                <w:b/>
                <w:bCs/>
              </w:rPr>
            </w:pPr>
          </w:p>
        </w:tc>
        <w:tc>
          <w:tcPr>
            <w:tcW w:w="4060" w:type="dxa"/>
          </w:tcPr>
          <w:p w:rsidR="00763E34" w:rsidRDefault="00763E34" w:rsidP="00114BCB">
            <w:pPr>
              <w:spacing w:after="100" w:afterAutospacing="1"/>
              <w:rPr>
                <w:bCs/>
              </w:rPr>
            </w:pPr>
            <w:r>
              <w:rPr>
                <w:bCs/>
              </w:rPr>
              <w:t>CDC Public Health Team Leader GS15 (.0</w:t>
            </w:r>
            <w:r w:rsidR="00114BCB">
              <w:rPr>
                <w:bCs/>
              </w:rPr>
              <w:t>3</w:t>
            </w:r>
            <w:r>
              <w:rPr>
                <w:bCs/>
              </w:rPr>
              <w:t xml:space="preserve"> FTE)</w:t>
            </w:r>
          </w:p>
        </w:tc>
        <w:tc>
          <w:tcPr>
            <w:tcW w:w="1930" w:type="dxa"/>
          </w:tcPr>
          <w:p w:rsidR="00763E34" w:rsidRDefault="00763E34" w:rsidP="00763E34">
            <w:pPr>
              <w:spacing w:after="100" w:afterAutospacing="1"/>
              <w:rPr>
                <w:bCs/>
              </w:rPr>
            </w:pPr>
            <w:r>
              <w:rPr>
                <w:bCs/>
              </w:rPr>
              <w:t>$2,906</w:t>
            </w:r>
          </w:p>
        </w:tc>
      </w:tr>
      <w:tr w:rsidR="00800615" w:rsidTr="00800615">
        <w:tc>
          <w:tcPr>
            <w:tcW w:w="2668" w:type="dxa"/>
            <w:vMerge w:val="restart"/>
          </w:tcPr>
          <w:p w:rsidR="00800615" w:rsidRPr="00800615" w:rsidRDefault="00800615" w:rsidP="00800615">
            <w:pPr>
              <w:spacing w:after="100" w:afterAutospacing="1"/>
              <w:rPr>
                <w:b/>
                <w:bCs/>
              </w:rPr>
            </w:pPr>
            <w:r w:rsidRPr="00800615">
              <w:rPr>
                <w:b/>
                <w:bCs/>
              </w:rPr>
              <w:t>Grantee Direct Labor</w:t>
            </w:r>
          </w:p>
        </w:tc>
        <w:tc>
          <w:tcPr>
            <w:tcW w:w="4060" w:type="dxa"/>
          </w:tcPr>
          <w:p w:rsidR="00800615" w:rsidRDefault="00800615" w:rsidP="00800615">
            <w:pPr>
              <w:spacing w:after="100" w:afterAutospacing="1"/>
              <w:rPr>
                <w:bCs/>
              </w:rPr>
            </w:pPr>
            <w:r>
              <w:rPr>
                <w:bCs/>
              </w:rPr>
              <w:t>Project Director (.01 FTE)</w:t>
            </w:r>
          </w:p>
        </w:tc>
        <w:tc>
          <w:tcPr>
            <w:tcW w:w="1930" w:type="dxa"/>
            <w:vAlign w:val="bottom"/>
          </w:tcPr>
          <w:p w:rsidR="00800615" w:rsidRDefault="00800615" w:rsidP="00800615">
            <w:pPr>
              <w:spacing w:after="100" w:afterAutospacing="1"/>
              <w:rPr>
                <w:bCs/>
              </w:rPr>
            </w:pPr>
            <w:r w:rsidRPr="00443305">
              <w:rPr>
                <w:bCs/>
              </w:rPr>
              <w:t xml:space="preserve">$1,112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Deputy Project Director (.11 FTE)</w:t>
            </w:r>
          </w:p>
        </w:tc>
        <w:tc>
          <w:tcPr>
            <w:tcW w:w="1930" w:type="dxa"/>
            <w:vAlign w:val="bottom"/>
          </w:tcPr>
          <w:p w:rsidR="00800615" w:rsidRDefault="00800615" w:rsidP="00800615">
            <w:pPr>
              <w:spacing w:after="100" w:afterAutospacing="1"/>
              <w:rPr>
                <w:bCs/>
              </w:rPr>
            </w:pPr>
            <w:r>
              <w:rPr>
                <w:bCs/>
              </w:rPr>
              <w:t>$</w:t>
            </w:r>
            <w:r w:rsidRPr="00443305">
              <w:rPr>
                <w:bCs/>
              </w:rPr>
              <w:t xml:space="preserve">8,578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Sr. Communications Specialist (.02 FTE)</w:t>
            </w:r>
          </w:p>
        </w:tc>
        <w:tc>
          <w:tcPr>
            <w:tcW w:w="1930" w:type="dxa"/>
            <w:vAlign w:val="bottom"/>
          </w:tcPr>
          <w:p w:rsidR="00800615" w:rsidRDefault="00800615" w:rsidP="00800615">
            <w:pPr>
              <w:spacing w:after="100" w:afterAutospacing="1"/>
              <w:rPr>
                <w:bCs/>
              </w:rPr>
            </w:pPr>
            <w:r>
              <w:rPr>
                <w:bCs/>
              </w:rPr>
              <w:t>$</w:t>
            </w:r>
            <w:r w:rsidRPr="00443305">
              <w:rPr>
                <w:bCs/>
              </w:rPr>
              <w:t xml:space="preserve">1,924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Sr. Researcher (.03 FTE)</w:t>
            </w:r>
          </w:p>
        </w:tc>
        <w:tc>
          <w:tcPr>
            <w:tcW w:w="1930" w:type="dxa"/>
          </w:tcPr>
          <w:p w:rsidR="00800615" w:rsidRPr="00443305" w:rsidRDefault="00800615" w:rsidP="00800615">
            <w:pPr>
              <w:spacing w:after="100" w:afterAutospacing="1"/>
              <w:rPr>
                <w:bCs/>
              </w:rPr>
            </w:pPr>
            <w:r>
              <w:rPr>
                <w:bCs/>
              </w:rPr>
              <w:t>$</w:t>
            </w:r>
            <w:r w:rsidRPr="00443305">
              <w:rPr>
                <w:bCs/>
              </w:rPr>
              <w:t xml:space="preserve">2,231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Research Associate (.14 FTE)</w:t>
            </w:r>
          </w:p>
        </w:tc>
        <w:tc>
          <w:tcPr>
            <w:tcW w:w="1930" w:type="dxa"/>
            <w:vAlign w:val="bottom"/>
          </w:tcPr>
          <w:p w:rsidR="00800615" w:rsidRDefault="00800615" w:rsidP="00800615">
            <w:pPr>
              <w:spacing w:after="100" w:afterAutospacing="1"/>
              <w:rPr>
                <w:bCs/>
              </w:rPr>
            </w:pPr>
            <w:r>
              <w:rPr>
                <w:bCs/>
              </w:rPr>
              <w:t>$6,204</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Project Assistant (.09 FTE)</w:t>
            </w:r>
          </w:p>
        </w:tc>
        <w:tc>
          <w:tcPr>
            <w:tcW w:w="1930" w:type="dxa"/>
            <w:vAlign w:val="bottom"/>
          </w:tcPr>
          <w:p w:rsidR="00800615" w:rsidRDefault="00800615" w:rsidP="00800615">
            <w:pPr>
              <w:spacing w:after="100" w:afterAutospacing="1"/>
              <w:rPr>
                <w:bCs/>
              </w:rPr>
            </w:pPr>
            <w:r>
              <w:rPr>
                <w:bCs/>
              </w:rPr>
              <w:t>$</w:t>
            </w:r>
            <w:r w:rsidRPr="00443305">
              <w:rPr>
                <w:bCs/>
              </w:rPr>
              <w:t xml:space="preserve">3,295 </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Editor (.01 FTE)</w:t>
            </w:r>
          </w:p>
        </w:tc>
        <w:tc>
          <w:tcPr>
            <w:tcW w:w="1930" w:type="dxa"/>
            <w:vAlign w:val="bottom"/>
          </w:tcPr>
          <w:p w:rsidR="00800615" w:rsidRDefault="00800615" w:rsidP="00800615">
            <w:pPr>
              <w:spacing w:after="100" w:afterAutospacing="1"/>
              <w:rPr>
                <w:bCs/>
              </w:rPr>
            </w:pPr>
            <w:r w:rsidRPr="00443305">
              <w:rPr>
                <w:bCs/>
              </w:rPr>
              <w:t>$400</w:t>
            </w:r>
          </w:p>
        </w:tc>
      </w:tr>
      <w:tr w:rsidR="00800615" w:rsidTr="00800615">
        <w:tc>
          <w:tcPr>
            <w:tcW w:w="2668" w:type="dxa"/>
            <w:vMerge/>
          </w:tcPr>
          <w:p w:rsidR="00800615" w:rsidRPr="00800615" w:rsidRDefault="00800615" w:rsidP="00800615">
            <w:pPr>
              <w:spacing w:after="100" w:afterAutospacing="1"/>
              <w:rPr>
                <w:b/>
                <w:bCs/>
              </w:rPr>
            </w:pPr>
          </w:p>
        </w:tc>
        <w:tc>
          <w:tcPr>
            <w:tcW w:w="4060" w:type="dxa"/>
          </w:tcPr>
          <w:p w:rsidR="00800615" w:rsidRDefault="00800615" w:rsidP="00800615">
            <w:pPr>
              <w:spacing w:after="100" w:afterAutospacing="1"/>
              <w:rPr>
                <w:bCs/>
              </w:rPr>
            </w:pPr>
            <w:r>
              <w:rPr>
                <w:bCs/>
              </w:rPr>
              <w:t>Publications Specialist (.01 FTE)</w:t>
            </w:r>
          </w:p>
        </w:tc>
        <w:tc>
          <w:tcPr>
            <w:tcW w:w="1930" w:type="dxa"/>
            <w:vAlign w:val="bottom"/>
          </w:tcPr>
          <w:p w:rsidR="00800615" w:rsidRPr="00443305" w:rsidRDefault="00800615" w:rsidP="00800615">
            <w:pPr>
              <w:spacing w:after="100" w:afterAutospacing="1"/>
              <w:rPr>
                <w:bCs/>
              </w:rPr>
            </w:pPr>
            <w:r w:rsidRPr="00443305">
              <w:rPr>
                <w:bCs/>
              </w:rPr>
              <w:t>$335</w:t>
            </w:r>
          </w:p>
        </w:tc>
      </w:tr>
      <w:tr w:rsidR="00443305" w:rsidTr="00800615">
        <w:trPr>
          <w:trHeight w:val="332"/>
        </w:trPr>
        <w:tc>
          <w:tcPr>
            <w:tcW w:w="2668" w:type="dxa"/>
          </w:tcPr>
          <w:p w:rsidR="00443305" w:rsidRPr="00800615" w:rsidRDefault="00443305" w:rsidP="003B0863">
            <w:pPr>
              <w:spacing w:after="100" w:afterAutospacing="1"/>
              <w:rPr>
                <w:b/>
                <w:bCs/>
              </w:rPr>
            </w:pPr>
            <w:r w:rsidRPr="00800615">
              <w:rPr>
                <w:b/>
                <w:bCs/>
              </w:rPr>
              <w:t>Personnel Cost Subtotal including Fringe</w:t>
            </w:r>
          </w:p>
        </w:tc>
        <w:tc>
          <w:tcPr>
            <w:tcW w:w="4060" w:type="dxa"/>
          </w:tcPr>
          <w:p w:rsidR="00443305" w:rsidRDefault="00443305" w:rsidP="003B0863">
            <w:pPr>
              <w:spacing w:after="100" w:afterAutospacing="1"/>
              <w:rPr>
                <w:bCs/>
              </w:rPr>
            </w:pPr>
          </w:p>
        </w:tc>
        <w:tc>
          <w:tcPr>
            <w:tcW w:w="1930" w:type="dxa"/>
            <w:vAlign w:val="bottom"/>
          </w:tcPr>
          <w:p w:rsidR="00443305" w:rsidRDefault="00443305" w:rsidP="00800615">
            <w:pPr>
              <w:rPr>
                <w:bCs/>
              </w:rPr>
            </w:pPr>
            <w:r w:rsidRPr="00800615">
              <w:rPr>
                <w:bCs/>
              </w:rPr>
              <w:t>$</w:t>
            </w:r>
            <w:r w:rsidR="00114BCB" w:rsidRPr="00800615">
              <w:rPr>
                <w:bCs/>
              </w:rPr>
              <w:t>42,483</w:t>
            </w:r>
            <w:r w:rsidRPr="00800615">
              <w:rPr>
                <w:bCs/>
              </w:rPr>
              <w:t xml:space="preserve">               </w:t>
            </w:r>
          </w:p>
        </w:tc>
      </w:tr>
      <w:tr w:rsidR="00763E34" w:rsidTr="00800615">
        <w:tc>
          <w:tcPr>
            <w:tcW w:w="2668" w:type="dxa"/>
          </w:tcPr>
          <w:p w:rsidR="00763E34" w:rsidRPr="00800615" w:rsidRDefault="00763E34" w:rsidP="00763E34">
            <w:pPr>
              <w:spacing w:after="100" w:afterAutospacing="1"/>
              <w:rPr>
                <w:b/>
                <w:bCs/>
              </w:rPr>
            </w:pPr>
            <w:r w:rsidRPr="00800615">
              <w:rPr>
                <w:b/>
                <w:bCs/>
              </w:rPr>
              <w:t>Other Grantee Direct Cost</w:t>
            </w:r>
          </w:p>
        </w:tc>
        <w:tc>
          <w:tcPr>
            <w:tcW w:w="4060" w:type="dxa"/>
          </w:tcPr>
          <w:p w:rsidR="00443305" w:rsidRDefault="00763E34" w:rsidP="00443305">
            <w:pPr>
              <w:rPr>
                <w:bCs/>
              </w:rPr>
            </w:pPr>
            <w:r w:rsidRPr="00763E34">
              <w:rPr>
                <w:bCs/>
              </w:rPr>
              <w:t>Subcontractors</w:t>
            </w:r>
            <w:r>
              <w:rPr>
                <w:bCs/>
              </w:rPr>
              <w:t xml:space="preserve"> &amp; consultants</w:t>
            </w:r>
            <w:r>
              <w:rPr>
                <w:bCs/>
              </w:rPr>
              <w:br/>
              <w:t>T</w:t>
            </w:r>
            <w:r w:rsidRPr="00763E34">
              <w:rPr>
                <w:bCs/>
              </w:rPr>
              <w:t>ravel</w:t>
            </w:r>
            <w:r>
              <w:rPr>
                <w:bCs/>
              </w:rPr>
              <w:t xml:space="preserve"> and subsistence</w:t>
            </w:r>
            <w:r>
              <w:rPr>
                <w:bCs/>
              </w:rPr>
              <w:br/>
            </w:r>
            <w:r w:rsidR="00443305">
              <w:rPr>
                <w:bCs/>
              </w:rPr>
              <w:t xml:space="preserve">Meeting costs/facilities </w:t>
            </w:r>
          </w:p>
          <w:p w:rsidR="00763E34" w:rsidRDefault="00443305" w:rsidP="00763E34">
            <w:pPr>
              <w:spacing w:after="100" w:afterAutospacing="1"/>
              <w:rPr>
                <w:bCs/>
              </w:rPr>
            </w:pPr>
            <w:r>
              <w:rPr>
                <w:bCs/>
              </w:rPr>
              <w:t xml:space="preserve">Participant </w:t>
            </w:r>
            <w:r w:rsidR="00763E34" w:rsidRPr="00763E34">
              <w:rPr>
                <w:bCs/>
              </w:rPr>
              <w:t>incentives</w:t>
            </w:r>
            <w:r w:rsidR="00763E34">
              <w:rPr>
                <w:bCs/>
              </w:rPr>
              <w:br/>
              <w:t>R</w:t>
            </w:r>
            <w:r w:rsidR="00763E34" w:rsidRPr="00763E34">
              <w:rPr>
                <w:bCs/>
              </w:rPr>
              <w:t>eproduction</w:t>
            </w:r>
            <w:r w:rsidR="00763E34">
              <w:rPr>
                <w:bCs/>
              </w:rPr>
              <w:br/>
              <w:t>T</w:t>
            </w:r>
            <w:r w:rsidR="00763E34" w:rsidRPr="00763E34">
              <w:rPr>
                <w:bCs/>
              </w:rPr>
              <w:t>eleconferences</w:t>
            </w:r>
          </w:p>
        </w:tc>
        <w:tc>
          <w:tcPr>
            <w:tcW w:w="1930" w:type="dxa"/>
          </w:tcPr>
          <w:p w:rsidR="00763E34" w:rsidRDefault="00443305" w:rsidP="00800615">
            <w:pPr>
              <w:rPr>
                <w:bCs/>
              </w:rPr>
            </w:pPr>
            <w:r>
              <w:rPr>
                <w:bCs/>
              </w:rPr>
              <w:t>$63,752</w:t>
            </w:r>
          </w:p>
          <w:p w:rsidR="00443305" w:rsidRDefault="00443305" w:rsidP="00800615">
            <w:pPr>
              <w:rPr>
                <w:bCs/>
              </w:rPr>
            </w:pPr>
            <w:r>
              <w:rPr>
                <w:bCs/>
              </w:rPr>
              <w:t>$6,054</w:t>
            </w:r>
          </w:p>
          <w:p w:rsidR="00443305" w:rsidRDefault="00443305" w:rsidP="00800615">
            <w:pPr>
              <w:rPr>
                <w:bCs/>
              </w:rPr>
            </w:pPr>
            <w:r>
              <w:rPr>
                <w:bCs/>
              </w:rPr>
              <w:t>$9,300</w:t>
            </w:r>
          </w:p>
          <w:p w:rsidR="00443305" w:rsidRDefault="00443305" w:rsidP="00800615">
            <w:pPr>
              <w:rPr>
                <w:bCs/>
              </w:rPr>
            </w:pPr>
            <w:r>
              <w:rPr>
                <w:bCs/>
              </w:rPr>
              <w:t>$8,400</w:t>
            </w:r>
          </w:p>
          <w:p w:rsidR="00443305" w:rsidRDefault="00443305" w:rsidP="00800615">
            <w:pPr>
              <w:rPr>
                <w:bCs/>
              </w:rPr>
            </w:pPr>
            <w:r>
              <w:rPr>
                <w:bCs/>
              </w:rPr>
              <w:t>$208</w:t>
            </w:r>
          </w:p>
          <w:p w:rsidR="00443305" w:rsidRDefault="00443305" w:rsidP="00800615">
            <w:pPr>
              <w:rPr>
                <w:bCs/>
              </w:rPr>
            </w:pPr>
            <w:r>
              <w:rPr>
                <w:bCs/>
              </w:rPr>
              <w:t>$81</w:t>
            </w:r>
          </w:p>
        </w:tc>
      </w:tr>
      <w:tr w:rsidR="00763E34" w:rsidTr="00800615">
        <w:tc>
          <w:tcPr>
            <w:tcW w:w="2668" w:type="dxa"/>
          </w:tcPr>
          <w:p w:rsidR="00763E34" w:rsidRPr="00800615" w:rsidRDefault="00763E34" w:rsidP="003B0863">
            <w:pPr>
              <w:spacing w:after="100" w:afterAutospacing="1"/>
              <w:rPr>
                <w:b/>
                <w:bCs/>
              </w:rPr>
            </w:pPr>
            <w:r w:rsidRPr="00800615">
              <w:rPr>
                <w:b/>
                <w:bCs/>
              </w:rPr>
              <w:t>Subtotal, Grantee Cost</w:t>
            </w:r>
          </w:p>
        </w:tc>
        <w:tc>
          <w:tcPr>
            <w:tcW w:w="4060" w:type="dxa"/>
          </w:tcPr>
          <w:p w:rsidR="00763E34" w:rsidRDefault="00763E34" w:rsidP="003B0863">
            <w:pPr>
              <w:spacing w:after="100" w:afterAutospacing="1"/>
              <w:rPr>
                <w:bCs/>
              </w:rPr>
            </w:pPr>
          </w:p>
        </w:tc>
        <w:tc>
          <w:tcPr>
            <w:tcW w:w="1930" w:type="dxa"/>
          </w:tcPr>
          <w:p w:rsidR="00763E34" w:rsidRDefault="00800615" w:rsidP="00800615">
            <w:pPr>
              <w:rPr>
                <w:bCs/>
              </w:rPr>
            </w:pPr>
            <w:r>
              <w:rPr>
                <w:bCs/>
              </w:rPr>
              <w:t>$123,191</w:t>
            </w:r>
          </w:p>
        </w:tc>
      </w:tr>
      <w:tr w:rsidR="00763E34" w:rsidTr="00800615">
        <w:tc>
          <w:tcPr>
            <w:tcW w:w="2668" w:type="dxa"/>
          </w:tcPr>
          <w:p w:rsidR="00763E34" w:rsidRPr="00800615" w:rsidRDefault="00763E34" w:rsidP="003B0863">
            <w:pPr>
              <w:spacing w:after="100" w:afterAutospacing="1"/>
              <w:rPr>
                <w:b/>
                <w:bCs/>
              </w:rPr>
            </w:pPr>
          </w:p>
        </w:tc>
        <w:tc>
          <w:tcPr>
            <w:tcW w:w="4060" w:type="dxa"/>
          </w:tcPr>
          <w:p w:rsidR="00763E34" w:rsidRDefault="00763E34" w:rsidP="003B0863">
            <w:pPr>
              <w:spacing w:after="100" w:afterAutospacing="1"/>
              <w:rPr>
                <w:bCs/>
              </w:rPr>
            </w:pPr>
          </w:p>
        </w:tc>
        <w:tc>
          <w:tcPr>
            <w:tcW w:w="1930" w:type="dxa"/>
          </w:tcPr>
          <w:p w:rsidR="00763E34" w:rsidRDefault="00763E34" w:rsidP="00800615">
            <w:pPr>
              <w:rPr>
                <w:bCs/>
              </w:rPr>
            </w:pPr>
          </w:p>
        </w:tc>
      </w:tr>
      <w:tr w:rsidR="00763E34" w:rsidTr="00800615">
        <w:tc>
          <w:tcPr>
            <w:tcW w:w="2668" w:type="dxa"/>
          </w:tcPr>
          <w:p w:rsidR="00763E34" w:rsidRPr="00800615" w:rsidRDefault="00763E34" w:rsidP="003B0863">
            <w:pPr>
              <w:spacing w:after="100" w:afterAutospacing="1"/>
              <w:rPr>
                <w:b/>
                <w:bCs/>
              </w:rPr>
            </w:pPr>
            <w:r w:rsidRPr="00800615">
              <w:rPr>
                <w:b/>
                <w:bCs/>
              </w:rPr>
              <w:t>Total Cost</w:t>
            </w:r>
          </w:p>
        </w:tc>
        <w:tc>
          <w:tcPr>
            <w:tcW w:w="4060" w:type="dxa"/>
          </w:tcPr>
          <w:p w:rsidR="00763E34" w:rsidRDefault="00763E34" w:rsidP="003B0863">
            <w:pPr>
              <w:spacing w:after="100" w:afterAutospacing="1"/>
              <w:rPr>
                <w:bCs/>
              </w:rPr>
            </w:pPr>
          </w:p>
        </w:tc>
        <w:tc>
          <w:tcPr>
            <w:tcW w:w="1930" w:type="dxa"/>
          </w:tcPr>
          <w:p w:rsidR="00763E34" w:rsidRDefault="00114BCB" w:rsidP="00800615">
            <w:pPr>
              <w:rPr>
                <w:bCs/>
              </w:rPr>
            </w:pPr>
            <w:r>
              <w:rPr>
                <w:bCs/>
              </w:rPr>
              <w:t>$176,918</w:t>
            </w:r>
          </w:p>
        </w:tc>
      </w:tr>
    </w:tbl>
    <w:p w:rsidR="00631683" w:rsidRDefault="00631683" w:rsidP="003B0863">
      <w:pPr>
        <w:spacing w:after="100" w:afterAutospacing="1"/>
        <w:rPr>
          <w:bCs/>
        </w:rPr>
      </w:pPr>
    </w:p>
    <w:p w:rsidR="000848E5" w:rsidRPr="00857BA7" w:rsidRDefault="000848E5" w:rsidP="0069333C"/>
    <w:p w:rsidR="0058382D" w:rsidRDefault="0058382D" w:rsidP="00B72307">
      <w:pPr>
        <w:pStyle w:val="Heading2"/>
        <w:spacing w:before="0" w:after="0"/>
        <w:rPr>
          <w:rFonts w:ascii="Times New Roman" w:hAnsi="Times New Roman"/>
          <w:i w:val="0"/>
          <w:sz w:val="24"/>
          <w:szCs w:val="24"/>
        </w:rPr>
      </w:pPr>
    </w:p>
    <w:p w:rsidR="0058382D" w:rsidRDefault="0058382D" w:rsidP="00B72307">
      <w:pPr>
        <w:pStyle w:val="Heading2"/>
        <w:spacing w:before="0" w:after="0"/>
        <w:rPr>
          <w:rFonts w:ascii="Times New Roman" w:hAnsi="Times New Roman"/>
          <w:i w:val="0"/>
          <w:sz w:val="24"/>
          <w:szCs w:val="24"/>
        </w:rPr>
      </w:pPr>
    </w:p>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lastRenderedPageBreak/>
        <w:t>A.</w:t>
      </w:r>
      <w:r w:rsidR="0069333C" w:rsidRPr="00857BA7">
        <w:rPr>
          <w:rFonts w:ascii="Times New Roman" w:hAnsi="Times New Roman"/>
          <w:i w:val="0"/>
          <w:sz w:val="24"/>
          <w:szCs w:val="24"/>
        </w:rPr>
        <w:t>1</w:t>
      </w:r>
      <w:r w:rsidR="006F53A7" w:rsidRPr="00857BA7">
        <w:rPr>
          <w:rFonts w:ascii="Times New Roman" w:hAnsi="Times New Roman"/>
          <w:i w:val="0"/>
          <w:sz w:val="24"/>
          <w:szCs w:val="24"/>
        </w:rPr>
        <w:t>5</w:t>
      </w:r>
      <w:r w:rsidR="0069333C" w:rsidRPr="00857BA7">
        <w:rPr>
          <w:rFonts w:ascii="Times New Roman" w:hAnsi="Times New Roman"/>
          <w:i w:val="0"/>
          <w:sz w:val="24"/>
          <w:szCs w:val="24"/>
        </w:rPr>
        <w:t xml:space="preserve">. </w:t>
      </w:r>
      <w:r w:rsidR="006F53A7" w:rsidRPr="00857BA7">
        <w:rPr>
          <w:rFonts w:ascii="Times New Roman" w:hAnsi="Times New Roman"/>
          <w:i w:val="0"/>
          <w:sz w:val="24"/>
          <w:szCs w:val="24"/>
        </w:rPr>
        <w:t>Explanation for Program Changes or Adjustments</w:t>
      </w:r>
    </w:p>
    <w:p w:rsidR="0069333C" w:rsidRPr="00857BA7" w:rsidRDefault="0069333C" w:rsidP="00B2381C"/>
    <w:p w:rsidR="0069333C" w:rsidRPr="00857BA7" w:rsidRDefault="0069333C" w:rsidP="0069333C">
      <w:r w:rsidRPr="00857BA7">
        <w:t xml:space="preserve">This is a </w:t>
      </w:r>
      <w:r w:rsidR="00433F25">
        <w:t xml:space="preserve">request for </w:t>
      </w:r>
      <w:r w:rsidR="00430AFB">
        <w:t>reinstatement of a previously approved</w:t>
      </w:r>
      <w:r w:rsidRPr="00857BA7">
        <w:t xml:space="preserve"> </w:t>
      </w:r>
      <w:r w:rsidR="006F53A7" w:rsidRPr="00857BA7">
        <w:t>data collection</w:t>
      </w:r>
      <w:r w:rsidRPr="00857BA7">
        <w:t>.</w:t>
      </w:r>
      <w:r w:rsidR="00433F25">
        <w:t xml:space="preserve"> There are no changes or adjustments.</w:t>
      </w:r>
      <w:r w:rsidR="003D503E" w:rsidRPr="00857BA7">
        <w:t xml:space="preserve"> </w:t>
      </w:r>
    </w:p>
    <w:p w:rsidR="00C55761" w:rsidRPr="00857BA7" w:rsidRDefault="00C55761" w:rsidP="0069333C"/>
    <w:p w:rsidR="0069333C" w:rsidRPr="00857BA7" w:rsidRDefault="0069333C" w:rsidP="0069333C"/>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A.</w:t>
      </w:r>
      <w:r w:rsidR="0069333C" w:rsidRPr="00857BA7">
        <w:rPr>
          <w:rFonts w:ascii="Times New Roman" w:hAnsi="Times New Roman"/>
          <w:i w:val="0"/>
          <w:sz w:val="24"/>
          <w:szCs w:val="24"/>
        </w:rPr>
        <w:t>1</w:t>
      </w:r>
      <w:r w:rsidR="006F53A7" w:rsidRPr="00857BA7">
        <w:rPr>
          <w:rFonts w:ascii="Times New Roman" w:hAnsi="Times New Roman"/>
          <w:i w:val="0"/>
          <w:sz w:val="24"/>
          <w:szCs w:val="24"/>
        </w:rPr>
        <w:t>6</w:t>
      </w:r>
      <w:r w:rsidR="0069333C" w:rsidRPr="00857BA7">
        <w:rPr>
          <w:rFonts w:ascii="Times New Roman" w:hAnsi="Times New Roman"/>
          <w:i w:val="0"/>
          <w:sz w:val="24"/>
          <w:szCs w:val="24"/>
        </w:rPr>
        <w:t xml:space="preserve">. </w:t>
      </w:r>
      <w:r w:rsidR="006F53A7" w:rsidRPr="00857BA7">
        <w:rPr>
          <w:rFonts w:ascii="Times New Roman" w:hAnsi="Times New Roman"/>
          <w:i w:val="0"/>
          <w:sz w:val="24"/>
          <w:szCs w:val="24"/>
        </w:rPr>
        <w:t xml:space="preserve">Plans for Tabulation and Publication and Project </w:t>
      </w:r>
      <w:r w:rsidR="0069333C" w:rsidRPr="00857BA7">
        <w:rPr>
          <w:rFonts w:ascii="Times New Roman" w:hAnsi="Times New Roman"/>
          <w:i w:val="0"/>
          <w:sz w:val="24"/>
          <w:szCs w:val="24"/>
        </w:rPr>
        <w:t>Time Schedule</w:t>
      </w:r>
    </w:p>
    <w:p w:rsidR="0069333C" w:rsidRPr="00857BA7" w:rsidRDefault="0069333C" w:rsidP="0069333C"/>
    <w:p w:rsidR="00151F11" w:rsidRPr="00857BA7" w:rsidRDefault="007E0188" w:rsidP="0069333C">
      <w:r w:rsidRPr="00857BA7">
        <w:t>At the conclusion of a</w:t>
      </w:r>
      <w:r w:rsidR="00226BA7" w:rsidRPr="00857BA7">
        <w:t xml:space="preserve">ll </w:t>
      </w:r>
      <w:r w:rsidR="00437C7E" w:rsidRPr="00857BA7">
        <w:t>1</w:t>
      </w:r>
      <w:r w:rsidR="00BC7F24" w:rsidRPr="00857BA7">
        <w:t>0</w:t>
      </w:r>
      <w:r w:rsidR="00437C7E" w:rsidRPr="00857BA7">
        <w:t xml:space="preserve"> </w:t>
      </w:r>
      <w:r w:rsidR="00226BA7" w:rsidRPr="00857BA7">
        <w:t>focus groups, the no</w:t>
      </w:r>
      <w:r w:rsidR="00C62155" w:rsidRPr="00857BA7">
        <w:t xml:space="preserve">tes and audio recordings from the focus groups will be analyzed for common themes and divergent viewpoints. </w:t>
      </w:r>
      <w:r w:rsidR="00226BA7" w:rsidRPr="00857BA7">
        <w:t>A final report will be written that will include a discussion of the methodology used, findings</w:t>
      </w:r>
      <w:r w:rsidR="00437C7E" w:rsidRPr="00857BA7">
        <w:t>,</w:t>
      </w:r>
      <w:r w:rsidR="00226BA7" w:rsidRPr="00857BA7">
        <w:t xml:space="preserve"> and recommendation</w:t>
      </w:r>
      <w:r w:rsidR="005F4739" w:rsidRPr="00857BA7">
        <w:t>s</w:t>
      </w:r>
      <w:r w:rsidR="00226BA7" w:rsidRPr="00857BA7">
        <w:t xml:space="preserve">. </w:t>
      </w:r>
      <w:r w:rsidR="0069333C" w:rsidRPr="00857BA7">
        <w:t xml:space="preserve">The analysis and report will be completed </w:t>
      </w:r>
      <w:r w:rsidR="00C15BF3" w:rsidRPr="00857BA7">
        <w:t>12</w:t>
      </w:r>
      <w:r w:rsidR="000B2995" w:rsidRPr="00857BA7">
        <w:t xml:space="preserve"> weeks after the final focus group is conducted.</w:t>
      </w:r>
      <w:r w:rsidR="00226BA7" w:rsidRPr="00857BA7">
        <w:t xml:space="preserve"> The results of the research conducted will be used to develop manuscripts for publication in peer-reviewed journals. </w:t>
      </w:r>
      <w:r w:rsidR="003D503E" w:rsidRPr="00857BA7">
        <w:t xml:space="preserve">No complex analytical techniques will be used.  </w:t>
      </w:r>
    </w:p>
    <w:p w:rsidR="004930D2" w:rsidRPr="00857BA7" w:rsidRDefault="004930D2" w:rsidP="0069333C">
      <w:pPr>
        <w:rPr>
          <w:highlight w:val="yellow"/>
        </w:rPr>
      </w:pPr>
    </w:p>
    <w:p w:rsidR="004930D2" w:rsidRPr="00857BA7" w:rsidRDefault="004930D2" w:rsidP="0069333C">
      <w:r w:rsidRPr="00857BA7">
        <w:t xml:space="preserve">For this research study, </w:t>
      </w:r>
      <w:r w:rsidR="00484C47" w:rsidRPr="00857BA7">
        <w:t>DBD/</w:t>
      </w:r>
      <w:r w:rsidRPr="00857BA7">
        <w:t>NCBDDD</w:t>
      </w:r>
      <w:r w:rsidR="00484C47" w:rsidRPr="00857BA7">
        <w:t>/CDC</w:t>
      </w:r>
      <w:r w:rsidRPr="00857BA7">
        <w:t xml:space="preserve"> is requesting a </w:t>
      </w:r>
      <w:r w:rsidR="00737CEF" w:rsidRPr="00857BA7">
        <w:t>1</w:t>
      </w:r>
      <w:r w:rsidR="00437C7E" w:rsidRPr="00857BA7">
        <w:t>-</w:t>
      </w:r>
      <w:r w:rsidR="00737CEF" w:rsidRPr="00857BA7">
        <w:t xml:space="preserve">year data collection </w:t>
      </w:r>
      <w:r w:rsidRPr="00857BA7">
        <w:t>clearance. Below is a detailed project time</w:t>
      </w:r>
      <w:r w:rsidR="0004727F" w:rsidRPr="00857BA7">
        <w:t>line</w:t>
      </w:r>
      <w:r w:rsidRPr="00857BA7">
        <w:t xml:space="preserve">. </w:t>
      </w:r>
    </w:p>
    <w:p w:rsidR="00A23637" w:rsidRPr="00857BA7" w:rsidRDefault="00A23637" w:rsidP="0069333C"/>
    <w:p w:rsidR="00673A73" w:rsidRDefault="00673A73" w:rsidP="009E1353">
      <w:pPr>
        <w:rPr>
          <w:b/>
          <w:i/>
        </w:rPr>
      </w:pPr>
    </w:p>
    <w:p w:rsidR="00BD50CD" w:rsidRPr="00857BA7" w:rsidRDefault="009E1353" w:rsidP="009E1353">
      <w:r w:rsidRPr="00857BA7">
        <w:rPr>
          <w:b/>
          <w:i/>
        </w:rPr>
        <w:t xml:space="preserve">Project Time Schedule </w:t>
      </w:r>
      <w:r w:rsidRPr="00857BA7">
        <w:rPr>
          <w:b/>
          <w:i/>
        </w:rPr>
        <w:softHyphen/>
      </w:r>
    </w:p>
    <w:p w:rsidR="009E1353" w:rsidRPr="00857BA7" w:rsidRDefault="009E1353" w:rsidP="009E1353"/>
    <w:tbl>
      <w:tblPr>
        <w:tblW w:w="8100" w:type="dxa"/>
        <w:tblInd w:w="108" w:type="dxa"/>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firstRow="1" w:lastRow="1" w:firstColumn="1" w:lastColumn="1" w:noHBand="0" w:noVBand="0"/>
      </w:tblPr>
      <w:tblGrid>
        <w:gridCol w:w="1719"/>
        <w:gridCol w:w="3376"/>
        <w:gridCol w:w="3005"/>
      </w:tblGrid>
      <w:tr w:rsidR="00E534A7" w:rsidRPr="00857BA7" w:rsidTr="009E1353">
        <w:tc>
          <w:tcPr>
            <w:tcW w:w="1719" w:type="dxa"/>
            <w:tcBorders>
              <w:top w:val="single" w:sz="6" w:space="0" w:color="auto"/>
              <w:bottom w:val="single" w:sz="6" w:space="0" w:color="auto"/>
            </w:tcBorders>
            <w:shd w:val="clear" w:color="auto" w:fill="BFBFBF"/>
          </w:tcPr>
          <w:p w:rsidR="00E534A7" w:rsidRPr="00857BA7" w:rsidRDefault="00E534A7" w:rsidP="00E534A7">
            <w:pPr>
              <w:spacing w:before="48" w:after="48"/>
              <w:ind w:left="33"/>
              <w:jc w:val="center"/>
              <w:rPr>
                <w:b/>
                <w:bCs/>
              </w:rPr>
            </w:pPr>
            <w:r w:rsidRPr="00857BA7">
              <w:rPr>
                <w:b/>
                <w:bCs/>
              </w:rPr>
              <w:t>Activity</w:t>
            </w:r>
          </w:p>
        </w:tc>
        <w:tc>
          <w:tcPr>
            <w:tcW w:w="6381" w:type="dxa"/>
            <w:gridSpan w:val="2"/>
            <w:tcBorders>
              <w:top w:val="single" w:sz="6" w:space="0" w:color="auto"/>
              <w:bottom w:val="single" w:sz="6" w:space="0" w:color="auto"/>
            </w:tcBorders>
            <w:shd w:val="clear" w:color="auto" w:fill="BFBFBF"/>
          </w:tcPr>
          <w:p w:rsidR="00E534A7" w:rsidRPr="00857BA7" w:rsidRDefault="00E534A7" w:rsidP="00E534A7">
            <w:pPr>
              <w:spacing w:before="48" w:after="48"/>
              <w:ind w:left="33"/>
              <w:jc w:val="center"/>
              <w:rPr>
                <w:b/>
                <w:bCs/>
              </w:rPr>
            </w:pPr>
            <w:r w:rsidRPr="00857BA7">
              <w:rPr>
                <w:b/>
                <w:bCs/>
              </w:rPr>
              <w:t>Timeframe</w:t>
            </w:r>
          </w:p>
        </w:tc>
      </w:tr>
      <w:tr w:rsidR="00E534A7" w:rsidRPr="00857BA7" w:rsidTr="009E1353">
        <w:tc>
          <w:tcPr>
            <w:tcW w:w="1719" w:type="dxa"/>
            <w:vMerge w:val="restart"/>
            <w:tcBorders>
              <w:top w:val="single" w:sz="6" w:space="0" w:color="auto"/>
              <w:bottom w:val="single" w:sz="6" w:space="0" w:color="auto"/>
            </w:tcBorders>
            <w:shd w:val="clear" w:color="auto" w:fill="auto"/>
          </w:tcPr>
          <w:p w:rsidR="00E534A7" w:rsidRPr="00857BA7" w:rsidRDefault="00E534A7" w:rsidP="00BD2AA4">
            <w:pPr>
              <w:spacing w:beforeLines="20" w:before="48" w:afterLines="20" w:after="48"/>
              <w:ind w:left="33"/>
            </w:pPr>
            <w:r w:rsidRPr="00857BA7">
              <w:t>Identify and Recruit Participants</w:t>
            </w:r>
          </w:p>
        </w:tc>
        <w:tc>
          <w:tcPr>
            <w:tcW w:w="3376" w:type="dxa"/>
            <w:tcBorders>
              <w:top w:val="single" w:sz="6" w:space="0" w:color="auto"/>
              <w:bottom w:val="single" w:sz="6" w:space="0" w:color="auto"/>
            </w:tcBorders>
            <w:shd w:val="clear" w:color="auto" w:fill="auto"/>
          </w:tcPr>
          <w:p w:rsidR="00F313BE" w:rsidRDefault="00E534A7" w:rsidP="00BD2AA4">
            <w:pPr>
              <w:spacing w:beforeLines="20" w:before="48" w:afterLines="20" w:after="48"/>
              <w:ind w:left="33"/>
            </w:pPr>
            <w:r w:rsidRPr="00857BA7">
              <w:t>Recruitment Statistics Summary Report</w:t>
            </w:r>
          </w:p>
        </w:tc>
        <w:tc>
          <w:tcPr>
            <w:tcW w:w="3005" w:type="dxa"/>
            <w:tcBorders>
              <w:top w:val="single" w:sz="6" w:space="0" w:color="auto"/>
              <w:bottom w:val="single" w:sz="6" w:space="0" w:color="auto"/>
            </w:tcBorders>
            <w:shd w:val="clear" w:color="auto" w:fill="auto"/>
          </w:tcPr>
          <w:p w:rsidR="00F313BE" w:rsidRDefault="005D797B" w:rsidP="00BD2AA4">
            <w:pPr>
              <w:spacing w:beforeLines="20" w:before="48" w:afterLines="20" w:after="48"/>
              <w:ind w:left="33"/>
            </w:pPr>
            <w:r w:rsidRPr="00857BA7">
              <w:t xml:space="preserve">3 </w:t>
            </w:r>
            <w:r w:rsidR="00B16DB4" w:rsidRPr="00857BA7">
              <w:t xml:space="preserve"> months</w:t>
            </w:r>
            <w:r w:rsidR="00B4521F" w:rsidRPr="00857BA7">
              <w:t xml:space="preserve"> after OMB approval</w:t>
            </w:r>
          </w:p>
        </w:tc>
      </w:tr>
      <w:tr w:rsidR="00E534A7" w:rsidRPr="00857BA7" w:rsidTr="009E1353">
        <w:tc>
          <w:tcPr>
            <w:tcW w:w="1719" w:type="dxa"/>
            <w:vMerge/>
            <w:tcBorders>
              <w:top w:val="single" w:sz="6" w:space="0" w:color="auto"/>
              <w:bottom w:val="single" w:sz="6" w:space="0" w:color="auto"/>
            </w:tcBorders>
            <w:shd w:val="clear" w:color="auto" w:fill="auto"/>
          </w:tcPr>
          <w:p w:rsidR="009126CF" w:rsidRDefault="009126CF" w:rsidP="00BD2AA4">
            <w:pPr>
              <w:spacing w:beforeLines="20" w:before="48" w:afterLines="20" w:after="48"/>
              <w:ind w:left="33"/>
            </w:pPr>
          </w:p>
        </w:tc>
        <w:tc>
          <w:tcPr>
            <w:tcW w:w="3376" w:type="dxa"/>
            <w:tcBorders>
              <w:top w:val="single" w:sz="6" w:space="0" w:color="auto"/>
              <w:bottom w:val="single" w:sz="6" w:space="0" w:color="auto"/>
            </w:tcBorders>
            <w:shd w:val="clear" w:color="auto" w:fill="auto"/>
          </w:tcPr>
          <w:p w:rsidR="00E534A7" w:rsidRPr="00857BA7" w:rsidRDefault="00E534A7" w:rsidP="00CB72D2">
            <w:r w:rsidRPr="00857BA7">
              <w:t xml:space="preserve">Conduct </w:t>
            </w:r>
            <w:r w:rsidR="00CB72D2" w:rsidRPr="00857BA7">
              <w:t>f</w:t>
            </w:r>
            <w:r w:rsidRPr="00857BA7">
              <w:t xml:space="preserve">ocus </w:t>
            </w:r>
            <w:r w:rsidR="00CB72D2" w:rsidRPr="00857BA7">
              <w:t>g</w:t>
            </w:r>
            <w:r w:rsidRPr="00857BA7">
              <w:t>roups</w:t>
            </w:r>
          </w:p>
        </w:tc>
        <w:tc>
          <w:tcPr>
            <w:tcW w:w="3005" w:type="dxa"/>
            <w:tcBorders>
              <w:top w:val="single" w:sz="6" w:space="0" w:color="auto"/>
              <w:bottom w:val="single" w:sz="6" w:space="0" w:color="auto"/>
            </w:tcBorders>
            <w:shd w:val="clear" w:color="auto" w:fill="auto"/>
          </w:tcPr>
          <w:p w:rsidR="00E534A7" w:rsidRPr="00857BA7" w:rsidRDefault="005D797B" w:rsidP="00BD2AA4">
            <w:pPr>
              <w:spacing w:beforeLines="20" w:before="48" w:afterLines="20" w:after="48"/>
              <w:ind w:left="33"/>
            </w:pPr>
            <w:r w:rsidRPr="00857BA7">
              <w:t>4</w:t>
            </w:r>
            <w:r w:rsidR="00437C7E" w:rsidRPr="00857BA7">
              <w:t>–</w:t>
            </w:r>
            <w:r w:rsidRPr="00857BA7">
              <w:t>6</w:t>
            </w:r>
            <w:r w:rsidR="00B4521F" w:rsidRPr="00857BA7">
              <w:t xml:space="preserve"> </w:t>
            </w:r>
            <w:r w:rsidR="00B16DB4" w:rsidRPr="00857BA7">
              <w:t>months</w:t>
            </w:r>
            <w:r w:rsidR="00B4521F" w:rsidRPr="00857BA7">
              <w:t xml:space="preserve"> after OMB approval</w:t>
            </w:r>
          </w:p>
        </w:tc>
      </w:tr>
      <w:tr w:rsidR="00E534A7" w:rsidRPr="00857BA7" w:rsidTr="009E1353">
        <w:tc>
          <w:tcPr>
            <w:tcW w:w="1719" w:type="dxa"/>
            <w:vMerge/>
            <w:tcBorders>
              <w:top w:val="single" w:sz="6" w:space="0" w:color="auto"/>
              <w:bottom w:val="single" w:sz="6" w:space="0" w:color="auto"/>
            </w:tcBorders>
            <w:shd w:val="clear" w:color="auto" w:fill="auto"/>
          </w:tcPr>
          <w:p w:rsidR="009126CF" w:rsidRDefault="009126CF" w:rsidP="00BD2AA4">
            <w:pPr>
              <w:spacing w:beforeLines="20" w:before="48" w:afterLines="20" w:after="48"/>
              <w:ind w:left="33"/>
            </w:pPr>
          </w:p>
        </w:tc>
        <w:tc>
          <w:tcPr>
            <w:tcW w:w="3376" w:type="dxa"/>
            <w:tcBorders>
              <w:top w:val="single" w:sz="6" w:space="0" w:color="auto"/>
              <w:bottom w:val="single" w:sz="6" w:space="0" w:color="auto"/>
            </w:tcBorders>
            <w:shd w:val="clear" w:color="auto" w:fill="auto"/>
          </w:tcPr>
          <w:p w:rsidR="009126CF" w:rsidRDefault="00E534A7" w:rsidP="00BD2AA4">
            <w:pPr>
              <w:spacing w:beforeLines="20" w:before="48" w:afterLines="20" w:after="48"/>
              <w:ind w:left="33"/>
            </w:pPr>
            <w:r w:rsidRPr="00857BA7">
              <w:t>Notes/</w:t>
            </w:r>
            <w:r w:rsidR="00CB72D2" w:rsidRPr="00857BA7">
              <w:t>t</w:t>
            </w:r>
            <w:r w:rsidRPr="00857BA7">
              <w:t>ranscripts/</w:t>
            </w:r>
            <w:r w:rsidR="00CB72D2" w:rsidRPr="00857BA7">
              <w:t>a</w:t>
            </w:r>
            <w:r w:rsidRPr="00857BA7">
              <w:t xml:space="preserve">udiotapes from </w:t>
            </w:r>
            <w:r w:rsidR="00CB72D2" w:rsidRPr="00857BA7">
              <w:t>f</w:t>
            </w:r>
            <w:r w:rsidRPr="00857BA7">
              <w:t xml:space="preserve">ormative </w:t>
            </w:r>
            <w:r w:rsidR="00CB72D2" w:rsidRPr="00857BA7">
              <w:t>r</w:t>
            </w:r>
            <w:r w:rsidRPr="00857BA7">
              <w:t>esearch</w:t>
            </w:r>
          </w:p>
        </w:tc>
        <w:tc>
          <w:tcPr>
            <w:tcW w:w="3005" w:type="dxa"/>
            <w:tcBorders>
              <w:top w:val="single" w:sz="6" w:space="0" w:color="auto"/>
              <w:bottom w:val="single" w:sz="6" w:space="0" w:color="auto"/>
            </w:tcBorders>
            <w:shd w:val="clear" w:color="auto" w:fill="auto"/>
          </w:tcPr>
          <w:p w:rsidR="009126CF" w:rsidRDefault="005D797B" w:rsidP="00BD2AA4">
            <w:pPr>
              <w:spacing w:beforeLines="20" w:before="48" w:afterLines="20" w:after="48"/>
              <w:ind w:left="33"/>
            </w:pPr>
            <w:r w:rsidRPr="00857BA7">
              <w:t>7</w:t>
            </w:r>
            <w:r w:rsidR="00B16DB4" w:rsidRPr="00857BA7">
              <w:t xml:space="preserve"> months</w:t>
            </w:r>
            <w:r w:rsidR="00B4521F" w:rsidRPr="00857BA7">
              <w:t xml:space="preserve"> after OMB approval</w:t>
            </w:r>
          </w:p>
        </w:tc>
      </w:tr>
      <w:tr w:rsidR="00E534A7" w:rsidRPr="00857BA7" w:rsidTr="009E1353">
        <w:tc>
          <w:tcPr>
            <w:tcW w:w="1719" w:type="dxa"/>
            <w:vMerge w:val="restart"/>
            <w:tcBorders>
              <w:top w:val="single" w:sz="6" w:space="0" w:color="auto"/>
              <w:bottom w:val="single" w:sz="6" w:space="0" w:color="auto"/>
            </w:tcBorders>
            <w:shd w:val="clear" w:color="auto" w:fill="auto"/>
          </w:tcPr>
          <w:p w:rsidR="00E534A7" w:rsidRPr="00857BA7" w:rsidRDefault="00E534A7" w:rsidP="005F4DB4">
            <w:r w:rsidRPr="00857BA7">
              <w:t xml:space="preserve">Analyze </w:t>
            </w:r>
            <w:r w:rsidR="000937BA" w:rsidRPr="00857BA7">
              <w:t xml:space="preserve">and </w:t>
            </w:r>
            <w:r w:rsidRPr="00857BA7">
              <w:t>Report Data From Formative Research</w:t>
            </w:r>
          </w:p>
        </w:tc>
        <w:tc>
          <w:tcPr>
            <w:tcW w:w="3376" w:type="dxa"/>
            <w:tcBorders>
              <w:top w:val="single" w:sz="6" w:space="0" w:color="auto"/>
              <w:bottom w:val="single" w:sz="6" w:space="0" w:color="auto"/>
            </w:tcBorders>
            <w:shd w:val="clear" w:color="auto" w:fill="auto"/>
          </w:tcPr>
          <w:p w:rsidR="00E534A7" w:rsidRPr="00857BA7" w:rsidRDefault="00E534A7" w:rsidP="00BD2AA4">
            <w:pPr>
              <w:spacing w:beforeLines="20" w:before="48" w:afterLines="20" w:after="48"/>
              <w:ind w:left="33"/>
            </w:pPr>
            <w:r w:rsidRPr="00857BA7">
              <w:t>Draft Report</w:t>
            </w:r>
          </w:p>
        </w:tc>
        <w:tc>
          <w:tcPr>
            <w:tcW w:w="3005" w:type="dxa"/>
            <w:tcBorders>
              <w:top w:val="single" w:sz="6" w:space="0" w:color="auto"/>
              <w:bottom w:val="single" w:sz="6" w:space="0" w:color="auto"/>
            </w:tcBorders>
            <w:shd w:val="clear" w:color="auto" w:fill="auto"/>
          </w:tcPr>
          <w:p w:rsidR="00F313BE" w:rsidRDefault="005D797B" w:rsidP="00BD2AA4">
            <w:pPr>
              <w:spacing w:beforeLines="20" w:before="48" w:afterLines="20" w:after="48"/>
              <w:ind w:left="33"/>
            </w:pPr>
            <w:r w:rsidRPr="00857BA7">
              <w:t>8</w:t>
            </w:r>
            <w:r w:rsidR="008257B2" w:rsidRPr="00857BA7">
              <w:t xml:space="preserve"> </w:t>
            </w:r>
            <w:r w:rsidR="00B16DB4" w:rsidRPr="00857BA7">
              <w:t>months</w:t>
            </w:r>
            <w:r w:rsidR="00B4521F" w:rsidRPr="00857BA7">
              <w:t xml:space="preserve"> after OMB approval</w:t>
            </w:r>
          </w:p>
        </w:tc>
      </w:tr>
      <w:tr w:rsidR="00E534A7" w:rsidRPr="00857BA7" w:rsidTr="009E1353">
        <w:tc>
          <w:tcPr>
            <w:tcW w:w="1719" w:type="dxa"/>
            <w:vMerge/>
            <w:tcBorders>
              <w:top w:val="single" w:sz="6" w:space="0" w:color="auto"/>
              <w:bottom w:val="single" w:sz="6" w:space="0" w:color="auto"/>
            </w:tcBorders>
            <w:shd w:val="clear" w:color="auto" w:fill="auto"/>
          </w:tcPr>
          <w:p w:rsidR="00E534A7" w:rsidRPr="00857BA7" w:rsidRDefault="00E534A7" w:rsidP="00E534A7"/>
        </w:tc>
        <w:tc>
          <w:tcPr>
            <w:tcW w:w="3376" w:type="dxa"/>
            <w:tcBorders>
              <w:top w:val="single" w:sz="6" w:space="0" w:color="auto"/>
              <w:bottom w:val="single" w:sz="6" w:space="0" w:color="auto"/>
            </w:tcBorders>
            <w:shd w:val="clear" w:color="auto" w:fill="auto"/>
          </w:tcPr>
          <w:p w:rsidR="00E534A7" w:rsidRPr="00857BA7" w:rsidRDefault="00E534A7" w:rsidP="00BD2AA4">
            <w:pPr>
              <w:spacing w:beforeLines="20" w:before="48" w:afterLines="20" w:after="48"/>
              <w:ind w:left="33"/>
            </w:pPr>
            <w:r w:rsidRPr="00857BA7">
              <w:t>Final Report</w:t>
            </w:r>
          </w:p>
        </w:tc>
        <w:tc>
          <w:tcPr>
            <w:tcW w:w="3005" w:type="dxa"/>
            <w:tcBorders>
              <w:top w:val="single" w:sz="6" w:space="0" w:color="auto"/>
              <w:bottom w:val="single" w:sz="6" w:space="0" w:color="auto"/>
            </w:tcBorders>
            <w:shd w:val="clear" w:color="auto" w:fill="auto"/>
          </w:tcPr>
          <w:p w:rsidR="00F313BE" w:rsidRDefault="005D797B" w:rsidP="00BD2AA4">
            <w:pPr>
              <w:spacing w:beforeLines="20" w:before="48" w:afterLines="20" w:after="48"/>
              <w:ind w:left="33"/>
            </w:pPr>
            <w:r w:rsidRPr="00857BA7">
              <w:t>9</w:t>
            </w:r>
            <w:r w:rsidR="00B16DB4" w:rsidRPr="00857BA7">
              <w:t xml:space="preserve"> months</w:t>
            </w:r>
            <w:r w:rsidR="00B4521F" w:rsidRPr="00857BA7">
              <w:t xml:space="preserve"> after OMB approval</w:t>
            </w:r>
          </w:p>
        </w:tc>
      </w:tr>
    </w:tbl>
    <w:p w:rsidR="00226BA7" w:rsidRPr="00857BA7" w:rsidRDefault="00226BA7" w:rsidP="0069333C"/>
    <w:p w:rsidR="006F53A7" w:rsidRPr="00857BA7" w:rsidRDefault="006F53A7" w:rsidP="0069333C"/>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 xml:space="preserve">A.17. </w:t>
      </w:r>
      <w:r w:rsidR="006F53A7" w:rsidRPr="00857BA7">
        <w:rPr>
          <w:rFonts w:ascii="Times New Roman" w:hAnsi="Times New Roman"/>
          <w:i w:val="0"/>
          <w:sz w:val="24"/>
          <w:szCs w:val="24"/>
        </w:rPr>
        <w:t xml:space="preserve">Reason(s) Display of OMB Expiration Date </w:t>
      </w:r>
      <w:r w:rsidR="00DB3744" w:rsidRPr="00857BA7">
        <w:rPr>
          <w:rFonts w:ascii="Times New Roman" w:hAnsi="Times New Roman"/>
          <w:i w:val="0"/>
          <w:sz w:val="24"/>
          <w:szCs w:val="24"/>
        </w:rPr>
        <w:t>I</w:t>
      </w:r>
      <w:r w:rsidR="006F53A7" w:rsidRPr="00857BA7">
        <w:rPr>
          <w:rFonts w:ascii="Times New Roman" w:hAnsi="Times New Roman"/>
          <w:i w:val="0"/>
          <w:sz w:val="24"/>
          <w:szCs w:val="24"/>
        </w:rPr>
        <w:t>s Inappropriate</w:t>
      </w:r>
    </w:p>
    <w:p w:rsidR="0069333C" w:rsidRPr="00857BA7" w:rsidRDefault="000B2995" w:rsidP="006F53A7">
      <w:pPr>
        <w:ind w:left="360"/>
      </w:pPr>
      <w:r w:rsidRPr="00857BA7">
        <w:t xml:space="preserve"> </w:t>
      </w:r>
    </w:p>
    <w:p w:rsidR="00BC7F24" w:rsidRPr="00857BA7" w:rsidRDefault="00430AFB" w:rsidP="00BC7F24">
      <w:r>
        <w:t>The display of the OMB expiration date is not inappropriate</w:t>
      </w:r>
      <w:r w:rsidR="00BC7F24" w:rsidRPr="00857BA7">
        <w:t>.</w:t>
      </w:r>
    </w:p>
    <w:p w:rsidR="006F53A7" w:rsidRPr="00857BA7" w:rsidRDefault="006F53A7" w:rsidP="0069333C"/>
    <w:p w:rsidR="00B72307" w:rsidRPr="00857BA7" w:rsidRDefault="005C7272" w:rsidP="00B72307">
      <w:pPr>
        <w:pStyle w:val="Heading2"/>
        <w:spacing w:before="0" w:after="0"/>
        <w:rPr>
          <w:rFonts w:ascii="Times New Roman" w:hAnsi="Times New Roman"/>
          <w:i w:val="0"/>
          <w:sz w:val="24"/>
          <w:szCs w:val="24"/>
        </w:rPr>
      </w:pPr>
      <w:r w:rsidRPr="00857BA7">
        <w:rPr>
          <w:rFonts w:ascii="Times New Roman" w:hAnsi="Times New Roman"/>
          <w:i w:val="0"/>
          <w:sz w:val="24"/>
          <w:szCs w:val="24"/>
        </w:rPr>
        <w:t xml:space="preserve">A.18. </w:t>
      </w:r>
      <w:r w:rsidR="006F53A7" w:rsidRPr="00857BA7">
        <w:rPr>
          <w:rFonts w:ascii="Times New Roman" w:hAnsi="Times New Roman"/>
          <w:i w:val="0"/>
          <w:sz w:val="24"/>
          <w:szCs w:val="24"/>
        </w:rPr>
        <w:t>Exceptions to Certification for Paperwork Reduction Act Submissions</w:t>
      </w:r>
    </w:p>
    <w:p w:rsidR="006F53A7" w:rsidRPr="00857BA7" w:rsidRDefault="006F53A7" w:rsidP="006F53A7"/>
    <w:p w:rsidR="003D5B43" w:rsidRPr="00DF010B" w:rsidRDefault="006F53A7" w:rsidP="00BB481A">
      <w:r w:rsidRPr="00857BA7">
        <w:t>There are no exceptions to the certification.</w:t>
      </w:r>
    </w:p>
    <w:sectPr w:rsidR="003D5B43" w:rsidRPr="00DF010B" w:rsidSect="008A3731">
      <w:footerReference w:type="default" r:id="rId2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AB9" w:rsidRDefault="009F7AB9" w:rsidP="009E4118">
      <w:r>
        <w:separator/>
      </w:r>
    </w:p>
  </w:endnote>
  <w:endnote w:type="continuationSeparator" w:id="0">
    <w:p w:rsidR="009F7AB9" w:rsidRDefault="009F7AB9" w:rsidP="009E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B9" w:rsidRPr="00F008DF" w:rsidRDefault="009F7AB9" w:rsidP="00DB51F4">
    <w:pPr>
      <w:pStyle w:val="Footer"/>
      <w:jc w:val="right"/>
      <w:rPr>
        <w:sz w:val="16"/>
        <w:szCs w:val="16"/>
      </w:rPr>
    </w:pPr>
    <w:r w:rsidRPr="00F008DF">
      <w:rPr>
        <w:sz w:val="16"/>
        <w:szCs w:val="16"/>
      </w:rPr>
      <w:fldChar w:fldCharType="begin"/>
    </w:r>
    <w:r w:rsidRPr="00F008DF">
      <w:rPr>
        <w:sz w:val="16"/>
        <w:szCs w:val="16"/>
      </w:rPr>
      <w:instrText xml:space="preserve"> PAGE   \* MERGEFORMAT </w:instrText>
    </w:r>
    <w:r w:rsidRPr="00F008DF">
      <w:rPr>
        <w:sz w:val="16"/>
        <w:szCs w:val="16"/>
      </w:rPr>
      <w:fldChar w:fldCharType="separate"/>
    </w:r>
    <w:r w:rsidR="00D44B7A">
      <w:rPr>
        <w:noProof/>
        <w:sz w:val="16"/>
        <w:szCs w:val="16"/>
      </w:rPr>
      <w:t>15</w:t>
    </w:r>
    <w:r w:rsidRPr="00F008D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AB9" w:rsidRDefault="009F7AB9" w:rsidP="009E4118">
      <w:r>
        <w:separator/>
      </w:r>
    </w:p>
  </w:footnote>
  <w:footnote w:type="continuationSeparator" w:id="0">
    <w:p w:rsidR="009F7AB9" w:rsidRDefault="009F7AB9" w:rsidP="009E4118">
      <w:r>
        <w:continuationSeparator/>
      </w:r>
    </w:p>
  </w:footnote>
  <w:footnote w:id="1">
    <w:p w:rsidR="009F7AB9" w:rsidRPr="00FC479E" w:rsidRDefault="009F7AB9" w:rsidP="000A7929">
      <w:pPr>
        <w:keepNext/>
        <w:ind w:left="180" w:hanging="180"/>
        <w:rPr>
          <w:sz w:val="20"/>
          <w:szCs w:val="20"/>
        </w:rPr>
      </w:pPr>
      <w:r w:rsidRPr="00435EC8">
        <w:rPr>
          <w:rStyle w:val="FootnoteReference"/>
          <w:sz w:val="20"/>
          <w:szCs w:val="20"/>
        </w:rPr>
        <w:footnoteRef/>
      </w:r>
      <w:r w:rsidRPr="00435EC8">
        <w:rPr>
          <w:sz w:val="20"/>
          <w:szCs w:val="20"/>
        </w:rPr>
        <w:t xml:space="preserve"> </w:t>
      </w:r>
      <w:r>
        <w:rPr>
          <w:sz w:val="20"/>
          <w:szCs w:val="20"/>
        </w:rPr>
        <w:t xml:space="preserve"> </w:t>
      </w:r>
      <w:r w:rsidRPr="00435EC8">
        <w:rPr>
          <w:sz w:val="20"/>
          <w:szCs w:val="20"/>
        </w:rPr>
        <w:t xml:space="preserve">American Institutes for Research (2009). </w:t>
      </w:r>
      <w:r w:rsidRPr="00435EC8">
        <w:rPr>
          <w:i/>
          <w:sz w:val="20"/>
          <w:szCs w:val="20"/>
        </w:rPr>
        <w:t>Sickle Cell Disease Awareness Campaigns: Media Scan 2004–2009</w:t>
      </w:r>
      <w:r>
        <w:rPr>
          <w:i/>
          <w:sz w:val="20"/>
          <w:szCs w:val="20"/>
        </w:rPr>
        <w:t>.</w:t>
      </w:r>
      <w:r w:rsidRPr="00435EC8">
        <w:rPr>
          <w:sz w:val="20"/>
          <w:szCs w:val="20"/>
        </w:rPr>
        <w:t xml:space="preserve"> </w:t>
      </w:r>
      <w:proofErr w:type="gramStart"/>
      <w:r w:rsidRPr="00435EC8">
        <w:rPr>
          <w:sz w:val="20"/>
          <w:szCs w:val="20"/>
        </w:rPr>
        <w:t>Prepared for National Heart, Lung, and Blood Institute.</w:t>
      </w:r>
      <w:proofErr w:type="gramEnd"/>
      <w:r w:rsidRPr="00435EC8">
        <w:rPr>
          <w:sz w:val="20"/>
          <w:szCs w:val="20"/>
        </w:rPr>
        <w:t xml:space="preserve"> Washington, DC: Author.</w:t>
      </w:r>
    </w:p>
    <w:p w:rsidR="009F7AB9" w:rsidRDefault="009F7AB9" w:rsidP="000A7929">
      <w:pPr>
        <w:pStyle w:val="FootnoteText"/>
        <w:ind w:left="180" w:hanging="180"/>
      </w:pPr>
    </w:p>
  </w:footnote>
  <w:footnote w:id="2">
    <w:p w:rsidR="009F7AB9" w:rsidRPr="00B46F6C" w:rsidRDefault="009F7AB9" w:rsidP="000A7929">
      <w:pPr>
        <w:pStyle w:val="FootnoteText"/>
        <w:ind w:left="180" w:hanging="180"/>
        <w:rPr>
          <w:u w:val="single"/>
        </w:rPr>
      </w:pPr>
      <w:r>
        <w:rPr>
          <w:rStyle w:val="FootnoteReference"/>
        </w:rPr>
        <w:footnoteRef/>
      </w:r>
      <w:r>
        <w:t xml:space="preserve">  U.S. Department of Health and Human Services, National Institutes of Health, National Heart, Lung and Blood Institute, (April, 2010), </w:t>
      </w:r>
      <w:r w:rsidRPr="00435EC8">
        <w:rPr>
          <w:i/>
          <w:u w:val="single"/>
        </w:rPr>
        <w:t>Sickle Cell Disease Awareness and Education Strategy Development Workshop Report</w:t>
      </w:r>
      <w:r>
        <w:rPr>
          <w:i/>
          <w:u w:val="single"/>
        </w:rPr>
        <w:t xml:space="preserve">, </w:t>
      </w:r>
      <w:r>
        <w:rPr>
          <w:u w:val="single"/>
        </w:rPr>
        <w:t>Washington, D.C: Author, Publication No. 56-205N.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142"/>
    <w:multiLevelType w:val="hybridMultilevel"/>
    <w:tmpl w:val="8FD09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93762"/>
    <w:multiLevelType w:val="hybridMultilevel"/>
    <w:tmpl w:val="56742E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9D7E9D"/>
    <w:multiLevelType w:val="hybridMultilevel"/>
    <w:tmpl w:val="B2CE152E"/>
    <w:lvl w:ilvl="0" w:tplc="4D66B2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065836"/>
    <w:multiLevelType w:val="hybridMultilevel"/>
    <w:tmpl w:val="B3401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
    <w:nsid w:val="3E300452"/>
    <w:multiLevelType w:val="hybridMultilevel"/>
    <w:tmpl w:val="92A66A90"/>
    <w:lvl w:ilvl="0" w:tplc="B11CEA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B34A8"/>
    <w:multiLevelType w:val="hybridMultilevel"/>
    <w:tmpl w:val="B414F79E"/>
    <w:lvl w:ilvl="0" w:tplc="3AD8F236">
      <w:start w:val="1"/>
      <w:numFmt w:val="lowerRoman"/>
      <w:lvlText w:val="%1."/>
      <w:lvlJc w:val="left"/>
      <w:pPr>
        <w:ind w:left="1080" w:hanging="72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96C3F"/>
    <w:multiLevelType w:val="hybridMultilevel"/>
    <w:tmpl w:val="FD54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D225B"/>
    <w:multiLevelType w:val="hybridMultilevel"/>
    <w:tmpl w:val="538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5B2845"/>
    <w:multiLevelType w:val="hybridMultilevel"/>
    <w:tmpl w:val="9DA6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135B6"/>
    <w:multiLevelType w:val="hybridMultilevel"/>
    <w:tmpl w:val="34B096BE"/>
    <w:lvl w:ilvl="0" w:tplc="45A42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F6712"/>
    <w:multiLevelType w:val="hybridMultilevel"/>
    <w:tmpl w:val="B74672C0"/>
    <w:lvl w:ilvl="0" w:tplc="C2EA17A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DB54FC"/>
    <w:multiLevelType w:val="hybridMultilevel"/>
    <w:tmpl w:val="D682E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0330EC"/>
    <w:multiLevelType w:val="hybridMultilevel"/>
    <w:tmpl w:val="8C76FCDE"/>
    <w:lvl w:ilvl="0" w:tplc="4C8AC1C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4065B8"/>
    <w:multiLevelType w:val="hybridMultilevel"/>
    <w:tmpl w:val="E6F83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24"/>
  </w:num>
  <w:num w:numId="5">
    <w:abstractNumId w:val="9"/>
  </w:num>
  <w:num w:numId="6">
    <w:abstractNumId w:val="4"/>
  </w:num>
  <w:num w:numId="7">
    <w:abstractNumId w:val="20"/>
  </w:num>
  <w:num w:numId="8">
    <w:abstractNumId w:val="7"/>
  </w:num>
  <w:num w:numId="9">
    <w:abstractNumId w:val="10"/>
  </w:num>
  <w:num w:numId="10">
    <w:abstractNumId w:val="21"/>
  </w:num>
  <w:num w:numId="11">
    <w:abstractNumId w:val="2"/>
  </w:num>
  <w:num w:numId="12">
    <w:abstractNumId w:val="16"/>
  </w:num>
  <w:num w:numId="13">
    <w:abstractNumId w:val="23"/>
  </w:num>
  <w:num w:numId="14">
    <w:abstractNumId w:val="17"/>
  </w:num>
  <w:num w:numId="15">
    <w:abstractNumId w:val="18"/>
  </w:num>
  <w:num w:numId="16">
    <w:abstractNumId w:val="14"/>
  </w:num>
  <w:num w:numId="17">
    <w:abstractNumId w:val="11"/>
  </w:num>
  <w:num w:numId="18">
    <w:abstractNumId w:val="19"/>
  </w:num>
  <w:num w:numId="19">
    <w:abstractNumId w:val="3"/>
  </w:num>
  <w:num w:numId="20">
    <w:abstractNumId w:val="3"/>
  </w:num>
  <w:num w:numId="21">
    <w:abstractNumId w:val="13"/>
  </w:num>
  <w:num w:numId="22">
    <w:abstractNumId w:val="22"/>
  </w:num>
  <w:num w:numId="23">
    <w:abstractNumId w:val="6"/>
  </w:num>
  <w:num w:numId="24">
    <w:abstractNumId w:val="12"/>
  </w:num>
  <w:num w:numId="25">
    <w:abstractNumId w:val="3"/>
  </w:num>
  <w:num w:numId="26">
    <w:abstractNumId w:val="15"/>
  </w:num>
  <w:num w:numId="27">
    <w:abstractNumId w:val="5"/>
  </w:num>
  <w:num w:numId="28">
    <w:abstractNumId w:val="0"/>
  </w:num>
  <w:num w:numId="29">
    <w:abstractNumId w:val="3"/>
  </w:num>
  <w:num w:numId="3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7"/>
    <w:rsid w:val="000005DF"/>
    <w:rsid w:val="00001186"/>
    <w:rsid w:val="0000140D"/>
    <w:rsid w:val="000025B8"/>
    <w:rsid w:val="00007663"/>
    <w:rsid w:val="000102AC"/>
    <w:rsid w:val="00010B02"/>
    <w:rsid w:val="00011D20"/>
    <w:rsid w:val="00014CF4"/>
    <w:rsid w:val="00015FD1"/>
    <w:rsid w:val="00017467"/>
    <w:rsid w:val="000235A2"/>
    <w:rsid w:val="00024B3A"/>
    <w:rsid w:val="00025C95"/>
    <w:rsid w:val="00025E20"/>
    <w:rsid w:val="000266E8"/>
    <w:rsid w:val="0002759A"/>
    <w:rsid w:val="00027F79"/>
    <w:rsid w:val="000362BA"/>
    <w:rsid w:val="00044215"/>
    <w:rsid w:val="0004727F"/>
    <w:rsid w:val="000520EF"/>
    <w:rsid w:val="000534C5"/>
    <w:rsid w:val="00053637"/>
    <w:rsid w:val="00061574"/>
    <w:rsid w:val="000634D8"/>
    <w:rsid w:val="000653A2"/>
    <w:rsid w:val="0006665D"/>
    <w:rsid w:val="00070538"/>
    <w:rsid w:val="00080CCB"/>
    <w:rsid w:val="00081BDE"/>
    <w:rsid w:val="00082862"/>
    <w:rsid w:val="000848E5"/>
    <w:rsid w:val="00087B1E"/>
    <w:rsid w:val="00090205"/>
    <w:rsid w:val="000937BA"/>
    <w:rsid w:val="000962F8"/>
    <w:rsid w:val="000A3A31"/>
    <w:rsid w:val="000A5C55"/>
    <w:rsid w:val="000A5FF7"/>
    <w:rsid w:val="000A7929"/>
    <w:rsid w:val="000B2995"/>
    <w:rsid w:val="000B2F5C"/>
    <w:rsid w:val="000B39A1"/>
    <w:rsid w:val="000B7FD2"/>
    <w:rsid w:val="000C1066"/>
    <w:rsid w:val="000C678D"/>
    <w:rsid w:val="000C6FC2"/>
    <w:rsid w:val="000D195F"/>
    <w:rsid w:val="000D2C0F"/>
    <w:rsid w:val="000E1E6D"/>
    <w:rsid w:val="000E30F6"/>
    <w:rsid w:val="000E696C"/>
    <w:rsid w:val="000E6AC6"/>
    <w:rsid w:val="000F7B8C"/>
    <w:rsid w:val="00100547"/>
    <w:rsid w:val="00101F2C"/>
    <w:rsid w:val="00102E06"/>
    <w:rsid w:val="00102F0E"/>
    <w:rsid w:val="00106E64"/>
    <w:rsid w:val="00107660"/>
    <w:rsid w:val="00110D5D"/>
    <w:rsid w:val="00111ECB"/>
    <w:rsid w:val="00114BCB"/>
    <w:rsid w:val="00115151"/>
    <w:rsid w:val="001214E7"/>
    <w:rsid w:val="0012247D"/>
    <w:rsid w:val="0012668E"/>
    <w:rsid w:val="001326B3"/>
    <w:rsid w:val="00135005"/>
    <w:rsid w:val="00135E75"/>
    <w:rsid w:val="0013668B"/>
    <w:rsid w:val="001409F3"/>
    <w:rsid w:val="0014141D"/>
    <w:rsid w:val="0014643F"/>
    <w:rsid w:val="00151F11"/>
    <w:rsid w:val="00153F39"/>
    <w:rsid w:val="00154B8C"/>
    <w:rsid w:val="00155C3A"/>
    <w:rsid w:val="00160173"/>
    <w:rsid w:val="0016727C"/>
    <w:rsid w:val="0017018F"/>
    <w:rsid w:val="00171863"/>
    <w:rsid w:val="00171CB2"/>
    <w:rsid w:val="00176354"/>
    <w:rsid w:val="0018589D"/>
    <w:rsid w:val="00186385"/>
    <w:rsid w:val="0019094C"/>
    <w:rsid w:val="00191B32"/>
    <w:rsid w:val="001920C3"/>
    <w:rsid w:val="00192CDE"/>
    <w:rsid w:val="00196111"/>
    <w:rsid w:val="001A0CC2"/>
    <w:rsid w:val="001A1EE3"/>
    <w:rsid w:val="001A27A1"/>
    <w:rsid w:val="001A66E5"/>
    <w:rsid w:val="001A7285"/>
    <w:rsid w:val="001A7933"/>
    <w:rsid w:val="001A7F96"/>
    <w:rsid w:val="001B1F09"/>
    <w:rsid w:val="001B556A"/>
    <w:rsid w:val="001C08B7"/>
    <w:rsid w:val="001C4CF1"/>
    <w:rsid w:val="001C5830"/>
    <w:rsid w:val="001D15DD"/>
    <w:rsid w:val="001D32EE"/>
    <w:rsid w:val="001D35B1"/>
    <w:rsid w:val="001D6504"/>
    <w:rsid w:val="001E5B25"/>
    <w:rsid w:val="001F31E2"/>
    <w:rsid w:val="001F3DF3"/>
    <w:rsid w:val="001F4FD4"/>
    <w:rsid w:val="001F6A5D"/>
    <w:rsid w:val="001F6A6E"/>
    <w:rsid w:val="00202FE6"/>
    <w:rsid w:val="00203E4E"/>
    <w:rsid w:val="00205EEF"/>
    <w:rsid w:val="002064EF"/>
    <w:rsid w:val="00206FA7"/>
    <w:rsid w:val="002109C6"/>
    <w:rsid w:val="00211B0C"/>
    <w:rsid w:val="00213B94"/>
    <w:rsid w:val="002142F6"/>
    <w:rsid w:val="0021585D"/>
    <w:rsid w:val="00216153"/>
    <w:rsid w:val="00226BA7"/>
    <w:rsid w:val="00231E0E"/>
    <w:rsid w:val="002321F8"/>
    <w:rsid w:val="002324AC"/>
    <w:rsid w:val="00234578"/>
    <w:rsid w:val="0023540F"/>
    <w:rsid w:val="00243AB6"/>
    <w:rsid w:val="00246628"/>
    <w:rsid w:val="00256092"/>
    <w:rsid w:val="002569F4"/>
    <w:rsid w:val="00263137"/>
    <w:rsid w:val="0026720E"/>
    <w:rsid w:val="0027011D"/>
    <w:rsid w:val="00277F03"/>
    <w:rsid w:val="0028014A"/>
    <w:rsid w:val="002877C9"/>
    <w:rsid w:val="00290962"/>
    <w:rsid w:val="0029146B"/>
    <w:rsid w:val="0029326A"/>
    <w:rsid w:val="00297D49"/>
    <w:rsid w:val="002A0C23"/>
    <w:rsid w:val="002A181A"/>
    <w:rsid w:val="002A3ABD"/>
    <w:rsid w:val="002A6167"/>
    <w:rsid w:val="002B4120"/>
    <w:rsid w:val="002B53D2"/>
    <w:rsid w:val="002C42A3"/>
    <w:rsid w:val="002C5771"/>
    <w:rsid w:val="002C5B97"/>
    <w:rsid w:val="002C5DB9"/>
    <w:rsid w:val="002C6747"/>
    <w:rsid w:val="002C725B"/>
    <w:rsid w:val="002C7E65"/>
    <w:rsid w:val="002D1476"/>
    <w:rsid w:val="002D355E"/>
    <w:rsid w:val="002D728E"/>
    <w:rsid w:val="002E1749"/>
    <w:rsid w:val="002E188B"/>
    <w:rsid w:val="002F113F"/>
    <w:rsid w:val="002F57A6"/>
    <w:rsid w:val="002F69C1"/>
    <w:rsid w:val="002F7CAE"/>
    <w:rsid w:val="003022D9"/>
    <w:rsid w:val="00302910"/>
    <w:rsid w:val="00303105"/>
    <w:rsid w:val="003050C0"/>
    <w:rsid w:val="00310EC8"/>
    <w:rsid w:val="00311152"/>
    <w:rsid w:val="00313229"/>
    <w:rsid w:val="00313391"/>
    <w:rsid w:val="0031339C"/>
    <w:rsid w:val="0031380A"/>
    <w:rsid w:val="00313B3C"/>
    <w:rsid w:val="0031561C"/>
    <w:rsid w:val="0032218A"/>
    <w:rsid w:val="00324CEF"/>
    <w:rsid w:val="003269DE"/>
    <w:rsid w:val="003324F1"/>
    <w:rsid w:val="00332B51"/>
    <w:rsid w:val="00332D12"/>
    <w:rsid w:val="003368B3"/>
    <w:rsid w:val="0034186F"/>
    <w:rsid w:val="00342A97"/>
    <w:rsid w:val="00343699"/>
    <w:rsid w:val="00346FD4"/>
    <w:rsid w:val="003474AB"/>
    <w:rsid w:val="003513E4"/>
    <w:rsid w:val="0035416A"/>
    <w:rsid w:val="00362FF4"/>
    <w:rsid w:val="003633A2"/>
    <w:rsid w:val="00363C38"/>
    <w:rsid w:val="00370DA5"/>
    <w:rsid w:val="00372545"/>
    <w:rsid w:val="00372D90"/>
    <w:rsid w:val="00372DCC"/>
    <w:rsid w:val="0037397A"/>
    <w:rsid w:val="0037582F"/>
    <w:rsid w:val="003775B0"/>
    <w:rsid w:val="003808FB"/>
    <w:rsid w:val="00380AED"/>
    <w:rsid w:val="0038356C"/>
    <w:rsid w:val="0038535F"/>
    <w:rsid w:val="003854DC"/>
    <w:rsid w:val="0038681B"/>
    <w:rsid w:val="00392498"/>
    <w:rsid w:val="003927E9"/>
    <w:rsid w:val="00393099"/>
    <w:rsid w:val="00393797"/>
    <w:rsid w:val="00394661"/>
    <w:rsid w:val="0039608E"/>
    <w:rsid w:val="00397D66"/>
    <w:rsid w:val="003A0A29"/>
    <w:rsid w:val="003A0A38"/>
    <w:rsid w:val="003A4AB1"/>
    <w:rsid w:val="003A75C4"/>
    <w:rsid w:val="003B0863"/>
    <w:rsid w:val="003B2DCE"/>
    <w:rsid w:val="003B3878"/>
    <w:rsid w:val="003B43D3"/>
    <w:rsid w:val="003B556A"/>
    <w:rsid w:val="003B7C52"/>
    <w:rsid w:val="003C02A2"/>
    <w:rsid w:val="003C2351"/>
    <w:rsid w:val="003C3229"/>
    <w:rsid w:val="003C475F"/>
    <w:rsid w:val="003D503E"/>
    <w:rsid w:val="003D5B43"/>
    <w:rsid w:val="003D718D"/>
    <w:rsid w:val="003E06FD"/>
    <w:rsid w:val="003E3C8A"/>
    <w:rsid w:val="003E749D"/>
    <w:rsid w:val="003F3599"/>
    <w:rsid w:val="003F38B2"/>
    <w:rsid w:val="003F4419"/>
    <w:rsid w:val="003F5F5E"/>
    <w:rsid w:val="003F73B7"/>
    <w:rsid w:val="00400E3C"/>
    <w:rsid w:val="00404A75"/>
    <w:rsid w:val="00405583"/>
    <w:rsid w:val="00407250"/>
    <w:rsid w:val="004112C0"/>
    <w:rsid w:val="004130AC"/>
    <w:rsid w:val="004143B6"/>
    <w:rsid w:val="00416322"/>
    <w:rsid w:val="0041672A"/>
    <w:rsid w:val="00416A82"/>
    <w:rsid w:val="0042015F"/>
    <w:rsid w:val="00423482"/>
    <w:rsid w:val="004259CB"/>
    <w:rsid w:val="0042722F"/>
    <w:rsid w:val="00430AFB"/>
    <w:rsid w:val="00432045"/>
    <w:rsid w:val="0043383F"/>
    <w:rsid w:val="00433F25"/>
    <w:rsid w:val="00435EB8"/>
    <w:rsid w:val="00435EC8"/>
    <w:rsid w:val="004369B9"/>
    <w:rsid w:val="004376F0"/>
    <w:rsid w:val="00437C7E"/>
    <w:rsid w:val="00437D30"/>
    <w:rsid w:val="00442522"/>
    <w:rsid w:val="00443305"/>
    <w:rsid w:val="00443735"/>
    <w:rsid w:val="00450B3C"/>
    <w:rsid w:val="00451CB2"/>
    <w:rsid w:val="004545F8"/>
    <w:rsid w:val="004564E2"/>
    <w:rsid w:val="00457086"/>
    <w:rsid w:val="004600DE"/>
    <w:rsid w:val="00464CA1"/>
    <w:rsid w:val="00465E40"/>
    <w:rsid w:val="004661A6"/>
    <w:rsid w:val="00470182"/>
    <w:rsid w:val="004715B2"/>
    <w:rsid w:val="0047435C"/>
    <w:rsid w:val="004743D0"/>
    <w:rsid w:val="0047728D"/>
    <w:rsid w:val="004777E5"/>
    <w:rsid w:val="00480DD9"/>
    <w:rsid w:val="0048391F"/>
    <w:rsid w:val="00483ACE"/>
    <w:rsid w:val="00484C47"/>
    <w:rsid w:val="00486A92"/>
    <w:rsid w:val="004930D2"/>
    <w:rsid w:val="00493F33"/>
    <w:rsid w:val="00495804"/>
    <w:rsid w:val="00496232"/>
    <w:rsid w:val="004969A5"/>
    <w:rsid w:val="00496D9B"/>
    <w:rsid w:val="004A5740"/>
    <w:rsid w:val="004B1914"/>
    <w:rsid w:val="004B2DDB"/>
    <w:rsid w:val="004B3F39"/>
    <w:rsid w:val="004B3F6A"/>
    <w:rsid w:val="004B433B"/>
    <w:rsid w:val="004B632F"/>
    <w:rsid w:val="004B666E"/>
    <w:rsid w:val="004B675A"/>
    <w:rsid w:val="004D1021"/>
    <w:rsid w:val="004D163B"/>
    <w:rsid w:val="004D186D"/>
    <w:rsid w:val="004D1A62"/>
    <w:rsid w:val="004D25BC"/>
    <w:rsid w:val="004D29D7"/>
    <w:rsid w:val="004D527E"/>
    <w:rsid w:val="004E0558"/>
    <w:rsid w:val="004E3803"/>
    <w:rsid w:val="004E63BB"/>
    <w:rsid w:val="004F0041"/>
    <w:rsid w:val="004F1386"/>
    <w:rsid w:val="004F26AB"/>
    <w:rsid w:val="004F5E46"/>
    <w:rsid w:val="00500F76"/>
    <w:rsid w:val="00503801"/>
    <w:rsid w:val="00506555"/>
    <w:rsid w:val="00506FAE"/>
    <w:rsid w:val="00507673"/>
    <w:rsid w:val="00510EA7"/>
    <w:rsid w:val="0051188A"/>
    <w:rsid w:val="00512723"/>
    <w:rsid w:val="0051317E"/>
    <w:rsid w:val="005131D9"/>
    <w:rsid w:val="00514FCA"/>
    <w:rsid w:val="00516826"/>
    <w:rsid w:val="00520849"/>
    <w:rsid w:val="0052363A"/>
    <w:rsid w:val="0052451C"/>
    <w:rsid w:val="00537554"/>
    <w:rsid w:val="005377B9"/>
    <w:rsid w:val="00547ACA"/>
    <w:rsid w:val="005533A4"/>
    <w:rsid w:val="0056173D"/>
    <w:rsid w:val="00563ACF"/>
    <w:rsid w:val="00564DBF"/>
    <w:rsid w:val="0056604D"/>
    <w:rsid w:val="00571272"/>
    <w:rsid w:val="00573650"/>
    <w:rsid w:val="005757D7"/>
    <w:rsid w:val="005758CF"/>
    <w:rsid w:val="00581696"/>
    <w:rsid w:val="0058382D"/>
    <w:rsid w:val="00586C22"/>
    <w:rsid w:val="00587972"/>
    <w:rsid w:val="0059414A"/>
    <w:rsid w:val="00595262"/>
    <w:rsid w:val="00595F5A"/>
    <w:rsid w:val="00596701"/>
    <w:rsid w:val="005A1B8F"/>
    <w:rsid w:val="005A42B0"/>
    <w:rsid w:val="005A4CD2"/>
    <w:rsid w:val="005A7B76"/>
    <w:rsid w:val="005B479C"/>
    <w:rsid w:val="005B60A3"/>
    <w:rsid w:val="005B662F"/>
    <w:rsid w:val="005C2593"/>
    <w:rsid w:val="005C66BE"/>
    <w:rsid w:val="005C6E5B"/>
    <w:rsid w:val="005C7272"/>
    <w:rsid w:val="005D24F1"/>
    <w:rsid w:val="005D3600"/>
    <w:rsid w:val="005D419E"/>
    <w:rsid w:val="005D4469"/>
    <w:rsid w:val="005D797B"/>
    <w:rsid w:val="005E6A49"/>
    <w:rsid w:val="005E7230"/>
    <w:rsid w:val="005F38C9"/>
    <w:rsid w:val="005F4739"/>
    <w:rsid w:val="005F4DB4"/>
    <w:rsid w:val="005F52D2"/>
    <w:rsid w:val="005F63FA"/>
    <w:rsid w:val="005F7532"/>
    <w:rsid w:val="00611DFD"/>
    <w:rsid w:val="00613078"/>
    <w:rsid w:val="00613A33"/>
    <w:rsid w:val="006142E3"/>
    <w:rsid w:val="00615B94"/>
    <w:rsid w:val="00617439"/>
    <w:rsid w:val="00617A46"/>
    <w:rsid w:val="006221F9"/>
    <w:rsid w:val="00623C6A"/>
    <w:rsid w:val="00625AD4"/>
    <w:rsid w:val="00626F5B"/>
    <w:rsid w:val="00627010"/>
    <w:rsid w:val="006309E3"/>
    <w:rsid w:val="00631683"/>
    <w:rsid w:val="00631977"/>
    <w:rsid w:val="006329F5"/>
    <w:rsid w:val="00636AFE"/>
    <w:rsid w:val="0064484D"/>
    <w:rsid w:val="00647BF4"/>
    <w:rsid w:val="0065603C"/>
    <w:rsid w:val="0066598B"/>
    <w:rsid w:val="00670E45"/>
    <w:rsid w:val="006721C3"/>
    <w:rsid w:val="00672372"/>
    <w:rsid w:val="0067339A"/>
    <w:rsid w:val="00673A73"/>
    <w:rsid w:val="006748BB"/>
    <w:rsid w:val="00682777"/>
    <w:rsid w:val="00685343"/>
    <w:rsid w:val="0068699B"/>
    <w:rsid w:val="00686A23"/>
    <w:rsid w:val="0069333C"/>
    <w:rsid w:val="00694C23"/>
    <w:rsid w:val="0069718B"/>
    <w:rsid w:val="006A47C7"/>
    <w:rsid w:val="006A49DF"/>
    <w:rsid w:val="006B07FC"/>
    <w:rsid w:val="006B1002"/>
    <w:rsid w:val="006B175C"/>
    <w:rsid w:val="006B255E"/>
    <w:rsid w:val="006B257C"/>
    <w:rsid w:val="006B2F3C"/>
    <w:rsid w:val="006B405A"/>
    <w:rsid w:val="006C5573"/>
    <w:rsid w:val="006C7E76"/>
    <w:rsid w:val="006D027C"/>
    <w:rsid w:val="006D1FCF"/>
    <w:rsid w:val="006D478A"/>
    <w:rsid w:val="006E1B08"/>
    <w:rsid w:val="006E44D6"/>
    <w:rsid w:val="006E6E7E"/>
    <w:rsid w:val="006F113D"/>
    <w:rsid w:val="006F28C6"/>
    <w:rsid w:val="006F4A32"/>
    <w:rsid w:val="006F53A7"/>
    <w:rsid w:val="00701709"/>
    <w:rsid w:val="007021B5"/>
    <w:rsid w:val="00702DE8"/>
    <w:rsid w:val="00703CD7"/>
    <w:rsid w:val="00703DF1"/>
    <w:rsid w:val="00704C6A"/>
    <w:rsid w:val="0070711A"/>
    <w:rsid w:val="007079B0"/>
    <w:rsid w:val="0071786C"/>
    <w:rsid w:val="0072278E"/>
    <w:rsid w:val="00730B03"/>
    <w:rsid w:val="0073448E"/>
    <w:rsid w:val="00737222"/>
    <w:rsid w:val="00737CEF"/>
    <w:rsid w:val="00737E68"/>
    <w:rsid w:val="00741B58"/>
    <w:rsid w:val="00743BAE"/>
    <w:rsid w:val="00744ED9"/>
    <w:rsid w:val="00747649"/>
    <w:rsid w:val="00750C11"/>
    <w:rsid w:val="0075240F"/>
    <w:rsid w:val="00757F1D"/>
    <w:rsid w:val="007610FF"/>
    <w:rsid w:val="00761B2A"/>
    <w:rsid w:val="00763E34"/>
    <w:rsid w:val="00781177"/>
    <w:rsid w:val="00781860"/>
    <w:rsid w:val="007825C2"/>
    <w:rsid w:val="0078400A"/>
    <w:rsid w:val="007861EA"/>
    <w:rsid w:val="00795178"/>
    <w:rsid w:val="00795993"/>
    <w:rsid w:val="007A18BD"/>
    <w:rsid w:val="007A2B1E"/>
    <w:rsid w:val="007A38A5"/>
    <w:rsid w:val="007A3BBA"/>
    <w:rsid w:val="007B57D2"/>
    <w:rsid w:val="007B6375"/>
    <w:rsid w:val="007B638F"/>
    <w:rsid w:val="007B6BB0"/>
    <w:rsid w:val="007C6795"/>
    <w:rsid w:val="007D0D7F"/>
    <w:rsid w:val="007D1B94"/>
    <w:rsid w:val="007D30C7"/>
    <w:rsid w:val="007D523B"/>
    <w:rsid w:val="007E0188"/>
    <w:rsid w:val="007E3593"/>
    <w:rsid w:val="007E3F0E"/>
    <w:rsid w:val="007F0EE0"/>
    <w:rsid w:val="007F1D84"/>
    <w:rsid w:val="007F2E7F"/>
    <w:rsid w:val="007F423B"/>
    <w:rsid w:val="00800615"/>
    <w:rsid w:val="008006B5"/>
    <w:rsid w:val="00800CD4"/>
    <w:rsid w:val="008021EF"/>
    <w:rsid w:val="00802BFB"/>
    <w:rsid w:val="0080517C"/>
    <w:rsid w:val="00810DF8"/>
    <w:rsid w:val="00811F42"/>
    <w:rsid w:val="00817622"/>
    <w:rsid w:val="00823A75"/>
    <w:rsid w:val="00825097"/>
    <w:rsid w:val="008257B2"/>
    <w:rsid w:val="00830891"/>
    <w:rsid w:val="00831CA8"/>
    <w:rsid w:val="00831F52"/>
    <w:rsid w:val="00831FCF"/>
    <w:rsid w:val="00836F91"/>
    <w:rsid w:val="008404F9"/>
    <w:rsid w:val="008437A4"/>
    <w:rsid w:val="0084573E"/>
    <w:rsid w:val="008460A9"/>
    <w:rsid w:val="008467EC"/>
    <w:rsid w:val="00850E21"/>
    <w:rsid w:val="008557E3"/>
    <w:rsid w:val="00857BA7"/>
    <w:rsid w:val="00862346"/>
    <w:rsid w:val="008628A4"/>
    <w:rsid w:val="0087010C"/>
    <w:rsid w:val="00870958"/>
    <w:rsid w:val="00873CC9"/>
    <w:rsid w:val="008750CA"/>
    <w:rsid w:val="00875E40"/>
    <w:rsid w:val="00881BA6"/>
    <w:rsid w:val="0088212A"/>
    <w:rsid w:val="00882357"/>
    <w:rsid w:val="00887458"/>
    <w:rsid w:val="008904A5"/>
    <w:rsid w:val="00890B44"/>
    <w:rsid w:val="00893CB0"/>
    <w:rsid w:val="00893CFF"/>
    <w:rsid w:val="00895728"/>
    <w:rsid w:val="008968DE"/>
    <w:rsid w:val="00896BDC"/>
    <w:rsid w:val="008A0822"/>
    <w:rsid w:val="008A0999"/>
    <w:rsid w:val="008A2730"/>
    <w:rsid w:val="008A3731"/>
    <w:rsid w:val="008B0596"/>
    <w:rsid w:val="008B3475"/>
    <w:rsid w:val="008B46F0"/>
    <w:rsid w:val="008B4A65"/>
    <w:rsid w:val="008B5534"/>
    <w:rsid w:val="008B57AA"/>
    <w:rsid w:val="008B660B"/>
    <w:rsid w:val="008C0BB3"/>
    <w:rsid w:val="008C15B9"/>
    <w:rsid w:val="008C4BBC"/>
    <w:rsid w:val="008C7CDB"/>
    <w:rsid w:val="008D724A"/>
    <w:rsid w:val="008E0B8C"/>
    <w:rsid w:val="008E0DB5"/>
    <w:rsid w:val="008E1537"/>
    <w:rsid w:val="008E1CC5"/>
    <w:rsid w:val="008E3BAB"/>
    <w:rsid w:val="008E77F7"/>
    <w:rsid w:val="008E7CD7"/>
    <w:rsid w:val="008F1167"/>
    <w:rsid w:val="008F1BC7"/>
    <w:rsid w:val="008F2351"/>
    <w:rsid w:val="008F62B0"/>
    <w:rsid w:val="008F6CED"/>
    <w:rsid w:val="008F6E09"/>
    <w:rsid w:val="008F6E9C"/>
    <w:rsid w:val="00900406"/>
    <w:rsid w:val="00906ED3"/>
    <w:rsid w:val="009126CF"/>
    <w:rsid w:val="00916FA8"/>
    <w:rsid w:val="00917712"/>
    <w:rsid w:val="0091790E"/>
    <w:rsid w:val="0092047C"/>
    <w:rsid w:val="009301AA"/>
    <w:rsid w:val="00931EDD"/>
    <w:rsid w:val="00935F42"/>
    <w:rsid w:val="00943FC2"/>
    <w:rsid w:val="00944F3F"/>
    <w:rsid w:val="00945B8B"/>
    <w:rsid w:val="00946182"/>
    <w:rsid w:val="00950F93"/>
    <w:rsid w:val="009512AC"/>
    <w:rsid w:val="00952888"/>
    <w:rsid w:val="0095467F"/>
    <w:rsid w:val="00956EF6"/>
    <w:rsid w:val="0096489E"/>
    <w:rsid w:val="009669F4"/>
    <w:rsid w:val="00967C4C"/>
    <w:rsid w:val="009709FC"/>
    <w:rsid w:val="0097184F"/>
    <w:rsid w:val="009719C4"/>
    <w:rsid w:val="00973BA4"/>
    <w:rsid w:val="009821F5"/>
    <w:rsid w:val="00984292"/>
    <w:rsid w:val="009926E7"/>
    <w:rsid w:val="0099332A"/>
    <w:rsid w:val="009A2029"/>
    <w:rsid w:val="009A4523"/>
    <w:rsid w:val="009A6C06"/>
    <w:rsid w:val="009B2059"/>
    <w:rsid w:val="009B443F"/>
    <w:rsid w:val="009B743E"/>
    <w:rsid w:val="009B7471"/>
    <w:rsid w:val="009C113A"/>
    <w:rsid w:val="009C1AC0"/>
    <w:rsid w:val="009D0D58"/>
    <w:rsid w:val="009D21EE"/>
    <w:rsid w:val="009D3CED"/>
    <w:rsid w:val="009D4683"/>
    <w:rsid w:val="009D711E"/>
    <w:rsid w:val="009E1353"/>
    <w:rsid w:val="009E3128"/>
    <w:rsid w:val="009E4118"/>
    <w:rsid w:val="009F0DCF"/>
    <w:rsid w:val="009F234A"/>
    <w:rsid w:val="009F3CD2"/>
    <w:rsid w:val="009F5BF2"/>
    <w:rsid w:val="009F5D80"/>
    <w:rsid w:val="009F7AB9"/>
    <w:rsid w:val="00A0158D"/>
    <w:rsid w:val="00A0178B"/>
    <w:rsid w:val="00A049B0"/>
    <w:rsid w:val="00A0677C"/>
    <w:rsid w:val="00A0730A"/>
    <w:rsid w:val="00A11820"/>
    <w:rsid w:val="00A12C2E"/>
    <w:rsid w:val="00A130CC"/>
    <w:rsid w:val="00A14966"/>
    <w:rsid w:val="00A17DB7"/>
    <w:rsid w:val="00A20395"/>
    <w:rsid w:val="00A23637"/>
    <w:rsid w:val="00A24EB6"/>
    <w:rsid w:val="00A258EF"/>
    <w:rsid w:val="00A260FA"/>
    <w:rsid w:val="00A31AF3"/>
    <w:rsid w:val="00A321B3"/>
    <w:rsid w:val="00A33F5E"/>
    <w:rsid w:val="00A34D0A"/>
    <w:rsid w:val="00A36F01"/>
    <w:rsid w:val="00A4583B"/>
    <w:rsid w:val="00A4746E"/>
    <w:rsid w:val="00A5235D"/>
    <w:rsid w:val="00A5295E"/>
    <w:rsid w:val="00A5438B"/>
    <w:rsid w:val="00A56185"/>
    <w:rsid w:val="00A56327"/>
    <w:rsid w:val="00A5639F"/>
    <w:rsid w:val="00A571F0"/>
    <w:rsid w:val="00A62D42"/>
    <w:rsid w:val="00A715E6"/>
    <w:rsid w:val="00A71664"/>
    <w:rsid w:val="00A7181A"/>
    <w:rsid w:val="00A719F5"/>
    <w:rsid w:val="00A73C43"/>
    <w:rsid w:val="00A74760"/>
    <w:rsid w:val="00A8114F"/>
    <w:rsid w:val="00A87595"/>
    <w:rsid w:val="00A9007D"/>
    <w:rsid w:val="00A90580"/>
    <w:rsid w:val="00A97418"/>
    <w:rsid w:val="00AA075B"/>
    <w:rsid w:val="00AA4C63"/>
    <w:rsid w:val="00AB1286"/>
    <w:rsid w:val="00AB1F18"/>
    <w:rsid w:val="00AB6B10"/>
    <w:rsid w:val="00AC3865"/>
    <w:rsid w:val="00AC7E90"/>
    <w:rsid w:val="00AD1BEB"/>
    <w:rsid w:val="00AD2BF3"/>
    <w:rsid w:val="00AD37A8"/>
    <w:rsid w:val="00AD5860"/>
    <w:rsid w:val="00AE0503"/>
    <w:rsid w:val="00AE308C"/>
    <w:rsid w:val="00AE3492"/>
    <w:rsid w:val="00AE5B8B"/>
    <w:rsid w:val="00AF0671"/>
    <w:rsid w:val="00AF0B3E"/>
    <w:rsid w:val="00AF6769"/>
    <w:rsid w:val="00AF7195"/>
    <w:rsid w:val="00B01DD4"/>
    <w:rsid w:val="00B0307E"/>
    <w:rsid w:val="00B07209"/>
    <w:rsid w:val="00B13125"/>
    <w:rsid w:val="00B1316C"/>
    <w:rsid w:val="00B16DB4"/>
    <w:rsid w:val="00B205B8"/>
    <w:rsid w:val="00B213CB"/>
    <w:rsid w:val="00B2381C"/>
    <w:rsid w:val="00B24D6D"/>
    <w:rsid w:val="00B268DA"/>
    <w:rsid w:val="00B26EB1"/>
    <w:rsid w:val="00B333E9"/>
    <w:rsid w:val="00B349FF"/>
    <w:rsid w:val="00B35183"/>
    <w:rsid w:val="00B35CBD"/>
    <w:rsid w:val="00B36C3E"/>
    <w:rsid w:val="00B41B74"/>
    <w:rsid w:val="00B42661"/>
    <w:rsid w:val="00B4521F"/>
    <w:rsid w:val="00B45FAE"/>
    <w:rsid w:val="00B46F6C"/>
    <w:rsid w:val="00B50BF3"/>
    <w:rsid w:val="00B51BA9"/>
    <w:rsid w:val="00B52C71"/>
    <w:rsid w:val="00B554B3"/>
    <w:rsid w:val="00B5796D"/>
    <w:rsid w:val="00B62753"/>
    <w:rsid w:val="00B651DC"/>
    <w:rsid w:val="00B70848"/>
    <w:rsid w:val="00B72307"/>
    <w:rsid w:val="00B75689"/>
    <w:rsid w:val="00B75756"/>
    <w:rsid w:val="00B767CC"/>
    <w:rsid w:val="00B811BD"/>
    <w:rsid w:val="00B848D4"/>
    <w:rsid w:val="00B855B9"/>
    <w:rsid w:val="00B86402"/>
    <w:rsid w:val="00B86901"/>
    <w:rsid w:val="00B86A77"/>
    <w:rsid w:val="00B92442"/>
    <w:rsid w:val="00B92A05"/>
    <w:rsid w:val="00B95C84"/>
    <w:rsid w:val="00B96107"/>
    <w:rsid w:val="00B969DF"/>
    <w:rsid w:val="00B96ED9"/>
    <w:rsid w:val="00BA3557"/>
    <w:rsid w:val="00BA4797"/>
    <w:rsid w:val="00BA49E7"/>
    <w:rsid w:val="00BA54DD"/>
    <w:rsid w:val="00BB1249"/>
    <w:rsid w:val="00BB481A"/>
    <w:rsid w:val="00BB501E"/>
    <w:rsid w:val="00BB6AC9"/>
    <w:rsid w:val="00BB7C87"/>
    <w:rsid w:val="00BC02F2"/>
    <w:rsid w:val="00BC2F27"/>
    <w:rsid w:val="00BC33DA"/>
    <w:rsid w:val="00BC3BD1"/>
    <w:rsid w:val="00BC5CC1"/>
    <w:rsid w:val="00BC7F24"/>
    <w:rsid w:val="00BD0FB4"/>
    <w:rsid w:val="00BD28CE"/>
    <w:rsid w:val="00BD2AA4"/>
    <w:rsid w:val="00BD50CD"/>
    <w:rsid w:val="00BD5C72"/>
    <w:rsid w:val="00BD6D79"/>
    <w:rsid w:val="00BD7584"/>
    <w:rsid w:val="00BD7A3F"/>
    <w:rsid w:val="00BE674F"/>
    <w:rsid w:val="00BF73F6"/>
    <w:rsid w:val="00BF7706"/>
    <w:rsid w:val="00C00AB1"/>
    <w:rsid w:val="00C042EB"/>
    <w:rsid w:val="00C0532B"/>
    <w:rsid w:val="00C13390"/>
    <w:rsid w:val="00C146BD"/>
    <w:rsid w:val="00C150BE"/>
    <w:rsid w:val="00C15BF3"/>
    <w:rsid w:val="00C17422"/>
    <w:rsid w:val="00C17ABB"/>
    <w:rsid w:val="00C20281"/>
    <w:rsid w:val="00C22B16"/>
    <w:rsid w:val="00C22B27"/>
    <w:rsid w:val="00C2435C"/>
    <w:rsid w:val="00C24C89"/>
    <w:rsid w:val="00C24FEC"/>
    <w:rsid w:val="00C278C5"/>
    <w:rsid w:val="00C27A55"/>
    <w:rsid w:val="00C306CD"/>
    <w:rsid w:val="00C321C6"/>
    <w:rsid w:val="00C33DA5"/>
    <w:rsid w:val="00C40010"/>
    <w:rsid w:val="00C428DC"/>
    <w:rsid w:val="00C42D26"/>
    <w:rsid w:val="00C43164"/>
    <w:rsid w:val="00C5176C"/>
    <w:rsid w:val="00C519EA"/>
    <w:rsid w:val="00C52882"/>
    <w:rsid w:val="00C52BF0"/>
    <w:rsid w:val="00C53A47"/>
    <w:rsid w:val="00C55761"/>
    <w:rsid w:val="00C62155"/>
    <w:rsid w:val="00C63B4B"/>
    <w:rsid w:val="00C705F1"/>
    <w:rsid w:val="00C70A30"/>
    <w:rsid w:val="00C70E3D"/>
    <w:rsid w:val="00C70E97"/>
    <w:rsid w:val="00C710A5"/>
    <w:rsid w:val="00C72E09"/>
    <w:rsid w:val="00C73C47"/>
    <w:rsid w:val="00C7721D"/>
    <w:rsid w:val="00C83E2C"/>
    <w:rsid w:val="00C86075"/>
    <w:rsid w:val="00C87CD8"/>
    <w:rsid w:val="00C91E91"/>
    <w:rsid w:val="00C92BD0"/>
    <w:rsid w:val="00C932BA"/>
    <w:rsid w:val="00C954D6"/>
    <w:rsid w:val="00C969C3"/>
    <w:rsid w:val="00C97F54"/>
    <w:rsid w:val="00CA12B1"/>
    <w:rsid w:val="00CA1EDC"/>
    <w:rsid w:val="00CA5A2B"/>
    <w:rsid w:val="00CA67F1"/>
    <w:rsid w:val="00CB7229"/>
    <w:rsid w:val="00CB72D2"/>
    <w:rsid w:val="00CC0759"/>
    <w:rsid w:val="00CC1089"/>
    <w:rsid w:val="00CD1368"/>
    <w:rsid w:val="00CD1D04"/>
    <w:rsid w:val="00CD4BF9"/>
    <w:rsid w:val="00CD50FA"/>
    <w:rsid w:val="00CD748A"/>
    <w:rsid w:val="00CE009D"/>
    <w:rsid w:val="00CE26BC"/>
    <w:rsid w:val="00CE7683"/>
    <w:rsid w:val="00CF0AC5"/>
    <w:rsid w:val="00CF7E2D"/>
    <w:rsid w:val="00D0225C"/>
    <w:rsid w:val="00D02E88"/>
    <w:rsid w:val="00D03627"/>
    <w:rsid w:val="00D12081"/>
    <w:rsid w:val="00D1267F"/>
    <w:rsid w:val="00D17B37"/>
    <w:rsid w:val="00D2321E"/>
    <w:rsid w:val="00D25E49"/>
    <w:rsid w:val="00D301C2"/>
    <w:rsid w:val="00D304F0"/>
    <w:rsid w:val="00D31394"/>
    <w:rsid w:val="00D317E0"/>
    <w:rsid w:val="00D31D65"/>
    <w:rsid w:val="00D32A5F"/>
    <w:rsid w:val="00D3512F"/>
    <w:rsid w:val="00D41791"/>
    <w:rsid w:val="00D41F23"/>
    <w:rsid w:val="00D4285A"/>
    <w:rsid w:val="00D43668"/>
    <w:rsid w:val="00D439D7"/>
    <w:rsid w:val="00D44B7A"/>
    <w:rsid w:val="00D45BD5"/>
    <w:rsid w:val="00D46469"/>
    <w:rsid w:val="00D50230"/>
    <w:rsid w:val="00D51118"/>
    <w:rsid w:val="00D540D1"/>
    <w:rsid w:val="00D60FD7"/>
    <w:rsid w:val="00D650C2"/>
    <w:rsid w:val="00D7469B"/>
    <w:rsid w:val="00D751B9"/>
    <w:rsid w:val="00D76442"/>
    <w:rsid w:val="00D81447"/>
    <w:rsid w:val="00D81D44"/>
    <w:rsid w:val="00D829B5"/>
    <w:rsid w:val="00D8580D"/>
    <w:rsid w:val="00D861C6"/>
    <w:rsid w:val="00D86A13"/>
    <w:rsid w:val="00D87EBF"/>
    <w:rsid w:val="00D908FF"/>
    <w:rsid w:val="00D90BAF"/>
    <w:rsid w:val="00D91EEC"/>
    <w:rsid w:val="00D9231E"/>
    <w:rsid w:val="00D93A0F"/>
    <w:rsid w:val="00D949DA"/>
    <w:rsid w:val="00D95F60"/>
    <w:rsid w:val="00D9629B"/>
    <w:rsid w:val="00DA0DB8"/>
    <w:rsid w:val="00DA2A67"/>
    <w:rsid w:val="00DB3744"/>
    <w:rsid w:val="00DB37E1"/>
    <w:rsid w:val="00DB51F4"/>
    <w:rsid w:val="00DB7F12"/>
    <w:rsid w:val="00DC016C"/>
    <w:rsid w:val="00DC1F96"/>
    <w:rsid w:val="00DC2068"/>
    <w:rsid w:val="00DC35CD"/>
    <w:rsid w:val="00DD24D4"/>
    <w:rsid w:val="00DD5354"/>
    <w:rsid w:val="00DD654E"/>
    <w:rsid w:val="00DE2A7F"/>
    <w:rsid w:val="00DF010B"/>
    <w:rsid w:val="00DF1071"/>
    <w:rsid w:val="00DF2799"/>
    <w:rsid w:val="00DF71DA"/>
    <w:rsid w:val="00E00059"/>
    <w:rsid w:val="00E01045"/>
    <w:rsid w:val="00E016E2"/>
    <w:rsid w:val="00E07797"/>
    <w:rsid w:val="00E10160"/>
    <w:rsid w:val="00E11E2D"/>
    <w:rsid w:val="00E14BD3"/>
    <w:rsid w:val="00E224E2"/>
    <w:rsid w:val="00E23779"/>
    <w:rsid w:val="00E24319"/>
    <w:rsid w:val="00E25306"/>
    <w:rsid w:val="00E32CCE"/>
    <w:rsid w:val="00E337D5"/>
    <w:rsid w:val="00E33ADC"/>
    <w:rsid w:val="00E36E99"/>
    <w:rsid w:val="00E37F29"/>
    <w:rsid w:val="00E4072F"/>
    <w:rsid w:val="00E43822"/>
    <w:rsid w:val="00E43D98"/>
    <w:rsid w:val="00E50696"/>
    <w:rsid w:val="00E51F21"/>
    <w:rsid w:val="00E52A2A"/>
    <w:rsid w:val="00E52BF1"/>
    <w:rsid w:val="00E534A7"/>
    <w:rsid w:val="00E56D0E"/>
    <w:rsid w:val="00E56EDC"/>
    <w:rsid w:val="00E621EB"/>
    <w:rsid w:val="00E67D4C"/>
    <w:rsid w:val="00E736B4"/>
    <w:rsid w:val="00E7471A"/>
    <w:rsid w:val="00E7631C"/>
    <w:rsid w:val="00E80B1E"/>
    <w:rsid w:val="00E8233F"/>
    <w:rsid w:val="00E86527"/>
    <w:rsid w:val="00E86AB2"/>
    <w:rsid w:val="00E8711C"/>
    <w:rsid w:val="00E918D3"/>
    <w:rsid w:val="00E920F4"/>
    <w:rsid w:val="00E92418"/>
    <w:rsid w:val="00E92452"/>
    <w:rsid w:val="00E9517D"/>
    <w:rsid w:val="00E951E1"/>
    <w:rsid w:val="00EA7625"/>
    <w:rsid w:val="00EA7EA2"/>
    <w:rsid w:val="00EB256A"/>
    <w:rsid w:val="00EC067D"/>
    <w:rsid w:val="00EC09F7"/>
    <w:rsid w:val="00EC4F87"/>
    <w:rsid w:val="00EC6A31"/>
    <w:rsid w:val="00ED3FB2"/>
    <w:rsid w:val="00ED6FFA"/>
    <w:rsid w:val="00ED726B"/>
    <w:rsid w:val="00EE72FD"/>
    <w:rsid w:val="00EF59CF"/>
    <w:rsid w:val="00EF729C"/>
    <w:rsid w:val="00F00454"/>
    <w:rsid w:val="00F008DF"/>
    <w:rsid w:val="00F01BE6"/>
    <w:rsid w:val="00F1287F"/>
    <w:rsid w:val="00F131EA"/>
    <w:rsid w:val="00F136D0"/>
    <w:rsid w:val="00F1407B"/>
    <w:rsid w:val="00F145F8"/>
    <w:rsid w:val="00F20105"/>
    <w:rsid w:val="00F210A7"/>
    <w:rsid w:val="00F23F54"/>
    <w:rsid w:val="00F27B19"/>
    <w:rsid w:val="00F30A4B"/>
    <w:rsid w:val="00F313BE"/>
    <w:rsid w:val="00F35BDA"/>
    <w:rsid w:val="00F36B20"/>
    <w:rsid w:val="00F448E2"/>
    <w:rsid w:val="00F4661B"/>
    <w:rsid w:val="00F50793"/>
    <w:rsid w:val="00F52C49"/>
    <w:rsid w:val="00F548E9"/>
    <w:rsid w:val="00F56603"/>
    <w:rsid w:val="00F5738A"/>
    <w:rsid w:val="00F57B5F"/>
    <w:rsid w:val="00F6144A"/>
    <w:rsid w:val="00F705D3"/>
    <w:rsid w:val="00F70A5A"/>
    <w:rsid w:val="00F70D87"/>
    <w:rsid w:val="00F73901"/>
    <w:rsid w:val="00F74666"/>
    <w:rsid w:val="00F75794"/>
    <w:rsid w:val="00F77624"/>
    <w:rsid w:val="00F80FFB"/>
    <w:rsid w:val="00F82715"/>
    <w:rsid w:val="00F841C4"/>
    <w:rsid w:val="00F86CC2"/>
    <w:rsid w:val="00F923F6"/>
    <w:rsid w:val="00F94128"/>
    <w:rsid w:val="00F945B9"/>
    <w:rsid w:val="00F94C8A"/>
    <w:rsid w:val="00F97450"/>
    <w:rsid w:val="00FA05BC"/>
    <w:rsid w:val="00FA06E1"/>
    <w:rsid w:val="00FA0B53"/>
    <w:rsid w:val="00FA1324"/>
    <w:rsid w:val="00FA23D9"/>
    <w:rsid w:val="00FA2599"/>
    <w:rsid w:val="00FB0370"/>
    <w:rsid w:val="00FB1604"/>
    <w:rsid w:val="00FB3D43"/>
    <w:rsid w:val="00FB512A"/>
    <w:rsid w:val="00FB709E"/>
    <w:rsid w:val="00FB79F0"/>
    <w:rsid w:val="00FC4499"/>
    <w:rsid w:val="00FC479E"/>
    <w:rsid w:val="00FC6646"/>
    <w:rsid w:val="00FD2B36"/>
    <w:rsid w:val="00FD399F"/>
    <w:rsid w:val="00FD3D1B"/>
    <w:rsid w:val="00FD67B0"/>
    <w:rsid w:val="00FE02F2"/>
    <w:rsid w:val="00FE16C1"/>
    <w:rsid w:val="00FE1762"/>
    <w:rsid w:val="00FE3944"/>
    <w:rsid w:val="00FE46D4"/>
    <w:rsid w:val="00FE4A68"/>
    <w:rsid w:val="00FE579B"/>
    <w:rsid w:val="00FE5AD3"/>
    <w:rsid w:val="00FE74B2"/>
    <w:rsid w:val="00FF1678"/>
    <w:rsid w:val="00FF3D42"/>
    <w:rsid w:val="00FF44C4"/>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29"/>
    <w:rPr>
      <w:sz w:val="24"/>
      <w:szCs w:val="24"/>
    </w:rPr>
  </w:style>
  <w:style w:type="paragraph" w:styleId="Heading1">
    <w:name w:val="heading 1"/>
    <w:basedOn w:val="Normal"/>
    <w:next w:val="Normal"/>
    <w:link w:val="Heading1Char"/>
    <w:qFormat/>
    <w:rsid w:val="00FD3D1B"/>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FD3D1B"/>
    <w:pPr>
      <w:spacing w:before="120" w:after="120"/>
      <w:ind w:left="0"/>
      <w:outlineLvl w:val="1"/>
    </w:pPr>
    <w:rPr>
      <w:rFonts w:ascii="Cambria" w:hAnsi="Cambria"/>
      <w:b/>
      <w:i/>
    </w:rPr>
  </w:style>
  <w:style w:type="paragraph" w:styleId="Heading3">
    <w:name w:val="heading 3"/>
    <w:basedOn w:val="Normal"/>
    <w:next w:val="Normal"/>
    <w:link w:val="Heading3Char"/>
    <w:qFormat/>
    <w:rsid w:val="00FD3D1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D1B"/>
    <w:rPr>
      <w:rFonts w:ascii="Cambria" w:hAnsi="Cambria"/>
      <w:b/>
      <w:bCs/>
      <w:kern w:val="32"/>
      <w:sz w:val="36"/>
      <w:szCs w:val="36"/>
    </w:rPr>
  </w:style>
  <w:style w:type="character" w:customStyle="1" w:styleId="Heading2Char">
    <w:name w:val="Heading 2 Char"/>
    <w:basedOn w:val="DefaultParagraphFont"/>
    <w:link w:val="Heading2"/>
    <w:rsid w:val="00FD3D1B"/>
    <w:rPr>
      <w:rFonts w:ascii="Cambria" w:hAnsi="Cambria"/>
      <w:b/>
      <w:i/>
      <w:sz w:val="24"/>
      <w:szCs w:val="24"/>
    </w:rPr>
  </w:style>
  <w:style w:type="paragraph" w:styleId="ListParagraph">
    <w:name w:val="List Paragraph"/>
    <w:basedOn w:val="Normal"/>
    <w:link w:val="ListParagraphChar"/>
    <w:qFormat/>
    <w:rsid w:val="00FD3D1B"/>
    <w:pPr>
      <w:spacing w:after="200" w:line="276" w:lineRule="auto"/>
      <w:ind w:left="720"/>
      <w:contextualSpacing/>
    </w:pPr>
    <w:rPr>
      <w:sz w:val="22"/>
      <w:szCs w:val="22"/>
    </w:rPr>
  </w:style>
  <w:style w:type="character" w:customStyle="1" w:styleId="Heading3Char">
    <w:name w:val="Heading 3 Char"/>
    <w:basedOn w:val="DefaultParagraphFont"/>
    <w:link w:val="Heading3"/>
    <w:rsid w:val="00FD3D1B"/>
    <w:rPr>
      <w:rFonts w:ascii="Cambria" w:eastAsia="Times New Roman" w:hAnsi="Cambria" w:cs="Times New Roman"/>
      <w:b/>
      <w:bCs/>
      <w:sz w:val="26"/>
      <w:szCs w:val="26"/>
    </w:rPr>
  </w:style>
  <w:style w:type="paragraph" w:styleId="Title">
    <w:name w:val="Title"/>
    <w:basedOn w:val="Normal"/>
    <w:next w:val="Normal"/>
    <w:link w:val="TitleChar"/>
    <w:qFormat/>
    <w:rsid w:val="00FD3D1B"/>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FD3D1B"/>
    <w:rPr>
      <w:rFonts w:ascii="Cambria" w:hAnsi="Cambria"/>
      <w:b/>
      <w:bCs/>
      <w:kern w:val="28"/>
      <w:sz w:val="32"/>
      <w:szCs w:val="32"/>
      <w:lang w:val="en-US" w:eastAsia="en-US" w:bidi="ar-SA"/>
    </w:rPr>
  </w:style>
  <w:style w:type="character" w:customStyle="1" w:styleId="ListParagraphChar">
    <w:name w:val="List Paragraph Char"/>
    <w:basedOn w:val="DefaultParagraphFont"/>
    <w:link w:val="ListParagraph"/>
    <w:rsid w:val="00FD3D1B"/>
    <w:rPr>
      <w:rFonts w:ascii="Calibri" w:hAnsi="Calibri"/>
      <w:sz w:val="22"/>
      <w:szCs w:val="22"/>
    </w:rPr>
  </w:style>
  <w:style w:type="paragraph" w:customStyle="1" w:styleId="ListBullet1">
    <w:name w:val="List Bullet 1"/>
    <w:basedOn w:val="Normal"/>
    <w:link w:val="ListBullet1Char"/>
    <w:qFormat/>
    <w:rsid w:val="00FD3D1B"/>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FD3D1B"/>
    <w:rPr>
      <w:bCs/>
      <w:kern w:val="32"/>
      <w:sz w:val="22"/>
      <w:szCs w:val="22"/>
    </w:rPr>
  </w:style>
  <w:style w:type="paragraph" w:styleId="ListBullet">
    <w:name w:val="List Bullet"/>
    <w:basedOn w:val="Normal"/>
    <w:rsid w:val="008E1537"/>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2B4120"/>
    <w:rPr>
      <w:sz w:val="16"/>
      <w:szCs w:val="16"/>
    </w:rPr>
  </w:style>
  <w:style w:type="paragraph" w:styleId="CommentText">
    <w:name w:val="annotation text"/>
    <w:basedOn w:val="Normal"/>
    <w:link w:val="CommentTextChar"/>
    <w:uiPriority w:val="99"/>
    <w:semiHidden/>
    <w:unhideWhenUsed/>
    <w:rsid w:val="002B4120"/>
    <w:rPr>
      <w:sz w:val="20"/>
      <w:szCs w:val="20"/>
    </w:rPr>
  </w:style>
  <w:style w:type="character" w:customStyle="1" w:styleId="CommentTextChar">
    <w:name w:val="Comment Text Char"/>
    <w:basedOn w:val="DefaultParagraphFont"/>
    <w:link w:val="CommentText"/>
    <w:uiPriority w:val="99"/>
    <w:semiHidden/>
    <w:rsid w:val="002B4120"/>
  </w:style>
  <w:style w:type="paragraph" w:styleId="CommentSubject">
    <w:name w:val="annotation subject"/>
    <w:basedOn w:val="CommentText"/>
    <w:next w:val="CommentText"/>
    <w:link w:val="CommentSubjectChar"/>
    <w:uiPriority w:val="99"/>
    <w:semiHidden/>
    <w:unhideWhenUsed/>
    <w:rsid w:val="002B4120"/>
    <w:rPr>
      <w:b/>
      <w:bCs/>
    </w:rPr>
  </w:style>
  <w:style w:type="character" w:customStyle="1" w:styleId="CommentSubjectChar">
    <w:name w:val="Comment Subject Char"/>
    <w:basedOn w:val="CommentTextChar"/>
    <w:link w:val="CommentSubject"/>
    <w:uiPriority w:val="99"/>
    <w:semiHidden/>
    <w:rsid w:val="002B4120"/>
    <w:rPr>
      <w:b/>
      <w:bCs/>
    </w:rPr>
  </w:style>
  <w:style w:type="paragraph" w:styleId="BalloonText">
    <w:name w:val="Balloon Text"/>
    <w:basedOn w:val="Normal"/>
    <w:link w:val="BalloonTextChar"/>
    <w:uiPriority w:val="99"/>
    <w:semiHidden/>
    <w:unhideWhenUsed/>
    <w:rsid w:val="002B4120"/>
    <w:rPr>
      <w:rFonts w:ascii="Tahoma" w:hAnsi="Tahoma" w:cs="Tahoma"/>
      <w:sz w:val="16"/>
      <w:szCs w:val="16"/>
    </w:rPr>
  </w:style>
  <w:style w:type="character" w:customStyle="1" w:styleId="BalloonTextChar">
    <w:name w:val="Balloon Text Char"/>
    <w:basedOn w:val="DefaultParagraphFont"/>
    <w:link w:val="BalloonText"/>
    <w:uiPriority w:val="99"/>
    <w:semiHidden/>
    <w:rsid w:val="002B4120"/>
    <w:rPr>
      <w:rFonts w:ascii="Tahoma" w:hAnsi="Tahoma" w:cs="Tahoma"/>
      <w:sz w:val="16"/>
      <w:szCs w:val="16"/>
    </w:rPr>
  </w:style>
  <w:style w:type="paragraph" w:styleId="Header">
    <w:name w:val="header"/>
    <w:basedOn w:val="Normal"/>
    <w:link w:val="HeaderChar"/>
    <w:uiPriority w:val="99"/>
    <w:unhideWhenUsed/>
    <w:rsid w:val="009E4118"/>
    <w:pPr>
      <w:tabs>
        <w:tab w:val="center" w:pos="4680"/>
        <w:tab w:val="right" w:pos="9360"/>
      </w:tabs>
    </w:pPr>
  </w:style>
  <w:style w:type="character" w:customStyle="1" w:styleId="HeaderChar">
    <w:name w:val="Header Char"/>
    <w:basedOn w:val="DefaultParagraphFont"/>
    <w:link w:val="Header"/>
    <w:uiPriority w:val="99"/>
    <w:rsid w:val="009E4118"/>
    <w:rPr>
      <w:sz w:val="24"/>
      <w:szCs w:val="24"/>
    </w:rPr>
  </w:style>
  <w:style w:type="paragraph" w:styleId="Footer">
    <w:name w:val="footer"/>
    <w:basedOn w:val="Normal"/>
    <w:link w:val="FooterChar"/>
    <w:uiPriority w:val="99"/>
    <w:unhideWhenUsed/>
    <w:rsid w:val="009E4118"/>
    <w:pPr>
      <w:tabs>
        <w:tab w:val="center" w:pos="4680"/>
        <w:tab w:val="right" w:pos="9360"/>
      </w:tabs>
    </w:pPr>
  </w:style>
  <w:style w:type="character" w:customStyle="1" w:styleId="FooterChar">
    <w:name w:val="Footer Char"/>
    <w:basedOn w:val="DefaultParagraphFont"/>
    <w:link w:val="Footer"/>
    <w:uiPriority w:val="99"/>
    <w:rsid w:val="009E4118"/>
    <w:rPr>
      <w:sz w:val="24"/>
      <w:szCs w:val="24"/>
    </w:rPr>
  </w:style>
  <w:style w:type="paragraph" w:styleId="BodyText">
    <w:name w:val="Body Text"/>
    <w:basedOn w:val="Normal"/>
    <w:link w:val="BodyTextChar"/>
    <w:rsid w:val="00744ED9"/>
    <w:pPr>
      <w:keepNext/>
      <w:keepLines/>
    </w:pPr>
    <w:rPr>
      <w:sz w:val="22"/>
      <w:szCs w:val="22"/>
    </w:rPr>
  </w:style>
  <w:style w:type="character" w:customStyle="1" w:styleId="BodyTextChar">
    <w:name w:val="Body Text Char"/>
    <w:basedOn w:val="DefaultParagraphFont"/>
    <w:link w:val="BodyText"/>
    <w:rsid w:val="00744ED9"/>
    <w:rPr>
      <w:sz w:val="22"/>
      <w:szCs w:val="22"/>
    </w:rPr>
  </w:style>
  <w:style w:type="table" w:styleId="TableGrid">
    <w:name w:val="Table Grid"/>
    <w:basedOn w:val="TableNormal"/>
    <w:uiPriority w:val="59"/>
    <w:rsid w:val="00C150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nhideWhenUsed/>
    <w:rsid w:val="00C150BE"/>
    <w:rPr>
      <w:color w:val="0000FF"/>
      <w:u w:val="single"/>
    </w:rPr>
  </w:style>
  <w:style w:type="paragraph" w:styleId="FootnoteText">
    <w:name w:val="footnote text"/>
    <w:basedOn w:val="Normal"/>
    <w:link w:val="FootnoteTextChar"/>
    <w:uiPriority w:val="99"/>
    <w:semiHidden/>
    <w:unhideWhenUsed/>
    <w:rsid w:val="00F30A4B"/>
    <w:rPr>
      <w:sz w:val="20"/>
      <w:szCs w:val="20"/>
    </w:rPr>
  </w:style>
  <w:style w:type="character" w:customStyle="1" w:styleId="FootnoteTextChar">
    <w:name w:val="Footnote Text Char"/>
    <w:basedOn w:val="DefaultParagraphFont"/>
    <w:link w:val="FootnoteText"/>
    <w:uiPriority w:val="99"/>
    <w:semiHidden/>
    <w:rsid w:val="00F30A4B"/>
  </w:style>
  <w:style w:type="character" w:styleId="FootnoteReference">
    <w:name w:val="footnote reference"/>
    <w:basedOn w:val="DefaultParagraphFont"/>
    <w:uiPriority w:val="99"/>
    <w:unhideWhenUsed/>
    <w:rsid w:val="00F30A4B"/>
    <w:rPr>
      <w:vertAlign w:val="superscript"/>
    </w:rPr>
  </w:style>
  <w:style w:type="paragraph" w:styleId="BodyText2">
    <w:name w:val="Body Text 2"/>
    <w:basedOn w:val="Normal"/>
    <w:link w:val="BodyText2Char"/>
    <w:uiPriority w:val="99"/>
    <w:semiHidden/>
    <w:unhideWhenUsed/>
    <w:rsid w:val="00F80FFB"/>
    <w:pPr>
      <w:spacing w:after="120" w:line="480" w:lineRule="auto"/>
    </w:pPr>
  </w:style>
  <w:style w:type="character" w:customStyle="1" w:styleId="BodyText2Char">
    <w:name w:val="Body Text 2 Char"/>
    <w:basedOn w:val="DefaultParagraphFont"/>
    <w:link w:val="BodyText2"/>
    <w:uiPriority w:val="99"/>
    <w:semiHidden/>
    <w:rsid w:val="00F80FFB"/>
    <w:rPr>
      <w:sz w:val="24"/>
      <w:szCs w:val="24"/>
    </w:rPr>
  </w:style>
  <w:style w:type="paragraph" w:styleId="BodyTextIndent">
    <w:name w:val="Body Text Indent"/>
    <w:basedOn w:val="Normal"/>
    <w:link w:val="BodyTextIndentChar"/>
    <w:uiPriority w:val="99"/>
    <w:semiHidden/>
    <w:unhideWhenUsed/>
    <w:rsid w:val="00F80FFB"/>
    <w:pPr>
      <w:spacing w:after="120"/>
      <w:ind w:left="360"/>
    </w:pPr>
  </w:style>
  <w:style w:type="character" w:customStyle="1" w:styleId="BodyTextIndentChar">
    <w:name w:val="Body Text Indent Char"/>
    <w:basedOn w:val="DefaultParagraphFont"/>
    <w:link w:val="BodyTextIndent"/>
    <w:uiPriority w:val="99"/>
    <w:semiHidden/>
    <w:rsid w:val="00F80FFB"/>
    <w:rPr>
      <w:sz w:val="24"/>
      <w:szCs w:val="24"/>
    </w:rPr>
  </w:style>
  <w:style w:type="character" w:styleId="Strong">
    <w:name w:val="Strong"/>
    <w:basedOn w:val="DefaultParagraphFont"/>
    <w:uiPriority w:val="99"/>
    <w:qFormat/>
    <w:rsid w:val="00F80FFB"/>
    <w:rPr>
      <w:rFonts w:ascii="Times New Roman" w:hAnsi="Times New Roman" w:cs="Times New Roman" w:hint="default"/>
      <w:b/>
      <w:bCs/>
      <w:sz w:val="24"/>
      <w:u w:val="single"/>
    </w:rPr>
  </w:style>
  <w:style w:type="paragraph" w:customStyle="1" w:styleId="Default">
    <w:name w:val="Default"/>
    <w:rsid w:val="00F80FFB"/>
    <w:pPr>
      <w:autoSpaceDE w:val="0"/>
      <w:autoSpaceDN w:val="0"/>
      <w:adjustRightInd w:val="0"/>
    </w:pPr>
    <w:rPr>
      <w:rFonts w:eastAsia="Calibri"/>
      <w:color w:val="000000"/>
      <w:sz w:val="24"/>
      <w:szCs w:val="24"/>
    </w:rPr>
  </w:style>
  <w:style w:type="paragraph" w:styleId="EndnoteText">
    <w:name w:val="endnote text"/>
    <w:basedOn w:val="Normal"/>
    <w:link w:val="EndnoteTextChar"/>
    <w:uiPriority w:val="99"/>
    <w:semiHidden/>
    <w:unhideWhenUsed/>
    <w:rsid w:val="000653A2"/>
    <w:rPr>
      <w:sz w:val="20"/>
      <w:szCs w:val="20"/>
    </w:rPr>
  </w:style>
  <w:style w:type="character" w:customStyle="1" w:styleId="EndnoteTextChar">
    <w:name w:val="Endnote Text Char"/>
    <w:basedOn w:val="DefaultParagraphFont"/>
    <w:link w:val="EndnoteText"/>
    <w:uiPriority w:val="99"/>
    <w:semiHidden/>
    <w:rsid w:val="000653A2"/>
  </w:style>
  <w:style w:type="character" w:styleId="EndnoteReference">
    <w:name w:val="endnote reference"/>
    <w:basedOn w:val="DefaultParagraphFont"/>
    <w:uiPriority w:val="99"/>
    <w:semiHidden/>
    <w:unhideWhenUsed/>
    <w:rsid w:val="000653A2"/>
    <w:rPr>
      <w:vertAlign w:val="superscript"/>
    </w:rPr>
  </w:style>
  <w:style w:type="character" w:styleId="FollowedHyperlink">
    <w:name w:val="FollowedHyperlink"/>
    <w:basedOn w:val="DefaultParagraphFont"/>
    <w:uiPriority w:val="99"/>
    <w:semiHidden/>
    <w:unhideWhenUsed/>
    <w:rsid w:val="00F210A7"/>
    <w:rPr>
      <w:color w:val="800080"/>
      <w:u w:val="single"/>
    </w:rPr>
  </w:style>
  <w:style w:type="paragraph" w:styleId="Revision">
    <w:name w:val="Revision"/>
    <w:hidden/>
    <w:uiPriority w:val="99"/>
    <w:semiHidden/>
    <w:rsid w:val="00B50BF3"/>
    <w:rPr>
      <w:sz w:val="24"/>
      <w:szCs w:val="24"/>
    </w:rPr>
  </w:style>
  <w:style w:type="paragraph" w:customStyle="1" w:styleId="CM9">
    <w:name w:val="CM9"/>
    <w:basedOn w:val="Normal"/>
    <w:next w:val="Normal"/>
    <w:uiPriority w:val="99"/>
    <w:rsid w:val="008E0DB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C00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547ACA"/>
    <w:pPr>
      <w:spacing w:before="100" w:beforeAutospacing="1" w:after="100" w:afterAutospacing="1"/>
    </w:pPr>
  </w:style>
  <w:style w:type="paragraph" w:styleId="NoSpacing">
    <w:name w:val="No Spacing"/>
    <w:uiPriority w:val="1"/>
    <w:qFormat/>
    <w:rsid w:val="00BB7C87"/>
    <w:rPr>
      <w:rFonts w:ascii="Calibri" w:eastAsia="Calibri" w:hAnsi="Calibri"/>
      <w:sz w:val="22"/>
      <w:szCs w:val="22"/>
    </w:rPr>
  </w:style>
  <w:style w:type="paragraph" w:customStyle="1" w:styleId="BodyText0">
    <w:name w:val="Body Text***"/>
    <w:basedOn w:val="Normal"/>
    <w:link w:val="BodyTextChar0"/>
    <w:rsid w:val="00C278C5"/>
    <w:pPr>
      <w:spacing w:after="240"/>
      <w:jc w:val="both"/>
    </w:pPr>
    <w:rPr>
      <w:sz w:val="22"/>
    </w:rPr>
  </w:style>
  <w:style w:type="character" w:customStyle="1" w:styleId="BodyTextChar0">
    <w:name w:val="Body Text*** Char"/>
    <w:basedOn w:val="DefaultParagraphFont"/>
    <w:link w:val="BodyText0"/>
    <w:rsid w:val="00C278C5"/>
    <w:rPr>
      <w:sz w:val="22"/>
      <w:szCs w:val="24"/>
    </w:rPr>
  </w:style>
  <w:style w:type="paragraph" w:styleId="BlockText">
    <w:name w:val="Block Text"/>
    <w:basedOn w:val="Normal"/>
    <w:rsid w:val="00C278C5"/>
    <w:pPr>
      <w:ind w:left="-288" w:right="-288"/>
      <w:jc w:val="both"/>
    </w:pPr>
    <w:rPr>
      <w:sz w:val="22"/>
      <w:szCs w:val="20"/>
    </w:rPr>
  </w:style>
  <w:style w:type="character" w:customStyle="1" w:styleId="ff-addressfont">
    <w:name w:val="ff-address_font"/>
    <w:basedOn w:val="DefaultParagraphFont"/>
    <w:rsid w:val="008B3475"/>
  </w:style>
  <w:style w:type="paragraph" w:customStyle="1" w:styleId="text">
    <w:name w:val="text"/>
    <w:basedOn w:val="Normal"/>
    <w:rsid w:val="00363C38"/>
    <w:pPr>
      <w:spacing w:before="100" w:beforeAutospacing="1" w:after="100" w:afterAutospacing="1"/>
    </w:pPr>
    <w:rPr>
      <w:rFonts w:ascii="Verdana" w:hAnsi="Verdana"/>
      <w:color w:val="000000"/>
      <w:sz w:val="20"/>
      <w:szCs w:val="20"/>
    </w:rPr>
  </w:style>
  <w:style w:type="paragraph" w:styleId="TOC1">
    <w:name w:val="toc 1"/>
    <w:basedOn w:val="Normal"/>
    <w:next w:val="Normal"/>
    <w:autoRedefine/>
    <w:semiHidden/>
    <w:rsid w:val="00AE5B8B"/>
  </w:style>
  <w:style w:type="paragraph" w:styleId="TOC2">
    <w:name w:val="toc 2"/>
    <w:basedOn w:val="Normal"/>
    <w:next w:val="Normal"/>
    <w:autoRedefine/>
    <w:semiHidden/>
    <w:rsid w:val="00AE5B8B"/>
    <w:pPr>
      <w:ind w:left="240"/>
    </w:pPr>
  </w:style>
  <w:style w:type="paragraph" w:customStyle="1" w:styleId="PTableHeading">
    <w:name w:val="P.Table Heading"/>
    <w:uiPriority w:val="99"/>
    <w:rsid w:val="00024B3A"/>
    <w:pPr>
      <w:jc w:val="center"/>
    </w:pPr>
    <w:rPr>
      <w:rFonts w:ascii="Arial" w:hAnsi="Arial" w:cs="Arial"/>
      <w:b/>
      <w:bCs/>
      <w:color w:val="FFFFFF"/>
    </w:rPr>
  </w:style>
  <w:style w:type="paragraph" w:customStyle="1" w:styleId="PTableText">
    <w:name w:val="P.Table Text"/>
    <w:uiPriority w:val="99"/>
    <w:rsid w:val="00024B3A"/>
    <w:pPr>
      <w:spacing w:after="40"/>
    </w:pPr>
    <w:rPr>
      <w:rFonts w:ascii="Arial" w:hAnsi="Arial" w:cs="Arial"/>
      <w:sz w:val="16"/>
    </w:rPr>
  </w:style>
  <w:style w:type="paragraph" w:customStyle="1" w:styleId="PBodyText">
    <w:name w:val="P.Body Text"/>
    <w:qFormat/>
    <w:rsid w:val="00024B3A"/>
    <w:pPr>
      <w:spacing w:after="120"/>
    </w:pPr>
    <w:rPr>
      <w:rFonts w:cs="Times"/>
      <w:noProof/>
      <w:sz w:val="24"/>
      <w:szCs w:val="24"/>
    </w:rPr>
  </w:style>
  <w:style w:type="paragraph" w:styleId="DocumentMap">
    <w:name w:val="Document Map"/>
    <w:basedOn w:val="Normal"/>
    <w:link w:val="DocumentMapChar"/>
    <w:uiPriority w:val="99"/>
    <w:semiHidden/>
    <w:unhideWhenUsed/>
    <w:rsid w:val="00A5235D"/>
    <w:rPr>
      <w:rFonts w:ascii="Tahoma" w:hAnsi="Tahoma" w:cs="Tahoma"/>
      <w:sz w:val="16"/>
      <w:szCs w:val="16"/>
    </w:rPr>
  </w:style>
  <w:style w:type="character" w:customStyle="1" w:styleId="DocumentMapChar">
    <w:name w:val="Document Map Char"/>
    <w:basedOn w:val="DefaultParagraphFont"/>
    <w:link w:val="DocumentMap"/>
    <w:uiPriority w:val="99"/>
    <w:semiHidden/>
    <w:rsid w:val="00A5235D"/>
    <w:rPr>
      <w:rFonts w:ascii="Tahoma" w:hAnsi="Tahoma" w:cs="Tahoma"/>
      <w:sz w:val="16"/>
      <w:szCs w:val="16"/>
    </w:rPr>
  </w:style>
  <w:style w:type="paragraph" w:customStyle="1" w:styleId="ResPublications">
    <w:name w:val="Res Publications"/>
    <w:link w:val="ResPublicationsChar"/>
    <w:rsid w:val="003474AB"/>
    <w:pPr>
      <w:spacing w:after="240"/>
      <w:ind w:left="720" w:hanging="720"/>
    </w:pPr>
    <w:rPr>
      <w:sz w:val="24"/>
    </w:rPr>
  </w:style>
  <w:style w:type="character" w:customStyle="1" w:styleId="ResPublicationsChar">
    <w:name w:val="Res Publications Char"/>
    <w:basedOn w:val="DefaultParagraphFont"/>
    <w:link w:val="ResPublications"/>
    <w:rsid w:val="003474A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29"/>
    <w:rPr>
      <w:sz w:val="24"/>
      <w:szCs w:val="24"/>
    </w:rPr>
  </w:style>
  <w:style w:type="paragraph" w:styleId="Heading1">
    <w:name w:val="heading 1"/>
    <w:basedOn w:val="Normal"/>
    <w:next w:val="Normal"/>
    <w:link w:val="Heading1Char"/>
    <w:qFormat/>
    <w:rsid w:val="00FD3D1B"/>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FD3D1B"/>
    <w:pPr>
      <w:spacing w:before="120" w:after="120"/>
      <w:ind w:left="0"/>
      <w:outlineLvl w:val="1"/>
    </w:pPr>
    <w:rPr>
      <w:rFonts w:ascii="Cambria" w:hAnsi="Cambria"/>
      <w:b/>
      <w:i/>
    </w:rPr>
  </w:style>
  <w:style w:type="paragraph" w:styleId="Heading3">
    <w:name w:val="heading 3"/>
    <w:basedOn w:val="Normal"/>
    <w:next w:val="Normal"/>
    <w:link w:val="Heading3Char"/>
    <w:qFormat/>
    <w:rsid w:val="00FD3D1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D1B"/>
    <w:rPr>
      <w:rFonts w:ascii="Cambria" w:hAnsi="Cambria"/>
      <w:b/>
      <w:bCs/>
      <w:kern w:val="32"/>
      <w:sz w:val="36"/>
      <w:szCs w:val="36"/>
    </w:rPr>
  </w:style>
  <w:style w:type="character" w:customStyle="1" w:styleId="Heading2Char">
    <w:name w:val="Heading 2 Char"/>
    <w:basedOn w:val="DefaultParagraphFont"/>
    <w:link w:val="Heading2"/>
    <w:rsid w:val="00FD3D1B"/>
    <w:rPr>
      <w:rFonts w:ascii="Cambria" w:hAnsi="Cambria"/>
      <w:b/>
      <w:i/>
      <w:sz w:val="24"/>
      <w:szCs w:val="24"/>
    </w:rPr>
  </w:style>
  <w:style w:type="paragraph" w:styleId="ListParagraph">
    <w:name w:val="List Paragraph"/>
    <w:basedOn w:val="Normal"/>
    <w:link w:val="ListParagraphChar"/>
    <w:qFormat/>
    <w:rsid w:val="00FD3D1B"/>
    <w:pPr>
      <w:spacing w:after="200" w:line="276" w:lineRule="auto"/>
      <w:ind w:left="720"/>
      <w:contextualSpacing/>
    </w:pPr>
    <w:rPr>
      <w:sz w:val="22"/>
      <w:szCs w:val="22"/>
    </w:rPr>
  </w:style>
  <w:style w:type="character" w:customStyle="1" w:styleId="Heading3Char">
    <w:name w:val="Heading 3 Char"/>
    <w:basedOn w:val="DefaultParagraphFont"/>
    <w:link w:val="Heading3"/>
    <w:rsid w:val="00FD3D1B"/>
    <w:rPr>
      <w:rFonts w:ascii="Cambria" w:eastAsia="Times New Roman" w:hAnsi="Cambria" w:cs="Times New Roman"/>
      <w:b/>
      <w:bCs/>
      <w:sz w:val="26"/>
      <w:szCs w:val="26"/>
    </w:rPr>
  </w:style>
  <w:style w:type="paragraph" w:styleId="Title">
    <w:name w:val="Title"/>
    <w:basedOn w:val="Normal"/>
    <w:next w:val="Normal"/>
    <w:link w:val="TitleChar"/>
    <w:qFormat/>
    <w:rsid w:val="00FD3D1B"/>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FD3D1B"/>
    <w:rPr>
      <w:rFonts w:ascii="Cambria" w:hAnsi="Cambria"/>
      <w:b/>
      <w:bCs/>
      <w:kern w:val="28"/>
      <w:sz w:val="32"/>
      <w:szCs w:val="32"/>
      <w:lang w:val="en-US" w:eastAsia="en-US" w:bidi="ar-SA"/>
    </w:rPr>
  </w:style>
  <w:style w:type="character" w:customStyle="1" w:styleId="ListParagraphChar">
    <w:name w:val="List Paragraph Char"/>
    <w:basedOn w:val="DefaultParagraphFont"/>
    <w:link w:val="ListParagraph"/>
    <w:rsid w:val="00FD3D1B"/>
    <w:rPr>
      <w:rFonts w:ascii="Calibri" w:hAnsi="Calibri"/>
      <w:sz w:val="22"/>
      <w:szCs w:val="22"/>
    </w:rPr>
  </w:style>
  <w:style w:type="paragraph" w:customStyle="1" w:styleId="ListBullet1">
    <w:name w:val="List Bullet 1"/>
    <w:basedOn w:val="Normal"/>
    <w:link w:val="ListBullet1Char"/>
    <w:qFormat/>
    <w:rsid w:val="00FD3D1B"/>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FD3D1B"/>
    <w:rPr>
      <w:bCs/>
      <w:kern w:val="32"/>
      <w:sz w:val="22"/>
      <w:szCs w:val="22"/>
    </w:rPr>
  </w:style>
  <w:style w:type="paragraph" w:styleId="ListBullet">
    <w:name w:val="List Bullet"/>
    <w:basedOn w:val="Normal"/>
    <w:rsid w:val="008E1537"/>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2B4120"/>
    <w:rPr>
      <w:sz w:val="16"/>
      <w:szCs w:val="16"/>
    </w:rPr>
  </w:style>
  <w:style w:type="paragraph" w:styleId="CommentText">
    <w:name w:val="annotation text"/>
    <w:basedOn w:val="Normal"/>
    <w:link w:val="CommentTextChar"/>
    <w:uiPriority w:val="99"/>
    <w:semiHidden/>
    <w:unhideWhenUsed/>
    <w:rsid w:val="002B4120"/>
    <w:rPr>
      <w:sz w:val="20"/>
      <w:szCs w:val="20"/>
    </w:rPr>
  </w:style>
  <w:style w:type="character" w:customStyle="1" w:styleId="CommentTextChar">
    <w:name w:val="Comment Text Char"/>
    <w:basedOn w:val="DefaultParagraphFont"/>
    <w:link w:val="CommentText"/>
    <w:uiPriority w:val="99"/>
    <w:semiHidden/>
    <w:rsid w:val="002B4120"/>
  </w:style>
  <w:style w:type="paragraph" w:styleId="CommentSubject">
    <w:name w:val="annotation subject"/>
    <w:basedOn w:val="CommentText"/>
    <w:next w:val="CommentText"/>
    <w:link w:val="CommentSubjectChar"/>
    <w:uiPriority w:val="99"/>
    <w:semiHidden/>
    <w:unhideWhenUsed/>
    <w:rsid w:val="002B4120"/>
    <w:rPr>
      <w:b/>
      <w:bCs/>
    </w:rPr>
  </w:style>
  <w:style w:type="character" w:customStyle="1" w:styleId="CommentSubjectChar">
    <w:name w:val="Comment Subject Char"/>
    <w:basedOn w:val="CommentTextChar"/>
    <w:link w:val="CommentSubject"/>
    <w:uiPriority w:val="99"/>
    <w:semiHidden/>
    <w:rsid w:val="002B4120"/>
    <w:rPr>
      <w:b/>
      <w:bCs/>
    </w:rPr>
  </w:style>
  <w:style w:type="paragraph" w:styleId="BalloonText">
    <w:name w:val="Balloon Text"/>
    <w:basedOn w:val="Normal"/>
    <w:link w:val="BalloonTextChar"/>
    <w:uiPriority w:val="99"/>
    <w:semiHidden/>
    <w:unhideWhenUsed/>
    <w:rsid w:val="002B4120"/>
    <w:rPr>
      <w:rFonts w:ascii="Tahoma" w:hAnsi="Tahoma" w:cs="Tahoma"/>
      <w:sz w:val="16"/>
      <w:szCs w:val="16"/>
    </w:rPr>
  </w:style>
  <w:style w:type="character" w:customStyle="1" w:styleId="BalloonTextChar">
    <w:name w:val="Balloon Text Char"/>
    <w:basedOn w:val="DefaultParagraphFont"/>
    <w:link w:val="BalloonText"/>
    <w:uiPriority w:val="99"/>
    <w:semiHidden/>
    <w:rsid w:val="002B4120"/>
    <w:rPr>
      <w:rFonts w:ascii="Tahoma" w:hAnsi="Tahoma" w:cs="Tahoma"/>
      <w:sz w:val="16"/>
      <w:szCs w:val="16"/>
    </w:rPr>
  </w:style>
  <w:style w:type="paragraph" w:styleId="Header">
    <w:name w:val="header"/>
    <w:basedOn w:val="Normal"/>
    <w:link w:val="HeaderChar"/>
    <w:uiPriority w:val="99"/>
    <w:unhideWhenUsed/>
    <w:rsid w:val="009E4118"/>
    <w:pPr>
      <w:tabs>
        <w:tab w:val="center" w:pos="4680"/>
        <w:tab w:val="right" w:pos="9360"/>
      </w:tabs>
    </w:pPr>
  </w:style>
  <w:style w:type="character" w:customStyle="1" w:styleId="HeaderChar">
    <w:name w:val="Header Char"/>
    <w:basedOn w:val="DefaultParagraphFont"/>
    <w:link w:val="Header"/>
    <w:uiPriority w:val="99"/>
    <w:rsid w:val="009E4118"/>
    <w:rPr>
      <w:sz w:val="24"/>
      <w:szCs w:val="24"/>
    </w:rPr>
  </w:style>
  <w:style w:type="paragraph" w:styleId="Footer">
    <w:name w:val="footer"/>
    <w:basedOn w:val="Normal"/>
    <w:link w:val="FooterChar"/>
    <w:uiPriority w:val="99"/>
    <w:unhideWhenUsed/>
    <w:rsid w:val="009E4118"/>
    <w:pPr>
      <w:tabs>
        <w:tab w:val="center" w:pos="4680"/>
        <w:tab w:val="right" w:pos="9360"/>
      </w:tabs>
    </w:pPr>
  </w:style>
  <w:style w:type="character" w:customStyle="1" w:styleId="FooterChar">
    <w:name w:val="Footer Char"/>
    <w:basedOn w:val="DefaultParagraphFont"/>
    <w:link w:val="Footer"/>
    <w:uiPriority w:val="99"/>
    <w:rsid w:val="009E4118"/>
    <w:rPr>
      <w:sz w:val="24"/>
      <w:szCs w:val="24"/>
    </w:rPr>
  </w:style>
  <w:style w:type="paragraph" w:styleId="BodyText">
    <w:name w:val="Body Text"/>
    <w:basedOn w:val="Normal"/>
    <w:link w:val="BodyTextChar"/>
    <w:rsid w:val="00744ED9"/>
    <w:pPr>
      <w:keepNext/>
      <w:keepLines/>
    </w:pPr>
    <w:rPr>
      <w:sz w:val="22"/>
      <w:szCs w:val="22"/>
    </w:rPr>
  </w:style>
  <w:style w:type="character" w:customStyle="1" w:styleId="BodyTextChar">
    <w:name w:val="Body Text Char"/>
    <w:basedOn w:val="DefaultParagraphFont"/>
    <w:link w:val="BodyText"/>
    <w:rsid w:val="00744ED9"/>
    <w:rPr>
      <w:sz w:val="22"/>
      <w:szCs w:val="22"/>
    </w:rPr>
  </w:style>
  <w:style w:type="table" w:styleId="TableGrid">
    <w:name w:val="Table Grid"/>
    <w:basedOn w:val="TableNormal"/>
    <w:uiPriority w:val="59"/>
    <w:rsid w:val="00C150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nhideWhenUsed/>
    <w:rsid w:val="00C150BE"/>
    <w:rPr>
      <w:color w:val="0000FF"/>
      <w:u w:val="single"/>
    </w:rPr>
  </w:style>
  <w:style w:type="paragraph" w:styleId="FootnoteText">
    <w:name w:val="footnote text"/>
    <w:basedOn w:val="Normal"/>
    <w:link w:val="FootnoteTextChar"/>
    <w:uiPriority w:val="99"/>
    <w:semiHidden/>
    <w:unhideWhenUsed/>
    <w:rsid w:val="00F30A4B"/>
    <w:rPr>
      <w:sz w:val="20"/>
      <w:szCs w:val="20"/>
    </w:rPr>
  </w:style>
  <w:style w:type="character" w:customStyle="1" w:styleId="FootnoteTextChar">
    <w:name w:val="Footnote Text Char"/>
    <w:basedOn w:val="DefaultParagraphFont"/>
    <w:link w:val="FootnoteText"/>
    <w:uiPriority w:val="99"/>
    <w:semiHidden/>
    <w:rsid w:val="00F30A4B"/>
  </w:style>
  <w:style w:type="character" w:styleId="FootnoteReference">
    <w:name w:val="footnote reference"/>
    <w:basedOn w:val="DefaultParagraphFont"/>
    <w:uiPriority w:val="99"/>
    <w:unhideWhenUsed/>
    <w:rsid w:val="00F30A4B"/>
    <w:rPr>
      <w:vertAlign w:val="superscript"/>
    </w:rPr>
  </w:style>
  <w:style w:type="paragraph" w:styleId="BodyText2">
    <w:name w:val="Body Text 2"/>
    <w:basedOn w:val="Normal"/>
    <w:link w:val="BodyText2Char"/>
    <w:uiPriority w:val="99"/>
    <w:semiHidden/>
    <w:unhideWhenUsed/>
    <w:rsid w:val="00F80FFB"/>
    <w:pPr>
      <w:spacing w:after="120" w:line="480" w:lineRule="auto"/>
    </w:pPr>
  </w:style>
  <w:style w:type="character" w:customStyle="1" w:styleId="BodyText2Char">
    <w:name w:val="Body Text 2 Char"/>
    <w:basedOn w:val="DefaultParagraphFont"/>
    <w:link w:val="BodyText2"/>
    <w:uiPriority w:val="99"/>
    <w:semiHidden/>
    <w:rsid w:val="00F80FFB"/>
    <w:rPr>
      <w:sz w:val="24"/>
      <w:szCs w:val="24"/>
    </w:rPr>
  </w:style>
  <w:style w:type="paragraph" w:styleId="BodyTextIndent">
    <w:name w:val="Body Text Indent"/>
    <w:basedOn w:val="Normal"/>
    <w:link w:val="BodyTextIndentChar"/>
    <w:uiPriority w:val="99"/>
    <w:semiHidden/>
    <w:unhideWhenUsed/>
    <w:rsid w:val="00F80FFB"/>
    <w:pPr>
      <w:spacing w:after="120"/>
      <w:ind w:left="360"/>
    </w:pPr>
  </w:style>
  <w:style w:type="character" w:customStyle="1" w:styleId="BodyTextIndentChar">
    <w:name w:val="Body Text Indent Char"/>
    <w:basedOn w:val="DefaultParagraphFont"/>
    <w:link w:val="BodyTextIndent"/>
    <w:uiPriority w:val="99"/>
    <w:semiHidden/>
    <w:rsid w:val="00F80FFB"/>
    <w:rPr>
      <w:sz w:val="24"/>
      <w:szCs w:val="24"/>
    </w:rPr>
  </w:style>
  <w:style w:type="character" w:styleId="Strong">
    <w:name w:val="Strong"/>
    <w:basedOn w:val="DefaultParagraphFont"/>
    <w:uiPriority w:val="99"/>
    <w:qFormat/>
    <w:rsid w:val="00F80FFB"/>
    <w:rPr>
      <w:rFonts w:ascii="Times New Roman" w:hAnsi="Times New Roman" w:cs="Times New Roman" w:hint="default"/>
      <w:b/>
      <w:bCs/>
      <w:sz w:val="24"/>
      <w:u w:val="single"/>
    </w:rPr>
  </w:style>
  <w:style w:type="paragraph" w:customStyle="1" w:styleId="Default">
    <w:name w:val="Default"/>
    <w:rsid w:val="00F80FFB"/>
    <w:pPr>
      <w:autoSpaceDE w:val="0"/>
      <w:autoSpaceDN w:val="0"/>
      <w:adjustRightInd w:val="0"/>
    </w:pPr>
    <w:rPr>
      <w:rFonts w:eastAsia="Calibri"/>
      <w:color w:val="000000"/>
      <w:sz w:val="24"/>
      <w:szCs w:val="24"/>
    </w:rPr>
  </w:style>
  <w:style w:type="paragraph" w:styleId="EndnoteText">
    <w:name w:val="endnote text"/>
    <w:basedOn w:val="Normal"/>
    <w:link w:val="EndnoteTextChar"/>
    <w:uiPriority w:val="99"/>
    <w:semiHidden/>
    <w:unhideWhenUsed/>
    <w:rsid w:val="000653A2"/>
    <w:rPr>
      <w:sz w:val="20"/>
      <w:szCs w:val="20"/>
    </w:rPr>
  </w:style>
  <w:style w:type="character" w:customStyle="1" w:styleId="EndnoteTextChar">
    <w:name w:val="Endnote Text Char"/>
    <w:basedOn w:val="DefaultParagraphFont"/>
    <w:link w:val="EndnoteText"/>
    <w:uiPriority w:val="99"/>
    <w:semiHidden/>
    <w:rsid w:val="000653A2"/>
  </w:style>
  <w:style w:type="character" w:styleId="EndnoteReference">
    <w:name w:val="endnote reference"/>
    <w:basedOn w:val="DefaultParagraphFont"/>
    <w:uiPriority w:val="99"/>
    <w:semiHidden/>
    <w:unhideWhenUsed/>
    <w:rsid w:val="000653A2"/>
    <w:rPr>
      <w:vertAlign w:val="superscript"/>
    </w:rPr>
  </w:style>
  <w:style w:type="character" w:styleId="FollowedHyperlink">
    <w:name w:val="FollowedHyperlink"/>
    <w:basedOn w:val="DefaultParagraphFont"/>
    <w:uiPriority w:val="99"/>
    <w:semiHidden/>
    <w:unhideWhenUsed/>
    <w:rsid w:val="00F210A7"/>
    <w:rPr>
      <w:color w:val="800080"/>
      <w:u w:val="single"/>
    </w:rPr>
  </w:style>
  <w:style w:type="paragraph" w:styleId="Revision">
    <w:name w:val="Revision"/>
    <w:hidden/>
    <w:uiPriority w:val="99"/>
    <w:semiHidden/>
    <w:rsid w:val="00B50BF3"/>
    <w:rPr>
      <w:sz w:val="24"/>
      <w:szCs w:val="24"/>
    </w:rPr>
  </w:style>
  <w:style w:type="paragraph" w:customStyle="1" w:styleId="CM9">
    <w:name w:val="CM9"/>
    <w:basedOn w:val="Normal"/>
    <w:next w:val="Normal"/>
    <w:uiPriority w:val="99"/>
    <w:rsid w:val="008E0DB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C00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547ACA"/>
    <w:pPr>
      <w:spacing w:before="100" w:beforeAutospacing="1" w:after="100" w:afterAutospacing="1"/>
    </w:pPr>
  </w:style>
  <w:style w:type="paragraph" w:styleId="NoSpacing">
    <w:name w:val="No Spacing"/>
    <w:uiPriority w:val="1"/>
    <w:qFormat/>
    <w:rsid w:val="00BB7C87"/>
    <w:rPr>
      <w:rFonts w:ascii="Calibri" w:eastAsia="Calibri" w:hAnsi="Calibri"/>
      <w:sz w:val="22"/>
      <w:szCs w:val="22"/>
    </w:rPr>
  </w:style>
  <w:style w:type="paragraph" w:customStyle="1" w:styleId="BodyText0">
    <w:name w:val="Body Text***"/>
    <w:basedOn w:val="Normal"/>
    <w:link w:val="BodyTextChar0"/>
    <w:rsid w:val="00C278C5"/>
    <w:pPr>
      <w:spacing w:after="240"/>
      <w:jc w:val="both"/>
    </w:pPr>
    <w:rPr>
      <w:sz w:val="22"/>
    </w:rPr>
  </w:style>
  <w:style w:type="character" w:customStyle="1" w:styleId="BodyTextChar0">
    <w:name w:val="Body Text*** Char"/>
    <w:basedOn w:val="DefaultParagraphFont"/>
    <w:link w:val="BodyText0"/>
    <w:rsid w:val="00C278C5"/>
    <w:rPr>
      <w:sz w:val="22"/>
      <w:szCs w:val="24"/>
    </w:rPr>
  </w:style>
  <w:style w:type="paragraph" w:styleId="BlockText">
    <w:name w:val="Block Text"/>
    <w:basedOn w:val="Normal"/>
    <w:rsid w:val="00C278C5"/>
    <w:pPr>
      <w:ind w:left="-288" w:right="-288"/>
      <w:jc w:val="both"/>
    </w:pPr>
    <w:rPr>
      <w:sz w:val="22"/>
      <w:szCs w:val="20"/>
    </w:rPr>
  </w:style>
  <w:style w:type="character" w:customStyle="1" w:styleId="ff-addressfont">
    <w:name w:val="ff-address_font"/>
    <w:basedOn w:val="DefaultParagraphFont"/>
    <w:rsid w:val="008B3475"/>
  </w:style>
  <w:style w:type="paragraph" w:customStyle="1" w:styleId="text">
    <w:name w:val="text"/>
    <w:basedOn w:val="Normal"/>
    <w:rsid w:val="00363C38"/>
    <w:pPr>
      <w:spacing w:before="100" w:beforeAutospacing="1" w:after="100" w:afterAutospacing="1"/>
    </w:pPr>
    <w:rPr>
      <w:rFonts w:ascii="Verdana" w:hAnsi="Verdana"/>
      <w:color w:val="000000"/>
      <w:sz w:val="20"/>
      <w:szCs w:val="20"/>
    </w:rPr>
  </w:style>
  <w:style w:type="paragraph" w:styleId="TOC1">
    <w:name w:val="toc 1"/>
    <w:basedOn w:val="Normal"/>
    <w:next w:val="Normal"/>
    <w:autoRedefine/>
    <w:semiHidden/>
    <w:rsid w:val="00AE5B8B"/>
  </w:style>
  <w:style w:type="paragraph" w:styleId="TOC2">
    <w:name w:val="toc 2"/>
    <w:basedOn w:val="Normal"/>
    <w:next w:val="Normal"/>
    <w:autoRedefine/>
    <w:semiHidden/>
    <w:rsid w:val="00AE5B8B"/>
    <w:pPr>
      <w:ind w:left="240"/>
    </w:pPr>
  </w:style>
  <w:style w:type="paragraph" w:customStyle="1" w:styleId="PTableHeading">
    <w:name w:val="P.Table Heading"/>
    <w:uiPriority w:val="99"/>
    <w:rsid w:val="00024B3A"/>
    <w:pPr>
      <w:jc w:val="center"/>
    </w:pPr>
    <w:rPr>
      <w:rFonts w:ascii="Arial" w:hAnsi="Arial" w:cs="Arial"/>
      <w:b/>
      <w:bCs/>
      <w:color w:val="FFFFFF"/>
    </w:rPr>
  </w:style>
  <w:style w:type="paragraph" w:customStyle="1" w:styleId="PTableText">
    <w:name w:val="P.Table Text"/>
    <w:uiPriority w:val="99"/>
    <w:rsid w:val="00024B3A"/>
    <w:pPr>
      <w:spacing w:after="40"/>
    </w:pPr>
    <w:rPr>
      <w:rFonts w:ascii="Arial" w:hAnsi="Arial" w:cs="Arial"/>
      <w:sz w:val="16"/>
    </w:rPr>
  </w:style>
  <w:style w:type="paragraph" w:customStyle="1" w:styleId="PBodyText">
    <w:name w:val="P.Body Text"/>
    <w:qFormat/>
    <w:rsid w:val="00024B3A"/>
    <w:pPr>
      <w:spacing w:after="120"/>
    </w:pPr>
    <w:rPr>
      <w:rFonts w:cs="Times"/>
      <w:noProof/>
      <w:sz w:val="24"/>
      <w:szCs w:val="24"/>
    </w:rPr>
  </w:style>
  <w:style w:type="paragraph" w:styleId="DocumentMap">
    <w:name w:val="Document Map"/>
    <w:basedOn w:val="Normal"/>
    <w:link w:val="DocumentMapChar"/>
    <w:uiPriority w:val="99"/>
    <w:semiHidden/>
    <w:unhideWhenUsed/>
    <w:rsid w:val="00A5235D"/>
    <w:rPr>
      <w:rFonts w:ascii="Tahoma" w:hAnsi="Tahoma" w:cs="Tahoma"/>
      <w:sz w:val="16"/>
      <w:szCs w:val="16"/>
    </w:rPr>
  </w:style>
  <w:style w:type="character" w:customStyle="1" w:styleId="DocumentMapChar">
    <w:name w:val="Document Map Char"/>
    <w:basedOn w:val="DefaultParagraphFont"/>
    <w:link w:val="DocumentMap"/>
    <w:uiPriority w:val="99"/>
    <w:semiHidden/>
    <w:rsid w:val="00A5235D"/>
    <w:rPr>
      <w:rFonts w:ascii="Tahoma" w:hAnsi="Tahoma" w:cs="Tahoma"/>
      <w:sz w:val="16"/>
      <w:szCs w:val="16"/>
    </w:rPr>
  </w:style>
  <w:style w:type="paragraph" w:customStyle="1" w:styleId="ResPublications">
    <w:name w:val="Res Publications"/>
    <w:link w:val="ResPublicationsChar"/>
    <w:rsid w:val="003474AB"/>
    <w:pPr>
      <w:spacing w:after="240"/>
      <w:ind w:left="720" w:hanging="720"/>
    </w:pPr>
    <w:rPr>
      <w:sz w:val="24"/>
    </w:rPr>
  </w:style>
  <w:style w:type="character" w:customStyle="1" w:styleId="ResPublicationsChar">
    <w:name w:val="Res Publications Char"/>
    <w:basedOn w:val="DefaultParagraphFont"/>
    <w:link w:val="ResPublications"/>
    <w:rsid w:val="003474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447319">
      <w:bodyDiv w:val="1"/>
      <w:marLeft w:val="0"/>
      <w:marRight w:val="0"/>
      <w:marTop w:val="0"/>
      <w:marBottom w:val="0"/>
      <w:divBdr>
        <w:top w:val="none" w:sz="0" w:space="0" w:color="auto"/>
        <w:left w:val="none" w:sz="0" w:space="0" w:color="auto"/>
        <w:bottom w:val="none" w:sz="0" w:space="0" w:color="auto"/>
        <w:right w:val="none" w:sz="0" w:space="0" w:color="auto"/>
      </w:divBdr>
    </w:div>
    <w:div w:id="506290016">
      <w:bodyDiv w:val="1"/>
      <w:marLeft w:val="0"/>
      <w:marRight w:val="0"/>
      <w:marTop w:val="0"/>
      <w:marBottom w:val="0"/>
      <w:divBdr>
        <w:top w:val="none" w:sz="0" w:space="0" w:color="auto"/>
        <w:left w:val="none" w:sz="0" w:space="0" w:color="auto"/>
        <w:bottom w:val="none" w:sz="0" w:space="0" w:color="auto"/>
        <w:right w:val="none" w:sz="0" w:space="0" w:color="auto"/>
      </w:divBdr>
      <w:divsChild>
        <w:div w:id="1313603668">
          <w:marLeft w:val="0"/>
          <w:marRight w:val="0"/>
          <w:marTop w:val="0"/>
          <w:marBottom w:val="0"/>
          <w:divBdr>
            <w:top w:val="none" w:sz="0" w:space="0" w:color="auto"/>
            <w:left w:val="none" w:sz="0" w:space="0" w:color="auto"/>
            <w:bottom w:val="none" w:sz="0" w:space="0" w:color="auto"/>
            <w:right w:val="none" w:sz="0" w:space="0" w:color="auto"/>
          </w:divBdr>
        </w:div>
      </w:divsChild>
    </w:div>
    <w:div w:id="600063051">
      <w:bodyDiv w:val="1"/>
      <w:marLeft w:val="0"/>
      <w:marRight w:val="0"/>
      <w:marTop w:val="0"/>
      <w:marBottom w:val="0"/>
      <w:divBdr>
        <w:top w:val="none" w:sz="0" w:space="0" w:color="auto"/>
        <w:left w:val="none" w:sz="0" w:space="0" w:color="auto"/>
        <w:bottom w:val="none" w:sz="0" w:space="0" w:color="auto"/>
        <w:right w:val="none" w:sz="0" w:space="0" w:color="auto"/>
      </w:divBdr>
      <w:divsChild>
        <w:div w:id="1762682961">
          <w:marLeft w:val="0"/>
          <w:marRight w:val="0"/>
          <w:marTop w:val="0"/>
          <w:marBottom w:val="0"/>
          <w:divBdr>
            <w:top w:val="none" w:sz="0" w:space="0" w:color="auto"/>
            <w:left w:val="none" w:sz="0" w:space="0" w:color="auto"/>
            <w:bottom w:val="none" w:sz="0" w:space="0" w:color="auto"/>
            <w:right w:val="none" w:sz="0" w:space="0" w:color="auto"/>
          </w:divBdr>
        </w:div>
      </w:divsChild>
    </w:div>
    <w:div w:id="728500580">
      <w:bodyDiv w:val="1"/>
      <w:marLeft w:val="0"/>
      <w:marRight w:val="0"/>
      <w:marTop w:val="0"/>
      <w:marBottom w:val="0"/>
      <w:divBdr>
        <w:top w:val="none" w:sz="0" w:space="0" w:color="auto"/>
        <w:left w:val="none" w:sz="0" w:space="0" w:color="auto"/>
        <w:bottom w:val="none" w:sz="0" w:space="0" w:color="auto"/>
        <w:right w:val="none" w:sz="0" w:space="0" w:color="auto"/>
      </w:divBdr>
    </w:div>
    <w:div w:id="840897318">
      <w:bodyDiv w:val="1"/>
      <w:marLeft w:val="0"/>
      <w:marRight w:val="0"/>
      <w:marTop w:val="0"/>
      <w:marBottom w:val="0"/>
      <w:divBdr>
        <w:top w:val="none" w:sz="0" w:space="0" w:color="auto"/>
        <w:left w:val="none" w:sz="0" w:space="0" w:color="auto"/>
        <w:bottom w:val="none" w:sz="0" w:space="0" w:color="auto"/>
        <w:right w:val="none" w:sz="0" w:space="0" w:color="auto"/>
      </w:divBdr>
    </w:div>
    <w:div w:id="853031787">
      <w:bodyDiv w:val="1"/>
      <w:marLeft w:val="0"/>
      <w:marRight w:val="0"/>
      <w:marTop w:val="0"/>
      <w:marBottom w:val="0"/>
      <w:divBdr>
        <w:top w:val="none" w:sz="0" w:space="0" w:color="auto"/>
        <w:left w:val="none" w:sz="0" w:space="0" w:color="auto"/>
        <w:bottom w:val="none" w:sz="0" w:space="0" w:color="auto"/>
        <w:right w:val="none" w:sz="0" w:space="0" w:color="auto"/>
      </w:divBdr>
    </w:div>
    <w:div w:id="1197768610">
      <w:bodyDiv w:val="1"/>
      <w:marLeft w:val="0"/>
      <w:marRight w:val="0"/>
      <w:marTop w:val="0"/>
      <w:marBottom w:val="0"/>
      <w:divBdr>
        <w:top w:val="none" w:sz="0" w:space="0" w:color="auto"/>
        <w:left w:val="none" w:sz="0" w:space="0" w:color="auto"/>
        <w:bottom w:val="none" w:sz="0" w:space="0" w:color="auto"/>
        <w:right w:val="none" w:sz="0" w:space="0" w:color="auto"/>
      </w:divBdr>
    </w:div>
    <w:div w:id="1236090718">
      <w:bodyDiv w:val="1"/>
      <w:marLeft w:val="0"/>
      <w:marRight w:val="0"/>
      <w:marTop w:val="0"/>
      <w:marBottom w:val="0"/>
      <w:divBdr>
        <w:top w:val="none" w:sz="0" w:space="0" w:color="auto"/>
        <w:left w:val="none" w:sz="0" w:space="0" w:color="auto"/>
        <w:bottom w:val="none" w:sz="0" w:space="0" w:color="auto"/>
        <w:right w:val="none" w:sz="0" w:space="0" w:color="auto"/>
      </w:divBdr>
    </w:div>
    <w:div w:id="1254514313">
      <w:bodyDiv w:val="1"/>
      <w:marLeft w:val="0"/>
      <w:marRight w:val="0"/>
      <w:marTop w:val="0"/>
      <w:marBottom w:val="0"/>
      <w:divBdr>
        <w:top w:val="none" w:sz="0" w:space="0" w:color="auto"/>
        <w:left w:val="none" w:sz="0" w:space="0" w:color="auto"/>
        <w:bottom w:val="none" w:sz="0" w:space="0" w:color="auto"/>
        <w:right w:val="none" w:sz="0" w:space="0" w:color="auto"/>
      </w:divBdr>
    </w:div>
    <w:div w:id="1262639922">
      <w:bodyDiv w:val="1"/>
      <w:marLeft w:val="0"/>
      <w:marRight w:val="0"/>
      <w:marTop w:val="0"/>
      <w:marBottom w:val="0"/>
      <w:divBdr>
        <w:top w:val="none" w:sz="0" w:space="0" w:color="auto"/>
        <w:left w:val="none" w:sz="0" w:space="0" w:color="auto"/>
        <w:bottom w:val="none" w:sz="0" w:space="0" w:color="auto"/>
        <w:right w:val="none" w:sz="0" w:space="0" w:color="auto"/>
      </w:divBdr>
    </w:div>
    <w:div w:id="1525361139">
      <w:bodyDiv w:val="1"/>
      <w:marLeft w:val="0"/>
      <w:marRight w:val="0"/>
      <w:marTop w:val="0"/>
      <w:marBottom w:val="0"/>
      <w:divBdr>
        <w:top w:val="none" w:sz="0" w:space="0" w:color="auto"/>
        <w:left w:val="none" w:sz="0" w:space="0" w:color="auto"/>
        <w:bottom w:val="none" w:sz="0" w:space="0" w:color="auto"/>
        <w:right w:val="none" w:sz="0" w:space="0" w:color="auto"/>
      </w:divBdr>
      <w:divsChild>
        <w:div w:id="741175019">
          <w:marLeft w:val="0"/>
          <w:marRight w:val="0"/>
          <w:marTop w:val="0"/>
          <w:marBottom w:val="0"/>
          <w:divBdr>
            <w:top w:val="none" w:sz="0" w:space="0" w:color="auto"/>
            <w:left w:val="none" w:sz="0" w:space="0" w:color="auto"/>
            <w:bottom w:val="none" w:sz="0" w:space="0" w:color="auto"/>
            <w:right w:val="none" w:sz="0" w:space="0" w:color="auto"/>
          </w:divBdr>
          <w:divsChild>
            <w:div w:id="1477651250">
              <w:marLeft w:val="0"/>
              <w:marRight w:val="0"/>
              <w:marTop w:val="0"/>
              <w:marBottom w:val="0"/>
              <w:divBdr>
                <w:top w:val="single" w:sz="6" w:space="1" w:color="3162C5"/>
                <w:left w:val="single" w:sz="6" w:space="1" w:color="3162C5"/>
                <w:bottom w:val="single" w:sz="6" w:space="1" w:color="3162C5"/>
                <w:right w:val="single" w:sz="6" w:space="1" w:color="3162C5"/>
              </w:divBdr>
              <w:divsChild>
                <w:div w:id="1859805089">
                  <w:marLeft w:val="0"/>
                  <w:marRight w:val="0"/>
                  <w:marTop w:val="0"/>
                  <w:marBottom w:val="0"/>
                  <w:divBdr>
                    <w:top w:val="single" w:sz="6" w:space="1" w:color="2D5AB3"/>
                    <w:left w:val="single" w:sz="6" w:space="1" w:color="2D5AB3"/>
                    <w:bottom w:val="single" w:sz="6" w:space="1" w:color="2D5AB3"/>
                    <w:right w:val="single" w:sz="6" w:space="1" w:color="2D5AB3"/>
                  </w:divBdr>
                  <w:divsChild>
                    <w:div w:id="385447533">
                      <w:marLeft w:val="0"/>
                      <w:marRight w:val="0"/>
                      <w:marTop w:val="0"/>
                      <w:marBottom w:val="0"/>
                      <w:divBdr>
                        <w:top w:val="single" w:sz="6" w:space="1" w:color="264C98"/>
                        <w:left w:val="single" w:sz="6" w:space="1" w:color="264C98"/>
                        <w:bottom w:val="single" w:sz="6" w:space="1" w:color="264C98"/>
                        <w:right w:val="single" w:sz="6" w:space="1" w:color="264C98"/>
                      </w:divBdr>
                      <w:divsChild>
                        <w:div w:id="1808815414">
                          <w:marLeft w:val="0"/>
                          <w:marRight w:val="0"/>
                          <w:marTop w:val="0"/>
                          <w:marBottom w:val="0"/>
                          <w:divBdr>
                            <w:top w:val="single" w:sz="6" w:space="1" w:color="1E3C77"/>
                            <w:left w:val="single" w:sz="6" w:space="1" w:color="1E3C77"/>
                            <w:bottom w:val="single" w:sz="6" w:space="1" w:color="1E3C77"/>
                            <w:right w:val="single" w:sz="6" w:space="1" w:color="1E3C77"/>
                          </w:divBdr>
                          <w:divsChild>
                            <w:div w:id="1930965375">
                              <w:marLeft w:val="0"/>
                              <w:marRight w:val="0"/>
                              <w:marTop w:val="0"/>
                              <w:marBottom w:val="0"/>
                              <w:divBdr>
                                <w:top w:val="single" w:sz="6" w:space="6" w:color="183061"/>
                                <w:left w:val="single" w:sz="6" w:space="0" w:color="183061"/>
                                <w:bottom w:val="single" w:sz="6" w:space="0" w:color="183061"/>
                                <w:right w:val="single" w:sz="6" w:space="0" w:color="183061"/>
                              </w:divBdr>
                              <w:divsChild>
                                <w:div w:id="494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988436">
      <w:bodyDiv w:val="1"/>
      <w:marLeft w:val="0"/>
      <w:marRight w:val="0"/>
      <w:marTop w:val="0"/>
      <w:marBottom w:val="0"/>
      <w:divBdr>
        <w:top w:val="none" w:sz="0" w:space="0" w:color="auto"/>
        <w:left w:val="none" w:sz="0" w:space="0" w:color="auto"/>
        <w:bottom w:val="none" w:sz="0" w:space="0" w:color="auto"/>
        <w:right w:val="none" w:sz="0" w:space="0" w:color="auto"/>
      </w:divBdr>
    </w:div>
    <w:div w:id="17940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jordan@mhs.net" TargetMode="External"/><Relationship Id="rId18" Type="http://schemas.openxmlformats.org/officeDocument/2006/relationships/hyperlink" Target="mailto:monique.ndenecho@nih.hhs.gov" TargetMode="External"/><Relationship Id="rId3" Type="http://schemas.openxmlformats.org/officeDocument/2006/relationships/styles" Target="styles.xml"/><Relationship Id="rId21" Type="http://schemas.openxmlformats.org/officeDocument/2006/relationships/hyperlink" Target="mailto:elna.saah@hc.msu.edu" TargetMode="External"/><Relationship Id="rId7" Type="http://schemas.openxmlformats.org/officeDocument/2006/relationships/footnotes" Target="footnotes.xml"/><Relationship Id="rId12" Type="http://schemas.openxmlformats.org/officeDocument/2006/relationships/hyperlink" Target="mailto:chaywood@jhsph.edu" TargetMode="External"/><Relationship Id="rId17" Type="http://schemas.openxmlformats.org/officeDocument/2006/relationships/hyperlink" Target="mailto:cmorris@mail.cho.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hirleyrenee3@gmail.com" TargetMode="External"/><Relationship Id="rId20" Type="http://schemas.openxmlformats.org/officeDocument/2006/relationships/hyperlink" Target="mailto:aplatt@emory.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brown@hrsa.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mandell@partners.org" TargetMode="External"/><Relationship Id="rId23" Type="http://schemas.openxmlformats.org/officeDocument/2006/relationships/footer" Target="footer1.xml"/><Relationship Id="rId10" Type="http://schemas.openxmlformats.org/officeDocument/2006/relationships/hyperlink" Target="mailto:marie.boyle@nih.hhs.gov" TargetMode="External"/><Relationship Id="rId19" Type="http://schemas.openxmlformats.org/officeDocument/2006/relationships/hyperlink" Target="mailto:jofrempong@comcast.net" TargetMode="External"/><Relationship Id="rId4" Type="http://schemas.microsoft.com/office/2007/relationships/stylesWithEffects" Target="stylesWithEffects.xml"/><Relationship Id="rId9" Type="http://schemas.openxmlformats.org/officeDocument/2006/relationships/hyperlink" Target="mailto:Jxt4@cdc.gov" TargetMode="External"/><Relationship Id="rId14" Type="http://schemas.openxmlformats.org/officeDocument/2006/relationships/hyperlink" Target="mailto:roshni.kulkarni@hc.msu.edu" TargetMode="External"/><Relationship Id="rId22"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FA7E-6813-400B-BE4B-3B01A048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Pretesting Suicide Prevention Messages and Materials with Veterans</vt:lpstr>
    </vt:vector>
  </TitlesOfParts>
  <Company>Macro International, Inc.</Company>
  <LinksUpToDate>false</LinksUpToDate>
  <CharactersWithSpaces>31979</CharactersWithSpaces>
  <SharedDoc>false</SharedDoc>
  <HLinks>
    <vt:vector size="12" baseType="variant">
      <vt:variant>
        <vt:i4>262258</vt:i4>
      </vt:variant>
      <vt:variant>
        <vt:i4>3</vt:i4>
      </vt:variant>
      <vt:variant>
        <vt:i4>0</vt:i4>
      </vt:variant>
      <vt:variant>
        <vt:i4>5</vt:i4>
      </vt:variant>
      <vt:variant>
        <vt:lpwstr>http://www.bls.gov/oes/current/oes_nat.htm</vt:lpwstr>
      </vt:variant>
      <vt:variant>
        <vt:lpwstr>00-0000</vt:lpwstr>
      </vt:variant>
      <vt:variant>
        <vt:i4>1572986</vt:i4>
      </vt:variant>
      <vt:variant>
        <vt:i4>0</vt:i4>
      </vt:variant>
      <vt:variant>
        <vt:i4>0</vt:i4>
      </vt:variant>
      <vt:variant>
        <vt:i4>5</vt:i4>
      </vt:variant>
      <vt:variant>
        <vt:lpwstr>mailto:inv9@cdc.gov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Pretesting Suicide Prevention Messages and Materials with Veterans</dc:title>
  <dc:creator>maguilar</dc:creator>
  <cp:lastModifiedBy>CDC User</cp:lastModifiedBy>
  <cp:revision>3</cp:revision>
  <cp:lastPrinted>2013-05-06T15:16:00Z</cp:lastPrinted>
  <dcterms:created xsi:type="dcterms:W3CDTF">2013-05-06T15:15:00Z</dcterms:created>
  <dcterms:modified xsi:type="dcterms:W3CDTF">2013-05-06T15:55:00Z</dcterms:modified>
</cp:coreProperties>
</file>