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B5" w:rsidRDefault="007C29B5" w:rsidP="007C29B5">
      <w:pPr>
        <w:pStyle w:val="CoverTitle"/>
        <w:jc w:val="center"/>
      </w:pPr>
    </w:p>
    <w:p w:rsidR="007C29B5" w:rsidRDefault="007C29B5" w:rsidP="007C29B5">
      <w:pPr>
        <w:pStyle w:val="CoverTitle"/>
        <w:jc w:val="center"/>
      </w:pPr>
    </w:p>
    <w:p w:rsidR="007C29B5" w:rsidRDefault="007C29B5" w:rsidP="007C29B5">
      <w:pPr>
        <w:pStyle w:val="CoverTitle"/>
        <w:jc w:val="center"/>
      </w:pPr>
    </w:p>
    <w:p w:rsidR="007C29B5" w:rsidRDefault="007C29B5" w:rsidP="007C29B5">
      <w:pPr>
        <w:pStyle w:val="CoverTitle"/>
        <w:jc w:val="center"/>
      </w:pPr>
    </w:p>
    <w:p w:rsidR="007C29B5" w:rsidRDefault="007C29B5" w:rsidP="007C29B5">
      <w:pPr>
        <w:pStyle w:val="CoverTitle"/>
        <w:jc w:val="center"/>
      </w:pPr>
    </w:p>
    <w:p w:rsidR="007C29B5" w:rsidRDefault="007C29B5" w:rsidP="007C29B5">
      <w:pPr>
        <w:pStyle w:val="CoverTitle"/>
        <w:jc w:val="center"/>
      </w:pPr>
    </w:p>
    <w:p w:rsidR="007C29B5" w:rsidRPr="006E5C82" w:rsidRDefault="007C29B5" w:rsidP="007C29B5">
      <w:pPr>
        <w:autoSpaceDE w:val="0"/>
        <w:autoSpaceDN w:val="0"/>
        <w:adjustRightInd w:val="0"/>
        <w:jc w:val="center"/>
        <w:rPr>
          <w:rFonts w:eastAsia="Calibri"/>
          <w:b/>
          <w:szCs w:val="24"/>
        </w:rPr>
      </w:pPr>
      <w:r w:rsidRPr="006E5C82">
        <w:rPr>
          <w:rFonts w:eastAsia="Calibri"/>
          <w:b/>
          <w:szCs w:val="24"/>
        </w:rPr>
        <w:t>Targeted Surveillance and Biometric Study for Enhanced Evaluation of</w:t>
      </w:r>
    </w:p>
    <w:p w:rsidR="007C29B5" w:rsidRPr="006E5C82" w:rsidRDefault="007C29B5" w:rsidP="007C29B5">
      <w:pPr>
        <w:jc w:val="center"/>
        <w:rPr>
          <w:rFonts w:eastAsia="Calibri"/>
          <w:szCs w:val="24"/>
        </w:rPr>
      </w:pPr>
      <w:r w:rsidRPr="006E5C82">
        <w:rPr>
          <w:rFonts w:eastAsia="Calibri"/>
          <w:b/>
          <w:szCs w:val="24"/>
        </w:rPr>
        <w:t>Community Transformation Grants</w:t>
      </w:r>
    </w:p>
    <w:p w:rsidR="007C29B5" w:rsidRPr="006E5C82" w:rsidRDefault="007C29B5" w:rsidP="007C29B5">
      <w:pPr>
        <w:pStyle w:val="CoverTitle"/>
        <w:jc w:val="center"/>
      </w:pPr>
    </w:p>
    <w:p w:rsidR="007C29B5" w:rsidRPr="006E5C82" w:rsidRDefault="007C29B5" w:rsidP="007C29B5"/>
    <w:p w:rsidR="007C29B5" w:rsidRPr="006E5C82" w:rsidRDefault="007C29B5" w:rsidP="007C29B5">
      <w:pPr>
        <w:pStyle w:val="CoverText"/>
      </w:pPr>
    </w:p>
    <w:p w:rsidR="007C29B5" w:rsidRPr="006E5C82" w:rsidRDefault="007C29B5" w:rsidP="007C29B5">
      <w:pPr>
        <w:pStyle w:val="CoverText"/>
      </w:pPr>
    </w:p>
    <w:p w:rsidR="007C29B5" w:rsidRPr="006E5C82" w:rsidRDefault="007C29B5" w:rsidP="007C29B5">
      <w:pPr>
        <w:pStyle w:val="CoverText"/>
      </w:pPr>
    </w:p>
    <w:p w:rsidR="007C29B5" w:rsidRPr="006E5C82" w:rsidRDefault="007C29B5" w:rsidP="007C29B5">
      <w:pPr>
        <w:pStyle w:val="CoverText"/>
        <w:jc w:val="center"/>
        <w:rPr>
          <w:b/>
        </w:rPr>
      </w:pPr>
      <w:r w:rsidRPr="006E5C82">
        <w:rPr>
          <w:b/>
        </w:rPr>
        <w:t>New</w:t>
      </w:r>
    </w:p>
    <w:p w:rsidR="007C29B5" w:rsidRPr="006E5C82" w:rsidRDefault="007C29B5" w:rsidP="007C29B5">
      <w:pPr>
        <w:pStyle w:val="CoverText"/>
      </w:pPr>
    </w:p>
    <w:p w:rsidR="007C29B5" w:rsidRPr="006E5C82" w:rsidRDefault="007C29B5" w:rsidP="007C29B5">
      <w:pPr>
        <w:pStyle w:val="CoverText"/>
      </w:pPr>
    </w:p>
    <w:p w:rsidR="007C29B5" w:rsidRPr="006E5C82" w:rsidRDefault="007C29B5" w:rsidP="007C29B5">
      <w:pPr>
        <w:pStyle w:val="CoverText"/>
      </w:pPr>
    </w:p>
    <w:p w:rsidR="007C29B5" w:rsidRPr="006E5C82" w:rsidRDefault="007C29B5" w:rsidP="007C29B5">
      <w:pPr>
        <w:pStyle w:val="CoverText"/>
      </w:pPr>
    </w:p>
    <w:p w:rsidR="007C29B5" w:rsidRPr="006E5C82" w:rsidRDefault="007C29B5" w:rsidP="007C29B5">
      <w:pPr>
        <w:pStyle w:val="CoverText"/>
      </w:pPr>
    </w:p>
    <w:p w:rsidR="007C29B5" w:rsidRPr="006E5C82" w:rsidRDefault="007C29B5" w:rsidP="007C29B5">
      <w:pPr>
        <w:pStyle w:val="CoverText"/>
      </w:pPr>
    </w:p>
    <w:p w:rsidR="007C29B5" w:rsidRPr="006E5C82" w:rsidRDefault="007C29B5" w:rsidP="007C29B5">
      <w:pPr>
        <w:pStyle w:val="CoverText"/>
        <w:jc w:val="center"/>
      </w:pPr>
      <w:r w:rsidRPr="006E5C82">
        <w:t>Supporting Statement</w:t>
      </w:r>
    </w:p>
    <w:p w:rsidR="007C29B5" w:rsidRPr="006E5C82" w:rsidRDefault="007C29B5" w:rsidP="007C29B5">
      <w:pPr>
        <w:pStyle w:val="CoverText"/>
        <w:jc w:val="center"/>
      </w:pPr>
    </w:p>
    <w:p w:rsidR="007C29B5" w:rsidRPr="006E5C82" w:rsidRDefault="007C29B5" w:rsidP="007C29B5">
      <w:pPr>
        <w:jc w:val="center"/>
        <w:rPr>
          <w:color w:val="000000"/>
          <w:szCs w:val="24"/>
        </w:rPr>
      </w:pPr>
      <w:r w:rsidRPr="006E5C82">
        <w:rPr>
          <w:color w:val="000000"/>
          <w:szCs w:val="24"/>
        </w:rPr>
        <w:t>Part B—Collection of Information Employing Statistical Methods</w:t>
      </w:r>
    </w:p>
    <w:p w:rsidR="007C29B5" w:rsidRPr="006E5C82" w:rsidRDefault="007C29B5" w:rsidP="007C29B5">
      <w:pPr>
        <w:pStyle w:val="CoverText"/>
        <w:jc w:val="center"/>
      </w:pPr>
    </w:p>
    <w:p w:rsidR="007C29B5" w:rsidRPr="006E5C82" w:rsidRDefault="007C29B5" w:rsidP="007C29B5">
      <w:pPr>
        <w:pStyle w:val="CoverText"/>
      </w:pPr>
    </w:p>
    <w:p w:rsidR="007C29B5" w:rsidRPr="006E5C82" w:rsidRDefault="007C29B5" w:rsidP="007C29B5">
      <w:pPr>
        <w:pStyle w:val="CoverText"/>
      </w:pPr>
    </w:p>
    <w:p w:rsidR="007C29B5" w:rsidRPr="006E5C82" w:rsidRDefault="007C29B5" w:rsidP="007C29B5"/>
    <w:p w:rsidR="007C29B5" w:rsidRPr="006E5C82" w:rsidRDefault="007C29B5" w:rsidP="007C29B5">
      <w:pPr>
        <w:jc w:val="center"/>
        <w:rPr>
          <w:b/>
          <w:bCs/>
          <w:iCs/>
          <w:szCs w:val="24"/>
        </w:rPr>
      </w:pPr>
    </w:p>
    <w:p w:rsidR="007C29B5" w:rsidRPr="006E5C82" w:rsidRDefault="007C29B5" w:rsidP="007C29B5">
      <w:pPr>
        <w:jc w:val="center"/>
        <w:rPr>
          <w:b/>
          <w:bCs/>
          <w:iCs/>
          <w:szCs w:val="24"/>
        </w:rPr>
      </w:pPr>
    </w:p>
    <w:p w:rsidR="007C29B5" w:rsidRPr="006E5C82" w:rsidRDefault="007C29B5" w:rsidP="007C29B5">
      <w:pPr>
        <w:jc w:val="center"/>
        <w:rPr>
          <w:b/>
          <w:bCs/>
          <w:iCs/>
          <w:szCs w:val="24"/>
        </w:rPr>
      </w:pPr>
    </w:p>
    <w:p w:rsidR="007C29B5" w:rsidRPr="006E5C82" w:rsidRDefault="007C29B5" w:rsidP="007C29B5">
      <w:pPr>
        <w:jc w:val="center"/>
        <w:rPr>
          <w:b/>
          <w:bCs/>
          <w:iCs/>
          <w:szCs w:val="24"/>
        </w:rPr>
      </w:pPr>
      <w:r w:rsidRPr="006E5C82">
        <w:rPr>
          <w:b/>
          <w:bCs/>
          <w:iCs/>
          <w:szCs w:val="24"/>
        </w:rPr>
        <w:t>Original Submission: Ju</w:t>
      </w:r>
      <w:r w:rsidR="00B00C82">
        <w:rPr>
          <w:b/>
          <w:bCs/>
          <w:iCs/>
          <w:szCs w:val="24"/>
        </w:rPr>
        <w:t>ly</w:t>
      </w:r>
      <w:r w:rsidRPr="006E5C82">
        <w:rPr>
          <w:b/>
          <w:bCs/>
          <w:iCs/>
          <w:szCs w:val="24"/>
        </w:rPr>
        <w:t xml:space="preserve"> 23, 2012</w:t>
      </w:r>
    </w:p>
    <w:p w:rsidR="007C29B5" w:rsidRPr="006E5C82" w:rsidRDefault="007C29B5" w:rsidP="001B7A35">
      <w:pPr>
        <w:jc w:val="center"/>
        <w:rPr>
          <w:b/>
          <w:bCs/>
          <w:iCs/>
          <w:szCs w:val="24"/>
        </w:rPr>
      </w:pPr>
      <w:r w:rsidRPr="008D452A">
        <w:rPr>
          <w:b/>
          <w:bCs/>
          <w:iCs/>
          <w:szCs w:val="24"/>
        </w:rPr>
        <w:t xml:space="preserve">Revised </w:t>
      </w:r>
      <w:r w:rsidR="00C97263">
        <w:rPr>
          <w:b/>
          <w:bCs/>
          <w:iCs/>
          <w:szCs w:val="24"/>
        </w:rPr>
        <w:t>August 6</w:t>
      </w:r>
      <w:bookmarkStart w:id="0" w:name="_GoBack"/>
      <w:bookmarkEnd w:id="0"/>
      <w:r w:rsidR="00B05265" w:rsidRPr="008D452A">
        <w:rPr>
          <w:b/>
          <w:bCs/>
          <w:iCs/>
          <w:szCs w:val="24"/>
        </w:rPr>
        <w:t>, 2013</w:t>
      </w:r>
    </w:p>
    <w:p w:rsidR="007C29B5" w:rsidRPr="006E5C82" w:rsidRDefault="007C29B5" w:rsidP="007C29B5">
      <w:pPr>
        <w:jc w:val="center"/>
        <w:rPr>
          <w:szCs w:val="24"/>
        </w:rPr>
      </w:pPr>
    </w:p>
    <w:p w:rsidR="007C29B5" w:rsidRPr="006E5C82" w:rsidRDefault="007C29B5" w:rsidP="007C29B5">
      <w:pPr>
        <w:jc w:val="center"/>
        <w:rPr>
          <w:szCs w:val="24"/>
        </w:rPr>
      </w:pPr>
    </w:p>
    <w:p w:rsidR="007C29B5" w:rsidRPr="006E5C82" w:rsidRDefault="007C29B5" w:rsidP="007C29B5">
      <w:pPr>
        <w:rPr>
          <w:szCs w:val="24"/>
        </w:rPr>
      </w:pPr>
    </w:p>
    <w:p w:rsidR="007C29B5" w:rsidRPr="006E5C82" w:rsidRDefault="007C29B5" w:rsidP="007C29B5">
      <w:pPr>
        <w:jc w:val="center"/>
        <w:rPr>
          <w:szCs w:val="24"/>
        </w:rPr>
      </w:pPr>
      <w:r w:rsidRPr="006E5C82">
        <w:rPr>
          <w:szCs w:val="24"/>
        </w:rPr>
        <w:t>Robin Soler, Ph</w:t>
      </w:r>
      <w:r w:rsidR="003A5DCD">
        <w:rPr>
          <w:szCs w:val="24"/>
        </w:rPr>
        <w:t>.</w:t>
      </w:r>
      <w:r w:rsidRPr="006E5C82">
        <w:rPr>
          <w:szCs w:val="24"/>
        </w:rPr>
        <w:t>D</w:t>
      </w:r>
      <w:r w:rsidR="003A5DCD">
        <w:rPr>
          <w:szCs w:val="24"/>
        </w:rPr>
        <w:t>.</w:t>
      </w:r>
    </w:p>
    <w:p w:rsidR="007C29B5" w:rsidRPr="006E5C82" w:rsidRDefault="007C29B5" w:rsidP="00396786">
      <w:pPr>
        <w:jc w:val="center"/>
        <w:rPr>
          <w:szCs w:val="24"/>
        </w:rPr>
      </w:pPr>
      <w:r w:rsidRPr="006E5C82">
        <w:rPr>
          <w:szCs w:val="24"/>
        </w:rPr>
        <w:t xml:space="preserve">Contracting Officer </w:t>
      </w:r>
      <w:r w:rsidR="00396786">
        <w:rPr>
          <w:szCs w:val="24"/>
        </w:rPr>
        <w:t>Representative (CO</w:t>
      </w:r>
      <w:r w:rsidRPr="006E5C82">
        <w:rPr>
          <w:szCs w:val="24"/>
        </w:rPr>
        <w:t>R)</w:t>
      </w:r>
    </w:p>
    <w:p w:rsidR="007C29B5" w:rsidRPr="006E5C82" w:rsidRDefault="007C29B5" w:rsidP="007C29B5">
      <w:pPr>
        <w:jc w:val="center"/>
        <w:rPr>
          <w:szCs w:val="24"/>
        </w:rPr>
      </w:pPr>
      <w:r w:rsidRPr="006E5C82">
        <w:rPr>
          <w:szCs w:val="24"/>
        </w:rPr>
        <w:t>Division of Community Health</w:t>
      </w:r>
    </w:p>
    <w:p w:rsidR="007C29B5" w:rsidRPr="006E5C82" w:rsidRDefault="007C29B5" w:rsidP="007C29B5">
      <w:pPr>
        <w:jc w:val="center"/>
        <w:rPr>
          <w:szCs w:val="24"/>
        </w:rPr>
      </w:pPr>
      <w:r w:rsidRPr="006E5C82">
        <w:rPr>
          <w:szCs w:val="24"/>
        </w:rPr>
        <w:t>Centers for Disease Control and Prevention (CDC)</w:t>
      </w:r>
    </w:p>
    <w:p w:rsidR="007C29B5" w:rsidRPr="006E5C82" w:rsidRDefault="007C29B5" w:rsidP="007C29B5">
      <w:pPr>
        <w:jc w:val="center"/>
        <w:rPr>
          <w:szCs w:val="24"/>
        </w:rPr>
      </w:pPr>
      <w:r w:rsidRPr="006E5C82">
        <w:rPr>
          <w:szCs w:val="24"/>
        </w:rPr>
        <w:t>4770 Buford Hwy, N.E. MS K-45</w:t>
      </w:r>
    </w:p>
    <w:p w:rsidR="007C29B5" w:rsidRPr="006E5C82" w:rsidRDefault="007C29B5" w:rsidP="007C29B5">
      <w:pPr>
        <w:jc w:val="center"/>
        <w:rPr>
          <w:szCs w:val="24"/>
        </w:rPr>
      </w:pPr>
      <w:r w:rsidRPr="006E5C82">
        <w:rPr>
          <w:szCs w:val="24"/>
        </w:rPr>
        <w:t>Atlanta GA 30341</w:t>
      </w:r>
    </w:p>
    <w:p w:rsidR="007C29B5" w:rsidRPr="006E5C82" w:rsidRDefault="007C29B5" w:rsidP="007C29B5">
      <w:pPr>
        <w:jc w:val="center"/>
        <w:rPr>
          <w:szCs w:val="24"/>
        </w:rPr>
      </w:pPr>
      <w:r w:rsidRPr="006E5C82">
        <w:rPr>
          <w:szCs w:val="24"/>
        </w:rPr>
        <w:t>Telephone: (770) 488-5103</w:t>
      </w:r>
    </w:p>
    <w:p w:rsidR="007C29B5" w:rsidRPr="006E5C82" w:rsidRDefault="007C29B5" w:rsidP="007C29B5">
      <w:pPr>
        <w:jc w:val="center"/>
        <w:rPr>
          <w:szCs w:val="24"/>
        </w:rPr>
      </w:pPr>
      <w:r w:rsidRPr="006E5C82">
        <w:rPr>
          <w:szCs w:val="24"/>
        </w:rPr>
        <w:t xml:space="preserve">E-mail: </w:t>
      </w:r>
      <w:r w:rsidRPr="00572BA0">
        <w:rPr>
          <w:szCs w:val="24"/>
        </w:rPr>
        <w:t>RSoler@cdc.gov</w:t>
      </w:r>
    </w:p>
    <w:p w:rsidR="007C29B5" w:rsidRPr="006E5C82" w:rsidRDefault="007C29B5" w:rsidP="006A5713"/>
    <w:p w:rsidR="007C29B5" w:rsidRPr="006E5C82" w:rsidRDefault="007C29B5">
      <w:pPr>
        <w:rPr>
          <w:b/>
          <w:color w:val="000000"/>
          <w:szCs w:val="24"/>
        </w:rPr>
      </w:pPr>
      <w:r w:rsidRPr="006E5C82">
        <w:rPr>
          <w:b/>
          <w:color w:val="000000"/>
          <w:szCs w:val="24"/>
        </w:rPr>
        <w:br w:type="page"/>
      </w:r>
    </w:p>
    <w:p w:rsidR="007C29B5" w:rsidRPr="006E5C82" w:rsidRDefault="007C29B5" w:rsidP="007C29B5">
      <w:pPr>
        <w:pStyle w:val="TOC0"/>
      </w:pPr>
      <w:r w:rsidRPr="006E5C82">
        <w:lastRenderedPageBreak/>
        <w:t>TABLE OF CONTENTS</w:t>
      </w:r>
    </w:p>
    <w:p w:rsidR="007C29B5" w:rsidRPr="006E5C82" w:rsidRDefault="007C29B5" w:rsidP="007C29B5">
      <w:pPr>
        <w:pStyle w:val="TOC0"/>
      </w:pPr>
      <w:r w:rsidRPr="006E5C82">
        <w:rPr>
          <w:color w:val="000000"/>
        </w:rPr>
        <w:t xml:space="preserve">PART B. </w:t>
      </w:r>
      <w:r w:rsidRPr="006E5C82">
        <w:t>COLLECTION OF INFORMATION EMPLOYING STATISTICAL METHODS</w:t>
      </w:r>
    </w:p>
    <w:p w:rsidR="00B611D0" w:rsidRPr="006E5C82" w:rsidRDefault="00777779">
      <w:pPr>
        <w:pStyle w:val="TOC1"/>
        <w:rPr>
          <w:rFonts w:asciiTheme="minorHAnsi" w:eastAsiaTheme="minorEastAsia" w:hAnsiTheme="minorHAnsi" w:cstheme="minorBidi"/>
          <w:sz w:val="22"/>
          <w:szCs w:val="22"/>
        </w:rPr>
      </w:pPr>
      <w:r w:rsidRPr="006E5C82">
        <w:fldChar w:fldCharType="begin"/>
      </w:r>
      <w:r w:rsidR="00291983" w:rsidRPr="006E5C82">
        <w:instrText xml:space="preserve"> TOC \o "1-1" \n \h \z \t "Heading 2,2,Heading 3,3" </w:instrText>
      </w:r>
      <w:r w:rsidRPr="006E5C82">
        <w:fldChar w:fldCharType="separate"/>
      </w:r>
      <w:hyperlink w:anchor="_Toc348434920" w:history="1">
        <w:r w:rsidR="00B611D0" w:rsidRPr="006E5C82">
          <w:rPr>
            <w:rStyle w:val="Hyperlink"/>
          </w:rPr>
          <w:t>B.</w:t>
        </w:r>
        <w:r w:rsidR="00B611D0" w:rsidRPr="006E5C82">
          <w:rPr>
            <w:rFonts w:asciiTheme="minorHAnsi" w:eastAsiaTheme="minorEastAsia" w:hAnsiTheme="minorHAnsi" w:cstheme="minorBidi"/>
            <w:sz w:val="22"/>
            <w:szCs w:val="22"/>
          </w:rPr>
          <w:tab/>
        </w:r>
        <w:r w:rsidR="00B611D0" w:rsidRPr="006E5C82">
          <w:rPr>
            <w:rStyle w:val="Hyperlink"/>
          </w:rPr>
          <w:t>Collection of Information Employing Statistical Methods</w:t>
        </w:r>
      </w:hyperlink>
    </w:p>
    <w:p w:rsidR="00B611D0" w:rsidRPr="006E5C82" w:rsidRDefault="00C97263" w:rsidP="00EA00AF">
      <w:pPr>
        <w:pStyle w:val="TOC2"/>
        <w:rPr>
          <w:rFonts w:asciiTheme="minorHAnsi" w:eastAsiaTheme="minorEastAsia" w:hAnsiTheme="minorHAnsi" w:cstheme="minorBidi"/>
          <w:sz w:val="22"/>
        </w:rPr>
      </w:pPr>
      <w:hyperlink w:anchor="_Toc348434921" w:history="1">
        <w:r w:rsidR="00B611D0" w:rsidRPr="006E5C82">
          <w:rPr>
            <w:rStyle w:val="Hyperlink"/>
          </w:rPr>
          <w:t>B</w:t>
        </w:r>
        <w:r w:rsidR="00EA00AF">
          <w:rPr>
            <w:rStyle w:val="Hyperlink"/>
          </w:rPr>
          <w:t>.</w:t>
        </w:r>
        <w:r w:rsidR="00B611D0" w:rsidRPr="006E5C82">
          <w:rPr>
            <w:rStyle w:val="Hyperlink"/>
          </w:rPr>
          <w:t>1</w:t>
        </w:r>
        <w:r w:rsidR="00B611D0" w:rsidRPr="006E5C82">
          <w:rPr>
            <w:rFonts w:asciiTheme="minorHAnsi" w:eastAsiaTheme="minorEastAsia" w:hAnsiTheme="minorHAnsi" w:cstheme="minorBidi"/>
            <w:sz w:val="22"/>
          </w:rPr>
          <w:tab/>
        </w:r>
        <w:r w:rsidR="00B611D0" w:rsidRPr="006E5C82">
          <w:rPr>
            <w:rStyle w:val="Hyperlink"/>
          </w:rPr>
          <w:t>Respondent Universe and Sampling Methods</w:t>
        </w:r>
      </w:hyperlink>
    </w:p>
    <w:p w:rsidR="00B611D0" w:rsidRPr="006E5C82" w:rsidRDefault="00C97263">
      <w:pPr>
        <w:pStyle w:val="TOC3"/>
        <w:rPr>
          <w:rFonts w:asciiTheme="minorHAnsi" w:eastAsiaTheme="minorEastAsia" w:hAnsiTheme="minorHAnsi" w:cstheme="minorBidi"/>
          <w:sz w:val="22"/>
          <w:szCs w:val="22"/>
        </w:rPr>
      </w:pPr>
      <w:hyperlink w:anchor="_Toc348434922" w:history="1">
        <w:r w:rsidR="00B611D0" w:rsidRPr="006E5C82">
          <w:rPr>
            <w:rStyle w:val="Hyperlink"/>
          </w:rPr>
          <w:t>Respondent Universe</w:t>
        </w:r>
      </w:hyperlink>
    </w:p>
    <w:p w:rsidR="00B611D0" w:rsidRPr="006E5C82" w:rsidRDefault="00C97263">
      <w:pPr>
        <w:pStyle w:val="TOC3"/>
        <w:rPr>
          <w:rFonts w:asciiTheme="minorHAnsi" w:eastAsiaTheme="minorEastAsia" w:hAnsiTheme="minorHAnsi" w:cstheme="minorBidi"/>
          <w:sz w:val="22"/>
          <w:szCs w:val="22"/>
        </w:rPr>
      </w:pPr>
      <w:hyperlink w:anchor="_Toc348434923" w:history="1">
        <w:r w:rsidR="00B611D0" w:rsidRPr="006E5C82">
          <w:rPr>
            <w:rStyle w:val="Hyperlink"/>
          </w:rPr>
          <w:t>Sample Selection</w:t>
        </w:r>
      </w:hyperlink>
    </w:p>
    <w:p w:rsidR="00B611D0" w:rsidRPr="006E5C82" w:rsidRDefault="00C97263">
      <w:pPr>
        <w:pStyle w:val="TOC3"/>
        <w:rPr>
          <w:rFonts w:asciiTheme="minorHAnsi" w:eastAsiaTheme="minorEastAsia" w:hAnsiTheme="minorHAnsi" w:cstheme="minorBidi"/>
          <w:sz w:val="22"/>
          <w:szCs w:val="22"/>
        </w:rPr>
      </w:pPr>
      <w:hyperlink w:anchor="_Toc348434924" w:history="1">
        <w:r w:rsidR="00B611D0" w:rsidRPr="006E5C82">
          <w:rPr>
            <w:rStyle w:val="Hyperlink"/>
          </w:rPr>
          <w:t>Recruitment Strategies</w:t>
        </w:r>
      </w:hyperlink>
    </w:p>
    <w:p w:rsidR="00B611D0" w:rsidRPr="006E5C82" w:rsidRDefault="00C97263">
      <w:pPr>
        <w:pStyle w:val="TOC3"/>
        <w:rPr>
          <w:rFonts w:asciiTheme="minorHAnsi" w:eastAsiaTheme="minorEastAsia" w:hAnsiTheme="minorHAnsi" w:cstheme="minorBidi"/>
          <w:sz w:val="22"/>
          <w:szCs w:val="22"/>
        </w:rPr>
      </w:pPr>
      <w:hyperlink w:anchor="_Toc348434925" w:history="1">
        <w:r w:rsidR="00B611D0" w:rsidRPr="006E5C82">
          <w:rPr>
            <w:rStyle w:val="Hyperlink"/>
          </w:rPr>
          <w:t>Statistical Power</w:t>
        </w:r>
      </w:hyperlink>
    </w:p>
    <w:p w:rsidR="00B611D0" w:rsidRPr="006E5C82" w:rsidRDefault="00C97263">
      <w:pPr>
        <w:pStyle w:val="TOC3"/>
        <w:rPr>
          <w:rFonts w:asciiTheme="minorHAnsi" w:eastAsiaTheme="minorEastAsia" w:hAnsiTheme="minorHAnsi" w:cstheme="minorBidi"/>
          <w:sz w:val="22"/>
          <w:szCs w:val="22"/>
        </w:rPr>
      </w:pPr>
      <w:hyperlink w:anchor="_Toc348434926" w:history="1">
        <w:r w:rsidR="00B611D0" w:rsidRPr="006E5C82">
          <w:rPr>
            <w:rStyle w:val="Hyperlink"/>
            <w:i/>
            <w:iCs/>
          </w:rPr>
          <w:t>Standard Protocol</w:t>
        </w:r>
      </w:hyperlink>
    </w:p>
    <w:p w:rsidR="00B611D0" w:rsidRPr="006E5C82" w:rsidRDefault="00C97263">
      <w:pPr>
        <w:pStyle w:val="TOC3"/>
        <w:rPr>
          <w:rFonts w:asciiTheme="minorHAnsi" w:eastAsiaTheme="minorEastAsia" w:hAnsiTheme="minorHAnsi" w:cstheme="minorBidi"/>
          <w:sz w:val="22"/>
          <w:szCs w:val="22"/>
        </w:rPr>
      </w:pPr>
      <w:hyperlink w:anchor="_Toc348434927" w:history="1">
        <w:r w:rsidR="00B611D0" w:rsidRPr="006E5C82">
          <w:rPr>
            <w:rStyle w:val="Hyperlink"/>
            <w:i/>
            <w:iCs/>
          </w:rPr>
          <w:t>Enhanced Protocol</w:t>
        </w:r>
      </w:hyperlink>
    </w:p>
    <w:p w:rsidR="00B611D0" w:rsidRPr="006E5C82" w:rsidRDefault="00C97263" w:rsidP="00EA00AF">
      <w:pPr>
        <w:pStyle w:val="TOC2"/>
        <w:rPr>
          <w:rFonts w:asciiTheme="minorHAnsi" w:eastAsiaTheme="minorEastAsia" w:hAnsiTheme="minorHAnsi" w:cstheme="minorBidi"/>
          <w:sz w:val="22"/>
        </w:rPr>
      </w:pPr>
      <w:hyperlink w:anchor="_Toc348434928" w:history="1">
        <w:r w:rsidR="00B611D0" w:rsidRPr="006E5C82">
          <w:rPr>
            <w:rStyle w:val="Hyperlink"/>
          </w:rPr>
          <w:t>B</w:t>
        </w:r>
        <w:r w:rsidR="00EA00AF">
          <w:rPr>
            <w:rStyle w:val="Hyperlink"/>
          </w:rPr>
          <w:t>.</w:t>
        </w:r>
        <w:r w:rsidR="00B611D0" w:rsidRPr="006E5C82">
          <w:rPr>
            <w:rStyle w:val="Hyperlink"/>
          </w:rPr>
          <w:t>2</w:t>
        </w:r>
        <w:r w:rsidR="00B611D0" w:rsidRPr="006E5C82">
          <w:rPr>
            <w:rFonts w:asciiTheme="minorHAnsi" w:eastAsiaTheme="minorEastAsia" w:hAnsiTheme="minorHAnsi" w:cstheme="minorBidi"/>
            <w:sz w:val="22"/>
          </w:rPr>
          <w:tab/>
        </w:r>
        <w:r w:rsidR="00B611D0" w:rsidRPr="006E5C82">
          <w:rPr>
            <w:rStyle w:val="Hyperlink"/>
          </w:rPr>
          <w:t>Procedures for the Collection of Information</w:t>
        </w:r>
      </w:hyperlink>
    </w:p>
    <w:p w:rsidR="00B611D0" w:rsidRPr="006E5C82" w:rsidRDefault="00C97263" w:rsidP="00EA00AF">
      <w:pPr>
        <w:pStyle w:val="TOC2"/>
        <w:rPr>
          <w:rFonts w:asciiTheme="minorHAnsi" w:eastAsiaTheme="minorEastAsia" w:hAnsiTheme="minorHAnsi" w:cstheme="minorBidi"/>
          <w:sz w:val="22"/>
        </w:rPr>
      </w:pPr>
      <w:hyperlink w:anchor="_Toc348434929" w:history="1">
        <w:r w:rsidR="00B611D0" w:rsidRPr="006E5C82">
          <w:rPr>
            <w:rStyle w:val="Hyperlink"/>
          </w:rPr>
          <w:t>B</w:t>
        </w:r>
        <w:r w:rsidR="00EA00AF">
          <w:rPr>
            <w:rStyle w:val="Hyperlink"/>
          </w:rPr>
          <w:t>.</w:t>
        </w:r>
        <w:r w:rsidR="00B611D0" w:rsidRPr="006E5C82">
          <w:rPr>
            <w:rStyle w:val="Hyperlink"/>
          </w:rPr>
          <w:t>3</w:t>
        </w:r>
        <w:r w:rsidR="00B611D0" w:rsidRPr="006E5C82">
          <w:rPr>
            <w:rFonts w:asciiTheme="minorHAnsi" w:eastAsiaTheme="minorEastAsia" w:hAnsiTheme="minorHAnsi" w:cstheme="minorBidi"/>
            <w:sz w:val="22"/>
          </w:rPr>
          <w:tab/>
        </w:r>
        <w:r w:rsidR="00B611D0" w:rsidRPr="006E5C82">
          <w:rPr>
            <w:rStyle w:val="Hyperlink"/>
          </w:rPr>
          <w:t>Methods to Maximize Response Rate and Minimize Nonresponse</w:t>
        </w:r>
      </w:hyperlink>
    </w:p>
    <w:p w:rsidR="00B611D0" w:rsidRPr="006E5C82" w:rsidRDefault="00C97263">
      <w:pPr>
        <w:pStyle w:val="TOC3"/>
        <w:rPr>
          <w:rFonts w:asciiTheme="minorHAnsi" w:eastAsiaTheme="minorEastAsia" w:hAnsiTheme="minorHAnsi" w:cstheme="minorBidi"/>
          <w:sz w:val="22"/>
          <w:szCs w:val="22"/>
        </w:rPr>
      </w:pPr>
      <w:hyperlink w:anchor="_Toc348434930" w:history="1">
        <w:r w:rsidR="00B611D0" w:rsidRPr="006E5C82">
          <w:rPr>
            <w:rStyle w:val="Hyperlink"/>
          </w:rPr>
          <w:t>Methods to Maximize Response</w:t>
        </w:r>
      </w:hyperlink>
    </w:p>
    <w:p w:rsidR="00B611D0" w:rsidRPr="006E5C82" w:rsidRDefault="00C97263">
      <w:pPr>
        <w:pStyle w:val="TOC3"/>
        <w:rPr>
          <w:rFonts w:asciiTheme="minorHAnsi" w:eastAsiaTheme="minorEastAsia" w:hAnsiTheme="minorHAnsi" w:cstheme="minorBidi"/>
          <w:sz w:val="22"/>
          <w:szCs w:val="22"/>
        </w:rPr>
      </w:pPr>
      <w:hyperlink w:anchor="_Toc348434931" w:history="1">
        <w:r w:rsidR="00B611D0" w:rsidRPr="006E5C82">
          <w:rPr>
            <w:rStyle w:val="Hyperlink"/>
          </w:rPr>
          <w:t>Management of Missing Data and Other Issues</w:t>
        </w:r>
      </w:hyperlink>
    </w:p>
    <w:p w:rsidR="00B611D0" w:rsidRPr="006E5C82" w:rsidRDefault="00EA00AF">
      <w:pPr>
        <w:pStyle w:val="TOC3"/>
        <w:rPr>
          <w:rFonts w:asciiTheme="minorHAnsi" w:eastAsiaTheme="minorEastAsia" w:hAnsiTheme="minorHAnsi" w:cstheme="minorBidi"/>
          <w:sz w:val="22"/>
          <w:szCs w:val="22"/>
        </w:rPr>
      </w:pPr>
      <w:r>
        <w:t>.</w:t>
      </w:r>
      <w:hyperlink w:anchor="_Toc348434932" w:history="1">
        <w:r w:rsidR="00B611D0" w:rsidRPr="006E5C82">
          <w:rPr>
            <w:rStyle w:val="Hyperlink"/>
          </w:rPr>
          <w:t>Description of Sample Weighting</w:t>
        </w:r>
      </w:hyperlink>
    </w:p>
    <w:p w:rsidR="00F20ECC" w:rsidRPr="00F20ECC" w:rsidRDefault="00C97263" w:rsidP="00F20ECC">
      <w:pPr>
        <w:pStyle w:val="TOC2"/>
        <w:rPr>
          <w:rFonts w:asciiTheme="minorHAnsi" w:eastAsiaTheme="minorEastAsia" w:hAnsiTheme="minorHAnsi" w:cstheme="minorBidi"/>
          <w:sz w:val="22"/>
        </w:rPr>
      </w:pPr>
      <w:hyperlink w:anchor="_Toc348434933" w:history="1">
        <w:r w:rsidR="00B611D0" w:rsidRPr="006E5C82">
          <w:rPr>
            <w:rStyle w:val="Hyperlink"/>
          </w:rPr>
          <w:t>B</w:t>
        </w:r>
        <w:r w:rsidR="00EA00AF">
          <w:rPr>
            <w:rStyle w:val="Hyperlink"/>
          </w:rPr>
          <w:t>.</w:t>
        </w:r>
        <w:r w:rsidR="00B611D0" w:rsidRPr="006E5C82">
          <w:rPr>
            <w:rStyle w:val="Hyperlink"/>
          </w:rPr>
          <w:t>4</w:t>
        </w:r>
        <w:r w:rsidR="00B611D0" w:rsidRPr="006E5C82">
          <w:rPr>
            <w:rFonts w:asciiTheme="minorHAnsi" w:eastAsiaTheme="minorEastAsia" w:hAnsiTheme="minorHAnsi" w:cstheme="minorBidi"/>
            <w:sz w:val="22"/>
          </w:rPr>
          <w:tab/>
        </w:r>
        <w:r w:rsidR="00B611D0" w:rsidRPr="006E5C82">
          <w:rPr>
            <w:rStyle w:val="Hyperlink"/>
          </w:rPr>
          <w:t xml:space="preserve">Test of Procedures or Methods to </w:t>
        </w:r>
        <w:r w:rsidR="00460B5A">
          <w:rPr>
            <w:rStyle w:val="Hyperlink"/>
          </w:rPr>
          <w:t>b</w:t>
        </w:r>
        <w:r w:rsidR="00A903A9" w:rsidRPr="006E5C82">
          <w:rPr>
            <w:rStyle w:val="Hyperlink"/>
          </w:rPr>
          <w:t xml:space="preserve">e </w:t>
        </w:r>
        <w:r w:rsidR="00B611D0" w:rsidRPr="006E5C82">
          <w:rPr>
            <w:rStyle w:val="Hyperlink"/>
          </w:rPr>
          <w:t>Undertaken</w:t>
        </w:r>
      </w:hyperlink>
    </w:p>
    <w:p w:rsidR="00F20ECC" w:rsidRPr="00F20ECC" w:rsidRDefault="00C97263" w:rsidP="00F20ECC">
      <w:pPr>
        <w:pStyle w:val="TOC2"/>
      </w:pPr>
      <w:hyperlink w:anchor="_Toc348434934" w:history="1">
        <w:r w:rsidR="00B611D0" w:rsidRPr="006E5C82">
          <w:rPr>
            <w:rStyle w:val="Hyperlink"/>
          </w:rPr>
          <w:t>B</w:t>
        </w:r>
        <w:r w:rsidR="00EA00AF">
          <w:rPr>
            <w:rStyle w:val="Hyperlink"/>
          </w:rPr>
          <w:t>.</w:t>
        </w:r>
        <w:r w:rsidR="00B611D0" w:rsidRPr="006E5C82">
          <w:rPr>
            <w:rStyle w:val="Hyperlink"/>
          </w:rPr>
          <w:t>5</w:t>
        </w:r>
        <w:r w:rsidR="00B611D0" w:rsidRPr="006E5C82">
          <w:rPr>
            <w:rFonts w:asciiTheme="minorHAnsi" w:eastAsiaTheme="minorEastAsia" w:hAnsiTheme="minorHAnsi" w:cstheme="minorBidi"/>
            <w:sz w:val="22"/>
          </w:rPr>
          <w:tab/>
        </w:r>
        <w:r w:rsidR="00B611D0" w:rsidRPr="006E5C82">
          <w:rPr>
            <w:rStyle w:val="Hyperlink"/>
          </w:rPr>
          <w:t>Individuals Consulted on Statistical Aspects or Analyzing Data</w:t>
        </w:r>
      </w:hyperlink>
    </w:p>
    <w:p w:rsidR="00B611D0" w:rsidRPr="006E5C82" w:rsidRDefault="00F20ECC">
      <w:pPr>
        <w:pStyle w:val="TOC1"/>
        <w:rPr>
          <w:rFonts w:asciiTheme="minorHAnsi" w:eastAsiaTheme="minorEastAsia" w:hAnsiTheme="minorHAnsi" w:cstheme="minorBidi"/>
          <w:sz w:val="22"/>
          <w:szCs w:val="22"/>
        </w:rPr>
      </w:pPr>
      <w:r>
        <w:tab/>
        <w:t>B. 6</w:t>
      </w:r>
      <w:r w:rsidR="009451F4">
        <w:t xml:space="preserve"> </w:t>
      </w:r>
      <w:hyperlink w:anchor="_Toc348434935" w:history="1">
        <w:r w:rsidR="00B611D0" w:rsidRPr="006E5C82">
          <w:rPr>
            <w:rStyle w:val="Hyperlink"/>
          </w:rPr>
          <w:t>References</w:t>
        </w:r>
      </w:hyperlink>
    </w:p>
    <w:p w:rsidR="007C29B5" w:rsidRPr="006E5C82" w:rsidRDefault="00777779" w:rsidP="007C29B5">
      <w:pPr>
        <w:ind w:left="990" w:hanging="990"/>
      </w:pPr>
      <w:r w:rsidRPr="006E5C82">
        <w:rPr>
          <w:noProof/>
        </w:rPr>
        <w:fldChar w:fldCharType="end"/>
      </w:r>
    </w:p>
    <w:p w:rsidR="007C29B5" w:rsidRPr="006E5C82" w:rsidRDefault="007C29B5" w:rsidP="006A5713"/>
    <w:p w:rsidR="007C29B5" w:rsidRDefault="007C29B5" w:rsidP="007C29B5">
      <w:pPr>
        <w:shd w:val="clear" w:color="auto" w:fill="FFFFFF"/>
        <w:rPr>
          <w:rFonts w:ascii="Times New Roman Bold" w:hAnsi="Times New Roman Bold"/>
        </w:rPr>
      </w:pPr>
      <w:r w:rsidRPr="006E5C82">
        <w:rPr>
          <w:rFonts w:ascii="Times New Roman Bold" w:hAnsi="Times New Roman Bold"/>
        </w:rPr>
        <w:t>LIST OF ATTACHMENTS</w:t>
      </w:r>
    </w:p>
    <w:tbl>
      <w:tblPr>
        <w:tblW w:w="0" w:type="auto"/>
        <w:tblCellMar>
          <w:left w:w="0" w:type="dxa"/>
          <w:right w:w="0" w:type="dxa"/>
        </w:tblCellMar>
        <w:tblLook w:val="04A0" w:firstRow="1" w:lastRow="0" w:firstColumn="1" w:lastColumn="0" w:noHBand="0" w:noVBand="1"/>
      </w:tblPr>
      <w:tblGrid>
        <w:gridCol w:w="1336"/>
        <w:gridCol w:w="6782"/>
      </w:tblGrid>
      <w:tr w:rsidR="003A5DCD" w:rsidRPr="00395FD9" w:rsidTr="004E2560">
        <w:tc>
          <w:tcPr>
            <w:tcW w:w="1336" w:type="dxa"/>
            <w:tcMar>
              <w:top w:w="0" w:type="dxa"/>
              <w:left w:w="108" w:type="dxa"/>
              <w:bottom w:w="0" w:type="dxa"/>
              <w:right w:w="108" w:type="dxa"/>
            </w:tcMar>
          </w:tcPr>
          <w:p w:rsidR="003A5DCD" w:rsidRDefault="003A5DCD" w:rsidP="003A5DCD">
            <w:pPr>
              <w:shd w:val="clear" w:color="auto" w:fill="FFFFFF"/>
              <w:tabs>
                <w:tab w:val="left" w:pos="270"/>
                <w:tab w:val="left" w:pos="360"/>
                <w:tab w:val="left" w:pos="630"/>
                <w:tab w:val="left" w:pos="1350"/>
                <w:tab w:val="right" w:leader="dot" w:pos="9350"/>
              </w:tabs>
              <w:jc w:val="center"/>
              <w:rPr>
                <w:noProof/>
                <w:szCs w:val="24"/>
              </w:rPr>
            </w:pPr>
          </w:p>
          <w:p w:rsidR="003A5DCD" w:rsidRDefault="003A5DCD" w:rsidP="003A5DCD">
            <w:pPr>
              <w:shd w:val="clear" w:color="auto" w:fill="FFFFFF"/>
              <w:tabs>
                <w:tab w:val="left" w:pos="270"/>
                <w:tab w:val="left" w:pos="360"/>
                <w:tab w:val="left" w:pos="630"/>
                <w:tab w:val="left" w:pos="1350"/>
                <w:tab w:val="right" w:leader="dot" w:pos="9350"/>
              </w:tabs>
              <w:jc w:val="center"/>
              <w:rPr>
                <w:noProof/>
                <w:szCs w:val="24"/>
              </w:rPr>
            </w:pPr>
            <w:r w:rsidRPr="00395FD9">
              <w:rPr>
                <w:noProof/>
                <w:szCs w:val="24"/>
              </w:rPr>
              <w:t>Attachment Number</w:t>
            </w:r>
          </w:p>
        </w:tc>
        <w:tc>
          <w:tcPr>
            <w:tcW w:w="6782" w:type="dxa"/>
            <w:tcMar>
              <w:top w:w="0" w:type="dxa"/>
              <w:left w:w="108" w:type="dxa"/>
              <w:bottom w:w="0" w:type="dxa"/>
              <w:right w:w="108" w:type="dxa"/>
            </w:tcMar>
          </w:tcPr>
          <w:p w:rsidR="003A5DCD" w:rsidRPr="00395FD9" w:rsidRDefault="003A5DCD" w:rsidP="003A5DCD">
            <w:pPr>
              <w:shd w:val="clear" w:color="auto" w:fill="FFFFFF"/>
              <w:tabs>
                <w:tab w:val="left" w:pos="270"/>
                <w:tab w:val="left" w:pos="360"/>
                <w:tab w:val="left" w:pos="630"/>
                <w:tab w:val="left" w:pos="1350"/>
                <w:tab w:val="right" w:leader="dot" w:pos="9350"/>
              </w:tabs>
              <w:rPr>
                <w:noProof/>
                <w:szCs w:val="24"/>
              </w:rPr>
            </w:pPr>
          </w:p>
        </w:tc>
      </w:tr>
    </w:tbl>
    <w:p w:rsidR="003A5DCD" w:rsidRPr="006E5C82" w:rsidRDefault="003A5DCD" w:rsidP="004E2560">
      <w:pPr>
        <w:shd w:val="clear" w:color="auto" w:fill="FFFFFF"/>
        <w:rPr>
          <w:rFonts w:ascii="Times New Roman Bold" w:hAnsi="Times New Roman Bold"/>
        </w:rPr>
      </w:pPr>
    </w:p>
    <w:p w:rsidR="0019577A" w:rsidRPr="006E5C82" w:rsidRDefault="0019577A" w:rsidP="004E2560">
      <w:pPr>
        <w:ind w:left="1620" w:hanging="1980"/>
        <w:rPr>
          <w:szCs w:val="24"/>
        </w:rPr>
      </w:pPr>
      <w:r w:rsidRPr="006E5C82">
        <w:rPr>
          <w:szCs w:val="24"/>
        </w:rPr>
        <w:t>Attachment 1A</w:t>
      </w:r>
      <w:r w:rsidRPr="006E5C82">
        <w:rPr>
          <w:szCs w:val="24"/>
        </w:rPr>
        <w:tab/>
        <w:t>Authorizing Legislation: Public Health Service Act</w:t>
      </w:r>
    </w:p>
    <w:p w:rsidR="0019577A" w:rsidRPr="006E5C82" w:rsidRDefault="0019577A" w:rsidP="004E2560">
      <w:pPr>
        <w:ind w:left="1620" w:hanging="1980"/>
        <w:rPr>
          <w:szCs w:val="24"/>
        </w:rPr>
      </w:pPr>
      <w:r w:rsidRPr="006E5C82">
        <w:rPr>
          <w:szCs w:val="24"/>
        </w:rPr>
        <w:t>Attachment 1B</w:t>
      </w:r>
      <w:r w:rsidRPr="006E5C82">
        <w:rPr>
          <w:szCs w:val="24"/>
        </w:rPr>
        <w:tab/>
        <w:t>Authorizing Legislation: ACA Section 4201</w:t>
      </w:r>
    </w:p>
    <w:p w:rsidR="00026279" w:rsidRDefault="0019577A" w:rsidP="004E2560">
      <w:pPr>
        <w:ind w:left="1620" w:hanging="1980"/>
        <w:rPr>
          <w:szCs w:val="24"/>
        </w:rPr>
      </w:pPr>
      <w:r w:rsidRPr="006E5C82">
        <w:rPr>
          <w:szCs w:val="24"/>
        </w:rPr>
        <w:t>Attachment 2</w:t>
      </w:r>
      <w:r w:rsidRPr="006E5C82">
        <w:rPr>
          <w:szCs w:val="24"/>
        </w:rPr>
        <w:tab/>
        <w:t>60-day Federal Register Notice</w:t>
      </w:r>
    </w:p>
    <w:p w:rsidR="0019577A" w:rsidRPr="006E5C82" w:rsidRDefault="0019577A" w:rsidP="004E2560">
      <w:pPr>
        <w:ind w:left="1620" w:hanging="1980"/>
        <w:rPr>
          <w:szCs w:val="24"/>
        </w:rPr>
      </w:pPr>
      <w:r w:rsidRPr="006E5C82">
        <w:rPr>
          <w:szCs w:val="24"/>
        </w:rPr>
        <w:t>Attachment 3A</w:t>
      </w:r>
      <w:r w:rsidRPr="006E5C82">
        <w:rPr>
          <w:szCs w:val="24"/>
        </w:rPr>
        <w:tab/>
        <w:t xml:space="preserve">IRB Approval Letter, </w:t>
      </w:r>
      <w:r w:rsidRPr="006E5C82">
        <w:rPr>
          <w:i/>
          <w:szCs w:val="24"/>
        </w:rPr>
        <w:t>Standard Protocol</w:t>
      </w:r>
    </w:p>
    <w:p w:rsidR="0019577A" w:rsidRPr="006E5C82" w:rsidRDefault="0019577A" w:rsidP="004E2560">
      <w:pPr>
        <w:ind w:left="1620" w:hanging="1980"/>
        <w:rPr>
          <w:szCs w:val="24"/>
        </w:rPr>
      </w:pPr>
      <w:r w:rsidRPr="006E5C82">
        <w:rPr>
          <w:szCs w:val="24"/>
        </w:rPr>
        <w:t>Attachment 3B</w:t>
      </w:r>
      <w:r w:rsidRPr="006E5C82">
        <w:rPr>
          <w:szCs w:val="24"/>
        </w:rPr>
        <w:tab/>
        <w:t xml:space="preserve">IRB Approval Letter, </w:t>
      </w:r>
      <w:r w:rsidRPr="006E5C82">
        <w:rPr>
          <w:i/>
          <w:szCs w:val="24"/>
        </w:rPr>
        <w:t>Enhanced Protocol</w:t>
      </w:r>
    </w:p>
    <w:p w:rsidR="0019577A" w:rsidRPr="006E5C82" w:rsidRDefault="0019577A" w:rsidP="004E2560">
      <w:pPr>
        <w:ind w:left="1620" w:hanging="1980"/>
        <w:rPr>
          <w:szCs w:val="24"/>
        </w:rPr>
      </w:pPr>
      <w:r w:rsidRPr="006E5C82">
        <w:rPr>
          <w:szCs w:val="24"/>
        </w:rPr>
        <w:t>Attachment 4A</w:t>
      </w:r>
      <w:r w:rsidRPr="006E5C82">
        <w:rPr>
          <w:szCs w:val="24"/>
        </w:rPr>
        <w:tab/>
        <w:t xml:space="preserve">Strategic Directions </w:t>
      </w:r>
      <w:r w:rsidR="003A5DCD">
        <w:rPr>
          <w:szCs w:val="24"/>
        </w:rPr>
        <w:t xml:space="preserve">and Examples </w:t>
      </w:r>
      <w:r w:rsidRPr="006E5C82">
        <w:rPr>
          <w:szCs w:val="24"/>
        </w:rPr>
        <w:t>of CDC-Recommended Evidence- and Practice-Based Strategies</w:t>
      </w:r>
    </w:p>
    <w:p w:rsidR="0019577A" w:rsidRPr="006E5C82" w:rsidRDefault="0019577A" w:rsidP="004E2560">
      <w:pPr>
        <w:ind w:left="1620" w:hanging="1980"/>
        <w:rPr>
          <w:szCs w:val="24"/>
        </w:rPr>
      </w:pPr>
      <w:r w:rsidRPr="006E5C82">
        <w:rPr>
          <w:szCs w:val="24"/>
        </w:rPr>
        <w:t>Attachment 4B</w:t>
      </w:r>
      <w:r w:rsidRPr="006E5C82">
        <w:rPr>
          <w:szCs w:val="24"/>
        </w:rPr>
        <w:tab/>
        <w:t>CTG Evaluation Plan</w:t>
      </w:r>
    </w:p>
    <w:p w:rsidR="0019577A" w:rsidRPr="006E5C82" w:rsidRDefault="0019577A" w:rsidP="004E2560">
      <w:pPr>
        <w:ind w:left="1620" w:hanging="1980"/>
        <w:rPr>
          <w:szCs w:val="24"/>
        </w:rPr>
      </w:pPr>
      <w:r w:rsidRPr="006E5C82">
        <w:rPr>
          <w:szCs w:val="24"/>
        </w:rPr>
        <w:t>Attachment 4C</w:t>
      </w:r>
      <w:r w:rsidRPr="006E5C82">
        <w:rPr>
          <w:szCs w:val="24"/>
        </w:rPr>
        <w:tab/>
        <w:t>List of CTG Awardees Included in the Targeted Surveillance and Biometric Study</w:t>
      </w:r>
    </w:p>
    <w:p w:rsidR="0019577A" w:rsidRPr="006E5C82" w:rsidRDefault="0019577A" w:rsidP="004E2560">
      <w:pPr>
        <w:ind w:left="1620" w:hanging="1980"/>
        <w:rPr>
          <w:szCs w:val="24"/>
        </w:rPr>
      </w:pPr>
      <w:r w:rsidRPr="006E5C82">
        <w:rPr>
          <w:szCs w:val="24"/>
        </w:rPr>
        <w:t>Attachment 5</w:t>
      </w:r>
      <w:r w:rsidRPr="006E5C82">
        <w:rPr>
          <w:szCs w:val="24"/>
        </w:rPr>
        <w:tab/>
        <w:t>Other Data Sources Consulted</w:t>
      </w:r>
    </w:p>
    <w:p w:rsidR="0019577A" w:rsidRPr="006E5C82" w:rsidRDefault="0019577A" w:rsidP="004E2560">
      <w:pPr>
        <w:ind w:left="1620" w:hanging="1980"/>
        <w:rPr>
          <w:bCs/>
          <w:szCs w:val="24"/>
        </w:rPr>
      </w:pPr>
      <w:r w:rsidRPr="006E5C82">
        <w:rPr>
          <w:szCs w:val="24"/>
        </w:rPr>
        <w:t>Attachment 6A</w:t>
      </w:r>
      <w:r w:rsidRPr="006E5C82">
        <w:rPr>
          <w:szCs w:val="24"/>
        </w:rPr>
        <w:tab/>
      </w:r>
      <w:r w:rsidRPr="006E5C82">
        <w:rPr>
          <w:bCs/>
          <w:i/>
          <w:szCs w:val="24"/>
        </w:rPr>
        <w:t>Standard Protocol:</w:t>
      </w:r>
      <w:r w:rsidRPr="006E5C82">
        <w:rPr>
          <w:bCs/>
          <w:szCs w:val="24"/>
        </w:rPr>
        <w:t xml:space="preserve"> Consent to Participate in Research (Paper)</w:t>
      </w:r>
    </w:p>
    <w:p w:rsidR="0019577A" w:rsidRPr="006E5C82" w:rsidRDefault="0019577A" w:rsidP="004E2560">
      <w:pPr>
        <w:ind w:left="1620" w:hanging="1980"/>
        <w:rPr>
          <w:bCs/>
          <w:szCs w:val="24"/>
        </w:rPr>
      </w:pPr>
      <w:r w:rsidRPr="006E5C82">
        <w:rPr>
          <w:szCs w:val="24"/>
        </w:rPr>
        <w:t>Attachment 6A-S</w:t>
      </w:r>
      <w:r w:rsidRPr="006E5C82">
        <w:rPr>
          <w:szCs w:val="24"/>
        </w:rPr>
        <w:tab/>
      </w:r>
      <w:r w:rsidRPr="006E5C82">
        <w:rPr>
          <w:bCs/>
          <w:i/>
          <w:szCs w:val="24"/>
        </w:rPr>
        <w:t>Standard Protocol:</w:t>
      </w:r>
      <w:r w:rsidRPr="006E5C82">
        <w:rPr>
          <w:bCs/>
          <w:szCs w:val="24"/>
        </w:rPr>
        <w:t xml:space="preserve"> Consent to Participate in Research (Paper) – Spanish</w:t>
      </w:r>
    </w:p>
    <w:p w:rsidR="0019577A" w:rsidRPr="006E5C82" w:rsidRDefault="0019577A" w:rsidP="004E2560">
      <w:pPr>
        <w:ind w:left="1620" w:hanging="1980"/>
        <w:rPr>
          <w:szCs w:val="24"/>
        </w:rPr>
      </w:pPr>
      <w:r w:rsidRPr="006E5C82">
        <w:rPr>
          <w:szCs w:val="24"/>
        </w:rPr>
        <w:t>Attachment 6B</w:t>
      </w:r>
      <w:r w:rsidRPr="006E5C82">
        <w:rPr>
          <w:szCs w:val="24"/>
        </w:rPr>
        <w:tab/>
      </w:r>
      <w:r w:rsidRPr="006E5C82">
        <w:rPr>
          <w:bCs/>
          <w:i/>
          <w:szCs w:val="24"/>
        </w:rPr>
        <w:t>Standard Protocol:</w:t>
      </w:r>
      <w:r w:rsidRPr="006E5C82">
        <w:rPr>
          <w:bCs/>
          <w:szCs w:val="24"/>
        </w:rPr>
        <w:t xml:space="preserve"> Consent to Participate in Research (Phone)</w:t>
      </w:r>
    </w:p>
    <w:p w:rsidR="0019577A" w:rsidRPr="006E5C82" w:rsidRDefault="0019577A" w:rsidP="004E2560">
      <w:pPr>
        <w:ind w:left="1620" w:hanging="1980"/>
        <w:rPr>
          <w:szCs w:val="24"/>
        </w:rPr>
      </w:pPr>
      <w:r w:rsidRPr="006E5C82">
        <w:rPr>
          <w:szCs w:val="24"/>
        </w:rPr>
        <w:t>Attachment 6B-S</w:t>
      </w:r>
      <w:r w:rsidRPr="006E5C82">
        <w:rPr>
          <w:szCs w:val="24"/>
        </w:rPr>
        <w:tab/>
      </w:r>
      <w:r w:rsidRPr="006E5C82">
        <w:rPr>
          <w:bCs/>
          <w:i/>
          <w:szCs w:val="24"/>
        </w:rPr>
        <w:t>Standard Protocol:</w:t>
      </w:r>
      <w:r w:rsidRPr="006E5C82">
        <w:rPr>
          <w:bCs/>
          <w:szCs w:val="24"/>
        </w:rPr>
        <w:t xml:space="preserve"> Consent to Participate in Research (Phone) – Spanish</w:t>
      </w:r>
    </w:p>
    <w:p w:rsidR="0019577A" w:rsidRPr="006E5C82" w:rsidRDefault="0019577A" w:rsidP="004E2560">
      <w:pPr>
        <w:ind w:left="1620" w:hanging="1980"/>
        <w:rPr>
          <w:szCs w:val="24"/>
        </w:rPr>
      </w:pPr>
      <w:r w:rsidRPr="006E5C82">
        <w:rPr>
          <w:szCs w:val="24"/>
        </w:rPr>
        <w:t>Attachment 6C</w:t>
      </w:r>
      <w:r w:rsidRPr="006E5C82">
        <w:rPr>
          <w:szCs w:val="24"/>
        </w:rPr>
        <w:tab/>
      </w:r>
      <w:r w:rsidRPr="006E5C82">
        <w:rPr>
          <w:i/>
          <w:szCs w:val="24"/>
        </w:rPr>
        <w:t>Enhanced Protocol</w:t>
      </w:r>
      <w:r w:rsidRPr="006E5C82">
        <w:rPr>
          <w:szCs w:val="24"/>
        </w:rPr>
        <w:t xml:space="preserve">: </w:t>
      </w:r>
      <w:r w:rsidRPr="006E5C82">
        <w:rPr>
          <w:bCs/>
          <w:szCs w:val="24"/>
        </w:rPr>
        <w:t>Youth Assent Forms</w:t>
      </w:r>
    </w:p>
    <w:p w:rsidR="0019577A" w:rsidRPr="006E5C82" w:rsidRDefault="0019577A" w:rsidP="004E2560">
      <w:pPr>
        <w:ind w:left="1620" w:hanging="1980"/>
        <w:rPr>
          <w:szCs w:val="24"/>
        </w:rPr>
      </w:pPr>
      <w:r w:rsidRPr="006E5C82">
        <w:rPr>
          <w:szCs w:val="24"/>
        </w:rPr>
        <w:t>Attachment 6C-S</w:t>
      </w:r>
      <w:r w:rsidRPr="006E5C82">
        <w:rPr>
          <w:szCs w:val="24"/>
        </w:rPr>
        <w:tab/>
      </w:r>
      <w:r w:rsidRPr="006E5C82">
        <w:rPr>
          <w:i/>
          <w:szCs w:val="24"/>
        </w:rPr>
        <w:t>Enhanced Protocol</w:t>
      </w:r>
      <w:r w:rsidRPr="006E5C82">
        <w:rPr>
          <w:szCs w:val="24"/>
        </w:rPr>
        <w:t xml:space="preserve">: </w:t>
      </w:r>
      <w:r w:rsidRPr="006E5C82">
        <w:rPr>
          <w:bCs/>
          <w:szCs w:val="24"/>
        </w:rPr>
        <w:t>Youth Assent Forms – Spanish</w:t>
      </w:r>
    </w:p>
    <w:p w:rsidR="0019577A" w:rsidRPr="006E5C82" w:rsidRDefault="0019577A" w:rsidP="004E2560">
      <w:pPr>
        <w:ind w:left="1620" w:hanging="1980"/>
        <w:rPr>
          <w:bCs/>
          <w:szCs w:val="24"/>
        </w:rPr>
      </w:pPr>
      <w:r w:rsidRPr="006E5C82">
        <w:rPr>
          <w:szCs w:val="24"/>
        </w:rPr>
        <w:t>Attachment 6D</w:t>
      </w:r>
      <w:r w:rsidRPr="006E5C82">
        <w:rPr>
          <w:szCs w:val="24"/>
        </w:rPr>
        <w:tab/>
      </w:r>
      <w:r w:rsidRPr="006E5C82">
        <w:rPr>
          <w:i/>
          <w:szCs w:val="24"/>
        </w:rPr>
        <w:t xml:space="preserve">Enhanced </w:t>
      </w:r>
      <w:proofErr w:type="gramStart"/>
      <w:r w:rsidRPr="006E5C82">
        <w:rPr>
          <w:i/>
          <w:szCs w:val="24"/>
        </w:rPr>
        <w:t>Protocol</w:t>
      </w:r>
      <w:proofErr w:type="gramEnd"/>
      <w:r w:rsidRPr="006E5C82">
        <w:rPr>
          <w:szCs w:val="24"/>
        </w:rPr>
        <w:t xml:space="preserve">: </w:t>
      </w:r>
      <w:r w:rsidRPr="006E5C82">
        <w:rPr>
          <w:bCs/>
          <w:szCs w:val="24"/>
        </w:rPr>
        <w:t>Consent to Participate in Research (Adults Only)</w:t>
      </w:r>
    </w:p>
    <w:p w:rsidR="0019577A" w:rsidRPr="006E5C82" w:rsidRDefault="0019577A" w:rsidP="004E2560">
      <w:pPr>
        <w:ind w:left="1620" w:hanging="1980"/>
        <w:rPr>
          <w:bCs/>
          <w:szCs w:val="24"/>
        </w:rPr>
      </w:pPr>
      <w:r w:rsidRPr="006E5C82">
        <w:rPr>
          <w:szCs w:val="24"/>
        </w:rPr>
        <w:lastRenderedPageBreak/>
        <w:t>Attachment 6D-S</w:t>
      </w:r>
      <w:r w:rsidRPr="006E5C82">
        <w:rPr>
          <w:szCs w:val="24"/>
        </w:rPr>
        <w:tab/>
      </w:r>
      <w:r w:rsidRPr="006E5C82">
        <w:rPr>
          <w:i/>
          <w:szCs w:val="24"/>
        </w:rPr>
        <w:t>Enhanced Protocol</w:t>
      </w:r>
      <w:r w:rsidRPr="006E5C82">
        <w:rPr>
          <w:szCs w:val="24"/>
        </w:rPr>
        <w:t xml:space="preserve">: </w:t>
      </w:r>
      <w:r w:rsidRPr="006E5C82">
        <w:rPr>
          <w:bCs/>
          <w:szCs w:val="24"/>
        </w:rPr>
        <w:t>Consent to Participate in Research (Adults Only) – Spanish</w:t>
      </w:r>
    </w:p>
    <w:p w:rsidR="0019577A" w:rsidRPr="006E5C82" w:rsidRDefault="0019577A" w:rsidP="004E2560">
      <w:pPr>
        <w:ind w:left="1620" w:hanging="1980"/>
        <w:rPr>
          <w:bCs/>
          <w:szCs w:val="24"/>
        </w:rPr>
      </w:pPr>
      <w:r w:rsidRPr="006E5C82">
        <w:rPr>
          <w:bCs/>
          <w:szCs w:val="24"/>
        </w:rPr>
        <w:t>Attachment 6E</w:t>
      </w:r>
      <w:r w:rsidRPr="006E5C82">
        <w:rPr>
          <w:bCs/>
          <w:szCs w:val="24"/>
        </w:rPr>
        <w:tab/>
      </w:r>
      <w:r w:rsidRPr="006E5C82">
        <w:rPr>
          <w:bCs/>
          <w:i/>
          <w:szCs w:val="24"/>
        </w:rPr>
        <w:t>Enhanced Protocol</w:t>
      </w:r>
      <w:r w:rsidRPr="006E5C82">
        <w:rPr>
          <w:bCs/>
          <w:szCs w:val="24"/>
        </w:rPr>
        <w:t>: Parental Permission to Participate in Research (Children Ages 3-17)</w:t>
      </w:r>
    </w:p>
    <w:p w:rsidR="0019577A" w:rsidRPr="006E5C82" w:rsidRDefault="0019577A" w:rsidP="004E2560">
      <w:pPr>
        <w:ind w:left="1620" w:hanging="1980"/>
        <w:rPr>
          <w:bCs/>
          <w:szCs w:val="24"/>
        </w:rPr>
      </w:pPr>
      <w:r w:rsidRPr="006E5C82">
        <w:rPr>
          <w:bCs/>
          <w:szCs w:val="24"/>
        </w:rPr>
        <w:t>Attachment 6E</w:t>
      </w:r>
      <w:r w:rsidRPr="006E5C82">
        <w:rPr>
          <w:szCs w:val="24"/>
        </w:rPr>
        <w:t>-S</w:t>
      </w:r>
      <w:r w:rsidRPr="006E5C82">
        <w:rPr>
          <w:bCs/>
          <w:szCs w:val="24"/>
        </w:rPr>
        <w:tab/>
      </w:r>
      <w:r w:rsidRPr="006E5C82">
        <w:rPr>
          <w:bCs/>
          <w:i/>
          <w:szCs w:val="24"/>
        </w:rPr>
        <w:t>Enhanced Protocol</w:t>
      </w:r>
      <w:r w:rsidRPr="006E5C82">
        <w:rPr>
          <w:bCs/>
          <w:szCs w:val="24"/>
        </w:rPr>
        <w:t xml:space="preserve"> Parental Permission to Participate in Research (Children Ages 3-17)</w:t>
      </w:r>
      <w:r w:rsidR="00AA638A">
        <w:rPr>
          <w:bCs/>
          <w:szCs w:val="24"/>
        </w:rPr>
        <w:t xml:space="preserve"> </w:t>
      </w:r>
      <w:r w:rsidR="00F82460">
        <w:rPr>
          <w:bCs/>
          <w:szCs w:val="24"/>
        </w:rPr>
        <w:t>–</w:t>
      </w:r>
      <w:r w:rsidR="00AA638A">
        <w:rPr>
          <w:bCs/>
          <w:szCs w:val="24"/>
        </w:rPr>
        <w:t xml:space="preserve"> Spanish</w:t>
      </w:r>
    </w:p>
    <w:p w:rsidR="0019577A" w:rsidRPr="006E5C82" w:rsidRDefault="0019577A" w:rsidP="004E2560">
      <w:pPr>
        <w:ind w:left="1620" w:hanging="1980"/>
        <w:rPr>
          <w:szCs w:val="24"/>
        </w:rPr>
      </w:pPr>
      <w:r w:rsidRPr="006E5C82">
        <w:rPr>
          <w:szCs w:val="24"/>
        </w:rPr>
        <w:t>Attachment 7A</w:t>
      </w:r>
      <w:r w:rsidRPr="006E5C82">
        <w:rPr>
          <w:szCs w:val="24"/>
        </w:rPr>
        <w:tab/>
        <w:t>Adult Targ</w:t>
      </w:r>
      <w:r w:rsidR="00E421E6">
        <w:rPr>
          <w:szCs w:val="24"/>
        </w:rPr>
        <w:t>eted Surveillance Survey – Paper Booklet</w:t>
      </w:r>
    </w:p>
    <w:p w:rsidR="0019577A" w:rsidRPr="006E5C82" w:rsidRDefault="0019577A" w:rsidP="004E2560">
      <w:pPr>
        <w:ind w:left="1620" w:hanging="1980"/>
        <w:rPr>
          <w:szCs w:val="24"/>
        </w:rPr>
      </w:pPr>
      <w:r w:rsidRPr="006E5C82">
        <w:rPr>
          <w:szCs w:val="24"/>
        </w:rPr>
        <w:t>Attachment 7A-S</w:t>
      </w:r>
      <w:r w:rsidRPr="006E5C82">
        <w:rPr>
          <w:szCs w:val="24"/>
        </w:rPr>
        <w:tab/>
        <w:t>Adult Targeted Surveillance Survey – Paper</w:t>
      </w:r>
      <w:r w:rsidR="00E421E6">
        <w:rPr>
          <w:szCs w:val="24"/>
        </w:rPr>
        <w:t xml:space="preserve"> Booklet</w:t>
      </w:r>
      <w:r w:rsidRPr="006E5C82">
        <w:rPr>
          <w:szCs w:val="24"/>
        </w:rPr>
        <w:t xml:space="preserve"> – Spanish</w:t>
      </w:r>
    </w:p>
    <w:p w:rsidR="0019577A" w:rsidRPr="006E5C82" w:rsidRDefault="0019577A" w:rsidP="004E2560">
      <w:pPr>
        <w:ind w:left="1620" w:hanging="1980"/>
        <w:rPr>
          <w:szCs w:val="24"/>
        </w:rPr>
      </w:pPr>
      <w:r w:rsidRPr="006E5C82">
        <w:rPr>
          <w:szCs w:val="24"/>
        </w:rPr>
        <w:t>Attachment 7B</w:t>
      </w:r>
      <w:r w:rsidRPr="006E5C82">
        <w:rPr>
          <w:szCs w:val="24"/>
        </w:rPr>
        <w:tab/>
        <w:t xml:space="preserve">Adult Targeted Surveillance Survey – Paper </w:t>
      </w:r>
      <w:r w:rsidR="00C87ABA">
        <w:rPr>
          <w:szCs w:val="24"/>
        </w:rPr>
        <w:t xml:space="preserve">Booklet </w:t>
      </w:r>
      <w:r w:rsidRPr="006E5C82">
        <w:rPr>
          <w:szCs w:val="24"/>
        </w:rPr>
        <w:t>FAQ Guide</w:t>
      </w:r>
    </w:p>
    <w:p w:rsidR="0019577A" w:rsidRPr="006E5C82" w:rsidRDefault="0019577A" w:rsidP="004E2560">
      <w:pPr>
        <w:ind w:left="1620" w:hanging="1980"/>
        <w:rPr>
          <w:szCs w:val="24"/>
        </w:rPr>
      </w:pPr>
      <w:r w:rsidRPr="006E5C82">
        <w:rPr>
          <w:szCs w:val="24"/>
        </w:rPr>
        <w:t>Attachment 7B-S</w:t>
      </w:r>
      <w:r w:rsidRPr="006E5C82">
        <w:rPr>
          <w:szCs w:val="24"/>
        </w:rPr>
        <w:tab/>
        <w:t xml:space="preserve">Adult Targeted Surveillance Survey – Paper </w:t>
      </w:r>
      <w:r w:rsidR="00C87ABA">
        <w:rPr>
          <w:szCs w:val="24"/>
        </w:rPr>
        <w:t xml:space="preserve">Booklet </w:t>
      </w:r>
      <w:r w:rsidRPr="006E5C82">
        <w:rPr>
          <w:szCs w:val="24"/>
        </w:rPr>
        <w:t xml:space="preserve">FAQ Guide – Spanish </w:t>
      </w:r>
    </w:p>
    <w:p w:rsidR="0019577A" w:rsidRPr="006E5C82" w:rsidRDefault="0019577A" w:rsidP="004E2560">
      <w:pPr>
        <w:ind w:left="1620" w:hanging="1980"/>
      </w:pPr>
      <w:r w:rsidRPr="006E5C82">
        <w:rPr>
          <w:szCs w:val="24"/>
        </w:rPr>
        <w:t>Attachment 7C</w:t>
      </w:r>
      <w:r w:rsidRPr="006E5C82">
        <w:rPr>
          <w:szCs w:val="24"/>
        </w:rPr>
        <w:tab/>
        <w:t xml:space="preserve">Adult Targeted Surveillance Survey </w:t>
      </w:r>
      <w:r w:rsidR="00F82460">
        <w:rPr>
          <w:szCs w:val="24"/>
        </w:rPr>
        <w:t>–</w:t>
      </w:r>
      <w:r w:rsidR="00F82460" w:rsidRPr="006E5C82">
        <w:rPr>
          <w:szCs w:val="24"/>
        </w:rPr>
        <w:t xml:space="preserve"> </w:t>
      </w:r>
      <w:r w:rsidR="000C5694">
        <w:rPr>
          <w:szCs w:val="24"/>
        </w:rPr>
        <w:t>Telephone</w:t>
      </w:r>
    </w:p>
    <w:p w:rsidR="00C86201" w:rsidRDefault="0019577A" w:rsidP="004E2560">
      <w:pPr>
        <w:ind w:left="1620" w:hanging="1980"/>
        <w:rPr>
          <w:szCs w:val="24"/>
        </w:rPr>
      </w:pPr>
      <w:r w:rsidRPr="006E5C82">
        <w:rPr>
          <w:szCs w:val="24"/>
        </w:rPr>
        <w:t>Attachment 7C-S</w:t>
      </w:r>
      <w:r w:rsidRPr="006E5C82">
        <w:rPr>
          <w:szCs w:val="24"/>
        </w:rPr>
        <w:tab/>
        <w:t xml:space="preserve">Adult Targeted Surveillance Survey – </w:t>
      </w:r>
      <w:r w:rsidR="000C5694">
        <w:rPr>
          <w:szCs w:val="24"/>
        </w:rPr>
        <w:t>Telephone</w:t>
      </w:r>
      <w:r w:rsidR="000C5694" w:rsidRPr="006E5C82">
        <w:rPr>
          <w:szCs w:val="24"/>
        </w:rPr>
        <w:t xml:space="preserve"> </w:t>
      </w:r>
      <w:r w:rsidR="00F82460">
        <w:rPr>
          <w:szCs w:val="24"/>
        </w:rPr>
        <w:t>–</w:t>
      </w:r>
      <w:r w:rsidR="00F82460" w:rsidRPr="006E5C82">
        <w:rPr>
          <w:szCs w:val="24"/>
        </w:rPr>
        <w:t xml:space="preserve"> </w:t>
      </w:r>
      <w:r w:rsidRPr="006E5C82">
        <w:rPr>
          <w:szCs w:val="24"/>
        </w:rPr>
        <w:t>Spanish</w:t>
      </w:r>
    </w:p>
    <w:p w:rsidR="00C86201" w:rsidRPr="006E5C82" w:rsidRDefault="00C86201" w:rsidP="004E2560">
      <w:pPr>
        <w:ind w:left="1620" w:hanging="1980"/>
        <w:rPr>
          <w:szCs w:val="24"/>
        </w:rPr>
      </w:pPr>
      <w:r>
        <w:rPr>
          <w:szCs w:val="24"/>
        </w:rPr>
        <w:t>Attachment 7D</w:t>
      </w:r>
      <w:r>
        <w:rPr>
          <w:szCs w:val="24"/>
        </w:rPr>
        <w:tab/>
        <w:t>Adult Targeted Surveillance Survey – Documentation of Question Provenance</w:t>
      </w:r>
    </w:p>
    <w:p w:rsidR="0019577A" w:rsidRPr="006E5C82" w:rsidRDefault="0019577A" w:rsidP="004E2560">
      <w:pPr>
        <w:ind w:left="1620" w:hanging="1980"/>
        <w:rPr>
          <w:szCs w:val="24"/>
        </w:rPr>
      </w:pPr>
      <w:r w:rsidRPr="006E5C82">
        <w:rPr>
          <w:szCs w:val="24"/>
        </w:rPr>
        <w:t>Attachment 8A</w:t>
      </w:r>
      <w:r w:rsidRPr="006E5C82">
        <w:rPr>
          <w:szCs w:val="24"/>
        </w:rPr>
        <w:tab/>
        <w:t>ATSS Gift Form</w:t>
      </w:r>
    </w:p>
    <w:p w:rsidR="0019577A" w:rsidRPr="006E5C82" w:rsidRDefault="0019577A" w:rsidP="004E2560">
      <w:pPr>
        <w:ind w:left="1620" w:hanging="1980"/>
        <w:rPr>
          <w:szCs w:val="24"/>
        </w:rPr>
      </w:pPr>
      <w:r w:rsidRPr="006E5C82">
        <w:rPr>
          <w:szCs w:val="24"/>
        </w:rPr>
        <w:t>Attachment 8A-S</w:t>
      </w:r>
      <w:r w:rsidRPr="006E5C82">
        <w:rPr>
          <w:szCs w:val="24"/>
        </w:rPr>
        <w:tab/>
        <w:t>ATSS Gift Form – Spanish</w:t>
      </w:r>
    </w:p>
    <w:p w:rsidR="0019577A" w:rsidRPr="006E5C82" w:rsidRDefault="0019577A" w:rsidP="004E2560">
      <w:pPr>
        <w:ind w:left="1620" w:hanging="1980"/>
        <w:rPr>
          <w:b/>
          <w:szCs w:val="24"/>
        </w:rPr>
      </w:pPr>
      <w:r w:rsidRPr="006E5C82">
        <w:rPr>
          <w:szCs w:val="24"/>
        </w:rPr>
        <w:t>Attachment 8B</w:t>
      </w:r>
      <w:r w:rsidRPr="006E5C82">
        <w:rPr>
          <w:szCs w:val="24"/>
        </w:rPr>
        <w:tab/>
        <w:t xml:space="preserve">Letter Sent with Gift for Completing ATSS </w:t>
      </w:r>
    </w:p>
    <w:p w:rsidR="0019577A" w:rsidRPr="006E5C82" w:rsidRDefault="0019577A" w:rsidP="004E2560">
      <w:pPr>
        <w:ind w:left="1620" w:hanging="1980"/>
        <w:rPr>
          <w:b/>
          <w:szCs w:val="24"/>
        </w:rPr>
      </w:pPr>
      <w:r w:rsidRPr="006E5C82">
        <w:rPr>
          <w:szCs w:val="24"/>
        </w:rPr>
        <w:t>Attachment 8B-S</w:t>
      </w:r>
      <w:r w:rsidRPr="006E5C82">
        <w:rPr>
          <w:szCs w:val="24"/>
        </w:rPr>
        <w:tab/>
        <w:t xml:space="preserve">Letter Sent with Gift for Completing ATSS </w:t>
      </w:r>
      <w:r w:rsidR="007D0858">
        <w:rPr>
          <w:szCs w:val="24"/>
        </w:rPr>
        <w:t>–</w:t>
      </w:r>
      <w:r w:rsidRPr="006E5C82">
        <w:rPr>
          <w:szCs w:val="24"/>
        </w:rPr>
        <w:t xml:space="preserve"> Spanish</w:t>
      </w:r>
    </w:p>
    <w:p w:rsidR="0019577A" w:rsidRPr="006E5C82" w:rsidRDefault="0019577A" w:rsidP="004E2560">
      <w:pPr>
        <w:ind w:left="1620" w:hanging="1980"/>
        <w:rPr>
          <w:szCs w:val="24"/>
        </w:rPr>
      </w:pPr>
      <w:r w:rsidRPr="006E5C82">
        <w:rPr>
          <w:szCs w:val="24"/>
        </w:rPr>
        <w:t>Attachment 9A</w:t>
      </w:r>
      <w:r w:rsidRPr="006E5C82">
        <w:rPr>
          <w:szCs w:val="24"/>
        </w:rPr>
        <w:tab/>
        <w:t>Caregiver Survey</w:t>
      </w:r>
    </w:p>
    <w:p w:rsidR="0019577A" w:rsidRPr="006E5C82" w:rsidRDefault="0019577A" w:rsidP="004E2560">
      <w:pPr>
        <w:ind w:left="1620" w:hanging="1980"/>
        <w:rPr>
          <w:szCs w:val="24"/>
        </w:rPr>
      </w:pPr>
      <w:r w:rsidRPr="006E5C82">
        <w:rPr>
          <w:szCs w:val="24"/>
        </w:rPr>
        <w:t>Attachment 9A-S</w:t>
      </w:r>
      <w:r w:rsidRPr="006E5C82">
        <w:rPr>
          <w:szCs w:val="24"/>
        </w:rPr>
        <w:tab/>
        <w:t>Caregiver Survey – Spanish</w:t>
      </w:r>
    </w:p>
    <w:p w:rsidR="0019577A" w:rsidRPr="006E5C82" w:rsidRDefault="0019577A" w:rsidP="004E2560">
      <w:pPr>
        <w:ind w:left="1620" w:hanging="1980"/>
        <w:rPr>
          <w:szCs w:val="24"/>
        </w:rPr>
      </w:pPr>
      <w:r w:rsidRPr="006E5C82">
        <w:rPr>
          <w:szCs w:val="24"/>
        </w:rPr>
        <w:t>Attachment 9B</w:t>
      </w:r>
      <w:r w:rsidRPr="006E5C82">
        <w:rPr>
          <w:szCs w:val="24"/>
        </w:rPr>
        <w:tab/>
        <w:t>Youth Survey</w:t>
      </w:r>
    </w:p>
    <w:p w:rsidR="0019577A" w:rsidRDefault="0019577A" w:rsidP="004E2560">
      <w:pPr>
        <w:ind w:left="1620" w:hanging="1980"/>
        <w:rPr>
          <w:szCs w:val="24"/>
        </w:rPr>
      </w:pPr>
      <w:r w:rsidRPr="006E5C82">
        <w:rPr>
          <w:szCs w:val="24"/>
        </w:rPr>
        <w:t>Attachment 9B-S</w:t>
      </w:r>
      <w:r w:rsidRPr="006E5C82">
        <w:rPr>
          <w:szCs w:val="24"/>
        </w:rPr>
        <w:tab/>
        <w:t>Youth Survey – Spanish</w:t>
      </w:r>
    </w:p>
    <w:p w:rsidR="00C86201" w:rsidRPr="006E5C82" w:rsidRDefault="00C86201" w:rsidP="004E2560">
      <w:pPr>
        <w:ind w:left="1620" w:hanging="1980"/>
        <w:rPr>
          <w:szCs w:val="24"/>
        </w:rPr>
      </w:pPr>
      <w:r>
        <w:rPr>
          <w:szCs w:val="24"/>
        </w:rPr>
        <w:t>Attachment 9C</w:t>
      </w:r>
      <w:r>
        <w:rPr>
          <w:szCs w:val="24"/>
        </w:rPr>
        <w:tab/>
        <w:t>Youth and Caregiver Survey – Documentation of Question Provenance</w:t>
      </w:r>
    </w:p>
    <w:p w:rsidR="0019577A" w:rsidRPr="006E5C82" w:rsidRDefault="0019577A" w:rsidP="004E2560">
      <w:pPr>
        <w:ind w:left="1620" w:hanging="1980"/>
        <w:rPr>
          <w:szCs w:val="24"/>
        </w:rPr>
      </w:pPr>
      <w:r w:rsidRPr="006E5C82">
        <w:rPr>
          <w:szCs w:val="24"/>
        </w:rPr>
        <w:t>Attachment 10A</w:t>
      </w:r>
      <w:r w:rsidRPr="006E5C82">
        <w:rPr>
          <w:szCs w:val="24"/>
        </w:rPr>
        <w:tab/>
        <w:t>Adult Biometric Measures Recruitment Screener (ATSS CATI Completes)</w:t>
      </w:r>
    </w:p>
    <w:p w:rsidR="0019577A" w:rsidRPr="006E5C82" w:rsidRDefault="0019577A" w:rsidP="004E2560">
      <w:pPr>
        <w:ind w:left="1620" w:hanging="1980"/>
        <w:rPr>
          <w:szCs w:val="24"/>
        </w:rPr>
      </w:pPr>
      <w:r w:rsidRPr="006E5C82">
        <w:rPr>
          <w:szCs w:val="24"/>
        </w:rPr>
        <w:t xml:space="preserve">Attachment 10A-S </w:t>
      </w:r>
      <w:r w:rsidRPr="006E5C82">
        <w:rPr>
          <w:szCs w:val="24"/>
        </w:rPr>
        <w:tab/>
        <w:t>Adult Biometric Measures Recruitment Screener (ATSS CATI Completes) – Spanish</w:t>
      </w:r>
    </w:p>
    <w:p w:rsidR="0019577A" w:rsidRPr="006E5C82" w:rsidRDefault="0019577A" w:rsidP="004E2560">
      <w:pPr>
        <w:ind w:left="1620" w:hanging="1980"/>
        <w:rPr>
          <w:szCs w:val="24"/>
        </w:rPr>
      </w:pPr>
      <w:r w:rsidRPr="006E5C82">
        <w:rPr>
          <w:szCs w:val="24"/>
        </w:rPr>
        <w:t>Attachment 10B</w:t>
      </w:r>
      <w:r w:rsidRPr="006E5C82">
        <w:rPr>
          <w:szCs w:val="24"/>
        </w:rPr>
        <w:tab/>
        <w:t xml:space="preserve">Invitation to Participate in </w:t>
      </w:r>
      <w:r w:rsidRPr="006E5C82">
        <w:rPr>
          <w:i/>
          <w:szCs w:val="24"/>
        </w:rPr>
        <w:t>Enhanced Protocol</w:t>
      </w:r>
      <w:r w:rsidRPr="006E5C82">
        <w:rPr>
          <w:szCs w:val="24"/>
        </w:rPr>
        <w:t>, Included with the Mailed ATSS</w:t>
      </w:r>
    </w:p>
    <w:p w:rsidR="0019577A" w:rsidRPr="006E5C82" w:rsidRDefault="0019577A" w:rsidP="004E2560">
      <w:pPr>
        <w:ind w:left="1620" w:hanging="1980"/>
        <w:rPr>
          <w:szCs w:val="24"/>
        </w:rPr>
      </w:pPr>
      <w:r w:rsidRPr="006E5C82">
        <w:rPr>
          <w:szCs w:val="24"/>
        </w:rPr>
        <w:t xml:space="preserve">Attachment 10B-S </w:t>
      </w:r>
      <w:r w:rsidRPr="006E5C82">
        <w:rPr>
          <w:szCs w:val="24"/>
        </w:rPr>
        <w:tab/>
        <w:t xml:space="preserve">Invitation to Participate in </w:t>
      </w:r>
      <w:r w:rsidRPr="006E5C82">
        <w:rPr>
          <w:i/>
          <w:szCs w:val="24"/>
        </w:rPr>
        <w:t>Enhanced Protocol</w:t>
      </w:r>
      <w:r w:rsidRPr="006E5C82">
        <w:rPr>
          <w:szCs w:val="24"/>
        </w:rPr>
        <w:t xml:space="preserve">, Included with the Mailed ATSS </w:t>
      </w:r>
      <w:r w:rsidR="00F82460">
        <w:rPr>
          <w:szCs w:val="24"/>
        </w:rPr>
        <w:t>–</w:t>
      </w:r>
      <w:r w:rsidR="00F82460" w:rsidRPr="006E5C82">
        <w:rPr>
          <w:szCs w:val="24"/>
        </w:rPr>
        <w:t xml:space="preserve"> </w:t>
      </w:r>
      <w:r w:rsidRPr="006E5C82">
        <w:rPr>
          <w:szCs w:val="24"/>
        </w:rPr>
        <w:t>Spanish</w:t>
      </w:r>
    </w:p>
    <w:p w:rsidR="0019577A" w:rsidRPr="006E5C82" w:rsidRDefault="0019577A" w:rsidP="004E2560">
      <w:pPr>
        <w:ind w:left="1620" w:hanging="1980"/>
        <w:rPr>
          <w:szCs w:val="24"/>
        </w:rPr>
      </w:pPr>
      <w:r w:rsidRPr="006E5C82">
        <w:rPr>
          <w:szCs w:val="24"/>
        </w:rPr>
        <w:t>Attachment 10C</w:t>
      </w:r>
      <w:r w:rsidRPr="006E5C82">
        <w:rPr>
          <w:szCs w:val="24"/>
        </w:rPr>
        <w:tab/>
        <w:t>Adult Biometric Measures Recruitment Screener (Paper Invitation Call-Ins)</w:t>
      </w:r>
    </w:p>
    <w:p w:rsidR="00396786" w:rsidRDefault="0019577A" w:rsidP="00396786">
      <w:pPr>
        <w:ind w:left="1620" w:hanging="1980"/>
        <w:rPr>
          <w:szCs w:val="24"/>
        </w:rPr>
      </w:pPr>
      <w:r w:rsidRPr="006E5C82">
        <w:rPr>
          <w:szCs w:val="24"/>
        </w:rPr>
        <w:t>Attachment 10C-S</w:t>
      </w:r>
      <w:r w:rsidRPr="006E5C82">
        <w:rPr>
          <w:i/>
          <w:iCs/>
          <w:szCs w:val="24"/>
        </w:rPr>
        <w:t xml:space="preserve"> </w:t>
      </w:r>
      <w:r w:rsidRPr="006E5C82">
        <w:rPr>
          <w:i/>
          <w:iCs/>
          <w:szCs w:val="24"/>
        </w:rPr>
        <w:tab/>
      </w:r>
      <w:r w:rsidRPr="006E5C82">
        <w:rPr>
          <w:szCs w:val="24"/>
        </w:rPr>
        <w:t xml:space="preserve">Adult Biometric Measures Recruitment Screener (Paper Invitation Call-Ins) </w:t>
      </w:r>
      <w:r w:rsidR="00F82460">
        <w:rPr>
          <w:szCs w:val="24"/>
        </w:rPr>
        <w:t>–</w:t>
      </w:r>
      <w:r w:rsidR="00F82460" w:rsidRPr="006E5C82">
        <w:rPr>
          <w:szCs w:val="24"/>
        </w:rPr>
        <w:t xml:space="preserve"> </w:t>
      </w:r>
      <w:r w:rsidRPr="006E5C82">
        <w:rPr>
          <w:szCs w:val="24"/>
        </w:rPr>
        <w:t>Spanish</w:t>
      </w:r>
    </w:p>
    <w:p w:rsidR="00396786" w:rsidRDefault="00396786" w:rsidP="00396786">
      <w:pPr>
        <w:ind w:left="1620" w:hanging="1980"/>
        <w:rPr>
          <w:szCs w:val="24"/>
        </w:rPr>
      </w:pPr>
      <w:r>
        <w:rPr>
          <w:szCs w:val="24"/>
        </w:rPr>
        <w:t>Attachment 10D</w:t>
      </w:r>
      <w:r>
        <w:rPr>
          <w:szCs w:val="24"/>
        </w:rPr>
        <w:tab/>
      </w:r>
      <w:r>
        <w:rPr>
          <w:i/>
          <w:iCs/>
          <w:szCs w:val="24"/>
        </w:rPr>
        <w:t xml:space="preserve">Enhanced </w:t>
      </w:r>
      <w:proofErr w:type="gramStart"/>
      <w:r>
        <w:rPr>
          <w:i/>
          <w:iCs/>
          <w:szCs w:val="24"/>
        </w:rPr>
        <w:t>Protocol</w:t>
      </w:r>
      <w:proofErr w:type="gramEnd"/>
      <w:r>
        <w:rPr>
          <w:i/>
          <w:iCs/>
          <w:szCs w:val="24"/>
        </w:rPr>
        <w:t xml:space="preserve">: </w:t>
      </w:r>
      <w:r>
        <w:rPr>
          <w:szCs w:val="24"/>
        </w:rPr>
        <w:t>Paper Telephone Information Sheet</w:t>
      </w:r>
    </w:p>
    <w:p w:rsidR="00396786" w:rsidRPr="0056461F" w:rsidRDefault="00396786" w:rsidP="00396786">
      <w:pPr>
        <w:ind w:left="1620" w:hanging="1980"/>
        <w:rPr>
          <w:szCs w:val="24"/>
        </w:rPr>
      </w:pPr>
      <w:r>
        <w:rPr>
          <w:szCs w:val="24"/>
        </w:rPr>
        <w:t>Attachment 10D-S</w:t>
      </w:r>
      <w:r>
        <w:rPr>
          <w:szCs w:val="24"/>
        </w:rPr>
        <w:tab/>
      </w:r>
      <w:r>
        <w:rPr>
          <w:i/>
          <w:iCs/>
          <w:szCs w:val="24"/>
        </w:rPr>
        <w:t xml:space="preserve">Enhanced Protocol: </w:t>
      </w:r>
      <w:r>
        <w:rPr>
          <w:szCs w:val="24"/>
        </w:rPr>
        <w:t xml:space="preserve">Paper Telephone Information Sheet – Spanish </w:t>
      </w:r>
    </w:p>
    <w:p w:rsidR="0019577A" w:rsidRPr="006E5C82" w:rsidRDefault="0019577A" w:rsidP="004E2560">
      <w:pPr>
        <w:ind w:left="1620" w:hanging="1980"/>
        <w:rPr>
          <w:szCs w:val="24"/>
        </w:rPr>
      </w:pPr>
      <w:r w:rsidRPr="006E5C82">
        <w:rPr>
          <w:szCs w:val="24"/>
        </w:rPr>
        <w:t>Attachment 11A</w:t>
      </w:r>
      <w:r w:rsidRPr="006E5C82">
        <w:rPr>
          <w:szCs w:val="24"/>
        </w:rPr>
        <w:tab/>
        <w:t xml:space="preserve">Lead Letter Sent to </w:t>
      </w:r>
      <w:r w:rsidRPr="006E5C82">
        <w:rPr>
          <w:i/>
          <w:szCs w:val="24"/>
        </w:rPr>
        <w:t>Standard Protocol</w:t>
      </w:r>
      <w:r w:rsidRPr="006E5C82">
        <w:rPr>
          <w:szCs w:val="24"/>
        </w:rPr>
        <w:t xml:space="preserve"> Sample in Advance of Telephone Contact</w:t>
      </w:r>
    </w:p>
    <w:p w:rsidR="0019577A" w:rsidRPr="006E5C82" w:rsidRDefault="0019577A" w:rsidP="004E2560">
      <w:pPr>
        <w:ind w:left="1620" w:hanging="1980"/>
        <w:rPr>
          <w:szCs w:val="24"/>
        </w:rPr>
      </w:pPr>
      <w:r w:rsidRPr="006E5C82">
        <w:rPr>
          <w:szCs w:val="24"/>
        </w:rPr>
        <w:t xml:space="preserve">Attachment 11A-S </w:t>
      </w:r>
      <w:r w:rsidRPr="006E5C82">
        <w:rPr>
          <w:szCs w:val="24"/>
        </w:rPr>
        <w:tab/>
        <w:t xml:space="preserve">Lead Letter Sent to </w:t>
      </w:r>
      <w:r w:rsidRPr="006E5C82">
        <w:rPr>
          <w:i/>
          <w:szCs w:val="24"/>
        </w:rPr>
        <w:t>Standard Protocol</w:t>
      </w:r>
      <w:r w:rsidRPr="006E5C82">
        <w:rPr>
          <w:szCs w:val="24"/>
        </w:rPr>
        <w:t xml:space="preserve"> Sample in Advance of Telephone Contact </w:t>
      </w:r>
      <w:r w:rsidR="00F82460">
        <w:rPr>
          <w:szCs w:val="24"/>
        </w:rPr>
        <w:t>–</w:t>
      </w:r>
      <w:r w:rsidR="00F82460" w:rsidRPr="006E5C82">
        <w:rPr>
          <w:szCs w:val="24"/>
        </w:rPr>
        <w:t xml:space="preserve"> </w:t>
      </w:r>
      <w:r w:rsidRPr="006E5C82">
        <w:rPr>
          <w:szCs w:val="24"/>
        </w:rPr>
        <w:t>Spanish</w:t>
      </w:r>
    </w:p>
    <w:p w:rsidR="0019577A" w:rsidRPr="006E5C82" w:rsidRDefault="0019577A" w:rsidP="004E2560">
      <w:pPr>
        <w:ind w:left="1620" w:hanging="1980"/>
        <w:rPr>
          <w:szCs w:val="24"/>
        </w:rPr>
      </w:pPr>
      <w:r w:rsidRPr="006E5C82">
        <w:rPr>
          <w:szCs w:val="24"/>
        </w:rPr>
        <w:t>Attachment 11A1</w:t>
      </w:r>
      <w:r w:rsidRPr="006E5C82">
        <w:rPr>
          <w:szCs w:val="24"/>
        </w:rPr>
        <w:tab/>
        <w:t xml:space="preserve">Lead Letter Sent to </w:t>
      </w:r>
      <w:r w:rsidRPr="006E5C82">
        <w:rPr>
          <w:i/>
          <w:szCs w:val="24"/>
        </w:rPr>
        <w:t>Enhanced Protocol</w:t>
      </w:r>
      <w:r w:rsidRPr="006E5C82">
        <w:rPr>
          <w:szCs w:val="24"/>
        </w:rPr>
        <w:t xml:space="preserve"> Oversample</w:t>
      </w:r>
    </w:p>
    <w:p w:rsidR="0019577A" w:rsidRPr="006E5C82" w:rsidRDefault="0019577A" w:rsidP="004E2560">
      <w:pPr>
        <w:ind w:left="1620" w:hanging="1980"/>
        <w:rPr>
          <w:szCs w:val="24"/>
        </w:rPr>
      </w:pPr>
      <w:r w:rsidRPr="006E5C82">
        <w:rPr>
          <w:szCs w:val="24"/>
        </w:rPr>
        <w:t xml:space="preserve">Attachment 11A1-S Lead Letter Sent to </w:t>
      </w:r>
      <w:r w:rsidRPr="006E5C82">
        <w:rPr>
          <w:i/>
          <w:szCs w:val="24"/>
        </w:rPr>
        <w:t>Enhanced Protocol</w:t>
      </w:r>
      <w:r w:rsidRPr="006E5C82">
        <w:rPr>
          <w:szCs w:val="24"/>
        </w:rPr>
        <w:t xml:space="preserve"> Oversample </w:t>
      </w:r>
      <w:r w:rsidR="00F82460">
        <w:rPr>
          <w:szCs w:val="24"/>
        </w:rPr>
        <w:t>–</w:t>
      </w:r>
      <w:r w:rsidR="00F82460" w:rsidRPr="006E5C82">
        <w:rPr>
          <w:szCs w:val="24"/>
        </w:rPr>
        <w:t xml:space="preserve"> </w:t>
      </w:r>
      <w:r w:rsidRPr="006E5C82">
        <w:rPr>
          <w:szCs w:val="24"/>
        </w:rPr>
        <w:t>Spanish</w:t>
      </w:r>
    </w:p>
    <w:p w:rsidR="0019577A" w:rsidRPr="006E5C82" w:rsidRDefault="0019577A" w:rsidP="004E2560">
      <w:pPr>
        <w:ind w:left="1620" w:hanging="1980"/>
        <w:rPr>
          <w:szCs w:val="24"/>
        </w:rPr>
      </w:pPr>
      <w:r w:rsidRPr="006E5C82">
        <w:rPr>
          <w:szCs w:val="24"/>
        </w:rPr>
        <w:t>Attachment 11A2</w:t>
      </w:r>
      <w:r w:rsidRPr="006E5C82">
        <w:rPr>
          <w:szCs w:val="24"/>
        </w:rPr>
        <w:tab/>
        <w:t>Letter Sent with First Mailing of Paper Questionnaire</w:t>
      </w:r>
    </w:p>
    <w:p w:rsidR="0019577A" w:rsidRPr="006E5C82" w:rsidRDefault="0019577A" w:rsidP="004E2560">
      <w:pPr>
        <w:ind w:left="1620" w:hanging="1980"/>
        <w:rPr>
          <w:szCs w:val="24"/>
        </w:rPr>
      </w:pPr>
      <w:r w:rsidRPr="006E5C82">
        <w:rPr>
          <w:szCs w:val="24"/>
        </w:rPr>
        <w:t xml:space="preserve">Attachment 11A2-S Letter Sent with First Mailing of Paper Questionnaire </w:t>
      </w:r>
      <w:r w:rsidR="00F82460">
        <w:rPr>
          <w:szCs w:val="24"/>
        </w:rPr>
        <w:t>–</w:t>
      </w:r>
      <w:r w:rsidR="00F82460" w:rsidRPr="006E5C82">
        <w:rPr>
          <w:szCs w:val="24"/>
        </w:rPr>
        <w:t xml:space="preserve"> </w:t>
      </w:r>
      <w:r w:rsidRPr="006E5C82">
        <w:rPr>
          <w:szCs w:val="24"/>
        </w:rPr>
        <w:t>Spanish</w:t>
      </w:r>
    </w:p>
    <w:p w:rsidR="0019577A" w:rsidRPr="006E5C82" w:rsidRDefault="0019577A" w:rsidP="004E2560">
      <w:pPr>
        <w:ind w:left="1620" w:hanging="1980"/>
        <w:rPr>
          <w:szCs w:val="24"/>
        </w:rPr>
      </w:pPr>
      <w:r w:rsidRPr="006E5C82">
        <w:rPr>
          <w:szCs w:val="24"/>
        </w:rPr>
        <w:t>Attachment 11A3</w:t>
      </w:r>
      <w:r w:rsidRPr="006E5C82">
        <w:rPr>
          <w:szCs w:val="24"/>
        </w:rPr>
        <w:tab/>
        <w:t xml:space="preserve">Letter Sent to Households Attempted by Telephone and </w:t>
      </w:r>
      <w:r w:rsidR="00F82460">
        <w:rPr>
          <w:szCs w:val="24"/>
        </w:rPr>
        <w:t>T</w:t>
      </w:r>
      <w:r w:rsidR="00F82460" w:rsidRPr="006E5C82">
        <w:rPr>
          <w:szCs w:val="24"/>
        </w:rPr>
        <w:t xml:space="preserve">hen </w:t>
      </w:r>
      <w:r w:rsidRPr="006E5C82">
        <w:rPr>
          <w:szCs w:val="24"/>
        </w:rPr>
        <w:t>Sent a Paper Questionnaire</w:t>
      </w:r>
    </w:p>
    <w:p w:rsidR="0019577A" w:rsidRPr="006E5C82" w:rsidRDefault="0019577A" w:rsidP="004E2560">
      <w:pPr>
        <w:ind w:left="1620" w:hanging="1980"/>
        <w:rPr>
          <w:szCs w:val="24"/>
        </w:rPr>
      </w:pPr>
      <w:r w:rsidRPr="006E5C82">
        <w:rPr>
          <w:szCs w:val="24"/>
        </w:rPr>
        <w:t xml:space="preserve">Attachment 11A3-S Letter Sent to Households Attempted by Telephone and then Sent a Paper Questionnaire </w:t>
      </w:r>
      <w:r w:rsidR="00F82460">
        <w:rPr>
          <w:szCs w:val="24"/>
        </w:rPr>
        <w:t>–</w:t>
      </w:r>
      <w:r w:rsidR="00F82460" w:rsidRPr="006E5C82">
        <w:rPr>
          <w:szCs w:val="24"/>
        </w:rPr>
        <w:t xml:space="preserve"> </w:t>
      </w:r>
      <w:r w:rsidRPr="006E5C82">
        <w:rPr>
          <w:szCs w:val="24"/>
        </w:rPr>
        <w:t>Spanish</w:t>
      </w:r>
    </w:p>
    <w:p w:rsidR="0019577A" w:rsidRPr="006E5C82" w:rsidRDefault="0019577A" w:rsidP="004E2560">
      <w:pPr>
        <w:ind w:left="1620" w:hanging="1980"/>
        <w:rPr>
          <w:szCs w:val="24"/>
        </w:rPr>
      </w:pPr>
      <w:r w:rsidRPr="006E5C82">
        <w:rPr>
          <w:szCs w:val="24"/>
        </w:rPr>
        <w:t>Attachment 11A4</w:t>
      </w:r>
      <w:r w:rsidRPr="006E5C82">
        <w:rPr>
          <w:szCs w:val="24"/>
        </w:rPr>
        <w:tab/>
        <w:t>Letter Sent with Second Mailing of Paper Questionnaire</w:t>
      </w:r>
    </w:p>
    <w:p w:rsidR="0019577A" w:rsidRPr="006E5C82" w:rsidRDefault="0019577A" w:rsidP="004E2560">
      <w:pPr>
        <w:ind w:left="1620" w:hanging="1980"/>
        <w:rPr>
          <w:szCs w:val="24"/>
        </w:rPr>
      </w:pPr>
      <w:r w:rsidRPr="006E5C82">
        <w:rPr>
          <w:szCs w:val="24"/>
        </w:rPr>
        <w:t xml:space="preserve">Attachment 11A4-S Letter Sent with Second Mailing of Paper Questionnaire </w:t>
      </w:r>
      <w:r w:rsidR="00F82460">
        <w:rPr>
          <w:szCs w:val="24"/>
        </w:rPr>
        <w:t>–</w:t>
      </w:r>
      <w:r w:rsidR="00F82460" w:rsidRPr="006E5C82">
        <w:rPr>
          <w:szCs w:val="24"/>
        </w:rPr>
        <w:t xml:space="preserve"> </w:t>
      </w:r>
      <w:r w:rsidRPr="006E5C82">
        <w:rPr>
          <w:szCs w:val="24"/>
        </w:rPr>
        <w:t>Spanish</w:t>
      </w:r>
    </w:p>
    <w:p w:rsidR="0019577A" w:rsidRPr="006E5C82" w:rsidRDefault="0019577A" w:rsidP="004E2560">
      <w:pPr>
        <w:ind w:left="1620" w:hanging="1980"/>
        <w:rPr>
          <w:szCs w:val="24"/>
        </w:rPr>
      </w:pPr>
      <w:r w:rsidRPr="006E5C82">
        <w:rPr>
          <w:szCs w:val="24"/>
        </w:rPr>
        <w:lastRenderedPageBreak/>
        <w:t>Attachment 11B</w:t>
      </w:r>
      <w:r w:rsidRPr="006E5C82">
        <w:rPr>
          <w:szCs w:val="24"/>
        </w:rPr>
        <w:tab/>
        <w:t xml:space="preserve">ATSS </w:t>
      </w:r>
      <w:r w:rsidRPr="006E5C82">
        <w:rPr>
          <w:bCs/>
          <w:szCs w:val="24"/>
        </w:rPr>
        <w:t>Reminder Postcard</w:t>
      </w:r>
    </w:p>
    <w:p w:rsidR="0019577A" w:rsidRPr="006E5C82" w:rsidRDefault="0019577A" w:rsidP="004E2560">
      <w:pPr>
        <w:ind w:left="1620" w:hanging="1980"/>
        <w:rPr>
          <w:bCs/>
          <w:szCs w:val="24"/>
        </w:rPr>
      </w:pPr>
      <w:r w:rsidRPr="006E5C82">
        <w:rPr>
          <w:bCs/>
          <w:szCs w:val="24"/>
        </w:rPr>
        <w:t>Attachment 11C</w:t>
      </w:r>
      <w:r w:rsidRPr="006E5C82">
        <w:rPr>
          <w:bCs/>
          <w:szCs w:val="24"/>
        </w:rPr>
        <w:tab/>
      </w:r>
      <w:r w:rsidRPr="006E5C82">
        <w:rPr>
          <w:bCs/>
          <w:i/>
          <w:szCs w:val="24"/>
        </w:rPr>
        <w:t>Enhanced Protocol</w:t>
      </w:r>
      <w:r w:rsidRPr="006E5C82">
        <w:rPr>
          <w:bCs/>
          <w:szCs w:val="24"/>
        </w:rPr>
        <w:t>: Field Interviewer Script for Parent/Guardian of Youth Ages 12–17</w:t>
      </w:r>
    </w:p>
    <w:p w:rsidR="0019577A" w:rsidRPr="006E5C82" w:rsidRDefault="0019577A" w:rsidP="004E2560">
      <w:pPr>
        <w:ind w:left="1620" w:hanging="1980"/>
        <w:rPr>
          <w:bCs/>
          <w:szCs w:val="24"/>
        </w:rPr>
      </w:pPr>
      <w:r w:rsidRPr="006E5C82">
        <w:rPr>
          <w:bCs/>
          <w:szCs w:val="24"/>
        </w:rPr>
        <w:t>Attachment 11C</w:t>
      </w:r>
      <w:r w:rsidRPr="006E5C82">
        <w:rPr>
          <w:szCs w:val="24"/>
        </w:rPr>
        <w:t>-S</w:t>
      </w:r>
      <w:r w:rsidRPr="006E5C82">
        <w:rPr>
          <w:bCs/>
          <w:szCs w:val="24"/>
        </w:rPr>
        <w:tab/>
      </w:r>
      <w:r w:rsidRPr="006E5C82">
        <w:rPr>
          <w:bCs/>
          <w:i/>
          <w:szCs w:val="24"/>
        </w:rPr>
        <w:t>Enhanced Protocol</w:t>
      </w:r>
      <w:r w:rsidRPr="006E5C82">
        <w:rPr>
          <w:bCs/>
          <w:szCs w:val="24"/>
        </w:rPr>
        <w:t xml:space="preserve">: Field Interviewer Script for Parent/Guardian of Youth Ages 12–17 </w:t>
      </w:r>
      <w:r w:rsidR="007D0858">
        <w:rPr>
          <w:bCs/>
          <w:szCs w:val="24"/>
        </w:rPr>
        <w:t>–</w:t>
      </w:r>
      <w:r w:rsidRPr="006E5C82">
        <w:rPr>
          <w:bCs/>
          <w:szCs w:val="24"/>
        </w:rPr>
        <w:t xml:space="preserve"> Spanish</w:t>
      </w:r>
    </w:p>
    <w:p w:rsidR="0019577A" w:rsidRPr="006E5C82" w:rsidRDefault="0019577A" w:rsidP="004E2560">
      <w:pPr>
        <w:ind w:left="1620" w:hanging="1980"/>
        <w:rPr>
          <w:bCs/>
          <w:szCs w:val="24"/>
        </w:rPr>
      </w:pPr>
      <w:r w:rsidRPr="006E5C82">
        <w:rPr>
          <w:bCs/>
          <w:szCs w:val="24"/>
        </w:rPr>
        <w:t>Attachment 11D</w:t>
      </w:r>
      <w:r w:rsidRPr="006E5C82">
        <w:rPr>
          <w:bCs/>
          <w:szCs w:val="24"/>
        </w:rPr>
        <w:tab/>
      </w:r>
      <w:r w:rsidRPr="006E5C82">
        <w:rPr>
          <w:bCs/>
          <w:i/>
          <w:szCs w:val="24"/>
        </w:rPr>
        <w:t xml:space="preserve">Enhanced </w:t>
      </w:r>
      <w:proofErr w:type="gramStart"/>
      <w:r w:rsidRPr="006E5C82">
        <w:rPr>
          <w:bCs/>
          <w:i/>
          <w:szCs w:val="24"/>
        </w:rPr>
        <w:t>Protocol</w:t>
      </w:r>
      <w:proofErr w:type="gramEnd"/>
      <w:r w:rsidRPr="006E5C82">
        <w:rPr>
          <w:bCs/>
          <w:szCs w:val="24"/>
        </w:rPr>
        <w:t>: Field Interviewer Script for Youth Ages 12-17</w:t>
      </w:r>
    </w:p>
    <w:p w:rsidR="0019577A" w:rsidRPr="006E5C82" w:rsidRDefault="0019577A" w:rsidP="004E2560">
      <w:pPr>
        <w:ind w:left="1620" w:hanging="1980"/>
        <w:rPr>
          <w:bCs/>
          <w:szCs w:val="24"/>
        </w:rPr>
      </w:pPr>
      <w:r w:rsidRPr="006E5C82">
        <w:rPr>
          <w:bCs/>
          <w:szCs w:val="24"/>
        </w:rPr>
        <w:t>Attachment 11D</w:t>
      </w:r>
      <w:r w:rsidRPr="006E5C82">
        <w:rPr>
          <w:szCs w:val="24"/>
        </w:rPr>
        <w:t>-S</w:t>
      </w:r>
      <w:r w:rsidRPr="006E5C82">
        <w:rPr>
          <w:bCs/>
          <w:szCs w:val="24"/>
        </w:rPr>
        <w:t xml:space="preserve"> </w:t>
      </w:r>
      <w:r w:rsidRPr="006E5C82">
        <w:rPr>
          <w:bCs/>
          <w:szCs w:val="24"/>
        </w:rPr>
        <w:tab/>
      </w:r>
      <w:r w:rsidRPr="006E5C82">
        <w:rPr>
          <w:bCs/>
          <w:i/>
          <w:szCs w:val="24"/>
        </w:rPr>
        <w:t>Enhanced Protocol</w:t>
      </w:r>
      <w:r w:rsidRPr="006E5C82">
        <w:rPr>
          <w:bCs/>
          <w:szCs w:val="24"/>
        </w:rPr>
        <w:t>: Field Interviewer Script for Youth Ages 12-17</w:t>
      </w:r>
      <w:r w:rsidR="007D0858">
        <w:rPr>
          <w:bCs/>
          <w:szCs w:val="24"/>
        </w:rPr>
        <w:t xml:space="preserve"> –</w:t>
      </w:r>
      <w:r w:rsidRPr="006E5C82">
        <w:rPr>
          <w:bCs/>
          <w:szCs w:val="24"/>
        </w:rPr>
        <w:t xml:space="preserve"> Spanish</w:t>
      </w:r>
    </w:p>
    <w:p w:rsidR="0019577A" w:rsidRPr="006E5C82" w:rsidRDefault="0019577A" w:rsidP="004E2560">
      <w:pPr>
        <w:ind w:left="1620" w:hanging="1980"/>
        <w:rPr>
          <w:bCs/>
          <w:szCs w:val="24"/>
        </w:rPr>
      </w:pPr>
      <w:r w:rsidRPr="006E5C82">
        <w:rPr>
          <w:bCs/>
          <w:szCs w:val="24"/>
        </w:rPr>
        <w:t>Attachment 11E</w:t>
      </w:r>
      <w:r w:rsidRPr="006E5C82">
        <w:rPr>
          <w:bCs/>
          <w:szCs w:val="24"/>
        </w:rPr>
        <w:tab/>
      </w:r>
      <w:r w:rsidRPr="006E5C82">
        <w:rPr>
          <w:bCs/>
          <w:i/>
          <w:szCs w:val="24"/>
        </w:rPr>
        <w:t>Enhanced Protocol:</w:t>
      </w:r>
      <w:r w:rsidRPr="006E5C82">
        <w:rPr>
          <w:bCs/>
          <w:szCs w:val="24"/>
        </w:rPr>
        <w:t xml:space="preserve"> Field Interviewer Script for Caregivers of Children Ages 3-11</w:t>
      </w:r>
    </w:p>
    <w:p w:rsidR="0019577A" w:rsidRPr="006E5C82" w:rsidRDefault="0019577A" w:rsidP="004E2560">
      <w:pPr>
        <w:ind w:left="1620" w:hanging="1980"/>
        <w:rPr>
          <w:bCs/>
          <w:szCs w:val="24"/>
        </w:rPr>
      </w:pPr>
      <w:r w:rsidRPr="006E5C82">
        <w:rPr>
          <w:bCs/>
          <w:szCs w:val="24"/>
        </w:rPr>
        <w:t>Attachment 11E</w:t>
      </w:r>
      <w:r w:rsidRPr="006E5C82">
        <w:rPr>
          <w:szCs w:val="24"/>
        </w:rPr>
        <w:t>-S</w:t>
      </w:r>
      <w:r w:rsidRPr="006E5C82">
        <w:rPr>
          <w:bCs/>
          <w:szCs w:val="24"/>
        </w:rPr>
        <w:tab/>
      </w:r>
      <w:r w:rsidRPr="006E5C82">
        <w:rPr>
          <w:bCs/>
          <w:i/>
          <w:szCs w:val="24"/>
        </w:rPr>
        <w:t>Enhanced Protocol</w:t>
      </w:r>
      <w:r w:rsidRPr="006E5C82">
        <w:rPr>
          <w:bCs/>
          <w:szCs w:val="24"/>
        </w:rPr>
        <w:t xml:space="preserve">: Field Interviewer Script for Caregivers of Children Ages 3-11 </w:t>
      </w:r>
      <w:r w:rsidR="007D0858">
        <w:rPr>
          <w:bCs/>
          <w:szCs w:val="24"/>
        </w:rPr>
        <w:t>–</w:t>
      </w:r>
      <w:r w:rsidRPr="006E5C82">
        <w:rPr>
          <w:bCs/>
          <w:szCs w:val="24"/>
        </w:rPr>
        <w:t xml:space="preserve"> Spanish</w:t>
      </w:r>
    </w:p>
    <w:p w:rsidR="0019577A" w:rsidRPr="006E5C82" w:rsidRDefault="0019577A" w:rsidP="004E2560">
      <w:pPr>
        <w:ind w:left="1620" w:hanging="1980"/>
        <w:rPr>
          <w:bCs/>
          <w:szCs w:val="24"/>
        </w:rPr>
      </w:pPr>
      <w:r w:rsidRPr="006E5C82">
        <w:rPr>
          <w:bCs/>
          <w:szCs w:val="24"/>
        </w:rPr>
        <w:t>Attachment 11F</w:t>
      </w:r>
      <w:r w:rsidRPr="006E5C82">
        <w:rPr>
          <w:bCs/>
          <w:szCs w:val="24"/>
        </w:rPr>
        <w:tab/>
      </w:r>
      <w:r w:rsidRPr="006E5C82">
        <w:rPr>
          <w:i/>
          <w:szCs w:val="24"/>
        </w:rPr>
        <w:t>Enhanced Protocol</w:t>
      </w:r>
      <w:r w:rsidRPr="006E5C82">
        <w:rPr>
          <w:szCs w:val="24"/>
        </w:rPr>
        <w:t>: Field Interviewer Script for Adult Participants</w:t>
      </w:r>
    </w:p>
    <w:p w:rsidR="0019577A" w:rsidRPr="006E5C82" w:rsidRDefault="0019577A" w:rsidP="004E2560">
      <w:pPr>
        <w:ind w:left="1620" w:hanging="1980"/>
        <w:rPr>
          <w:bCs/>
          <w:szCs w:val="24"/>
        </w:rPr>
      </w:pPr>
      <w:r w:rsidRPr="006E5C82">
        <w:rPr>
          <w:bCs/>
          <w:szCs w:val="24"/>
        </w:rPr>
        <w:t>Attachment 11F</w:t>
      </w:r>
      <w:r w:rsidRPr="006E5C82">
        <w:rPr>
          <w:szCs w:val="24"/>
        </w:rPr>
        <w:t>-S</w:t>
      </w:r>
      <w:r w:rsidRPr="006E5C82">
        <w:rPr>
          <w:bCs/>
          <w:szCs w:val="24"/>
        </w:rPr>
        <w:tab/>
      </w:r>
      <w:r w:rsidRPr="006E5C82">
        <w:rPr>
          <w:i/>
          <w:szCs w:val="24"/>
        </w:rPr>
        <w:t>Enhanced Protocol</w:t>
      </w:r>
      <w:r w:rsidRPr="006E5C82">
        <w:rPr>
          <w:szCs w:val="24"/>
        </w:rPr>
        <w:t>: Field Interviewer Script for Adult Participants - Spanish</w:t>
      </w:r>
    </w:p>
    <w:p w:rsidR="0019577A" w:rsidRPr="006E5C82" w:rsidRDefault="0019577A" w:rsidP="004E2560">
      <w:pPr>
        <w:ind w:left="1620" w:hanging="1980"/>
        <w:rPr>
          <w:bCs/>
          <w:szCs w:val="24"/>
        </w:rPr>
      </w:pPr>
      <w:r w:rsidRPr="006E5C82">
        <w:rPr>
          <w:bCs/>
          <w:szCs w:val="24"/>
        </w:rPr>
        <w:t>Attachment 12A</w:t>
      </w:r>
      <w:r w:rsidRPr="006E5C82">
        <w:rPr>
          <w:bCs/>
          <w:szCs w:val="24"/>
        </w:rPr>
        <w:tab/>
        <w:t>Adult Biometric Measures</w:t>
      </w:r>
    </w:p>
    <w:p w:rsidR="0019577A" w:rsidRPr="006E5C82" w:rsidRDefault="0019577A" w:rsidP="004E2560">
      <w:pPr>
        <w:ind w:left="1620" w:hanging="1980"/>
        <w:rPr>
          <w:bCs/>
          <w:szCs w:val="24"/>
        </w:rPr>
      </w:pPr>
      <w:r w:rsidRPr="006E5C82">
        <w:rPr>
          <w:bCs/>
          <w:szCs w:val="24"/>
        </w:rPr>
        <w:t>Attachment 12A</w:t>
      </w:r>
      <w:r w:rsidRPr="006E5C82">
        <w:rPr>
          <w:szCs w:val="24"/>
        </w:rPr>
        <w:t>-S</w:t>
      </w:r>
      <w:r w:rsidRPr="006E5C82">
        <w:rPr>
          <w:bCs/>
          <w:szCs w:val="24"/>
        </w:rPr>
        <w:t xml:space="preserve"> </w:t>
      </w:r>
      <w:r w:rsidRPr="006E5C82">
        <w:rPr>
          <w:bCs/>
          <w:szCs w:val="24"/>
        </w:rPr>
        <w:tab/>
        <w:t>Adult Biometric Measures – Spanish</w:t>
      </w:r>
    </w:p>
    <w:p w:rsidR="0019577A" w:rsidRPr="006E5C82" w:rsidRDefault="0019577A" w:rsidP="004E2560">
      <w:pPr>
        <w:ind w:left="1620" w:hanging="1980"/>
        <w:rPr>
          <w:bCs/>
          <w:szCs w:val="24"/>
        </w:rPr>
      </w:pPr>
      <w:r w:rsidRPr="006E5C82">
        <w:rPr>
          <w:bCs/>
          <w:szCs w:val="24"/>
        </w:rPr>
        <w:t>Attachment 12B</w:t>
      </w:r>
      <w:r w:rsidRPr="006E5C82">
        <w:rPr>
          <w:bCs/>
          <w:szCs w:val="24"/>
        </w:rPr>
        <w:tab/>
        <w:t xml:space="preserve">Youth Biometric Measures (Ages 3–17) </w:t>
      </w:r>
    </w:p>
    <w:p w:rsidR="0019577A" w:rsidRDefault="0019577A" w:rsidP="004E2560">
      <w:pPr>
        <w:ind w:left="1620" w:hanging="1980"/>
        <w:rPr>
          <w:bCs/>
          <w:szCs w:val="24"/>
        </w:rPr>
      </w:pPr>
      <w:r w:rsidRPr="006E5C82">
        <w:rPr>
          <w:bCs/>
          <w:szCs w:val="24"/>
        </w:rPr>
        <w:t>Attachment 12B</w:t>
      </w:r>
      <w:r w:rsidRPr="006E5C82">
        <w:rPr>
          <w:szCs w:val="24"/>
        </w:rPr>
        <w:t>-S</w:t>
      </w:r>
      <w:r w:rsidRPr="006E5C82">
        <w:rPr>
          <w:bCs/>
          <w:szCs w:val="24"/>
        </w:rPr>
        <w:tab/>
        <w:t>Youth Biometric Measures (Ages 12–17) – Spanish</w:t>
      </w:r>
    </w:p>
    <w:p w:rsidR="00C86201" w:rsidRPr="006E5C82" w:rsidRDefault="00C86201" w:rsidP="004E2560">
      <w:pPr>
        <w:ind w:left="1620" w:hanging="1980"/>
        <w:rPr>
          <w:bCs/>
          <w:szCs w:val="24"/>
        </w:rPr>
      </w:pPr>
      <w:r>
        <w:rPr>
          <w:bCs/>
          <w:szCs w:val="24"/>
        </w:rPr>
        <w:t>Attachment 12C</w:t>
      </w:r>
      <w:r>
        <w:rPr>
          <w:bCs/>
          <w:szCs w:val="24"/>
        </w:rPr>
        <w:tab/>
        <w:t>Adult Biometric Measures – Documentation of Question Provenance</w:t>
      </w:r>
    </w:p>
    <w:p w:rsidR="0019577A" w:rsidRPr="006E5C82" w:rsidRDefault="0019577A" w:rsidP="004E2560">
      <w:pPr>
        <w:ind w:left="1620" w:hanging="1980"/>
        <w:rPr>
          <w:bCs/>
          <w:szCs w:val="24"/>
        </w:rPr>
      </w:pPr>
      <w:r w:rsidRPr="006E5C82">
        <w:rPr>
          <w:bCs/>
          <w:szCs w:val="24"/>
        </w:rPr>
        <w:t>Attachment 13A</w:t>
      </w:r>
      <w:r w:rsidRPr="006E5C82">
        <w:rPr>
          <w:bCs/>
          <w:szCs w:val="24"/>
        </w:rPr>
        <w:tab/>
        <w:t>Accelerometry Instructions for Participants</w:t>
      </w:r>
    </w:p>
    <w:p w:rsidR="0019577A" w:rsidRPr="006E5C82" w:rsidRDefault="0019577A" w:rsidP="004E2560">
      <w:pPr>
        <w:ind w:left="1620" w:hanging="1980"/>
        <w:rPr>
          <w:bCs/>
          <w:szCs w:val="24"/>
        </w:rPr>
      </w:pPr>
      <w:r w:rsidRPr="006E5C82">
        <w:rPr>
          <w:bCs/>
          <w:szCs w:val="24"/>
        </w:rPr>
        <w:t>Attachment 13A</w:t>
      </w:r>
      <w:r w:rsidRPr="006E5C82">
        <w:rPr>
          <w:szCs w:val="24"/>
        </w:rPr>
        <w:t>-S</w:t>
      </w:r>
      <w:r w:rsidRPr="006E5C82">
        <w:rPr>
          <w:bCs/>
          <w:szCs w:val="24"/>
        </w:rPr>
        <w:t xml:space="preserve"> </w:t>
      </w:r>
      <w:r w:rsidRPr="006E5C82">
        <w:rPr>
          <w:bCs/>
          <w:szCs w:val="24"/>
        </w:rPr>
        <w:tab/>
        <w:t>Accelerometry Instructions for Participants – Spanish</w:t>
      </w:r>
    </w:p>
    <w:p w:rsidR="0019577A" w:rsidRPr="006E5C82" w:rsidRDefault="0019577A" w:rsidP="004E2560">
      <w:pPr>
        <w:ind w:left="1620" w:hanging="1980"/>
        <w:rPr>
          <w:bCs/>
          <w:szCs w:val="24"/>
        </w:rPr>
      </w:pPr>
      <w:r w:rsidRPr="006E5C82">
        <w:rPr>
          <w:bCs/>
          <w:szCs w:val="24"/>
        </w:rPr>
        <w:t>Attachment 13B</w:t>
      </w:r>
      <w:r w:rsidRPr="006E5C82">
        <w:rPr>
          <w:bCs/>
          <w:szCs w:val="24"/>
        </w:rPr>
        <w:tab/>
        <w:t>Adult Activity Diary</w:t>
      </w:r>
    </w:p>
    <w:p w:rsidR="0019577A" w:rsidRPr="006E5C82" w:rsidRDefault="0019577A" w:rsidP="004E2560">
      <w:pPr>
        <w:ind w:left="1620" w:hanging="1980"/>
        <w:rPr>
          <w:bCs/>
          <w:szCs w:val="24"/>
        </w:rPr>
      </w:pPr>
      <w:r w:rsidRPr="006E5C82">
        <w:rPr>
          <w:bCs/>
          <w:szCs w:val="24"/>
        </w:rPr>
        <w:t>Attachment 13B</w:t>
      </w:r>
      <w:r w:rsidRPr="006E5C82">
        <w:rPr>
          <w:szCs w:val="24"/>
        </w:rPr>
        <w:t>-S</w:t>
      </w:r>
      <w:r w:rsidRPr="006E5C82">
        <w:rPr>
          <w:bCs/>
          <w:szCs w:val="24"/>
        </w:rPr>
        <w:tab/>
        <w:t>Adult Activity Diary – Spanish</w:t>
      </w:r>
    </w:p>
    <w:p w:rsidR="0019577A" w:rsidRPr="006E5C82" w:rsidRDefault="0019577A" w:rsidP="004E2560">
      <w:pPr>
        <w:ind w:left="1620" w:hanging="1980"/>
        <w:rPr>
          <w:bCs/>
          <w:szCs w:val="24"/>
        </w:rPr>
      </w:pPr>
      <w:r w:rsidRPr="006E5C82">
        <w:rPr>
          <w:bCs/>
          <w:szCs w:val="24"/>
        </w:rPr>
        <w:t>Attachment 13C</w:t>
      </w:r>
      <w:r w:rsidRPr="006E5C82">
        <w:rPr>
          <w:bCs/>
          <w:szCs w:val="24"/>
        </w:rPr>
        <w:tab/>
        <w:t>Youth Activity Diary</w:t>
      </w:r>
    </w:p>
    <w:p w:rsidR="0019577A" w:rsidRPr="006E5C82" w:rsidRDefault="0019577A" w:rsidP="004E2560">
      <w:pPr>
        <w:ind w:left="1620" w:hanging="1980"/>
        <w:rPr>
          <w:bCs/>
          <w:szCs w:val="24"/>
        </w:rPr>
      </w:pPr>
      <w:r w:rsidRPr="006E5C82">
        <w:rPr>
          <w:bCs/>
          <w:szCs w:val="24"/>
        </w:rPr>
        <w:t>Attachment 13C</w:t>
      </w:r>
      <w:r w:rsidRPr="006E5C82">
        <w:rPr>
          <w:szCs w:val="24"/>
        </w:rPr>
        <w:t>-S</w:t>
      </w:r>
      <w:r w:rsidRPr="006E5C82">
        <w:rPr>
          <w:bCs/>
          <w:szCs w:val="24"/>
        </w:rPr>
        <w:tab/>
        <w:t>Youth Activity Diary – Spanish</w:t>
      </w:r>
    </w:p>
    <w:p w:rsidR="0019577A" w:rsidRPr="006E5C82" w:rsidRDefault="0019577A" w:rsidP="004E2560">
      <w:pPr>
        <w:ind w:left="1620" w:hanging="1980"/>
        <w:rPr>
          <w:bCs/>
          <w:szCs w:val="24"/>
        </w:rPr>
      </w:pPr>
      <w:r w:rsidRPr="006E5C82">
        <w:rPr>
          <w:bCs/>
          <w:szCs w:val="24"/>
        </w:rPr>
        <w:t>Attachment 13D</w:t>
      </w:r>
      <w:r w:rsidRPr="006E5C82">
        <w:rPr>
          <w:bCs/>
          <w:szCs w:val="24"/>
        </w:rPr>
        <w:tab/>
        <w:t>Accelerometry Reminder Scripts</w:t>
      </w:r>
    </w:p>
    <w:p w:rsidR="007C29B5" w:rsidRPr="006E5C82" w:rsidRDefault="0019577A" w:rsidP="004E2560">
      <w:pPr>
        <w:ind w:left="1620" w:hanging="1980"/>
        <w:rPr>
          <w:bCs/>
          <w:szCs w:val="24"/>
        </w:rPr>
      </w:pPr>
      <w:r w:rsidRPr="006E5C82">
        <w:rPr>
          <w:bCs/>
          <w:szCs w:val="24"/>
        </w:rPr>
        <w:t>Attachment 13D</w:t>
      </w:r>
      <w:r w:rsidRPr="006E5C82">
        <w:rPr>
          <w:szCs w:val="24"/>
        </w:rPr>
        <w:t>-S</w:t>
      </w:r>
      <w:r w:rsidRPr="006E5C82">
        <w:rPr>
          <w:bCs/>
          <w:szCs w:val="24"/>
        </w:rPr>
        <w:t xml:space="preserve"> </w:t>
      </w:r>
      <w:r w:rsidRPr="006E5C82">
        <w:rPr>
          <w:bCs/>
          <w:szCs w:val="24"/>
        </w:rPr>
        <w:tab/>
        <w:t>Accelerometry Reminder Scripts – Spanish</w:t>
      </w:r>
    </w:p>
    <w:p w:rsidR="00494561" w:rsidRDefault="00494561" w:rsidP="004E2560">
      <w:pPr>
        <w:rPr>
          <w:b/>
          <w:caps/>
          <w:sz w:val="32"/>
          <w:szCs w:val="32"/>
        </w:rPr>
      </w:pPr>
      <w:bookmarkStart w:id="1" w:name="_Toc317510899"/>
      <w:bookmarkStart w:id="2" w:name="_Toc318378961"/>
      <w:bookmarkStart w:id="3" w:name="_Toc318379252"/>
      <w:r>
        <w:br w:type="page"/>
      </w:r>
    </w:p>
    <w:p w:rsidR="007C29B5" w:rsidRPr="006E5C82" w:rsidRDefault="007C29B5" w:rsidP="004E2560">
      <w:pPr>
        <w:pStyle w:val="Heading1"/>
        <w:ind w:left="360"/>
        <w:sectPr w:rsidR="007C29B5" w:rsidRPr="006E5C82" w:rsidSect="00A67818">
          <w:footerReference w:type="default" r:id="rId11"/>
          <w:footerReference w:type="first" r:id="rId12"/>
          <w:pgSz w:w="12240" w:h="15840" w:code="1"/>
          <w:pgMar w:top="1440" w:right="1440" w:bottom="1440" w:left="1440" w:header="720" w:footer="720" w:gutter="0"/>
          <w:pgNumType w:fmt="lowerRoman" w:start="1"/>
          <w:cols w:space="720"/>
          <w:docGrid w:linePitch="360"/>
        </w:sectPr>
      </w:pPr>
    </w:p>
    <w:p w:rsidR="007C29B5" w:rsidRPr="006E5C82" w:rsidRDefault="007C29B5" w:rsidP="004E2560">
      <w:pPr>
        <w:pStyle w:val="Heading1"/>
        <w:ind w:left="360"/>
      </w:pPr>
      <w:bookmarkStart w:id="4" w:name="_Toc348434920"/>
      <w:r w:rsidRPr="006E5C82">
        <w:lastRenderedPageBreak/>
        <w:t>B.</w:t>
      </w:r>
      <w:r w:rsidRPr="006E5C82">
        <w:tab/>
        <w:t>Collection of Information Employing Statistical Methods</w:t>
      </w:r>
      <w:bookmarkEnd w:id="1"/>
      <w:bookmarkEnd w:id="2"/>
      <w:bookmarkEnd w:id="3"/>
      <w:bookmarkEnd w:id="4"/>
    </w:p>
    <w:p w:rsidR="007C29B5" w:rsidRPr="006E5C82" w:rsidRDefault="007C29B5" w:rsidP="004E2560">
      <w:pPr>
        <w:pStyle w:val="Heading2"/>
        <w:ind w:left="360"/>
      </w:pPr>
      <w:bookmarkStart w:id="5" w:name="_Toc348434921"/>
      <w:r w:rsidRPr="006E5C82">
        <w:t>B</w:t>
      </w:r>
      <w:r w:rsidR="00B00C82">
        <w:t>.</w:t>
      </w:r>
      <w:r w:rsidRPr="006E5C82">
        <w:t>1</w:t>
      </w:r>
      <w:r w:rsidRPr="006E5C82">
        <w:tab/>
        <w:t>Respondent Universe and Sampling Methods</w:t>
      </w:r>
      <w:bookmarkEnd w:id="5"/>
    </w:p>
    <w:p w:rsidR="007C29B5" w:rsidRPr="006E5C82" w:rsidRDefault="007C29B5" w:rsidP="004E2560">
      <w:pPr>
        <w:pStyle w:val="Heading3"/>
        <w:ind w:left="547"/>
      </w:pPr>
      <w:bookmarkStart w:id="6" w:name="_Toc348434922"/>
      <w:r w:rsidRPr="006E5C82">
        <w:t>Respondent Universe</w:t>
      </w:r>
      <w:bookmarkEnd w:id="6"/>
    </w:p>
    <w:p w:rsidR="00AB1ACE" w:rsidRDefault="007C29B5" w:rsidP="004E2560">
      <w:pPr>
        <w:pStyle w:val="BodyText"/>
        <w:spacing w:line="240" w:lineRule="auto"/>
        <w:ind w:left="0"/>
      </w:pPr>
      <w:r w:rsidRPr="006E5C82">
        <w:t xml:space="preserve">The respondent universe for the Targeted Surveillance and </w:t>
      </w:r>
      <w:r w:rsidR="00A67818" w:rsidRPr="006E5C82">
        <w:t>Biometr</w:t>
      </w:r>
      <w:r w:rsidR="00A67818">
        <w:t>ic</w:t>
      </w:r>
      <w:r w:rsidR="00A67818" w:rsidRPr="006E5C82">
        <w:t xml:space="preserve"> </w:t>
      </w:r>
      <w:r w:rsidRPr="006E5C82">
        <w:t xml:space="preserve">Study started with the 61 Community Transformation Grants (CTG) Program awardees </w:t>
      </w:r>
      <w:r w:rsidR="00026279" w:rsidRPr="006E5C82">
        <w:t>that</w:t>
      </w:r>
      <w:r w:rsidRPr="006E5C82">
        <w:t xml:space="preserve"> were initially funded by the Centers for Disease Control and Prevention (CDC) in 2011 to implement the program. Of these 61 awardees, geographic areas surrounding 20 of the CTG awardees were then </w:t>
      </w:r>
      <w:r w:rsidR="009D58B8">
        <w:t xml:space="preserve">purposively </w:t>
      </w:r>
      <w:r w:rsidRPr="006E5C82">
        <w:t>selected to provide the respondent universe for this study using the following criteria:</w:t>
      </w:r>
    </w:p>
    <w:p w:rsidR="00AB1ACE" w:rsidRDefault="007C29B5" w:rsidP="004E2560">
      <w:pPr>
        <w:pStyle w:val="Bullet"/>
        <w:tabs>
          <w:tab w:val="clear" w:pos="1440"/>
          <w:tab w:val="num" w:pos="1080"/>
        </w:tabs>
        <w:spacing w:line="240" w:lineRule="auto"/>
        <w:ind w:left="1080"/>
      </w:pPr>
      <w:r w:rsidRPr="006E5C82">
        <w:t xml:space="preserve">Only </w:t>
      </w:r>
      <w:r w:rsidR="008A11DD">
        <w:t>implementation</w:t>
      </w:r>
      <w:r w:rsidR="008A11DD" w:rsidRPr="006E5C82">
        <w:t xml:space="preserve"> </w:t>
      </w:r>
      <w:r w:rsidRPr="006E5C82">
        <w:t xml:space="preserve">(and not capacity-building) </w:t>
      </w:r>
      <w:r w:rsidR="00B00C82">
        <w:t>a</w:t>
      </w:r>
      <w:r w:rsidR="008C1FC0" w:rsidRPr="006E5C82">
        <w:t xml:space="preserve">wardee </w:t>
      </w:r>
      <w:r w:rsidR="00B00C82">
        <w:t>a</w:t>
      </w:r>
      <w:r w:rsidR="008C1FC0" w:rsidRPr="006E5C82">
        <w:t>rea</w:t>
      </w:r>
      <w:r w:rsidRPr="006E5C82">
        <w:t>s were considered for inclusion.</w:t>
      </w:r>
      <w:r w:rsidR="008A11DD">
        <w:rPr>
          <w:rStyle w:val="FootnoteReference"/>
        </w:rPr>
        <w:footnoteReference w:id="2"/>
      </w:r>
    </w:p>
    <w:p w:rsidR="00AB1ACE" w:rsidRDefault="007C29B5" w:rsidP="004E2560">
      <w:pPr>
        <w:pStyle w:val="Bullet"/>
        <w:tabs>
          <w:tab w:val="clear" w:pos="1440"/>
          <w:tab w:val="num" w:pos="1080"/>
        </w:tabs>
        <w:spacing w:line="240" w:lineRule="auto"/>
        <w:ind w:left="1080"/>
      </w:pPr>
      <w:r w:rsidRPr="006E5C82">
        <w:t xml:space="preserve">Some of these </w:t>
      </w:r>
      <w:r w:rsidR="00B00C82">
        <w:t>a</w:t>
      </w:r>
      <w:r w:rsidR="008C1FC0" w:rsidRPr="006E5C82">
        <w:t xml:space="preserve">wardee </w:t>
      </w:r>
      <w:r w:rsidR="00B00C82">
        <w:t>a</w:t>
      </w:r>
      <w:r w:rsidR="008C1FC0" w:rsidRPr="006E5C82">
        <w:t>rea</w:t>
      </w:r>
      <w:r w:rsidRPr="006E5C82">
        <w:t xml:space="preserve">s were then excluded because they represented geographic areas that were too </w:t>
      </w:r>
      <w:r w:rsidR="00E873F6">
        <w:t xml:space="preserve">geographically or demographically </w:t>
      </w:r>
      <w:r w:rsidRPr="006E5C82">
        <w:t>dissimilar to other areas of the country (e.g., tribes, territories).</w:t>
      </w:r>
    </w:p>
    <w:p w:rsidR="00AB1ACE" w:rsidRDefault="007C29B5" w:rsidP="004E2560">
      <w:pPr>
        <w:pStyle w:val="Bullet"/>
        <w:tabs>
          <w:tab w:val="clear" w:pos="1440"/>
          <w:tab w:val="num" w:pos="1080"/>
        </w:tabs>
        <w:spacing w:line="240" w:lineRule="auto"/>
        <w:ind w:left="1080"/>
      </w:pPr>
      <w:r w:rsidRPr="006E5C82">
        <w:t xml:space="preserve">Awardee areas were separated out by geographic area to ensure adequate representation by region in the United States, type of awardee, and </w:t>
      </w:r>
      <w:r w:rsidR="00E873F6">
        <w:t xml:space="preserve">predominant </w:t>
      </w:r>
      <w:r w:rsidRPr="006E5C82">
        <w:t>rac</w:t>
      </w:r>
      <w:r w:rsidR="00E873F6">
        <w:t>ial</w:t>
      </w:r>
      <w:r w:rsidRPr="006E5C82">
        <w:t xml:space="preserve"> and ethnic subgroups (e.g., states, state minus large counties, counties, rural vs. urban locations).</w:t>
      </w:r>
    </w:p>
    <w:p w:rsidR="00AB1ACE" w:rsidRDefault="007C29B5" w:rsidP="004E2560">
      <w:pPr>
        <w:pStyle w:val="Bullet"/>
        <w:tabs>
          <w:tab w:val="clear" w:pos="1440"/>
          <w:tab w:val="num" w:pos="1080"/>
        </w:tabs>
        <w:spacing w:line="240" w:lineRule="auto"/>
        <w:ind w:left="1080"/>
      </w:pPr>
      <w:r w:rsidRPr="006E5C82">
        <w:t>Awardees needed to be planning interventions that would be implemented jurisdiction</w:t>
      </w:r>
      <w:r w:rsidR="00010B89">
        <w:t>-</w:t>
      </w:r>
      <w:r w:rsidRPr="006E5C82">
        <w:t>wide, expecting to affect a large proportion of the local population.</w:t>
      </w:r>
    </w:p>
    <w:p w:rsidR="00AB1ACE" w:rsidRDefault="007C29B5" w:rsidP="004E2560">
      <w:pPr>
        <w:pStyle w:val="BodyText"/>
        <w:spacing w:line="240" w:lineRule="auto"/>
        <w:ind w:left="0"/>
      </w:pPr>
      <w:r w:rsidRPr="006E5C82">
        <w:t xml:space="preserve">Once the 20 awardees were identified and approved by CDC, the contractor began working with the selected awardees to determine the areas within their </w:t>
      </w:r>
      <w:r w:rsidR="00B00C82">
        <w:t>designated geographies</w:t>
      </w:r>
      <w:r w:rsidR="00A67818">
        <w:t xml:space="preserve"> where</w:t>
      </w:r>
      <w:r w:rsidRPr="006E5C82">
        <w:t xml:space="preserve"> they plan to implement the interventions with the greatest potential for impact (e.g., jurisdiction</w:t>
      </w:r>
      <w:r w:rsidR="00010B89">
        <w:t>-</w:t>
      </w:r>
      <w:r w:rsidRPr="006E5C82">
        <w:t xml:space="preserve">wide, reaches a high number of residents) on the key outcomes (e.g., proper nutrition). Of these 20, 12 awardees will participate exclusively in the </w:t>
      </w:r>
      <w:r w:rsidRPr="006E5C82">
        <w:rPr>
          <w:i/>
        </w:rPr>
        <w:t>Standard Protocol</w:t>
      </w:r>
      <w:r w:rsidRPr="006E5C82">
        <w:t xml:space="preserve">, in which adults complete the Adult Targeted </w:t>
      </w:r>
      <w:r w:rsidR="00460B5A">
        <w:t>Surveillance Survey</w:t>
      </w:r>
      <w:r w:rsidRPr="006E5C82">
        <w:t xml:space="preserve"> (ATSS) (Track A-1 or A-2 in Exhibit A</w:t>
      </w:r>
      <w:r w:rsidR="00B00C82">
        <w:t>.</w:t>
      </w:r>
      <w:r w:rsidRPr="006E5C82">
        <w:t>1</w:t>
      </w:r>
      <w:r w:rsidR="00B00C82">
        <w:t>.</w:t>
      </w:r>
      <w:r w:rsidRPr="006E5C82">
        <w:t xml:space="preserve">1). The remaining eight awardees have been selected to participate in the </w:t>
      </w:r>
      <w:r w:rsidRPr="006E5C82">
        <w:rPr>
          <w:i/>
          <w:iCs/>
        </w:rPr>
        <w:t>Standard Protocol</w:t>
      </w:r>
      <w:r w:rsidRPr="006E5C82">
        <w:t xml:space="preserve"> and an </w:t>
      </w:r>
      <w:r w:rsidRPr="006E5C82">
        <w:rPr>
          <w:i/>
        </w:rPr>
        <w:t>Enhanced Protocol</w:t>
      </w:r>
      <w:r w:rsidRPr="006E5C82">
        <w:t xml:space="preserve">, which involves additional </w:t>
      </w:r>
      <w:r w:rsidR="00E873F6" w:rsidRPr="006E5C82">
        <w:t xml:space="preserve">in-home </w:t>
      </w:r>
      <w:r w:rsidRPr="006E5C82">
        <w:t>data collection of adult and youth biometric measures and a Youth Survey completed by a selected child aged 12–17 years or a Caregiver Survey completed by a parent or an identified caregiver on behalf of a selected child aged 3–11 years (Track B or C of Exhibit A</w:t>
      </w:r>
      <w:r w:rsidR="00B00C82">
        <w:t>.</w:t>
      </w:r>
      <w:r w:rsidRPr="006E5C82">
        <w:t>1</w:t>
      </w:r>
      <w:r w:rsidR="00B00C82">
        <w:t>.</w:t>
      </w:r>
      <w:r w:rsidRPr="006E5C82">
        <w:t xml:space="preserve">1). A list of the 20 CTG awardees selected for the Targeted Surveillance and Biometric Study is provided in Attachment 4C. </w:t>
      </w:r>
    </w:p>
    <w:p w:rsidR="00AB1ACE" w:rsidRDefault="007C29B5" w:rsidP="004E2560">
      <w:pPr>
        <w:pStyle w:val="BodyText"/>
        <w:spacing w:line="240" w:lineRule="auto"/>
        <w:ind w:left="0"/>
      </w:pPr>
      <w:r w:rsidRPr="006E5C82">
        <w:lastRenderedPageBreak/>
        <w:t xml:space="preserve">The contractor will use an address-based sampling (ABS) approach to select a stratified simple random sample of households in the awardee areas targeted for interventions </w:t>
      </w:r>
      <w:r w:rsidR="009D58B8">
        <w:t>by</w:t>
      </w:r>
      <w:r w:rsidR="009D58B8" w:rsidRPr="006E5C82">
        <w:t xml:space="preserve"> </w:t>
      </w:r>
      <w:r w:rsidRPr="006E5C82">
        <w:t>the 20 selected CTG awardee</w:t>
      </w:r>
      <w:r w:rsidR="00B00C82">
        <w:t>s</w:t>
      </w:r>
      <w:r w:rsidRPr="006E5C82">
        <w:t>. The source of the ABS frame is the Computerized Delivery Sequence (CDS) file, a list of addresses that originates from the United States Postal Service</w:t>
      </w:r>
      <w:r w:rsidR="00A67818">
        <w:t xml:space="preserve"> (USPS)</w:t>
      </w:r>
      <w:r w:rsidRPr="006E5C82">
        <w:t xml:space="preserve">. The CDS file contains more than 97% of all addresses, </w:t>
      </w:r>
      <w:r w:rsidR="007C551B">
        <w:t>p</w:t>
      </w:r>
      <w:r w:rsidR="00A67818" w:rsidRPr="006E5C82">
        <w:t>ost</w:t>
      </w:r>
      <w:r w:rsidR="00A67818">
        <w:t xml:space="preserve"> </w:t>
      </w:r>
      <w:r w:rsidR="007C551B">
        <w:t>o</w:t>
      </w:r>
      <w:r w:rsidR="00A67818" w:rsidRPr="006E5C82">
        <w:t>ff</w:t>
      </w:r>
      <w:r w:rsidRPr="006E5C82">
        <w:t>ice boxes, and rural-route addresses. Although the CDS file also contains business addresses, only the residential portion of the file will be used for sampling purposes. Geographic information systems technology will be used to match each household address to a census block, which will facilitate construction of a sampling frame that is linked to the intervention geographies of each awardee.</w:t>
      </w:r>
    </w:p>
    <w:p w:rsidR="00AB1ACE" w:rsidRDefault="007C29B5" w:rsidP="004E2560">
      <w:pPr>
        <w:pStyle w:val="BodyText"/>
        <w:spacing w:line="240" w:lineRule="auto"/>
        <w:ind w:left="0"/>
      </w:pPr>
      <w:r w:rsidRPr="006E5C82">
        <w:t xml:space="preserve">The geographic areas surveyed for each awardee will be restricted to the regions where the awardee is planning intensive intervention activities. We restricted the eligible population to intensive intervention areas because these are the areas where we expect the greatest program impact and that therefore have the largest potential for change in health outcomes within each </w:t>
      </w:r>
      <w:r w:rsidR="00B00C82">
        <w:t>a</w:t>
      </w:r>
      <w:r w:rsidR="008C1FC0" w:rsidRPr="006E5C82">
        <w:t xml:space="preserve">wardee </w:t>
      </w:r>
      <w:r w:rsidR="00B00C82">
        <w:t>a</w:t>
      </w:r>
      <w:r w:rsidR="008C1FC0" w:rsidRPr="006E5C82">
        <w:t>rea</w:t>
      </w:r>
      <w:r w:rsidRPr="006E5C82">
        <w:t>. To link the targeted areas to the sample frame, the areas are defined by census geographies: counties, census tracts, block groups, or blocks. The targeted areas are further refined to restrict the sampled geographies to those that have one million population members in the two largest awardee areas to minimize design effects. As an example of the targeted areas, Exhibit B</w:t>
      </w:r>
      <w:r w:rsidR="00B00C82">
        <w:t>.</w:t>
      </w:r>
      <w:r w:rsidRPr="006E5C82">
        <w:t>1</w:t>
      </w:r>
      <w:r w:rsidR="00B00C82">
        <w:t>.</w:t>
      </w:r>
      <w:r w:rsidRPr="006E5C82">
        <w:t>1 displays the targeted areas for Maryland, an awardee designated as “state minus large counties” (i.e., all counties except Baltimore), whose targeted areas are defined in terms of counties. Exhibit B</w:t>
      </w:r>
      <w:r w:rsidR="00B00C82">
        <w:t>.</w:t>
      </w:r>
      <w:r w:rsidRPr="006E5C82">
        <w:t>1</w:t>
      </w:r>
      <w:r w:rsidR="00B00C82">
        <w:t>.</w:t>
      </w:r>
      <w:r w:rsidRPr="006E5C82">
        <w:t xml:space="preserve">2 displays the targeted areas for Denver County, a community awarded at the county level whose targeted areas are defined by census blocks. </w:t>
      </w:r>
    </w:p>
    <w:p w:rsidR="007C29B5" w:rsidRPr="006E5C82" w:rsidRDefault="007C29B5" w:rsidP="004E2560">
      <w:pPr>
        <w:pStyle w:val="ExhibitTitle"/>
        <w:ind w:left="1260"/>
        <w:rPr>
          <w:noProof/>
        </w:rPr>
      </w:pPr>
      <w:r w:rsidRPr="006E5C82">
        <w:t>Exhibit B</w:t>
      </w:r>
      <w:r w:rsidR="00B00C82">
        <w:t>.</w:t>
      </w:r>
      <w:r w:rsidRPr="006E5C82">
        <w:t>1</w:t>
      </w:r>
      <w:r w:rsidR="00B00C82">
        <w:t>.</w:t>
      </w:r>
      <w:r w:rsidRPr="006E5C82">
        <w:t>1.</w:t>
      </w:r>
      <w:r w:rsidR="00291983" w:rsidRPr="006E5C82">
        <w:tab/>
      </w:r>
      <w:r w:rsidRPr="006E5C82">
        <w:t>Map of Survey Areas for the State of Maryland</w:t>
      </w:r>
    </w:p>
    <w:p w:rsidR="007C29B5" w:rsidRPr="006E5C82" w:rsidRDefault="007C29B5" w:rsidP="004E2560">
      <w:pPr>
        <w:pStyle w:val="figurewobox"/>
      </w:pPr>
      <w:r w:rsidRPr="006E5C82">
        <w:rPr>
          <w:noProof/>
        </w:rPr>
        <w:drawing>
          <wp:inline distT="0" distB="0" distL="0" distR="0">
            <wp:extent cx="5212080" cy="3280742"/>
            <wp:effectExtent l="0" t="0" r="0" b="0"/>
            <wp:docPr id="1" name="Picture 1" descr="Mar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pic:cNvPicPr>
                      <a:picLocks noChangeAspect="1" noChangeArrowheads="1"/>
                    </pic:cNvPicPr>
                  </pic:nvPicPr>
                  <pic:blipFill>
                    <a:blip r:embed="rId13" cstate="print"/>
                    <a:srcRect b="2380"/>
                    <a:stretch>
                      <a:fillRect/>
                    </a:stretch>
                  </pic:blipFill>
                  <pic:spPr bwMode="auto">
                    <a:xfrm>
                      <a:off x="0" y="0"/>
                      <a:ext cx="5212080" cy="3280742"/>
                    </a:xfrm>
                    <a:prstGeom prst="rect">
                      <a:avLst/>
                    </a:prstGeom>
                    <a:noFill/>
                    <a:ln w="9525">
                      <a:noFill/>
                      <a:miter lim="800000"/>
                      <a:headEnd/>
                      <a:tailEnd/>
                    </a:ln>
                  </pic:spPr>
                </pic:pic>
              </a:graphicData>
            </a:graphic>
          </wp:inline>
        </w:drawing>
      </w:r>
    </w:p>
    <w:p w:rsidR="007C29B5" w:rsidRPr="006E5C82" w:rsidRDefault="007C29B5" w:rsidP="004E2560"/>
    <w:p w:rsidR="007C29B5" w:rsidRPr="006E5C82" w:rsidRDefault="007C29B5" w:rsidP="004E2560">
      <w:pPr>
        <w:pStyle w:val="ExhibitTitle"/>
        <w:ind w:left="1260"/>
      </w:pPr>
      <w:r w:rsidRPr="006E5C82">
        <w:lastRenderedPageBreak/>
        <w:t>Exhibit B</w:t>
      </w:r>
      <w:r w:rsidR="00B00C82">
        <w:t>.</w:t>
      </w:r>
      <w:r w:rsidRPr="006E5C82">
        <w:t>1</w:t>
      </w:r>
      <w:r w:rsidR="00B00C82">
        <w:t>.</w:t>
      </w:r>
      <w:r w:rsidRPr="006E5C82">
        <w:t>2.</w:t>
      </w:r>
      <w:r w:rsidR="00291983" w:rsidRPr="006E5C82">
        <w:tab/>
      </w:r>
      <w:r w:rsidRPr="006E5C82">
        <w:t>Map of Survey Areas for Denver County</w:t>
      </w:r>
    </w:p>
    <w:p w:rsidR="007C29B5" w:rsidRPr="006E5C82" w:rsidRDefault="007C29B5" w:rsidP="004E2560">
      <w:pPr>
        <w:pStyle w:val="figurewobox"/>
      </w:pPr>
      <w:r w:rsidRPr="006E5C82">
        <w:rPr>
          <w:noProof/>
        </w:rPr>
        <w:drawing>
          <wp:inline distT="0" distB="0" distL="0" distR="0">
            <wp:extent cx="5029200" cy="4138613"/>
            <wp:effectExtent l="0" t="0" r="0" b="0"/>
            <wp:docPr id="2" name="Picture 2" descr="Den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ver"/>
                    <pic:cNvPicPr>
                      <a:picLocks noChangeAspect="1" noChangeArrowheads="1"/>
                    </pic:cNvPicPr>
                  </pic:nvPicPr>
                  <pic:blipFill>
                    <a:blip r:embed="rId14" cstate="print"/>
                    <a:srcRect/>
                    <a:stretch>
                      <a:fillRect/>
                    </a:stretch>
                  </pic:blipFill>
                  <pic:spPr bwMode="auto">
                    <a:xfrm>
                      <a:off x="0" y="0"/>
                      <a:ext cx="5029200" cy="4138613"/>
                    </a:xfrm>
                    <a:prstGeom prst="rect">
                      <a:avLst/>
                    </a:prstGeom>
                    <a:noFill/>
                    <a:ln w="9525">
                      <a:noFill/>
                      <a:miter lim="800000"/>
                      <a:headEnd/>
                      <a:tailEnd/>
                    </a:ln>
                  </pic:spPr>
                </pic:pic>
              </a:graphicData>
            </a:graphic>
          </wp:inline>
        </w:drawing>
      </w:r>
    </w:p>
    <w:p w:rsidR="007C29B5" w:rsidRPr="006E5C82" w:rsidRDefault="007C29B5" w:rsidP="004E2560">
      <w:pPr>
        <w:pStyle w:val="exhibitsource"/>
      </w:pPr>
    </w:p>
    <w:p w:rsidR="00AB1ACE" w:rsidRDefault="007C29B5" w:rsidP="004E2560">
      <w:pPr>
        <w:pStyle w:val="BodyText"/>
        <w:spacing w:line="240" w:lineRule="auto"/>
        <w:ind w:left="0"/>
      </w:pPr>
      <w:r w:rsidRPr="006E5C82">
        <w:t xml:space="preserve">Residents from rural areas and African American and Hispanic individuals will be oversampled to allow monitoring of the CTG Program intervention effects on reducing health disparities in populations that historically have exhibited a greater burden of chronic diseases. The oversampling strategy will ensure that sample sizes for the rural, African American, and Hispanic subpopulations will have adequate power to detect changes in means and </w:t>
      </w:r>
      <w:proofErr w:type="spellStart"/>
      <w:r w:rsidRPr="006E5C82">
        <w:t>prevalences</w:t>
      </w:r>
      <w:proofErr w:type="spellEnd"/>
      <w:r w:rsidRPr="006E5C82">
        <w:t xml:space="preserve"> for the data collected in the </w:t>
      </w:r>
      <w:r w:rsidRPr="006E5C82">
        <w:rPr>
          <w:i/>
          <w:iCs/>
        </w:rPr>
        <w:t>Standard Protocol</w:t>
      </w:r>
      <w:r w:rsidRPr="006E5C82">
        <w:t xml:space="preserve"> across the data collection periods. Additionally, in the eight awardee areas selected to receive the </w:t>
      </w:r>
      <w:r w:rsidRPr="006E5C82">
        <w:rPr>
          <w:i/>
        </w:rPr>
        <w:t>Enhanced Protocol</w:t>
      </w:r>
      <w:r w:rsidRPr="006E5C82">
        <w:t xml:space="preserve">, households with available telephone numbers and children 3–17 years of age will be oversampled to facilitate recruitment into the </w:t>
      </w:r>
      <w:r w:rsidRPr="006E5C82">
        <w:rPr>
          <w:i/>
        </w:rPr>
        <w:t xml:space="preserve">Enhanced Protocol </w:t>
      </w:r>
      <w:r w:rsidRPr="006E5C82">
        <w:rPr>
          <w:iCs/>
        </w:rPr>
        <w:t xml:space="preserve">and </w:t>
      </w:r>
      <w:r w:rsidRPr="006E5C82">
        <w:t xml:space="preserve">to achieve the sample-size goals for children. </w:t>
      </w:r>
    </w:p>
    <w:p w:rsidR="00AB1ACE" w:rsidRDefault="007C29B5" w:rsidP="004E2560">
      <w:pPr>
        <w:pStyle w:val="BodyText"/>
        <w:spacing w:line="240" w:lineRule="auto"/>
        <w:ind w:left="0"/>
      </w:pPr>
      <w:r w:rsidRPr="006E5C82">
        <w:t xml:space="preserve">The following are the target sample-size goals (number of completions) for the </w:t>
      </w:r>
      <w:r w:rsidRPr="006E5C82">
        <w:rPr>
          <w:i/>
        </w:rPr>
        <w:t>Standard Protocol</w:t>
      </w:r>
      <w:r w:rsidRPr="006E5C82">
        <w:t xml:space="preserve"> during each data collection period:</w:t>
      </w:r>
    </w:p>
    <w:p w:rsidR="00AB1ACE" w:rsidRDefault="007C29B5" w:rsidP="004E2560">
      <w:pPr>
        <w:pStyle w:val="Bullet"/>
        <w:tabs>
          <w:tab w:val="clear" w:pos="1440"/>
          <w:tab w:val="num" w:pos="1080"/>
        </w:tabs>
        <w:spacing w:line="240" w:lineRule="auto"/>
        <w:ind w:left="1080"/>
        <w:contextualSpacing/>
      </w:pPr>
      <w:r w:rsidRPr="006E5C82">
        <w:t>20,000 total respondents (i.e., 1,000 respondents in each of 20 geographical areas)</w:t>
      </w:r>
    </w:p>
    <w:p w:rsidR="00AB1ACE" w:rsidRDefault="007C29B5" w:rsidP="004E2560">
      <w:pPr>
        <w:pStyle w:val="Bullet"/>
        <w:tabs>
          <w:tab w:val="clear" w:pos="1440"/>
          <w:tab w:val="num" w:pos="1080"/>
        </w:tabs>
        <w:spacing w:line="240" w:lineRule="auto"/>
        <w:ind w:left="1080"/>
        <w:contextualSpacing/>
      </w:pPr>
      <w:r w:rsidRPr="006E5C82">
        <w:t>4,000 total rural respondents</w:t>
      </w:r>
    </w:p>
    <w:p w:rsidR="00AB1ACE" w:rsidRDefault="007C29B5" w:rsidP="004E2560">
      <w:pPr>
        <w:pStyle w:val="Bullet"/>
        <w:tabs>
          <w:tab w:val="clear" w:pos="1440"/>
          <w:tab w:val="num" w:pos="1080"/>
        </w:tabs>
        <w:spacing w:line="240" w:lineRule="auto"/>
        <w:ind w:left="1080"/>
        <w:contextualSpacing/>
      </w:pPr>
      <w:r w:rsidRPr="006E5C82">
        <w:t>4,000 total African American respondents</w:t>
      </w:r>
    </w:p>
    <w:p w:rsidR="00AB1ACE" w:rsidRDefault="007C29B5" w:rsidP="004E2560">
      <w:pPr>
        <w:pStyle w:val="Bullet"/>
        <w:tabs>
          <w:tab w:val="clear" w:pos="1440"/>
          <w:tab w:val="num" w:pos="1080"/>
        </w:tabs>
        <w:spacing w:line="240" w:lineRule="auto"/>
        <w:ind w:left="1080"/>
        <w:contextualSpacing/>
      </w:pPr>
      <w:r w:rsidRPr="006E5C82">
        <w:t>4,000 total Hispanic respondents</w:t>
      </w:r>
    </w:p>
    <w:p w:rsidR="00AB1ACE" w:rsidRDefault="007C29B5" w:rsidP="004E2560">
      <w:pPr>
        <w:pStyle w:val="BodyText"/>
        <w:spacing w:line="240" w:lineRule="auto"/>
        <w:ind w:left="0"/>
      </w:pPr>
      <w:r w:rsidRPr="006E5C82">
        <w:t xml:space="preserve">The following are the target sample-size goals (number of completions) for each of the eight awardee areas selected for the </w:t>
      </w:r>
      <w:r w:rsidRPr="006E5C82">
        <w:rPr>
          <w:i/>
        </w:rPr>
        <w:t>Enhanced Protocol</w:t>
      </w:r>
      <w:r w:rsidRPr="006E5C82">
        <w:t xml:space="preserve"> during each data collection year:</w:t>
      </w:r>
    </w:p>
    <w:p w:rsidR="00AB1ACE" w:rsidRDefault="007C29B5" w:rsidP="004E2560">
      <w:pPr>
        <w:pStyle w:val="Bullet"/>
        <w:tabs>
          <w:tab w:val="clear" w:pos="1440"/>
          <w:tab w:val="num" w:pos="1080"/>
        </w:tabs>
        <w:spacing w:line="240" w:lineRule="auto"/>
        <w:ind w:left="1080"/>
        <w:contextualSpacing/>
      </w:pPr>
      <w:r w:rsidRPr="006E5C82">
        <w:lastRenderedPageBreak/>
        <w:t>500 adult respondents</w:t>
      </w:r>
    </w:p>
    <w:p w:rsidR="00AB1ACE" w:rsidRDefault="007C29B5" w:rsidP="004E2560">
      <w:pPr>
        <w:pStyle w:val="Bullet"/>
        <w:tabs>
          <w:tab w:val="clear" w:pos="1440"/>
          <w:tab w:val="num" w:pos="1080"/>
        </w:tabs>
        <w:spacing w:line="240" w:lineRule="auto"/>
        <w:ind w:left="1080"/>
        <w:contextualSpacing/>
      </w:pPr>
      <w:r w:rsidRPr="006E5C82">
        <w:t>300 child respondents (3</w:t>
      </w:r>
      <w:r w:rsidR="00C4140F">
        <w:t>–</w:t>
      </w:r>
      <w:r w:rsidRPr="006E5C82">
        <w:t>17 years old)</w:t>
      </w:r>
    </w:p>
    <w:p w:rsidR="00AB1ACE" w:rsidRDefault="007C29B5" w:rsidP="004E2560">
      <w:pPr>
        <w:pStyle w:val="BodyText"/>
        <w:spacing w:line="240" w:lineRule="auto"/>
        <w:ind w:left="0"/>
      </w:pPr>
      <w:r w:rsidRPr="006E5C82">
        <w:t xml:space="preserve">To achieve these goals, we will initially include greater numbers in the sample to allow for noncontacts and refusals. </w:t>
      </w:r>
    </w:p>
    <w:p w:rsidR="00AB1ACE" w:rsidRDefault="007C29B5" w:rsidP="004E2560">
      <w:pPr>
        <w:pStyle w:val="BodyText"/>
        <w:spacing w:line="240" w:lineRule="auto"/>
        <w:ind w:left="0"/>
      </w:pPr>
      <w:r w:rsidRPr="006E5C82">
        <w:t>For each data collection period (Exhibit B</w:t>
      </w:r>
      <w:r w:rsidR="00B00C82">
        <w:t>.</w:t>
      </w:r>
      <w:r w:rsidRPr="006E5C82">
        <w:t>1</w:t>
      </w:r>
      <w:r w:rsidR="00B00C82">
        <w:t>.</w:t>
      </w:r>
      <w:r w:rsidRPr="006E5C82">
        <w:t>3), the</w:t>
      </w:r>
      <w:r w:rsidR="000B1472">
        <w:t xml:space="preserve"> target sample sizes are </w:t>
      </w:r>
      <w:r w:rsidRPr="006E5C82">
        <w:t xml:space="preserve">20,000 </w:t>
      </w:r>
      <w:r w:rsidRPr="006E5C82">
        <w:rPr>
          <w:i/>
          <w:iCs/>
        </w:rPr>
        <w:t>Standard Protocol</w:t>
      </w:r>
      <w:r w:rsidRPr="006E5C82">
        <w:t xml:space="preserve"> respondents, plus an additional 3,695 </w:t>
      </w:r>
      <w:r w:rsidR="000B1472">
        <w:t xml:space="preserve">adults participating in the </w:t>
      </w:r>
      <w:r w:rsidRPr="006E5C82">
        <w:rPr>
          <w:i/>
          <w:iCs/>
        </w:rPr>
        <w:t>Enhanced Protocol</w:t>
      </w:r>
      <w:r w:rsidRPr="006E5C82">
        <w:t xml:space="preserve"> who complete the </w:t>
      </w:r>
      <w:r w:rsidRPr="006E5C82">
        <w:rPr>
          <w:i/>
          <w:iCs/>
        </w:rPr>
        <w:t>Standard Protocol</w:t>
      </w:r>
      <w:r w:rsidRPr="006E5C82">
        <w:t xml:space="preserve"> (i.e., ATSS)</w:t>
      </w:r>
      <w:r w:rsidR="000B1472">
        <w:t xml:space="preserve">; and </w:t>
      </w:r>
      <w:r w:rsidRPr="006E5C82">
        <w:t xml:space="preserve">4,000 adult and 2,400 child respondents who complete the in-home visit. </w:t>
      </w:r>
    </w:p>
    <w:p w:rsidR="007C29B5" w:rsidRPr="006E5C82" w:rsidRDefault="007C29B5" w:rsidP="004E2560">
      <w:pPr>
        <w:pStyle w:val="ExhibitTitle"/>
        <w:ind w:left="1260"/>
      </w:pPr>
      <w:r w:rsidRPr="006E5C82">
        <w:t>Exhibit B</w:t>
      </w:r>
      <w:r w:rsidR="00B00C82">
        <w:t>.</w:t>
      </w:r>
      <w:r w:rsidRPr="006E5C82">
        <w:t>1</w:t>
      </w:r>
      <w:r w:rsidR="00B00C82">
        <w:t>.</w:t>
      </w:r>
      <w:r w:rsidRPr="006E5C82">
        <w:t>3.</w:t>
      </w:r>
      <w:r w:rsidR="00291983" w:rsidRPr="006E5C82">
        <w:tab/>
      </w:r>
      <w:r w:rsidR="000B1472">
        <w:t xml:space="preserve">Target Sample Size </w:t>
      </w:r>
      <w:r w:rsidRPr="006E5C82">
        <w:t xml:space="preserve">for </w:t>
      </w:r>
      <w:r w:rsidR="00A67818" w:rsidRPr="006E5C82">
        <w:t xml:space="preserve">Each </w:t>
      </w:r>
      <w:r w:rsidRPr="006E5C82">
        <w:t>Data Collection Period</w:t>
      </w:r>
    </w:p>
    <w:tbl>
      <w:tblPr>
        <w:tblW w:w="9504" w:type="dxa"/>
        <w:tblBorders>
          <w:top w:val="single" w:sz="12" w:space="0" w:color="000000"/>
          <w:bottom w:val="single" w:sz="12" w:space="0" w:color="000000"/>
          <w:insideH w:val="single" w:sz="2" w:space="0" w:color="000000"/>
        </w:tblBorders>
        <w:tblLayout w:type="fixed"/>
        <w:tblCellMar>
          <w:left w:w="58" w:type="dxa"/>
          <w:right w:w="58" w:type="dxa"/>
        </w:tblCellMar>
        <w:tblLook w:val="04A0" w:firstRow="1" w:lastRow="0" w:firstColumn="1" w:lastColumn="0" w:noHBand="0" w:noVBand="1"/>
      </w:tblPr>
      <w:tblGrid>
        <w:gridCol w:w="3388"/>
        <w:gridCol w:w="1374"/>
        <w:gridCol w:w="2470"/>
        <w:gridCol w:w="2272"/>
      </w:tblGrid>
      <w:tr w:rsidR="007C29B5" w:rsidRPr="006E5C82" w:rsidTr="004E2560">
        <w:tc>
          <w:tcPr>
            <w:tcW w:w="3388" w:type="dxa"/>
            <w:vAlign w:val="bottom"/>
          </w:tcPr>
          <w:p w:rsidR="007C29B5" w:rsidRPr="006E5C82" w:rsidRDefault="007C29B5" w:rsidP="00B00C82">
            <w:pPr>
              <w:keepNext/>
              <w:spacing w:before="40" w:after="40"/>
              <w:jc w:val="center"/>
              <w:rPr>
                <w:b/>
                <w:bCs/>
                <w:sz w:val="22"/>
                <w:szCs w:val="22"/>
              </w:rPr>
            </w:pPr>
            <w:r w:rsidRPr="006E5C82">
              <w:rPr>
                <w:b/>
                <w:bCs/>
                <w:sz w:val="22"/>
                <w:szCs w:val="22"/>
              </w:rPr>
              <w:t>Type of Awardee</w:t>
            </w:r>
          </w:p>
        </w:tc>
        <w:tc>
          <w:tcPr>
            <w:tcW w:w="1374" w:type="dxa"/>
            <w:vAlign w:val="bottom"/>
          </w:tcPr>
          <w:p w:rsidR="007C29B5" w:rsidRPr="006E5C82" w:rsidRDefault="00460B5A" w:rsidP="00B00C82">
            <w:pPr>
              <w:pStyle w:val="TableHeader"/>
              <w:rPr>
                <w:sz w:val="22"/>
                <w:szCs w:val="22"/>
              </w:rPr>
            </w:pPr>
            <w:r>
              <w:rPr>
                <w:sz w:val="22"/>
                <w:szCs w:val="22"/>
              </w:rPr>
              <w:t xml:space="preserve"># of </w:t>
            </w:r>
            <w:r w:rsidR="007C29B5" w:rsidRPr="006E5C82">
              <w:rPr>
                <w:sz w:val="22"/>
                <w:szCs w:val="22"/>
              </w:rPr>
              <w:t>Awardees</w:t>
            </w:r>
          </w:p>
        </w:tc>
        <w:tc>
          <w:tcPr>
            <w:tcW w:w="2470" w:type="dxa"/>
            <w:vAlign w:val="bottom"/>
          </w:tcPr>
          <w:p w:rsidR="007C29B5" w:rsidRPr="006E5C82" w:rsidRDefault="007C29B5" w:rsidP="00B00C82">
            <w:pPr>
              <w:keepNext/>
              <w:spacing w:before="40" w:after="40"/>
              <w:jc w:val="center"/>
              <w:rPr>
                <w:b/>
                <w:bCs/>
                <w:sz w:val="22"/>
                <w:szCs w:val="22"/>
              </w:rPr>
            </w:pPr>
            <w:r w:rsidRPr="006E5C82">
              <w:rPr>
                <w:b/>
                <w:bCs/>
                <w:sz w:val="22"/>
                <w:szCs w:val="22"/>
              </w:rPr>
              <w:t>Standard Protocol</w:t>
            </w:r>
          </w:p>
        </w:tc>
        <w:tc>
          <w:tcPr>
            <w:tcW w:w="2272" w:type="dxa"/>
            <w:vAlign w:val="bottom"/>
          </w:tcPr>
          <w:p w:rsidR="007C29B5" w:rsidRPr="006E5C82" w:rsidRDefault="007C29B5" w:rsidP="00B00C82">
            <w:pPr>
              <w:keepNext/>
              <w:spacing w:before="40" w:after="40"/>
              <w:jc w:val="center"/>
              <w:rPr>
                <w:b/>
                <w:bCs/>
                <w:sz w:val="22"/>
                <w:szCs w:val="22"/>
              </w:rPr>
            </w:pPr>
            <w:r w:rsidRPr="006E5C82">
              <w:rPr>
                <w:b/>
                <w:bCs/>
                <w:sz w:val="22"/>
                <w:szCs w:val="22"/>
              </w:rPr>
              <w:t>Enhanced Protocol</w:t>
            </w:r>
          </w:p>
        </w:tc>
      </w:tr>
      <w:tr w:rsidR="007C29B5" w:rsidRPr="006E5C82" w:rsidTr="004E2560">
        <w:tc>
          <w:tcPr>
            <w:tcW w:w="3388" w:type="dxa"/>
          </w:tcPr>
          <w:p w:rsidR="007C29B5" w:rsidRPr="006E5C82" w:rsidRDefault="007C29B5" w:rsidP="00B00C82">
            <w:pPr>
              <w:spacing w:before="40" w:after="40"/>
              <w:rPr>
                <w:sz w:val="22"/>
                <w:szCs w:val="22"/>
              </w:rPr>
            </w:pPr>
            <w:r w:rsidRPr="006E5C82">
              <w:rPr>
                <w:sz w:val="22"/>
                <w:szCs w:val="22"/>
              </w:rPr>
              <w:t xml:space="preserve">Awardees receiving </w:t>
            </w:r>
            <w:r w:rsidRPr="006E5C82">
              <w:rPr>
                <w:i/>
                <w:sz w:val="22"/>
                <w:szCs w:val="22"/>
              </w:rPr>
              <w:t>Standard Protocol</w:t>
            </w:r>
            <w:r w:rsidRPr="006E5C82">
              <w:rPr>
                <w:sz w:val="22"/>
                <w:szCs w:val="22"/>
              </w:rPr>
              <w:t xml:space="preserve"> only</w:t>
            </w:r>
          </w:p>
        </w:tc>
        <w:tc>
          <w:tcPr>
            <w:tcW w:w="1374" w:type="dxa"/>
          </w:tcPr>
          <w:p w:rsidR="007C29B5" w:rsidRPr="006E5C82" w:rsidRDefault="007C29B5" w:rsidP="00B00C82">
            <w:pPr>
              <w:tabs>
                <w:tab w:val="decimal" w:pos="647"/>
              </w:tabs>
              <w:spacing w:before="40" w:after="40"/>
              <w:rPr>
                <w:sz w:val="22"/>
                <w:szCs w:val="22"/>
              </w:rPr>
            </w:pPr>
            <w:r w:rsidRPr="006E5C82">
              <w:rPr>
                <w:sz w:val="22"/>
                <w:szCs w:val="22"/>
              </w:rPr>
              <w:t>12</w:t>
            </w:r>
          </w:p>
        </w:tc>
        <w:tc>
          <w:tcPr>
            <w:tcW w:w="2470" w:type="dxa"/>
          </w:tcPr>
          <w:p w:rsidR="007C29B5" w:rsidRPr="006E5C82" w:rsidRDefault="007C29B5" w:rsidP="00B00C82">
            <w:pPr>
              <w:pStyle w:val="Tabletext0"/>
              <w:rPr>
                <w:sz w:val="22"/>
                <w:szCs w:val="22"/>
              </w:rPr>
            </w:pPr>
            <w:r w:rsidRPr="006E5C82">
              <w:rPr>
                <w:sz w:val="22"/>
                <w:szCs w:val="22"/>
              </w:rPr>
              <w:t xml:space="preserve">12,000 </w:t>
            </w:r>
          </w:p>
          <w:p w:rsidR="007C29B5" w:rsidRPr="006E5C82" w:rsidRDefault="007C29B5" w:rsidP="00B00C82">
            <w:pPr>
              <w:spacing w:before="40" w:after="40"/>
              <w:rPr>
                <w:sz w:val="22"/>
                <w:szCs w:val="22"/>
              </w:rPr>
            </w:pPr>
            <w:r w:rsidRPr="006E5C82">
              <w:rPr>
                <w:sz w:val="22"/>
                <w:szCs w:val="22"/>
              </w:rPr>
              <w:t>(1,000 per awardee)</w:t>
            </w:r>
          </w:p>
        </w:tc>
        <w:tc>
          <w:tcPr>
            <w:tcW w:w="2272" w:type="dxa"/>
          </w:tcPr>
          <w:p w:rsidR="007C29B5" w:rsidRPr="006E5C82" w:rsidRDefault="007C29B5" w:rsidP="00B00C82">
            <w:pPr>
              <w:spacing w:before="40" w:after="40"/>
              <w:rPr>
                <w:sz w:val="22"/>
                <w:szCs w:val="22"/>
              </w:rPr>
            </w:pPr>
            <w:r w:rsidRPr="006E5C82">
              <w:rPr>
                <w:sz w:val="22"/>
                <w:szCs w:val="22"/>
              </w:rPr>
              <w:t>0</w:t>
            </w:r>
          </w:p>
        </w:tc>
      </w:tr>
      <w:tr w:rsidR="007C29B5" w:rsidRPr="006E5C82" w:rsidTr="004E2560">
        <w:tc>
          <w:tcPr>
            <w:tcW w:w="3388" w:type="dxa"/>
          </w:tcPr>
          <w:p w:rsidR="007C29B5" w:rsidRPr="006E5C82" w:rsidRDefault="007C29B5" w:rsidP="00B00C82">
            <w:pPr>
              <w:spacing w:before="40" w:after="40"/>
              <w:rPr>
                <w:sz w:val="22"/>
                <w:szCs w:val="22"/>
              </w:rPr>
            </w:pPr>
            <w:r w:rsidRPr="006E5C82">
              <w:rPr>
                <w:sz w:val="22"/>
                <w:szCs w:val="22"/>
              </w:rPr>
              <w:t xml:space="preserve">Awardees receiving both </w:t>
            </w:r>
            <w:r w:rsidRPr="006E5C82">
              <w:rPr>
                <w:i/>
                <w:sz w:val="22"/>
                <w:szCs w:val="22"/>
              </w:rPr>
              <w:t>Standard</w:t>
            </w:r>
            <w:r w:rsidRPr="006E5C82">
              <w:rPr>
                <w:sz w:val="22"/>
                <w:szCs w:val="22"/>
              </w:rPr>
              <w:t xml:space="preserve"> and </w:t>
            </w:r>
            <w:r w:rsidRPr="006E5C82">
              <w:rPr>
                <w:i/>
                <w:sz w:val="22"/>
                <w:szCs w:val="22"/>
              </w:rPr>
              <w:t>Enhanced Protocol</w:t>
            </w:r>
            <w:r w:rsidRPr="006E5C82">
              <w:rPr>
                <w:sz w:val="22"/>
                <w:szCs w:val="22"/>
              </w:rPr>
              <w:t xml:space="preserve"> </w:t>
            </w:r>
          </w:p>
        </w:tc>
        <w:tc>
          <w:tcPr>
            <w:tcW w:w="1374" w:type="dxa"/>
          </w:tcPr>
          <w:p w:rsidR="007C29B5" w:rsidRPr="006E5C82" w:rsidRDefault="007C29B5" w:rsidP="00B00C82">
            <w:pPr>
              <w:tabs>
                <w:tab w:val="decimal" w:pos="647"/>
              </w:tabs>
              <w:spacing w:before="40" w:after="40"/>
              <w:rPr>
                <w:sz w:val="22"/>
                <w:szCs w:val="22"/>
              </w:rPr>
            </w:pPr>
            <w:r w:rsidRPr="006E5C82">
              <w:rPr>
                <w:sz w:val="22"/>
                <w:szCs w:val="22"/>
              </w:rPr>
              <w:t>8</w:t>
            </w:r>
          </w:p>
        </w:tc>
        <w:tc>
          <w:tcPr>
            <w:tcW w:w="2470" w:type="dxa"/>
          </w:tcPr>
          <w:p w:rsidR="007C29B5" w:rsidRPr="006E5C82" w:rsidRDefault="007C29B5" w:rsidP="00B00C82">
            <w:pPr>
              <w:spacing w:before="40" w:after="40"/>
              <w:rPr>
                <w:sz w:val="22"/>
                <w:szCs w:val="22"/>
              </w:rPr>
            </w:pPr>
            <w:r w:rsidRPr="006E5C82">
              <w:rPr>
                <w:sz w:val="22"/>
                <w:szCs w:val="22"/>
              </w:rPr>
              <w:t xml:space="preserve">11,695 </w:t>
            </w:r>
          </w:p>
          <w:p w:rsidR="007C29B5" w:rsidRPr="006E5C82" w:rsidRDefault="007C29B5" w:rsidP="00B00C82">
            <w:pPr>
              <w:spacing w:before="40" w:after="40"/>
              <w:rPr>
                <w:sz w:val="22"/>
                <w:szCs w:val="22"/>
              </w:rPr>
            </w:pPr>
            <w:r w:rsidRPr="006E5C82">
              <w:rPr>
                <w:sz w:val="22"/>
                <w:szCs w:val="22"/>
              </w:rPr>
              <w:t xml:space="preserve">(1,461 per awardee) </w:t>
            </w:r>
          </w:p>
        </w:tc>
        <w:tc>
          <w:tcPr>
            <w:tcW w:w="2272" w:type="dxa"/>
          </w:tcPr>
          <w:p w:rsidR="007C29B5" w:rsidRPr="006E5C82" w:rsidRDefault="007C29B5" w:rsidP="00B00C82">
            <w:pPr>
              <w:spacing w:before="40" w:after="40"/>
              <w:rPr>
                <w:sz w:val="22"/>
                <w:szCs w:val="22"/>
              </w:rPr>
            </w:pPr>
            <w:r w:rsidRPr="006E5C82">
              <w:rPr>
                <w:sz w:val="22"/>
                <w:szCs w:val="22"/>
              </w:rPr>
              <w:t>4,000 adults</w:t>
            </w:r>
          </w:p>
          <w:p w:rsidR="007C29B5" w:rsidRPr="006E5C82" w:rsidRDefault="007C29B5" w:rsidP="00B00C82">
            <w:pPr>
              <w:spacing w:before="40" w:after="40"/>
              <w:rPr>
                <w:sz w:val="22"/>
                <w:szCs w:val="22"/>
              </w:rPr>
            </w:pPr>
            <w:r w:rsidRPr="006E5C82">
              <w:rPr>
                <w:sz w:val="22"/>
                <w:szCs w:val="22"/>
              </w:rPr>
              <w:t>(500 per awardee)</w:t>
            </w:r>
          </w:p>
          <w:p w:rsidR="007C29B5" w:rsidRPr="006E5C82" w:rsidRDefault="007C29B5" w:rsidP="00B00C82">
            <w:pPr>
              <w:spacing w:before="40" w:after="40"/>
              <w:rPr>
                <w:sz w:val="22"/>
                <w:szCs w:val="22"/>
              </w:rPr>
            </w:pPr>
            <w:r w:rsidRPr="006E5C82">
              <w:rPr>
                <w:sz w:val="22"/>
                <w:szCs w:val="22"/>
              </w:rPr>
              <w:t xml:space="preserve">2,400 children </w:t>
            </w:r>
          </w:p>
          <w:p w:rsidR="007C29B5" w:rsidRPr="006E5C82" w:rsidRDefault="007C29B5" w:rsidP="00B00C82">
            <w:pPr>
              <w:spacing w:before="40" w:after="40"/>
              <w:rPr>
                <w:sz w:val="22"/>
                <w:szCs w:val="22"/>
              </w:rPr>
            </w:pPr>
            <w:r w:rsidRPr="006E5C82">
              <w:rPr>
                <w:sz w:val="22"/>
                <w:szCs w:val="22"/>
              </w:rPr>
              <w:t>(300 per awardee)</w:t>
            </w:r>
          </w:p>
        </w:tc>
      </w:tr>
      <w:tr w:rsidR="007C29B5" w:rsidRPr="006E5C82" w:rsidTr="004E2560">
        <w:tc>
          <w:tcPr>
            <w:tcW w:w="3388" w:type="dxa"/>
          </w:tcPr>
          <w:p w:rsidR="007C29B5" w:rsidRPr="006E5C82" w:rsidRDefault="007C29B5" w:rsidP="00B00C82">
            <w:pPr>
              <w:spacing w:before="40" w:after="40"/>
              <w:rPr>
                <w:sz w:val="22"/>
                <w:szCs w:val="22"/>
              </w:rPr>
            </w:pPr>
            <w:r w:rsidRPr="006E5C82">
              <w:rPr>
                <w:sz w:val="22"/>
                <w:szCs w:val="22"/>
              </w:rPr>
              <w:t>Total across all awardees</w:t>
            </w:r>
          </w:p>
        </w:tc>
        <w:tc>
          <w:tcPr>
            <w:tcW w:w="1374" w:type="dxa"/>
          </w:tcPr>
          <w:p w:rsidR="007C29B5" w:rsidRPr="006E5C82" w:rsidRDefault="007C29B5" w:rsidP="00B00C82">
            <w:pPr>
              <w:tabs>
                <w:tab w:val="decimal" w:pos="647"/>
              </w:tabs>
              <w:spacing w:before="40" w:after="40"/>
              <w:rPr>
                <w:sz w:val="22"/>
                <w:szCs w:val="22"/>
              </w:rPr>
            </w:pPr>
            <w:r w:rsidRPr="006E5C82">
              <w:rPr>
                <w:sz w:val="22"/>
                <w:szCs w:val="22"/>
              </w:rPr>
              <w:t>20</w:t>
            </w:r>
          </w:p>
        </w:tc>
        <w:tc>
          <w:tcPr>
            <w:tcW w:w="2470" w:type="dxa"/>
          </w:tcPr>
          <w:p w:rsidR="007C29B5" w:rsidRPr="006E5C82" w:rsidRDefault="007C29B5" w:rsidP="00B00C82">
            <w:pPr>
              <w:spacing w:before="40" w:after="40"/>
              <w:rPr>
                <w:sz w:val="22"/>
                <w:szCs w:val="22"/>
              </w:rPr>
            </w:pPr>
            <w:r w:rsidRPr="006E5C82">
              <w:rPr>
                <w:sz w:val="22"/>
                <w:szCs w:val="22"/>
              </w:rPr>
              <w:t>23,695</w:t>
            </w:r>
          </w:p>
        </w:tc>
        <w:tc>
          <w:tcPr>
            <w:tcW w:w="2272" w:type="dxa"/>
          </w:tcPr>
          <w:p w:rsidR="007C29B5" w:rsidRPr="006E5C82" w:rsidRDefault="007C29B5" w:rsidP="00B00C82">
            <w:pPr>
              <w:spacing w:before="40" w:after="40"/>
              <w:rPr>
                <w:sz w:val="22"/>
                <w:szCs w:val="22"/>
              </w:rPr>
            </w:pPr>
            <w:r w:rsidRPr="006E5C82">
              <w:rPr>
                <w:sz w:val="22"/>
                <w:szCs w:val="22"/>
              </w:rPr>
              <w:t>4,000 adults</w:t>
            </w:r>
          </w:p>
          <w:p w:rsidR="007C29B5" w:rsidRPr="006E5C82" w:rsidRDefault="007C29B5" w:rsidP="00B00C82">
            <w:pPr>
              <w:spacing w:before="40" w:after="40"/>
              <w:rPr>
                <w:sz w:val="22"/>
                <w:szCs w:val="22"/>
              </w:rPr>
            </w:pPr>
            <w:r w:rsidRPr="006E5C82">
              <w:rPr>
                <w:sz w:val="22"/>
                <w:szCs w:val="22"/>
              </w:rPr>
              <w:t>2,400 children</w:t>
            </w:r>
          </w:p>
        </w:tc>
      </w:tr>
    </w:tbl>
    <w:p w:rsidR="007C29B5" w:rsidRPr="006E5C82" w:rsidRDefault="007C29B5" w:rsidP="004E2560"/>
    <w:p w:rsidR="007C29B5" w:rsidRPr="006E5C82" w:rsidRDefault="007C29B5" w:rsidP="004E2560">
      <w:pPr>
        <w:pStyle w:val="Heading3"/>
        <w:ind w:left="547"/>
      </w:pPr>
      <w:bookmarkStart w:id="7" w:name="_Toc348434923"/>
      <w:r w:rsidRPr="006E5C82">
        <w:t>Sample Selection</w:t>
      </w:r>
      <w:bookmarkEnd w:id="7"/>
    </w:p>
    <w:p w:rsidR="007C29B5" w:rsidRPr="006E5C82" w:rsidRDefault="007C29B5" w:rsidP="004E2560">
      <w:pPr>
        <w:pStyle w:val="BodyText"/>
        <w:spacing w:line="240" w:lineRule="auto"/>
        <w:ind w:left="0"/>
      </w:pPr>
      <w:r w:rsidRPr="006E5C82">
        <w:t xml:space="preserve">To achieve the target sample size, we will subdivide the sampling frame into strata consisting of all combinations of the characteristics listed below. The sample selection for the </w:t>
      </w:r>
      <w:r w:rsidRPr="006E5C82">
        <w:rPr>
          <w:i/>
          <w:iCs/>
        </w:rPr>
        <w:t>Standard</w:t>
      </w:r>
      <w:r w:rsidRPr="006E5C82">
        <w:t xml:space="preserve"> and </w:t>
      </w:r>
      <w:r w:rsidRPr="006E5C82">
        <w:rPr>
          <w:i/>
        </w:rPr>
        <w:t>Enhanced Protocol</w:t>
      </w:r>
      <w:r w:rsidRPr="006E5C82">
        <w:t>s begins with the same frame:</w:t>
      </w:r>
    </w:p>
    <w:p w:rsidR="007C29B5" w:rsidRPr="006E5C82" w:rsidRDefault="007C29B5" w:rsidP="004E2560">
      <w:pPr>
        <w:pStyle w:val="Bullet"/>
        <w:tabs>
          <w:tab w:val="clear" w:pos="1440"/>
          <w:tab w:val="num" w:pos="1080"/>
        </w:tabs>
        <w:spacing w:line="240" w:lineRule="auto"/>
        <w:ind w:left="1080"/>
        <w:contextualSpacing/>
      </w:pPr>
      <w:r w:rsidRPr="006E5C82">
        <w:t>Awardee</w:t>
      </w:r>
    </w:p>
    <w:p w:rsidR="007C29B5" w:rsidRPr="006E5C82" w:rsidRDefault="007C29B5" w:rsidP="004E2560">
      <w:pPr>
        <w:pStyle w:val="Bullet"/>
        <w:tabs>
          <w:tab w:val="clear" w:pos="1440"/>
          <w:tab w:val="num" w:pos="1080"/>
        </w:tabs>
        <w:spacing w:line="240" w:lineRule="auto"/>
        <w:ind w:left="1080"/>
        <w:contextualSpacing/>
      </w:pPr>
      <w:r w:rsidRPr="006E5C82">
        <w:t>Rural/urban designation</w:t>
      </w:r>
    </w:p>
    <w:p w:rsidR="007C29B5" w:rsidRPr="006E5C82" w:rsidRDefault="007C29B5" w:rsidP="004E2560">
      <w:pPr>
        <w:pStyle w:val="Bullet"/>
        <w:tabs>
          <w:tab w:val="clear" w:pos="1440"/>
          <w:tab w:val="num" w:pos="1080"/>
        </w:tabs>
        <w:spacing w:line="240" w:lineRule="auto"/>
        <w:ind w:left="1080"/>
        <w:contextualSpacing/>
      </w:pPr>
      <w:r w:rsidRPr="006E5C82">
        <w:t xml:space="preserve">African American density (high, medium, and low) </w:t>
      </w:r>
    </w:p>
    <w:p w:rsidR="007C29B5" w:rsidRPr="006E5C82" w:rsidRDefault="007C29B5" w:rsidP="004E2560">
      <w:pPr>
        <w:pStyle w:val="Bullet"/>
        <w:tabs>
          <w:tab w:val="clear" w:pos="1440"/>
          <w:tab w:val="num" w:pos="1080"/>
        </w:tabs>
        <w:spacing w:line="240" w:lineRule="auto"/>
        <w:ind w:left="1080"/>
        <w:contextualSpacing/>
      </w:pPr>
      <w:r w:rsidRPr="006E5C82">
        <w:t>Hispanic surname (yes/no)—from a list of the 650 most common Hispanic surnames</w:t>
      </w:r>
    </w:p>
    <w:p w:rsidR="007C29B5" w:rsidRPr="006E5C82" w:rsidRDefault="007C29B5" w:rsidP="004E2560">
      <w:pPr>
        <w:pStyle w:val="Bullet"/>
        <w:tabs>
          <w:tab w:val="clear" w:pos="1440"/>
          <w:tab w:val="num" w:pos="1080"/>
        </w:tabs>
        <w:spacing w:line="240" w:lineRule="auto"/>
        <w:ind w:left="1080"/>
        <w:contextualSpacing/>
      </w:pPr>
      <w:r w:rsidRPr="006E5C82">
        <w:t>Presence of child (yes/no)</w:t>
      </w:r>
    </w:p>
    <w:p w:rsidR="007C29B5" w:rsidRPr="006E5C82" w:rsidRDefault="007C29B5" w:rsidP="004E2560">
      <w:pPr>
        <w:pStyle w:val="Bullet"/>
        <w:tabs>
          <w:tab w:val="clear" w:pos="1440"/>
          <w:tab w:val="num" w:pos="1080"/>
        </w:tabs>
        <w:spacing w:line="240" w:lineRule="auto"/>
        <w:ind w:left="1080"/>
        <w:contextualSpacing/>
      </w:pPr>
      <w:r w:rsidRPr="006E5C82">
        <w:t>Telephone number match (yes/no)</w:t>
      </w:r>
    </w:p>
    <w:p w:rsidR="00B00C82" w:rsidRDefault="007C29B5" w:rsidP="004E2560">
      <w:pPr>
        <w:pStyle w:val="Heading4"/>
        <w:spacing w:line="240" w:lineRule="auto"/>
        <w:ind w:left="0"/>
      </w:pPr>
      <w:r w:rsidRPr="006E5C82">
        <w:t>Standard Protocol</w:t>
      </w:r>
    </w:p>
    <w:p w:rsidR="007C29B5" w:rsidRPr="006E5C82" w:rsidRDefault="007C29B5" w:rsidP="004E2560">
      <w:pPr>
        <w:pStyle w:val="BodyText"/>
        <w:spacing w:line="240" w:lineRule="auto"/>
        <w:ind w:left="0"/>
      </w:pPr>
      <w:r w:rsidRPr="006E5C82">
        <w:t xml:space="preserve">For selection of the sample to be recruited for the </w:t>
      </w:r>
      <w:r w:rsidRPr="006E5C82">
        <w:rPr>
          <w:i/>
        </w:rPr>
        <w:t>Standard Protocol</w:t>
      </w:r>
      <w:r w:rsidRPr="006E5C82">
        <w:t xml:space="preserve">, we start by stratifying the frame on the </w:t>
      </w:r>
      <w:r w:rsidR="00A67818" w:rsidRPr="006E5C82">
        <w:t>above</w:t>
      </w:r>
      <w:r w:rsidR="00A67818">
        <w:t>-</w:t>
      </w:r>
      <w:r w:rsidRPr="006E5C82">
        <w:t>mentioned characteristics. We stratify by rural/urban, African American density, and Hispanic surname to control the sample size of the subpopulations. The proportion of sample that responds in each stratum will be monitored throughout the course of data collection, and sampling probabilities for each stratum will be adjusted if necessary to ensure that we achieve our sample-size targets.</w:t>
      </w:r>
    </w:p>
    <w:p w:rsidR="007C29B5" w:rsidRPr="006E5C82" w:rsidRDefault="007C29B5" w:rsidP="004E2560">
      <w:pPr>
        <w:pStyle w:val="BodyText"/>
        <w:spacing w:line="240" w:lineRule="auto"/>
        <w:ind w:left="0"/>
      </w:pPr>
      <w:r w:rsidRPr="006E5C82">
        <w:t>For each of the 20 awardee</w:t>
      </w:r>
      <w:r w:rsidR="00B00C82">
        <w:t xml:space="preserve"> areas</w:t>
      </w:r>
      <w:r w:rsidRPr="006E5C82">
        <w:t xml:space="preserve">, we will geocode the frame addresses and assign them to census blocks, block groups, tracts, and counties. To identify an address as rural or urban, we will apply </w:t>
      </w:r>
      <w:r w:rsidRPr="006E5C82">
        <w:lastRenderedPageBreak/>
        <w:t>the National Center for Health Statistics (NCHS) Urban-Rural Classification Scheme for Counties.</w:t>
      </w:r>
      <w:r w:rsidRPr="006E5C82">
        <w:rPr>
          <w:rStyle w:val="FootnoteReference"/>
        </w:rPr>
        <w:footnoteReference w:id="3"/>
      </w:r>
      <w:r w:rsidRPr="006E5C82">
        <w:rPr>
          <w:rStyle w:val="FootnoteReference"/>
        </w:rPr>
        <w:t xml:space="preserve"> </w:t>
      </w:r>
    </w:p>
    <w:p w:rsidR="007C29B5" w:rsidRPr="006E5C82" w:rsidRDefault="007C29B5" w:rsidP="004E2560">
      <w:pPr>
        <w:pStyle w:val="BodyText"/>
        <w:spacing w:line="240" w:lineRule="auto"/>
        <w:ind w:left="0"/>
      </w:pPr>
      <w:r w:rsidRPr="006E5C82">
        <w:t xml:space="preserve">We assign addresses to high, medium, or low African American density using 2010 census data for each address’s block group. An address is defined as high-density African American if it is in a block group with 75% or more African Americans; medium-density African American if it is in a block group with 50%–75% African Americans; and low-density African American if it is in a block group with less than 50% African Americans. </w:t>
      </w:r>
    </w:p>
    <w:p w:rsidR="007C29B5" w:rsidRPr="006E5C82" w:rsidRDefault="007C29B5" w:rsidP="004E2560">
      <w:pPr>
        <w:pStyle w:val="BodyText"/>
        <w:spacing w:line="240" w:lineRule="auto"/>
        <w:ind w:left="0"/>
      </w:pPr>
      <w:r w:rsidRPr="006E5C82">
        <w:t>Addresses in the frame are flagged for Hispanic surname (yes/no), presence of a child in the household (yes/no), and telephone number match (yes/no) by merging the Acxiom InfoBase consumer database</w:t>
      </w:r>
      <w:r w:rsidRPr="006E5C82">
        <w:rPr>
          <w:rStyle w:val="FootnoteReference"/>
        </w:rPr>
        <w:footnoteReference w:id="4"/>
      </w:r>
      <w:r w:rsidRPr="006E5C82">
        <w:t xml:space="preserve"> with the sample frame, matching on addresses. We anticipate that 75% or more of the addresses will have a corresponding record on the Acxiom InfoBase consumer database; addresses without a match will be combined with the “no child flag,” “no Hispanic surname flag,” and “no telephone number flag.” Preliminary work with the Acxiom database suggests that approximately 10% of households in the United States will be assigned a Hispanic surname flag and 20% of households will be flagged as having a child resident. We also estimate that approximately 50% of each sample will have a </w:t>
      </w:r>
      <w:r w:rsidR="008C1FC0" w:rsidRPr="006E5C82">
        <w:t>“</w:t>
      </w:r>
      <w:r w:rsidRPr="006E5C82">
        <w:t>telephone flag,</w:t>
      </w:r>
      <w:r w:rsidR="008C1FC0" w:rsidRPr="006E5C82">
        <w:t>”</w:t>
      </w:r>
      <w:r w:rsidRPr="006E5C82">
        <w:t xml:space="preserve"> so that those households can be among those selected initially for a telephone interview.</w:t>
      </w:r>
    </w:p>
    <w:p w:rsidR="007C29B5" w:rsidRPr="006E5C82" w:rsidRDefault="007C29B5" w:rsidP="004E2560">
      <w:pPr>
        <w:pStyle w:val="BodyText"/>
        <w:spacing w:line="240" w:lineRule="auto"/>
        <w:ind w:left="0"/>
      </w:pPr>
      <w:r w:rsidRPr="006E5C82">
        <w:t>The stratification divides households on the frame into mutually exclusive and exhaustive strata. Every stratum will be sampled, albeit at different sampling fractions. Consequently, every frame member has a chance of being selected. For example, a household that has one or more Hispanic individuals but that was not flagged as having a Hispanic surname still has a probability of selection. The household- and individual-level sampling weights are based in large part on this probability of selection. By taking the sampling weights into account when analyzing the data, we ensure that statistics computed from the sample data accurately reflect (or are unbiased estimates</w:t>
      </w:r>
      <w:r w:rsidR="00A67818">
        <w:t xml:space="preserve"> of</w:t>
      </w:r>
      <w:r w:rsidRPr="006E5C82">
        <w:t>) the entire target population from which we have sampled.</w:t>
      </w:r>
    </w:p>
    <w:p w:rsidR="007C29B5" w:rsidRPr="006E5C82" w:rsidRDefault="007C29B5" w:rsidP="004E2560">
      <w:pPr>
        <w:pStyle w:val="BodyText"/>
        <w:spacing w:line="240" w:lineRule="auto"/>
        <w:ind w:left="0"/>
      </w:pPr>
      <w:r w:rsidRPr="006E5C82">
        <w:t>When we select the sample, we will use a nonlinear optimization procedure (SAS OPTMODEL) in which an objective function (unequal weighting effect) is minimized subject to various constraints (sample-size requirements). That is, we are minimizing the increase in variance due to the unequal selection probabilities subject to the sample-size requirements described previously. At the onset of the study, we assume that the different strata have the same yield rate (ratio of completed interviews to sample fielded). However, we know from experience that there will be a range in yield rates. In each wave, we will monitor the yield rate and adjust the allocation of subsequent waves based on these data.</w:t>
      </w:r>
    </w:p>
    <w:p w:rsidR="00B00C82" w:rsidRDefault="007C29B5" w:rsidP="004E2560">
      <w:pPr>
        <w:pStyle w:val="Heading4"/>
        <w:spacing w:line="240" w:lineRule="auto"/>
        <w:ind w:left="0"/>
      </w:pPr>
      <w:r w:rsidRPr="006E5C82">
        <w:lastRenderedPageBreak/>
        <w:t>Enhanced Protocol</w:t>
      </w:r>
    </w:p>
    <w:p w:rsidR="007C29B5" w:rsidRPr="006E5C82" w:rsidRDefault="007C29B5" w:rsidP="004E2560">
      <w:pPr>
        <w:pStyle w:val="BodyText"/>
        <w:spacing w:line="240" w:lineRule="auto"/>
        <w:ind w:left="0"/>
      </w:pPr>
      <w:r w:rsidRPr="006E5C82">
        <w:t xml:space="preserve">The </w:t>
      </w:r>
      <w:r w:rsidRPr="006E5C82">
        <w:rPr>
          <w:i/>
          <w:iCs/>
        </w:rPr>
        <w:t>Enhanced Protocol</w:t>
      </w:r>
      <w:r w:rsidRPr="006E5C82">
        <w:t xml:space="preserve"> contains an oversample of the ABS sample frame (see Exhibit A</w:t>
      </w:r>
      <w:r w:rsidR="00BA57F8">
        <w:t>.</w:t>
      </w:r>
      <w:r w:rsidRPr="006E5C82">
        <w:t>1</w:t>
      </w:r>
      <w:r w:rsidR="00BA57F8">
        <w:t>.</w:t>
      </w:r>
      <w:r w:rsidRPr="006E5C82">
        <w:t>1) to facilitate obtaining the required sample size of households with children. Children are critical to include in this study because data on outcomes specific to their health behaviors are limited, particularly when trying to assess objective changes in body mass index (BMI) and other</w:t>
      </w:r>
      <w:r w:rsidR="008A11DD">
        <w:t xml:space="preserve"> core outcomes specified in the ACA legislation.</w:t>
      </w:r>
      <w:r w:rsidRPr="006E5C82">
        <w:t xml:space="preserve"> The additional sample will primarily come from the stratum that consists of addresses identified as containing a child in the household (i.e., a “child flag”). Oversampling households with children in the eight </w:t>
      </w:r>
      <w:r w:rsidR="00BA57F8">
        <w:t>a</w:t>
      </w:r>
      <w:r w:rsidRPr="006E5C82">
        <w:t xml:space="preserve">wardee </w:t>
      </w:r>
      <w:r w:rsidR="00BA57F8">
        <w:t>a</w:t>
      </w:r>
      <w:r w:rsidRPr="006E5C82">
        <w:t xml:space="preserve">reas will accommodate the sample-size goal of completing a child interview in 60% of the households that participate in the </w:t>
      </w:r>
      <w:r w:rsidRPr="006E5C82">
        <w:rPr>
          <w:i/>
          <w:iCs/>
        </w:rPr>
        <w:t>Enhanced Protocol</w:t>
      </w:r>
      <w:r w:rsidRPr="006E5C82">
        <w:t xml:space="preserve">. </w:t>
      </w:r>
    </w:p>
    <w:p w:rsidR="007C29B5" w:rsidRPr="006E5C82" w:rsidRDefault="007C29B5" w:rsidP="004E2560">
      <w:pPr>
        <w:pStyle w:val="BodyText"/>
        <w:spacing w:line="240" w:lineRule="auto"/>
        <w:ind w:left="0"/>
      </w:pPr>
      <w:r w:rsidRPr="006E5C82">
        <w:t xml:space="preserve">In addition to the standard components of the </w:t>
      </w:r>
      <w:r w:rsidRPr="006E5C82">
        <w:rPr>
          <w:i/>
        </w:rPr>
        <w:t>Enhanced Protocol,</w:t>
      </w:r>
      <w:r w:rsidRPr="006E5C82">
        <w:t xml:space="preserve"> households in four of the eight </w:t>
      </w:r>
      <w:r w:rsidR="00EA00AF">
        <w:t>a</w:t>
      </w:r>
      <w:r w:rsidR="008C1FC0" w:rsidRPr="006E5C82">
        <w:t xml:space="preserve">wardee </w:t>
      </w:r>
      <w:r w:rsidR="00EA00AF">
        <w:t>a</w:t>
      </w:r>
      <w:r w:rsidR="008C1FC0" w:rsidRPr="006E5C82">
        <w:t xml:space="preserve">reas </w:t>
      </w:r>
      <w:r w:rsidRPr="006E5C82">
        <w:t xml:space="preserve">will be asked to participate in collection of physical activity </w:t>
      </w:r>
      <w:r w:rsidR="002C3E6E">
        <w:t xml:space="preserve">data </w:t>
      </w:r>
      <w:r w:rsidRPr="006E5C82">
        <w:t xml:space="preserve">through an </w:t>
      </w:r>
      <w:r w:rsidR="008C1FC0" w:rsidRPr="006E5C82">
        <w:t xml:space="preserve">accelerometer </w:t>
      </w:r>
      <w:r w:rsidRPr="006E5C82">
        <w:t>worn by the respondent for a period of 7 days (Attachments 13B, 13C, 13B</w:t>
      </w:r>
      <w:r w:rsidR="00BA57F8">
        <w:t>-S</w:t>
      </w:r>
      <w:r w:rsidRPr="006E5C82">
        <w:t>, and 13C</w:t>
      </w:r>
      <w:r w:rsidR="00BA57F8">
        <w:t>-S</w:t>
      </w:r>
      <w:r w:rsidRPr="006E5C82">
        <w:t xml:space="preserve">). A total of 500 adult/child pairs (125 dyads per </w:t>
      </w:r>
      <w:r w:rsidR="00BA57F8">
        <w:t>a</w:t>
      </w:r>
      <w:r w:rsidRPr="006E5C82">
        <w:t xml:space="preserve">wardee </w:t>
      </w:r>
      <w:r w:rsidR="00BA57F8">
        <w:t>a</w:t>
      </w:r>
      <w:r w:rsidRPr="006E5C82">
        <w:t xml:space="preserve">rea) will be recruited to wear an accelerometer, record their activities in an Activity Diary, and return the materials and device by mail after the data collection period. </w:t>
      </w:r>
    </w:p>
    <w:p w:rsidR="007C29B5" w:rsidRPr="006E5C82" w:rsidRDefault="007C29B5" w:rsidP="004E2560">
      <w:pPr>
        <w:pStyle w:val="Heading3"/>
        <w:ind w:left="547"/>
      </w:pPr>
      <w:bookmarkStart w:id="8" w:name="_Toc348434924"/>
      <w:r w:rsidRPr="006E5C82">
        <w:t>Recruitment Strategies</w:t>
      </w:r>
      <w:bookmarkEnd w:id="8"/>
    </w:p>
    <w:p w:rsidR="007C29B5" w:rsidRPr="006E5C82" w:rsidRDefault="007C29B5" w:rsidP="004E2560">
      <w:pPr>
        <w:pStyle w:val="BodyText"/>
        <w:spacing w:line="240" w:lineRule="auto"/>
        <w:ind w:left="0"/>
      </w:pPr>
      <w:r w:rsidRPr="006E5C82">
        <w:t xml:space="preserve">Once the sample has been selected, we will recruit households by both mail and telephone. Those selected for initial telephone interviews will be randomly selected from households in the sample with a </w:t>
      </w:r>
      <w:r w:rsidR="008C1FC0" w:rsidRPr="006E5C82">
        <w:t>“</w:t>
      </w:r>
      <w:r w:rsidRPr="006E5C82">
        <w:t xml:space="preserve">phone </w:t>
      </w:r>
      <w:r w:rsidR="008C1FC0" w:rsidRPr="006E5C82">
        <w:t xml:space="preserve">append” </w:t>
      </w:r>
      <w:r w:rsidRPr="006E5C82">
        <w:t xml:space="preserve">(i.e., a telephone associated with the address). Throughout the recruitment process, we will be monitoring response rates so that recruitment strategies can be adjusted to maximize response rates. Once a household has been contacted, the adult respondent </w:t>
      </w:r>
      <w:r w:rsidRPr="006E5C82">
        <w:rPr>
          <w:rFonts w:cs="Arial"/>
          <w:color w:val="000000"/>
        </w:rPr>
        <w:t>with a</w:t>
      </w:r>
      <w:r w:rsidR="00E86D2D">
        <w:rPr>
          <w:rFonts w:cs="Arial"/>
          <w:color w:val="000000"/>
        </w:rPr>
        <w:t>n upcoming</w:t>
      </w:r>
      <w:r w:rsidRPr="006E5C82">
        <w:rPr>
          <w:rFonts w:cs="Arial"/>
          <w:color w:val="000000"/>
        </w:rPr>
        <w:t xml:space="preserve"> birth date closest to the interview date will be</w:t>
      </w:r>
      <w:r w:rsidRPr="006E5C82">
        <w:t xml:space="preserve"> selected. The following details the recruitment strategies for both the </w:t>
      </w:r>
      <w:r w:rsidRPr="006E5C82">
        <w:rPr>
          <w:i/>
          <w:iCs/>
        </w:rPr>
        <w:t>Standard</w:t>
      </w:r>
      <w:r w:rsidRPr="006E5C82">
        <w:t xml:space="preserve"> and </w:t>
      </w:r>
      <w:r w:rsidRPr="006E5C82">
        <w:rPr>
          <w:i/>
        </w:rPr>
        <w:t>Enhanced Protocol</w:t>
      </w:r>
      <w:r w:rsidRPr="006E5C82">
        <w:t>s.</w:t>
      </w:r>
    </w:p>
    <w:p w:rsidR="00B00C82" w:rsidRDefault="007C29B5" w:rsidP="004E2560">
      <w:pPr>
        <w:pStyle w:val="Heading4"/>
        <w:spacing w:line="240" w:lineRule="auto"/>
        <w:ind w:left="0"/>
      </w:pPr>
      <w:r w:rsidRPr="006E5C82">
        <w:t>Standard Protocol</w:t>
      </w:r>
    </w:p>
    <w:p w:rsidR="007C29B5" w:rsidRPr="006E5C82" w:rsidRDefault="007C29B5" w:rsidP="004E2560">
      <w:pPr>
        <w:pStyle w:val="BodyText"/>
        <w:spacing w:line="240" w:lineRule="auto"/>
        <w:ind w:left="0"/>
      </w:pPr>
      <w:r w:rsidRPr="006E5C82">
        <w:t>Exhibit B</w:t>
      </w:r>
      <w:r w:rsidR="00BA57F8">
        <w:t>.</w:t>
      </w:r>
      <w:r w:rsidRPr="006E5C82">
        <w:t>1</w:t>
      </w:r>
      <w:r w:rsidR="00BA57F8">
        <w:t>.</w:t>
      </w:r>
      <w:r w:rsidR="00AA5851">
        <w:t>4</w:t>
      </w:r>
      <w:r w:rsidR="00AA5851" w:rsidRPr="006E5C82">
        <w:t xml:space="preserve"> </w:t>
      </w:r>
      <w:r w:rsidRPr="006E5C82">
        <w:t>depicts the strategy for recruit</w:t>
      </w:r>
      <w:r w:rsidR="004C3B0E">
        <w:t>ing households</w:t>
      </w:r>
      <w:r w:rsidRPr="006E5C82">
        <w:t xml:space="preserve"> into the </w:t>
      </w:r>
      <w:r w:rsidRPr="006E5C82">
        <w:rPr>
          <w:i/>
        </w:rPr>
        <w:t>Standard Protocol</w:t>
      </w:r>
      <w:r w:rsidRPr="006E5C82">
        <w:t xml:space="preserve">. </w:t>
      </w:r>
      <w:r w:rsidR="004C3B0E">
        <w:t>We</w:t>
      </w:r>
      <w:r w:rsidR="000162AE">
        <w:t xml:space="preserve"> will send </w:t>
      </w:r>
      <w:r w:rsidR="004C3B0E">
        <w:t>an</w:t>
      </w:r>
      <w:r w:rsidR="000162AE">
        <w:t xml:space="preserve"> </w:t>
      </w:r>
      <w:r w:rsidR="004C3B0E">
        <w:t xml:space="preserve">initial </w:t>
      </w:r>
      <w:r w:rsidR="000162AE">
        <w:t xml:space="preserve">mailing </w:t>
      </w:r>
      <w:r w:rsidR="004C3B0E">
        <w:t xml:space="preserve">packet </w:t>
      </w:r>
      <w:r w:rsidR="000162AE">
        <w:t xml:space="preserve">to all sampled </w:t>
      </w:r>
      <w:r w:rsidR="00F84A6A">
        <w:t>households</w:t>
      </w:r>
      <w:r w:rsidR="000162AE">
        <w:t>, asking them to participate</w:t>
      </w:r>
      <w:r w:rsidR="00B3045E">
        <w:t xml:space="preserve">. </w:t>
      </w:r>
      <w:r w:rsidR="004C3B0E">
        <w:t xml:space="preserve">Some </w:t>
      </w:r>
      <w:r w:rsidR="00B3045E">
        <w:t xml:space="preserve">households </w:t>
      </w:r>
      <w:r w:rsidR="004C3B0E">
        <w:t>will receive a paper questionnaire packet and others will receive a telephone lead letter packet.</w:t>
      </w:r>
      <w:r w:rsidR="009451F4">
        <w:t xml:space="preserve"> </w:t>
      </w:r>
      <w:r w:rsidR="004C3B0E">
        <w:t>(Please see s</w:t>
      </w:r>
      <w:r w:rsidR="00F26F61">
        <w:t>ection B.2</w:t>
      </w:r>
      <w:r w:rsidR="004C3B0E">
        <w:t xml:space="preserve"> for details about the contents of these packets</w:t>
      </w:r>
      <w:r w:rsidR="00F26F61">
        <w:t>.</w:t>
      </w:r>
      <w:r w:rsidR="004C3B0E">
        <w:t>)</w:t>
      </w:r>
      <w:r w:rsidR="009451F4">
        <w:t xml:space="preserve"> </w:t>
      </w:r>
      <w:r w:rsidR="002324D9">
        <w:t>Paper questionnaire packet recipients will not receive a phone call and are labeled in the figure as “mail contact exclusively</w:t>
      </w:r>
      <w:r w:rsidR="009451F4">
        <w:t>.”</w:t>
      </w:r>
      <w:r w:rsidR="002324D9">
        <w:t xml:space="preserve"> Households with an associated </w:t>
      </w:r>
      <w:r w:rsidR="00584826">
        <w:t xml:space="preserve">telephone number </w:t>
      </w:r>
      <w:r w:rsidR="002324D9">
        <w:t>will receive a</w:t>
      </w:r>
      <w:r w:rsidR="00584826">
        <w:t xml:space="preserve"> telephone lead letter packet </w:t>
      </w:r>
      <w:r w:rsidR="002324D9">
        <w:t xml:space="preserve">and are </w:t>
      </w:r>
      <w:r w:rsidR="003E75FF">
        <w:t>labeled</w:t>
      </w:r>
      <w:r w:rsidR="00584826">
        <w:t xml:space="preserve"> </w:t>
      </w:r>
      <w:r w:rsidR="002324D9">
        <w:t xml:space="preserve">in the figure </w:t>
      </w:r>
      <w:r w:rsidR="00584826">
        <w:t>as “phone contact attempted</w:t>
      </w:r>
      <w:r w:rsidR="009451F4">
        <w:t xml:space="preserve">.” </w:t>
      </w:r>
      <w:r w:rsidR="00584826">
        <w:t>Exhibit B.1.</w:t>
      </w:r>
      <w:r w:rsidR="00AA5851">
        <w:t>4</w:t>
      </w:r>
      <w:r w:rsidR="00584826">
        <w:t xml:space="preserve"> </w:t>
      </w:r>
      <w:r w:rsidR="00F26F61">
        <w:t>shows initial targets for each of these types of mailings,</w:t>
      </w:r>
      <w:r w:rsidR="00584826">
        <w:t xml:space="preserve"> split out by awardee type</w:t>
      </w:r>
      <w:r w:rsidR="002324D9">
        <w:t>.</w:t>
      </w:r>
      <w:r w:rsidR="00584826">
        <w:t xml:space="preserve"> </w:t>
      </w:r>
      <w:r w:rsidR="002324D9">
        <w:t>T</w:t>
      </w:r>
      <w:r w:rsidRPr="006E5C82">
        <w:t xml:space="preserve">he proportions of mail and telephone contacts may vary over time as </w:t>
      </w:r>
      <w:r w:rsidR="002D14BE">
        <w:t>we</w:t>
      </w:r>
      <w:r w:rsidRPr="006E5C82">
        <w:t xml:space="preserve"> adjust for yield rates. </w:t>
      </w:r>
    </w:p>
    <w:p w:rsidR="00291983" w:rsidRPr="006E5C82" w:rsidRDefault="007C29B5" w:rsidP="004E2560">
      <w:pPr>
        <w:pStyle w:val="ExhibitTitle"/>
        <w:ind w:left="1260"/>
        <w:rPr>
          <w:i/>
        </w:rPr>
      </w:pPr>
      <w:r w:rsidRPr="006E5C82">
        <w:lastRenderedPageBreak/>
        <w:t>Exhibit B</w:t>
      </w:r>
      <w:r w:rsidR="00EA00AF">
        <w:t>.</w:t>
      </w:r>
      <w:r w:rsidRPr="006E5C82">
        <w:t>1</w:t>
      </w:r>
      <w:r w:rsidR="00EA00AF">
        <w:t>.</w:t>
      </w:r>
      <w:r w:rsidRPr="006E5C82">
        <w:t>4.</w:t>
      </w:r>
      <w:r w:rsidR="00291983" w:rsidRPr="006E5C82">
        <w:tab/>
      </w:r>
      <w:r w:rsidRPr="006E5C82">
        <w:t xml:space="preserve">Recruitment (per awardee) into the </w:t>
      </w:r>
      <w:r w:rsidRPr="006E5C82">
        <w:rPr>
          <w:i/>
        </w:rPr>
        <w:t>Standard Protocol</w:t>
      </w:r>
    </w:p>
    <w:p w:rsidR="007C29B5" w:rsidRPr="006E5C82" w:rsidRDefault="00A95DDC" w:rsidP="004E2560">
      <w:pPr>
        <w:pStyle w:val="figurewobox"/>
      </w:pPr>
      <w:r w:rsidRPr="006E5C82">
        <w:object w:dxaOrig="10246" w:dyaOrig="1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pt;height:566.4pt" o:ole="">
            <v:imagedata r:id="rId15" o:title=""/>
          </v:shape>
          <o:OLEObject Type="Embed" ProgID="Visio.Drawing.11" ShapeID="_x0000_i1025" DrawAspect="Content" ObjectID="_1437289027" r:id="rId16"/>
        </w:object>
      </w:r>
    </w:p>
    <w:p w:rsidR="00AB1ACE" w:rsidRDefault="007C29B5" w:rsidP="004E2560">
      <w:pPr>
        <w:pStyle w:val="Heading4"/>
        <w:spacing w:line="240" w:lineRule="auto"/>
        <w:ind w:left="0"/>
      </w:pPr>
      <w:r w:rsidRPr="006E5C82">
        <w:t>Enhanced Protocol</w:t>
      </w:r>
    </w:p>
    <w:p w:rsidR="007C29B5" w:rsidRPr="006E5C82" w:rsidRDefault="007C29B5" w:rsidP="004E2560">
      <w:pPr>
        <w:pStyle w:val="BodyText"/>
        <w:spacing w:line="240" w:lineRule="auto"/>
        <w:ind w:left="0"/>
      </w:pPr>
      <w:r w:rsidRPr="006E5C82">
        <w:t>Exhibit B</w:t>
      </w:r>
      <w:r w:rsidR="00BA57F8">
        <w:t>.</w:t>
      </w:r>
      <w:r w:rsidRPr="006E5C82">
        <w:t>1</w:t>
      </w:r>
      <w:r w:rsidR="00BA57F8">
        <w:t>.</w:t>
      </w:r>
      <w:r w:rsidRPr="006E5C82">
        <w:t xml:space="preserve">5 depicts the strategy for recruitment into the </w:t>
      </w:r>
      <w:r w:rsidRPr="006E5C82">
        <w:rPr>
          <w:i/>
        </w:rPr>
        <w:t>Enhanced Protocol</w:t>
      </w:r>
      <w:r w:rsidRPr="006E5C82">
        <w:t xml:space="preserve">. Because recruitment of households for in-home visits is likely to be challenging, we have designed two </w:t>
      </w:r>
      <w:r w:rsidRPr="006E5C82">
        <w:lastRenderedPageBreak/>
        <w:t xml:space="preserve">tracks through which to recruit a sufficient number of households into the </w:t>
      </w:r>
      <w:r w:rsidRPr="006E5C82">
        <w:rPr>
          <w:i/>
        </w:rPr>
        <w:t xml:space="preserve">Enhanced Protocol. </w:t>
      </w:r>
      <w:r w:rsidRPr="006E5C82">
        <w:rPr>
          <w:iCs/>
        </w:rPr>
        <w:t xml:space="preserve">These </w:t>
      </w:r>
      <w:r w:rsidRPr="006E5C82">
        <w:t>two tracks are (</w:t>
      </w:r>
      <w:r w:rsidR="00664C4A">
        <w:t xml:space="preserve">as </w:t>
      </w:r>
      <w:r w:rsidRPr="006E5C82">
        <w:t xml:space="preserve">described in Section A.1): </w:t>
      </w:r>
    </w:p>
    <w:p w:rsidR="007C29B5" w:rsidRPr="006E5C82" w:rsidRDefault="00A97CC3" w:rsidP="004E2560">
      <w:pPr>
        <w:pStyle w:val="bullets-blank"/>
        <w:spacing w:line="240" w:lineRule="auto"/>
        <w:ind w:left="720"/>
      </w:pPr>
      <w:r w:rsidRPr="006E5C82">
        <w:t>1.</w:t>
      </w:r>
      <w:r w:rsidRPr="006E5C82">
        <w:tab/>
      </w:r>
      <w:r w:rsidR="007C29B5" w:rsidRPr="006E5C82">
        <w:t xml:space="preserve">Invitation to households in the eight CTG </w:t>
      </w:r>
      <w:r w:rsidR="00BA57F8">
        <w:t>a</w:t>
      </w:r>
      <w:r w:rsidR="007C29B5" w:rsidRPr="006E5C82">
        <w:t xml:space="preserve">wardee </w:t>
      </w:r>
      <w:r w:rsidR="00BA57F8">
        <w:t>a</w:t>
      </w:r>
      <w:r w:rsidR="007C29B5" w:rsidRPr="006E5C82">
        <w:t xml:space="preserve">reas selected for the </w:t>
      </w:r>
      <w:r w:rsidR="007C29B5" w:rsidRPr="006E5C82">
        <w:rPr>
          <w:i/>
        </w:rPr>
        <w:t>Enhanced Protocol</w:t>
      </w:r>
      <w:r w:rsidR="007C29B5" w:rsidRPr="006E5C82">
        <w:t xml:space="preserve"> to participate in this protocol (Track B of Exhibit A</w:t>
      </w:r>
      <w:r w:rsidR="00BA57F8">
        <w:t>.</w:t>
      </w:r>
      <w:r w:rsidR="007C29B5" w:rsidRPr="006E5C82">
        <w:t>1</w:t>
      </w:r>
      <w:r w:rsidR="00BA57F8">
        <w:t>.</w:t>
      </w:r>
      <w:r w:rsidR="007C29B5" w:rsidRPr="006E5C82">
        <w:t>1 and B</w:t>
      </w:r>
      <w:r w:rsidR="00BA57F8">
        <w:t>.</w:t>
      </w:r>
      <w:r w:rsidR="007C29B5" w:rsidRPr="006E5C82">
        <w:t>1</w:t>
      </w:r>
      <w:r w:rsidR="00BA57F8">
        <w:t>.</w:t>
      </w:r>
      <w:r w:rsidR="007C29B5" w:rsidRPr="006E5C82">
        <w:t>5), which involves an in-home visit by a trained field interviewer</w:t>
      </w:r>
    </w:p>
    <w:p w:rsidR="007C29B5" w:rsidRPr="006E5C82" w:rsidRDefault="00A97CC3" w:rsidP="004E2560">
      <w:pPr>
        <w:pStyle w:val="bullets-blank"/>
        <w:spacing w:line="240" w:lineRule="auto"/>
        <w:ind w:left="720"/>
      </w:pPr>
      <w:r w:rsidRPr="006E5C82">
        <w:t>2.</w:t>
      </w:r>
      <w:r w:rsidRPr="006E5C82">
        <w:tab/>
      </w:r>
      <w:r w:rsidR="007C29B5" w:rsidRPr="006E5C82">
        <w:t xml:space="preserve">Oversample of households with child flags (from our sampling frame) in the eight CTG </w:t>
      </w:r>
      <w:r w:rsidR="00EA00AF">
        <w:t>a</w:t>
      </w:r>
      <w:r w:rsidR="007C29B5" w:rsidRPr="006E5C82">
        <w:t xml:space="preserve">wardee </w:t>
      </w:r>
      <w:r w:rsidR="00EA00AF">
        <w:t>a</w:t>
      </w:r>
      <w:r w:rsidR="007C29B5" w:rsidRPr="006E5C82">
        <w:t xml:space="preserve">reas and obtain their consent by telephone to participate in both the </w:t>
      </w:r>
      <w:r w:rsidR="007C29B5" w:rsidRPr="006E5C82">
        <w:rPr>
          <w:i/>
          <w:iCs/>
        </w:rPr>
        <w:t>Standard</w:t>
      </w:r>
      <w:r w:rsidR="007C29B5" w:rsidRPr="006E5C82">
        <w:t xml:space="preserve"> </w:t>
      </w:r>
      <w:r w:rsidR="007C29B5" w:rsidRPr="006E5C82">
        <w:rPr>
          <w:i/>
          <w:iCs/>
        </w:rPr>
        <w:t>Protocol</w:t>
      </w:r>
      <w:r w:rsidR="007C29B5" w:rsidRPr="006E5C82">
        <w:t xml:space="preserve"> and </w:t>
      </w:r>
      <w:r w:rsidR="007C29B5" w:rsidRPr="006E5C82">
        <w:rPr>
          <w:i/>
        </w:rPr>
        <w:t xml:space="preserve">Enhanced Protocol </w:t>
      </w:r>
      <w:r w:rsidR="007C29B5" w:rsidRPr="006E5C82">
        <w:rPr>
          <w:iCs/>
        </w:rPr>
        <w:t>(Track C of Exhibit A</w:t>
      </w:r>
      <w:r w:rsidR="00BA57F8">
        <w:rPr>
          <w:iCs/>
        </w:rPr>
        <w:t>.</w:t>
      </w:r>
      <w:r w:rsidR="007C29B5" w:rsidRPr="006E5C82">
        <w:rPr>
          <w:iCs/>
        </w:rPr>
        <w:t>1</w:t>
      </w:r>
      <w:r w:rsidR="00BA57F8">
        <w:rPr>
          <w:iCs/>
        </w:rPr>
        <w:t>.</w:t>
      </w:r>
      <w:r w:rsidR="007C29B5" w:rsidRPr="006E5C82">
        <w:rPr>
          <w:iCs/>
        </w:rPr>
        <w:t>1 and B</w:t>
      </w:r>
      <w:r w:rsidR="00BA57F8">
        <w:rPr>
          <w:iCs/>
        </w:rPr>
        <w:t>.</w:t>
      </w:r>
      <w:r w:rsidR="007C29B5" w:rsidRPr="006E5C82">
        <w:rPr>
          <w:iCs/>
        </w:rPr>
        <w:t>1</w:t>
      </w:r>
      <w:r w:rsidR="00BA57F8">
        <w:rPr>
          <w:iCs/>
        </w:rPr>
        <w:t>.</w:t>
      </w:r>
      <w:r w:rsidR="007C29B5" w:rsidRPr="006E5C82">
        <w:rPr>
          <w:iCs/>
        </w:rPr>
        <w:t>5)</w:t>
      </w:r>
    </w:p>
    <w:p w:rsidR="00B56142" w:rsidRDefault="000F240E" w:rsidP="004E2560">
      <w:pPr>
        <w:pStyle w:val="BodyText"/>
        <w:spacing w:line="240" w:lineRule="auto"/>
        <w:ind w:left="0"/>
      </w:pPr>
      <w:r>
        <w:t>I</w:t>
      </w:r>
      <w:r w:rsidR="00DA7C7A" w:rsidRPr="006E5C82">
        <w:t xml:space="preserve">nvitations </w:t>
      </w:r>
      <w:r w:rsidR="00A964B6">
        <w:t xml:space="preserve">to participate in the </w:t>
      </w:r>
      <w:r w:rsidR="00A964B6" w:rsidRPr="00A964B6">
        <w:rPr>
          <w:i/>
        </w:rPr>
        <w:t>Enhanced Protocol</w:t>
      </w:r>
      <w:r w:rsidR="00A964B6">
        <w:t xml:space="preserve"> </w:t>
      </w:r>
      <w:r w:rsidR="007C29B5" w:rsidRPr="006E5C82">
        <w:t>will be given to adults</w:t>
      </w:r>
      <w:r w:rsidR="009451F4">
        <w:t xml:space="preserve"> </w:t>
      </w:r>
      <w:r w:rsidR="00A964B6">
        <w:t xml:space="preserve">in the eight CTG awardee areas </w:t>
      </w:r>
      <w:r w:rsidR="007C29B5" w:rsidRPr="006E5C82">
        <w:t>once they complete the ATSS (Exhibit A</w:t>
      </w:r>
      <w:r w:rsidR="005B122E">
        <w:t>.</w:t>
      </w:r>
      <w:r w:rsidR="007C29B5" w:rsidRPr="006E5C82">
        <w:t>1</w:t>
      </w:r>
      <w:r w:rsidR="005B122E">
        <w:t>.</w:t>
      </w:r>
      <w:r w:rsidR="007C29B5" w:rsidRPr="006E5C82">
        <w:t xml:space="preserve">1). This will involve simply asking the adult if he or she would be willing to participate in an in-home visit so the contractor can collect biometric measures. If a child lives in the home, the adult will be asked to either consent for the child to participate in an in-home visit or the interviewer will request that a parent or caregiver provide consent over the telephone to schedule a visit. Regardless of recruitment method for the household, if more than one child in a household is eligible to participate, </w:t>
      </w:r>
      <w:r w:rsidR="007C29B5" w:rsidRPr="006E5C82">
        <w:rPr>
          <w:color w:val="000000"/>
        </w:rPr>
        <w:t xml:space="preserve">the child with </w:t>
      </w:r>
      <w:r w:rsidR="00CF6153">
        <w:rPr>
          <w:color w:val="000000"/>
        </w:rPr>
        <w:t xml:space="preserve">the upcoming </w:t>
      </w:r>
      <w:r w:rsidR="007C29B5" w:rsidRPr="006E5C82">
        <w:rPr>
          <w:color w:val="000000"/>
        </w:rPr>
        <w:t>birth date closest to the interview date will be selected</w:t>
      </w:r>
      <w:r w:rsidR="007C29B5" w:rsidRPr="006E5C82">
        <w:t xml:space="preserve">. </w:t>
      </w:r>
      <w:r w:rsidR="007C29B5" w:rsidRPr="006E5C82">
        <w:rPr>
          <w:iCs/>
        </w:rPr>
        <w:t xml:space="preserve">However, using this process, we estimate that less than 15% of </w:t>
      </w:r>
      <w:r w:rsidR="00CF6153">
        <w:rPr>
          <w:iCs/>
        </w:rPr>
        <w:t>Track B</w:t>
      </w:r>
      <w:r w:rsidR="00CF6153" w:rsidRPr="006E5C82">
        <w:rPr>
          <w:iCs/>
        </w:rPr>
        <w:t xml:space="preserve"> </w:t>
      </w:r>
      <w:r w:rsidR="007C29B5" w:rsidRPr="006E5C82">
        <w:rPr>
          <w:iCs/>
        </w:rPr>
        <w:t>households (or approximately 145 adults and 85 children</w:t>
      </w:r>
      <w:r w:rsidR="00CD7782">
        <w:rPr>
          <w:iCs/>
        </w:rPr>
        <w:t xml:space="preserve"> per awardee area</w:t>
      </w:r>
      <w:r w:rsidR="007C29B5" w:rsidRPr="006E5C82">
        <w:rPr>
          <w:iCs/>
        </w:rPr>
        <w:t xml:space="preserve">) will consent to an in-home visit. To increase the number of </w:t>
      </w:r>
      <w:r w:rsidR="007C29B5" w:rsidRPr="006E5C82">
        <w:rPr>
          <w:i/>
        </w:rPr>
        <w:t>Enhanced Protocol</w:t>
      </w:r>
      <w:r w:rsidR="007C29B5" w:rsidRPr="006E5C82">
        <w:rPr>
          <w:iCs/>
        </w:rPr>
        <w:t xml:space="preserve"> respondents, we will field an oversample </w:t>
      </w:r>
      <w:r w:rsidR="00460B5A">
        <w:rPr>
          <w:iCs/>
        </w:rPr>
        <w:t xml:space="preserve">(Track C) </w:t>
      </w:r>
      <w:r w:rsidR="007C29B5" w:rsidRPr="006E5C82">
        <w:rPr>
          <w:iCs/>
        </w:rPr>
        <w:t xml:space="preserve">from strata containing </w:t>
      </w:r>
      <w:r w:rsidR="007C29B5" w:rsidRPr="006E5C82">
        <w:t>households</w:t>
      </w:r>
      <w:r w:rsidR="00BA280B">
        <w:t xml:space="preserve"> with</w:t>
      </w:r>
      <w:r w:rsidR="007C29B5" w:rsidRPr="006E5C82">
        <w:t xml:space="preserve"> children</w:t>
      </w:r>
      <w:r w:rsidR="008A11DD">
        <w:t xml:space="preserve"> aged 3-17</w:t>
      </w:r>
      <w:r w:rsidR="00460B5A">
        <w:t xml:space="preserve"> (</w:t>
      </w:r>
      <w:r w:rsidR="00CD7782">
        <w:t xml:space="preserve">“child flag”), yielding an </w:t>
      </w:r>
      <w:r w:rsidR="00460B5A">
        <w:t>initial sample of approximately 9,000 households</w:t>
      </w:r>
      <w:r w:rsidR="007C29B5" w:rsidRPr="006E5C82">
        <w:t xml:space="preserve">. This oversample will enable us to meet our </w:t>
      </w:r>
      <w:r w:rsidR="007C29B5" w:rsidRPr="006E5C82">
        <w:rPr>
          <w:i/>
        </w:rPr>
        <w:t>Enhanced Protocol</w:t>
      </w:r>
      <w:r w:rsidR="007C29B5" w:rsidRPr="006E5C82">
        <w:t xml:space="preserve"> sample-size targets of 500 adults and 300 children per </w:t>
      </w:r>
      <w:r w:rsidR="00EA00AF">
        <w:t>a</w:t>
      </w:r>
      <w:r w:rsidR="008C1FC0" w:rsidRPr="006E5C82">
        <w:t xml:space="preserve">wardee </w:t>
      </w:r>
      <w:r w:rsidR="00EA00AF">
        <w:t>a</w:t>
      </w:r>
      <w:r w:rsidR="008C1FC0" w:rsidRPr="006E5C82">
        <w:t>rea</w:t>
      </w:r>
      <w:r w:rsidR="007C29B5" w:rsidRPr="006E5C82">
        <w:t xml:space="preserve"> (see Exhibit B</w:t>
      </w:r>
      <w:r w:rsidR="00062FA2">
        <w:t>.</w:t>
      </w:r>
      <w:r w:rsidR="007C29B5" w:rsidRPr="006E5C82">
        <w:t>1</w:t>
      </w:r>
      <w:r w:rsidR="00062FA2">
        <w:t>.</w:t>
      </w:r>
      <w:r w:rsidR="007C29B5" w:rsidRPr="006E5C82">
        <w:t>5).</w:t>
      </w:r>
    </w:p>
    <w:p w:rsidR="00AB1ACE" w:rsidRDefault="00B56142" w:rsidP="004E2560">
      <w:pPr>
        <w:tabs>
          <w:tab w:val="left" w:pos="5400"/>
        </w:tabs>
      </w:pPr>
      <w:r>
        <w:tab/>
      </w:r>
    </w:p>
    <w:p w:rsidR="009E5F9F" w:rsidRPr="00460B5A" w:rsidRDefault="00291983" w:rsidP="004E2560">
      <w:pPr>
        <w:pStyle w:val="ExhibitTitle"/>
        <w:keepLines/>
        <w:ind w:left="1267" w:hanging="1627"/>
        <w:rPr>
          <w:b w:val="0"/>
          <w:i/>
        </w:rPr>
      </w:pPr>
      <w:r w:rsidRPr="006E5C82">
        <w:lastRenderedPageBreak/>
        <w:t>Exhibit B</w:t>
      </w:r>
      <w:r w:rsidR="00062FA2">
        <w:t>.</w:t>
      </w:r>
      <w:r w:rsidRPr="006E5C82">
        <w:t>1</w:t>
      </w:r>
      <w:r w:rsidR="00062FA2">
        <w:t>.</w:t>
      </w:r>
      <w:r w:rsidRPr="006E5C82">
        <w:t>5.</w:t>
      </w:r>
      <w:r w:rsidRPr="006E5C82">
        <w:tab/>
      </w:r>
      <w:r w:rsidR="007C29B5" w:rsidRPr="006E5C82">
        <w:t xml:space="preserve">Recruitment (per awardee) into the </w:t>
      </w:r>
      <w:r w:rsidR="007C29B5" w:rsidRPr="006E5C82">
        <w:rPr>
          <w:i/>
        </w:rPr>
        <w:t>Enhanced Protocol</w:t>
      </w:r>
    </w:p>
    <w:p w:rsidR="009E5F9F" w:rsidRPr="006E5C82" w:rsidRDefault="00A95DDC" w:rsidP="004E2560">
      <w:pPr>
        <w:pStyle w:val="ExhibitTitle"/>
        <w:keepLines/>
        <w:ind w:left="1267" w:hanging="1627"/>
        <w:rPr>
          <w:i/>
        </w:rPr>
      </w:pPr>
      <w:r>
        <w:object w:dxaOrig="10400" w:dyaOrig="14361">
          <v:shape id="_x0000_i1026" type="#_x0000_t75" style="width:439.2pt;height:606pt" o:ole="">
            <v:imagedata r:id="rId17" o:title=""/>
          </v:shape>
          <o:OLEObject Type="Embed" ProgID="Visio.Drawing.11" ShapeID="_x0000_i1026" DrawAspect="Content" ObjectID="_1437289028" r:id="rId18"/>
        </w:object>
      </w:r>
    </w:p>
    <w:p w:rsidR="007C29B5" w:rsidRPr="006E5C82" w:rsidRDefault="007C29B5" w:rsidP="004E2560">
      <w:pPr>
        <w:pStyle w:val="figurewobox"/>
      </w:pPr>
    </w:p>
    <w:p w:rsidR="007C29B5" w:rsidRPr="006E5C82" w:rsidRDefault="007C29B5" w:rsidP="004E2560">
      <w:bookmarkStart w:id="9" w:name="_Toc317510903"/>
      <w:bookmarkStart w:id="10" w:name="_Toc318379260"/>
      <w:bookmarkStart w:id="11" w:name="_Toc317510904"/>
      <w:bookmarkStart w:id="12" w:name="OLE_LINK3"/>
      <w:bookmarkStart w:id="13" w:name="OLE_LINK4"/>
      <w:bookmarkStart w:id="14" w:name="_Toc318379263"/>
    </w:p>
    <w:p w:rsidR="007C29B5" w:rsidRPr="006E5C82" w:rsidRDefault="007C29B5" w:rsidP="004E2560">
      <w:pPr>
        <w:pStyle w:val="Heading3"/>
        <w:ind w:left="547"/>
      </w:pPr>
      <w:bookmarkStart w:id="15" w:name="_Toc348434925"/>
      <w:r w:rsidRPr="006E5C82">
        <w:lastRenderedPageBreak/>
        <w:t>Statistical Power</w:t>
      </w:r>
      <w:bookmarkEnd w:id="9"/>
      <w:bookmarkEnd w:id="10"/>
      <w:bookmarkEnd w:id="15"/>
    </w:p>
    <w:p w:rsidR="007C29B5" w:rsidRPr="006E5C82" w:rsidRDefault="007C29B5" w:rsidP="004E2560">
      <w:pPr>
        <w:pStyle w:val="BodyText"/>
        <w:spacing w:line="240" w:lineRule="auto"/>
        <w:ind w:left="0"/>
      </w:pPr>
      <w:r w:rsidRPr="006E5C82">
        <w:t xml:space="preserve">Our sample-size goals were developed to give us adequate statistical power to test for changes in key outcomes over the study period. This power analysis will quantify the effect size we will be able to detect with 80% power for various domains. For the </w:t>
      </w:r>
      <w:r w:rsidRPr="006E5C82">
        <w:rPr>
          <w:i/>
          <w:iCs/>
        </w:rPr>
        <w:t>Standard Protocol,</w:t>
      </w:r>
      <w:r w:rsidRPr="006E5C82">
        <w:t xml:space="preserve"> we powered the study for a change in a binomial proportion because most of the key outcomes are categorical. For the </w:t>
      </w:r>
      <w:r w:rsidRPr="006E5C82">
        <w:rPr>
          <w:i/>
          <w:iCs/>
        </w:rPr>
        <w:t>Enhanced Protocol</w:t>
      </w:r>
      <w:r w:rsidRPr="006E5C82">
        <w:t xml:space="preserve">, we powered the study for a change in a continuous outcome because most of the biometric measurements in the </w:t>
      </w:r>
      <w:r w:rsidRPr="006E5C82">
        <w:rPr>
          <w:i/>
          <w:iCs/>
        </w:rPr>
        <w:t>Enhanced Protocol</w:t>
      </w:r>
      <w:r w:rsidRPr="006E5C82">
        <w:t xml:space="preserve"> are continuous.</w:t>
      </w:r>
    </w:p>
    <w:p w:rsidR="007C29B5" w:rsidRPr="006E5C82" w:rsidRDefault="007C29B5" w:rsidP="004E2560">
      <w:pPr>
        <w:pStyle w:val="Heading4"/>
        <w:spacing w:line="240" w:lineRule="auto"/>
        <w:ind w:left="0"/>
      </w:pPr>
      <w:bookmarkStart w:id="16" w:name="_Toc348434926"/>
      <w:r w:rsidRPr="006E5C82">
        <w:t>Standard Protocol</w:t>
      </w:r>
      <w:bookmarkEnd w:id="16"/>
    </w:p>
    <w:p w:rsidR="007C29B5" w:rsidRPr="006E5C82" w:rsidRDefault="007C29B5" w:rsidP="004E2560">
      <w:pPr>
        <w:pStyle w:val="BodyText"/>
        <w:spacing w:line="240" w:lineRule="auto"/>
        <w:ind w:left="0"/>
        <w:rPr>
          <w:rFonts w:asciiTheme="majorBidi" w:hAnsiTheme="majorBidi" w:cstheme="majorBidi"/>
        </w:rPr>
      </w:pPr>
      <w:r w:rsidRPr="006E5C82">
        <w:t xml:space="preserve">In keeping with the </w:t>
      </w:r>
      <w:r w:rsidR="00CD7782">
        <w:t>Specific Aims</w:t>
      </w:r>
      <w:r w:rsidR="00CD7782" w:rsidRPr="006E5C82">
        <w:t xml:space="preserve"> </w:t>
      </w:r>
      <w:r w:rsidRPr="006E5C82">
        <w:t>of the CTG Targeted Surveillance and Biometric Study (Section A</w:t>
      </w:r>
      <w:r w:rsidR="00062FA2">
        <w:t>.</w:t>
      </w:r>
      <w:r w:rsidRPr="006E5C82">
        <w:t xml:space="preserve">1), we performed power calculations to quantify the effect sizes we can detect with 80% power for three sample domains: (1) </w:t>
      </w:r>
      <w:r w:rsidR="00765A0F" w:rsidRPr="006E5C82">
        <w:t xml:space="preserve">in </w:t>
      </w:r>
      <w:r w:rsidRPr="006E5C82">
        <w:t>all 20 awardees combined, (2) across each health disparities population, and (3) within one awardee. The effect sizes are expressed as an absolute change in the prevalence of a health outcome. For example, if smoking rate is 20%</w:t>
      </w:r>
      <w:r w:rsidR="00765A0F" w:rsidRPr="006E5C82">
        <w:t>,</w:t>
      </w:r>
      <w:r w:rsidRPr="006E5C82">
        <w:t xml:space="preserve"> then a reduction to 15% would be a 5% absolute change. In contrast, a reduction to 19% would be a 5% relative change. </w:t>
      </w:r>
      <w:r w:rsidRPr="006E5C82">
        <w:rPr>
          <w:bCs/>
        </w:rPr>
        <w:t>Exhibit B</w:t>
      </w:r>
      <w:r w:rsidR="00062FA2">
        <w:rPr>
          <w:bCs/>
        </w:rPr>
        <w:t>.</w:t>
      </w:r>
      <w:r w:rsidRPr="006E5C82">
        <w:rPr>
          <w:bCs/>
        </w:rPr>
        <w:t>1</w:t>
      </w:r>
      <w:r w:rsidR="00062FA2">
        <w:rPr>
          <w:bCs/>
        </w:rPr>
        <w:t>.</w:t>
      </w:r>
      <w:r w:rsidRPr="006E5C82">
        <w:rPr>
          <w:bCs/>
        </w:rPr>
        <w:t>6</w:t>
      </w:r>
      <w:r w:rsidRPr="006E5C82">
        <w:t xml:space="preserve"> displays the target sample sizes. The nominal sample size refers to the quantity of respondents. The effective sample size is the nominal sample size divided by the unequal weighting e</w:t>
      </w:r>
      <w:r w:rsidR="00460B5A">
        <w:t>ffect, which we estimate to be two</w:t>
      </w:r>
      <w:r w:rsidRPr="006E5C82">
        <w:t xml:space="preserve">. The effective sample size is the sample size that a simple random sample would have to be to produce an outcome with the same variance as the nominal sample size. The difference between the effective sample size and nominal sample size is primarily a consequence of the unequal probabilities of selection and differential response rates. </w:t>
      </w:r>
      <w:r w:rsidRPr="006E5C82">
        <w:rPr>
          <w:rFonts w:asciiTheme="majorBidi" w:hAnsiTheme="majorBidi" w:cstheme="majorBidi"/>
        </w:rPr>
        <w:t xml:space="preserve">To account for the sample design with an estimated unequal weighting effect of </w:t>
      </w:r>
      <w:r w:rsidRPr="00664C4A">
        <w:rPr>
          <w:rFonts w:asciiTheme="majorBidi" w:hAnsiTheme="majorBidi" w:cstheme="majorBidi"/>
        </w:rPr>
        <w:t>2</w:t>
      </w:r>
      <w:r w:rsidRPr="006E5C82">
        <w:rPr>
          <w:rFonts w:asciiTheme="majorBidi" w:hAnsiTheme="majorBidi" w:cstheme="majorBidi"/>
        </w:rPr>
        <w:t>, when computing the power, we use the effective sample size, but we report the power in terms of the nominal sample size.</w:t>
      </w:r>
    </w:p>
    <w:p w:rsidR="007C29B5" w:rsidRPr="006E5C82" w:rsidRDefault="007C29B5" w:rsidP="004E2560">
      <w:pPr>
        <w:pStyle w:val="ExhibitTitle"/>
        <w:ind w:left="1260"/>
      </w:pPr>
      <w:bookmarkStart w:id="17" w:name="_Toc315442791"/>
      <w:bookmarkStart w:id="18" w:name="_Toc317510918"/>
      <w:bookmarkStart w:id="19" w:name="_Toc319073155"/>
      <w:r w:rsidRPr="006E5C82">
        <w:t>Exhibit B</w:t>
      </w:r>
      <w:r w:rsidR="00062FA2">
        <w:t>.</w:t>
      </w:r>
      <w:r w:rsidRPr="006E5C82">
        <w:t>1</w:t>
      </w:r>
      <w:r w:rsidR="00062FA2">
        <w:t>.</w:t>
      </w:r>
      <w:r w:rsidRPr="006E5C82">
        <w:t>6.</w:t>
      </w:r>
      <w:r w:rsidR="00B611D0" w:rsidRPr="006E5C82">
        <w:tab/>
      </w:r>
      <w:r w:rsidRPr="006E5C82">
        <w:t xml:space="preserve">Target Sample Sizes for the </w:t>
      </w:r>
      <w:r w:rsidRPr="006E5C82">
        <w:rPr>
          <w:i/>
        </w:rPr>
        <w:t>Standard Protocol</w:t>
      </w:r>
      <w:r w:rsidRPr="006E5C82">
        <w:t xml:space="preserve"> </w:t>
      </w:r>
      <w:bookmarkEnd w:id="17"/>
      <w:bookmarkEnd w:id="18"/>
      <w:bookmarkEnd w:id="19"/>
    </w:p>
    <w:tbl>
      <w:tblPr>
        <w:tblW w:w="5000" w:type="pct"/>
        <w:tblInd w:w="86" w:type="dxa"/>
        <w:tblBorders>
          <w:top w:val="single" w:sz="12" w:space="0" w:color="000000"/>
          <w:bottom w:val="single" w:sz="12" w:space="0" w:color="000000"/>
          <w:insideH w:val="single" w:sz="4" w:space="0" w:color="000000"/>
        </w:tblBorders>
        <w:tblLayout w:type="fixed"/>
        <w:tblCellMar>
          <w:left w:w="86" w:type="dxa"/>
          <w:right w:w="86" w:type="dxa"/>
        </w:tblCellMar>
        <w:tblLook w:val="0000" w:firstRow="0" w:lastRow="0" w:firstColumn="0" w:lastColumn="0" w:noHBand="0" w:noVBand="0"/>
      </w:tblPr>
      <w:tblGrid>
        <w:gridCol w:w="3257"/>
        <w:gridCol w:w="3166"/>
        <w:gridCol w:w="3167"/>
      </w:tblGrid>
      <w:tr w:rsidR="007C29B5" w:rsidRPr="006E5C82" w:rsidTr="004E2560">
        <w:trPr>
          <w:cantSplit/>
          <w:tblHeader/>
        </w:trPr>
        <w:tc>
          <w:tcPr>
            <w:tcW w:w="3257" w:type="dxa"/>
            <w:shd w:val="clear" w:color="auto" w:fill="auto"/>
            <w:tcMar>
              <w:top w:w="0" w:type="dxa"/>
              <w:left w:w="115" w:type="dxa"/>
              <w:bottom w:w="0" w:type="dxa"/>
              <w:right w:w="115" w:type="dxa"/>
            </w:tcMar>
            <w:vAlign w:val="bottom"/>
          </w:tcPr>
          <w:p w:rsidR="007C29B5" w:rsidRPr="006E5C82" w:rsidRDefault="007C29B5" w:rsidP="00B00C82">
            <w:pPr>
              <w:pStyle w:val="TableHeaders"/>
              <w:keepNext/>
              <w:rPr>
                <w:sz w:val="24"/>
                <w:szCs w:val="24"/>
              </w:rPr>
            </w:pPr>
            <w:r w:rsidRPr="006E5C82">
              <w:rPr>
                <w:sz w:val="24"/>
                <w:szCs w:val="24"/>
              </w:rPr>
              <w:t>Domain</w:t>
            </w:r>
          </w:p>
        </w:tc>
        <w:tc>
          <w:tcPr>
            <w:tcW w:w="3166" w:type="dxa"/>
            <w:shd w:val="clear" w:color="auto" w:fill="auto"/>
            <w:tcMar>
              <w:top w:w="0" w:type="dxa"/>
              <w:left w:w="115" w:type="dxa"/>
              <w:bottom w:w="0" w:type="dxa"/>
              <w:right w:w="115" w:type="dxa"/>
            </w:tcMar>
            <w:vAlign w:val="bottom"/>
          </w:tcPr>
          <w:p w:rsidR="007C29B5" w:rsidRPr="006E5C82" w:rsidRDefault="007C29B5" w:rsidP="00B00C82">
            <w:pPr>
              <w:pStyle w:val="TableHeaders"/>
              <w:keepNext/>
              <w:rPr>
                <w:sz w:val="24"/>
                <w:szCs w:val="24"/>
              </w:rPr>
            </w:pPr>
            <w:r w:rsidRPr="006E5C82">
              <w:rPr>
                <w:sz w:val="24"/>
                <w:szCs w:val="24"/>
              </w:rPr>
              <w:t>Nominal Sample Size</w:t>
            </w:r>
          </w:p>
        </w:tc>
        <w:tc>
          <w:tcPr>
            <w:tcW w:w="3167" w:type="dxa"/>
            <w:shd w:val="clear" w:color="auto" w:fill="auto"/>
            <w:tcMar>
              <w:top w:w="0" w:type="dxa"/>
              <w:left w:w="115" w:type="dxa"/>
              <w:bottom w:w="0" w:type="dxa"/>
              <w:right w:w="115" w:type="dxa"/>
            </w:tcMar>
            <w:vAlign w:val="bottom"/>
          </w:tcPr>
          <w:p w:rsidR="007C29B5" w:rsidRPr="006E5C82" w:rsidRDefault="007C29B5" w:rsidP="00B00C82">
            <w:pPr>
              <w:pStyle w:val="TableHeaders"/>
              <w:keepNext/>
              <w:rPr>
                <w:sz w:val="24"/>
                <w:szCs w:val="24"/>
              </w:rPr>
            </w:pPr>
            <w:r w:rsidRPr="006E5C82">
              <w:rPr>
                <w:sz w:val="24"/>
                <w:szCs w:val="24"/>
              </w:rPr>
              <w:t>Effective Sample Size</w:t>
            </w:r>
          </w:p>
        </w:tc>
      </w:tr>
      <w:tr w:rsidR="007C29B5" w:rsidRPr="006E5C82" w:rsidTr="004E2560">
        <w:trPr>
          <w:cantSplit/>
        </w:trPr>
        <w:tc>
          <w:tcPr>
            <w:tcW w:w="3257" w:type="dxa"/>
            <w:shd w:val="clear" w:color="auto" w:fill="auto"/>
            <w:tcMar>
              <w:top w:w="0" w:type="dxa"/>
              <w:left w:w="115" w:type="dxa"/>
              <w:bottom w:w="0" w:type="dxa"/>
              <w:right w:w="115" w:type="dxa"/>
            </w:tcMar>
          </w:tcPr>
          <w:p w:rsidR="007C29B5" w:rsidRPr="006E5C82" w:rsidRDefault="007C29B5" w:rsidP="00B00C82">
            <w:pPr>
              <w:pStyle w:val="TableText"/>
              <w:keepNext/>
              <w:rPr>
                <w:rFonts w:ascii="Times New Roman" w:hAnsi="Times New Roman"/>
                <w:sz w:val="24"/>
                <w:szCs w:val="24"/>
              </w:rPr>
            </w:pPr>
            <w:r w:rsidRPr="006E5C82">
              <w:rPr>
                <w:rFonts w:ascii="Times New Roman" w:hAnsi="Times New Roman"/>
                <w:sz w:val="24"/>
                <w:szCs w:val="24"/>
              </w:rPr>
              <w:t>All 20 awardees</w:t>
            </w:r>
          </w:p>
        </w:tc>
        <w:tc>
          <w:tcPr>
            <w:tcW w:w="3166"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0"/>
              </w:tabs>
              <w:rPr>
                <w:rFonts w:ascii="Times New Roman" w:hAnsi="Times New Roman"/>
                <w:sz w:val="24"/>
                <w:szCs w:val="24"/>
              </w:rPr>
            </w:pPr>
            <w:r w:rsidRPr="006E5C82">
              <w:rPr>
                <w:rFonts w:ascii="Times New Roman" w:hAnsi="Times New Roman"/>
                <w:sz w:val="24"/>
                <w:szCs w:val="24"/>
              </w:rPr>
              <w:t>20,000</w:t>
            </w:r>
          </w:p>
        </w:tc>
        <w:tc>
          <w:tcPr>
            <w:tcW w:w="3167"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29"/>
              </w:tabs>
              <w:rPr>
                <w:rFonts w:ascii="Times New Roman" w:hAnsi="Times New Roman"/>
                <w:sz w:val="24"/>
                <w:szCs w:val="24"/>
              </w:rPr>
            </w:pPr>
            <w:r w:rsidRPr="006E5C82">
              <w:rPr>
                <w:rFonts w:ascii="Times New Roman" w:hAnsi="Times New Roman"/>
                <w:sz w:val="24"/>
                <w:szCs w:val="24"/>
              </w:rPr>
              <w:t>10,000</w:t>
            </w:r>
          </w:p>
        </w:tc>
      </w:tr>
      <w:tr w:rsidR="007C29B5" w:rsidRPr="006E5C82" w:rsidTr="004E2560">
        <w:trPr>
          <w:cantSplit/>
        </w:trPr>
        <w:tc>
          <w:tcPr>
            <w:tcW w:w="3257" w:type="dxa"/>
            <w:shd w:val="clear" w:color="auto" w:fill="auto"/>
            <w:tcMar>
              <w:top w:w="0" w:type="dxa"/>
              <w:left w:w="115" w:type="dxa"/>
              <w:bottom w:w="0" w:type="dxa"/>
              <w:right w:w="115" w:type="dxa"/>
            </w:tcMar>
          </w:tcPr>
          <w:p w:rsidR="007C29B5" w:rsidRPr="006E5C82" w:rsidRDefault="007C29B5" w:rsidP="00B00C82">
            <w:pPr>
              <w:pStyle w:val="TableTextIndent1"/>
              <w:keepNext/>
              <w:spacing w:before="40" w:after="40"/>
              <w:ind w:left="0"/>
              <w:rPr>
                <w:rFonts w:ascii="Times New Roman" w:hAnsi="Times New Roman"/>
                <w:sz w:val="24"/>
                <w:szCs w:val="24"/>
              </w:rPr>
            </w:pPr>
            <w:r w:rsidRPr="006E5C82">
              <w:rPr>
                <w:rFonts w:ascii="Times New Roman" w:hAnsi="Times New Roman"/>
                <w:sz w:val="24"/>
                <w:szCs w:val="24"/>
              </w:rPr>
              <w:t>Black/African</w:t>
            </w:r>
            <w:r w:rsidR="00A67818">
              <w:rPr>
                <w:rFonts w:ascii="Times New Roman" w:hAnsi="Times New Roman"/>
                <w:sz w:val="24"/>
                <w:szCs w:val="24"/>
              </w:rPr>
              <w:t xml:space="preserve"> </w:t>
            </w:r>
            <w:r w:rsidRPr="006E5C82">
              <w:rPr>
                <w:rFonts w:ascii="Times New Roman" w:hAnsi="Times New Roman"/>
                <w:sz w:val="24"/>
                <w:szCs w:val="24"/>
              </w:rPr>
              <w:t>American</w:t>
            </w:r>
          </w:p>
          <w:p w:rsidR="007C29B5" w:rsidRPr="006E5C82" w:rsidRDefault="007C29B5" w:rsidP="00B00C82">
            <w:pPr>
              <w:pStyle w:val="TableTextIndent1"/>
              <w:keepNext/>
              <w:spacing w:before="40" w:after="40"/>
              <w:ind w:left="0"/>
              <w:rPr>
                <w:rFonts w:ascii="Times New Roman" w:hAnsi="Times New Roman"/>
                <w:sz w:val="24"/>
                <w:szCs w:val="24"/>
              </w:rPr>
            </w:pPr>
            <w:r w:rsidRPr="006E5C82">
              <w:rPr>
                <w:rFonts w:ascii="Times New Roman" w:hAnsi="Times New Roman"/>
                <w:sz w:val="24"/>
                <w:szCs w:val="24"/>
              </w:rPr>
              <w:t>Hispanic</w:t>
            </w:r>
          </w:p>
          <w:p w:rsidR="007C29B5" w:rsidRPr="006E5C82" w:rsidRDefault="007C29B5" w:rsidP="00B00C82">
            <w:pPr>
              <w:pStyle w:val="TableTextIndent1"/>
              <w:keepNext/>
              <w:spacing w:before="40" w:after="40"/>
              <w:ind w:left="0"/>
              <w:rPr>
                <w:rFonts w:ascii="Times New Roman" w:hAnsi="Times New Roman"/>
                <w:sz w:val="24"/>
                <w:szCs w:val="24"/>
              </w:rPr>
            </w:pPr>
            <w:r w:rsidRPr="006E5C82">
              <w:rPr>
                <w:rFonts w:ascii="Times New Roman" w:hAnsi="Times New Roman"/>
                <w:sz w:val="24"/>
                <w:szCs w:val="24"/>
              </w:rPr>
              <w:t>Rural</w:t>
            </w:r>
          </w:p>
        </w:tc>
        <w:tc>
          <w:tcPr>
            <w:tcW w:w="3166"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0"/>
              </w:tabs>
              <w:rPr>
                <w:rFonts w:ascii="Times New Roman" w:hAnsi="Times New Roman"/>
                <w:sz w:val="24"/>
                <w:szCs w:val="24"/>
              </w:rPr>
            </w:pPr>
            <w:r w:rsidRPr="006E5C82">
              <w:rPr>
                <w:rFonts w:ascii="Times New Roman" w:hAnsi="Times New Roman"/>
                <w:sz w:val="24"/>
                <w:szCs w:val="24"/>
              </w:rPr>
              <w:t>4,000 of each</w:t>
            </w:r>
          </w:p>
        </w:tc>
        <w:tc>
          <w:tcPr>
            <w:tcW w:w="3167"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29"/>
              </w:tabs>
              <w:rPr>
                <w:rFonts w:ascii="Times New Roman" w:hAnsi="Times New Roman"/>
                <w:sz w:val="24"/>
                <w:szCs w:val="24"/>
              </w:rPr>
            </w:pPr>
            <w:r w:rsidRPr="006E5C82">
              <w:rPr>
                <w:rFonts w:ascii="Times New Roman" w:hAnsi="Times New Roman"/>
                <w:sz w:val="24"/>
                <w:szCs w:val="24"/>
              </w:rPr>
              <w:t>2,000 of each</w:t>
            </w:r>
          </w:p>
        </w:tc>
      </w:tr>
      <w:tr w:rsidR="007C29B5" w:rsidRPr="006E5C82" w:rsidTr="004E2560">
        <w:trPr>
          <w:cantSplit/>
        </w:trPr>
        <w:tc>
          <w:tcPr>
            <w:tcW w:w="3257" w:type="dxa"/>
            <w:shd w:val="clear" w:color="auto" w:fill="auto"/>
            <w:tcMar>
              <w:top w:w="0" w:type="dxa"/>
              <w:left w:w="115" w:type="dxa"/>
              <w:bottom w:w="0" w:type="dxa"/>
              <w:right w:w="115" w:type="dxa"/>
            </w:tcMar>
          </w:tcPr>
          <w:p w:rsidR="007C29B5" w:rsidRPr="006E5C82" w:rsidRDefault="007C29B5" w:rsidP="00B00C82">
            <w:pPr>
              <w:pStyle w:val="TableText"/>
              <w:keepNext/>
              <w:rPr>
                <w:rFonts w:ascii="Times New Roman" w:hAnsi="Times New Roman"/>
                <w:sz w:val="24"/>
                <w:szCs w:val="24"/>
              </w:rPr>
            </w:pPr>
            <w:r w:rsidRPr="006E5C82">
              <w:rPr>
                <w:rFonts w:ascii="Times New Roman" w:hAnsi="Times New Roman"/>
                <w:sz w:val="24"/>
                <w:szCs w:val="24"/>
              </w:rPr>
              <w:t>One awardee</w:t>
            </w:r>
          </w:p>
        </w:tc>
        <w:tc>
          <w:tcPr>
            <w:tcW w:w="3166"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257"/>
              </w:tabs>
              <w:rPr>
                <w:rFonts w:ascii="Times New Roman" w:hAnsi="Times New Roman"/>
                <w:sz w:val="24"/>
                <w:szCs w:val="24"/>
              </w:rPr>
            </w:pPr>
            <w:r w:rsidRPr="006E5C82">
              <w:rPr>
                <w:rFonts w:ascii="Times New Roman" w:hAnsi="Times New Roman"/>
                <w:sz w:val="24"/>
                <w:szCs w:val="24"/>
              </w:rPr>
              <w:t>1,000</w:t>
            </w:r>
          </w:p>
        </w:tc>
        <w:tc>
          <w:tcPr>
            <w:tcW w:w="3167"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0"/>
              </w:tabs>
              <w:rPr>
                <w:rFonts w:ascii="Times New Roman" w:hAnsi="Times New Roman"/>
                <w:sz w:val="24"/>
                <w:szCs w:val="24"/>
              </w:rPr>
            </w:pPr>
            <w:r w:rsidRPr="006E5C82">
              <w:rPr>
                <w:rFonts w:ascii="Times New Roman" w:hAnsi="Times New Roman"/>
                <w:sz w:val="24"/>
                <w:szCs w:val="24"/>
              </w:rPr>
              <w:t>500</w:t>
            </w:r>
          </w:p>
        </w:tc>
      </w:tr>
    </w:tbl>
    <w:p w:rsidR="005A0B35" w:rsidRDefault="005A0B35" w:rsidP="004E2560">
      <w:pPr>
        <w:ind w:left="360"/>
      </w:pPr>
    </w:p>
    <w:p w:rsidR="005A0B35" w:rsidRDefault="007C29B5" w:rsidP="004E2560">
      <w:pPr>
        <w:pStyle w:val="BodyText"/>
        <w:spacing w:line="240" w:lineRule="auto"/>
        <w:ind w:left="360"/>
      </w:pPr>
      <w:r w:rsidRPr="006E5C82">
        <w:t>The rationale for the proposed sample-size targets is based on power calculations for the repeated cross-sectional design with pre- and post</w:t>
      </w:r>
      <w:r w:rsidR="00026279">
        <w:t>-</w:t>
      </w:r>
      <w:r w:rsidRPr="006E5C82">
        <w:t xml:space="preserve">intervention measures. We used one-tailed tests in our calculations because primary evaluation questions relate to whether there have been </w:t>
      </w:r>
      <w:r w:rsidRPr="006E5C82">
        <w:rPr>
          <w:i/>
          <w:iCs/>
        </w:rPr>
        <w:t>improvements</w:t>
      </w:r>
      <w:r w:rsidRPr="006E5C82">
        <w:t xml:space="preserve"> in health behaviors and health outcomes. The traditional convention of using a two-tailed test to protect against an unexpected effect in the opposite direction was considered, but the increase in the sample size needed to be able to detect an intervention effect in the unexpected direction was not justifiable given evidence that the interventions being implemented by CTG awardees will lead to positive effects. Thus, we assume that each of the key outcomes can be described as having a direction </w:t>
      </w:r>
      <w:r w:rsidR="00CD7782">
        <w:t>consid</w:t>
      </w:r>
      <w:r w:rsidR="009451F4">
        <w:t>e</w:t>
      </w:r>
      <w:r w:rsidR="00CD7782">
        <w:t>red to</w:t>
      </w:r>
      <w:r w:rsidRPr="006E5C82">
        <w:t xml:space="preserve"> be an improvement. As an example, a reduction in the prevalence of adult smoking would be an “improvement.” For simplicity</w:t>
      </w:r>
      <w:r w:rsidR="00765A0F" w:rsidRPr="006E5C82">
        <w:t>,</w:t>
      </w:r>
      <w:r w:rsidRPr="006E5C82">
        <w:t xml:space="preserve"> we only present findings for the case where a positive change corresponds to </w:t>
      </w:r>
      <w:r w:rsidRPr="006E5C82">
        <w:lastRenderedPageBreak/>
        <w:t xml:space="preserve">improvement. The following sections provide details on the power calculations for each of the three domains listed </w:t>
      </w:r>
      <w:r w:rsidR="00765A0F" w:rsidRPr="006E5C82">
        <w:t xml:space="preserve">previously </w:t>
      </w:r>
      <w:r w:rsidRPr="006E5C82">
        <w:t xml:space="preserve">for the </w:t>
      </w:r>
      <w:r w:rsidRPr="006E5C82">
        <w:rPr>
          <w:i/>
        </w:rPr>
        <w:t>Standard Protocol</w:t>
      </w:r>
      <w:r w:rsidRPr="006E5C82">
        <w:t xml:space="preserve">. </w:t>
      </w:r>
    </w:p>
    <w:p w:rsidR="005A0B35" w:rsidRDefault="007C29B5" w:rsidP="004E2560">
      <w:pPr>
        <w:pStyle w:val="BodyText"/>
        <w:spacing w:before="240" w:after="120" w:line="240" w:lineRule="auto"/>
        <w:ind w:left="360"/>
      </w:pPr>
      <w:r w:rsidRPr="006E5C82">
        <w:t>We begin by considering a test of whether the prevalence of a binary outcome has changed between the first and last data collection period. Power for this test was based on comparing two independent proportions.</w:t>
      </w:r>
      <w:r w:rsidRPr="006E5C82">
        <w:rPr>
          <w:rStyle w:val="FootnoteReference"/>
        </w:rPr>
        <w:footnoteReference w:id="5"/>
      </w:r>
      <w:r w:rsidRPr="006E5C82">
        <w:t xml:space="preserve"> Exhibit B</w:t>
      </w:r>
      <w:r w:rsidR="00062FA2">
        <w:t>.</w:t>
      </w:r>
      <w:r w:rsidRPr="006E5C82">
        <w:t>1</w:t>
      </w:r>
      <w:r w:rsidR="00062FA2">
        <w:t>.</w:t>
      </w:r>
      <w:r w:rsidRPr="006E5C82">
        <w:t xml:space="preserve">7 presents the minimum improvement in the prevalence of a binary outcome (vertical axis) between two time intervals detectable with 80% power. The </w:t>
      </w:r>
      <w:r w:rsidR="00476D39" w:rsidRPr="006E5C82">
        <w:t xml:space="preserve">detectable </w:t>
      </w:r>
      <w:r w:rsidRPr="006E5C82">
        <w:t>change in proportion at 80% power is a function of the prevalence of the first measurement</w:t>
      </w:r>
      <w:r w:rsidR="00476D39" w:rsidRPr="006E5C82">
        <w:t>,</w:t>
      </w:r>
      <w:r w:rsidRPr="006E5C82">
        <w:t xml:space="preserve"> which is designated on the horizontal axis. The three curves correspond to three target sample sizes</w:t>
      </w:r>
      <w:r w:rsidR="00476D39" w:rsidRPr="006E5C82">
        <w:t>:</w:t>
      </w:r>
    </w:p>
    <w:p w:rsidR="005A0B35" w:rsidRDefault="007C29B5" w:rsidP="004E2560">
      <w:pPr>
        <w:pStyle w:val="Bullet"/>
        <w:tabs>
          <w:tab w:val="clear" w:pos="1440"/>
          <w:tab w:val="num" w:pos="1080"/>
          <w:tab w:val="num" w:pos="1800"/>
        </w:tabs>
        <w:spacing w:line="240" w:lineRule="auto"/>
        <w:ind w:left="1800"/>
      </w:pPr>
      <w:r w:rsidRPr="006E5C82">
        <w:t xml:space="preserve">The red line corresponds to all study respondents with a nominal target sample size of 20,000. </w:t>
      </w:r>
    </w:p>
    <w:p w:rsidR="005A0B35" w:rsidRDefault="007C29B5" w:rsidP="004E2560">
      <w:pPr>
        <w:pStyle w:val="Bullet"/>
        <w:tabs>
          <w:tab w:val="clear" w:pos="1440"/>
          <w:tab w:val="num" w:pos="1080"/>
          <w:tab w:val="num" w:pos="1800"/>
        </w:tabs>
        <w:spacing w:line="240" w:lineRule="auto"/>
        <w:ind w:left="1800"/>
      </w:pPr>
      <w:r w:rsidRPr="006E5C82">
        <w:t>The blue line corresponds to the race/ethnic and rural subpopulation with a nominal target sample size of 4,000.</w:t>
      </w:r>
    </w:p>
    <w:p w:rsidR="005A0B35" w:rsidRDefault="007C29B5" w:rsidP="004E2560">
      <w:pPr>
        <w:pStyle w:val="Bullet"/>
        <w:tabs>
          <w:tab w:val="clear" w:pos="1440"/>
          <w:tab w:val="num" w:pos="1080"/>
          <w:tab w:val="num" w:pos="1800"/>
        </w:tabs>
        <w:spacing w:line="240" w:lineRule="auto"/>
        <w:ind w:left="1800"/>
      </w:pPr>
      <w:r w:rsidRPr="006E5C82">
        <w:t>The black line corresponds to a particular awardee with a nominal target sample size of 1,000.</w:t>
      </w:r>
      <w:r w:rsidR="00B971A8" w:rsidRPr="00B971A8">
        <w:t xml:space="preserve"> </w:t>
      </w:r>
    </w:p>
    <w:p w:rsidR="005A0B35" w:rsidRDefault="00B971A8" w:rsidP="004E2560">
      <w:pPr>
        <w:pStyle w:val="BodyText"/>
        <w:spacing w:line="240" w:lineRule="auto"/>
        <w:ind w:left="360"/>
      </w:pPr>
      <w:r w:rsidRPr="006E5C82">
        <w:t xml:space="preserve">In all power calculations we assume a Type I error rate of 0.05 (alpha = 0.05) and an unequal weighting effect of </w:t>
      </w:r>
      <w:r w:rsidR="00460B5A">
        <w:t>2.0</w:t>
      </w:r>
      <w:r w:rsidRPr="00635193">
        <w:t>.</w:t>
      </w:r>
      <w:r w:rsidRPr="006E5C82">
        <w:t xml:space="preserve"> </w:t>
      </w:r>
    </w:p>
    <w:p w:rsidR="005A0B35" w:rsidRDefault="00CC69A6" w:rsidP="004E2560">
      <w:pPr>
        <w:pStyle w:val="BodyText"/>
        <w:spacing w:before="240" w:after="120" w:line="240" w:lineRule="auto"/>
        <w:ind w:left="360"/>
      </w:pPr>
      <w:r w:rsidRPr="006E5C82">
        <w:t>The following is an example of how to read the graph in Exhibit B</w:t>
      </w:r>
      <w:r>
        <w:t>.</w:t>
      </w:r>
      <w:r w:rsidRPr="006E5C82">
        <w:t>1</w:t>
      </w:r>
      <w:r>
        <w:t>.</w:t>
      </w:r>
      <w:r w:rsidRPr="006E5C82">
        <w:t>7 to obtain the detectable effect size at 80% power for a given percent. Suppose in the first time point, 33% of the rural population exercised in the last 24 hours, as indicated by the vertical gray line at 33% on the horizontal axis. We would have 80% power to detect a 3.8% absolute increase in the percentage of individuals who exercised in the last 24 hours in the rural domain as indicated by the horizontal gray line at 3.8% (i.e., a change in exercise prevalence from 33.0% to 36.8%).</w:t>
      </w:r>
    </w:p>
    <w:p w:rsidR="005A0B35" w:rsidRDefault="00CC69A6" w:rsidP="004E2560">
      <w:pPr>
        <w:pStyle w:val="BodyText"/>
        <w:spacing w:line="240" w:lineRule="auto"/>
        <w:ind w:left="360"/>
      </w:pPr>
      <w:r w:rsidRPr="006E5C82">
        <w:t>The red line in the figure shows the power for analyses for the domain of all awardees combined. We have 80% power to detect a difference between two time intervals for a change in proportions of less than 1.8% in the most conservative case, where the initial proportion is 0.5. Even smaller differences could be detected with the sample size for other baseline proportions.</w:t>
      </w:r>
    </w:p>
    <w:p w:rsidR="005A0B35" w:rsidRDefault="00CC69A6" w:rsidP="004E2560">
      <w:pPr>
        <w:pStyle w:val="BodyText"/>
        <w:spacing w:line="240" w:lineRule="auto"/>
        <w:ind w:left="360"/>
      </w:pPr>
      <w:r w:rsidRPr="006E5C82">
        <w:t>The blue line in the figure shows the power for the health disparity subpopulations of size 4,000: African American, Hispanic, and rural. We have 80% power to detect a difference between two time intervals for a change in proportions of less than 4.0% in the most conservative case, where the initial proportion is 50%. Even smaller differences could be detected with the sample size for other baseline proportions.</w:t>
      </w:r>
    </w:p>
    <w:p w:rsidR="005A0B35" w:rsidRDefault="006323A9" w:rsidP="004E2560">
      <w:pPr>
        <w:pStyle w:val="BodyText"/>
        <w:spacing w:line="240" w:lineRule="auto"/>
        <w:ind w:left="360"/>
      </w:pPr>
      <w:r w:rsidRPr="006E5C82">
        <w:t xml:space="preserve">The black line in the figure shows the power for analyses for the domain of an individual awardee. We have 80% power to detect difference between two time intervals for a change in </w:t>
      </w:r>
      <w:r w:rsidRPr="006E5C82">
        <w:lastRenderedPageBreak/>
        <w:t>proportions of less than 7.8% in the most conservative case, where the initial proportion is 0.5. Even smaller differences could be detected with the sample size for other baseline proportions.</w:t>
      </w:r>
    </w:p>
    <w:p w:rsidR="005A0B35" w:rsidRDefault="00062FA2" w:rsidP="004E2560">
      <w:pPr>
        <w:pStyle w:val="ExhibitTitle"/>
        <w:ind w:left="1980"/>
      </w:pPr>
      <w:r w:rsidRPr="006E5C82">
        <w:t>Exhibit B</w:t>
      </w:r>
      <w:r>
        <w:t>.</w:t>
      </w:r>
      <w:r w:rsidRPr="006E5C82">
        <w:t>1</w:t>
      </w:r>
      <w:r>
        <w:t>.</w:t>
      </w:r>
      <w:r w:rsidRPr="006E5C82">
        <w:t>7.</w:t>
      </w:r>
      <w:r w:rsidRPr="006E5C82">
        <w:tab/>
        <w:t xml:space="preserve">Population Percentage Difference Detectable with 80% Power as a Function of the Percentage at First Measurement Occasion and the Sample Size </w:t>
      </w:r>
    </w:p>
    <w:p w:rsidR="005A0B35" w:rsidRDefault="00777C5C" w:rsidP="004E2560">
      <w:pPr>
        <w:ind w:left="360"/>
        <w:rPr>
          <w:sz w:val="20"/>
        </w:rPr>
      </w:pPr>
      <w:r w:rsidRPr="00460B5A">
        <w:rPr>
          <w:noProof/>
          <w:szCs w:val="24"/>
        </w:rPr>
        <w:drawing>
          <wp:inline distT="0" distB="0" distL="0" distR="0">
            <wp:extent cx="5317257" cy="3800475"/>
            <wp:effectExtent l="19050" t="0" r="0"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5317257" cy="3800475"/>
                    </a:xfrm>
                    <a:prstGeom prst="rect">
                      <a:avLst/>
                    </a:prstGeom>
                    <a:noFill/>
                    <a:ln w="9525">
                      <a:noFill/>
                      <a:miter lim="800000"/>
                      <a:headEnd/>
                      <a:tailEnd/>
                    </a:ln>
                  </pic:spPr>
                </pic:pic>
              </a:graphicData>
            </a:graphic>
          </wp:inline>
        </w:drawing>
      </w:r>
    </w:p>
    <w:p w:rsidR="005A0B35" w:rsidRDefault="007C29B5" w:rsidP="004E2560">
      <w:pPr>
        <w:pStyle w:val="Heading4"/>
        <w:spacing w:line="240" w:lineRule="auto"/>
        <w:ind w:left="360"/>
      </w:pPr>
      <w:bookmarkStart w:id="20" w:name="IDX"/>
      <w:bookmarkStart w:id="21" w:name="_Toc348434927"/>
      <w:bookmarkEnd w:id="20"/>
      <w:r w:rsidRPr="006E5C82">
        <w:t>Enhanced Protocol</w:t>
      </w:r>
      <w:bookmarkEnd w:id="21"/>
    </w:p>
    <w:p w:rsidR="005A0B35" w:rsidRDefault="007C29B5" w:rsidP="004E2560">
      <w:pPr>
        <w:pStyle w:val="BodyText"/>
        <w:spacing w:line="240" w:lineRule="auto"/>
        <w:ind w:left="360"/>
      </w:pPr>
      <w:r w:rsidRPr="006E5C82">
        <w:t xml:space="preserve">For the </w:t>
      </w:r>
      <w:r w:rsidRPr="006E5C82">
        <w:rPr>
          <w:i/>
          <w:iCs/>
        </w:rPr>
        <w:t>Enhanced Protocol,</w:t>
      </w:r>
      <w:r w:rsidRPr="006E5C82">
        <w:t xml:space="preserve"> we powered the study for a change in a continuous outcome </w:t>
      </w:r>
      <w:r w:rsidR="00026279" w:rsidRPr="006E5C82">
        <w:t>because most</w:t>
      </w:r>
      <w:r w:rsidRPr="006E5C82">
        <w:t xml:space="preserve"> of the biometric measurements in the </w:t>
      </w:r>
      <w:r w:rsidRPr="006E5C82">
        <w:rPr>
          <w:i/>
          <w:iCs/>
        </w:rPr>
        <w:t>Enhanced Protocol</w:t>
      </w:r>
      <w:r w:rsidRPr="006E5C82">
        <w:t xml:space="preserve"> are continuous (e.g., BMI, waist circumference, or cotinine level). In this repeated cross-section design, changes in the sample means</w:t>
      </w:r>
      <w:r w:rsidR="00476D39" w:rsidRPr="006E5C82">
        <w:t>,</w:t>
      </w:r>
      <w:r w:rsidRPr="006E5C82">
        <w:t xml:space="preserve"> such as BMI</w:t>
      </w:r>
      <w:r w:rsidR="00476D39" w:rsidRPr="006E5C82">
        <w:t>,</w:t>
      </w:r>
      <w:r w:rsidRPr="006E5C82">
        <w:t xml:space="preserve"> will be computed for each measurement occasion. Power measures the probability of detecting differences in means between measurements at two time points. Detecting differences in means is a function </w:t>
      </w:r>
      <w:r w:rsidR="00476D39" w:rsidRPr="006E5C82">
        <w:t xml:space="preserve">of </w:t>
      </w:r>
      <w:r w:rsidRPr="006E5C82">
        <w:t xml:space="preserve">both the difference between the means of the samples and the variance of the samples, which we assume to be equal. Cohen defines effect size, measured in </w:t>
      </w:r>
      <w:r w:rsidRPr="006E5C82">
        <w:rPr>
          <w:i/>
          <w:iCs/>
        </w:rPr>
        <w:t>standard deviation units</w:t>
      </w:r>
      <w:r w:rsidRPr="006E5C82">
        <w:t>, as the ratio of the absolute difference between two means and the variance of the samples.</w:t>
      </w:r>
      <w:r w:rsidR="00CC69A6">
        <w:rPr>
          <w:vertAlign w:val="superscript"/>
        </w:rPr>
        <w:t>3</w:t>
      </w:r>
      <w:r w:rsidR="00100BD8">
        <w:rPr>
          <w:vertAlign w:val="superscript"/>
        </w:rPr>
        <w:t>5</w:t>
      </w:r>
      <w:r w:rsidRPr="006E5C82">
        <w:t xml:space="preserve"> Cohen then defines the effect sizes of 0.2 as small, 0.5 as medium</w:t>
      </w:r>
      <w:r w:rsidR="00476D39" w:rsidRPr="006E5C82">
        <w:t>,</w:t>
      </w:r>
      <w:r w:rsidRPr="006E5C82">
        <w:t xml:space="preserve"> and 0.8 as large. </w:t>
      </w:r>
    </w:p>
    <w:p w:rsidR="005A0B35" w:rsidRDefault="007C29B5" w:rsidP="004E2560">
      <w:pPr>
        <w:pStyle w:val="BodyText"/>
        <w:spacing w:line="240" w:lineRule="auto"/>
        <w:ind w:left="360"/>
        <w:rPr>
          <w:b/>
          <w:bCs/>
        </w:rPr>
      </w:pPr>
      <w:r w:rsidRPr="006E5C82">
        <w:t>For this power analysis</w:t>
      </w:r>
      <w:r w:rsidR="00476D39" w:rsidRPr="006E5C82">
        <w:t>,</w:t>
      </w:r>
      <w:r w:rsidRPr="006E5C82">
        <w:t xml:space="preserve"> we used a two-sample t-test assuming equal variances. We used a one-sided test for the reasons described </w:t>
      </w:r>
      <w:r w:rsidR="00476D39" w:rsidRPr="006E5C82">
        <w:t>previously</w:t>
      </w:r>
      <w:r w:rsidRPr="006E5C82">
        <w:t>. We assumed a Type I error rate of 0.05 (alpha</w:t>
      </w:r>
      <w:r w:rsidR="00476D39" w:rsidRPr="006E5C82">
        <w:t> </w:t>
      </w:r>
      <w:r w:rsidRPr="006E5C82">
        <w:t>=</w:t>
      </w:r>
      <w:r w:rsidR="00476D39" w:rsidRPr="006E5C82">
        <w:t> </w:t>
      </w:r>
      <w:r w:rsidRPr="006E5C82">
        <w:t>0.05) and an unequal weighting effect of 2. Exhibit B</w:t>
      </w:r>
      <w:r w:rsidR="006616F3">
        <w:t>.</w:t>
      </w:r>
      <w:r w:rsidRPr="006E5C82">
        <w:t>1</w:t>
      </w:r>
      <w:r w:rsidR="006616F3">
        <w:t>.</w:t>
      </w:r>
      <w:r w:rsidRPr="006E5C82">
        <w:t xml:space="preserve">8 presents sample sizes for four domains and the effect size detectable at 80% power expressed in standard deviation units. We have a target nominal sample size of 4,000 adults across the eight awardees. This provides an effective sample size of 2,000. This gives us the ability to detect an effect size of </w:t>
      </w:r>
      <w:r w:rsidRPr="006E5C82">
        <w:lastRenderedPageBreak/>
        <w:t>0.08 standard deviation units, which is small by Cohen’s definition. Hence, our study is well powered to detect changes in means for adults in all eight awardees. For the domain of children across the eight awardees we have an effect size of 0.1, which is also small. When we consider adults and children within a single awardee</w:t>
      </w:r>
      <w:r w:rsidR="00D05564">
        <w:t>,</w:t>
      </w:r>
      <w:r w:rsidRPr="006E5C82">
        <w:t xml:space="preserve"> the detectable effect sizes are 0.22 and 0.29 standard deviation units, respectively. This is modestly larger than Cohen’s cutoff of 0.2 for small effect sizes. Consequently, we consider the study adequately powered, even for domains comprising an individual awardee, to observe awardee-level impacts on childhood obesity</w:t>
      </w:r>
      <w:r w:rsidR="00A67818">
        <w:t>-</w:t>
      </w:r>
      <w:r w:rsidR="004C2CBC" w:rsidRPr="006E5C82">
        <w:t xml:space="preserve"> </w:t>
      </w:r>
      <w:r w:rsidRPr="006E5C82">
        <w:t>and tobacco-related outcomes.</w:t>
      </w:r>
    </w:p>
    <w:p w:rsidR="005A0B35" w:rsidRDefault="007C29B5" w:rsidP="004E2560">
      <w:pPr>
        <w:pStyle w:val="ExhibitTitle"/>
        <w:ind w:left="1987" w:hanging="1627"/>
      </w:pPr>
      <w:r w:rsidRPr="006E5C82">
        <w:t>Exhibit B</w:t>
      </w:r>
      <w:r w:rsidR="006616F3">
        <w:t>.</w:t>
      </w:r>
      <w:r w:rsidRPr="006E5C82">
        <w:t>1</w:t>
      </w:r>
      <w:r w:rsidR="006616F3">
        <w:t>.</w:t>
      </w:r>
      <w:r w:rsidRPr="006E5C82">
        <w:t>8.</w:t>
      </w:r>
      <w:r w:rsidR="00A97CC3" w:rsidRPr="006E5C82">
        <w:tab/>
      </w:r>
      <w:r w:rsidRPr="006E5C82">
        <w:t xml:space="preserve">Target Sample Sizes for the </w:t>
      </w:r>
      <w:r w:rsidRPr="006E5C82">
        <w:rPr>
          <w:i/>
        </w:rPr>
        <w:t>Enhanced Protocol</w:t>
      </w:r>
      <w:r w:rsidRPr="006E5C82">
        <w:t xml:space="preserve"> and Effect Size Detectable at 80% Power</w:t>
      </w:r>
    </w:p>
    <w:tbl>
      <w:tblPr>
        <w:tblW w:w="4486" w:type="pct"/>
        <w:tblInd w:w="86" w:type="dxa"/>
        <w:tblBorders>
          <w:top w:val="single" w:sz="12" w:space="0" w:color="000000"/>
          <w:bottom w:val="single" w:sz="12" w:space="0" w:color="000000"/>
          <w:insideH w:val="single" w:sz="4" w:space="0" w:color="000000"/>
        </w:tblBorders>
        <w:tblLayout w:type="fixed"/>
        <w:tblCellMar>
          <w:left w:w="86" w:type="dxa"/>
          <w:right w:w="86" w:type="dxa"/>
        </w:tblCellMar>
        <w:tblLook w:val="0000" w:firstRow="0" w:lastRow="0" w:firstColumn="0" w:lastColumn="0" w:noHBand="0" w:noVBand="0"/>
      </w:tblPr>
      <w:tblGrid>
        <w:gridCol w:w="2911"/>
        <w:gridCol w:w="1618"/>
        <w:gridCol w:w="1890"/>
        <w:gridCol w:w="2159"/>
      </w:tblGrid>
      <w:tr w:rsidR="007C29B5" w:rsidRPr="006E5C82" w:rsidTr="004E2560">
        <w:trPr>
          <w:cantSplit/>
          <w:tblHeader/>
        </w:trPr>
        <w:tc>
          <w:tcPr>
            <w:tcW w:w="2911" w:type="dxa"/>
            <w:shd w:val="clear" w:color="auto" w:fill="auto"/>
            <w:tcMar>
              <w:top w:w="0" w:type="dxa"/>
              <w:left w:w="115" w:type="dxa"/>
              <w:bottom w:w="0" w:type="dxa"/>
              <w:right w:w="115" w:type="dxa"/>
            </w:tcMar>
            <w:vAlign w:val="bottom"/>
          </w:tcPr>
          <w:p w:rsidR="007C29B5" w:rsidRPr="006E5C82" w:rsidRDefault="007C29B5" w:rsidP="00B00C82">
            <w:pPr>
              <w:pStyle w:val="TableHeaders"/>
              <w:keepNext/>
              <w:rPr>
                <w:sz w:val="24"/>
                <w:szCs w:val="24"/>
              </w:rPr>
            </w:pPr>
            <w:r w:rsidRPr="006E5C82">
              <w:rPr>
                <w:sz w:val="24"/>
                <w:szCs w:val="24"/>
              </w:rPr>
              <w:t>Domain</w:t>
            </w:r>
          </w:p>
        </w:tc>
        <w:tc>
          <w:tcPr>
            <w:tcW w:w="1618" w:type="dxa"/>
            <w:shd w:val="clear" w:color="auto" w:fill="auto"/>
            <w:tcMar>
              <w:top w:w="0" w:type="dxa"/>
              <w:left w:w="115" w:type="dxa"/>
              <w:bottom w:w="0" w:type="dxa"/>
              <w:right w:w="115" w:type="dxa"/>
            </w:tcMar>
            <w:vAlign w:val="bottom"/>
          </w:tcPr>
          <w:p w:rsidR="007C29B5" w:rsidRPr="006E5C82" w:rsidRDefault="007C29B5" w:rsidP="00B00C82">
            <w:pPr>
              <w:pStyle w:val="TableHeaders"/>
              <w:keepNext/>
              <w:rPr>
                <w:sz w:val="24"/>
                <w:szCs w:val="24"/>
              </w:rPr>
            </w:pPr>
            <w:r w:rsidRPr="006E5C82">
              <w:rPr>
                <w:sz w:val="24"/>
                <w:szCs w:val="24"/>
              </w:rPr>
              <w:t>Nominal Sample Size</w:t>
            </w:r>
          </w:p>
        </w:tc>
        <w:tc>
          <w:tcPr>
            <w:tcW w:w="1890" w:type="dxa"/>
            <w:shd w:val="clear" w:color="auto" w:fill="auto"/>
            <w:tcMar>
              <w:top w:w="0" w:type="dxa"/>
              <w:left w:w="115" w:type="dxa"/>
              <w:bottom w:w="0" w:type="dxa"/>
              <w:right w:w="115" w:type="dxa"/>
            </w:tcMar>
            <w:vAlign w:val="bottom"/>
          </w:tcPr>
          <w:p w:rsidR="007C29B5" w:rsidRPr="006E5C82" w:rsidRDefault="007C29B5" w:rsidP="00B00C82">
            <w:pPr>
              <w:pStyle w:val="TableHeaders"/>
              <w:keepNext/>
              <w:rPr>
                <w:sz w:val="24"/>
                <w:szCs w:val="24"/>
              </w:rPr>
            </w:pPr>
            <w:r w:rsidRPr="006E5C82">
              <w:rPr>
                <w:sz w:val="24"/>
                <w:szCs w:val="24"/>
              </w:rPr>
              <w:t>Effective Sample Size</w:t>
            </w:r>
          </w:p>
        </w:tc>
        <w:tc>
          <w:tcPr>
            <w:tcW w:w="2159" w:type="dxa"/>
            <w:vAlign w:val="bottom"/>
          </w:tcPr>
          <w:p w:rsidR="007C29B5" w:rsidRPr="006E5C82" w:rsidRDefault="007C29B5" w:rsidP="00B00C82">
            <w:pPr>
              <w:pStyle w:val="TableHeaders"/>
              <w:keepNext/>
              <w:rPr>
                <w:sz w:val="24"/>
                <w:szCs w:val="24"/>
              </w:rPr>
            </w:pPr>
            <w:r w:rsidRPr="006E5C82">
              <w:rPr>
                <w:sz w:val="24"/>
                <w:szCs w:val="24"/>
              </w:rPr>
              <w:t>Effect Size</w:t>
            </w:r>
          </w:p>
          <w:p w:rsidR="007C29B5" w:rsidRPr="006E5C82" w:rsidRDefault="007C29B5" w:rsidP="00B00C82">
            <w:pPr>
              <w:pStyle w:val="TableHeaders"/>
              <w:keepNext/>
              <w:rPr>
                <w:sz w:val="24"/>
                <w:szCs w:val="24"/>
              </w:rPr>
            </w:pPr>
            <w:r w:rsidRPr="006E5C82">
              <w:rPr>
                <w:sz w:val="24"/>
                <w:szCs w:val="24"/>
              </w:rPr>
              <w:t xml:space="preserve">Standard </w:t>
            </w:r>
            <w:r w:rsidR="00476D39" w:rsidRPr="006E5C82">
              <w:rPr>
                <w:sz w:val="24"/>
                <w:szCs w:val="24"/>
              </w:rPr>
              <w:t>Deviation Units</w:t>
            </w:r>
          </w:p>
        </w:tc>
      </w:tr>
      <w:tr w:rsidR="007C29B5" w:rsidRPr="006E5C82" w:rsidTr="004E2560">
        <w:trPr>
          <w:cantSplit/>
        </w:trPr>
        <w:tc>
          <w:tcPr>
            <w:tcW w:w="2911" w:type="dxa"/>
            <w:shd w:val="clear" w:color="auto" w:fill="auto"/>
            <w:tcMar>
              <w:top w:w="0" w:type="dxa"/>
              <w:left w:w="115" w:type="dxa"/>
              <w:bottom w:w="0" w:type="dxa"/>
              <w:right w:w="115" w:type="dxa"/>
            </w:tcMar>
          </w:tcPr>
          <w:p w:rsidR="007C29B5" w:rsidRPr="006E5C82" w:rsidRDefault="007C29B5" w:rsidP="00A67818">
            <w:pPr>
              <w:pStyle w:val="TableText"/>
              <w:keepNext/>
              <w:rPr>
                <w:rFonts w:ascii="Times New Roman" w:hAnsi="Times New Roman"/>
                <w:sz w:val="24"/>
                <w:szCs w:val="24"/>
              </w:rPr>
            </w:pPr>
            <w:r w:rsidRPr="006E5C82">
              <w:rPr>
                <w:rFonts w:ascii="Times New Roman" w:hAnsi="Times New Roman"/>
                <w:sz w:val="24"/>
                <w:szCs w:val="24"/>
              </w:rPr>
              <w:t xml:space="preserve">Adults in all </w:t>
            </w:r>
            <w:r w:rsidR="00A67818">
              <w:rPr>
                <w:rFonts w:ascii="Times New Roman" w:hAnsi="Times New Roman"/>
                <w:sz w:val="24"/>
                <w:szCs w:val="24"/>
              </w:rPr>
              <w:t>eight</w:t>
            </w:r>
            <w:r w:rsidR="00A67818" w:rsidRPr="006E5C82">
              <w:rPr>
                <w:rFonts w:ascii="Times New Roman" w:hAnsi="Times New Roman"/>
                <w:sz w:val="24"/>
                <w:szCs w:val="24"/>
              </w:rPr>
              <w:t xml:space="preserve"> </w:t>
            </w:r>
            <w:r w:rsidRPr="006E5C82">
              <w:rPr>
                <w:rFonts w:ascii="Times New Roman" w:hAnsi="Times New Roman"/>
                <w:sz w:val="24"/>
                <w:szCs w:val="24"/>
              </w:rPr>
              <w:t>awardees</w:t>
            </w:r>
          </w:p>
        </w:tc>
        <w:tc>
          <w:tcPr>
            <w:tcW w:w="1618"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4,000</w:t>
            </w:r>
          </w:p>
        </w:tc>
        <w:tc>
          <w:tcPr>
            <w:tcW w:w="1890"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2,000</w:t>
            </w:r>
          </w:p>
        </w:tc>
        <w:tc>
          <w:tcPr>
            <w:tcW w:w="2159" w:type="dxa"/>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0.08</w:t>
            </w:r>
          </w:p>
        </w:tc>
      </w:tr>
      <w:tr w:rsidR="007C29B5" w:rsidRPr="006E5C82" w:rsidTr="004E2560">
        <w:trPr>
          <w:cantSplit/>
        </w:trPr>
        <w:tc>
          <w:tcPr>
            <w:tcW w:w="2911" w:type="dxa"/>
            <w:shd w:val="clear" w:color="auto" w:fill="auto"/>
            <w:tcMar>
              <w:top w:w="0" w:type="dxa"/>
              <w:left w:w="115" w:type="dxa"/>
              <w:bottom w:w="0" w:type="dxa"/>
              <w:right w:w="115" w:type="dxa"/>
            </w:tcMar>
          </w:tcPr>
          <w:p w:rsidR="007C29B5" w:rsidRPr="006E5C82" w:rsidRDefault="007C29B5" w:rsidP="00A67818">
            <w:pPr>
              <w:pStyle w:val="TableTextIndent1"/>
              <w:keepNext/>
              <w:spacing w:before="40" w:after="40"/>
              <w:ind w:left="0"/>
              <w:rPr>
                <w:rFonts w:ascii="Times New Roman" w:hAnsi="Times New Roman"/>
                <w:sz w:val="24"/>
                <w:szCs w:val="24"/>
              </w:rPr>
            </w:pPr>
            <w:r w:rsidRPr="006E5C82">
              <w:rPr>
                <w:rFonts w:ascii="Times New Roman" w:hAnsi="Times New Roman"/>
                <w:sz w:val="24"/>
                <w:szCs w:val="24"/>
              </w:rPr>
              <w:t xml:space="preserve">Children in all </w:t>
            </w:r>
            <w:r w:rsidR="00A67818">
              <w:rPr>
                <w:rFonts w:ascii="Times New Roman" w:hAnsi="Times New Roman"/>
                <w:sz w:val="24"/>
                <w:szCs w:val="24"/>
              </w:rPr>
              <w:t>eight</w:t>
            </w:r>
            <w:r w:rsidR="00A67818" w:rsidRPr="006E5C82">
              <w:rPr>
                <w:rFonts w:ascii="Times New Roman" w:hAnsi="Times New Roman"/>
                <w:sz w:val="24"/>
                <w:szCs w:val="24"/>
              </w:rPr>
              <w:t xml:space="preserve"> </w:t>
            </w:r>
            <w:r w:rsidRPr="006E5C82">
              <w:rPr>
                <w:rFonts w:ascii="Times New Roman" w:hAnsi="Times New Roman"/>
                <w:sz w:val="24"/>
                <w:szCs w:val="24"/>
              </w:rPr>
              <w:t>awardees</w:t>
            </w:r>
          </w:p>
        </w:tc>
        <w:tc>
          <w:tcPr>
            <w:tcW w:w="1618"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2,400</w:t>
            </w:r>
          </w:p>
        </w:tc>
        <w:tc>
          <w:tcPr>
            <w:tcW w:w="1890"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1,200</w:t>
            </w:r>
          </w:p>
        </w:tc>
        <w:tc>
          <w:tcPr>
            <w:tcW w:w="2159" w:type="dxa"/>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0.10</w:t>
            </w:r>
          </w:p>
        </w:tc>
      </w:tr>
      <w:tr w:rsidR="007C29B5" w:rsidRPr="006E5C82" w:rsidTr="004E2560">
        <w:trPr>
          <w:cantSplit/>
        </w:trPr>
        <w:tc>
          <w:tcPr>
            <w:tcW w:w="2911" w:type="dxa"/>
            <w:shd w:val="clear" w:color="auto" w:fill="auto"/>
            <w:tcMar>
              <w:top w:w="0" w:type="dxa"/>
              <w:left w:w="115" w:type="dxa"/>
              <w:bottom w:w="0" w:type="dxa"/>
              <w:right w:w="115" w:type="dxa"/>
            </w:tcMar>
          </w:tcPr>
          <w:p w:rsidR="007C29B5" w:rsidRPr="006E5C82" w:rsidRDefault="007C29B5" w:rsidP="00A67818">
            <w:pPr>
              <w:pStyle w:val="TableTextIndent1"/>
              <w:keepNext/>
              <w:spacing w:before="40" w:after="40"/>
              <w:ind w:left="0"/>
              <w:rPr>
                <w:rFonts w:ascii="Times New Roman" w:hAnsi="Times New Roman"/>
                <w:sz w:val="24"/>
                <w:szCs w:val="24"/>
              </w:rPr>
            </w:pPr>
            <w:r w:rsidRPr="006E5C82">
              <w:rPr>
                <w:rFonts w:ascii="Times New Roman" w:hAnsi="Times New Roman"/>
                <w:sz w:val="24"/>
                <w:szCs w:val="24"/>
              </w:rPr>
              <w:t xml:space="preserve">Adults in </w:t>
            </w:r>
            <w:r w:rsidR="00A67818">
              <w:rPr>
                <w:rFonts w:ascii="Times New Roman" w:hAnsi="Times New Roman"/>
                <w:sz w:val="24"/>
                <w:szCs w:val="24"/>
              </w:rPr>
              <w:t>one</w:t>
            </w:r>
            <w:r w:rsidR="00A67818" w:rsidRPr="006E5C82">
              <w:rPr>
                <w:rFonts w:ascii="Times New Roman" w:hAnsi="Times New Roman"/>
                <w:sz w:val="24"/>
                <w:szCs w:val="24"/>
              </w:rPr>
              <w:t xml:space="preserve"> </w:t>
            </w:r>
            <w:r w:rsidRPr="006E5C82">
              <w:rPr>
                <w:rFonts w:ascii="Times New Roman" w:hAnsi="Times New Roman"/>
                <w:sz w:val="24"/>
                <w:szCs w:val="24"/>
              </w:rPr>
              <w:t>awardee</w:t>
            </w:r>
          </w:p>
        </w:tc>
        <w:tc>
          <w:tcPr>
            <w:tcW w:w="1618"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500</w:t>
            </w:r>
          </w:p>
        </w:tc>
        <w:tc>
          <w:tcPr>
            <w:tcW w:w="1890"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250</w:t>
            </w:r>
          </w:p>
        </w:tc>
        <w:tc>
          <w:tcPr>
            <w:tcW w:w="2159" w:type="dxa"/>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0.22</w:t>
            </w:r>
          </w:p>
        </w:tc>
      </w:tr>
      <w:tr w:rsidR="007C29B5" w:rsidRPr="006E5C82" w:rsidTr="004E2560">
        <w:trPr>
          <w:cantSplit/>
        </w:trPr>
        <w:tc>
          <w:tcPr>
            <w:tcW w:w="2911" w:type="dxa"/>
            <w:shd w:val="clear" w:color="auto" w:fill="auto"/>
            <w:tcMar>
              <w:top w:w="0" w:type="dxa"/>
              <w:left w:w="115" w:type="dxa"/>
              <w:bottom w:w="0" w:type="dxa"/>
              <w:right w:w="115" w:type="dxa"/>
            </w:tcMar>
          </w:tcPr>
          <w:p w:rsidR="007C29B5" w:rsidRPr="006E5C82" w:rsidRDefault="007C29B5" w:rsidP="00A67818">
            <w:pPr>
              <w:pStyle w:val="TableText"/>
              <w:keepNext/>
              <w:rPr>
                <w:rFonts w:ascii="Times New Roman" w:hAnsi="Times New Roman"/>
                <w:sz w:val="24"/>
                <w:szCs w:val="24"/>
              </w:rPr>
            </w:pPr>
            <w:r w:rsidRPr="006E5C82">
              <w:rPr>
                <w:rFonts w:ascii="Times New Roman" w:hAnsi="Times New Roman"/>
                <w:sz w:val="24"/>
                <w:szCs w:val="24"/>
              </w:rPr>
              <w:t xml:space="preserve">Children in </w:t>
            </w:r>
            <w:r w:rsidR="00A67818">
              <w:rPr>
                <w:rFonts w:ascii="Times New Roman" w:hAnsi="Times New Roman"/>
                <w:sz w:val="24"/>
                <w:szCs w:val="24"/>
              </w:rPr>
              <w:t>one</w:t>
            </w:r>
            <w:r w:rsidR="00A67818" w:rsidRPr="006E5C82">
              <w:rPr>
                <w:rFonts w:ascii="Times New Roman" w:hAnsi="Times New Roman"/>
                <w:sz w:val="24"/>
                <w:szCs w:val="24"/>
              </w:rPr>
              <w:t xml:space="preserve"> </w:t>
            </w:r>
            <w:r w:rsidRPr="006E5C82">
              <w:rPr>
                <w:rFonts w:ascii="Times New Roman" w:hAnsi="Times New Roman"/>
                <w:sz w:val="24"/>
                <w:szCs w:val="24"/>
              </w:rPr>
              <w:t>awardee</w:t>
            </w:r>
          </w:p>
        </w:tc>
        <w:tc>
          <w:tcPr>
            <w:tcW w:w="1618"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300</w:t>
            </w:r>
          </w:p>
        </w:tc>
        <w:tc>
          <w:tcPr>
            <w:tcW w:w="1890" w:type="dxa"/>
            <w:shd w:val="clear" w:color="auto" w:fill="auto"/>
            <w:tcMar>
              <w:top w:w="0" w:type="dxa"/>
              <w:left w:w="115" w:type="dxa"/>
              <w:bottom w:w="0" w:type="dxa"/>
              <w:right w:w="115" w:type="dxa"/>
            </w:tcMar>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150</w:t>
            </w:r>
          </w:p>
        </w:tc>
        <w:tc>
          <w:tcPr>
            <w:tcW w:w="2159" w:type="dxa"/>
          </w:tcPr>
          <w:p w:rsidR="007C29B5" w:rsidRPr="006E5C82" w:rsidRDefault="007C29B5" w:rsidP="00B00C82">
            <w:pPr>
              <w:pStyle w:val="TableText"/>
              <w:keepNext/>
              <w:tabs>
                <w:tab w:val="decimal" w:pos="1894"/>
              </w:tabs>
              <w:ind w:right="427"/>
              <w:rPr>
                <w:rFonts w:ascii="Times New Roman" w:hAnsi="Times New Roman"/>
                <w:sz w:val="24"/>
                <w:szCs w:val="24"/>
              </w:rPr>
            </w:pPr>
            <w:r w:rsidRPr="006E5C82">
              <w:rPr>
                <w:rFonts w:ascii="Times New Roman" w:hAnsi="Times New Roman"/>
                <w:sz w:val="24"/>
                <w:szCs w:val="24"/>
              </w:rPr>
              <w:t>0.29</w:t>
            </w:r>
          </w:p>
        </w:tc>
      </w:tr>
    </w:tbl>
    <w:p w:rsidR="005A0B35" w:rsidRDefault="005A0B35" w:rsidP="004E2560">
      <w:pPr>
        <w:ind w:left="360"/>
      </w:pPr>
    </w:p>
    <w:p w:rsidR="005A0B35" w:rsidRDefault="007C29B5" w:rsidP="004E2560">
      <w:pPr>
        <w:pStyle w:val="BodyText"/>
        <w:spacing w:line="240" w:lineRule="auto"/>
        <w:ind w:left="360"/>
      </w:pPr>
      <w:r w:rsidRPr="006E5C82">
        <w:t>Exhibit B</w:t>
      </w:r>
      <w:r w:rsidR="006616F3">
        <w:t>.</w:t>
      </w:r>
      <w:r w:rsidRPr="006E5C82">
        <w:t>1</w:t>
      </w:r>
      <w:r w:rsidR="006616F3">
        <w:t>.</w:t>
      </w:r>
      <w:r w:rsidRPr="006E5C82">
        <w:t>9 presents a graph of the effect size expressed in standard deviation units (vertical axis) detectable with 80% power as a function of the sample size (horizontal axis) assuming a Type I error rate of 0.05 and an unequal weighting effect of 2. This graph is useful for the reader to determine the detectable effect size at 80% power for domains with sample sizes other than the four described in Exhibit B</w:t>
      </w:r>
      <w:r w:rsidR="00EA00AF">
        <w:t>.</w:t>
      </w:r>
      <w:r w:rsidRPr="006E5C82">
        <w:t>1</w:t>
      </w:r>
      <w:r w:rsidR="00EA00AF">
        <w:t>.</w:t>
      </w:r>
      <w:r w:rsidRPr="006E5C82">
        <w:t>8. The gray lines highlight the detectable effect size expressed in standard deviation units for the four domains in the table (nominal sample sizes: 300, 500, 2,400</w:t>
      </w:r>
      <w:r w:rsidR="004C2CBC" w:rsidRPr="006E5C82">
        <w:t>,</w:t>
      </w:r>
      <w:r w:rsidRPr="006E5C82">
        <w:t xml:space="preserve"> and 4,000). </w:t>
      </w:r>
    </w:p>
    <w:p w:rsidR="005A0B35" w:rsidRDefault="007C29B5" w:rsidP="004E2560">
      <w:pPr>
        <w:pStyle w:val="BodyText"/>
        <w:spacing w:line="240" w:lineRule="auto"/>
        <w:ind w:left="360"/>
      </w:pPr>
      <w:r w:rsidRPr="006E5C82">
        <w:t xml:space="preserve">Although the effect size is expressed as standard deviation units, it may be translated into relevant units of biometric measurements. For example, in a previous study, the difference in waist circumference between adolescents with high metabolic syndrome scores and low metabolic syndrome scores was 2.4 cm with a standard deviation </w:t>
      </w:r>
      <w:r w:rsidR="004C2CBC" w:rsidRPr="006E5C82">
        <w:t>= </w:t>
      </w:r>
      <w:r w:rsidRPr="006E5C82">
        <w:t>8.</w:t>
      </w:r>
      <w:r w:rsidR="004C2CBC" w:rsidRPr="006E5C82">
        <w:t>4 </w:t>
      </w:r>
      <w:r w:rsidRPr="006E5C82">
        <w:t>cm.</w:t>
      </w:r>
      <w:r w:rsidR="00CC69A6">
        <w:rPr>
          <w:vertAlign w:val="superscript"/>
        </w:rPr>
        <w:t>3</w:t>
      </w:r>
      <w:r w:rsidR="00100BD8">
        <w:rPr>
          <w:vertAlign w:val="superscript"/>
        </w:rPr>
        <w:t>6</w:t>
      </w:r>
      <w:r w:rsidR="00CC69A6" w:rsidRPr="006E5C82">
        <w:t xml:space="preserve"> </w:t>
      </w:r>
      <w:r w:rsidRPr="006E5C82">
        <w:t xml:space="preserve">Our study has enough power to detect a differences in this range (0.29 * 8.4 </w:t>
      </w:r>
      <w:r w:rsidR="004C2CBC" w:rsidRPr="006E5C82">
        <w:t>= </w:t>
      </w:r>
      <w:r w:rsidRPr="006E5C82">
        <w:t>2.44</w:t>
      </w:r>
      <w:r w:rsidR="004C2CBC" w:rsidRPr="006E5C82">
        <w:t> </w:t>
      </w:r>
      <w:r w:rsidRPr="006E5C82">
        <w:t xml:space="preserve">cm). </w:t>
      </w:r>
    </w:p>
    <w:p w:rsidR="005A0B35" w:rsidRDefault="007C29B5" w:rsidP="004E2560">
      <w:pPr>
        <w:pStyle w:val="BodyText"/>
        <w:spacing w:line="240" w:lineRule="auto"/>
        <w:ind w:left="360"/>
      </w:pPr>
      <w:r w:rsidRPr="006E5C82">
        <w:t>For salivary cotinine, a change of 0.29 standard deviation units is approximately 0.</w:t>
      </w:r>
      <w:r w:rsidR="004C2CBC" w:rsidRPr="006E5C82">
        <w:t>94 </w:t>
      </w:r>
      <w:r w:rsidRPr="006E5C82">
        <w:t>ng/mL,</w:t>
      </w:r>
      <w:r w:rsidR="00CC69A6">
        <w:rPr>
          <w:vertAlign w:val="superscript"/>
        </w:rPr>
        <w:t>3</w:t>
      </w:r>
      <w:r w:rsidR="00100BD8">
        <w:rPr>
          <w:vertAlign w:val="superscript"/>
        </w:rPr>
        <w:t>7</w:t>
      </w:r>
      <w:r w:rsidR="00CC69A6" w:rsidRPr="006E5C82">
        <w:t xml:space="preserve"> </w:t>
      </w:r>
      <w:r w:rsidRPr="006E5C82">
        <w:t>a difference that is smaller than differences between homes with total smoking bans and homes with no smoking restrictions.</w:t>
      </w:r>
    </w:p>
    <w:p w:rsidR="000B1472" w:rsidRDefault="000B1472" w:rsidP="004E2560">
      <w:pPr>
        <w:pStyle w:val="Source1"/>
        <w:ind w:left="547"/>
      </w:pPr>
    </w:p>
    <w:p w:rsidR="000B1472" w:rsidRDefault="007C29B5" w:rsidP="004E2560">
      <w:pPr>
        <w:pStyle w:val="ExhibitTitle"/>
        <w:ind w:left="1980"/>
      </w:pPr>
      <w:r w:rsidRPr="006E5C82">
        <w:lastRenderedPageBreak/>
        <w:t>Exhibit B</w:t>
      </w:r>
      <w:r w:rsidR="006616F3">
        <w:t>.</w:t>
      </w:r>
      <w:r w:rsidRPr="006E5C82">
        <w:t>1</w:t>
      </w:r>
      <w:r w:rsidR="006616F3">
        <w:t>.</w:t>
      </w:r>
      <w:r w:rsidRPr="006E5C82">
        <w:t>9</w:t>
      </w:r>
      <w:r w:rsidR="00A97CC3" w:rsidRPr="006E5C82">
        <w:t>.</w:t>
      </w:r>
      <w:r w:rsidR="00A97CC3" w:rsidRPr="006E5C82">
        <w:tab/>
      </w:r>
      <w:r w:rsidRPr="006E5C82">
        <w:t>Population Mean Difference Detectable with 80% Power as a Function of Sample Size</w:t>
      </w:r>
    </w:p>
    <w:p w:rsidR="000B1472" w:rsidRDefault="007C29B5" w:rsidP="004E2560">
      <w:pPr>
        <w:pStyle w:val="figurewobox"/>
        <w:ind w:left="360"/>
      </w:pPr>
      <w:r w:rsidRPr="006E5C82">
        <w:rPr>
          <w:noProof/>
        </w:rPr>
        <w:drawing>
          <wp:inline distT="0" distB="0" distL="0" distR="0">
            <wp:extent cx="5486400" cy="45720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486400" cy="4572000"/>
                    </a:xfrm>
                    <a:prstGeom prst="rect">
                      <a:avLst/>
                    </a:prstGeom>
                    <a:noFill/>
                    <a:ln w="9525">
                      <a:noFill/>
                      <a:miter lim="800000"/>
                      <a:headEnd/>
                      <a:tailEnd/>
                    </a:ln>
                  </pic:spPr>
                </pic:pic>
              </a:graphicData>
            </a:graphic>
          </wp:inline>
        </w:drawing>
      </w:r>
    </w:p>
    <w:p w:rsidR="000B1472" w:rsidRDefault="000B1472" w:rsidP="004E2560">
      <w:pPr>
        <w:ind w:left="360"/>
      </w:pPr>
    </w:p>
    <w:p w:rsidR="000B1472" w:rsidRDefault="007C29B5" w:rsidP="004E2560">
      <w:pPr>
        <w:pStyle w:val="Heading2"/>
        <w:ind w:left="1080"/>
      </w:pPr>
      <w:bookmarkStart w:id="22" w:name="_Toc348434928"/>
      <w:r w:rsidRPr="006E5C82">
        <w:t>B</w:t>
      </w:r>
      <w:r w:rsidR="006616F3">
        <w:t>.</w:t>
      </w:r>
      <w:r w:rsidRPr="006E5C82">
        <w:t>2</w:t>
      </w:r>
      <w:r w:rsidRPr="006E5C82">
        <w:tab/>
        <w:t>Procedures for the Collection of Information</w:t>
      </w:r>
      <w:bookmarkEnd w:id="22"/>
    </w:p>
    <w:p w:rsidR="000B1472" w:rsidRDefault="007C29B5" w:rsidP="004E2560">
      <w:pPr>
        <w:pStyle w:val="BodyText"/>
        <w:spacing w:line="240" w:lineRule="auto"/>
        <w:ind w:left="360"/>
      </w:pPr>
      <w:r w:rsidRPr="006E5C82">
        <w:t>The Targeted Surveillance and Biometric Study</w:t>
      </w:r>
      <w:r w:rsidR="00F00950">
        <w:t xml:space="preserve"> </w:t>
      </w:r>
      <w:r w:rsidRPr="006E5C82">
        <w:t>use</w:t>
      </w:r>
      <w:r w:rsidR="00B822EA">
        <w:t>s</w:t>
      </w:r>
      <w:r w:rsidRPr="006E5C82">
        <w:t xml:space="preserve"> multiple modes</w:t>
      </w:r>
      <w:r w:rsidR="00585383">
        <w:t>:</w:t>
      </w:r>
      <w:r w:rsidRPr="006E5C82">
        <w:t xml:space="preserve"> mail </w:t>
      </w:r>
      <w:r w:rsidR="00BC59D4">
        <w:t>or</w:t>
      </w:r>
      <w:r w:rsidR="00BC59D4" w:rsidRPr="006E5C82">
        <w:t xml:space="preserve"> </w:t>
      </w:r>
      <w:r w:rsidRPr="006E5C82">
        <w:t xml:space="preserve">telephone initially, followed by an in-home visit for eligible households. The </w:t>
      </w:r>
      <w:r w:rsidRPr="006E5C82">
        <w:rPr>
          <w:i/>
        </w:rPr>
        <w:t>Standard Protocol</w:t>
      </w:r>
      <w:r w:rsidRPr="006E5C82">
        <w:t xml:space="preserve"> </w:t>
      </w:r>
      <w:r w:rsidR="00B822EA">
        <w:t>interview, the Adult Targeted Surveillance S</w:t>
      </w:r>
      <w:r w:rsidR="00DD3029">
        <w:t>urvey</w:t>
      </w:r>
      <w:r w:rsidR="00B822EA">
        <w:t xml:space="preserve"> (ATSS), </w:t>
      </w:r>
      <w:r w:rsidRPr="006E5C82">
        <w:t xml:space="preserve">will be conducted by mail questionnaire and CATI (computer-assisted telephone interview). Mail is </w:t>
      </w:r>
      <w:r w:rsidR="00504D4B">
        <w:t>often</w:t>
      </w:r>
      <w:r w:rsidR="00504D4B" w:rsidRPr="006E5C82">
        <w:t xml:space="preserve"> </w:t>
      </w:r>
      <w:r w:rsidRPr="006E5C82">
        <w:t>a</w:t>
      </w:r>
      <w:r w:rsidR="00504D4B">
        <w:t xml:space="preserve"> </w:t>
      </w:r>
      <w:r w:rsidRPr="006E5C82">
        <w:t>less expensive mode</w:t>
      </w:r>
      <w:r w:rsidR="004C2CBC" w:rsidRPr="006E5C82">
        <w:t xml:space="preserve"> of data collection</w:t>
      </w:r>
      <w:r w:rsidRPr="006E5C82">
        <w:t xml:space="preserve"> and ensures that all households have a probability of selection, including those without a telephone number match. CATI is more efficient for</w:t>
      </w:r>
      <w:r w:rsidR="00430554">
        <w:t xml:space="preserve"> ATSS completions that must be coupled with an</w:t>
      </w:r>
      <w:r w:rsidRPr="006E5C82">
        <w:t xml:space="preserve"> </w:t>
      </w:r>
      <w:r w:rsidRPr="006E5C82">
        <w:rPr>
          <w:i/>
        </w:rPr>
        <w:t>Enhanced Protocol</w:t>
      </w:r>
      <w:r w:rsidRPr="006E5C82">
        <w:t xml:space="preserve"> </w:t>
      </w:r>
      <w:r w:rsidR="00430554">
        <w:t xml:space="preserve">in-home visit </w:t>
      </w:r>
      <w:r w:rsidRPr="006E5C82">
        <w:t xml:space="preserve">because </w:t>
      </w:r>
      <w:r w:rsidR="00430554">
        <w:t xml:space="preserve">(a) </w:t>
      </w:r>
      <w:r w:rsidRPr="006E5C82">
        <w:t xml:space="preserve">telephone recruitment to an in-home survey </w:t>
      </w:r>
      <w:r w:rsidR="00504D4B">
        <w:t>yields more participants</w:t>
      </w:r>
      <w:r w:rsidRPr="006E5C82">
        <w:t xml:space="preserve"> than </w:t>
      </w:r>
      <w:r w:rsidR="00585383">
        <w:t xml:space="preserve">pure </w:t>
      </w:r>
      <w:r w:rsidRPr="006E5C82">
        <w:t>mail recruitment</w:t>
      </w:r>
      <w:r w:rsidR="00430554">
        <w:t xml:space="preserve"> and </w:t>
      </w:r>
      <w:r w:rsidR="00504D4B">
        <w:t>(b) telephone interviewers can schedule an in-home visit immediately after participants complete t</w:t>
      </w:r>
      <w:r w:rsidR="00A65076">
        <w:t>he ATSS over the telephone, thus minimizing the time gap between collection of ATSS and in-home visit data</w:t>
      </w:r>
      <w:r w:rsidRPr="006E5C82">
        <w:t xml:space="preserve">. The </w:t>
      </w:r>
      <w:r w:rsidRPr="006E5C82">
        <w:rPr>
          <w:i/>
        </w:rPr>
        <w:t>Standard Protocol</w:t>
      </w:r>
      <w:r w:rsidRPr="006E5C82">
        <w:t xml:space="preserve"> will be conducted in all 20 CTG </w:t>
      </w:r>
      <w:r w:rsidR="00EA00AF">
        <w:t>a</w:t>
      </w:r>
      <w:r w:rsidRPr="006E5C82">
        <w:t xml:space="preserve">wardee </w:t>
      </w:r>
      <w:r w:rsidR="00EA00AF">
        <w:t>a</w:t>
      </w:r>
      <w:r w:rsidRPr="006E5C82">
        <w:t xml:space="preserve">reas. An </w:t>
      </w:r>
      <w:r w:rsidRPr="006E5C82">
        <w:rPr>
          <w:i/>
        </w:rPr>
        <w:t>Enhanced Protocol</w:t>
      </w:r>
      <w:r w:rsidRPr="006E5C82">
        <w:t xml:space="preserve"> will be conducted in respondent homes in 8 of the 20 </w:t>
      </w:r>
      <w:r w:rsidR="00EA00AF">
        <w:t>a</w:t>
      </w:r>
      <w:r w:rsidRPr="006E5C82">
        <w:t xml:space="preserve">wardee </w:t>
      </w:r>
      <w:r w:rsidR="00EA00AF">
        <w:t>a</w:t>
      </w:r>
      <w:r w:rsidRPr="006E5C82">
        <w:t>reas.</w:t>
      </w:r>
    </w:p>
    <w:p w:rsidR="000B1472" w:rsidRDefault="007C29B5" w:rsidP="004E2560">
      <w:pPr>
        <w:pStyle w:val="BodyText"/>
        <w:spacing w:line="240" w:lineRule="auto"/>
        <w:ind w:left="360"/>
      </w:pPr>
      <w:r w:rsidRPr="006E5C82">
        <w:lastRenderedPageBreak/>
        <w:t xml:space="preserve">All components of the CTG Targeted Surveillance and Biometric Study will be conducted in English or Spanish. The instrument for the </w:t>
      </w:r>
      <w:r w:rsidRPr="006E5C82">
        <w:rPr>
          <w:i/>
        </w:rPr>
        <w:t>Standard Protocol</w:t>
      </w:r>
      <w:r w:rsidRPr="006E5C82">
        <w:rPr>
          <w:iCs/>
        </w:rPr>
        <w:t>, the ATSS,</w:t>
      </w:r>
      <w:r w:rsidRPr="006E5C82">
        <w:rPr>
          <w:i/>
        </w:rPr>
        <w:t xml:space="preserve"> </w:t>
      </w:r>
      <w:r w:rsidRPr="006E5C82">
        <w:t xml:space="preserve">is shown in Attachments </w:t>
      </w:r>
      <w:r w:rsidR="009E5F9F">
        <w:t>7</w:t>
      </w:r>
      <w:r w:rsidR="009E5F9F" w:rsidRPr="006E5C82">
        <w:t xml:space="preserve">A </w:t>
      </w:r>
      <w:r w:rsidRPr="006E5C82">
        <w:t xml:space="preserve">in English and </w:t>
      </w:r>
      <w:r w:rsidR="009E5F9F">
        <w:t>7</w:t>
      </w:r>
      <w:r w:rsidRPr="006E5C82">
        <w:t>A</w:t>
      </w:r>
      <w:r w:rsidR="006616F3">
        <w:t>-S</w:t>
      </w:r>
      <w:r w:rsidRPr="006E5C82">
        <w:t xml:space="preserve"> in Spanish. The </w:t>
      </w:r>
      <w:r w:rsidRPr="006E5C82">
        <w:rPr>
          <w:i/>
        </w:rPr>
        <w:t>Enhanced Protocol</w:t>
      </w:r>
      <w:r w:rsidRPr="006E5C82">
        <w:t xml:space="preserve"> instruments are also shown in English and Spanish: the Youth Survey (Attachments 9B, 9B</w:t>
      </w:r>
      <w:r w:rsidR="006616F3">
        <w:t>-S</w:t>
      </w:r>
      <w:r w:rsidRPr="006E5C82">
        <w:t>), Caregiver Survey (Attachments 9A, 9A</w:t>
      </w:r>
      <w:r w:rsidR="006616F3">
        <w:t>-S</w:t>
      </w:r>
      <w:r w:rsidRPr="006E5C82">
        <w:t>), and instructions for completing the Adult Biometric Measures (Attachments 12A, 12A</w:t>
      </w:r>
      <w:r w:rsidR="006616F3">
        <w:t>-S</w:t>
      </w:r>
      <w:r w:rsidRPr="006E5C82">
        <w:t>) and Youth Biometric Measures (Attachments 12B and 12B</w:t>
      </w:r>
      <w:r w:rsidR="006616F3">
        <w:t>-S</w:t>
      </w:r>
      <w:r w:rsidRPr="006E5C82">
        <w:t>).</w:t>
      </w:r>
    </w:p>
    <w:p w:rsidR="000B1472" w:rsidRDefault="007C29B5" w:rsidP="004E2560">
      <w:pPr>
        <w:pStyle w:val="BodyText"/>
        <w:spacing w:line="240" w:lineRule="auto"/>
        <w:ind w:left="360"/>
      </w:pPr>
      <w:r w:rsidRPr="006E5C82">
        <w:rPr>
          <w:b/>
          <w:bCs/>
        </w:rPr>
        <w:t>Who Collects the Data:</w:t>
      </w:r>
      <w:r w:rsidRPr="006E5C82">
        <w:t xml:space="preserve"> Data for the </w:t>
      </w:r>
      <w:r w:rsidRPr="006E5C82">
        <w:rPr>
          <w:i/>
        </w:rPr>
        <w:t>Standard Protocol</w:t>
      </w:r>
      <w:r w:rsidRPr="006E5C82">
        <w:t xml:space="preserve"> will be collected through the mail from a printed questionnaire or by trained telephone interviewers under </w:t>
      </w:r>
      <w:r w:rsidR="008A11DD">
        <w:t>the contractor’s</w:t>
      </w:r>
      <w:r w:rsidR="008A11DD" w:rsidRPr="006E5C82">
        <w:t xml:space="preserve"> </w:t>
      </w:r>
      <w:r w:rsidRPr="006E5C82">
        <w:t xml:space="preserve">project supervisors. Field interviewers will collect the </w:t>
      </w:r>
      <w:r w:rsidRPr="006E5C82">
        <w:rPr>
          <w:i/>
        </w:rPr>
        <w:t>Enhanced Protocol</w:t>
      </w:r>
      <w:r w:rsidRPr="006E5C82">
        <w:t xml:space="preserve"> data with oversight by </w:t>
      </w:r>
      <w:r w:rsidR="008A11DD">
        <w:t>the contractor’s</w:t>
      </w:r>
      <w:r w:rsidRPr="006E5C82">
        <w:t xml:space="preserve"> data collection project manager.</w:t>
      </w:r>
    </w:p>
    <w:p w:rsidR="000B1472" w:rsidRDefault="007C29B5" w:rsidP="004E2560">
      <w:pPr>
        <w:pStyle w:val="BodyText"/>
        <w:spacing w:line="240" w:lineRule="auto"/>
        <w:ind w:left="360"/>
        <w:rPr>
          <w:b/>
          <w:bCs/>
        </w:rPr>
      </w:pPr>
      <w:r w:rsidRPr="006E5C82">
        <w:rPr>
          <w:b/>
          <w:bCs/>
        </w:rPr>
        <w:t>Where/What</w:t>
      </w:r>
      <w:r w:rsidRPr="006E5C82">
        <w:t xml:space="preserve">: The </w:t>
      </w:r>
      <w:r w:rsidRPr="006E5C82">
        <w:rPr>
          <w:i/>
        </w:rPr>
        <w:t>Standard Protocol</w:t>
      </w:r>
      <w:r w:rsidRPr="006E5C82">
        <w:t xml:space="preserve"> will be administered biennially in a representative sample of residents living in geographic areas targeted for interventions by 20 CTG awardees. A t</w:t>
      </w:r>
      <w:r w:rsidR="00CA3889">
        <w:t xml:space="preserve">arget goal of </w:t>
      </w:r>
      <w:r w:rsidRPr="006E5C82">
        <w:t xml:space="preserve">23,695 adults will be recruited to complete the </w:t>
      </w:r>
      <w:r w:rsidRPr="006E5C82">
        <w:rPr>
          <w:i/>
          <w:iCs/>
        </w:rPr>
        <w:t>Standard</w:t>
      </w:r>
      <w:r w:rsidRPr="006E5C82">
        <w:t xml:space="preserve"> and </w:t>
      </w:r>
      <w:r w:rsidRPr="006E5C82">
        <w:rPr>
          <w:i/>
          <w:iCs/>
        </w:rPr>
        <w:t>Enhanced Protocols</w:t>
      </w:r>
      <w:r w:rsidRPr="006E5C82">
        <w:t xml:space="preserve"> by completing the ATSS. As described in Section A</w:t>
      </w:r>
      <w:r w:rsidR="006616F3">
        <w:t>.</w:t>
      </w:r>
      <w:r w:rsidRPr="006E5C82">
        <w:t>1 and illustrated in Exhibit A</w:t>
      </w:r>
      <w:r w:rsidR="006616F3">
        <w:t>.</w:t>
      </w:r>
      <w:r w:rsidRPr="006E5C82">
        <w:t>1</w:t>
      </w:r>
      <w:r w:rsidR="006616F3">
        <w:t>.</w:t>
      </w:r>
      <w:r w:rsidRPr="006E5C82">
        <w:t xml:space="preserve">1, respondents will be recruited into the study through one of four possible tracks: as part of the </w:t>
      </w:r>
      <w:r w:rsidRPr="006E5C82">
        <w:rPr>
          <w:i/>
          <w:iCs/>
        </w:rPr>
        <w:t>Standard Protocol</w:t>
      </w:r>
      <w:r w:rsidRPr="006E5C82">
        <w:t xml:space="preserve"> either through mail (Track A-1) or telephone (Track A-2), invitation to participate in the </w:t>
      </w:r>
      <w:r w:rsidRPr="006E5C82">
        <w:rPr>
          <w:i/>
          <w:iCs/>
        </w:rPr>
        <w:t>Enhanced Protocol</w:t>
      </w:r>
      <w:r w:rsidRPr="006E5C82">
        <w:t xml:space="preserve"> after completion of the ATSS (Track B</w:t>
      </w:r>
      <w:r w:rsidR="004C2CBC" w:rsidRPr="006E5C82">
        <w:t>—</w:t>
      </w:r>
      <w:r w:rsidRPr="006E5C82">
        <w:t xml:space="preserve">for eligible households only) or from the start as a household invited to participate in both the </w:t>
      </w:r>
      <w:r w:rsidRPr="006E5C82">
        <w:rPr>
          <w:i/>
          <w:iCs/>
        </w:rPr>
        <w:t>Standard</w:t>
      </w:r>
      <w:r w:rsidRPr="006E5C82">
        <w:t xml:space="preserve"> and </w:t>
      </w:r>
      <w:r w:rsidRPr="006E5C82">
        <w:rPr>
          <w:i/>
          <w:iCs/>
        </w:rPr>
        <w:t>Enhanced Protocol</w:t>
      </w:r>
      <w:r w:rsidRPr="006E5C82">
        <w:t xml:space="preserve"> (Track C). We estimate that approximately 30% of the households completing the </w:t>
      </w:r>
      <w:r w:rsidRPr="006E5C82">
        <w:rPr>
          <w:i/>
          <w:iCs/>
        </w:rPr>
        <w:t>Enhanced Protocol</w:t>
      </w:r>
      <w:r w:rsidRPr="006E5C82">
        <w:t xml:space="preserve"> will be recruited from Track B and approximately 70% </w:t>
      </w:r>
      <w:r w:rsidR="004C2CBC" w:rsidRPr="006E5C82">
        <w:t xml:space="preserve">will be recruited </w:t>
      </w:r>
      <w:r w:rsidRPr="006E5C82">
        <w:t xml:space="preserve">from Track C. Data from all households participating in the </w:t>
      </w:r>
      <w:r w:rsidRPr="006E5C82">
        <w:rPr>
          <w:i/>
        </w:rPr>
        <w:t>Enhanced Protocol</w:t>
      </w:r>
      <w:r w:rsidRPr="006E5C82">
        <w:t xml:space="preserve"> will include information about an adult participant and up to 2,400 of the 4,000 households (300 of the 500 in each </w:t>
      </w:r>
      <w:r w:rsidR="006616F3">
        <w:t>awardee area</w:t>
      </w:r>
      <w:r w:rsidRPr="006E5C82">
        <w:t xml:space="preserve">) will also include data collection from an eligible child. </w:t>
      </w:r>
    </w:p>
    <w:p w:rsidR="000B1472" w:rsidRDefault="007C29B5" w:rsidP="004E2560">
      <w:pPr>
        <w:pStyle w:val="BodyText"/>
        <w:spacing w:line="240" w:lineRule="auto"/>
        <w:ind w:left="360"/>
      </w:pPr>
      <w:r w:rsidRPr="006E5C82">
        <w:rPr>
          <w:b/>
          <w:bCs/>
        </w:rPr>
        <w:t>Frequency:</w:t>
      </w:r>
      <w:r w:rsidRPr="006E5C82">
        <w:t xml:space="preserve"> Data collection will be conducted biennially (starting </w:t>
      </w:r>
      <w:r w:rsidR="004C2CBC" w:rsidRPr="006E5C82">
        <w:t xml:space="preserve">in </w:t>
      </w:r>
      <w:r w:rsidRPr="006E5C82">
        <w:t xml:space="preserve">2013, upon </w:t>
      </w:r>
      <w:r w:rsidR="00BD68FA" w:rsidRPr="006E5C82">
        <w:t>Office of Management and Budget [</w:t>
      </w:r>
      <w:r w:rsidRPr="006E5C82">
        <w:t>OMB</w:t>
      </w:r>
      <w:r w:rsidR="00BD68FA" w:rsidRPr="006E5C82">
        <w:t>]</w:t>
      </w:r>
      <w:r w:rsidRPr="006E5C82">
        <w:t xml:space="preserve"> approval), with both the </w:t>
      </w:r>
      <w:r w:rsidRPr="006E5C82">
        <w:rPr>
          <w:i/>
          <w:iCs/>
        </w:rPr>
        <w:t>Standard Protocol</w:t>
      </w:r>
      <w:r w:rsidRPr="006E5C82">
        <w:t xml:space="preserve"> and </w:t>
      </w:r>
      <w:r w:rsidRPr="006E5C82">
        <w:rPr>
          <w:i/>
          <w:iCs/>
        </w:rPr>
        <w:t>Enhanced Protocol</w:t>
      </w:r>
      <w:r w:rsidRPr="006E5C82">
        <w:t xml:space="preserve"> being applied during each data collection period (2013, 2015, 2017). </w:t>
      </w:r>
    </w:p>
    <w:p w:rsidR="000B1472" w:rsidRDefault="007C29B5" w:rsidP="004E2560">
      <w:pPr>
        <w:pStyle w:val="BodyText"/>
        <w:spacing w:line="240" w:lineRule="auto"/>
        <w:ind w:left="360"/>
        <w:rPr>
          <w:u w:val="single"/>
        </w:rPr>
      </w:pPr>
      <w:r w:rsidRPr="006E5C82">
        <w:rPr>
          <w:b/>
          <w:bCs/>
        </w:rPr>
        <w:t>Procedures</w:t>
      </w:r>
      <w:r w:rsidR="00026279" w:rsidRPr="006E5C82">
        <w:rPr>
          <w:b/>
          <w:bCs/>
        </w:rPr>
        <w:t xml:space="preserve">: </w:t>
      </w:r>
      <w:r w:rsidR="00A97CC3" w:rsidRPr="006E5C82">
        <w:br/>
      </w:r>
      <w:r w:rsidRPr="006E5C82">
        <w:rPr>
          <w:u w:val="single"/>
        </w:rPr>
        <w:t>Sample Frame Construction</w:t>
      </w:r>
    </w:p>
    <w:p w:rsidR="000B1472" w:rsidRDefault="007C29B5" w:rsidP="004E2560">
      <w:pPr>
        <w:pStyle w:val="BodyText"/>
        <w:spacing w:line="240" w:lineRule="auto"/>
        <w:ind w:left="360"/>
      </w:pPr>
      <w:r w:rsidRPr="006E5C82">
        <w:t xml:space="preserve">The United States Postal Service (USPS) CDS file of addresses will be used to create the ABS frame. A complete description of the sampling procedures to be used in both the </w:t>
      </w:r>
      <w:r w:rsidRPr="006E5C82">
        <w:rPr>
          <w:i/>
        </w:rPr>
        <w:t>Standard Protocol</w:t>
      </w:r>
      <w:r w:rsidRPr="006E5C82">
        <w:t xml:space="preserve"> and </w:t>
      </w:r>
      <w:r w:rsidRPr="006E5C82">
        <w:rPr>
          <w:i/>
        </w:rPr>
        <w:t>Enhanced Protocol</w:t>
      </w:r>
      <w:r w:rsidRPr="006E5C82">
        <w:t xml:space="preserve"> appears in </w:t>
      </w:r>
      <w:r w:rsidR="008D1B00">
        <w:t>Section</w:t>
      </w:r>
      <w:r w:rsidRPr="006E5C82">
        <w:t xml:space="preserve"> B</w:t>
      </w:r>
      <w:r w:rsidR="008D1B00">
        <w:t>.</w:t>
      </w:r>
      <w:r w:rsidRPr="006E5C82">
        <w:t xml:space="preserve">1 (Sample Selection section). Addresses in the sample frame will be geocoded and assigned to </w:t>
      </w:r>
      <w:r w:rsidR="004C2CBC" w:rsidRPr="006E5C82">
        <w:t xml:space="preserve">census </w:t>
      </w:r>
      <w:r w:rsidRPr="006E5C82">
        <w:t>blocks, block</w:t>
      </w:r>
      <w:r w:rsidR="004C2CBC" w:rsidRPr="006E5C82">
        <w:t xml:space="preserve"> </w:t>
      </w:r>
      <w:r w:rsidRPr="006E5C82">
        <w:t>groups, tracts, and counties. Census data at the tract and block</w:t>
      </w:r>
      <w:r w:rsidR="004C2CBC" w:rsidRPr="006E5C82">
        <w:t>-</w:t>
      </w:r>
      <w:r w:rsidRPr="006E5C82">
        <w:t>group level</w:t>
      </w:r>
      <w:r w:rsidR="004C2CBC" w:rsidRPr="006E5C82">
        <w:t>s</w:t>
      </w:r>
      <w:r w:rsidRPr="006E5C82">
        <w:t xml:space="preserve"> will be appended to the frame; census data includes total population, percentage African American, percentage Hispanic, and other demographic variables. The NCHS county-level urban or rural designation will be appended to the frame. The frame will also be matched to the Acxion marketing database to obtain indicators for households and household members including Hispanic surname, date of birth and other age variables, and flags indicating the availability of landline and cell</w:t>
      </w:r>
      <w:r w:rsidR="004C2CBC" w:rsidRPr="006E5C82">
        <w:t xml:space="preserve"> </w:t>
      </w:r>
      <w:r w:rsidRPr="006E5C82">
        <w:t xml:space="preserve">phone numbers. Although some of the flags and indicators may be incomplete, they nevertheless provide a useful way of stratifying the frame to sample </w:t>
      </w:r>
      <w:r w:rsidRPr="006E5C82">
        <w:lastRenderedPageBreak/>
        <w:t xml:space="preserve">certain subpopulations more efficiently. The sample will be selected from all strata and weighted appropriately to produce unbiased estimates for the targeted population totals. The selected sample will then be sent to two vendors to have actual telephone numbers appended to sample records. The sample will be divided into replicates and into recruitment modes for data collection. The proportions assigned to mail or telephone mode may vary over time as we evaluate the costs and yields of the modes. </w:t>
      </w:r>
    </w:p>
    <w:p w:rsidR="000B1472" w:rsidRDefault="007C29B5" w:rsidP="004E2560">
      <w:pPr>
        <w:pStyle w:val="Heading5"/>
        <w:spacing w:line="240" w:lineRule="auto"/>
        <w:ind w:left="360"/>
      </w:pPr>
      <w:r w:rsidRPr="006E5C82">
        <w:t>Modes of Contact</w:t>
      </w:r>
    </w:p>
    <w:p w:rsidR="000B1472" w:rsidRDefault="007C29B5" w:rsidP="004E2560">
      <w:pPr>
        <w:pStyle w:val="BodyText"/>
        <w:spacing w:line="240" w:lineRule="auto"/>
        <w:ind w:left="360"/>
      </w:pPr>
      <w:r w:rsidRPr="006E5C82">
        <w:t>Some data collection procedures will vary depending on type of community and attributes of the household. Three flow charts (Exhibits B</w:t>
      </w:r>
      <w:r w:rsidR="00266B79">
        <w:t>.</w:t>
      </w:r>
      <w:r w:rsidRPr="006E5C82">
        <w:t>2</w:t>
      </w:r>
      <w:r w:rsidR="00266B79">
        <w:t>.</w:t>
      </w:r>
      <w:r w:rsidRPr="006E5C82">
        <w:t>1a, B</w:t>
      </w:r>
      <w:r w:rsidR="00266B79">
        <w:t>.</w:t>
      </w:r>
      <w:r w:rsidRPr="006E5C82">
        <w:t>2</w:t>
      </w:r>
      <w:r w:rsidR="00266B79">
        <w:t>.</w:t>
      </w:r>
      <w:r w:rsidRPr="006E5C82">
        <w:t>1b, B</w:t>
      </w:r>
      <w:r w:rsidR="00266B79">
        <w:t>.</w:t>
      </w:r>
      <w:r w:rsidRPr="006E5C82">
        <w:t>2</w:t>
      </w:r>
      <w:r w:rsidR="00266B79">
        <w:t>.</w:t>
      </w:r>
      <w:r w:rsidRPr="006E5C82">
        <w:t>1c) presented in this section depict the data collection procedures for each of four tracks (described in Section A</w:t>
      </w:r>
      <w:r w:rsidR="00266B79">
        <w:t>.</w:t>
      </w:r>
      <w:r w:rsidRPr="006E5C82">
        <w:t>1 and illustrated in Exhibit A</w:t>
      </w:r>
      <w:r w:rsidR="00266B79">
        <w:t>.</w:t>
      </w:r>
      <w:r w:rsidRPr="006E5C82">
        <w:t>1</w:t>
      </w:r>
      <w:r w:rsidR="00266B79">
        <w:t>.</w:t>
      </w:r>
      <w:r w:rsidRPr="006E5C82">
        <w:t>1). These tracks include:</w:t>
      </w:r>
    </w:p>
    <w:p w:rsidR="000B1472" w:rsidRDefault="007C29B5" w:rsidP="004E2560">
      <w:pPr>
        <w:pStyle w:val="bullets-blank"/>
        <w:numPr>
          <w:ilvl w:val="0"/>
          <w:numId w:val="39"/>
        </w:numPr>
        <w:spacing w:line="240" w:lineRule="auto"/>
        <w:ind w:left="1440"/>
      </w:pPr>
      <w:r w:rsidRPr="006E5C82">
        <w:rPr>
          <w:i/>
          <w:iCs/>
        </w:rPr>
        <w:t>Standard Protocol</w:t>
      </w:r>
      <w:r w:rsidR="002D78C2">
        <w:rPr>
          <w:i/>
          <w:iCs/>
        </w:rPr>
        <w:t xml:space="preserve"> </w:t>
      </w:r>
      <w:r w:rsidR="002D78C2" w:rsidRPr="006E5C82">
        <w:rPr>
          <w:i/>
          <w:iCs/>
        </w:rPr>
        <w:t>—</w:t>
      </w:r>
      <w:r w:rsidR="00236F7A">
        <w:rPr>
          <w:i/>
          <w:iCs/>
        </w:rPr>
        <w:t xml:space="preserve"> </w:t>
      </w:r>
      <w:r w:rsidR="002D78C2" w:rsidRPr="006E5C82">
        <w:t xml:space="preserve">Data collection procedure in the 20 CTG </w:t>
      </w:r>
      <w:r w:rsidR="002D78C2">
        <w:t>a</w:t>
      </w:r>
      <w:r w:rsidR="002D78C2" w:rsidRPr="006E5C82">
        <w:t xml:space="preserve">wardee </w:t>
      </w:r>
      <w:r w:rsidR="002D78C2">
        <w:t>a</w:t>
      </w:r>
      <w:r w:rsidR="002D78C2" w:rsidRPr="006E5C82">
        <w:t xml:space="preserve">reas in which </w:t>
      </w:r>
      <w:r w:rsidR="00D674E5">
        <w:t xml:space="preserve">we invite </w:t>
      </w:r>
      <w:r w:rsidR="002D78C2" w:rsidRPr="006E5C82">
        <w:t>one adult in each sampled household to complete the ATSS (Exhibit B</w:t>
      </w:r>
      <w:r w:rsidR="002D78C2">
        <w:t>.</w:t>
      </w:r>
      <w:r w:rsidR="002D78C2" w:rsidRPr="006E5C82">
        <w:t>2</w:t>
      </w:r>
      <w:r w:rsidR="002D78C2">
        <w:t>.</w:t>
      </w:r>
      <w:r w:rsidR="002D78C2" w:rsidRPr="006E5C82">
        <w:t>1a).</w:t>
      </w:r>
    </w:p>
    <w:p w:rsidR="000B1472" w:rsidRDefault="00AA48FA" w:rsidP="004E2560">
      <w:pPr>
        <w:pStyle w:val="bullets-blank"/>
        <w:numPr>
          <w:ilvl w:val="2"/>
          <w:numId w:val="38"/>
        </w:numPr>
        <w:spacing w:line="240" w:lineRule="auto"/>
        <w:ind w:left="1800"/>
        <w:rPr>
          <w:iCs/>
        </w:rPr>
      </w:pPr>
      <w:r>
        <w:rPr>
          <w:b/>
          <w:iCs/>
        </w:rPr>
        <w:t>Mail</w:t>
      </w:r>
      <w:r w:rsidR="002D78C2">
        <w:rPr>
          <w:iCs/>
        </w:rPr>
        <w:t xml:space="preserve"> </w:t>
      </w:r>
      <w:r w:rsidR="00B05265" w:rsidRPr="00B05265">
        <w:rPr>
          <w:iCs/>
        </w:rPr>
        <w:t>(</w:t>
      </w:r>
      <w:r w:rsidR="007C29B5" w:rsidRPr="00CE70E4">
        <w:rPr>
          <w:i/>
          <w:iCs/>
        </w:rPr>
        <w:t>Track A-</w:t>
      </w:r>
      <w:r w:rsidR="002D78C2" w:rsidRPr="00CE70E4">
        <w:rPr>
          <w:i/>
          <w:iCs/>
        </w:rPr>
        <w:t>1</w:t>
      </w:r>
      <w:r w:rsidR="00CE70E4">
        <w:rPr>
          <w:i/>
          <w:iCs/>
        </w:rPr>
        <w:t xml:space="preserve">, </w:t>
      </w:r>
      <w:r w:rsidR="00CE70E4" w:rsidRPr="0003470B">
        <w:rPr>
          <w:i/>
        </w:rPr>
        <w:t>Exhibit B.2.1</w:t>
      </w:r>
      <w:r w:rsidR="00CE70E4">
        <w:rPr>
          <w:i/>
        </w:rPr>
        <w:t>a</w:t>
      </w:r>
      <w:r w:rsidR="00B05265" w:rsidRPr="00B05265">
        <w:rPr>
          <w:iCs/>
        </w:rPr>
        <w:t>).</w:t>
      </w:r>
      <w:r w:rsidR="00236F7A">
        <w:rPr>
          <w:iCs/>
        </w:rPr>
        <w:t xml:space="preserve"> In this track, we invite participation in ATSS by sending paper questionnaire packets. (Contents of these packets are described below.)</w:t>
      </w:r>
    </w:p>
    <w:p w:rsidR="000B1472" w:rsidRDefault="00AA48FA" w:rsidP="004E2560">
      <w:pPr>
        <w:pStyle w:val="bullets-blank"/>
        <w:numPr>
          <w:ilvl w:val="2"/>
          <w:numId w:val="38"/>
        </w:numPr>
        <w:spacing w:line="240" w:lineRule="auto"/>
        <w:ind w:left="1800"/>
        <w:rPr>
          <w:iCs/>
        </w:rPr>
      </w:pPr>
      <w:r>
        <w:rPr>
          <w:b/>
          <w:iCs/>
        </w:rPr>
        <w:t>Telephone</w:t>
      </w:r>
      <w:r w:rsidR="002D78C2">
        <w:rPr>
          <w:iCs/>
        </w:rPr>
        <w:t xml:space="preserve"> </w:t>
      </w:r>
      <w:r w:rsidR="00B05265" w:rsidRPr="00B05265">
        <w:rPr>
          <w:iCs/>
        </w:rPr>
        <w:t>(</w:t>
      </w:r>
      <w:r w:rsidR="002D78C2" w:rsidRPr="00CE70E4">
        <w:rPr>
          <w:i/>
          <w:iCs/>
        </w:rPr>
        <w:t xml:space="preserve">Track </w:t>
      </w:r>
      <w:r w:rsidR="007C29B5" w:rsidRPr="00CE70E4">
        <w:rPr>
          <w:i/>
          <w:iCs/>
        </w:rPr>
        <w:t>A-2</w:t>
      </w:r>
      <w:r w:rsidR="00CE70E4">
        <w:rPr>
          <w:i/>
          <w:iCs/>
        </w:rPr>
        <w:t xml:space="preserve">, </w:t>
      </w:r>
      <w:r w:rsidR="00CE70E4" w:rsidRPr="0003470B">
        <w:rPr>
          <w:i/>
        </w:rPr>
        <w:t>Exhibit B.2.1</w:t>
      </w:r>
      <w:r w:rsidR="00CE70E4">
        <w:rPr>
          <w:i/>
        </w:rPr>
        <w:t>a</w:t>
      </w:r>
      <w:r w:rsidR="00B05265" w:rsidRPr="00B05265">
        <w:rPr>
          <w:iCs/>
        </w:rPr>
        <w:t>).</w:t>
      </w:r>
      <w:r w:rsidR="00236F7A">
        <w:rPr>
          <w:iCs/>
        </w:rPr>
        <w:t xml:space="preserve"> </w:t>
      </w:r>
      <w:r w:rsidR="00236F7A" w:rsidRPr="0003470B">
        <w:rPr>
          <w:iCs/>
        </w:rPr>
        <w:t>).</w:t>
      </w:r>
      <w:r w:rsidR="00236F7A">
        <w:rPr>
          <w:iCs/>
        </w:rPr>
        <w:t xml:space="preserve"> In this track, we invite participation in ATSS by sending telephone lead letter packets. We then follow</w:t>
      </w:r>
      <w:r w:rsidR="009451F4">
        <w:rPr>
          <w:iCs/>
        </w:rPr>
        <w:t xml:space="preserve"> </w:t>
      </w:r>
      <w:r w:rsidR="00236F7A">
        <w:rPr>
          <w:iCs/>
        </w:rPr>
        <w:t>up by attempting to contact households by telephone.</w:t>
      </w:r>
    </w:p>
    <w:p w:rsidR="006111A0" w:rsidRDefault="006111A0" w:rsidP="004E2560">
      <w:pPr>
        <w:pStyle w:val="bullets-blank"/>
        <w:spacing w:line="240" w:lineRule="auto"/>
        <w:ind w:left="720"/>
      </w:pPr>
    </w:p>
    <w:p w:rsidR="000B1472" w:rsidRDefault="007C29B5" w:rsidP="004E2560">
      <w:pPr>
        <w:pStyle w:val="bullets-blank"/>
        <w:numPr>
          <w:ilvl w:val="0"/>
          <w:numId w:val="39"/>
        </w:numPr>
        <w:spacing w:line="240" w:lineRule="auto"/>
        <w:ind w:left="1440"/>
      </w:pPr>
      <w:r w:rsidRPr="006E5C82">
        <w:rPr>
          <w:i/>
          <w:iCs/>
        </w:rPr>
        <w:t xml:space="preserve">Enhanced Protocol </w:t>
      </w:r>
      <w:r w:rsidR="002D78C2" w:rsidRPr="006E5C82">
        <w:rPr>
          <w:i/>
          <w:iCs/>
        </w:rPr>
        <w:t>—</w:t>
      </w:r>
      <w:r w:rsidR="00236F7A">
        <w:rPr>
          <w:i/>
          <w:iCs/>
        </w:rPr>
        <w:t xml:space="preserve"> </w:t>
      </w:r>
      <w:r w:rsidR="002D78C2" w:rsidRPr="006E5C82">
        <w:t xml:space="preserve">Data collection procedure in the </w:t>
      </w:r>
      <w:r w:rsidR="009451F4">
        <w:t>eight</w:t>
      </w:r>
      <w:r w:rsidR="002D78C2" w:rsidRPr="006E5C82">
        <w:t xml:space="preserve"> CTG </w:t>
      </w:r>
      <w:r w:rsidR="002D78C2">
        <w:t>a</w:t>
      </w:r>
      <w:r w:rsidR="002D78C2" w:rsidRPr="006E5C82">
        <w:t xml:space="preserve">wardee </w:t>
      </w:r>
      <w:r w:rsidR="002D78C2">
        <w:t>a</w:t>
      </w:r>
      <w:r w:rsidR="002D78C2" w:rsidRPr="006E5C82">
        <w:t xml:space="preserve">reas in which </w:t>
      </w:r>
      <w:r w:rsidR="00D674E5">
        <w:t xml:space="preserve">we invite </w:t>
      </w:r>
      <w:r w:rsidR="002D78C2">
        <w:t>some</w:t>
      </w:r>
      <w:r w:rsidR="002D78C2" w:rsidRPr="006E5C82">
        <w:t xml:space="preserve"> adult</w:t>
      </w:r>
      <w:r w:rsidR="002D78C2">
        <w:t>s</w:t>
      </w:r>
      <w:r w:rsidR="002D78C2" w:rsidRPr="006E5C82">
        <w:t xml:space="preserve"> in sampled household</w:t>
      </w:r>
      <w:r w:rsidR="002D78C2">
        <w:t>s</w:t>
      </w:r>
      <w:r w:rsidR="002D78C2" w:rsidRPr="006E5C82">
        <w:t xml:space="preserve"> to complete</w:t>
      </w:r>
      <w:r w:rsidR="002D78C2">
        <w:t xml:space="preserve"> both (a)</w:t>
      </w:r>
      <w:r w:rsidR="002D78C2" w:rsidRPr="006E5C82">
        <w:t xml:space="preserve"> the ATSS </w:t>
      </w:r>
      <w:r w:rsidR="002D78C2">
        <w:t xml:space="preserve">and (b) an in-home visit, </w:t>
      </w:r>
      <w:r w:rsidR="002D78C2" w:rsidRPr="006E5C82">
        <w:t>for biometric data collection</w:t>
      </w:r>
      <w:r w:rsidR="002D78C2">
        <w:t xml:space="preserve">. </w:t>
      </w:r>
    </w:p>
    <w:p w:rsidR="000B1472" w:rsidRDefault="00B05265" w:rsidP="004E2560">
      <w:pPr>
        <w:pStyle w:val="bullets-blank"/>
        <w:numPr>
          <w:ilvl w:val="2"/>
          <w:numId w:val="38"/>
        </w:numPr>
        <w:spacing w:line="240" w:lineRule="auto"/>
        <w:ind w:left="1800"/>
      </w:pPr>
      <w:r w:rsidRPr="00B05265">
        <w:rPr>
          <w:b/>
          <w:i/>
          <w:iCs/>
        </w:rPr>
        <w:t>Enhanced Protocol</w:t>
      </w:r>
      <w:r w:rsidR="00AA48FA">
        <w:rPr>
          <w:b/>
          <w:iCs/>
        </w:rPr>
        <w:t xml:space="preserve"> I</w:t>
      </w:r>
      <w:r w:rsidRPr="00B05265">
        <w:rPr>
          <w:b/>
          <w:iCs/>
        </w:rPr>
        <w:t xml:space="preserve">nvitation </w:t>
      </w:r>
      <w:r w:rsidR="00AA48FA">
        <w:rPr>
          <w:b/>
          <w:iCs/>
          <w:u w:val="single"/>
        </w:rPr>
        <w:t>A</w:t>
      </w:r>
      <w:r w:rsidRPr="00B05265">
        <w:rPr>
          <w:b/>
          <w:iCs/>
          <w:u w:val="single"/>
        </w:rPr>
        <w:t>fter</w:t>
      </w:r>
      <w:r w:rsidRPr="00B05265">
        <w:rPr>
          <w:b/>
          <w:iCs/>
        </w:rPr>
        <w:t xml:space="preserve"> ATSS</w:t>
      </w:r>
      <w:r w:rsidR="002D78C2">
        <w:rPr>
          <w:b/>
          <w:iCs/>
        </w:rPr>
        <w:t>.</w:t>
      </w:r>
      <w:r w:rsidRPr="00B05265">
        <w:rPr>
          <w:b/>
          <w:i/>
          <w:iCs/>
        </w:rPr>
        <w:t xml:space="preserve"> </w:t>
      </w:r>
      <w:r w:rsidR="006B4F43" w:rsidRPr="006E5C82">
        <w:rPr>
          <w:i/>
          <w:iCs/>
        </w:rPr>
        <w:t>(</w:t>
      </w:r>
      <w:r w:rsidR="007C29B5" w:rsidRPr="006E5C82">
        <w:rPr>
          <w:i/>
          <w:iCs/>
        </w:rPr>
        <w:t>Track B</w:t>
      </w:r>
      <w:r w:rsidR="00CE70E4">
        <w:rPr>
          <w:i/>
          <w:iCs/>
        </w:rPr>
        <w:t xml:space="preserve">, </w:t>
      </w:r>
      <w:r w:rsidRPr="00B05265">
        <w:rPr>
          <w:i/>
        </w:rPr>
        <w:t>Exhibit B.2.1b</w:t>
      </w:r>
      <w:r w:rsidR="00CE70E4">
        <w:t xml:space="preserve">) </w:t>
      </w:r>
      <w:r w:rsidR="007C29B5" w:rsidRPr="006E5C82">
        <w:rPr>
          <w:i/>
          <w:iCs/>
        </w:rPr>
        <w:t>—</w:t>
      </w:r>
      <w:r w:rsidR="009451F4">
        <w:rPr>
          <w:i/>
          <w:iCs/>
        </w:rPr>
        <w:t xml:space="preserve"> </w:t>
      </w:r>
      <w:r w:rsidR="002D78C2">
        <w:t xml:space="preserve">In this track, we invite in-home visit participation </w:t>
      </w:r>
      <w:r w:rsidR="00BA280B">
        <w:t xml:space="preserve">only </w:t>
      </w:r>
      <w:r w:rsidR="002D78C2">
        <w:t xml:space="preserve">after the </w:t>
      </w:r>
      <w:r w:rsidR="00AA48FA">
        <w:t xml:space="preserve">selected adult has completed the ATSS. </w:t>
      </w:r>
    </w:p>
    <w:p w:rsidR="008C2A6F" w:rsidRDefault="00AA48FA" w:rsidP="004E2560">
      <w:pPr>
        <w:pStyle w:val="bullets-blank"/>
        <w:numPr>
          <w:ilvl w:val="2"/>
          <w:numId w:val="38"/>
        </w:numPr>
        <w:spacing w:line="240" w:lineRule="auto"/>
        <w:ind w:left="1800"/>
      </w:pPr>
      <w:r w:rsidRPr="0003470B">
        <w:rPr>
          <w:b/>
          <w:i/>
          <w:iCs/>
        </w:rPr>
        <w:t>Enhanced Protocol</w:t>
      </w:r>
      <w:r>
        <w:rPr>
          <w:b/>
          <w:iCs/>
        </w:rPr>
        <w:t xml:space="preserve"> I</w:t>
      </w:r>
      <w:r w:rsidR="00B05265" w:rsidRPr="00B05265">
        <w:rPr>
          <w:b/>
        </w:rPr>
        <w:t xml:space="preserve">nvitation </w:t>
      </w:r>
      <w:r>
        <w:rPr>
          <w:b/>
          <w:u w:val="single"/>
        </w:rPr>
        <w:t>B</w:t>
      </w:r>
      <w:r w:rsidR="00B05265" w:rsidRPr="00B05265">
        <w:rPr>
          <w:b/>
          <w:u w:val="single"/>
        </w:rPr>
        <w:t>efore</w:t>
      </w:r>
      <w:r w:rsidR="00B05265" w:rsidRPr="00B05265">
        <w:rPr>
          <w:b/>
        </w:rPr>
        <w:t xml:space="preserve"> </w:t>
      </w:r>
      <w:r w:rsidR="00B05265" w:rsidRPr="00B05265">
        <w:rPr>
          <w:b/>
          <w:iCs/>
        </w:rPr>
        <w:t>ATSS</w:t>
      </w:r>
      <w:r w:rsidR="006111A0">
        <w:t>.</w:t>
      </w:r>
      <w:r w:rsidR="006B4F43" w:rsidRPr="006E5C82">
        <w:rPr>
          <w:i/>
          <w:iCs/>
        </w:rPr>
        <w:t xml:space="preserve"> (</w:t>
      </w:r>
      <w:r w:rsidR="007C29B5" w:rsidRPr="006E5C82">
        <w:rPr>
          <w:i/>
          <w:iCs/>
        </w:rPr>
        <w:t>Track C</w:t>
      </w:r>
      <w:r w:rsidR="00CE70E4">
        <w:rPr>
          <w:i/>
          <w:iCs/>
        </w:rPr>
        <w:t xml:space="preserve">, </w:t>
      </w:r>
      <w:r w:rsidR="00CE70E4" w:rsidRPr="0003470B">
        <w:rPr>
          <w:i/>
        </w:rPr>
        <w:t>Exhibit B.2.1</w:t>
      </w:r>
      <w:r w:rsidR="00CE70E4">
        <w:rPr>
          <w:i/>
        </w:rPr>
        <w:t>c</w:t>
      </w:r>
      <w:r w:rsidR="007C29B5" w:rsidRPr="006E5C82">
        <w:rPr>
          <w:i/>
          <w:iCs/>
        </w:rPr>
        <w:t>)</w:t>
      </w:r>
      <w:r w:rsidR="00CE70E4">
        <w:rPr>
          <w:i/>
          <w:iCs/>
        </w:rPr>
        <w:t xml:space="preserve"> </w:t>
      </w:r>
      <w:r w:rsidR="007C29B5" w:rsidRPr="006E5C82">
        <w:rPr>
          <w:i/>
          <w:iCs/>
        </w:rPr>
        <w:t>—</w:t>
      </w:r>
      <w:r w:rsidRPr="00AA48FA">
        <w:t xml:space="preserve"> </w:t>
      </w:r>
      <w:r w:rsidR="008C2A6F">
        <w:t xml:space="preserve">This track will boost </w:t>
      </w:r>
      <w:r w:rsidR="000017EB">
        <w:t xml:space="preserve">the </w:t>
      </w:r>
      <w:r w:rsidR="008C2A6F">
        <w:t>total number of in-home biometrics visits, especially ones that include children aged 3-17 years. On this track, we</w:t>
      </w:r>
      <w:r>
        <w:t xml:space="preserve"> </w:t>
      </w:r>
      <w:r w:rsidR="00DA7FC5">
        <w:t>invite participation in</w:t>
      </w:r>
      <w:r>
        <w:t xml:space="preserve"> both</w:t>
      </w:r>
      <w:r w:rsidR="00D674E5">
        <w:t xml:space="preserve"> the</w:t>
      </w:r>
      <w:r>
        <w:t xml:space="preserve"> ATSS and </w:t>
      </w:r>
      <w:r w:rsidR="00D674E5">
        <w:t xml:space="preserve">the </w:t>
      </w:r>
      <w:r>
        <w:t xml:space="preserve">in-home visit </w:t>
      </w:r>
      <w:r w:rsidR="00DA7FC5">
        <w:t xml:space="preserve">and only start the ATSS if the selected </w:t>
      </w:r>
      <w:r w:rsidR="007F5C2B">
        <w:t xml:space="preserve">adult </w:t>
      </w:r>
      <w:r w:rsidR="00DA7FC5">
        <w:t>respondent expresses interest in both</w:t>
      </w:r>
      <w:r w:rsidR="007F3B27">
        <w:t xml:space="preserve">. </w:t>
      </w:r>
      <w:r w:rsidR="008C2A6F">
        <w:t xml:space="preserve">We also oversample for households containing children aged 3-17 years </w:t>
      </w:r>
      <w:r w:rsidR="007F5C2B">
        <w:t xml:space="preserve">and </w:t>
      </w:r>
      <w:r w:rsidR="00BA280B">
        <w:t xml:space="preserve">may </w:t>
      </w:r>
      <w:r w:rsidR="007F5C2B">
        <w:t>screen</w:t>
      </w:r>
      <w:r w:rsidR="008C2A6F">
        <w:t xml:space="preserve"> out some households lacking children.</w:t>
      </w:r>
    </w:p>
    <w:p w:rsidR="000B1472" w:rsidRDefault="000B1472" w:rsidP="004E2560">
      <w:pPr>
        <w:pStyle w:val="bullets-blank"/>
        <w:spacing w:line="240" w:lineRule="auto"/>
        <w:ind w:left="360" w:firstLine="0"/>
      </w:pPr>
    </w:p>
    <w:p w:rsidR="000B1472" w:rsidRDefault="007C29B5" w:rsidP="004E2560">
      <w:pPr>
        <w:numPr>
          <w:ilvl w:val="0"/>
          <w:numId w:val="29"/>
        </w:numPr>
        <w:spacing w:after="240"/>
        <w:ind w:left="720"/>
        <w:rPr>
          <w:szCs w:val="24"/>
        </w:rPr>
      </w:pPr>
      <w:r w:rsidRPr="006E5C82">
        <w:rPr>
          <w:i/>
          <w:iCs/>
          <w:szCs w:val="24"/>
        </w:rPr>
        <w:t xml:space="preserve">Standard Protocol </w:t>
      </w:r>
    </w:p>
    <w:p w:rsidR="000B1472" w:rsidRDefault="007C29B5" w:rsidP="004E2560">
      <w:pPr>
        <w:pStyle w:val="BodyText"/>
        <w:spacing w:line="240" w:lineRule="auto"/>
        <w:ind w:left="360"/>
      </w:pPr>
      <w:r w:rsidRPr="006E5C82">
        <w:t xml:space="preserve">In all 20 </w:t>
      </w:r>
      <w:r w:rsidR="00266B79">
        <w:t>a</w:t>
      </w:r>
      <w:r w:rsidRPr="006E5C82">
        <w:t xml:space="preserve">wardee </w:t>
      </w:r>
      <w:r w:rsidR="00266B79">
        <w:t>a</w:t>
      </w:r>
      <w:r w:rsidRPr="006E5C82">
        <w:t xml:space="preserve">reas, the </w:t>
      </w:r>
      <w:r w:rsidRPr="006E5C82">
        <w:rPr>
          <w:i/>
          <w:iCs/>
        </w:rPr>
        <w:t>Standard Protocol</w:t>
      </w:r>
      <w:r w:rsidRPr="006E5C82">
        <w:t xml:space="preserve"> will be followed to recruit most of the adult participants into the </w:t>
      </w:r>
      <w:r w:rsidR="006B4F43" w:rsidRPr="006E5C82">
        <w:t>study</w:t>
      </w:r>
      <w:r w:rsidRPr="006E5C82">
        <w:t>. Exhibit B</w:t>
      </w:r>
      <w:r w:rsidR="00266B79">
        <w:t>.</w:t>
      </w:r>
      <w:r w:rsidRPr="006E5C82">
        <w:t>2</w:t>
      </w:r>
      <w:r w:rsidR="00266B79">
        <w:t>.</w:t>
      </w:r>
      <w:r w:rsidRPr="006E5C82">
        <w:t xml:space="preserve">1a provides a visual depiction of the data collection flow for these </w:t>
      </w:r>
      <w:r w:rsidRPr="006E5C82">
        <w:rPr>
          <w:i/>
        </w:rPr>
        <w:t>Standard Protocol</w:t>
      </w:r>
      <w:r w:rsidRPr="006E5C82">
        <w:t xml:space="preserve"> </w:t>
      </w:r>
      <w:r w:rsidR="00266B79">
        <w:t>a</w:t>
      </w:r>
      <w:r w:rsidR="008C1FC0" w:rsidRPr="006E5C82">
        <w:t xml:space="preserve">wardee </w:t>
      </w:r>
      <w:r w:rsidR="00266B79">
        <w:t>a</w:t>
      </w:r>
      <w:r w:rsidR="008C1FC0" w:rsidRPr="006E5C82">
        <w:t>rea</w:t>
      </w:r>
      <w:r w:rsidRPr="006E5C82">
        <w:t xml:space="preserve">s. Track A-1 shows the progression of attempts to contact sample members whose first mailing includes a paper questionnaire </w:t>
      </w:r>
      <w:r w:rsidRPr="006E5C82">
        <w:lastRenderedPageBreak/>
        <w:t>(Attachments 11A2 and 11A2</w:t>
      </w:r>
      <w:r w:rsidR="00266B79">
        <w:t>-S</w:t>
      </w:r>
      <w:r w:rsidRPr="006E5C82">
        <w:t>). Track A-2 shows the progression of attempts to contact</w:t>
      </w:r>
      <w:r w:rsidRPr="006E5C82" w:rsidDel="002D099E">
        <w:t xml:space="preserve"> </w:t>
      </w:r>
      <w:r w:rsidRPr="006E5C82">
        <w:t>the sample members whose first mailing includes an invitation to complete the ATSS over the telephone (Attachments 11A and 11A</w:t>
      </w:r>
      <w:r w:rsidR="00266B79">
        <w:t>-S</w:t>
      </w:r>
      <w:r w:rsidRPr="006E5C82">
        <w:t xml:space="preserve">). The following explains the step-by-step process to be followed in recruiting households into the Targeted Surveillance and Biometric Study through initial contact with a sampled adult recruited into the </w:t>
      </w:r>
      <w:r w:rsidRPr="006E5C82">
        <w:rPr>
          <w:i/>
          <w:iCs/>
        </w:rPr>
        <w:t>Standard Protocol</w:t>
      </w:r>
      <w:r w:rsidRPr="006E5C82">
        <w:t>.</w:t>
      </w:r>
    </w:p>
    <w:p w:rsidR="000B1472" w:rsidRDefault="007C29B5" w:rsidP="004E2560">
      <w:pPr>
        <w:pStyle w:val="BodyText"/>
        <w:spacing w:line="240" w:lineRule="auto"/>
        <w:ind w:left="360"/>
      </w:pPr>
      <w:r w:rsidRPr="006E5C82">
        <w:rPr>
          <w:u w:val="single"/>
        </w:rPr>
        <w:t>First Contact Attempt</w:t>
      </w:r>
      <w:r w:rsidRPr="006E5C82">
        <w:t xml:space="preserve">. All selected addresses will be mailed a tailored letter (based on the </w:t>
      </w:r>
      <w:r w:rsidR="006B4F43" w:rsidRPr="006E5C82">
        <w:t xml:space="preserve">track to </w:t>
      </w:r>
      <w:r w:rsidRPr="006E5C82">
        <w:t xml:space="preserve">which they are assigned) introducing the study, inviting the household to participate, and giving the household the option of calling a toll-free number to either ask questions about the </w:t>
      </w:r>
      <w:r w:rsidR="006B4F43" w:rsidRPr="006E5C82">
        <w:t xml:space="preserve">study </w:t>
      </w:r>
      <w:r w:rsidRPr="006E5C82">
        <w:t xml:space="preserve">or complete the ATSS over the telephone. In this first mailing to households, all envelopes will also contain a $2 bill as a gift for helping with the screening process. </w:t>
      </w:r>
    </w:p>
    <w:p w:rsidR="000B1472" w:rsidRDefault="007C29B5" w:rsidP="004E2560">
      <w:pPr>
        <w:pStyle w:val="Bullet"/>
        <w:tabs>
          <w:tab w:val="clear" w:pos="1440"/>
          <w:tab w:val="num" w:pos="1080"/>
          <w:tab w:val="num" w:pos="4680"/>
        </w:tabs>
        <w:spacing w:line="240" w:lineRule="auto"/>
        <w:ind w:left="1800"/>
      </w:pPr>
      <w:r w:rsidRPr="006E5C82">
        <w:rPr>
          <w:b/>
          <w:bCs/>
        </w:rPr>
        <w:t>Paper Questionnaire Packets</w:t>
      </w:r>
      <w:r w:rsidR="00BD68FA" w:rsidRPr="006E5C82">
        <w:rPr>
          <w:b/>
          <w:bCs/>
        </w:rPr>
        <w:t>—</w:t>
      </w:r>
      <w:r w:rsidRPr="006E5C82">
        <w:rPr>
          <w:i/>
          <w:iCs/>
        </w:rPr>
        <w:t>Track A-1, Exhibit B</w:t>
      </w:r>
      <w:r w:rsidR="00266B79">
        <w:rPr>
          <w:i/>
          <w:iCs/>
        </w:rPr>
        <w:t>.</w:t>
      </w:r>
      <w:r w:rsidRPr="006E5C82">
        <w:rPr>
          <w:i/>
          <w:iCs/>
        </w:rPr>
        <w:t>2</w:t>
      </w:r>
      <w:r w:rsidR="00266B79">
        <w:rPr>
          <w:i/>
          <w:iCs/>
        </w:rPr>
        <w:t>.</w:t>
      </w:r>
      <w:r w:rsidRPr="006E5C82">
        <w:rPr>
          <w:i/>
          <w:iCs/>
        </w:rPr>
        <w:t>1a</w:t>
      </w:r>
      <w:r w:rsidRPr="006E5C82">
        <w:t xml:space="preserve">. Some households will receive packets with materials needed to participate on paper: </w:t>
      </w:r>
    </w:p>
    <w:p w:rsidR="000B1472" w:rsidRDefault="006B4F43" w:rsidP="004E2560">
      <w:pPr>
        <w:pStyle w:val="bullets-2ndlevel"/>
        <w:spacing w:line="240" w:lineRule="auto"/>
        <w:ind w:left="1800"/>
        <w:contextualSpacing/>
      </w:pPr>
      <w:r w:rsidRPr="006E5C82">
        <w:t xml:space="preserve">A </w:t>
      </w:r>
      <w:r w:rsidR="007C29B5" w:rsidRPr="006E5C82">
        <w:t>letter inviting participation using the enclosed questionnaire, in addition to offering the option of calling a toll-free number to participate (Attachment 11A2</w:t>
      </w:r>
      <w:r w:rsidRPr="006E5C82">
        <w:t>)</w:t>
      </w:r>
    </w:p>
    <w:p w:rsidR="000B1472" w:rsidRDefault="006B4F43" w:rsidP="004E2560">
      <w:pPr>
        <w:pStyle w:val="bullets-2ndlevel"/>
        <w:spacing w:line="240" w:lineRule="auto"/>
        <w:ind w:left="1800"/>
        <w:contextualSpacing/>
      </w:pPr>
      <w:r w:rsidRPr="006E5C82">
        <w:t xml:space="preserve">A </w:t>
      </w:r>
      <w:r w:rsidR="007C29B5" w:rsidRPr="006E5C82">
        <w:t>$2 bill</w:t>
      </w:r>
      <w:r w:rsidR="00367527">
        <w:t xml:space="preserve"> </w:t>
      </w:r>
    </w:p>
    <w:p w:rsidR="000B1472" w:rsidRDefault="006B4F43" w:rsidP="004E2560">
      <w:pPr>
        <w:pStyle w:val="bullets-2ndlevel"/>
        <w:spacing w:line="240" w:lineRule="auto"/>
        <w:ind w:left="1800"/>
        <w:contextualSpacing/>
      </w:pPr>
      <w:r w:rsidRPr="006E5C82">
        <w:t xml:space="preserve">A </w:t>
      </w:r>
      <w:r w:rsidR="007C29B5" w:rsidRPr="006E5C82">
        <w:t>printed questionnaire (Attachment 7A</w:t>
      </w:r>
      <w:r w:rsidRPr="006E5C82">
        <w:t>)</w:t>
      </w:r>
    </w:p>
    <w:p w:rsidR="000B1472" w:rsidRDefault="006B4F43" w:rsidP="004E2560">
      <w:pPr>
        <w:pStyle w:val="bullets-2ndlevel"/>
        <w:spacing w:line="240" w:lineRule="auto"/>
        <w:ind w:left="1800"/>
        <w:contextualSpacing/>
      </w:pPr>
      <w:r w:rsidRPr="006E5C82">
        <w:t xml:space="preserve">A </w:t>
      </w:r>
      <w:r w:rsidR="007C29B5" w:rsidRPr="006E5C82">
        <w:t>frequently asked questions pamphlet (Attachment 7B</w:t>
      </w:r>
      <w:r w:rsidRPr="006E5C82">
        <w:t>)</w:t>
      </w:r>
    </w:p>
    <w:p w:rsidR="000B1472" w:rsidRDefault="006B4F43" w:rsidP="004E2560">
      <w:pPr>
        <w:pStyle w:val="bullets-2ndlevel"/>
        <w:spacing w:line="240" w:lineRule="auto"/>
        <w:ind w:left="1800"/>
        <w:contextualSpacing/>
      </w:pPr>
      <w:r w:rsidRPr="006E5C82">
        <w:t>Thank-</w:t>
      </w:r>
      <w:r w:rsidR="007C29B5" w:rsidRPr="006E5C82">
        <w:t>you gift information form (Attachment 8A</w:t>
      </w:r>
      <w:r w:rsidRPr="006E5C82">
        <w:t>)</w:t>
      </w:r>
    </w:p>
    <w:p w:rsidR="000B1472" w:rsidRDefault="006B4F43" w:rsidP="004E2560">
      <w:pPr>
        <w:pStyle w:val="bullets-2ndlevel"/>
        <w:spacing w:line="240" w:lineRule="auto"/>
        <w:ind w:left="1800"/>
        <w:contextualSpacing/>
      </w:pPr>
      <w:r w:rsidRPr="006E5C82">
        <w:t xml:space="preserve">Postage </w:t>
      </w:r>
      <w:r w:rsidR="007C29B5" w:rsidRPr="006E5C82">
        <w:t>prepaid return envelopes</w:t>
      </w:r>
    </w:p>
    <w:p w:rsidR="000B1472" w:rsidRDefault="006B4F43" w:rsidP="004E2560">
      <w:pPr>
        <w:pStyle w:val="bullets-2ndlevel"/>
        <w:spacing w:line="240" w:lineRule="auto"/>
        <w:ind w:left="1800"/>
        <w:contextualSpacing/>
      </w:pPr>
      <w:r w:rsidRPr="006E5C82">
        <w:t xml:space="preserve">For </w:t>
      </w:r>
      <w:r w:rsidR="007C29B5" w:rsidRPr="006E5C82">
        <w:t xml:space="preserve">households in the </w:t>
      </w:r>
      <w:r w:rsidR="007C29B5" w:rsidRPr="006E5C82">
        <w:rPr>
          <w:i/>
          <w:iCs/>
        </w:rPr>
        <w:t>Enhanced Protocol</w:t>
      </w:r>
      <w:r w:rsidR="007C29B5" w:rsidRPr="006E5C82">
        <w:t xml:space="preserve"> </w:t>
      </w:r>
      <w:r w:rsidR="00266B79">
        <w:t>a</w:t>
      </w:r>
      <w:r w:rsidR="008C1FC0" w:rsidRPr="006E5C82">
        <w:t xml:space="preserve">wardee </w:t>
      </w:r>
      <w:r w:rsidR="00266B79">
        <w:t>a</w:t>
      </w:r>
      <w:r w:rsidR="008C1FC0" w:rsidRPr="006E5C82">
        <w:t>rea</w:t>
      </w:r>
      <w:r w:rsidR="007C29B5" w:rsidRPr="006E5C82">
        <w:t xml:space="preserve">s, a </w:t>
      </w:r>
      <w:r w:rsidR="00266B79">
        <w:t>recruitment flyer</w:t>
      </w:r>
      <w:r w:rsidR="00266B79" w:rsidRPr="006E5C82">
        <w:t xml:space="preserve"> </w:t>
      </w:r>
      <w:r w:rsidR="007C29B5" w:rsidRPr="006E5C82">
        <w:t xml:space="preserve">inviting them to call in about completing the </w:t>
      </w:r>
      <w:r w:rsidR="007C29B5" w:rsidRPr="006E5C82">
        <w:rPr>
          <w:i/>
          <w:iCs/>
        </w:rPr>
        <w:t>Enhanced Protocol</w:t>
      </w:r>
      <w:r w:rsidR="007C29B5" w:rsidRPr="006E5C82">
        <w:t xml:space="preserve"> in a home-visit (Track A-1 and A-2; Attachment 10B</w:t>
      </w:r>
      <w:r w:rsidRPr="006E5C82">
        <w:t>)</w:t>
      </w:r>
    </w:p>
    <w:p w:rsidR="000B1472" w:rsidRDefault="006B4F43" w:rsidP="004E2560">
      <w:pPr>
        <w:pStyle w:val="bullets-2ndlevel"/>
        <w:spacing w:line="240" w:lineRule="auto"/>
        <w:ind w:left="1800"/>
        <w:contextualSpacing/>
      </w:pPr>
      <w:r w:rsidRPr="006E5C82">
        <w:t xml:space="preserve">For </w:t>
      </w:r>
      <w:r w:rsidR="007C29B5" w:rsidRPr="006E5C82">
        <w:t xml:space="preserve">households with a Spanish surname or located in a </w:t>
      </w:r>
      <w:r w:rsidRPr="006E5C82">
        <w:t>high-</w:t>
      </w:r>
      <w:r w:rsidR="007C29B5" w:rsidRPr="006E5C82">
        <w:t>density Hispanic area, Spanish version</w:t>
      </w:r>
      <w:r w:rsidRPr="006E5C82">
        <w:t>s</w:t>
      </w:r>
      <w:r w:rsidR="007C29B5" w:rsidRPr="006E5C82">
        <w:t xml:space="preserve"> of the materials will be enclosed (Attachments 11A2</w:t>
      </w:r>
      <w:r w:rsidR="00266B79">
        <w:t>-S</w:t>
      </w:r>
      <w:r w:rsidR="007C29B5" w:rsidRPr="006E5C82">
        <w:t>, 7A</w:t>
      </w:r>
      <w:r w:rsidR="00266B79">
        <w:t>-S</w:t>
      </w:r>
      <w:r w:rsidR="007C29B5" w:rsidRPr="006E5C82">
        <w:t>, 7B</w:t>
      </w:r>
      <w:r w:rsidR="00266B79">
        <w:t>-S</w:t>
      </w:r>
      <w:r w:rsidR="007C29B5" w:rsidRPr="006E5C82">
        <w:t>, 8A</w:t>
      </w:r>
      <w:r w:rsidR="00266B79">
        <w:t>-S</w:t>
      </w:r>
      <w:r w:rsidR="007C29B5" w:rsidRPr="006E5C82">
        <w:t>, 10B</w:t>
      </w:r>
      <w:r w:rsidR="00266B79">
        <w:t>-S</w:t>
      </w:r>
      <w:r w:rsidR="007C29B5" w:rsidRPr="006E5C82">
        <w:t>)</w:t>
      </w:r>
    </w:p>
    <w:p w:rsidR="000B1472" w:rsidRDefault="007C29B5" w:rsidP="004E2560">
      <w:pPr>
        <w:pStyle w:val="Bullet"/>
        <w:tabs>
          <w:tab w:val="clear" w:pos="1440"/>
          <w:tab w:val="num" w:pos="1080"/>
          <w:tab w:val="num" w:pos="3960"/>
        </w:tabs>
        <w:spacing w:line="240" w:lineRule="auto"/>
        <w:ind w:left="1800"/>
      </w:pPr>
      <w:r w:rsidRPr="006E5C82">
        <w:rPr>
          <w:b/>
          <w:bCs/>
        </w:rPr>
        <w:t>Telephone Lead Letter Packets</w:t>
      </w:r>
      <w:r w:rsidR="00BD68FA" w:rsidRPr="006E5C82">
        <w:rPr>
          <w:b/>
          <w:bCs/>
        </w:rPr>
        <w:t>—</w:t>
      </w:r>
      <w:r w:rsidRPr="006E5C82">
        <w:rPr>
          <w:i/>
          <w:iCs/>
        </w:rPr>
        <w:t>Track A-2, Exhibit B</w:t>
      </w:r>
      <w:r w:rsidR="00266B79">
        <w:rPr>
          <w:i/>
          <w:iCs/>
        </w:rPr>
        <w:t>.</w:t>
      </w:r>
      <w:r w:rsidRPr="006E5C82">
        <w:rPr>
          <w:i/>
          <w:iCs/>
        </w:rPr>
        <w:t>2</w:t>
      </w:r>
      <w:r w:rsidR="00266B79">
        <w:rPr>
          <w:i/>
          <w:iCs/>
        </w:rPr>
        <w:t>.</w:t>
      </w:r>
      <w:r w:rsidRPr="006E5C82">
        <w:rPr>
          <w:i/>
          <w:iCs/>
        </w:rPr>
        <w:t>1a.</w:t>
      </w:r>
      <w:r w:rsidRPr="006E5C82">
        <w:rPr>
          <w:b/>
          <w:bCs/>
        </w:rPr>
        <w:t xml:space="preserve"> </w:t>
      </w:r>
      <w:r w:rsidR="00D674E5" w:rsidRPr="006E5C82">
        <w:t xml:space="preserve">Some households will receive packets </w:t>
      </w:r>
      <w:r w:rsidR="00D674E5">
        <w:t>focusing on participation by telephone</w:t>
      </w:r>
      <w:r w:rsidR="00D674E5" w:rsidRPr="006E5C82">
        <w:t>:</w:t>
      </w:r>
    </w:p>
    <w:p w:rsidR="000B1472" w:rsidRDefault="007C29B5" w:rsidP="004E2560">
      <w:pPr>
        <w:pStyle w:val="bullets-2ndlevel"/>
        <w:spacing w:line="240" w:lineRule="auto"/>
        <w:ind w:left="1800"/>
        <w:contextualSpacing/>
      </w:pPr>
      <w:r w:rsidRPr="006E5C82">
        <w:t>A letter</w:t>
      </w:r>
      <w:r w:rsidR="003D7EA6">
        <w:t xml:space="preserve"> that</w:t>
      </w:r>
      <w:r w:rsidR="003D7EA6" w:rsidRPr="006E5C82">
        <w:t xml:space="preserve"> focus</w:t>
      </w:r>
      <w:r w:rsidR="003D7EA6">
        <w:t>e</w:t>
      </w:r>
      <w:r w:rsidR="00BA280B">
        <w:t>s</w:t>
      </w:r>
      <w:r w:rsidR="003D7EA6" w:rsidRPr="006E5C82">
        <w:t xml:space="preserve"> only on details of participation by telephone (Attachment 11A).</w:t>
      </w:r>
    </w:p>
    <w:p w:rsidR="000B1472" w:rsidRDefault="006B4F43" w:rsidP="004E2560">
      <w:pPr>
        <w:pStyle w:val="bullets-2ndlevel"/>
        <w:spacing w:line="240" w:lineRule="auto"/>
        <w:ind w:left="1800"/>
        <w:contextualSpacing/>
      </w:pPr>
      <w:r w:rsidRPr="006E5C82">
        <w:t xml:space="preserve">A </w:t>
      </w:r>
      <w:r w:rsidR="007C29B5" w:rsidRPr="006E5C82">
        <w:t>$2 bill</w:t>
      </w:r>
    </w:p>
    <w:p w:rsidR="000B1472" w:rsidRDefault="006B4F43" w:rsidP="004E2560">
      <w:pPr>
        <w:pStyle w:val="bullets-2ndlevel"/>
        <w:spacing w:line="240" w:lineRule="auto"/>
        <w:ind w:left="1800"/>
      </w:pPr>
      <w:r w:rsidRPr="006E5C82">
        <w:t xml:space="preserve">For </w:t>
      </w:r>
      <w:r w:rsidR="007C29B5" w:rsidRPr="006E5C82">
        <w:t xml:space="preserve">households with a Spanish surname or located in a </w:t>
      </w:r>
      <w:r w:rsidRPr="006E5C82">
        <w:t>high-</w:t>
      </w:r>
      <w:r w:rsidR="007C29B5" w:rsidRPr="006E5C82">
        <w:t>density Hispanic area, Spanish version</w:t>
      </w:r>
      <w:r w:rsidRPr="006E5C82">
        <w:t>s</w:t>
      </w:r>
      <w:r w:rsidR="007C29B5" w:rsidRPr="006E5C82">
        <w:t xml:space="preserve"> of the letters will also be enclosed (Attachments 11A</w:t>
      </w:r>
      <w:r w:rsidR="00AB1ACE">
        <w:t>-S</w:t>
      </w:r>
      <w:r w:rsidR="007C29B5" w:rsidRPr="006E5C82">
        <w:t xml:space="preserve"> and 11A1</w:t>
      </w:r>
      <w:r w:rsidR="00266B79">
        <w:t>-S</w:t>
      </w:r>
      <w:r w:rsidR="007C29B5" w:rsidRPr="006E5C82">
        <w:t>)</w:t>
      </w:r>
    </w:p>
    <w:p w:rsidR="000B1472" w:rsidRDefault="007C29B5" w:rsidP="004E2560">
      <w:pPr>
        <w:pStyle w:val="BodyText"/>
        <w:spacing w:line="240" w:lineRule="auto"/>
        <w:ind w:left="360"/>
      </w:pPr>
      <w:r w:rsidRPr="006E5C82">
        <w:t xml:space="preserve">We estimate that around 92% of the </w:t>
      </w:r>
      <w:r w:rsidR="006B4F43" w:rsidRPr="006E5C82">
        <w:t>first-</w:t>
      </w:r>
      <w:r w:rsidRPr="006E5C82">
        <w:t xml:space="preserve">class mailings will be delivered successfully. </w:t>
      </w:r>
    </w:p>
    <w:p w:rsidR="000B1472" w:rsidRDefault="007A0643" w:rsidP="004E2560">
      <w:pPr>
        <w:ind w:left="360"/>
        <w:rPr>
          <w:u w:val="single"/>
        </w:rPr>
      </w:pPr>
      <w:r>
        <w:rPr>
          <w:u w:val="single"/>
        </w:rPr>
        <w:t xml:space="preserve">Intermediate Contact Attempts. </w:t>
      </w:r>
    </w:p>
    <w:p w:rsidR="000B1472" w:rsidRDefault="000B1472" w:rsidP="004E2560">
      <w:pPr>
        <w:ind w:left="360"/>
        <w:rPr>
          <w:u w:val="single"/>
        </w:rPr>
      </w:pPr>
    </w:p>
    <w:p w:rsidR="000B1472" w:rsidRPr="00C57C6E" w:rsidRDefault="00C57C6E" w:rsidP="004E2560">
      <w:pPr>
        <w:ind w:left="1080"/>
        <w:rPr>
          <w:b/>
          <w:iCs/>
          <w:szCs w:val="24"/>
        </w:rPr>
      </w:pPr>
      <w:r w:rsidRPr="00C57C6E">
        <w:rPr>
          <w:b/>
          <w:iCs/>
          <w:szCs w:val="24"/>
        </w:rPr>
        <w:t xml:space="preserve">Mail — </w:t>
      </w:r>
      <w:r w:rsidR="00B05265" w:rsidRPr="00C57C6E">
        <w:rPr>
          <w:b/>
          <w:iCs/>
          <w:szCs w:val="24"/>
        </w:rPr>
        <w:t>Track A-1</w:t>
      </w:r>
    </w:p>
    <w:p w:rsidR="000B1472" w:rsidRDefault="000B1472" w:rsidP="004E2560">
      <w:pPr>
        <w:ind w:left="1080"/>
        <w:rPr>
          <w:b/>
          <w:i/>
          <w:iCs/>
          <w:szCs w:val="24"/>
        </w:rPr>
      </w:pPr>
    </w:p>
    <w:p w:rsidR="000B1472" w:rsidRDefault="00B05265" w:rsidP="004E2560">
      <w:pPr>
        <w:pStyle w:val="Bullet"/>
        <w:tabs>
          <w:tab w:val="clear" w:pos="1440"/>
          <w:tab w:val="num" w:pos="1080"/>
          <w:tab w:val="num" w:pos="3960"/>
        </w:tabs>
        <w:spacing w:line="240" w:lineRule="auto"/>
        <w:ind w:left="1800"/>
        <w:rPr>
          <w:bCs/>
        </w:rPr>
      </w:pPr>
      <w:r w:rsidRPr="00B05265">
        <w:rPr>
          <w:b/>
          <w:bCs/>
        </w:rPr>
        <w:lastRenderedPageBreak/>
        <w:t xml:space="preserve">Postcards. </w:t>
      </w:r>
      <w:r w:rsidR="007C29B5" w:rsidRPr="007A0643">
        <w:rPr>
          <w:bCs/>
        </w:rPr>
        <w:t>All addresses that were sent a paper questionnaire packet (Track A-1 in Exhibit B</w:t>
      </w:r>
      <w:r w:rsidR="00266B79" w:rsidRPr="007A0643">
        <w:rPr>
          <w:bCs/>
        </w:rPr>
        <w:t>.</w:t>
      </w:r>
      <w:r w:rsidR="007C29B5" w:rsidRPr="007A0643">
        <w:rPr>
          <w:bCs/>
        </w:rPr>
        <w:t>2</w:t>
      </w:r>
      <w:r w:rsidR="00266B79" w:rsidRPr="007A0643">
        <w:rPr>
          <w:bCs/>
        </w:rPr>
        <w:t>.</w:t>
      </w:r>
      <w:r w:rsidR="007C29B5" w:rsidRPr="007A0643">
        <w:rPr>
          <w:bCs/>
        </w:rPr>
        <w:t xml:space="preserve">1a) will also be sent a reminder postcard (Attachment 11B). All postcards sent will have a line in Spanish, letting Spanish-speakers know that Spanish-speaking staff members are available to receive their calls, but no Spanish-only postcards will be sent. The postcard will reiterate the initial invitation to respond via mail or by calling a toll-free number to complete the ATSS via CATI. </w:t>
      </w:r>
    </w:p>
    <w:p w:rsidR="000B1472" w:rsidRDefault="00B05265" w:rsidP="004E2560">
      <w:pPr>
        <w:pStyle w:val="Bullet"/>
        <w:tabs>
          <w:tab w:val="clear" w:pos="1440"/>
          <w:tab w:val="num" w:pos="1080"/>
          <w:tab w:val="num" w:pos="3960"/>
        </w:tabs>
        <w:spacing w:line="240" w:lineRule="auto"/>
        <w:ind w:left="1800"/>
        <w:rPr>
          <w:bCs/>
        </w:rPr>
      </w:pPr>
      <w:r w:rsidRPr="00B05265">
        <w:rPr>
          <w:b/>
          <w:bCs/>
        </w:rPr>
        <w:t>Second Paper Questionnaire Packet</w:t>
      </w:r>
      <w:r w:rsidR="007A0643">
        <w:rPr>
          <w:b/>
          <w:bCs/>
        </w:rPr>
        <w:t>s</w:t>
      </w:r>
      <w:r w:rsidRPr="00B05265">
        <w:rPr>
          <w:b/>
          <w:bCs/>
        </w:rPr>
        <w:t xml:space="preserve">. </w:t>
      </w:r>
      <w:r w:rsidR="007C29B5" w:rsidRPr="007A0643">
        <w:rPr>
          <w:bCs/>
        </w:rPr>
        <w:t xml:space="preserve">Approximately 4 weeks after an initial paper questionnaire has been sent (Track A-1), a list of nonrespondents will be generated. All </w:t>
      </w:r>
      <w:r w:rsidR="00367527" w:rsidRPr="007A0643">
        <w:rPr>
          <w:bCs/>
        </w:rPr>
        <w:t xml:space="preserve">deliverable </w:t>
      </w:r>
      <w:r w:rsidR="007C29B5" w:rsidRPr="007A0643">
        <w:rPr>
          <w:bCs/>
        </w:rPr>
        <w:t>addresses on this list will be sent a second questionnaire packet that is the same as the first, with the exception of slightly altered wording in the cover letters (Attachments 11A4 and 11A4</w:t>
      </w:r>
      <w:r w:rsidR="00266B79" w:rsidRPr="007A0643">
        <w:rPr>
          <w:bCs/>
        </w:rPr>
        <w:t>-S</w:t>
      </w:r>
      <w:r w:rsidR="007C29B5" w:rsidRPr="007A0643">
        <w:rPr>
          <w:bCs/>
        </w:rPr>
        <w:t>) and lack of a $2 bill. The $2 gift is not planned for enclosure in this mailing because a $2 bill will have already been sent to these households in the initial mailing.</w:t>
      </w:r>
    </w:p>
    <w:p w:rsidR="000B1472" w:rsidRDefault="00B05265" w:rsidP="004E2560">
      <w:pPr>
        <w:spacing w:after="240"/>
        <w:ind w:left="1080"/>
        <w:rPr>
          <w:b/>
          <w:iCs/>
          <w:szCs w:val="24"/>
        </w:rPr>
      </w:pPr>
      <w:r w:rsidRPr="00B05265">
        <w:rPr>
          <w:b/>
          <w:iCs/>
          <w:szCs w:val="24"/>
        </w:rPr>
        <w:t xml:space="preserve">Telephone </w:t>
      </w:r>
      <w:r w:rsidR="007A0643" w:rsidRPr="007A0643">
        <w:rPr>
          <w:b/>
        </w:rPr>
        <w:t>—</w:t>
      </w:r>
      <w:r w:rsidRPr="00B05265">
        <w:rPr>
          <w:b/>
          <w:iCs/>
          <w:szCs w:val="24"/>
        </w:rPr>
        <w:t xml:space="preserve"> Track A-2</w:t>
      </w:r>
    </w:p>
    <w:p w:rsidR="000B1472" w:rsidRDefault="00B05265" w:rsidP="004E2560">
      <w:pPr>
        <w:pStyle w:val="Bullet"/>
        <w:tabs>
          <w:tab w:val="clear" w:pos="1440"/>
          <w:tab w:val="num" w:pos="1080"/>
          <w:tab w:val="num" w:pos="3960"/>
        </w:tabs>
        <w:spacing w:line="240" w:lineRule="auto"/>
        <w:ind w:left="1800"/>
        <w:rPr>
          <w:bCs/>
        </w:rPr>
      </w:pPr>
      <w:r w:rsidRPr="00B05265">
        <w:rPr>
          <w:b/>
          <w:bCs/>
        </w:rPr>
        <w:t xml:space="preserve">Telephone </w:t>
      </w:r>
      <w:r w:rsidR="00380499">
        <w:rPr>
          <w:b/>
          <w:bCs/>
        </w:rPr>
        <w:t>Call-outs</w:t>
      </w:r>
      <w:r w:rsidRPr="00B05265">
        <w:rPr>
          <w:b/>
          <w:bCs/>
        </w:rPr>
        <w:t xml:space="preserve">. </w:t>
      </w:r>
      <w:r w:rsidR="007C29B5" w:rsidRPr="007A0643">
        <w:rPr>
          <w:bCs/>
        </w:rPr>
        <w:t>For selected telephone-matched addresses, interviewers will attempt to contact the household by telephone, select an adult</w:t>
      </w:r>
      <w:r w:rsidR="006B4F43" w:rsidRPr="007A0643">
        <w:rPr>
          <w:bCs/>
        </w:rPr>
        <w:t xml:space="preserve"> respondent</w:t>
      </w:r>
      <w:r w:rsidR="007C29B5" w:rsidRPr="007A0643">
        <w:rPr>
          <w:bCs/>
        </w:rPr>
        <w:t xml:space="preserve">, and then complete the ATSS by CATI (Attachment 7C). During telephone contacts, connection of the telephone number with the sampled address will be verified. If the telephone number listed for a case does not belong to anyone living at the sampled address, the telephone number will not be called again. </w:t>
      </w:r>
    </w:p>
    <w:p w:rsidR="000B1472" w:rsidRDefault="00B05265" w:rsidP="004E2560">
      <w:pPr>
        <w:pStyle w:val="Bullet"/>
        <w:tabs>
          <w:tab w:val="clear" w:pos="1440"/>
          <w:tab w:val="num" w:pos="1080"/>
          <w:tab w:val="num" w:pos="3960"/>
        </w:tabs>
        <w:spacing w:line="240" w:lineRule="auto"/>
        <w:ind w:left="1800"/>
        <w:rPr>
          <w:bCs/>
        </w:rPr>
      </w:pPr>
      <w:r w:rsidRPr="00B05265">
        <w:rPr>
          <w:b/>
          <w:bCs/>
        </w:rPr>
        <w:t xml:space="preserve">Paper Questionnaire </w:t>
      </w:r>
      <w:r w:rsidR="007A0643">
        <w:rPr>
          <w:b/>
          <w:bCs/>
        </w:rPr>
        <w:t>Packets</w:t>
      </w:r>
      <w:r w:rsidRPr="00B05265">
        <w:rPr>
          <w:b/>
          <w:bCs/>
        </w:rPr>
        <w:t xml:space="preserve"> for Telephone Noncontacts</w:t>
      </w:r>
      <w:r w:rsidR="007C29B5" w:rsidRPr="007A0643">
        <w:rPr>
          <w:bCs/>
        </w:rPr>
        <w:t>. If a telephone number is invalid for a sampled address, or if eight call attempts fail to result in a contact, up to two paper questionnaire packets will be sent to the sampled address. These paper questionnaire packets will contain the same materials sent to households never attempted by telephone, except that the first packet will not contain $2 or make reference to it in either its English or Spanish cover letter (Attachments 11A3, 11A3</w:t>
      </w:r>
      <w:r w:rsidR="00553F67" w:rsidRPr="007A0643">
        <w:rPr>
          <w:bCs/>
        </w:rPr>
        <w:t>-S</w:t>
      </w:r>
      <w:r w:rsidR="007C29B5" w:rsidRPr="007A0643">
        <w:rPr>
          <w:bCs/>
        </w:rPr>
        <w:t xml:space="preserve">), because a $2 bill was already sent to the household with the telephone lead letter. </w:t>
      </w:r>
    </w:p>
    <w:p w:rsidR="007A0643" w:rsidRDefault="007A0643" w:rsidP="004E2560">
      <w:pPr>
        <w:pStyle w:val="BodyText"/>
        <w:spacing w:line="240" w:lineRule="auto"/>
        <w:ind w:left="360"/>
      </w:pPr>
      <w:r w:rsidRPr="006E5C82">
        <w:rPr>
          <w:u w:val="single"/>
        </w:rPr>
        <w:t>Final Contact</w:t>
      </w:r>
      <w:r w:rsidRPr="006E5C82">
        <w:t>—In addition to receiving a packet in the mail at the start of the study, each participant will receive a final mailing that includes</w:t>
      </w:r>
      <w:r>
        <w:t xml:space="preserve"> a</w:t>
      </w:r>
      <w:r w:rsidR="0038478E">
        <w:t xml:space="preserve"> gift for their time </w:t>
      </w:r>
      <w:r w:rsidRPr="006E5C82">
        <w:t>(Attachments 8B and 8B</w:t>
      </w:r>
      <w:r>
        <w:t>-S</w:t>
      </w:r>
      <w:r w:rsidRPr="006E5C82">
        <w:t xml:space="preserve">). </w:t>
      </w:r>
    </w:p>
    <w:p w:rsidR="000B1472" w:rsidRDefault="00367527" w:rsidP="004E2560">
      <w:pPr>
        <w:numPr>
          <w:ilvl w:val="0"/>
          <w:numId w:val="29"/>
        </w:numPr>
        <w:spacing w:after="240"/>
        <w:ind w:left="720"/>
        <w:rPr>
          <w:i/>
          <w:iCs/>
          <w:szCs w:val="24"/>
        </w:rPr>
      </w:pPr>
      <w:r>
        <w:rPr>
          <w:i/>
          <w:iCs/>
          <w:szCs w:val="24"/>
        </w:rPr>
        <w:t xml:space="preserve">Enhanced Protocol. </w:t>
      </w:r>
    </w:p>
    <w:p w:rsidR="00FF7EF9" w:rsidRDefault="00FF7EF9" w:rsidP="004E2560">
      <w:pPr>
        <w:pStyle w:val="BodyText"/>
        <w:spacing w:line="240" w:lineRule="auto"/>
        <w:ind w:left="360"/>
      </w:pPr>
      <w:r>
        <w:rPr>
          <w:b/>
          <w:iCs/>
        </w:rPr>
        <w:t>I</w:t>
      </w:r>
      <w:r w:rsidRPr="0003470B">
        <w:rPr>
          <w:b/>
          <w:iCs/>
        </w:rPr>
        <w:t xml:space="preserve">nvitation </w:t>
      </w:r>
      <w:r>
        <w:rPr>
          <w:b/>
          <w:iCs/>
          <w:u w:val="single"/>
        </w:rPr>
        <w:t>A</w:t>
      </w:r>
      <w:r w:rsidRPr="0003470B">
        <w:rPr>
          <w:b/>
          <w:iCs/>
          <w:u w:val="single"/>
        </w:rPr>
        <w:t>fter</w:t>
      </w:r>
      <w:r w:rsidRPr="0003470B">
        <w:rPr>
          <w:b/>
          <w:iCs/>
        </w:rPr>
        <w:t xml:space="preserve"> ATSS</w:t>
      </w:r>
      <w:r>
        <w:rPr>
          <w:b/>
          <w:iCs/>
        </w:rPr>
        <w:t>.</w:t>
      </w:r>
      <w:r w:rsidRPr="0003470B">
        <w:rPr>
          <w:b/>
          <w:i/>
          <w:iCs/>
        </w:rPr>
        <w:t xml:space="preserve"> </w:t>
      </w:r>
      <w:r w:rsidRPr="006E5C82">
        <w:rPr>
          <w:i/>
          <w:iCs/>
        </w:rPr>
        <w:t>(Track B</w:t>
      </w:r>
      <w:r>
        <w:rPr>
          <w:i/>
          <w:iCs/>
        </w:rPr>
        <w:t xml:space="preserve">, </w:t>
      </w:r>
      <w:r w:rsidRPr="0003470B">
        <w:rPr>
          <w:i/>
        </w:rPr>
        <w:t>Exhibit B.2.1b</w:t>
      </w:r>
      <w:r>
        <w:t xml:space="preserve">) </w:t>
      </w:r>
    </w:p>
    <w:p w:rsidR="00AB1ACE" w:rsidRDefault="007C29B5" w:rsidP="004E2560">
      <w:pPr>
        <w:pStyle w:val="BodyText"/>
        <w:spacing w:line="240" w:lineRule="auto"/>
        <w:ind w:left="360"/>
      </w:pPr>
      <w:r w:rsidRPr="006E5C82">
        <w:t xml:space="preserve">In the eight CTG </w:t>
      </w:r>
      <w:r w:rsidR="00EA00AF">
        <w:t>a</w:t>
      </w:r>
      <w:r w:rsidRPr="006E5C82">
        <w:t xml:space="preserve">wardee </w:t>
      </w:r>
      <w:r w:rsidR="00EA00AF">
        <w:t>a</w:t>
      </w:r>
      <w:r w:rsidRPr="006E5C82">
        <w:t xml:space="preserve">reas selected for collection of the </w:t>
      </w:r>
      <w:r w:rsidRPr="006E5C82">
        <w:rPr>
          <w:i/>
          <w:iCs/>
        </w:rPr>
        <w:t>Enhanced Protocol</w:t>
      </w:r>
      <w:r w:rsidRPr="006E5C82">
        <w:t xml:space="preserve">, adults who complete the ATSS will be invited to participate in the </w:t>
      </w:r>
      <w:r w:rsidRPr="006E5C82">
        <w:rPr>
          <w:i/>
          <w:iCs/>
        </w:rPr>
        <w:t>Enhanced Protocol</w:t>
      </w:r>
      <w:r w:rsidRPr="006E5C82">
        <w:t xml:space="preserve"> over the telephone (Attachments 10A and 10A</w:t>
      </w:r>
      <w:r w:rsidR="00553F67">
        <w:t>-S</w:t>
      </w:r>
      <w:r w:rsidRPr="006E5C82">
        <w:t>) or via a pamphlet (Attachments 10B and 10B</w:t>
      </w:r>
      <w:r w:rsidR="00553F67">
        <w:t>-S</w:t>
      </w:r>
      <w:r w:rsidRPr="006E5C82">
        <w:t xml:space="preserve">) inserted in the </w:t>
      </w:r>
      <w:r w:rsidR="00E361AB">
        <w:t>paper questionnaire packets</w:t>
      </w:r>
      <w:r w:rsidRPr="006E5C82">
        <w:t xml:space="preserve"> described </w:t>
      </w:r>
      <w:r w:rsidR="00653EF3" w:rsidRPr="006E5C82">
        <w:t xml:space="preserve">previously </w:t>
      </w:r>
      <w:r w:rsidRPr="006E5C82">
        <w:t xml:space="preserve">(Track B). If they agree to participate, the telephone interviewer (TI) will schedule a time for an in-home visit for the additional </w:t>
      </w:r>
      <w:r w:rsidRPr="006E5C82">
        <w:lastRenderedPageBreak/>
        <w:t xml:space="preserve">data collection by a field interviewer (FI). If the respondent resides with at least one child aged 3–17 years, the child’s parent or guardian will also be asked to grant permission for the child’s participation in the </w:t>
      </w:r>
      <w:r w:rsidRPr="006E5C82">
        <w:rPr>
          <w:i/>
          <w:iCs/>
        </w:rPr>
        <w:t xml:space="preserve">Enhanced Protocol </w:t>
      </w:r>
      <w:r w:rsidRPr="006E5C82">
        <w:t>(Attachments 10A and 10A</w:t>
      </w:r>
      <w:r w:rsidR="00553F67">
        <w:t>-S</w:t>
      </w:r>
      <w:r w:rsidRPr="006E5C82">
        <w:t xml:space="preserve">). The scheduled appointment will be confirmed by the FI through a reminder call prior to visiting the home. </w:t>
      </w:r>
    </w:p>
    <w:p w:rsidR="000B1472" w:rsidRDefault="00FF7EF9" w:rsidP="004E2560">
      <w:pPr>
        <w:spacing w:after="240"/>
        <w:ind w:left="360"/>
        <w:rPr>
          <w:iCs/>
          <w:szCs w:val="24"/>
          <w:u w:val="single"/>
        </w:rPr>
      </w:pPr>
      <w:r>
        <w:rPr>
          <w:b/>
          <w:iCs/>
        </w:rPr>
        <w:t>I</w:t>
      </w:r>
      <w:r w:rsidRPr="0003470B">
        <w:rPr>
          <w:b/>
        </w:rPr>
        <w:t xml:space="preserve">nvitation </w:t>
      </w:r>
      <w:r>
        <w:rPr>
          <w:b/>
          <w:u w:val="single"/>
        </w:rPr>
        <w:t>B</w:t>
      </w:r>
      <w:r w:rsidRPr="0003470B">
        <w:rPr>
          <w:b/>
          <w:u w:val="single"/>
        </w:rPr>
        <w:t>efore</w:t>
      </w:r>
      <w:r w:rsidRPr="0003470B">
        <w:rPr>
          <w:b/>
        </w:rPr>
        <w:t xml:space="preserve"> </w:t>
      </w:r>
      <w:r w:rsidRPr="0003470B">
        <w:rPr>
          <w:b/>
          <w:iCs/>
        </w:rPr>
        <w:t>ATSS</w:t>
      </w:r>
      <w:r>
        <w:t>.</w:t>
      </w:r>
      <w:r w:rsidRPr="006E5C82">
        <w:rPr>
          <w:i/>
          <w:iCs/>
        </w:rPr>
        <w:t xml:space="preserve"> (Track C</w:t>
      </w:r>
      <w:r>
        <w:rPr>
          <w:i/>
          <w:iCs/>
        </w:rPr>
        <w:t xml:space="preserve">, </w:t>
      </w:r>
      <w:r w:rsidRPr="0003470B">
        <w:rPr>
          <w:i/>
        </w:rPr>
        <w:t>Exhibit B.2.1</w:t>
      </w:r>
      <w:r>
        <w:rPr>
          <w:i/>
        </w:rPr>
        <w:t>c</w:t>
      </w:r>
      <w:r w:rsidRPr="006E5C82">
        <w:rPr>
          <w:i/>
          <w:iCs/>
        </w:rPr>
        <w:t>)</w:t>
      </w:r>
    </w:p>
    <w:p w:rsidR="00316B81" w:rsidRDefault="007C29B5" w:rsidP="004E2560">
      <w:pPr>
        <w:pStyle w:val="BodyText"/>
        <w:spacing w:line="240" w:lineRule="auto"/>
        <w:ind w:left="360"/>
      </w:pPr>
      <w:r w:rsidRPr="006E5C82">
        <w:t xml:space="preserve">Recognizing the difficulty in recruiting households to participate in an in-home visit, particularly </w:t>
      </w:r>
      <w:r w:rsidR="00D75250">
        <w:t>households</w:t>
      </w:r>
      <w:r w:rsidR="00D75250" w:rsidRPr="006E5C82">
        <w:t xml:space="preserve"> </w:t>
      </w:r>
      <w:r w:rsidRPr="006E5C82">
        <w:t xml:space="preserve">with children, the Targeted Surveillance and Biometric Study includes an oversampling (from the same ABS frame as the </w:t>
      </w:r>
      <w:r w:rsidRPr="006E5C82">
        <w:rPr>
          <w:i/>
          <w:iCs/>
        </w:rPr>
        <w:t>Standard Protocol</w:t>
      </w:r>
      <w:r w:rsidRPr="006E5C82">
        <w:t xml:space="preserve">) of households </w:t>
      </w:r>
      <w:r w:rsidR="009B27C2">
        <w:t xml:space="preserve">we think are more likely to contain at least one child aged 3-17 years </w:t>
      </w:r>
      <w:r w:rsidRPr="006E5C82">
        <w:t>. This oversampling (Track C) will provide additional eligible households to reach target</w:t>
      </w:r>
      <w:r w:rsidR="00316B81">
        <w:t>s for participation of</w:t>
      </w:r>
      <w:r w:rsidRPr="006E5C82">
        <w:t xml:space="preserve"> children. Track C will be initiated by sending </w:t>
      </w:r>
      <w:r w:rsidR="00316B81">
        <w:t xml:space="preserve">either a telephone lead letter packet or a paper </w:t>
      </w:r>
      <w:r w:rsidR="00851F83">
        <w:t>information</w:t>
      </w:r>
      <w:r w:rsidR="00316B81">
        <w:t xml:space="preserve"> packet. </w:t>
      </w:r>
    </w:p>
    <w:p w:rsidR="00316B81" w:rsidRPr="006111A0" w:rsidRDefault="00316B81" w:rsidP="004E2560">
      <w:pPr>
        <w:pStyle w:val="Bullet"/>
        <w:spacing w:line="240" w:lineRule="auto"/>
        <w:contextualSpacing/>
      </w:pPr>
      <w:r w:rsidRPr="006111A0">
        <w:rPr>
          <w:b/>
          <w:bCs/>
        </w:rPr>
        <w:t>Telephone Lead Letter Packets—</w:t>
      </w:r>
      <w:r w:rsidRPr="006111A0">
        <w:rPr>
          <w:i/>
          <w:iCs/>
        </w:rPr>
        <w:t>Track C, Exhibit B.2.1</w:t>
      </w:r>
      <w:r>
        <w:rPr>
          <w:i/>
          <w:iCs/>
        </w:rPr>
        <w:t>c</w:t>
      </w:r>
      <w:r w:rsidRPr="0003470B">
        <w:rPr>
          <w:iCs/>
        </w:rPr>
        <w:t>.</w:t>
      </w:r>
      <w:r w:rsidR="009451F4">
        <w:rPr>
          <w:bCs/>
        </w:rPr>
        <w:t xml:space="preserve"> </w:t>
      </w:r>
      <w:r w:rsidRPr="0003470B">
        <w:rPr>
          <w:bCs/>
        </w:rPr>
        <w:t>The</w:t>
      </w:r>
      <w:r>
        <w:rPr>
          <w:bCs/>
        </w:rPr>
        <w:t xml:space="preserve"> </w:t>
      </w:r>
      <w:r w:rsidRPr="0003470B">
        <w:rPr>
          <w:bCs/>
        </w:rPr>
        <w:t>letter sent to</w:t>
      </w:r>
      <w:r>
        <w:rPr>
          <w:b/>
          <w:bCs/>
          <w:i/>
        </w:rPr>
        <w:t xml:space="preserve"> </w:t>
      </w:r>
      <w:r w:rsidRPr="0003470B">
        <w:rPr>
          <w:bCs/>
          <w:i/>
        </w:rPr>
        <w:t>Enhanced Protocol</w:t>
      </w:r>
      <w:r w:rsidRPr="0003470B">
        <w:rPr>
          <w:bCs/>
        </w:rPr>
        <w:t xml:space="preserve"> </w:t>
      </w:r>
      <w:r>
        <w:rPr>
          <w:bCs/>
        </w:rPr>
        <w:t>over</w:t>
      </w:r>
      <w:r w:rsidRPr="006111A0">
        <w:rPr>
          <w:bCs/>
        </w:rPr>
        <w:t>sample</w:t>
      </w:r>
      <w:r w:rsidRPr="0003470B">
        <w:rPr>
          <w:bCs/>
        </w:rPr>
        <w:t xml:space="preserve"> members </w:t>
      </w:r>
      <w:r>
        <w:rPr>
          <w:bCs/>
        </w:rPr>
        <w:t xml:space="preserve">differs from the one sent to </w:t>
      </w:r>
      <w:r w:rsidRPr="0003470B">
        <w:rPr>
          <w:bCs/>
          <w:i/>
        </w:rPr>
        <w:t xml:space="preserve">Standard Protocol </w:t>
      </w:r>
      <w:r>
        <w:rPr>
          <w:bCs/>
        </w:rPr>
        <w:t>sample members, but the packets are otherwise the same.</w:t>
      </w:r>
    </w:p>
    <w:p w:rsidR="00316B81" w:rsidRDefault="00BE3003" w:rsidP="004E2560">
      <w:pPr>
        <w:pStyle w:val="bullets-2ndlevel"/>
        <w:spacing w:line="240" w:lineRule="auto"/>
        <w:ind w:left="1800"/>
        <w:contextualSpacing/>
      </w:pPr>
      <w:r>
        <w:t>The</w:t>
      </w:r>
      <w:r w:rsidR="00316B81" w:rsidRPr="006E5C82">
        <w:t xml:space="preserve"> letter</w:t>
      </w:r>
      <w:r w:rsidR="00316B81">
        <w:t xml:space="preserve"> invites</w:t>
      </w:r>
      <w:r w:rsidR="00316B81" w:rsidRPr="006E5C82">
        <w:t xml:space="preserve"> participation to </w:t>
      </w:r>
      <w:r w:rsidR="00316B81">
        <w:t xml:space="preserve">both </w:t>
      </w:r>
      <w:r>
        <w:t>p</w:t>
      </w:r>
      <w:r w:rsidR="00316B81">
        <w:t>rotocols</w:t>
      </w:r>
      <w:r>
        <w:t xml:space="preserve"> </w:t>
      </w:r>
      <w:r w:rsidR="00316B81">
        <w:t xml:space="preserve">and lets potential participants know that we will call them </w:t>
      </w:r>
      <w:r>
        <w:t>or they may call in if they are interested in participating</w:t>
      </w:r>
      <w:r w:rsidR="00316B81">
        <w:t xml:space="preserve"> </w:t>
      </w:r>
      <w:r w:rsidR="00316B81" w:rsidRPr="006E5C82">
        <w:t>(Attachment 11A1)</w:t>
      </w:r>
    </w:p>
    <w:p w:rsidR="00316B81" w:rsidRDefault="00316B81" w:rsidP="004E2560">
      <w:pPr>
        <w:pStyle w:val="bullets-2ndlevel"/>
        <w:spacing w:line="240" w:lineRule="auto"/>
        <w:ind w:left="1800"/>
        <w:contextualSpacing/>
      </w:pPr>
      <w:r w:rsidRPr="006E5C82">
        <w:t>A $2 bill</w:t>
      </w:r>
    </w:p>
    <w:p w:rsidR="00316B81" w:rsidRDefault="00316B81" w:rsidP="004E2560">
      <w:pPr>
        <w:pStyle w:val="bullets-2ndlevel"/>
        <w:spacing w:line="240" w:lineRule="auto"/>
        <w:ind w:left="1800"/>
      </w:pPr>
      <w:r w:rsidRPr="006E5C82">
        <w:t xml:space="preserve">For households with a Spanish surname or located in a high-density Hispanic area, Spanish versions of the </w:t>
      </w:r>
      <w:r w:rsidR="00380499">
        <w:t>letter</w:t>
      </w:r>
      <w:r w:rsidRPr="006E5C82">
        <w:t xml:space="preserve"> will also be enclosed (Attachments 11A</w:t>
      </w:r>
      <w:r>
        <w:t>-S</w:t>
      </w:r>
      <w:r w:rsidRPr="006E5C82">
        <w:t xml:space="preserve"> and 11A1</w:t>
      </w:r>
      <w:r>
        <w:t>-S</w:t>
      </w:r>
      <w:r w:rsidRPr="006E5C82">
        <w:t>)</w:t>
      </w:r>
    </w:p>
    <w:p w:rsidR="00316B81" w:rsidRDefault="00316B81" w:rsidP="004E2560">
      <w:pPr>
        <w:pStyle w:val="Bullet"/>
        <w:tabs>
          <w:tab w:val="clear" w:pos="1440"/>
          <w:tab w:val="num" w:pos="360"/>
        </w:tabs>
        <w:spacing w:line="240" w:lineRule="auto"/>
      </w:pPr>
      <w:r>
        <w:rPr>
          <w:b/>
          <w:bCs/>
        </w:rPr>
        <w:t xml:space="preserve">Paper </w:t>
      </w:r>
      <w:r w:rsidR="00CB5928">
        <w:rPr>
          <w:b/>
          <w:bCs/>
        </w:rPr>
        <w:t>Information</w:t>
      </w:r>
      <w:r w:rsidRPr="006E5C82">
        <w:rPr>
          <w:b/>
          <w:bCs/>
        </w:rPr>
        <w:t xml:space="preserve"> Packets—</w:t>
      </w:r>
      <w:r w:rsidRPr="006E5C82">
        <w:rPr>
          <w:i/>
          <w:iCs/>
        </w:rPr>
        <w:t xml:space="preserve">Track </w:t>
      </w:r>
      <w:r>
        <w:rPr>
          <w:i/>
          <w:iCs/>
        </w:rPr>
        <w:t>C</w:t>
      </w:r>
      <w:r w:rsidRPr="006E5C82">
        <w:rPr>
          <w:i/>
          <w:iCs/>
        </w:rPr>
        <w:t>, Exhibit B</w:t>
      </w:r>
      <w:r>
        <w:rPr>
          <w:i/>
          <w:iCs/>
        </w:rPr>
        <w:t>.</w:t>
      </w:r>
      <w:r w:rsidRPr="006E5C82">
        <w:rPr>
          <w:i/>
          <w:iCs/>
        </w:rPr>
        <w:t>2</w:t>
      </w:r>
      <w:r>
        <w:rPr>
          <w:i/>
          <w:iCs/>
        </w:rPr>
        <w:t>.</w:t>
      </w:r>
      <w:r w:rsidRPr="006E5C82">
        <w:rPr>
          <w:i/>
          <w:iCs/>
        </w:rPr>
        <w:t>1</w:t>
      </w:r>
      <w:r>
        <w:rPr>
          <w:i/>
          <w:iCs/>
        </w:rPr>
        <w:t>c</w:t>
      </w:r>
      <w:r w:rsidRPr="006E5C82">
        <w:rPr>
          <w:i/>
          <w:iCs/>
        </w:rPr>
        <w:t>.</w:t>
      </w:r>
      <w:r w:rsidRPr="006E5C82">
        <w:rPr>
          <w:b/>
          <w:bCs/>
        </w:rPr>
        <w:t xml:space="preserve"> </w:t>
      </w:r>
      <w:r w:rsidR="00BE3003">
        <w:t>H</w:t>
      </w:r>
      <w:r w:rsidRPr="006E5C82">
        <w:t xml:space="preserve">ouseholds </w:t>
      </w:r>
      <w:r>
        <w:t xml:space="preserve">in the </w:t>
      </w:r>
      <w:r w:rsidRPr="003F1E05">
        <w:rPr>
          <w:i/>
        </w:rPr>
        <w:t>Enhanced Protocol</w:t>
      </w:r>
      <w:r>
        <w:t xml:space="preserve"> oversample </w:t>
      </w:r>
      <w:r w:rsidR="00BE3003">
        <w:t xml:space="preserve">that do not have a telephone match </w:t>
      </w:r>
      <w:r w:rsidRPr="006E5C82">
        <w:t xml:space="preserve">will receive </w:t>
      </w:r>
      <w:r w:rsidR="00BE3003">
        <w:t xml:space="preserve">a recruitment </w:t>
      </w:r>
      <w:r w:rsidR="006C4875">
        <w:t>letter</w:t>
      </w:r>
      <w:r w:rsidR="00BE3003">
        <w:t xml:space="preserve"> that </w:t>
      </w:r>
      <w:r w:rsidR="002D2C0E">
        <w:t>enable</w:t>
      </w:r>
      <w:r w:rsidR="00BE3003">
        <w:t>s</w:t>
      </w:r>
      <w:r w:rsidR="00CB5928">
        <w:t xml:space="preserve"> them to express </w:t>
      </w:r>
      <w:r w:rsidR="00BE3003">
        <w:t xml:space="preserve">an </w:t>
      </w:r>
      <w:r w:rsidR="00CB5928">
        <w:t xml:space="preserve">interest </w:t>
      </w:r>
      <w:r w:rsidR="00BE3003">
        <w:t xml:space="preserve">by providing a telephone number where they can be reached or by </w:t>
      </w:r>
      <w:r w:rsidR="00CB5928">
        <w:t>calling in.</w:t>
      </w:r>
    </w:p>
    <w:p w:rsidR="00316B81" w:rsidRDefault="00316B81" w:rsidP="009451F4">
      <w:pPr>
        <w:pStyle w:val="bullets-2ndlevel"/>
        <w:spacing w:line="240" w:lineRule="auto"/>
        <w:ind w:left="1800"/>
        <w:contextualSpacing/>
      </w:pPr>
      <w:r w:rsidRPr="006E5C82">
        <w:t xml:space="preserve">A </w:t>
      </w:r>
      <w:r w:rsidR="006C4875">
        <w:t>letter</w:t>
      </w:r>
      <w:r>
        <w:t xml:space="preserve"> that</w:t>
      </w:r>
      <w:r w:rsidRPr="006E5C82">
        <w:t xml:space="preserve"> invite</w:t>
      </w:r>
      <w:r>
        <w:t>s</w:t>
      </w:r>
      <w:r w:rsidRPr="006E5C82">
        <w:t xml:space="preserve"> participation to </w:t>
      </w:r>
      <w:r>
        <w:t xml:space="preserve">both </w:t>
      </w:r>
      <w:r w:rsidR="00BE3003">
        <w:t>p</w:t>
      </w:r>
      <w:r>
        <w:t>rotocols and offers the option of either calling in to complete t</w:t>
      </w:r>
      <w:r w:rsidR="00CB5928">
        <w:t xml:space="preserve">he initial screening or providing a telephone number on </w:t>
      </w:r>
      <w:r w:rsidR="006C4875">
        <w:t>paper</w:t>
      </w:r>
      <w:r w:rsidR="00CB5928">
        <w:t>, so that we can call them instead</w:t>
      </w:r>
      <w:r>
        <w:t xml:space="preserve">. </w:t>
      </w:r>
      <w:r w:rsidRPr="006E5C82">
        <w:t xml:space="preserve">(Attachment </w:t>
      </w:r>
      <w:r w:rsidR="00CB5928">
        <w:t>10D</w:t>
      </w:r>
      <w:r w:rsidRPr="006E5C82">
        <w:t>).</w:t>
      </w:r>
    </w:p>
    <w:p w:rsidR="00316B81" w:rsidRDefault="00316B81" w:rsidP="009451F4">
      <w:pPr>
        <w:pStyle w:val="bullets-2ndlevel"/>
        <w:spacing w:line="240" w:lineRule="auto"/>
        <w:ind w:left="1800"/>
        <w:contextualSpacing/>
      </w:pPr>
      <w:r w:rsidRPr="006E5C82">
        <w:t>A $2 bill</w:t>
      </w:r>
      <w:r>
        <w:t>.</w:t>
      </w:r>
    </w:p>
    <w:p w:rsidR="000B1472" w:rsidRDefault="00316B81" w:rsidP="009451F4">
      <w:pPr>
        <w:pStyle w:val="bullets-2ndlevel"/>
        <w:spacing w:line="240" w:lineRule="auto"/>
        <w:ind w:left="1800"/>
      </w:pPr>
      <w:r w:rsidRPr="006E5C82">
        <w:t xml:space="preserve">For households with a Spanish surname or located in a high-density Hispanic area, Spanish versions of the </w:t>
      </w:r>
      <w:r w:rsidR="006C4875">
        <w:t>letter</w:t>
      </w:r>
      <w:r w:rsidRPr="006E5C82">
        <w:t xml:space="preserve"> wi</w:t>
      </w:r>
      <w:r w:rsidR="00CB5928">
        <w:t>l</w:t>
      </w:r>
      <w:r w:rsidR="000017EB">
        <w:t xml:space="preserve">l also be enclosed (Attachment </w:t>
      </w:r>
      <w:r w:rsidR="00CB5928">
        <w:t>10D</w:t>
      </w:r>
      <w:r w:rsidR="000017EB">
        <w:t>-S</w:t>
      </w:r>
      <w:r w:rsidRPr="006E5C82">
        <w:t>)</w:t>
      </w:r>
    </w:p>
    <w:p w:rsidR="00AB1ACE" w:rsidRDefault="007C29B5" w:rsidP="006111A0">
      <w:pPr>
        <w:pStyle w:val="BodyText"/>
        <w:spacing w:line="240" w:lineRule="auto"/>
      </w:pPr>
      <w:r w:rsidRPr="006E5C82">
        <w:t xml:space="preserve">If an adult in the home agrees to participate in both </w:t>
      </w:r>
      <w:r w:rsidR="00653EF3" w:rsidRPr="006E5C82">
        <w:t xml:space="preserve">protocols </w:t>
      </w:r>
      <w:r w:rsidRPr="006E5C82">
        <w:t>(i.e., complete the ATSS and grant permission for an in-home visit), the ATSS will be completed by telephone</w:t>
      </w:r>
      <w:r w:rsidR="00653EF3" w:rsidRPr="006E5C82">
        <w:t>,</w:t>
      </w:r>
      <w:r w:rsidRPr="006E5C82">
        <w:t xml:space="preserve"> and the in-home visit</w:t>
      </w:r>
      <w:r w:rsidR="00653EF3" w:rsidRPr="006E5C82">
        <w:t xml:space="preserve"> will be</w:t>
      </w:r>
      <w:r w:rsidRPr="006E5C82">
        <w:t xml:space="preserve"> scheduled. If a child resides in the household, </w:t>
      </w:r>
      <w:r w:rsidR="00A67818">
        <w:t>he or she</w:t>
      </w:r>
      <w:r w:rsidR="00A67818" w:rsidRPr="006E5C82">
        <w:t xml:space="preserve"> </w:t>
      </w:r>
      <w:r w:rsidRPr="006E5C82">
        <w:t xml:space="preserve">will be invited to participate in the in-home visit and </w:t>
      </w:r>
      <w:r w:rsidR="00A67818">
        <w:t>his or her</w:t>
      </w:r>
      <w:r w:rsidR="00A67818" w:rsidRPr="006E5C82">
        <w:t xml:space="preserve"> </w:t>
      </w:r>
      <w:r w:rsidRPr="006E5C82">
        <w:t xml:space="preserve">parent or caregiver will be asked to grant permission for participation. If </w:t>
      </w:r>
      <w:r w:rsidR="00290E83">
        <w:t>a child participates</w:t>
      </w:r>
      <w:r w:rsidRPr="006E5C82">
        <w:t xml:space="preserve">, the interviewer will administer the </w:t>
      </w:r>
      <w:r w:rsidRPr="006E5C82">
        <w:rPr>
          <w:iCs/>
        </w:rPr>
        <w:t>Caregiver Survey</w:t>
      </w:r>
      <w:r w:rsidRPr="006E5C82">
        <w:t xml:space="preserve"> to the adult caregiver of the child, if under the age of 12, or the Youth Survey to the child him- or herself if the child is aged 12</w:t>
      </w:r>
      <w:r w:rsidR="006B4F43" w:rsidRPr="006E5C82">
        <w:t>–</w:t>
      </w:r>
      <w:r w:rsidRPr="006E5C82">
        <w:t xml:space="preserve">17 years. </w:t>
      </w:r>
    </w:p>
    <w:p w:rsidR="00AB1ACE" w:rsidRDefault="007C29B5" w:rsidP="006111A0">
      <w:pPr>
        <w:pStyle w:val="BodyText"/>
        <w:spacing w:line="240" w:lineRule="auto"/>
      </w:pPr>
      <w:r w:rsidRPr="006E5C82">
        <w:lastRenderedPageBreak/>
        <w:t>For collection of biometric measures from adults and children, the FI will bring all the necessary equipment to obtain the data during the in-home visit. The FI will begin collection by explaining each measure that will be collected and administering a short survey (to the adult and then the youth, if age</w:t>
      </w:r>
      <w:r w:rsidR="00A67818">
        <w:t>d</w:t>
      </w:r>
      <w:r w:rsidRPr="006E5C82">
        <w:t xml:space="preserve"> 12–17 or caregiver, if youth is age</w:t>
      </w:r>
      <w:r w:rsidR="00A67818">
        <w:t>d</w:t>
      </w:r>
      <w:r w:rsidRPr="006E5C82">
        <w:t xml:space="preserve"> 3–11) to obtain data relevant to the validity of the biometric measures (e.g., current hypertension medications, exposure to </w:t>
      </w:r>
      <w:r w:rsidR="00AE28A3">
        <w:t>secondhand smoke</w:t>
      </w:r>
      <w:r w:rsidRPr="006E5C82">
        <w:t>). The FI will first collect the biometric measures from the adult (weight, height, waist circumference, blood pressure, saliva). Then the interviewer will collect the biometric measurements (height, weight, waist circumference, and saliva sample) for the selected child.</w:t>
      </w:r>
    </w:p>
    <w:p w:rsidR="00A42992" w:rsidRDefault="007C29B5" w:rsidP="00BE3003">
      <w:pPr>
        <w:pStyle w:val="BodyText"/>
        <w:spacing w:line="240" w:lineRule="auto"/>
      </w:pPr>
      <w:r w:rsidRPr="006E5C82">
        <w:t xml:space="preserve">In four of the </w:t>
      </w:r>
      <w:r w:rsidR="00553F67">
        <w:t>a</w:t>
      </w:r>
      <w:r w:rsidR="008C1FC0" w:rsidRPr="006E5C82">
        <w:t xml:space="preserve">wardee </w:t>
      </w:r>
      <w:r w:rsidR="00553F67">
        <w:t>a</w:t>
      </w:r>
      <w:r w:rsidR="008C1FC0" w:rsidRPr="006E5C82">
        <w:t>rea</w:t>
      </w:r>
      <w:r w:rsidRPr="006E5C82">
        <w:t xml:space="preserve">s, the interviewer will invite adult-child pairs to participate in the accelerometry substudy. Consenting households will be given one accelerometer for the adult and one for the child to be worn for </w:t>
      </w:r>
      <w:r w:rsidR="00D75250">
        <w:t>one</w:t>
      </w:r>
      <w:r w:rsidR="00CE6800" w:rsidRPr="006E5C82">
        <w:t xml:space="preserve"> </w:t>
      </w:r>
      <w:r w:rsidRPr="006E5C82">
        <w:t>week (Attachments 13A and 13A</w:t>
      </w:r>
      <w:r w:rsidR="00553F67">
        <w:t>-S</w:t>
      </w:r>
      <w:r w:rsidRPr="006E5C82">
        <w:t>). Adults will be asked to fill out a daily activity diary for both people (Attachments 13B and 13C or 13B</w:t>
      </w:r>
      <w:r w:rsidR="00553F67">
        <w:t>-S</w:t>
      </w:r>
      <w:r w:rsidRPr="006E5C82">
        <w:t xml:space="preserve"> and 13C</w:t>
      </w:r>
      <w:r w:rsidR="00553F67">
        <w:t>-S</w:t>
      </w:r>
      <w:r w:rsidRPr="006E5C82">
        <w:t>). Participants will be called on the third or fourth wearing day. This call is to ensure that the meter is being worn correctly and to answer any questions. It also helps to remind people to start wearing it and establishes a pattern of frequent communication between the participant and the recruiter (Attachments 13D and 13D</w:t>
      </w:r>
      <w:r w:rsidR="00553F67">
        <w:t>-S</w:t>
      </w:r>
      <w:r w:rsidRPr="006E5C82">
        <w:t xml:space="preserve">). At the end of the week, the adult will be asked to mail in the accelerometers and diaries. </w:t>
      </w:r>
    </w:p>
    <w:p w:rsidR="007C29B5" w:rsidRPr="006E5C82" w:rsidRDefault="00B611D0" w:rsidP="00553F67">
      <w:pPr>
        <w:pStyle w:val="ExhibitTitle"/>
      </w:pPr>
      <w:r w:rsidRPr="006E5C82">
        <w:lastRenderedPageBreak/>
        <w:t>Exhibit B</w:t>
      </w:r>
      <w:r w:rsidR="00553F67">
        <w:t>.</w:t>
      </w:r>
      <w:r w:rsidRPr="006E5C82">
        <w:t>2</w:t>
      </w:r>
      <w:r w:rsidR="00553F67">
        <w:t>.</w:t>
      </w:r>
      <w:r w:rsidRPr="006E5C82">
        <w:t>1a.</w:t>
      </w:r>
      <w:r w:rsidRPr="006E5C82">
        <w:tab/>
        <w:t xml:space="preserve">Mode and Order of Contacts in the </w:t>
      </w:r>
      <w:r w:rsidR="00CE6800" w:rsidRPr="006E5C82">
        <w:t xml:space="preserve">12 </w:t>
      </w:r>
      <w:r w:rsidRPr="00AE28A3">
        <w:rPr>
          <w:i/>
        </w:rPr>
        <w:t>Standard Protocol</w:t>
      </w:r>
      <w:r w:rsidR="00CE6800" w:rsidRPr="006E5C82">
        <w:t>–o</w:t>
      </w:r>
      <w:r w:rsidRPr="006E5C82">
        <w:t xml:space="preserve">nly </w:t>
      </w:r>
      <w:r w:rsidR="00553F67">
        <w:t>Awardee Areas</w:t>
      </w:r>
    </w:p>
    <w:p w:rsidR="00A97CC3" w:rsidRPr="006E5C82" w:rsidRDefault="007C29B5" w:rsidP="00B00C82">
      <w:pPr>
        <w:pStyle w:val="figurewobox"/>
      </w:pPr>
      <w:r w:rsidRPr="006E5C82">
        <w:rPr>
          <w:noProof/>
        </w:rPr>
        <w:drawing>
          <wp:inline distT="0" distB="0" distL="0" distR="0">
            <wp:extent cx="5942988" cy="5915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B_B-2-1a_FlowCharts_2013_0213.jpg"/>
                    <pic:cNvPicPr/>
                  </pic:nvPicPr>
                  <pic:blipFill rotWithShape="1">
                    <a:blip r:embed="rId21" cstate="print">
                      <a:extLst>
                        <a:ext uri="{28A0092B-C50C-407E-A947-70E740481C1C}">
                          <a14:useLocalDpi xmlns:a14="http://schemas.microsoft.com/office/drawing/2010/main" val="0"/>
                        </a:ext>
                      </a:extLst>
                    </a:blip>
                    <a:srcRect t="4018"/>
                    <a:stretch/>
                  </pic:blipFill>
                  <pic:spPr bwMode="auto">
                    <a:xfrm>
                      <a:off x="0" y="0"/>
                      <a:ext cx="5943600" cy="5915634"/>
                    </a:xfrm>
                    <a:prstGeom prst="rect">
                      <a:avLst/>
                    </a:prstGeom>
                    <a:ln>
                      <a:noFill/>
                    </a:ln>
                    <a:extLst>
                      <a:ext uri="{53640926-AAD7-44D8-BBD7-CCE9431645EC}">
                        <a14:shadowObscured xmlns:a14="http://schemas.microsoft.com/office/drawing/2010/main"/>
                      </a:ext>
                    </a:extLst>
                  </pic:spPr>
                </pic:pic>
              </a:graphicData>
            </a:graphic>
          </wp:inline>
        </w:drawing>
      </w:r>
    </w:p>
    <w:p w:rsidR="00A97CC3" w:rsidRPr="006E5C82" w:rsidRDefault="00A97CC3" w:rsidP="00B00C82"/>
    <w:p w:rsidR="00A97CC3" w:rsidRPr="006E5C82" w:rsidRDefault="007C29B5" w:rsidP="00AD4B76">
      <w:pPr>
        <w:pStyle w:val="ExhibitTitle"/>
      </w:pPr>
      <w:r w:rsidRPr="006E5C82">
        <w:br w:type="page"/>
      </w:r>
      <w:r w:rsidRPr="006E5C82">
        <w:lastRenderedPageBreak/>
        <w:t>Exhibit B</w:t>
      </w:r>
      <w:r w:rsidR="00553F67">
        <w:t>.</w:t>
      </w:r>
      <w:r w:rsidR="00B611D0" w:rsidRPr="006E5C82">
        <w:t>2</w:t>
      </w:r>
      <w:r w:rsidR="00553F67">
        <w:t>.</w:t>
      </w:r>
      <w:r w:rsidR="00B611D0" w:rsidRPr="006E5C82">
        <w:t>1b.</w:t>
      </w:r>
      <w:r w:rsidR="00B611D0" w:rsidRPr="006E5C82">
        <w:tab/>
        <w:t xml:space="preserve">Mode and Order of Contacts in </w:t>
      </w:r>
      <w:r w:rsidR="00AD4B76">
        <w:t>the 8</w:t>
      </w:r>
      <w:r w:rsidR="00CE6800" w:rsidRPr="006E5C82">
        <w:t xml:space="preserve"> </w:t>
      </w:r>
      <w:r w:rsidR="00AD4B76" w:rsidRPr="00AE28A3">
        <w:rPr>
          <w:i/>
        </w:rPr>
        <w:t>Enhanced Protocol</w:t>
      </w:r>
      <w:r w:rsidR="00AD4B76" w:rsidRPr="006E5C82">
        <w:t xml:space="preserve"> </w:t>
      </w:r>
      <w:r w:rsidR="00B611D0" w:rsidRPr="006E5C82">
        <w:t>Awardee</w:t>
      </w:r>
      <w:r w:rsidR="00AD4B76">
        <w:br/>
      </w:r>
      <w:r w:rsidR="00B611D0" w:rsidRPr="006E5C82">
        <w:t>Areas</w:t>
      </w:r>
      <w:r w:rsidR="00AD4B76">
        <w:t xml:space="preserve"> (Track </w:t>
      </w:r>
      <w:r w:rsidR="00B611D0" w:rsidRPr="006E5C82">
        <w:t>B</w:t>
      </w:r>
      <w:r w:rsidR="00AD4B76">
        <w:t>)</w:t>
      </w:r>
    </w:p>
    <w:p w:rsidR="00A97CC3" w:rsidRPr="006E5C82" w:rsidRDefault="00B611D0" w:rsidP="00B00C82">
      <w:pPr>
        <w:pStyle w:val="figurewobox"/>
      </w:pPr>
      <w:r w:rsidRPr="006E5C82">
        <w:rPr>
          <w:noProof/>
        </w:rPr>
        <w:drawing>
          <wp:inline distT="0" distB="0" distL="0" distR="0">
            <wp:extent cx="5212080" cy="74092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2080" cy="7409247"/>
                    </a:xfrm>
                    <a:prstGeom prst="rect">
                      <a:avLst/>
                    </a:prstGeom>
                    <a:noFill/>
                    <a:ln>
                      <a:noFill/>
                    </a:ln>
                  </pic:spPr>
                </pic:pic>
              </a:graphicData>
            </a:graphic>
          </wp:inline>
        </w:drawing>
      </w:r>
    </w:p>
    <w:p w:rsidR="007C29B5" w:rsidRPr="006E5C82" w:rsidRDefault="007C29B5" w:rsidP="00B00C82"/>
    <w:p w:rsidR="00AD4B76" w:rsidRDefault="007C29B5" w:rsidP="00AD4B76">
      <w:pPr>
        <w:pStyle w:val="ExhibitTitle"/>
      </w:pPr>
      <w:r w:rsidRPr="006E5C82">
        <w:br w:type="page"/>
      </w:r>
      <w:r w:rsidRPr="006E5C82">
        <w:lastRenderedPageBreak/>
        <w:t>Exhibit B</w:t>
      </w:r>
      <w:r w:rsidR="00553F67">
        <w:t>.</w:t>
      </w:r>
      <w:r w:rsidRPr="006E5C82">
        <w:t>2</w:t>
      </w:r>
      <w:r w:rsidR="00553F67">
        <w:t>.</w:t>
      </w:r>
      <w:r w:rsidRPr="006E5C82">
        <w:t>1c.</w:t>
      </w:r>
      <w:bookmarkStart w:id="23" w:name="_Toc317510907"/>
      <w:bookmarkStart w:id="24" w:name="_Toc318379266"/>
      <w:bookmarkEnd w:id="11"/>
      <w:bookmarkEnd w:id="12"/>
      <w:bookmarkEnd w:id="13"/>
      <w:bookmarkEnd w:id="14"/>
      <w:r w:rsidR="00AD4B76">
        <w:t xml:space="preserve"> </w:t>
      </w:r>
      <w:r w:rsidR="00B611D0" w:rsidRPr="006E5C82">
        <w:t xml:space="preserve">Mode and </w:t>
      </w:r>
      <w:r w:rsidR="00BD68FA" w:rsidRPr="006E5C82">
        <w:t xml:space="preserve">Order </w:t>
      </w:r>
      <w:r w:rsidR="00B611D0" w:rsidRPr="006E5C82">
        <w:t xml:space="preserve">of Contacts in the </w:t>
      </w:r>
      <w:r w:rsidR="00AD4B76">
        <w:t>8</w:t>
      </w:r>
      <w:r w:rsidR="00B611D0" w:rsidRPr="006E5C82">
        <w:t xml:space="preserve"> </w:t>
      </w:r>
      <w:r w:rsidR="00B611D0" w:rsidRPr="00AE28A3">
        <w:rPr>
          <w:i/>
        </w:rPr>
        <w:t>Enhanced Protocol</w:t>
      </w:r>
      <w:r w:rsidR="00B611D0" w:rsidRPr="006E5C82">
        <w:t xml:space="preserve"> </w:t>
      </w:r>
      <w:r w:rsidR="00AD4B76">
        <w:t xml:space="preserve">Awardee </w:t>
      </w:r>
      <w:r w:rsidR="00AD4B76">
        <w:br/>
        <w:t xml:space="preserve">Areas (Track </w:t>
      </w:r>
      <w:r w:rsidR="00B611D0" w:rsidRPr="006E5C82">
        <w:t>C</w:t>
      </w:r>
      <w:r w:rsidR="00AD4B76">
        <w:t xml:space="preserve">) </w:t>
      </w:r>
    </w:p>
    <w:p w:rsidR="00B275EA" w:rsidRPr="006E5C82" w:rsidRDefault="000C4143" w:rsidP="00AD4B76">
      <w:pPr>
        <w:pStyle w:val="ExhibitTitle"/>
        <w:ind w:left="0" w:firstLine="0"/>
      </w:pPr>
      <w:r>
        <w:object w:dxaOrig="11606" w:dyaOrig="12010">
          <v:shape id="_x0000_i1027" type="#_x0000_t75" style="width:468pt;height:484.8pt" o:ole="">
            <v:imagedata r:id="rId23" o:title=""/>
          </v:shape>
          <o:OLEObject Type="Embed" ProgID="Visio.Drawing.11" ShapeID="_x0000_i1027" DrawAspect="Content" ObjectID="_1437289029" r:id="rId24"/>
        </w:object>
      </w:r>
    </w:p>
    <w:p w:rsidR="00B275EA" w:rsidRPr="006E5C82" w:rsidRDefault="00B275EA" w:rsidP="00B00C82"/>
    <w:p w:rsidR="007C29B5" w:rsidRPr="006E5C82" w:rsidRDefault="007C29B5" w:rsidP="00553F67">
      <w:pPr>
        <w:pStyle w:val="Heading2"/>
      </w:pPr>
      <w:bookmarkStart w:id="25" w:name="_Toc348434929"/>
      <w:r w:rsidRPr="006E5C82">
        <w:t>B</w:t>
      </w:r>
      <w:r w:rsidR="00553F67">
        <w:t>.</w:t>
      </w:r>
      <w:r w:rsidRPr="006E5C82">
        <w:t>3</w:t>
      </w:r>
      <w:r w:rsidRPr="006E5C82">
        <w:tab/>
        <w:t>Methods to Maximize Response Rate and Minimize Nonresponse</w:t>
      </w:r>
      <w:bookmarkEnd w:id="23"/>
      <w:bookmarkEnd w:id="24"/>
      <w:bookmarkEnd w:id="25"/>
    </w:p>
    <w:p w:rsidR="007C29B5" w:rsidRPr="006E5C82" w:rsidRDefault="007C29B5" w:rsidP="00B00C82">
      <w:pPr>
        <w:pStyle w:val="BodyText"/>
        <w:spacing w:line="240" w:lineRule="auto"/>
        <w:ind w:left="0"/>
      </w:pPr>
      <w:r w:rsidRPr="006E5C82">
        <w:t xml:space="preserve">For the Targeted Surveillance and Biometric Study, some nonresponse can be expected. Nonresponse may arise from noncontact, refusals, and inability to schedule the in-home examination during the data collection window (for the </w:t>
      </w:r>
      <w:r w:rsidRPr="006E5C82">
        <w:rPr>
          <w:i/>
          <w:iCs/>
        </w:rPr>
        <w:t>Enhanced Protocol</w:t>
      </w:r>
      <w:r w:rsidRPr="006E5C82">
        <w:t xml:space="preserve">). Nonresponse is a potentially serious methodological threat to the interpretation of the study findings, particularly if it occurs differentially across the years of data collection or across subpopulations (i.e., </w:t>
      </w:r>
      <w:r w:rsidRPr="006E5C82">
        <w:lastRenderedPageBreak/>
        <w:t>nonignorable nonresponse). To reduce the potential for nonresponse bias, several strategies will be used</w:t>
      </w:r>
      <w:r w:rsidR="002B0EE8">
        <w:t>; these</w:t>
      </w:r>
      <w:r w:rsidRPr="006E5C82">
        <w:t xml:space="preserve"> are presented </w:t>
      </w:r>
      <w:r w:rsidR="003D3ECF" w:rsidRPr="006E5C82">
        <w:t>subsequently</w:t>
      </w:r>
      <w:r w:rsidRPr="006E5C82">
        <w:t>.</w:t>
      </w:r>
    </w:p>
    <w:p w:rsidR="007C29B5" w:rsidRPr="006E5C82" w:rsidRDefault="007C29B5" w:rsidP="00B00C82">
      <w:pPr>
        <w:pStyle w:val="Heading3"/>
      </w:pPr>
      <w:bookmarkStart w:id="26" w:name="_Toc317510908"/>
      <w:bookmarkStart w:id="27" w:name="_Toc318379267"/>
      <w:bookmarkStart w:id="28" w:name="_Toc348434930"/>
      <w:r w:rsidRPr="006E5C82">
        <w:t>Methods to Maximize Response</w:t>
      </w:r>
      <w:bookmarkEnd w:id="26"/>
      <w:bookmarkEnd w:id="27"/>
      <w:bookmarkEnd w:id="28"/>
    </w:p>
    <w:p w:rsidR="007C29B5" w:rsidRPr="006E5C82" w:rsidRDefault="007C29B5" w:rsidP="00B00C82">
      <w:pPr>
        <w:pStyle w:val="BodyText"/>
        <w:keepNext/>
        <w:spacing w:line="240" w:lineRule="auto"/>
      </w:pPr>
      <w:r w:rsidRPr="006E5C82">
        <w:t>1.</w:t>
      </w:r>
      <w:r w:rsidRPr="006E5C82">
        <w:tab/>
        <w:t>Minimizing Noncontacts</w:t>
      </w:r>
    </w:p>
    <w:p w:rsidR="007C29B5" w:rsidRPr="006E5C82" w:rsidRDefault="007C29B5" w:rsidP="00B00C82">
      <w:pPr>
        <w:pStyle w:val="Heading4"/>
        <w:spacing w:line="240" w:lineRule="auto"/>
      </w:pPr>
      <w:r w:rsidRPr="006E5C82">
        <w:t>Standard Protocol</w:t>
      </w:r>
    </w:p>
    <w:p w:rsidR="007C29B5" w:rsidRPr="006E5C82" w:rsidRDefault="007C29B5" w:rsidP="00553F67">
      <w:pPr>
        <w:pStyle w:val="BodyText"/>
        <w:spacing w:line="240" w:lineRule="auto"/>
      </w:pPr>
      <w:r w:rsidRPr="006E5C82">
        <w:rPr>
          <w:iCs/>
        </w:rPr>
        <w:t>Every sample member contacted by</w:t>
      </w:r>
      <w:r w:rsidRPr="006E5C82">
        <w:t xml:space="preserve"> telephone for a CATI interview (see left side of Exhibit B</w:t>
      </w:r>
      <w:r w:rsidR="00553F67">
        <w:t>.</w:t>
      </w:r>
      <w:r w:rsidRPr="006E5C82">
        <w:t>1</w:t>
      </w:r>
      <w:r w:rsidR="00553F67">
        <w:t>.</w:t>
      </w:r>
      <w:r w:rsidRPr="006E5C82">
        <w:t>4) will be sent a lead letter (Attachments 11A, 11A</w:t>
      </w:r>
      <w:r w:rsidR="00553F67">
        <w:t>-S</w:t>
      </w:r>
      <w:r w:rsidRPr="006E5C82">
        <w:t>) explaining the survey and letting them know that they will be called and asked to participate.</w:t>
      </w:r>
      <w:r w:rsidRPr="006E5C82">
        <w:rPr>
          <w:iCs/>
        </w:rPr>
        <w:t xml:space="preserve"> Every sample member contacted by</w:t>
      </w:r>
      <w:r w:rsidRPr="006E5C82">
        <w:t xml:space="preserve"> mail for a paper interview (see right side of Exhibit B</w:t>
      </w:r>
      <w:r w:rsidR="00553F67">
        <w:t>.</w:t>
      </w:r>
      <w:r w:rsidRPr="006E5C82">
        <w:t>1</w:t>
      </w:r>
      <w:r w:rsidR="00553F67">
        <w:t>.</w:t>
      </w:r>
      <w:r w:rsidRPr="006E5C82">
        <w:t xml:space="preserve">4) will receive a $2 bill as a gift in the first mailing. Sample members who do not respond to the first </w:t>
      </w:r>
      <w:r w:rsidR="000D6C76">
        <w:t xml:space="preserve">paper questionnaire </w:t>
      </w:r>
      <w:r w:rsidRPr="006E5C82">
        <w:t>mailing will receive a second mailing to invite one adult in the household to complete the survey. Lead letters and follow-up letters have both been shown to increase survey response rates.</w:t>
      </w:r>
      <w:r w:rsidR="00100BD8" w:rsidRPr="00100BD8">
        <w:rPr>
          <w:rStyle w:val="FootnoteReference"/>
        </w:rPr>
        <w:t>3</w:t>
      </w:r>
      <w:r w:rsidR="004B1A99" w:rsidRPr="00460B5A">
        <w:rPr>
          <w:vertAlign w:val="superscript"/>
        </w:rPr>
        <w:t>8</w:t>
      </w:r>
      <w:r w:rsidRPr="00100BD8">
        <w:rPr>
          <w:rStyle w:val="FootnoteReference"/>
        </w:rPr>
        <w:t>,</w:t>
      </w:r>
      <w:r w:rsidR="00100BD8" w:rsidRPr="00100BD8">
        <w:rPr>
          <w:rStyle w:val="FootnoteReference"/>
        </w:rPr>
        <w:t>3</w:t>
      </w:r>
      <w:r w:rsidR="004B1A99" w:rsidRPr="00460B5A">
        <w:rPr>
          <w:vertAlign w:val="superscript"/>
        </w:rPr>
        <w:t>9</w:t>
      </w:r>
    </w:p>
    <w:p w:rsidR="007C29B5" w:rsidRPr="006E5C82" w:rsidRDefault="007C29B5" w:rsidP="00146492">
      <w:pPr>
        <w:pStyle w:val="BodyText1"/>
        <w:spacing w:line="240" w:lineRule="auto"/>
      </w:pPr>
      <w:r w:rsidRPr="006E5C82">
        <w:t xml:space="preserve">Interview staff will make at </w:t>
      </w:r>
      <w:r w:rsidR="00146492">
        <w:t>most</w:t>
      </w:r>
      <w:r w:rsidRPr="006E5C82">
        <w:t xml:space="preserve"> eight attempts to contact sample members with a valid, working telephone number if no person answers the telephone. Interview staff will make at </w:t>
      </w:r>
      <w:r w:rsidR="00146492">
        <w:t>most</w:t>
      </w:r>
      <w:r w:rsidRPr="006E5C82">
        <w:t xml:space="preserve"> 1</w:t>
      </w:r>
      <w:r w:rsidR="00146492">
        <w:t>6</w:t>
      </w:r>
      <w:r w:rsidRPr="006E5C82">
        <w:t xml:space="preserve"> attempts to contact sample members if a contact has been made but the interview was not completed. Exceptions to the m</w:t>
      </w:r>
      <w:r w:rsidR="00146492">
        <w:t>ax</w:t>
      </w:r>
      <w:r w:rsidRPr="006E5C82">
        <w:t xml:space="preserve">imum attempts rule will only be made under appropriate circumstances, such as </w:t>
      </w:r>
      <w:r w:rsidR="00146492">
        <w:t xml:space="preserve">fewer calls </w:t>
      </w:r>
      <w:r w:rsidRPr="006E5C82">
        <w:t xml:space="preserve">when a sample member completes an interview, </w:t>
      </w:r>
      <w:r w:rsidR="00146492">
        <w:t xml:space="preserve">fewer calls </w:t>
      </w:r>
      <w:r w:rsidRPr="006E5C82">
        <w:t xml:space="preserve">when </w:t>
      </w:r>
      <w:r w:rsidRPr="006E5C82">
        <w:rPr>
          <w:rStyle w:val="BodyTextChar0"/>
        </w:rPr>
        <w:t>a</w:t>
      </w:r>
      <w:r w:rsidRPr="006E5C82">
        <w:t xml:space="preserve"> sample member refuses participation, or when a sample member requests an appointment </w:t>
      </w:r>
      <w:r w:rsidR="00146492">
        <w:t>that requires additional calls</w:t>
      </w:r>
      <w:r w:rsidRPr="006E5C82">
        <w:t>.</w:t>
      </w:r>
    </w:p>
    <w:p w:rsidR="007C29B5" w:rsidRPr="006E5C82" w:rsidRDefault="007C29B5" w:rsidP="00B00C82">
      <w:pPr>
        <w:pStyle w:val="Heading4"/>
        <w:spacing w:line="240" w:lineRule="auto"/>
      </w:pPr>
      <w:r w:rsidRPr="006E5C82">
        <w:t>Enhanced Protocol</w:t>
      </w:r>
    </w:p>
    <w:p w:rsidR="007C29B5" w:rsidRPr="006E5C82" w:rsidRDefault="007C29B5" w:rsidP="00693880">
      <w:pPr>
        <w:pStyle w:val="BodyText"/>
        <w:spacing w:line="240" w:lineRule="auto"/>
      </w:pPr>
      <w:r w:rsidRPr="006E5C82">
        <w:t xml:space="preserve">Every potential household to be included in the </w:t>
      </w:r>
      <w:r w:rsidRPr="006E5C82">
        <w:rPr>
          <w:i/>
        </w:rPr>
        <w:t>Enhanced Protocol</w:t>
      </w:r>
      <w:r w:rsidRPr="006E5C82">
        <w:t xml:space="preserve"> will already have had an adult participate in the ATSS (CATI or mailings) and agree to the in-home examination. FIs will make up to five attempts to schedule the in-home visit.</w:t>
      </w:r>
    </w:p>
    <w:p w:rsidR="007C29B5" w:rsidRPr="006E5C82" w:rsidRDefault="007C29B5" w:rsidP="00B00C82">
      <w:pPr>
        <w:pStyle w:val="BodyText"/>
        <w:keepNext/>
        <w:spacing w:line="240" w:lineRule="auto"/>
      </w:pPr>
      <w:r w:rsidRPr="006E5C82">
        <w:t xml:space="preserve">2. </w:t>
      </w:r>
      <w:r w:rsidRPr="006E5C82">
        <w:tab/>
        <w:t>Avoidance of Refusals</w:t>
      </w:r>
    </w:p>
    <w:p w:rsidR="007C29B5" w:rsidRPr="006E5C82" w:rsidRDefault="007C29B5" w:rsidP="00B00C82">
      <w:pPr>
        <w:pStyle w:val="BodyText"/>
        <w:spacing w:line="240" w:lineRule="auto"/>
      </w:pPr>
      <w:r w:rsidRPr="006E5C82">
        <w:t xml:space="preserve">Participation rates will be maximized through several means: gifts, interviewer training, and administration of the </w:t>
      </w:r>
      <w:r w:rsidRPr="006E5C82">
        <w:rPr>
          <w:i/>
          <w:iCs/>
        </w:rPr>
        <w:t>Standard</w:t>
      </w:r>
      <w:r w:rsidRPr="006E5C82">
        <w:t xml:space="preserve"> and </w:t>
      </w:r>
      <w:r w:rsidRPr="006E5C82">
        <w:rPr>
          <w:i/>
        </w:rPr>
        <w:t>Enhanced Protocol</w:t>
      </w:r>
      <w:r w:rsidRPr="006E5C82">
        <w:t>s in Spanish or English.</w:t>
      </w:r>
    </w:p>
    <w:p w:rsidR="00B275EA" w:rsidRPr="006E5C82" w:rsidRDefault="007C29B5" w:rsidP="00B00C82">
      <w:pPr>
        <w:pStyle w:val="Heading4"/>
        <w:spacing w:line="240" w:lineRule="auto"/>
      </w:pPr>
      <w:r w:rsidRPr="006E5C82">
        <w:t>Standard Protocol</w:t>
      </w:r>
    </w:p>
    <w:p w:rsidR="007C29B5" w:rsidRPr="006E5C82" w:rsidRDefault="007C29B5" w:rsidP="00B00C82">
      <w:pPr>
        <w:pStyle w:val="BodyText"/>
        <w:spacing w:line="240" w:lineRule="auto"/>
        <w:rPr>
          <w:b/>
        </w:rPr>
      </w:pPr>
      <w:r w:rsidRPr="006E5C82">
        <w:rPr>
          <w:u w:val="single"/>
        </w:rPr>
        <w:t>Gifts</w:t>
      </w:r>
      <w:r w:rsidRPr="006E5C82">
        <w:t xml:space="preserve">. The lead letter sent to every potential </w:t>
      </w:r>
      <w:r w:rsidRPr="006E5C82">
        <w:rPr>
          <w:i/>
        </w:rPr>
        <w:t>Standard Protocol</w:t>
      </w:r>
      <w:r w:rsidRPr="006E5C82">
        <w:t xml:space="preserve"> respondent will state that $20 will be given as a token of appreciation for completing the ATSS. The lead letter sent to potential </w:t>
      </w:r>
      <w:r w:rsidRPr="006E5C82">
        <w:rPr>
          <w:i/>
        </w:rPr>
        <w:t>Enhanced Protocol</w:t>
      </w:r>
      <w:r w:rsidRPr="006E5C82">
        <w:t xml:space="preserve"> respondents will refer to the total of gifts offered for participation in all the data collection, which totals $60 for adults and $10 for children. CATI staff will also mention the relevant gift(s) as they introduce the study. Offering a gift will help gain cooperation from a larger proportion of the sample and compensate respondents on cell phones for the air time used. Promised gifts have been found to be an effective means of increasing response rates in telephone surveys</w:t>
      </w:r>
      <w:r w:rsidRPr="006E5C82">
        <w:rPr>
          <w:rStyle w:val="FootnoteReference"/>
        </w:rPr>
        <w:footnoteReference w:id="6"/>
      </w:r>
      <w:r w:rsidRPr="006E5C82">
        <w:t xml:space="preserve"> (e.g., Cantor, Wang, </w:t>
      </w:r>
      <w:r w:rsidRPr="006E5C82">
        <w:lastRenderedPageBreak/>
        <w:t>and Abi-</w:t>
      </w:r>
      <w:r w:rsidR="00CC69A6" w:rsidRPr="006E5C82">
        <w:t>Habib</w:t>
      </w:r>
      <w:r w:rsidR="00CC69A6" w:rsidRPr="006E5C82">
        <w:rPr>
          <w:vertAlign w:val="superscript"/>
        </w:rPr>
        <w:t>4</w:t>
      </w:r>
      <w:r w:rsidR="00100BD8">
        <w:rPr>
          <w:vertAlign w:val="superscript"/>
        </w:rPr>
        <w:t>0</w:t>
      </w:r>
      <w:r w:rsidRPr="006E5C82">
        <w:t>) and reducing nonresponse bias by gaining cooperation from those less interested in the topic.</w:t>
      </w:r>
      <w:r w:rsidR="00CC69A6" w:rsidRPr="006E5C82">
        <w:rPr>
          <w:vertAlign w:val="superscript"/>
        </w:rPr>
        <w:t>4</w:t>
      </w:r>
      <w:r w:rsidR="00100BD8">
        <w:rPr>
          <w:vertAlign w:val="superscript"/>
        </w:rPr>
        <w:t>1</w:t>
      </w:r>
      <w:r w:rsidRPr="006E5C82">
        <w:rPr>
          <w:vertAlign w:val="superscript"/>
        </w:rPr>
        <w:t>-</w:t>
      </w:r>
      <w:r w:rsidR="00CC69A6">
        <w:rPr>
          <w:vertAlign w:val="superscript"/>
        </w:rPr>
        <w:t>4</w:t>
      </w:r>
      <w:r w:rsidR="00100BD8">
        <w:rPr>
          <w:vertAlign w:val="superscript"/>
        </w:rPr>
        <w:t>3</w:t>
      </w:r>
      <w:r w:rsidR="00CC69A6" w:rsidRPr="006E5C82">
        <w:t xml:space="preserve"> </w:t>
      </w:r>
      <w:r w:rsidRPr="006E5C82">
        <w:t>All sampled households will also receive $2 along with their first invitation letter, as an additional gift to participate</w:t>
      </w:r>
      <w:r w:rsidR="00553F67">
        <w:t xml:space="preserve"> (Exhibit B.2.1)</w:t>
      </w:r>
      <w:r w:rsidRPr="006E5C82">
        <w:t>. Small prepaid incentives have been found to produce modest improvements in screener response rates.</w:t>
      </w:r>
      <w:r w:rsidR="00CC69A6">
        <w:rPr>
          <w:vertAlign w:val="superscript"/>
        </w:rPr>
        <w:t>4</w:t>
      </w:r>
      <w:r w:rsidR="00100BD8">
        <w:rPr>
          <w:vertAlign w:val="superscript"/>
        </w:rPr>
        <w:t>4</w:t>
      </w:r>
    </w:p>
    <w:p w:rsidR="007C29B5" w:rsidRPr="006E5C82" w:rsidRDefault="007C29B5" w:rsidP="00B00C82">
      <w:pPr>
        <w:pStyle w:val="BodyText"/>
        <w:spacing w:line="240" w:lineRule="auto"/>
      </w:pPr>
      <w:r w:rsidRPr="006E5C82">
        <w:rPr>
          <w:u w:val="single"/>
        </w:rPr>
        <w:t>Interviewer Training and Contact Procedures (CATI)</w:t>
      </w:r>
      <w:r w:rsidRPr="006E5C82">
        <w:t>. Response rates tend to vary greatly across interviewers.</w:t>
      </w:r>
      <w:r w:rsidR="00CC69A6" w:rsidRPr="00CC69A6">
        <w:rPr>
          <w:vertAlign w:val="superscript"/>
        </w:rPr>
        <w:t>4</w:t>
      </w:r>
      <w:r w:rsidR="00100BD8">
        <w:rPr>
          <w:vertAlign w:val="superscript"/>
        </w:rPr>
        <w:t>5</w:t>
      </w:r>
      <w:r w:rsidR="00CC69A6">
        <w:t xml:space="preserve"> </w:t>
      </w:r>
      <w:r w:rsidRPr="006E5C82">
        <w:t>Improving interviewer training has been found effective in increasing response rates, particularly among interviewers with lower response rates.</w:t>
      </w:r>
      <w:r w:rsidR="00CC69A6" w:rsidRPr="00CC69A6">
        <w:rPr>
          <w:vertAlign w:val="superscript"/>
        </w:rPr>
        <w:t>4</w:t>
      </w:r>
      <w:r w:rsidR="00100BD8">
        <w:rPr>
          <w:vertAlign w:val="superscript"/>
        </w:rPr>
        <w:t>6</w:t>
      </w:r>
      <w:r w:rsidRPr="006E5C82">
        <w:t xml:space="preserve"> For this reason, extensive interviewer training is a key aspect of the success of this data collection effort. The following interviewing procedures will be used to maximize response rates for the ATSS CATI survey:</w:t>
      </w:r>
    </w:p>
    <w:p w:rsidR="007C29B5" w:rsidRPr="006E5C82" w:rsidRDefault="00B275EA" w:rsidP="00537500">
      <w:pPr>
        <w:pStyle w:val="bullets-blank"/>
        <w:spacing w:line="240" w:lineRule="auto"/>
      </w:pPr>
      <w:r w:rsidRPr="006E5C82">
        <w:t>1.</w:t>
      </w:r>
      <w:r w:rsidRPr="006E5C82">
        <w:tab/>
      </w:r>
      <w:r w:rsidR="007C29B5" w:rsidRPr="006E5C82">
        <w:t>Interviewers will be briefed on the potential challenges of administering this survey. Well-defined conversion procedures will be established.</w:t>
      </w:r>
    </w:p>
    <w:p w:rsidR="0069093D" w:rsidRDefault="00537500" w:rsidP="00F57FFB">
      <w:pPr>
        <w:pStyle w:val="bullets-blank"/>
        <w:spacing w:line="240" w:lineRule="auto"/>
      </w:pPr>
      <w:r>
        <w:t>2</w:t>
      </w:r>
      <w:r w:rsidR="00B275EA" w:rsidRPr="006E5C82">
        <w:t>.</w:t>
      </w:r>
      <w:r w:rsidR="00B275EA" w:rsidRPr="006E5C82">
        <w:tab/>
      </w:r>
      <w:r w:rsidR="007C29B5" w:rsidRPr="006E5C82">
        <w:t xml:space="preserve">If a </w:t>
      </w:r>
      <w:r w:rsidR="000D6C76">
        <w:t xml:space="preserve">sample household member initially refuses to participate or gives a </w:t>
      </w:r>
      <w:r w:rsidR="007C29B5" w:rsidRPr="006E5C82">
        <w:t xml:space="preserve">noncommittal response (i.e., neither refusing nor agreeing to participate), a member of the </w:t>
      </w:r>
      <w:r w:rsidR="00F57FFB">
        <w:t>interviewing</w:t>
      </w:r>
      <w:r w:rsidR="00F57FFB" w:rsidRPr="006E5C82">
        <w:t xml:space="preserve"> </w:t>
      </w:r>
      <w:r w:rsidR="007C29B5" w:rsidRPr="006E5C82">
        <w:t xml:space="preserve">staff will </w:t>
      </w:r>
      <w:r w:rsidR="000D6C76">
        <w:t xml:space="preserve">call back in an attempt to </w:t>
      </w:r>
      <w:r w:rsidR="007C29B5" w:rsidRPr="006E5C82">
        <w:t xml:space="preserve">recontact the </w:t>
      </w:r>
      <w:r w:rsidR="000D6C76">
        <w:t>household</w:t>
      </w:r>
      <w:r w:rsidR="000D6C76" w:rsidRPr="006E5C82">
        <w:t xml:space="preserve"> </w:t>
      </w:r>
      <w:r w:rsidR="007C29B5" w:rsidRPr="006E5C82">
        <w:t xml:space="preserve">to explain the importance of participation. </w:t>
      </w:r>
      <w:r w:rsidR="0069093D">
        <w:t>Exceptions will be made when appropriate, such as when a sample household member’s initial refusal was especially intense</w:t>
      </w:r>
      <w:r w:rsidR="00B04597">
        <w:t xml:space="preserve"> or if a specific category of recontact</w:t>
      </w:r>
      <w:r w:rsidR="00F57FFB">
        <w:t xml:space="preserve"> attempt</w:t>
      </w:r>
      <w:r w:rsidR="00B04597">
        <w:t>s are forbidden by an Institutional Review Board.</w:t>
      </w:r>
    </w:p>
    <w:p w:rsidR="00CF5367" w:rsidRDefault="00F57FFB">
      <w:pPr>
        <w:pStyle w:val="bullets-blank"/>
        <w:spacing w:line="240" w:lineRule="auto"/>
        <w:ind w:firstLine="0"/>
      </w:pPr>
      <w:r>
        <w:t xml:space="preserve">Any call backs to cases with prior refusals will be made by conversion staff. </w:t>
      </w:r>
      <w:r w:rsidR="007C29B5" w:rsidRPr="006E5C82">
        <w:t xml:space="preserve">Conversion staff are highly experienced interviewers who have demonstrated success in eliciting cooperation. The main purpose of this contact is to ensure that the </w:t>
      </w:r>
      <w:r w:rsidR="000D6C76">
        <w:t>sample household members</w:t>
      </w:r>
      <w:r w:rsidR="00026279">
        <w:t xml:space="preserve"> </w:t>
      </w:r>
      <w:r w:rsidR="007C29B5" w:rsidRPr="006E5C82">
        <w:t xml:space="preserve">understand the importance of the survey and to determine whether anything can be done to make the survey process easier (e.g., schedule a more convenient contact time). At no time will staff </w:t>
      </w:r>
      <w:r>
        <w:t xml:space="preserve">be allowed to </w:t>
      </w:r>
      <w:r w:rsidR="007C29B5" w:rsidRPr="006E5C82">
        <w:t xml:space="preserve">pressure or coerce </w:t>
      </w:r>
      <w:r w:rsidR="000D6C76">
        <w:t>sample household members</w:t>
      </w:r>
      <w:r w:rsidR="007C29B5" w:rsidRPr="006E5C82">
        <w:t xml:space="preserve"> to change </w:t>
      </w:r>
      <w:r w:rsidR="000D6C76">
        <w:t>their</w:t>
      </w:r>
      <w:r w:rsidR="007C29B5" w:rsidRPr="006E5C82">
        <w:t xml:space="preserve"> mind about participation in the survey, and this will be carefully monitored throughout survey administration to ensure that no undue pressure is placed on potential respondents.</w:t>
      </w:r>
    </w:p>
    <w:p w:rsidR="007C29B5" w:rsidRPr="006E5C82" w:rsidRDefault="00537500" w:rsidP="00B00C82">
      <w:pPr>
        <w:pStyle w:val="bullets-blank"/>
        <w:spacing w:line="240" w:lineRule="auto"/>
      </w:pPr>
      <w:r>
        <w:t>3</w:t>
      </w:r>
      <w:r w:rsidR="00B275EA" w:rsidRPr="006E5C82">
        <w:t>.</w:t>
      </w:r>
      <w:r w:rsidR="00B275EA" w:rsidRPr="006E5C82">
        <w:tab/>
      </w:r>
      <w:r w:rsidR="007C29B5" w:rsidRPr="006E5C82">
        <w:t xml:space="preserve">Should a respondent interrupt an interview for reasons such as needing to tend to a household matter, the respondent will be given </w:t>
      </w:r>
      <w:r w:rsidR="0069093D">
        <w:t xml:space="preserve">one or both of these </w:t>
      </w:r>
      <w:r w:rsidR="007C29B5" w:rsidRPr="006E5C82">
        <w:t>two options: (1) the interviewer will reschedule the interview for completion at a later time; or (2) the respondent will be given a toll-free number, designated specifically for this project, for him or her to call back and complete the interview at his or her convenience.</w:t>
      </w:r>
    </w:p>
    <w:p w:rsidR="007C29B5" w:rsidRPr="006E5C82" w:rsidRDefault="00537500" w:rsidP="0006254E">
      <w:pPr>
        <w:pStyle w:val="bullets-blank"/>
        <w:spacing w:line="240" w:lineRule="auto"/>
      </w:pPr>
      <w:r>
        <w:t>4</w:t>
      </w:r>
      <w:r w:rsidR="00B275EA" w:rsidRPr="006E5C82">
        <w:t>.</w:t>
      </w:r>
      <w:r w:rsidR="00B275EA" w:rsidRPr="006E5C82">
        <w:tab/>
      </w:r>
      <w:r w:rsidR="0006254E">
        <w:t>Interviewing</w:t>
      </w:r>
      <w:r w:rsidR="0006254E" w:rsidRPr="006E5C82">
        <w:t xml:space="preserve"> </w:t>
      </w:r>
      <w:r w:rsidR="007C29B5" w:rsidRPr="006E5C82">
        <w:t>staff will be able to provide reluctant respondents with the name and telephone number of the contractor’s project manager</w:t>
      </w:r>
      <w:r w:rsidR="007C29B5" w:rsidRPr="006E5C82">
        <w:rPr>
          <w:b/>
          <w:bCs/>
        </w:rPr>
        <w:t xml:space="preserve"> </w:t>
      </w:r>
      <w:r w:rsidR="007C29B5" w:rsidRPr="006E5C82">
        <w:t>who can provide them with additional information regarding the importance of their participation.</w:t>
      </w:r>
    </w:p>
    <w:p w:rsidR="007C29B5" w:rsidRPr="006E5C82" w:rsidRDefault="00537500" w:rsidP="00B00C82">
      <w:pPr>
        <w:pStyle w:val="bullets-blank"/>
        <w:spacing w:line="240" w:lineRule="auto"/>
      </w:pPr>
      <w:r>
        <w:lastRenderedPageBreak/>
        <w:t>5</w:t>
      </w:r>
      <w:r w:rsidR="00B275EA" w:rsidRPr="006E5C82">
        <w:t>.</w:t>
      </w:r>
      <w:r w:rsidR="00B275EA" w:rsidRPr="006E5C82">
        <w:tab/>
      </w:r>
      <w:r w:rsidR="007C29B5" w:rsidRPr="006E5C82">
        <w:t>The contractor will establish a toll-free number, dedicated to the project, so potential respondents may call to confirm the study’s legitimacy.</w:t>
      </w:r>
    </w:p>
    <w:p w:rsidR="007C29B5" w:rsidRPr="006E5C82" w:rsidRDefault="007C29B5" w:rsidP="00B00C82">
      <w:pPr>
        <w:pStyle w:val="BodyText"/>
        <w:spacing w:line="240" w:lineRule="auto"/>
      </w:pPr>
      <w:r w:rsidRPr="006E5C82">
        <w:t>Special attention will be given to scheduling callbacks and refusal procedures. The contractor will work closely with CDC to set up these rules and procedures. Examples include the following:</w:t>
      </w:r>
    </w:p>
    <w:p w:rsidR="007C29B5" w:rsidRPr="006E5C82" w:rsidRDefault="007C29B5" w:rsidP="00B00C82">
      <w:pPr>
        <w:pStyle w:val="Bullet"/>
        <w:numPr>
          <w:ilvl w:val="0"/>
          <w:numId w:val="22"/>
        </w:numPr>
        <w:tabs>
          <w:tab w:val="left" w:pos="-10440"/>
          <w:tab w:val="left" w:pos="-10080"/>
        </w:tabs>
        <w:suppressAutoHyphens/>
        <w:autoSpaceDN w:val="0"/>
        <w:spacing w:line="240" w:lineRule="auto"/>
        <w:ind w:left="1260" w:hanging="270"/>
        <w:textAlignment w:val="baseline"/>
      </w:pPr>
      <w:r w:rsidRPr="006E5C82">
        <w:t>Detailed definition when a refusal is considered final.</w:t>
      </w:r>
    </w:p>
    <w:p w:rsidR="007C29B5" w:rsidRPr="006E5C82" w:rsidRDefault="007C29B5" w:rsidP="00B04597">
      <w:pPr>
        <w:pStyle w:val="Bullet"/>
        <w:numPr>
          <w:ilvl w:val="0"/>
          <w:numId w:val="22"/>
        </w:numPr>
        <w:tabs>
          <w:tab w:val="left" w:pos="-10440"/>
          <w:tab w:val="left" w:pos="-10080"/>
        </w:tabs>
        <w:suppressAutoHyphens/>
        <w:autoSpaceDN w:val="0"/>
        <w:spacing w:line="240" w:lineRule="auto"/>
        <w:ind w:left="1260" w:hanging="270"/>
        <w:textAlignment w:val="baseline"/>
      </w:pPr>
      <w:r w:rsidRPr="006E5C82">
        <w:t xml:space="preserve">Monitoring of hangups, when they occur during the interview, and </w:t>
      </w:r>
      <w:r w:rsidR="009451F4">
        <w:t>categorizing</w:t>
      </w:r>
      <w:r w:rsidR="0069093D">
        <w:t xml:space="preserve"> </w:t>
      </w:r>
      <w:r w:rsidR="00B04597">
        <w:t>a</w:t>
      </w:r>
      <w:r w:rsidR="0069093D">
        <w:t xml:space="preserve"> case as a refusal</w:t>
      </w:r>
      <w:r w:rsidR="0069093D" w:rsidRPr="006E5C82">
        <w:t xml:space="preserve"> </w:t>
      </w:r>
      <w:r w:rsidRPr="006E5C82">
        <w:t xml:space="preserve">if three </w:t>
      </w:r>
      <w:r w:rsidR="00026279" w:rsidRPr="006E5C82">
        <w:t>hang-ups</w:t>
      </w:r>
      <w:r w:rsidRPr="006E5C82">
        <w:t xml:space="preserve"> are reached.</w:t>
      </w:r>
    </w:p>
    <w:p w:rsidR="007C29B5" w:rsidRPr="006E5C82" w:rsidRDefault="007C29B5" w:rsidP="00EB72D1">
      <w:pPr>
        <w:pStyle w:val="Bullet"/>
        <w:numPr>
          <w:ilvl w:val="0"/>
          <w:numId w:val="22"/>
        </w:numPr>
        <w:tabs>
          <w:tab w:val="left" w:pos="-10440"/>
          <w:tab w:val="left" w:pos="-10080"/>
        </w:tabs>
        <w:suppressAutoHyphens/>
        <w:autoSpaceDN w:val="0"/>
        <w:spacing w:line="240" w:lineRule="auto"/>
        <w:ind w:left="1260" w:hanging="270"/>
        <w:textAlignment w:val="baseline"/>
      </w:pPr>
      <w:r w:rsidRPr="006E5C82">
        <w:t xml:space="preserve">Calling will occur </w:t>
      </w:r>
      <w:r w:rsidR="0006254E">
        <w:t xml:space="preserve">during a wide variety of times, both during weekdays and on the weekends. Calls will be made </w:t>
      </w:r>
      <w:r w:rsidR="00FD10D0">
        <w:t>up to</w:t>
      </w:r>
      <w:r w:rsidR="0006254E">
        <w:t xml:space="preserve"> 9 PM in the sample household’s time zone, except on days that the contractor’s call center closes earlier. </w:t>
      </w:r>
    </w:p>
    <w:p w:rsidR="007C29B5" w:rsidRPr="006E5C82" w:rsidRDefault="007C29B5" w:rsidP="00B00C82">
      <w:pPr>
        <w:pStyle w:val="BodyText"/>
        <w:spacing w:line="240" w:lineRule="auto"/>
        <w:ind w:left="0"/>
      </w:pPr>
      <w:r w:rsidRPr="006E5C82">
        <w:t xml:space="preserve">Refusal avoidance training will take place approximately </w:t>
      </w:r>
      <w:r w:rsidR="00A67818">
        <w:t>two to four</w:t>
      </w:r>
      <w:r w:rsidRPr="006E5C82">
        <w:t xml:space="preserve"> weeks after data collection begins. During the early period of fielding the survey, supervisors, monitors, and project staff will observe interviewers to evaluate their effectiveness in dealing with respondent objections and overcoming barriers to participation. They will select a team of refusal avoidance specialists from among the interviewers who demonstrate special talents for obtaining cooperation and avoiding initial refusals. These interviewers will be given additional training in specific techniques tailored to the interview, with an emphasis on gaining cooperation, overcoming objections, addressing concerns of gatekeepers, and encouraging participation. If a respondent does refuse to be interviewed or terminates an interview in progress, interviewers will attempt to determine their reason(s) for refusing to participate, by asking the following question:</w:t>
      </w:r>
      <w:r w:rsidRPr="006E5C82">
        <w:rPr>
          <w:b/>
          <w:bCs/>
        </w:rPr>
        <w:t xml:space="preserve"> </w:t>
      </w:r>
      <w:r w:rsidRPr="006E5C82">
        <w:t>“Could you please tell me why you do not wish to participate in the study?” The interviewer will then code the response and any other additional relevant information. Particular categories of interest include “Don’t have the time,” “Not interested,” “Don’t participate in any surveys,” and “Opposed to government intrusiveness into my privacy.”</w:t>
      </w:r>
    </w:p>
    <w:p w:rsidR="007C29B5" w:rsidRPr="006E5C82" w:rsidRDefault="007C29B5" w:rsidP="00790A9D">
      <w:pPr>
        <w:pStyle w:val="BodyText1"/>
        <w:spacing w:line="240" w:lineRule="auto"/>
        <w:ind w:left="0"/>
      </w:pPr>
      <w:r w:rsidRPr="006E5C82">
        <w:rPr>
          <w:color w:val="000000"/>
          <w:u w:val="single"/>
        </w:rPr>
        <w:t>Languages of Survey Administration</w:t>
      </w:r>
      <w:r w:rsidRPr="006E5C82">
        <w:rPr>
          <w:color w:val="000000"/>
        </w:rPr>
        <w:t xml:space="preserve">. </w:t>
      </w:r>
      <w:r w:rsidRPr="006E5C82">
        <w:t>Both the CATI and paper versions of the ATSS will be offered in Spanish (Attachment</w:t>
      </w:r>
      <w:r w:rsidR="00790A9D">
        <w:t>s</w:t>
      </w:r>
      <w:r w:rsidRPr="006E5C82">
        <w:t xml:space="preserve"> </w:t>
      </w:r>
      <w:r w:rsidR="00790A9D">
        <w:t>7</w:t>
      </w:r>
      <w:r w:rsidRPr="006E5C82">
        <w:t>A</w:t>
      </w:r>
      <w:r w:rsidR="00E62C78">
        <w:t>-S</w:t>
      </w:r>
      <w:r w:rsidR="00790A9D">
        <w:t xml:space="preserve"> and 7C-S</w:t>
      </w:r>
      <w:r w:rsidRPr="006E5C82">
        <w:t>) or English (Attachment</w:t>
      </w:r>
      <w:r w:rsidR="00790A9D">
        <w:t>s 7A and 7C</w:t>
      </w:r>
      <w:r w:rsidRPr="006E5C82">
        <w:t>). Thus, Spanish-speaking sample members who might otherwise have refused to participate because of their</w:t>
      </w:r>
      <w:r w:rsidRPr="006E5C82">
        <w:rPr>
          <w:rStyle w:val="BodyTextChar0"/>
        </w:rPr>
        <w:t xml:space="preserve"> </w:t>
      </w:r>
      <w:r w:rsidRPr="006E5C82">
        <w:t>inability to complete the surveys in English may instead complete them in Spanish. Spanish-speaking interviewers will be trained to inform Spanish-speaking sample members about the survey and engage them in the process of participation, thereby reducing refusals in this population.</w:t>
      </w:r>
    </w:p>
    <w:p w:rsidR="00B275EA" w:rsidRPr="006E5C82" w:rsidRDefault="007C29B5" w:rsidP="00B00C82">
      <w:pPr>
        <w:pStyle w:val="Heading4"/>
        <w:spacing w:line="240" w:lineRule="auto"/>
        <w:ind w:left="0"/>
      </w:pPr>
      <w:r w:rsidRPr="006E5C82">
        <w:t>Enhanced Protocol</w:t>
      </w:r>
    </w:p>
    <w:p w:rsidR="007C29B5" w:rsidRPr="006E5C82" w:rsidRDefault="007C29B5" w:rsidP="00B00C82">
      <w:pPr>
        <w:pStyle w:val="BodyText"/>
        <w:spacing w:line="240" w:lineRule="auto"/>
        <w:ind w:left="0"/>
        <w:rPr>
          <w:b/>
        </w:rPr>
      </w:pPr>
      <w:r w:rsidRPr="006E5C82">
        <w:rPr>
          <w:u w:val="single"/>
        </w:rPr>
        <w:t>Gifts</w:t>
      </w:r>
      <w:r w:rsidRPr="006E5C82">
        <w:t>. A gift of $40 will be given to adults completing the Adult Biometric Measures, $10 will be given to children aged 12–17 completing the Youth or Caregiver Survey and Youth Biometric Measures, and $10 will be given to caregivers of children age</w:t>
      </w:r>
      <w:r w:rsidR="00A67818">
        <w:t>d</w:t>
      </w:r>
      <w:r w:rsidRPr="006E5C82">
        <w:t xml:space="preserve"> 3–11 who complete the Caregiver Survey (no additional gift is provided to the 3</w:t>
      </w:r>
      <w:r w:rsidR="00C04382">
        <w:t>–</w:t>
      </w:r>
      <w:r w:rsidRPr="006E5C82">
        <w:t>11</w:t>
      </w:r>
      <w:r w:rsidR="00C04382">
        <w:t>–</w:t>
      </w:r>
      <w:r w:rsidRPr="006E5C82">
        <w:t xml:space="preserve">year-old child completing the </w:t>
      </w:r>
      <w:r w:rsidR="00E62C78">
        <w:t>Youth</w:t>
      </w:r>
      <w:r w:rsidR="00C04382">
        <w:t xml:space="preserve"> </w:t>
      </w:r>
      <w:r w:rsidRPr="006E5C82">
        <w:t xml:space="preserve">Biometric Measures). Proposed gifts are based on both the age of the participant (child vs. adult) and the level of participation. The gifts are slightly lower than for participants of the longer (5.9 hours) </w:t>
      </w:r>
      <w:r w:rsidR="008B1DE1" w:rsidRPr="006E5C82">
        <w:t>National Health and Nutrition Examination Survey (</w:t>
      </w:r>
      <w:r w:rsidRPr="006E5C82">
        <w:t>NHANES</w:t>
      </w:r>
      <w:r w:rsidR="008B1DE1" w:rsidRPr="006E5C82">
        <w:t>)</w:t>
      </w:r>
      <w:r w:rsidRPr="006E5C82">
        <w:t xml:space="preserve"> examination, </w:t>
      </w:r>
      <w:r w:rsidR="00827572" w:rsidRPr="006E5C82">
        <w:t xml:space="preserve">for which </w:t>
      </w:r>
      <w:r w:rsidRPr="006E5C82">
        <w:t>a gift of $70 is given to persons aged 16 and older, and $30 is given to children 2–15 years of age</w:t>
      </w:r>
      <w:r w:rsidRPr="006E5C82">
        <w:rPr>
          <w:rFonts w:cs="Arial"/>
          <w:color w:val="000000"/>
        </w:rPr>
        <w:t xml:space="preserve">. </w:t>
      </w:r>
      <w:r w:rsidRPr="006E5C82">
        <w:rPr>
          <w:rFonts w:cs="Arial"/>
          <w:color w:val="000000"/>
        </w:rPr>
        <w:lastRenderedPageBreak/>
        <w:t>A gift of $20 will be given to adults who complete accelerometry procedures; $10 will be given to children aged 3–17 who complete accelerometry procedures.</w:t>
      </w:r>
    </w:p>
    <w:p w:rsidR="007C29B5" w:rsidRPr="006E5C82" w:rsidRDefault="007C29B5" w:rsidP="00B00C82">
      <w:pPr>
        <w:pStyle w:val="BodyText"/>
        <w:spacing w:line="240" w:lineRule="auto"/>
        <w:ind w:left="0"/>
      </w:pPr>
      <w:r w:rsidRPr="006E5C82">
        <w:rPr>
          <w:color w:val="000000"/>
          <w:u w:val="single"/>
        </w:rPr>
        <w:t>Appointment Procedures</w:t>
      </w:r>
      <w:r w:rsidRPr="006E5C82">
        <w:rPr>
          <w:color w:val="000000"/>
        </w:rPr>
        <w:t xml:space="preserve">. </w:t>
      </w:r>
      <w:r w:rsidRPr="006E5C82">
        <w:t xml:space="preserve">ATSS CATI interviewers will recruit and schedule appointments for the in-home data collection at the end of the ATSS call. Field staff will reschedule appointments if necessary. Respondents who complete the paper ATSS will be encouraged to call a toll-free number to schedule an in-home visit, if eligible. A toll-free number will be given to the recruited households </w:t>
      </w:r>
      <w:r w:rsidR="00827572" w:rsidRPr="006E5C82">
        <w:t xml:space="preserve">if </w:t>
      </w:r>
      <w:r w:rsidRPr="006E5C82">
        <w:t>they need to reschedule.</w:t>
      </w:r>
    </w:p>
    <w:p w:rsidR="007C29B5" w:rsidRPr="006E5C82" w:rsidRDefault="007C29B5" w:rsidP="00B00C82">
      <w:pPr>
        <w:pStyle w:val="BodyText"/>
        <w:spacing w:line="240" w:lineRule="auto"/>
        <w:ind w:left="0"/>
      </w:pPr>
      <w:r w:rsidRPr="006E5C82">
        <w:t xml:space="preserve">FIs will meet the sample members at the sampled address, at the appointed time. If a respondent is unavailable when the FI visits, another appointment will be scheduled. </w:t>
      </w:r>
      <w:r w:rsidR="00827572" w:rsidRPr="006E5C82">
        <w:t xml:space="preserve">If </w:t>
      </w:r>
      <w:r w:rsidRPr="006E5C82">
        <w:t>a potential respondent refuse</w:t>
      </w:r>
      <w:r w:rsidR="00827572" w:rsidRPr="006E5C82">
        <w:t>s</w:t>
      </w:r>
      <w:r w:rsidRPr="006E5C82">
        <w:t xml:space="preserve"> participation at the time of the examination, the FI will leave the premises and code the respondent as having refused participation in the </w:t>
      </w:r>
      <w:r w:rsidRPr="006E5C82">
        <w:rPr>
          <w:i/>
          <w:iCs/>
        </w:rPr>
        <w:t>Enhanced Protocol</w:t>
      </w:r>
      <w:r w:rsidRPr="006E5C82">
        <w:t>.</w:t>
      </w:r>
    </w:p>
    <w:p w:rsidR="007C29B5" w:rsidRPr="006E5C82" w:rsidRDefault="007C29B5" w:rsidP="00B00C82">
      <w:pPr>
        <w:pStyle w:val="BodyText"/>
        <w:spacing w:line="240" w:lineRule="auto"/>
        <w:ind w:left="0"/>
      </w:pPr>
      <w:r w:rsidRPr="006E5C82">
        <w:rPr>
          <w:u w:val="single"/>
        </w:rPr>
        <w:t>Field Interviewer Training</w:t>
      </w:r>
      <w:r w:rsidRPr="006E5C82">
        <w:t>. Refusal will be mitigated through a wide array of methods, including hiring high-quality bilingual scheduling staff and FIs, implement</w:t>
      </w:r>
      <w:r w:rsidR="00827572" w:rsidRPr="006E5C82">
        <w:t xml:space="preserve">ing </w:t>
      </w:r>
      <w:r w:rsidRPr="006E5C82">
        <w:t xml:space="preserve">quality assurance procedures such as close supervision of the FIs by the Data Collection Supervisor, and </w:t>
      </w:r>
      <w:r w:rsidR="00827572" w:rsidRPr="006E5C82">
        <w:t xml:space="preserve">offering </w:t>
      </w:r>
      <w:r w:rsidRPr="006E5C82">
        <w:t>comprehensive training. FIs will attend a centralized training on participant rescheduling, the interview and examination protocol, and handling and field storage procedures for samples. The goal of training will be to prepare staff to successfully perform field survey tasks in a consistent and standardized fashion as described in a manual of procedures. FIs will be required to show competency in general interviewing techniques (e.g., ask</w:t>
      </w:r>
      <w:r w:rsidR="00827572" w:rsidRPr="006E5C82">
        <w:t>ing</w:t>
      </w:r>
      <w:r w:rsidRPr="006E5C82">
        <w:t xml:space="preserve"> questions and record</w:t>
      </w:r>
      <w:r w:rsidR="00827572" w:rsidRPr="006E5C82">
        <w:t>ing</w:t>
      </w:r>
      <w:r w:rsidRPr="006E5C82">
        <w:t xml:space="preserve"> answers</w:t>
      </w:r>
      <w:r w:rsidR="00827572" w:rsidRPr="006E5C82">
        <w:t xml:space="preserve"> appropriately; </w:t>
      </w:r>
      <w:r w:rsidRPr="006E5C82">
        <w:t>contacting participants</w:t>
      </w:r>
      <w:r w:rsidR="00827572" w:rsidRPr="006E5C82">
        <w:t xml:space="preserve"> correctly;</w:t>
      </w:r>
      <w:r w:rsidR="00A56E4B">
        <w:t xml:space="preserve"> </w:t>
      </w:r>
      <w:r w:rsidR="00827572" w:rsidRPr="006E5C82">
        <w:t xml:space="preserve">demonstrating </w:t>
      </w:r>
      <w:r w:rsidRPr="006E5C82">
        <w:t>professional behavior, standards</w:t>
      </w:r>
      <w:r w:rsidR="00827572" w:rsidRPr="006E5C82">
        <w:t>,</w:t>
      </w:r>
      <w:r w:rsidRPr="006E5C82">
        <w:t xml:space="preserve"> and ethics) and gaining cooperation and refusal conversion.</w:t>
      </w:r>
    </w:p>
    <w:p w:rsidR="007C29B5" w:rsidRPr="006E5C82" w:rsidRDefault="007C29B5" w:rsidP="00B00C82">
      <w:pPr>
        <w:pStyle w:val="BodyText"/>
        <w:spacing w:line="240" w:lineRule="auto"/>
        <w:ind w:left="0"/>
      </w:pPr>
      <w:r w:rsidRPr="006E5C82">
        <w:rPr>
          <w:color w:val="000000"/>
          <w:u w:val="single"/>
        </w:rPr>
        <w:t>Languages of Survey Administration or Conduct of Examination</w:t>
      </w:r>
      <w:r w:rsidRPr="006E5C82">
        <w:rPr>
          <w:color w:val="000000"/>
        </w:rPr>
        <w:t xml:space="preserve">. </w:t>
      </w:r>
      <w:r w:rsidRPr="006E5C82">
        <w:t xml:space="preserve">Every participant (adult or child) will be given the option of completing the Youth or Caregiver Survey or following instructions for biometric measurements in Spanish or English. Thus, Spanish-speaking sample members who might otherwise have refused to participate because of their inability to complete the Youth or Caregiver Survey or Adult or </w:t>
      </w:r>
      <w:r w:rsidR="00ED468E">
        <w:t>Youth</w:t>
      </w:r>
      <w:r w:rsidRPr="006E5C82">
        <w:t xml:space="preserve"> Biometric Measures in English may complete them in Spanish instead. Adults who provide accelerometry data will maintain an Activity Diary for themselves</w:t>
      </w:r>
      <w:r w:rsidR="00827572" w:rsidRPr="006E5C82">
        <w:t>,</w:t>
      </w:r>
      <w:r w:rsidRPr="006E5C82">
        <w:t xml:space="preserve"> recording the time of getting up in the morning and going to bed and the time and reason the device was removed for </w:t>
      </w:r>
      <w:r w:rsidR="00A67818">
        <w:t>five</w:t>
      </w:r>
      <w:r w:rsidR="00A67818" w:rsidRPr="006E5C82">
        <w:t xml:space="preserve"> </w:t>
      </w:r>
      <w:r w:rsidRPr="006E5C82">
        <w:t>minutes or more for any activity. Activity Diaries for child</w:t>
      </w:r>
      <w:r w:rsidR="00827572" w:rsidRPr="006E5C82">
        <w:t>ren</w:t>
      </w:r>
      <w:r w:rsidRPr="006E5C82">
        <w:t xml:space="preserve"> aged 3–11 years will be maintained by caregiver</w:t>
      </w:r>
      <w:r w:rsidR="00827572" w:rsidRPr="006E5C82">
        <w:t>s,</w:t>
      </w:r>
      <w:r w:rsidRPr="006E5C82">
        <w:t xml:space="preserve"> and older children (</w:t>
      </w:r>
      <w:r w:rsidR="00C4140F">
        <w:t>aged</w:t>
      </w:r>
      <w:r w:rsidRPr="006E5C82">
        <w:t xml:space="preserve"> 12–17) will complete their own diary. These diaries will be provided in either English or Spanish.</w:t>
      </w:r>
    </w:p>
    <w:p w:rsidR="007C29B5" w:rsidRPr="006E5C82" w:rsidRDefault="007C29B5" w:rsidP="00B00C82">
      <w:pPr>
        <w:pStyle w:val="BodyText"/>
        <w:spacing w:line="240" w:lineRule="auto"/>
        <w:ind w:left="0"/>
      </w:pPr>
      <w:r w:rsidRPr="006E5C82">
        <w:rPr>
          <w:rFonts w:cs="Arial"/>
          <w:u w:val="single"/>
        </w:rPr>
        <w:t>Methods for Investigating the Impact of Nonresponse</w:t>
      </w:r>
      <w:r w:rsidRPr="006E5C82">
        <w:rPr>
          <w:rFonts w:cs="Arial"/>
        </w:rPr>
        <w:t xml:space="preserve">. </w:t>
      </w:r>
      <w:r w:rsidRPr="006E5C82">
        <w:t xml:space="preserve">Simple descriptive statistics, such as counts and frequencies, will be tabulated for respondents and nonrespondents at relevant stages of the sampling process (e.g., from telephone contact to completion of ATSS, from completion of ATSS to participation in the </w:t>
      </w:r>
      <w:r w:rsidRPr="006E5C82">
        <w:rPr>
          <w:i/>
          <w:iCs/>
        </w:rPr>
        <w:t>Enhanced Protocol</w:t>
      </w:r>
      <w:r w:rsidRPr="006E5C82">
        <w:t>). Nonrespondent statistics will be tabulated overall and by subtype (refusal vs. not contacted). Response rates will be calculated and comparisons will be made between respondents and nonrespondents on sociodemographic characteristics (e.g., age, sex, and race/ethnicity) and other relevant factors. Techniques to minimize the potential bias resulting from nonresponse will be considered. If changes in protocol are warranted, plans will be developed for implementation after</w:t>
      </w:r>
      <w:r w:rsidR="00D238D1" w:rsidRPr="006E5C82">
        <w:t xml:space="preserve"> Institutional Review Board</w:t>
      </w:r>
      <w:r w:rsidRPr="006E5C82">
        <w:t xml:space="preserve"> </w:t>
      </w:r>
      <w:r w:rsidR="00D238D1" w:rsidRPr="006E5C82">
        <w:t>(</w:t>
      </w:r>
      <w:r w:rsidRPr="006E5C82">
        <w:t>IRB</w:t>
      </w:r>
      <w:r w:rsidR="00D238D1" w:rsidRPr="006E5C82">
        <w:t>)</w:t>
      </w:r>
      <w:r w:rsidRPr="006E5C82">
        <w:t xml:space="preserve"> and OMB review.</w:t>
      </w:r>
    </w:p>
    <w:p w:rsidR="007C29B5" w:rsidRPr="006E5C82" w:rsidRDefault="007C29B5" w:rsidP="00B00C82">
      <w:pPr>
        <w:pStyle w:val="Heading3"/>
      </w:pPr>
      <w:bookmarkStart w:id="29" w:name="_Toc318379268"/>
      <w:bookmarkStart w:id="30" w:name="_Toc348434931"/>
      <w:r w:rsidRPr="006E5C82">
        <w:lastRenderedPageBreak/>
        <w:t>Management of Missing Data and Other Issues</w:t>
      </w:r>
      <w:bookmarkEnd w:id="29"/>
      <w:bookmarkEnd w:id="30"/>
    </w:p>
    <w:p w:rsidR="007C29B5" w:rsidRPr="006E5C82" w:rsidRDefault="00B275EA" w:rsidP="00B00C82">
      <w:pPr>
        <w:pStyle w:val="Heading4"/>
        <w:spacing w:line="240" w:lineRule="auto"/>
      </w:pPr>
      <w:r w:rsidRPr="006E5C82">
        <w:t>1.</w:t>
      </w:r>
      <w:r w:rsidRPr="006E5C82">
        <w:tab/>
      </w:r>
      <w:r w:rsidR="007C29B5" w:rsidRPr="006E5C82">
        <w:t xml:space="preserve">Missing </w:t>
      </w:r>
      <w:r w:rsidR="008B1DE1" w:rsidRPr="006E5C82">
        <w:t>Data</w:t>
      </w:r>
    </w:p>
    <w:p w:rsidR="007C29B5" w:rsidRPr="006E5C82" w:rsidRDefault="007C29B5" w:rsidP="00B00C82">
      <w:pPr>
        <w:pStyle w:val="BodyText"/>
        <w:spacing w:line="240" w:lineRule="auto"/>
      </w:pPr>
      <w:r w:rsidRPr="006E5C82">
        <w:t xml:space="preserve">Missing data will be handled with a number of strategies to minimize their impact on the final analysis, including ongoing monitoring of data collection to identify problem areas of each instrument and address them immediately, monitoring of individual interviewer performance to ensure that items are not being skipped or inaccurately coded, and imputation of data for those with missing data once the analysis begins. </w:t>
      </w:r>
    </w:p>
    <w:p w:rsidR="007C29B5" w:rsidRPr="006E5C82" w:rsidRDefault="007C29B5" w:rsidP="00F83E4A">
      <w:pPr>
        <w:pStyle w:val="BodyText"/>
        <w:spacing w:line="240" w:lineRule="auto"/>
      </w:pPr>
      <w:r w:rsidRPr="006E5C82">
        <w:t xml:space="preserve">During the data collection period, interviewers will be closely monitored by Data Collection Supervisors (on the telephone or in the field) who will review data as they are entered and oversee data collection by listening </w:t>
      </w:r>
      <w:r w:rsidR="00827572" w:rsidRPr="006E5C82">
        <w:t xml:space="preserve">to </w:t>
      </w:r>
      <w:r w:rsidRPr="006E5C82">
        <w:t xml:space="preserve">or attending interviews to ensure that interviewers are using their training to maximize complete responses. In addition, as data are entered into the surveillance system created by </w:t>
      </w:r>
      <w:r w:rsidR="00F83E4A">
        <w:t>the contractor</w:t>
      </w:r>
      <w:r w:rsidRPr="006E5C82">
        <w:t>, statisticians will review responses on a monthly basis to identify patterns of nonresponse for particular items and address problem areas of the instruments. These findings will be used to potentially tweak questions on the instruments or identify areas where skip patterns can be improved to maximize responses.</w:t>
      </w:r>
    </w:p>
    <w:p w:rsidR="007C29B5" w:rsidRPr="006E5C82" w:rsidRDefault="007C29B5" w:rsidP="00B00C82">
      <w:pPr>
        <w:pStyle w:val="BodyText"/>
        <w:spacing w:line="240" w:lineRule="auto"/>
      </w:pPr>
      <w:r w:rsidRPr="006E5C82">
        <w:t xml:space="preserve">Of particular concern is the break-off phenomenon, </w:t>
      </w:r>
      <w:r w:rsidR="00827572" w:rsidRPr="006E5C82">
        <w:t xml:space="preserve">in which </w:t>
      </w:r>
      <w:r w:rsidRPr="006E5C82">
        <w:t xml:space="preserve">respondents tire and quit before the end of the questionnaire. Break-offs could lead to higher nonresponse for items in the latter part of the questionnaire, particularly for the ATSS. If we find that a large number of respondents are dropping out of the </w:t>
      </w:r>
      <w:r w:rsidR="00827572" w:rsidRPr="006E5C82">
        <w:t xml:space="preserve">study </w:t>
      </w:r>
      <w:r w:rsidRPr="006E5C82">
        <w:t xml:space="preserve">before ATSS completion, we will explore the extent to which we can transfer some questions from the ATSS to the data collection conducted in the home. This strategy would be helpful because break-offs are far less common in person. However, not all respondents would have this option because some will not be invited to participate in the </w:t>
      </w:r>
      <w:r w:rsidRPr="006E5C82">
        <w:rPr>
          <w:i/>
          <w:iCs/>
        </w:rPr>
        <w:t>Enhanced Protocol</w:t>
      </w:r>
      <w:r w:rsidRPr="006E5C82">
        <w:t xml:space="preserve"> or will refuse to complete an in-home visit. We anticipate that households that agree to schedule an in-home visit for the </w:t>
      </w:r>
      <w:r w:rsidRPr="00AE28A3">
        <w:rPr>
          <w:i/>
        </w:rPr>
        <w:t>Enhanced Protocol</w:t>
      </w:r>
      <w:r w:rsidRPr="006E5C82">
        <w:t xml:space="preserve"> will have fewer missing data in their responses because the FI will be collecting the data in person. Several steps will be taken to ensure that these appointments are kept, including having an FI call the respondent within </w:t>
      </w:r>
      <w:r w:rsidR="00A67818">
        <w:t>one</w:t>
      </w:r>
      <w:r w:rsidR="00A67818" w:rsidRPr="006E5C82">
        <w:t xml:space="preserve"> </w:t>
      </w:r>
      <w:r w:rsidRPr="006E5C82">
        <w:t xml:space="preserve">day or completion of the ATSS to confirm the data of the in-home visit, and then calling the respondent prior to the visit for an appointment reminder. Once in the home, the FI will have received training on the various scenarios they may encounter in collecting data for each instrument </w:t>
      </w:r>
      <w:r w:rsidR="009B05A1" w:rsidRPr="006E5C82">
        <w:t xml:space="preserve">and </w:t>
      </w:r>
      <w:r w:rsidRPr="006E5C82">
        <w:t xml:space="preserve">will be able to attend to missing responses. </w:t>
      </w:r>
    </w:p>
    <w:p w:rsidR="007C29B5" w:rsidRPr="006E5C82" w:rsidRDefault="007C29B5" w:rsidP="003E1251">
      <w:pPr>
        <w:pStyle w:val="BodyText"/>
        <w:spacing w:line="240" w:lineRule="auto"/>
      </w:pPr>
      <w:r w:rsidRPr="006E5C82">
        <w:t xml:space="preserve">For households invited to participate in the accelerometry data collection procedures will be implemented to minimize missing data: reminder calls to participants will be made twice during the week they have been asked to wear the monitor; the participant will be instructed that receiving the gift is dependent on providing at least </w:t>
      </w:r>
      <w:r w:rsidR="00790A9D">
        <w:t>four</w:t>
      </w:r>
      <w:r w:rsidR="00790A9D" w:rsidRPr="006E5C82">
        <w:t xml:space="preserve"> </w:t>
      </w:r>
      <w:r w:rsidRPr="006E5C82">
        <w:t>days with at least 10 hours of data following the NHANES accelerometry protocol.</w:t>
      </w:r>
      <w:r w:rsidR="003E1251">
        <w:rPr>
          <w:vertAlign w:val="superscript"/>
        </w:rPr>
        <w:t>47</w:t>
      </w:r>
      <w:r w:rsidR="00587B88" w:rsidRPr="006E5C82">
        <w:t xml:space="preserve"> </w:t>
      </w:r>
      <w:r w:rsidRPr="006E5C82">
        <w:t>Imputation techniques will be considered to address intermittently missing data.</w:t>
      </w:r>
      <w:r w:rsidR="00CC69A6">
        <w:rPr>
          <w:vertAlign w:val="superscript"/>
        </w:rPr>
        <w:t>4</w:t>
      </w:r>
      <w:r w:rsidR="003E1251">
        <w:rPr>
          <w:vertAlign w:val="superscript"/>
        </w:rPr>
        <w:t>8</w:t>
      </w:r>
      <w:r w:rsidR="00CC69A6" w:rsidRPr="006E5C82">
        <w:rPr>
          <w:vertAlign w:val="superscript"/>
        </w:rPr>
        <w:t xml:space="preserve"> </w:t>
      </w:r>
      <w:r w:rsidRPr="006E5C82">
        <w:t>If data are not complete according to the</w:t>
      </w:r>
      <w:r w:rsidR="002B34DA" w:rsidRPr="006E5C82">
        <w:t xml:space="preserve"> previous</w:t>
      </w:r>
      <w:r w:rsidRPr="006E5C82">
        <w:t xml:space="preserve"> criteria, participants will be asked to wear the accelerometer for an additional </w:t>
      </w:r>
      <w:r w:rsidR="00790A9D">
        <w:t>seven</w:t>
      </w:r>
      <w:r w:rsidR="00790A9D" w:rsidRPr="006E5C82">
        <w:t xml:space="preserve"> </w:t>
      </w:r>
      <w:r w:rsidRPr="006E5C82">
        <w:t>days. Implementation of “rewear” strategies has been found to increase completeness of the physical activity database</w:t>
      </w:r>
      <w:r w:rsidR="00E14988">
        <w:t>.</w:t>
      </w:r>
      <w:r w:rsidR="00E14988">
        <w:rPr>
          <w:vertAlign w:val="superscript"/>
        </w:rPr>
        <w:t>4</w:t>
      </w:r>
      <w:r w:rsidR="003E1251">
        <w:rPr>
          <w:vertAlign w:val="superscript"/>
        </w:rPr>
        <w:t>9</w:t>
      </w:r>
      <w:r w:rsidRPr="006E5C82">
        <w:t xml:space="preserve"> </w:t>
      </w:r>
    </w:p>
    <w:p w:rsidR="007C29B5" w:rsidRPr="006E5C82" w:rsidRDefault="007C29B5" w:rsidP="00EA00AF">
      <w:pPr>
        <w:pStyle w:val="BodyText"/>
        <w:spacing w:line="240" w:lineRule="auto"/>
      </w:pPr>
      <w:r w:rsidRPr="006E5C82">
        <w:t xml:space="preserve">Once we begin data analysis for variables with less than 10% missing data, an imputation strategy may be applied to estimate the missing data based on specific variables from the </w:t>
      </w:r>
      <w:r w:rsidRPr="006E5C82">
        <w:lastRenderedPageBreak/>
        <w:t xml:space="preserve">distribution of the entire sample from each </w:t>
      </w:r>
      <w:r w:rsidR="00EA00AF">
        <w:t>a</w:t>
      </w:r>
      <w:r w:rsidRPr="006E5C82">
        <w:t xml:space="preserve">wardee </w:t>
      </w:r>
      <w:r w:rsidR="00EA00AF">
        <w:t>a</w:t>
      </w:r>
      <w:r w:rsidRPr="006E5C82">
        <w:t>rea such as age, sex, race/ethnicity, education, and household income.</w:t>
      </w:r>
    </w:p>
    <w:p w:rsidR="00AB1ACE" w:rsidRDefault="00B275EA" w:rsidP="00CC69A6">
      <w:pPr>
        <w:pStyle w:val="Heading4"/>
        <w:spacing w:line="240" w:lineRule="auto"/>
      </w:pPr>
      <w:r w:rsidRPr="006E5C82">
        <w:t>2.</w:t>
      </w:r>
      <w:r w:rsidRPr="006E5C82">
        <w:tab/>
      </w:r>
      <w:r w:rsidR="007C29B5" w:rsidRPr="006E5C82">
        <w:t>Seasonality</w:t>
      </w:r>
    </w:p>
    <w:p w:rsidR="00AB1ACE" w:rsidRDefault="007C29B5" w:rsidP="00CC69A6">
      <w:pPr>
        <w:pStyle w:val="BodyText"/>
        <w:spacing w:line="240" w:lineRule="auto"/>
      </w:pPr>
      <w:r w:rsidRPr="006E5C82">
        <w:t xml:space="preserve">Both the </w:t>
      </w:r>
      <w:r w:rsidRPr="006E5C82">
        <w:rPr>
          <w:i/>
          <w:iCs/>
        </w:rPr>
        <w:t>Standard</w:t>
      </w:r>
      <w:r w:rsidRPr="006E5C82">
        <w:t xml:space="preserve"> and </w:t>
      </w:r>
      <w:r w:rsidRPr="006E5C82">
        <w:rPr>
          <w:i/>
        </w:rPr>
        <w:t>Enhanced Protocol</w:t>
      </w:r>
      <w:r w:rsidRPr="006E5C82">
        <w:t xml:space="preserve">s will be executed over a 12-month period of data collection for each time period. We do not anticipate seasonal effects to be a </w:t>
      </w:r>
      <w:r w:rsidR="00026279" w:rsidRPr="006E5C82">
        <w:t>methodological</w:t>
      </w:r>
      <w:r w:rsidRPr="006E5C82">
        <w:t xml:space="preserve"> issue because data collection in all awardees will occur over a 12-month period in years 2013 (upon OMB approval for 12 months thereafter), 2015 (repeat of the same time period as 2013), and 2017 (upon OMB renewal for 12 months thereafter, to match the same time periods as in 2013 and 2015). Nevertheless, the date of data collection will be recorded for the Youth or Caregiver Surveys as well as the Adult and Youth Biometric Measures to account for potential seasonality effects, if necessary.</w:t>
      </w:r>
    </w:p>
    <w:p w:rsidR="00AB1ACE" w:rsidRDefault="007C29B5" w:rsidP="00CC69A6">
      <w:pPr>
        <w:pStyle w:val="Heading3"/>
      </w:pPr>
      <w:bookmarkStart w:id="31" w:name="_Toc348434932"/>
      <w:r w:rsidRPr="006E5C82">
        <w:t>Description of Sample Weighting</w:t>
      </w:r>
      <w:bookmarkEnd w:id="31"/>
    </w:p>
    <w:p w:rsidR="00AB1ACE" w:rsidRDefault="007C29B5" w:rsidP="00CC69A6">
      <w:pPr>
        <w:pStyle w:val="BodyText"/>
        <w:spacing w:line="240" w:lineRule="auto"/>
        <w:ind w:left="0"/>
      </w:pPr>
      <w:r w:rsidRPr="006E5C82">
        <w:t>In all analyses, data will be weighted to account for the unequal probability of selection and response. Sample weights will be developed to reflect the probability of selection and response for specific sets of respondents. At least two sets of sample weights will be developed for specific sets of respondents</w:t>
      </w:r>
      <w:r w:rsidR="002B34DA" w:rsidRPr="006E5C82">
        <w:t xml:space="preserve">: </w:t>
      </w:r>
      <w:r w:rsidRPr="006E5C82">
        <w:t>one for use in analyses of ATSS questionnaire data and the other for use in analyses of data collected from the in-home examination. The methodology for creating the two sets of weights is very similar. We will describe the creation of the weights once but highlight the difference and not reproduce the methodology twice.</w:t>
      </w:r>
    </w:p>
    <w:p w:rsidR="00AB1ACE" w:rsidRDefault="007C29B5" w:rsidP="00CC69A6">
      <w:pPr>
        <w:pStyle w:val="Heading4"/>
        <w:spacing w:line="240" w:lineRule="auto"/>
        <w:ind w:left="0"/>
      </w:pPr>
      <w:r w:rsidRPr="006E5C82">
        <w:t xml:space="preserve">Weighting Overview </w:t>
      </w:r>
    </w:p>
    <w:p w:rsidR="00AB1ACE" w:rsidRDefault="007C29B5" w:rsidP="00CC69A6">
      <w:pPr>
        <w:pStyle w:val="BodyText"/>
        <w:spacing w:line="240" w:lineRule="auto"/>
        <w:ind w:left="0"/>
      </w:pPr>
      <w:r w:rsidRPr="006E5C82">
        <w:t>There are four steps in creating the sampling weights:</w:t>
      </w:r>
    </w:p>
    <w:p w:rsidR="00AB1ACE" w:rsidRDefault="007C29B5" w:rsidP="00CC69A6">
      <w:pPr>
        <w:pStyle w:val="Bullet-numbered"/>
        <w:tabs>
          <w:tab w:val="clear" w:pos="1440"/>
          <w:tab w:val="left" w:pos="1080"/>
        </w:tabs>
        <w:spacing w:after="240"/>
        <w:ind w:left="1080"/>
        <w:contextualSpacing/>
      </w:pPr>
      <w:r w:rsidRPr="006E5C82">
        <w:t>Calculate the initial weights as in the inverse of the probability of selection with an adjustment for unknown eligibility</w:t>
      </w:r>
      <w:r w:rsidR="002B34DA" w:rsidRPr="006E5C82">
        <w:t>.</w:t>
      </w:r>
    </w:p>
    <w:p w:rsidR="00AB1ACE" w:rsidRDefault="002B34DA" w:rsidP="00CC69A6">
      <w:pPr>
        <w:pStyle w:val="Bullet-numbered"/>
        <w:tabs>
          <w:tab w:val="clear" w:pos="1440"/>
          <w:tab w:val="left" w:pos="1080"/>
        </w:tabs>
        <w:spacing w:after="240"/>
        <w:ind w:left="1080"/>
        <w:contextualSpacing/>
      </w:pPr>
      <w:r w:rsidRPr="006E5C82">
        <w:t>Adjust for n</w:t>
      </w:r>
      <w:r w:rsidR="007C29B5" w:rsidRPr="006E5C82">
        <w:t>onresponse</w:t>
      </w:r>
      <w:r w:rsidRPr="006E5C82">
        <w:t>.</w:t>
      </w:r>
    </w:p>
    <w:p w:rsidR="00AB1ACE" w:rsidRDefault="007C29B5" w:rsidP="00CC69A6">
      <w:pPr>
        <w:pStyle w:val="Bullet-numbered"/>
        <w:tabs>
          <w:tab w:val="clear" w:pos="1440"/>
          <w:tab w:val="left" w:pos="1080"/>
        </w:tabs>
        <w:spacing w:after="240"/>
        <w:ind w:left="1080"/>
        <w:contextualSpacing/>
      </w:pPr>
      <w:r w:rsidRPr="006E5C82">
        <w:t>Adjust for household size</w:t>
      </w:r>
      <w:r w:rsidR="002B34DA" w:rsidRPr="006E5C82">
        <w:t>.</w:t>
      </w:r>
    </w:p>
    <w:p w:rsidR="00AB1ACE" w:rsidRDefault="007C29B5" w:rsidP="00CC69A6">
      <w:pPr>
        <w:pStyle w:val="Bullet-numbered"/>
        <w:tabs>
          <w:tab w:val="clear" w:pos="1440"/>
          <w:tab w:val="left" w:pos="1080"/>
        </w:tabs>
        <w:spacing w:after="240"/>
        <w:ind w:left="1080"/>
        <w:contextualSpacing/>
      </w:pPr>
      <w:r w:rsidRPr="006E5C82">
        <w:t>Poststratif</w:t>
      </w:r>
      <w:r w:rsidR="002B34DA" w:rsidRPr="006E5C82">
        <w:t>y.</w:t>
      </w:r>
    </w:p>
    <w:p w:rsidR="00AB1ACE" w:rsidRPr="00CC69A6" w:rsidRDefault="00332D9E" w:rsidP="00CC69A6">
      <w:pPr>
        <w:pStyle w:val="Heading5"/>
        <w:spacing w:line="240" w:lineRule="auto"/>
        <w:ind w:left="0"/>
        <w:rPr>
          <w:b/>
          <w:bCs/>
          <w:i/>
          <w:iCs/>
          <w:u w:val="none"/>
        </w:rPr>
      </w:pPr>
      <w:r w:rsidRPr="00CC69A6">
        <w:rPr>
          <w:b/>
          <w:bCs/>
          <w:i/>
          <w:iCs/>
          <w:u w:val="none"/>
        </w:rPr>
        <w:t>Step 1: Calculate the Initial Weights</w:t>
      </w:r>
    </w:p>
    <w:p w:rsidR="00AB1ACE" w:rsidRDefault="007C29B5" w:rsidP="00CC69A6">
      <w:pPr>
        <w:pStyle w:val="BodyText"/>
        <w:spacing w:line="240" w:lineRule="auto"/>
        <w:ind w:left="0"/>
      </w:pPr>
      <w:r w:rsidRPr="006E5C82">
        <w:t xml:space="preserve">The following formula defines an initial weight which is the inverse of the probability of selection of the address for the </w:t>
      </w:r>
      <w:r w:rsidRPr="006E5C82">
        <w:rPr>
          <w:i/>
          <w:iCs/>
        </w:rPr>
        <w:t>j</w:t>
      </w:r>
      <w:r w:rsidRPr="006E5C82">
        <w:rPr>
          <w:vertAlign w:val="superscript"/>
        </w:rPr>
        <w:t>th</w:t>
      </w:r>
      <w:r w:rsidRPr="006E5C82">
        <w:t xml:space="preserve"> frame member that adjusts for known eligibility status.</w:t>
      </w:r>
    </w:p>
    <w:p w:rsidR="00AB1ACE" w:rsidRDefault="007C29B5" w:rsidP="00CC69A6">
      <w:pPr>
        <w:spacing w:after="240"/>
        <w:jc w:val="center"/>
      </w:pPr>
      <w:r w:rsidRPr="006E5C82">
        <w:rPr>
          <w:position w:val="-72"/>
        </w:rPr>
        <w:object w:dxaOrig="6640" w:dyaOrig="1560">
          <v:shape id="_x0000_i1028" type="#_x0000_t75" style="width:330pt;height:77.4pt" o:ole="">
            <v:imagedata r:id="rId25" o:title=""/>
          </v:shape>
          <o:OLEObject Type="Embed" ProgID="Equation.3" ShapeID="_x0000_i1028" DrawAspect="Content" ObjectID="_1437289030" r:id="rId26"/>
        </w:object>
      </w:r>
    </w:p>
    <w:p w:rsidR="00AB1ACE" w:rsidRDefault="007C29B5" w:rsidP="00CC69A6">
      <w:pPr>
        <w:pStyle w:val="bullets-blank3"/>
        <w:spacing w:line="240" w:lineRule="auto"/>
      </w:pPr>
      <w:r w:rsidRPr="006E5C82">
        <w:rPr>
          <w:position w:val="-14"/>
        </w:rPr>
        <w:object w:dxaOrig="480" w:dyaOrig="420">
          <v:shape id="_x0000_i1029" type="#_x0000_t75" style="width:24pt;height:21.6pt" o:ole="">
            <v:imagedata r:id="rId27" o:title=""/>
          </v:shape>
          <o:OLEObject Type="Embed" ProgID="Equation.3" ShapeID="_x0000_i1029" DrawAspect="Content" ObjectID="_1437289031" r:id="rId28"/>
        </w:object>
      </w:r>
      <w:r w:rsidRPr="006E5C82">
        <w:tab/>
        <w:t>=</w:t>
      </w:r>
      <w:r w:rsidRPr="006E5C82">
        <w:tab/>
        <w:t xml:space="preserve">The initial weight of the </w:t>
      </w:r>
      <w:r w:rsidRPr="006E5C82">
        <w:rPr>
          <w:i/>
          <w:iCs/>
        </w:rPr>
        <w:t>j</w:t>
      </w:r>
      <w:r w:rsidRPr="006E5C82">
        <w:rPr>
          <w:vertAlign w:val="superscript"/>
        </w:rPr>
        <w:t>th</w:t>
      </w:r>
      <w:r w:rsidRPr="006E5C82">
        <w:t xml:space="preserve"> address in stratum </w:t>
      </w:r>
      <w:r w:rsidRPr="006E5C82">
        <w:rPr>
          <w:i/>
          <w:iCs/>
        </w:rPr>
        <w:t>i,</w:t>
      </w:r>
    </w:p>
    <w:p w:rsidR="00AB1ACE" w:rsidRDefault="007C29B5" w:rsidP="00CC69A6">
      <w:pPr>
        <w:pStyle w:val="bullets-blank3"/>
        <w:spacing w:line="240" w:lineRule="auto"/>
      </w:pPr>
      <w:r w:rsidRPr="006E5C82">
        <w:object w:dxaOrig="340" w:dyaOrig="380">
          <v:shape id="_x0000_i1030" type="#_x0000_t75" style="width:18.6pt;height:18.6pt;visibility:visible" o:ole="">
            <v:imagedata r:id="rId29" o:title=""/>
          </v:shape>
          <o:OLEObject Type="Embed" ProgID="Equation.3" ShapeID="_x0000_i1030" DrawAspect="Content" ObjectID="_1437289032" r:id="rId30"/>
        </w:object>
      </w:r>
      <w:r w:rsidRPr="006E5C82">
        <w:tab/>
        <w:t>=</w:t>
      </w:r>
      <w:r w:rsidRPr="006E5C82">
        <w:tab/>
        <w:t xml:space="preserve">the quantity of addresses in stratum </w:t>
      </w:r>
      <w:r w:rsidRPr="006E5C82">
        <w:rPr>
          <w:i/>
          <w:iCs/>
        </w:rPr>
        <w:t>i,</w:t>
      </w:r>
    </w:p>
    <w:p w:rsidR="00AB1ACE" w:rsidRDefault="007C29B5" w:rsidP="00CC69A6">
      <w:pPr>
        <w:pStyle w:val="bullets-blank3"/>
        <w:spacing w:line="240" w:lineRule="auto"/>
      </w:pPr>
      <w:r w:rsidRPr="006E5C82">
        <w:object w:dxaOrig="340" w:dyaOrig="380">
          <v:shape id="_x0000_i1031" type="#_x0000_t75" style="width:18.6pt;height:18.6pt;visibility:visible" o:ole="">
            <v:imagedata r:id="rId31" o:title=""/>
          </v:shape>
          <o:OLEObject Type="Embed" ProgID="Equation.3" ShapeID="_x0000_i1031" DrawAspect="Content" ObjectID="_1437289033" r:id="rId32"/>
        </w:object>
      </w:r>
      <w:r w:rsidRPr="006E5C82">
        <w:tab/>
        <w:t>=</w:t>
      </w:r>
      <w:r w:rsidRPr="006E5C82">
        <w:tab/>
        <w:t xml:space="preserve">the quantity of sample respondents in stratum </w:t>
      </w:r>
      <w:r w:rsidRPr="006E5C82">
        <w:rPr>
          <w:i/>
          <w:iCs/>
        </w:rPr>
        <w:t>i</w:t>
      </w:r>
      <w:r w:rsidRPr="006E5C82">
        <w:t>,</w:t>
      </w:r>
    </w:p>
    <w:p w:rsidR="00AB1ACE" w:rsidRDefault="007C29B5" w:rsidP="00CC69A6">
      <w:pPr>
        <w:pStyle w:val="bullets-blank3"/>
        <w:spacing w:line="240" w:lineRule="auto"/>
      </w:pPr>
      <w:r w:rsidRPr="006E5C82">
        <w:object w:dxaOrig="360" w:dyaOrig="380">
          <v:shape id="_x0000_i1032" type="#_x0000_t75" style="width:18.6pt;height:18.6pt;visibility:visible" o:ole="">
            <v:imagedata r:id="rId33" o:title=""/>
          </v:shape>
          <o:OLEObject Type="Embed" ProgID="Equation.3" ShapeID="_x0000_i1032" DrawAspect="Content" ObjectID="_1437289034" r:id="rId34"/>
        </w:object>
      </w:r>
      <w:r w:rsidRPr="006E5C82">
        <w:tab/>
        <w:t>=</w:t>
      </w:r>
      <w:r w:rsidRPr="006E5C82">
        <w:tab/>
        <w:t xml:space="preserve">the quantity of nonresponding addresses in stratum </w:t>
      </w:r>
      <w:r w:rsidRPr="006E5C82">
        <w:rPr>
          <w:i/>
          <w:iCs/>
        </w:rPr>
        <w:t>i</w:t>
      </w:r>
      <w:r w:rsidRPr="006E5C82">
        <w:t>,</w:t>
      </w:r>
    </w:p>
    <w:p w:rsidR="00AB1ACE" w:rsidRDefault="007C29B5" w:rsidP="00CC69A6">
      <w:pPr>
        <w:pStyle w:val="bullets-blank3"/>
        <w:spacing w:line="240" w:lineRule="auto"/>
      </w:pPr>
      <w:r w:rsidRPr="006E5C82">
        <w:object w:dxaOrig="320" w:dyaOrig="380">
          <v:shape id="_x0000_i1033" type="#_x0000_t75" style="width:18.6pt;height:18.6pt;visibility:visible" o:ole="">
            <v:imagedata r:id="rId35" o:title=""/>
          </v:shape>
          <o:OLEObject Type="Embed" ProgID="Equation.3" ShapeID="_x0000_i1033" DrawAspect="Content" ObjectID="_1437289035" r:id="rId36"/>
        </w:object>
      </w:r>
      <w:r w:rsidRPr="006E5C82">
        <w:tab/>
        <w:t>=</w:t>
      </w:r>
      <w:r w:rsidRPr="006E5C82">
        <w:tab/>
        <w:t xml:space="preserve">the quantity of ineligible addresses in stratum </w:t>
      </w:r>
      <w:r w:rsidRPr="006E5C82">
        <w:rPr>
          <w:i/>
          <w:iCs/>
        </w:rPr>
        <w:t>i</w:t>
      </w:r>
      <w:r w:rsidR="00E72F0B" w:rsidRPr="006E5C82">
        <w:t>, and</w:t>
      </w:r>
    </w:p>
    <w:p w:rsidR="00AB1ACE" w:rsidRDefault="007C29B5" w:rsidP="00CC69A6">
      <w:pPr>
        <w:pStyle w:val="bullets-blank3"/>
        <w:spacing w:line="240" w:lineRule="auto"/>
      </w:pPr>
      <w:r w:rsidRPr="006E5C82">
        <w:rPr>
          <w:position w:val="-12"/>
        </w:rPr>
        <w:object w:dxaOrig="240" w:dyaOrig="360">
          <v:shape id="_x0000_i1034" type="#_x0000_t75" style="width:14.4pt;height:18.6pt" o:ole="">
            <v:imagedata r:id="rId37" o:title=""/>
          </v:shape>
          <o:OLEObject Type="Embed" ProgID="Equation.3" ShapeID="_x0000_i1034" DrawAspect="Content" ObjectID="_1437289036" r:id="rId38"/>
        </w:object>
      </w:r>
      <w:r w:rsidRPr="006E5C82">
        <w:tab/>
        <w:t>=</w:t>
      </w:r>
      <w:r w:rsidRPr="006E5C82">
        <w:tab/>
        <w:t xml:space="preserve">quantity of addresses selected in stratum </w:t>
      </w:r>
      <w:r w:rsidRPr="006E5C82">
        <w:rPr>
          <w:i/>
          <w:iCs/>
        </w:rPr>
        <w:t>i</w:t>
      </w:r>
      <w:r w:rsidRPr="006E5C82">
        <w:t>.</w:t>
      </w:r>
    </w:p>
    <w:p w:rsidR="00AB1ACE" w:rsidRDefault="007C29B5" w:rsidP="00CC69A6">
      <w:pPr>
        <w:pStyle w:val="BodyText"/>
        <w:spacing w:line="240" w:lineRule="auto"/>
        <w:ind w:left="0"/>
      </w:pPr>
      <w:r w:rsidRPr="006E5C82">
        <w:t>(For clarification, in this notation</w:t>
      </w:r>
      <w:r w:rsidR="002B34DA" w:rsidRPr="006E5C82">
        <w:t>,</w:t>
      </w:r>
      <w:r w:rsidRPr="006E5C82">
        <w:t xml:space="preserve"> superscripts refer to the step in weighting, not a power.) After defining the initial weights, ineligible frame members are removed. The sum of the initial weights is an estimate of the eligible population in the targeted surveillance area.</w:t>
      </w:r>
    </w:p>
    <w:p w:rsidR="00AB1ACE" w:rsidRPr="00CC69A6" w:rsidRDefault="00332D9E" w:rsidP="00CC69A6">
      <w:pPr>
        <w:pStyle w:val="Heading5"/>
        <w:spacing w:line="240" w:lineRule="auto"/>
        <w:ind w:left="0"/>
        <w:rPr>
          <w:b/>
          <w:bCs/>
          <w:i/>
          <w:iCs/>
          <w:u w:val="none"/>
        </w:rPr>
      </w:pPr>
      <w:r w:rsidRPr="00CC69A6">
        <w:rPr>
          <w:b/>
          <w:bCs/>
          <w:i/>
          <w:iCs/>
          <w:u w:val="none"/>
        </w:rPr>
        <w:t>Step 2: Adjust for Nonresponse</w:t>
      </w:r>
    </w:p>
    <w:p w:rsidR="00AB1ACE" w:rsidRDefault="007C29B5" w:rsidP="00CC69A6">
      <w:pPr>
        <w:pStyle w:val="BodyText"/>
        <w:spacing w:line="240" w:lineRule="auto"/>
        <w:ind w:left="0"/>
      </w:pPr>
      <w:r w:rsidRPr="006E5C82">
        <w:t xml:space="preserve">The sample receives a model-based nonresponse adjustment. The sample contains two stages of selection. The household is selected in the first stage. The individual is selected in the second stage. In some studies, adjustments for nonresponse occur at both stages of selection. In this study we will adjust for these two stages of nonresponse using one model. The rationale for combining the two stages is that for mail contacts we will not be able to distinguish between household- and individual-level nonresponse. For telephone contacts, we expect 95% of the nonresponse to occur at the household level. If we used two models for nonresponse, one at the household level and one at the individual level, we would not have enough data to produce a good model at the individual level. Consequently, we adjust for household- and individual-level nonresponse in one model. </w:t>
      </w:r>
    </w:p>
    <w:p w:rsidR="00AB1ACE" w:rsidRDefault="007C29B5" w:rsidP="00CC69A6">
      <w:pPr>
        <w:pStyle w:val="BodyText"/>
        <w:spacing w:line="240" w:lineRule="auto"/>
        <w:ind w:left="0"/>
      </w:pPr>
      <w:r w:rsidRPr="006E5C82">
        <w:t>American Community Survey (ACS) data are appended to the sample frame. A logistic regression model is fit predicting the probability of response using ACS data and stratification variables as predictors.</w:t>
      </w:r>
    </w:p>
    <w:p w:rsidR="00AB1ACE" w:rsidRDefault="007C29B5" w:rsidP="00CC69A6">
      <w:pPr>
        <w:pStyle w:val="BodyText"/>
        <w:spacing w:line="240" w:lineRule="auto"/>
        <w:ind w:left="0"/>
      </w:pPr>
      <w:r w:rsidRPr="006E5C82">
        <w:t xml:space="preserve">The following independent variables are used in the model that predicts nonresponse. </w:t>
      </w:r>
    </w:p>
    <w:p w:rsidR="00AB1ACE" w:rsidRDefault="007C29B5" w:rsidP="00CC69A6">
      <w:pPr>
        <w:pStyle w:val="BodyText"/>
        <w:spacing w:line="240" w:lineRule="auto"/>
        <w:ind w:left="0"/>
        <w:rPr>
          <w:bCs/>
        </w:rPr>
      </w:pPr>
      <w:r w:rsidRPr="006E5C82">
        <w:t>From the sample frame:</w:t>
      </w:r>
    </w:p>
    <w:p w:rsidR="00AB1ACE" w:rsidRDefault="007C29B5" w:rsidP="00CC69A6">
      <w:pPr>
        <w:pStyle w:val="Bullet"/>
        <w:spacing w:line="240" w:lineRule="auto"/>
      </w:pPr>
      <w:r w:rsidRPr="006E5C82">
        <w:t>Awardee</w:t>
      </w:r>
    </w:p>
    <w:p w:rsidR="00AB1ACE" w:rsidRDefault="007C29B5" w:rsidP="00CC69A6">
      <w:pPr>
        <w:pStyle w:val="Bullet"/>
        <w:spacing w:line="240" w:lineRule="auto"/>
        <w:rPr>
          <w:bCs/>
        </w:rPr>
      </w:pPr>
      <w:r w:rsidRPr="006E5C82">
        <w:rPr>
          <w:bCs/>
        </w:rPr>
        <w:t xml:space="preserve">Rural/Urban—based on the </w:t>
      </w:r>
      <w:r w:rsidRPr="006E5C82">
        <w:t>National Center for Health Statistics (NCHS) Urban-Rural Classification Scheme for Counties</w:t>
      </w:r>
    </w:p>
    <w:p w:rsidR="00AB1ACE" w:rsidRDefault="007C29B5" w:rsidP="00CC69A6">
      <w:pPr>
        <w:pStyle w:val="Bullet"/>
        <w:spacing w:line="240" w:lineRule="auto"/>
        <w:rPr>
          <w:bCs/>
        </w:rPr>
      </w:pPr>
      <w:r w:rsidRPr="006E5C82">
        <w:t>African American density category</w:t>
      </w:r>
    </w:p>
    <w:p w:rsidR="00AB1ACE" w:rsidRDefault="007C29B5" w:rsidP="00CC69A6">
      <w:pPr>
        <w:pStyle w:val="Bullet"/>
        <w:spacing w:line="240" w:lineRule="auto"/>
        <w:rPr>
          <w:bCs/>
        </w:rPr>
      </w:pPr>
      <w:r w:rsidRPr="006E5C82">
        <w:t xml:space="preserve">Hispanic </w:t>
      </w:r>
      <w:r w:rsidR="00820E89" w:rsidRPr="006E5C82">
        <w:t xml:space="preserve">surname </w:t>
      </w:r>
      <w:r w:rsidRPr="006E5C82">
        <w:t xml:space="preserve">indicator </w:t>
      </w:r>
    </w:p>
    <w:p w:rsidR="00AB1ACE" w:rsidRDefault="007C29B5" w:rsidP="00CC69A6">
      <w:pPr>
        <w:pStyle w:val="Bullet"/>
        <w:spacing w:line="240" w:lineRule="auto"/>
        <w:rPr>
          <w:bCs/>
        </w:rPr>
      </w:pPr>
      <w:r w:rsidRPr="006E5C82">
        <w:t>Indicator that a child is in the household</w:t>
      </w:r>
    </w:p>
    <w:p w:rsidR="00AB1ACE" w:rsidRDefault="007C29B5" w:rsidP="00CC69A6">
      <w:pPr>
        <w:pStyle w:val="Bullet"/>
        <w:spacing w:line="240" w:lineRule="auto"/>
        <w:rPr>
          <w:bCs/>
        </w:rPr>
      </w:pPr>
      <w:r w:rsidRPr="006E5C82">
        <w:t>Indicator that the household has a telephone number</w:t>
      </w:r>
    </w:p>
    <w:p w:rsidR="00AB1ACE" w:rsidRDefault="007C29B5" w:rsidP="00CC69A6">
      <w:pPr>
        <w:pStyle w:val="BodyText"/>
        <w:spacing w:line="240" w:lineRule="auto"/>
        <w:rPr>
          <w:bCs/>
        </w:rPr>
      </w:pPr>
      <w:r w:rsidRPr="006E5C82">
        <w:t>From the ACS:</w:t>
      </w:r>
    </w:p>
    <w:p w:rsidR="00AB1ACE" w:rsidRDefault="007C29B5" w:rsidP="00CC69A6">
      <w:pPr>
        <w:pStyle w:val="Bullet"/>
        <w:spacing w:line="240" w:lineRule="auto"/>
      </w:pPr>
      <w:r w:rsidRPr="006E5C82">
        <w:t xml:space="preserve">Proportion Hispanic in the </w:t>
      </w:r>
      <w:r w:rsidR="004C2CBC" w:rsidRPr="006E5C82">
        <w:t>block group</w:t>
      </w:r>
      <w:r w:rsidRPr="006E5C82">
        <w:t xml:space="preserve"> in which the address is located</w:t>
      </w:r>
    </w:p>
    <w:p w:rsidR="00AB1ACE" w:rsidRDefault="007C29B5" w:rsidP="00CC69A6">
      <w:pPr>
        <w:pStyle w:val="Bullet"/>
        <w:spacing w:line="240" w:lineRule="auto"/>
      </w:pPr>
      <w:r w:rsidRPr="006E5C82">
        <w:lastRenderedPageBreak/>
        <w:t xml:space="preserve">Ratio of households that are owner occupied to rentals in the </w:t>
      </w:r>
      <w:r w:rsidR="004C2CBC" w:rsidRPr="006E5C82">
        <w:t>block group</w:t>
      </w:r>
      <w:r w:rsidRPr="006E5C82">
        <w:t xml:space="preserve"> in which the address is located</w:t>
      </w:r>
    </w:p>
    <w:p w:rsidR="00AB1ACE" w:rsidRDefault="007C29B5" w:rsidP="00CC69A6">
      <w:pPr>
        <w:pStyle w:val="Bullet"/>
        <w:spacing w:line="240" w:lineRule="auto"/>
      </w:pPr>
      <w:r w:rsidRPr="006E5C82">
        <w:t xml:space="preserve">Proportion of the population with a bachelor’s degree or higher in the </w:t>
      </w:r>
      <w:r w:rsidR="004C2CBC" w:rsidRPr="006E5C82">
        <w:t>block group</w:t>
      </w:r>
      <w:r w:rsidRPr="006E5C82">
        <w:t xml:space="preserve"> in which the address is located</w:t>
      </w:r>
    </w:p>
    <w:p w:rsidR="00AB1ACE" w:rsidRDefault="007C29B5" w:rsidP="00CC69A6">
      <w:pPr>
        <w:pStyle w:val="Bullet"/>
        <w:spacing w:line="240" w:lineRule="auto"/>
      </w:pPr>
      <w:r w:rsidRPr="006E5C82">
        <w:t xml:space="preserve">Proportion of the population in poverty in the </w:t>
      </w:r>
      <w:r w:rsidR="004C2CBC" w:rsidRPr="006E5C82">
        <w:t>block group</w:t>
      </w:r>
      <w:r w:rsidRPr="006E5C82">
        <w:t xml:space="preserve"> in which the address is located</w:t>
      </w:r>
    </w:p>
    <w:p w:rsidR="00AB1ACE" w:rsidRDefault="007C29B5" w:rsidP="00CC69A6">
      <w:pPr>
        <w:pStyle w:val="BodyText"/>
        <w:spacing w:line="240" w:lineRule="auto"/>
        <w:ind w:left="0"/>
      </w:pPr>
      <w:r w:rsidRPr="006E5C82">
        <w:t xml:space="preserve">The continuous variables from the ACS are made into categorical variables of four levels by collapsing based on the quartiles of the distribution. </w:t>
      </w:r>
    </w:p>
    <w:p w:rsidR="00AB1ACE" w:rsidRDefault="007C29B5" w:rsidP="00CC69A6">
      <w:pPr>
        <w:pStyle w:val="BodyText"/>
        <w:spacing w:line="240" w:lineRule="auto"/>
        <w:ind w:left="0"/>
      </w:pPr>
      <w:r w:rsidRPr="006E5C82">
        <w:t xml:space="preserve">We will fit two weighted logistic models, incorporating the weights </w:t>
      </w:r>
      <w:r w:rsidRPr="006E5C82">
        <w:rPr>
          <w:position w:val="-14"/>
        </w:rPr>
        <w:object w:dxaOrig="520" w:dyaOrig="400">
          <v:shape id="_x0000_i1035" type="#_x0000_t75" style="width:27pt;height:20.4pt" o:ole="">
            <v:imagedata r:id="rId39" o:title=""/>
          </v:shape>
          <o:OLEObject Type="Embed" ProgID="Equation.3" ShapeID="_x0000_i1035" DrawAspect="Content" ObjectID="_1437289037" r:id="rId40"/>
        </w:object>
      </w:r>
      <w:r w:rsidRPr="006E5C82">
        <w:t xml:space="preserve"> calculated up to this step and applying SAS software Proc SURVEYLOGISTIC to fit the following model: </w:t>
      </w:r>
      <w:r w:rsidRPr="006E5C82">
        <w:rPr>
          <w:position w:val="-14"/>
        </w:rPr>
        <w:object w:dxaOrig="3480" w:dyaOrig="380">
          <v:shape id="_x0000_i1036" type="#_x0000_t75" style="width:172.2pt;height:18.6pt" o:ole="">
            <v:imagedata r:id="rId41" o:title=""/>
          </v:shape>
          <o:OLEObject Type="Embed" ProgID="Equation.3" ShapeID="_x0000_i1036" DrawAspect="Content" ObjectID="_1437289038" r:id="rId42"/>
        </w:object>
      </w:r>
      <w:r w:rsidRPr="006E5C82">
        <w:t xml:space="preserve">. The independent variables are the </w:t>
      </w:r>
      <w:r w:rsidR="00A67818">
        <w:t>10</w:t>
      </w:r>
      <w:r w:rsidR="00A67818" w:rsidRPr="006E5C82">
        <w:t xml:space="preserve"> </w:t>
      </w:r>
      <w:r w:rsidRPr="006E5C82">
        <w:t xml:space="preserve">variables </w:t>
      </w:r>
      <w:r w:rsidRPr="006E5C82">
        <w:rPr>
          <w:position w:val="-12"/>
        </w:rPr>
        <w:object w:dxaOrig="1120" w:dyaOrig="360">
          <v:shape id="_x0000_i1037" type="#_x0000_t75" style="width:56.4pt;height:18.6pt" o:ole="">
            <v:imagedata r:id="rId43" o:title=""/>
          </v:shape>
          <o:OLEObject Type="Embed" ProgID="Equation.3" ShapeID="_x0000_i1037" DrawAspect="Content" ObjectID="_1437289039" r:id="rId44"/>
        </w:object>
      </w:r>
      <w:r w:rsidRPr="006E5C82">
        <w:t xml:space="preserve"> in the </w:t>
      </w:r>
      <w:r w:rsidR="00820E89" w:rsidRPr="006E5C82">
        <w:t xml:space="preserve">previous </w:t>
      </w:r>
      <w:r w:rsidRPr="006E5C82">
        <w:t>list. We will test for collinearity and potentially reduce the number of independent variables based on model fitting diagnosis. Once we fit the final models, we calculate the probability of response for each sample member</w:t>
      </w:r>
      <w:proofErr w:type="gramStart"/>
      <w:r w:rsidRPr="006E5C82">
        <w:t xml:space="preserve">: </w:t>
      </w:r>
      <w:proofErr w:type="gramEnd"/>
      <w:r w:rsidRPr="006E5C82">
        <w:rPr>
          <w:position w:val="-28"/>
        </w:rPr>
        <w:object w:dxaOrig="1800" w:dyaOrig="660">
          <v:shape id="_x0000_i1038" type="#_x0000_t75" style="width:90.6pt;height:33pt" o:ole="">
            <v:imagedata r:id="rId45" o:title=""/>
          </v:shape>
          <o:OLEObject Type="Embed" ProgID="Equation.3" ShapeID="_x0000_i1038" DrawAspect="Content" ObjectID="_1437289040" r:id="rId46"/>
        </w:object>
      </w:r>
      <w:r w:rsidRPr="006E5C82">
        <w:t xml:space="preserve">. The index </w:t>
      </w:r>
      <w:r w:rsidRPr="006E5C82">
        <w:rPr>
          <w:i/>
          <w:iCs/>
        </w:rPr>
        <w:t>i</w:t>
      </w:r>
      <w:r w:rsidRPr="006E5C82">
        <w:t xml:space="preserve"> refers to one of the strata. The index </w:t>
      </w:r>
      <w:r w:rsidRPr="006E5C82">
        <w:rPr>
          <w:i/>
          <w:iCs/>
        </w:rPr>
        <w:t>j</w:t>
      </w:r>
      <w:r w:rsidRPr="006E5C82">
        <w:t xml:space="preserve"> refers to one of respondents within stratum </w:t>
      </w:r>
      <w:r w:rsidRPr="006E5C82">
        <w:rPr>
          <w:i/>
          <w:iCs/>
        </w:rPr>
        <w:t>i</w:t>
      </w:r>
      <w:r w:rsidRPr="006E5C82">
        <w:t xml:space="preserve">. </w:t>
      </w:r>
      <w:r w:rsidRPr="006E5C82">
        <w:rPr>
          <w:bCs/>
        </w:rPr>
        <w:t>A</w:t>
      </w:r>
      <w:r w:rsidRPr="006E5C82">
        <w:t xml:space="preserve"> new weight is calculated</w:t>
      </w:r>
      <w:proofErr w:type="gramStart"/>
      <w:r w:rsidRPr="006E5C82">
        <w:t xml:space="preserve">: </w:t>
      </w:r>
      <w:proofErr w:type="gramEnd"/>
      <w:r w:rsidRPr="006E5C82">
        <w:rPr>
          <w:position w:val="-32"/>
        </w:rPr>
        <w:object w:dxaOrig="1640" w:dyaOrig="700">
          <v:shape id="_x0000_i1039" type="#_x0000_t75" style="width:81pt;height:35.4pt" o:ole="">
            <v:imagedata r:id="rId47" o:title=""/>
          </v:shape>
          <o:OLEObject Type="Embed" ProgID="Equation.3" ShapeID="_x0000_i1039" DrawAspect="Content" ObjectID="_1437289041" r:id="rId48"/>
        </w:object>
      </w:r>
      <w:r w:rsidRPr="006E5C82">
        <w:t>,</w:t>
      </w:r>
    </w:p>
    <w:p w:rsidR="00AB1ACE" w:rsidRDefault="007C29B5" w:rsidP="00CC69A6">
      <w:pPr>
        <w:pStyle w:val="BodyText"/>
        <w:spacing w:line="240" w:lineRule="auto"/>
      </w:pPr>
      <w:r w:rsidRPr="006E5C82">
        <w:t>where</w:t>
      </w:r>
    </w:p>
    <w:p w:rsidR="00AB1ACE" w:rsidRDefault="007C29B5" w:rsidP="00CC69A6">
      <w:pPr>
        <w:pStyle w:val="bullets-blank3"/>
        <w:spacing w:line="240" w:lineRule="auto"/>
      </w:pPr>
      <w:r w:rsidRPr="006E5C82">
        <w:rPr>
          <w:position w:val="-14"/>
        </w:rPr>
        <w:object w:dxaOrig="380" w:dyaOrig="400">
          <v:shape id="_x0000_i1040" type="#_x0000_t75" style="width:18.6pt;height:20.4pt" o:ole="">
            <v:imagedata r:id="rId49" o:title=""/>
          </v:shape>
          <o:OLEObject Type="Embed" ProgID="Equation.3" ShapeID="_x0000_i1040" DrawAspect="Content" ObjectID="_1437289042" r:id="rId50"/>
        </w:object>
      </w:r>
      <w:r w:rsidRPr="006E5C82">
        <w:tab/>
        <w:t>=</w:t>
      </w:r>
      <w:r w:rsidRPr="006E5C82">
        <w:tab/>
        <w:t xml:space="preserve">nonresponse adjusted probability for the </w:t>
      </w:r>
      <w:r w:rsidRPr="006E5C82">
        <w:rPr>
          <w:i/>
          <w:iCs/>
        </w:rPr>
        <w:t>j</w:t>
      </w:r>
      <w:r w:rsidRPr="006E5C82">
        <w:t xml:space="preserve">th frame member in the </w:t>
      </w:r>
      <w:r w:rsidRPr="006E5C82">
        <w:rPr>
          <w:i/>
          <w:iCs/>
        </w:rPr>
        <w:t>i</w:t>
      </w:r>
      <w:r w:rsidRPr="006E5C82">
        <w:t>th stratum</w:t>
      </w:r>
      <w:r w:rsidR="00820E89" w:rsidRPr="006E5C82">
        <w:t xml:space="preserve"> and</w:t>
      </w:r>
    </w:p>
    <w:p w:rsidR="00AB1ACE" w:rsidRDefault="007C29B5" w:rsidP="00CC69A6">
      <w:pPr>
        <w:pStyle w:val="bullets-blank3"/>
        <w:spacing w:line="240" w:lineRule="auto"/>
      </w:pPr>
      <w:r w:rsidRPr="006E5C82">
        <w:rPr>
          <w:position w:val="-14"/>
        </w:rPr>
        <w:object w:dxaOrig="320" w:dyaOrig="380">
          <v:shape id="_x0000_i1041" type="#_x0000_t75" style="width:18.6pt;height:18.6pt" o:ole="">
            <v:imagedata r:id="rId51" o:title=""/>
          </v:shape>
          <o:OLEObject Type="Embed" ProgID="Equation.3" ShapeID="_x0000_i1041" DrawAspect="Content" ObjectID="_1437289043" r:id="rId52"/>
        </w:object>
      </w:r>
      <w:r w:rsidRPr="006E5C82">
        <w:tab/>
        <w:t>=</w:t>
      </w:r>
      <w:r w:rsidRPr="006E5C82">
        <w:tab/>
        <w:t xml:space="preserve">the predicted probability of response for the </w:t>
      </w:r>
      <w:r w:rsidRPr="006E5C82">
        <w:rPr>
          <w:i/>
          <w:iCs/>
        </w:rPr>
        <w:t>j</w:t>
      </w:r>
      <w:r w:rsidRPr="006E5C82">
        <w:t xml:space="preserve">th respondent in the </w:t>
      </w:r>
      <w:r w:rsidRPr="006E5C82">
        <w:rPr>
          <w:i/>
          <w:iCs/>
        </w:rPr>
        <w:t>i</w:t>
      </w:r>
      <w:r w:rsidRPr="006E5C82">
        <w:t>th stratum from the logistic model.</w:t>
      </w:r>
    </w:p>
    <w:p w:rsidR="00AB1ACE" w:rsidRDefault="007C29B5" w:rsidP="00CC69A6">
      <w:pPr>
        <w:pStyle w:val="BodyText"/>
        <w:spacing w:line="240" w:lineRule="auto"/>
        <w:ind w:left="0"/>
      </w:pPr>
      <w:r w:rsidRPr="006E5C82">
        <w:t>Because the sum of the nonresponse adjusted weights (</w:t>
      </w:r>
      <w:r w:rsidRPr="006E5C82">
        <w:rPr>
          <w:position w:val="-14"/>
        </w:rPr>
        <w:object w:dxaOrig="680" w:dyaOrig="420">
          <v:shape id="_x0000_i1042" type="#_x0000_t75" style="width:35.4pt;height:21.6pt" o:ole="">
            <v:imagedata r:id="rId53" o:title=""/>
          </v:shape>
          <o:OLEObject Type="Embed" ProgID="Equation.3" ShapeID="_x0000_i1042" DrawAspect="Content" ObjectID="_1437289044" r:id="rId54"/>
        </w:object>
      </w:r>
      <w:r w:rsidRPr="006E5C82">
        <w:t>) is not exactly equal to the sum of ( </w:t>
      </w:r>
      <w:r w:rsidRPr="006E5C82">
        <w:rPr>
          <w:position w:val="-14"/>
        </w:rPr>
        <w:object w:dxaOrig="680" w:dyaOrig="420">
          <v:shape id="_x0000_i1043" type="#_x0000_t75" style="width:35.4pt;height:21.6pt" o:ole="">
            <v:imagedata r:id="rId55" o:title=""/>
          </v:shape>
          <o:OLEObject Type="Embed" ProgID="Equation.3" ShapeID="_x0000_i1043" DrawAspect="Content" ObjectID="_1437289045" r:id="rId56"/>
        </w:object>
      </w:r>
      <w:r w:rsidRPr="006E5C82">
        <w:t>), we make the following ratio adjustment</w:t>
      </w:r>
      <w:r w:rsidR="00820E89" w:rsidRPr="006E5C82">
        <w:t>:</w:t>
      </w:r>
    </w:p>
    <w:p w:rsidR="00AB1ACE" w:rsidRDefault="007C29B5" w:rsidP="00CC69A6">
      <w:pPr>
        <w:pStyle w:val="BodyText"/>
        <w:spacing w:line="240" w:lineRule="auto"/>
        <w:jc w:val="center"/>
      </w:pPr>
      <w:r w:rsidRPr="006E5C82">
        <w:rPr>
          <w:position w:val="-34"/>
        </w:rPr>
        <w:object w:dxaOrig="1680" w:dyaOrig="800">
          <v:shape id="_x0000_i1044" type="#_x0000_t75" style="width:84pt;height:41.4pt" o:ole="">
            <v:imagedata r:id="rId57" o:title=""/>
          </v:shape>
          <o:OLEObject Type="Embed" ProgID="Equation.3" ShapeID="_x0000_i1044" DrawAspect="Content" ObjectID="_1437289046" r:id="rId58"/>
        </w:object>
      </w:r>
      <w:r w:rsidRPr="006E5C82">
        <w:t>.</w:t>
      </w:r>
    </w:p>
    <w:p w:rsidR="00AB1ACE" w:rsidRPr="00CC69A6" w:rsidRDefault="00332D9E" w:rsidP="00CC69A6">
      <w:pPr>
        <w:pStyle w:val="Heading5"/>
        <w:spacing w:line="240" w:lineRule="auto"/>
        <w:ind w:left="0"/>
        <w:rPr>
          <w:b/>
          <w:bCs/>
          <w:i/>
          <w:iCs/>
          <w:u w:val="none"/>
        </w:rPr>
      </w:pPr>
      <w:r w:rsidRPr="00CC69A6">
        <w:rPr>
          <w:b/>
          <w:bCs/>
          <w:i/>
          <w:iCs/>
          <w:u w:val="none"/>
        </w:rPr>
        <w:t>Step 3: Adjust for Number of Eligible Household Members</w:t>
      </w:r>
    </w:p>
    <w:p w:rsidR="00AB1ACE" w:rsidRDefault="007C29B5" w:rsidP="00CC69A6">
      <w:pPr>
        <w:pStyle w:val="BodyText"/>
        <w:spacing w:line="240" w:lineRule="auto"/>
        <w:ind w:left="0"/>
      </w:pPr>
      <w:r w:rsidRPr="006E5C82">
        <w:t>Each subject has a weight that reflects the inverse of the probability of selection and a nonresponse adjustment. In this step we adjust for number of eligible residents in the household.</w:t>
      </w:r>
    </w:p>
    <w:p w:rsidR="00AB1ACE" w:rsidRDefault="007C29B5" w:rsidP="00CC69A6">
      <w:pPr>
        <w:pStyle w:val="BodyText"/>
        <w:spacing w:line="240" w:lineRule="auto"/>
        <w:jc w:val="center"/>
      </w:pPr>
      <w:r w:rsidRPr="006E5C82">
        <w:rPr>
          <w:position w:val="-14"/>
        </w:rPr>
        <w:object w:dxaOrig="1440" w:dyaOrig="400">
          <v:shape id="_x0000_i1045" type="#_x0000_t75" style="width:87.6pt;height:27pt" o:ole="">
            <v:imagedata r:id="rId59" o:title=""/>
          </v:shape>
          <o:OLEObject Type="Embed" ProgID="Equation.3" ShapeID="_x0000_i1045" DrawAspect="Content" ObjectID="_1437289047" r:id="rId60"/>
        </w:object>
      </w:r>
    </w:p>
    <w:p w:rsidR="00AB1ACE" w:rsidRDefault="007C29B5" w:rsidP="00CC69A6">
      <w:pPr>
        <w:pStyle w:val="BodyText"/>
        <w:keepNext/>
        <w:spacing w:line="240" w:lineRule="auto"/>
      </w:pPr>
      <w:r w:rsidRPr="006E5C82">
        <w:lastRenderedPageBreak/>
        <w:t>where</w:t>
      </w:r>
    </w:p>
    <w:p w:rsidR="00AB1ACE" w:rsidRDefault="007C29B5" w:rsidP="00CC69A6">
      <w:pPr>
        <w:pStyle w:val="bullets-blank3"/>
        <w:spacing w:line="240" w:lineRule="auto"/>
      </w:pPr>
      <w:r w:rsidRPr="006E5C82">
        <w:object w:dxaOrig="360" w:dyaOrig="380">
          <v:shape id="_x0000_i1046" type="#_x0000_t75" style="width:18.6pt;height:18.6pt;visibility:visible" o:ole="">
            <v:imagedata r:id="rId61" o:title=""/>
          </v:shape>
          <o:OLEObject Type="Embed" ProgID="Equation.3" ShapeID="_x0000_i1046" DrawAspect="Content" ObjectID="_1437289048" r:id="rId62"/>
        </w:object>
      </w:r>
      <w:r w:rsidRPr="006E5C82">
        <w:tab/>
        <w:t>=</w:t>
      </w:r>
      <w:r w:rsidRPr="006E5C82">
        <w:tab/>
        <w:t xml:space="preserve">number of eligible residents (adults or children, as appropriate) in the household of the selected respondent for the </w:t>
      </w:r>
      <w:r w:rsidRPr="006E5C82">
        <w:rPr>
          <w:i/>
          <w:iCs/>
        </w:rPr>
        <w:t>j</w:t>
      </w:r>
      <w:r w:rsidRPr="006E5C82">
        <w:t xml:space="preserve">th listed address in stratum </w:t>
      </w:r>
      <w:r w:rsidRPr="006E5C82">
        <w:rPr>
          <w:i/>
          <w:iCs/>
        </w:rPr>
        <w:t>i</w:t>
      </w:r>
      <w:r w:rsidRPr="006E5C82">
        <w:t>.</w:t>
      </w:r>
    </w:p>
    <w:p w:rsidR="00AB1ACE" w:rsidRPr="00CC69A6" w:rsidRDefault="00332D9E" w:rsidP="00CC69A6">
      <w:pPr>
        <w:pStyle w:val="Heading5"/>
        <w:spacing w:line="240" w:lineRule="auto"/>
        <w:ind w:left="0"/>
        <w:rPr>
          <w:b/>
          <w:bCs/>
          <w:i/>
          <w:iCs/>
          <w:u w:val="none"/>
        </w:rPr>
      </w:pPr>
      <w:r w:rsidRPr="00CC69A6">
        <w:rPr>
          <w:b/>
          <w:bCs/>
          <w:i/>
          <w:iCs/>
          <w:u w:val="none"/>
        </w:rPr>
        <w:t>Step 4: Poststratify</w:t>
      </w:r>
    </w:p>
    <w:p w:rsidR="00AB1ACE" w:rsidRDefault="007C29B5" w:rsidP="00CC69A6">
      <w:pPr>
        <w:pStyle w:val="BodyText"/>
        <w:spacing w:line="240" w:lineRule="auto"/>
        <w:ind w:left="0"/>
      </w:pPr>
      <w:r w:rsidRPr="006E5C82">
        <w:t>The last step of weighting is poststratification to the latest population estimates. We poststratify to the following domains:</w:t>
      </w:r>
    </w:p>
    <w:p w:rsidR="00AB1ACE" w:rsidRDefault="007C29B5" w:rsidP="00CC69A6">
      <w:pPr>
        <w:pStyle w:val="Bullet"/>
        <w:spacing w:line="240" w:lineRule="auto"/>
      </w:pPr>
      <w:r w:rsidRPr="006E5C82">
        <w:t xml:space="preserve">Awardee by </w:t>
      </w:r>
      <w:r w:rsidR="00820E89" w:rsidRPr="006E5C82">
        <w:t xml:space="preserve">age </w:t>
      </w:r>
      <w:r w:rsidRPr="006E5C82">
        <w:t>category (3–9, 10–14, 15–17, 18–34, 35–49, 50–64, 65+)</w:t>
      </w:r>
    </w:p>
    <w:p w:rsidR="00AB1ACE" w:rsidRDefault="007C29B5" w:rsidP="00CC69A6">
      <w:pPr>
        <w:pStyle w:val="Bullet"/>
        <w:spacing w:line="240" w:lineRule="auto"/>
      </w:pPr>
      <w:r w:rsidRPr="006E5C82">
        <w:t xml:space="preserve">Awardee by </w:t>
      </w:r>
      <w:r w:rsidR="00A67818">
        <w:t>sex</w:t>
      </w:r>
    </w:p>
    <w:p w:rsidR="00AB1ACE" w:rsidRDefault="007C29B5" w:rsidP="00CC69A6">
      <w:pPr>
        <w:pStyle w:val="Bullet"/>
        <w:spacing w:line="240" w:lineRule="auto"/>
      </w:pPr>
      <w:r w:rsidRPr="006E5C82">
        <w:t xml:space="preserve">Awardee by </w:t>
      </w:r>
      <w:r w:rsidR="00820E89" w:rsidRPr="006E5C82">
        <w:t xml:space="preserve">race </w:t>
      </w:r>
      <w:r w:rsidRPr="006E5C82">
        <w:t>(white, black, other)</w:t>
      </w:r>
    </w:p>
    <w:p w:rsidR="00AB1ACE" w:rsidRDefault="007C29B5" w:rsidP="00CC69A6">
      <w:pPr>
        <w:pStyle w:val="Bullet"/>
        <w:spacing w:line="240" w:lineRule="auto"/>
      </w:pPr>
      <w:r w:rsidRPr="006E5C82">
        <w:t>Awardee by Hispanic status</w:t>
      </w:r>
    </w:p>
    <w:p w:rsidR="00AB1ACE" w:rsidRDefault="007C29B5" w:rsidP="00CC69A6">
      <w:pPr>
        <w:pStyle w:val="BodyText"/>
        <w:spacing w:line="240" w:lineRule="auto"/>
        <w:ind w:left="0"/>
      </w:pPr>
      <w:r w:rsidRPr="006E5C82">
        <w:t xml:space="preserve">The population totals for the poststratification domains will come from the latest available version of the ACS </w:t>
      </w:r>
      <w:r w:rsidR="004C2CBC" w:rsidRPr="006E5C82">
        <w:t>five</w:t>
      </w:r>
      <w:r w:rsidRPr="006E5C82">
        <w:t>-</w:t>
      </w:r>
      <w:r w:rsidR="004C2CBC" w:rsidRPr="006E5C82">
        <w:t xml:space="preserve">year summary </w:t>
      </w:r>
      <w:r w:rsidRPr="006E5C82">
        <w:t>file.</w:t>
      </w:r>
    </w:p>
    <w:p w:rsidR="00AB1ACE" w:rsidRDefault="007C29B5" w:rsidP="00CC69A6">
      <w:pPr>
        <w:pStyle w:val="Heading2"/>
      </w:pPr>
      <w:bookmarkStart w:id="32" w:name="_Toc317510910"/>
      <w:bookmarkStart w:id="33" w:name="_Toc318379280"/>
      <w:bookmarkStart w:id="34" w:name="_Toc348434933"/>
      <w:r w:rsidRPr="006E5C82">
        <w:t>B</w:t>
      </w:r>
      <w:r w:rsidR="00ED468E">
        <w:t>.</w:t>
      </w:r>
      <w:r w:rsidRPr="006E5C82">
        <w:t>4</w:t>
      </w:r>
      <w:r w:rsidRPr="006E5C82">
        <w:tab/>
        <w:t xml:space="preserve">Test of Procedures or Methods to </w:t>
      </w:r>
      <w:r w:rsidR="006929F7">
        <w:t>b</w:t>
      </w:r>
      <w:r w:rsidR="00A903A9" w:rsidRPr="006E5C82">
        <w:t xml:space="preserve">e </w:t>
      </w:r>
      <w:r w:rsidRPr="006E5C82">
        <w:t>Undertaken</w:t>
      </w:r>
      <w:bookmarkEnd w:id="32"/>
      <w:bookmarkEnd w:id="33"/>
      <w:bookmarkEnd w:id="34"/>
    </w:p>
    <w:p w:rsidR="00AB1ACE" w:rsidRDefault="00010DD0" w:rsidP="00010DD0">
      <w:pPr>
        <w:pStyle w:val="BodyText"/>
        <w:spacing w:line="240" w:lineRule="auto"/>
        <w:ind w:left="0"/>
        <w:rPr>
          <w:rFonts w:eastAsia="SimSun"/>
        </w:rPr>
      </w:pPr>
      <w:r>
        <w:t>I</w:t>
      </w:r>
      <w:r w:rsidR="007C29B5" w:rsidRPr="006E5C82">
        <w:t xml:space="preserve">nternal tests </w:t>
      </w:r>
      <w:r>
        <w:t>were conducted with</w:t>
      </w:r>
      <w:r w:rsidR="007C29B5" w:rsidRPr="006E5C82">
        <w:t xml:space="preserve"> all the instruments and screeners to be used in both the </w:t>
      </w:r>
      <w:r w:rsidR="007C29B5" w:rsidRPr="006E5C82">
        <w:rPr>
          <w:i/>
          <w:iCs/>
        </w:rPr>
        <w:t>Standard</w:t>
      </w:r>
      <w:r w:rsidR="007C29B5" w:rsidRPr="006E5C82">
        <w:t xml:space="preserve"> and </w:t>
      </w:r>
      <w:r w:rsidR="007C29B5" w:rsidRPr="006E5C82">
        <w:rPr>
          <w:i/>
        </w:rPr>
        <w:t>Enhanced Protocol</w:t>
      </w:r>
      <w:r w:rsidR="007C29B5" w:rsidRPr="006E5C82">
        <w:t xml:space="preserve">s, and made adjustments according to the results. </w:t>
      </w:r>
      <w:r w:rsidR="007C29B5" w:rsidRPr="006E5C82">
        <w:rPr>
          <w:rFonts w:eastAsia="SimSun"/>
        </w:rPr>
        <w:t>The purpose of the internal testing was to:</w:t>
      </w:r>
    </w:p>
    <w:p w:rsidR="00AB1ACE" w:rsidRDefault="00820E89" w:rsidP="00CC69A6">
      <w:pPr>
        <w:pStyle w:val="Bullet"/>
        <w:spacing w:after="120" w:line="240" w:lineRule="auto"/>
      </w:pPr>
      <w:r w:rsidRPr="006E5C82">
        <w:t xml:space="preserve">test </w:t>
      </w:r>
      <w:r w:rsidR="007C29B5" w:rsidRPr="006E5C82">
        <w:t>and revise materials for participant recruitment and survey administration</w:t>
      </w:r>
      <w:r w:rsidRPr="006E5C82">
        <w:t>;</w:t>
      </w:r>
    </w:p>
    <w:p w:rsidR="00AB1ACE" w:rsidRDefault="00820E89" w:rsidP="00CC69A6">
      <w:pPr>
        <w:pStyle w:val="Bullet"/>
        <w:spacing w:after="120" w:line="240" w:lineRule="auto"/>
      </w:pPr>
      <w:r w:rsidRPr="006E5C82">
        <w:t xml:space="preserve">ensure </w:t>
      </w:r>
      <w:r w:rsidR="007C29B5" w:rsidRPr="006E5C82">
        <w:t>clarity of survey language</w:t>
      </w:r>
      <w:r w:rsidRPr="006E5C82">
        <w:t>; and</w:t>
      </w:r>
    </w:p>
    <w:p w:rsidR="00AB1ACE" w:rsidRDefault="00820E89" w:rsidP="00CC69A6">
      <w:pPr>
        <w:pStyle w:val="Bullet"/>
        <w:spacing w:after="120" w:line="240" w:lineRule="auto"/>
      </w:pPr>
      <w:r w:rsidRPr="006E5C82">
        <w:t xml:space="preserve">identify </w:t>
      </w:r>
      <w:r w:rsidR="007C29B5" w:rsidRPr="006E5C82">
        <w:t>timing, skip patterns, and other complex conceptual issues that may not be readily obvious from simple reading of the survey</w:t>
      </w:r>
      <w:r w:rsidRPr="006E5C82">
        <w:t>.</w:t>
      </w:r>
    </w:p>
    <w:p w:rsidR="00AB1ACE" w:rsidRDefault="007C29B5" w:rsidP="00CC69A6">
      <w:pPr>
        <w:pStyle w:val="BodyText"/>
        <w:spacing w:line="240" w:lineRule="auto"/>
        <w:ind w:left="0"/>
      </w:pPr>
      <w:r w:rsidRPr="006E5C82">
        <w:t xml:space="preserve">Given that the majority of the items were drawn from previously fielded surveillance instruments (Attachment 5) that have been shown to be valid and reliable with the appropriate age groups, we expected that the majority of the questions would be easily understandable and accurately answered by the target group of respondents; problems resulting from use of vocabulary and complex sentence structure or validity problems resulting from misinterpretation of the questions were minimal. Therefore, perceived instances of misunderstandings, incomplete concept coverage, </w:t>
      </w:r>
      <w:r w:rsidR="00A67818">
        <w:t xml:space="preserve">and </w:t>
      </w:r>
      <w:r w:rsidRPr="006E5C82">
        <w:t>inconsistent interpretations were rare, and only a few words and answer choices were altered to address these concerns. The pilot testing focused on:</w:t>
      </w:r>
    </w:p>
    <w:p w:rsidR="00AB1ACE" w:rsidRDefault="007C29B5" w:rsidP="00CC69A6">
      <w:pPr>
        <w:pStyle w:val="Bullet"/>
        <w:spacing w:line="240" w:lineRule="auto"/>
      </w:pPr>
      <w:r w:rsidRPr="006E5C82">
        <w:rPr>
          <w:i/>
          <w:iCs/>
        </w:rPr>
        <w:t>Consistency</w:t>
      </w:r>
      <w:r w:rsidRPr="006E5C82">
        <w:t xml:space="preserve">—We tested to ensure that the instrument was applicable for all modes of administration and allowed maximal comparison to data from the source instruments from which the questions were drawn. For example, the paper ATSS needed to be adapted slightly from the CATI format, and questions were aligned between the Youth or Caregiver Surveys to allow aggregation of data at the time of analysis. In addition, wording or answer choices were adjusted to permit the </w:t>
      </w:r>
      <w:r w:rsidRPr="006E5C82">
        <w:lastRenderedPageBreak/>
        <w:t>best comparisons between the instrument and the source instruments from which they were drawn.</w:t>
      </w:r>
    </w:p>
    <w:p w:rsidR="00AB1ACE" w:rsidRDefault="007C29B5" w:rsidP="00CC69A6">
      <w:pPr>
        <w:pStyle w:val="Bullet"/>
        <w:spacing w:line="240" w:lineRule="auto"/>
      </w:pPr>
      <w:r w:rsidRPr="006E5C82">
        <w:rPr>
          <w:i/>
          <w:iCs/>
        </w:rPr>
        <w:t>Length</w:t>
      </w:r>
      <w:r w:rsidRPr="006E5C82">
        <w:t>—To ensure no excessive burden to respondents and to achieve the approximate time estimates provided in the 60-day Federal Register Notice</w:t>
      </w:r>
      <w:r w:rsidR="001E37EA">
        <w:t xml:space="preserve"> (Attachment 2)</w:t>
      </w:r>
      <w:r w:rsidRPr="006E5C82">
        <w:t xml:space="preserve"> for this </w:t>
      </w:r>
      <w:r w:rsidR="00820E89" w:rsidRPr="006E5C82">
        <w:t>Information Collection Request (</w:t>
      </w:r>
      <w:r w:rsidRPr="006E5C82">
        <w:t>ICR</w:t>
      </w:r>
      <w:r w:rsidR="00820E89" w:rsidRPr="006E5C82">
        <w:t>)</w:t>
      </w:r>
      <w:r w:rsidRPr="006E5C82">
        <w:t>, we deleted questions based on the pilot results.</w:t>
      </w:r>
    </w:p>
    <w:p w:rsidR="00AB1ACE" w:rsidRDefault="007C29B5" w:rsidP="00CC69A6">
      <w:pPr>
        <w:pStyle w:val="Bullet"/>
        <w:spacing w:line="240" w:lineRule="auto"/>
      </w:pPr>
      <w:r w:rsidRPr="006E5C82">
        <w:rPr>
          <w:i/>
          <w:iCs/>
        </w:rPr>
        <w:t>Question sequencing and overall flow</w:t>
      </w:r>
      <w:r w:rsidRPr="006E5C82">
        <w:t xml:space="preserve">—We pilot tested the full process of the </w:t>
      </w:r>
      <w:r w:rsidR="00820E89" w:rsidRPr="006E5C82">
        <w:t>computer-assisted personal interviewing (</w:t>
      </w:r>
      <w:r w:rsidRPr="006E5C82">
        <w:t>CAPI</w:t>
      </w:r>
      <w:r w:rsidR="00820E89" w:rsidRPr="006E5C82">
        <w:t>),</w:t>
      </w:r>
      <w:r w:rsidRPr="006E5C82">
        <w:t xml:space="preserve"> including introduction, respondent selection method, and questionnaire flow. Based on the results, we eliminated redundancy and shifted the ordering of items to ensure a smooth flow of the data collection process to maximize the efficiency of collecting accurate responses. Skip patterns were adjusted to reflect changes in the ordering of items that were made to improve flow and eliminate potential errors. </w:t>
      </w:r>
    </w:p>
    <w:p w:rsidR="00AB1ACE" w:rsidRDefault="007C29B5" w:rsidP="00CC69A6">
      <w:pPr>
        <w:pStyle w:val="Bullet"/>
        <w:spacing w:line="240" w:lineRule="auto"/>
      </w:pPr>
      <w:r w:rsidRPr="006E5C82">
        <w:rPr>
          <w:i/>
          <w:iCs/>
        </w:rPr>
        <w:t>Salience</w:t>
      </w:r>
      <w:r w:rsidRPr="006E5C82">
        <w:t xml:space="preserve">—Based on our pilot findings, we modified the recall periods to ensure as much consistency as possible, while permitting comparison to the source instruments. We also inserted the exact dates for recall as </w:t>
      </w:r>
      <w:r w:rsidR="00EF478D">
        <w:t>autofill</w:t>
      </w:r>
      <w:r w:rsidRPr="006E5C82">
        <w:t xml:space="preserve"> (e.g., </w:t>
      </w:r>
      <w:r w:rsidR="00E72F0B" w:rsidRPr="006E5C82">
        <w:t>“</w:t>
      </w:r>
      <w:r w:rsidRPr="006E5C82">
        <w:t>During the past 12 months, that is since January 1, 2011</w:t>
      </w:r>
      <w:r w:rsidR="00E72F0B" w:rsidRPr="006E5C82">
        <w:t>”</w:t>
      </w:r>
      <w:r w:rsidRPr="006E5C82">
        <w:t>). We also confirmed that allowing respondents to choose their reporting period was helpful (e.g., offering day, week</w:t>
      </w:r>
      <w:r w:rsidR="00E72F0B" w:rsidRPr="006E5C82">
        <w:t>,</w:t>
      </w:r>
      <w:r w:rsidRPr="006E5C82">
        <w:t xml:space="preserve"> or month for reporting foods eaten). We also modified the ordering of certain questions to better assist respondents with recall. </w:t>
      </w:r>
    </w:p>
    <w:p w:rsidR="00AB1ACE" w:rsidRDefault="007C29B5" w:rsidP="00CC69A6">
      <w:pPr>
        <w:pStyle w:val="Bullet"/>
        <w:spacing w:line="240" w:lineRule="auto"/>
      </w:pPr>
      <w:r w:rsidRPr="006E5C82">
        <w:rPr>
          <w:i/>
          <w:iCs/>
        </w:rPr>
        <w:t>Ease of administration and response</w:t>
      </w:r>
      <w:r w:rsidRPr="006E5C82">
        <w:t xml:space="preserve">—Interviewers did not note any difficulty in administering the instruments. As expected, a few respondents did struggle to complete the food frequency items. Instruments were modified to provide consistent recall periods, and reference dates as noted above. Based on the pilot test results, we offered additional examples within questions; for example, we updated the computer time use question to include time spent using an iPad. </w:t>
      </w:r>
    </w:p>
    <w:p w:rsidR="00AB1ACE" w:rsidRDefault="007C29B5" w:rsidP="00CC69A6">
      <w:pPr>
        <w:pStyle w:val="Bullet"/>
        <w:spacing w:line="240" w:lineRule="auto"/>
      </w:pPr>
      <w:r w:rsidRPr="006E5C82">
        <w:rPr>
          <w:i/>
          <w:iCs/>
        </w:rPr>
        <w:t>Acceptability to respondents</w:t>
      </w:r>
      <w:r w:rsidRPr="006E5C82">
        <w:t xml:space="preserve">—Results from the pilot test suggested that participants were comfortable answering questions and </w:t>
      </w:r>
      <w:r w:rsidR="00E72F0B" w:rsidRPr="006E5C82">
        <w:t xml:space="preserve">that </w:t>
      </w:r>
      <w:r w:rsidRPr="006E5C82">
        <w:t>the range of response options were generally comprehensive. However, additional response choices were added to certain questions as a result of the pilot. Importantly, respondents did not report that questionnaire items were too sensitive to answer.</w:t>
      </w:r>
    </w:p>
    <w:p w:rsidR="00AB1ACE" w:rsidRDefault="007C29B5" w:rsidP="00CC69A6">
      <w:pPr>
        <w:pStyle w:val="BodyText"/>
        <w:spacing w:line="240" w:lineRule="auto"/>
        <w:ind w:left="0"/>
      </w:pPr>
      <w:r w:rsidRPr="006E5C82">
        <w:t xml:space="preserve">After review by external experts in each of the content areas specific to the CTG Program evaluation, the ATSS (both CATI and mail versions) and the Youth </w:t>
      </w:r>
      <w:r w:rsidR="00ED468E">
        <w:t>and</w:t>
      </w:r>
      <w:r w:rsidRPr="006E5C82">
        <w:t xml:space="preserve"> Caregiver Surveys were revised and programmed for administration via CATI or CAPI, respectively (Exhibit B</w:t>
      </w:r>
      <w:r w:rsidR="00ED468E">
        <w:t>.</w:t>
      </w:r>
      <w:r w:rsidRPr="006E5C82">
        <w:t>4</w:t>
      </w:r>
      <w:r w:rsidR="00ED468E">
        <w:t>.</w:t>
      </w:r>
      <w:r w:rsidRPr="006E5C82">
        <w:t xml:space="preserve">1). Since the initial OMB submission, survey questions that have been changed or adapted by the </w:t>
      </w:r>
      <w:r w:rsidR="00A67818" w:rsidRPr="006E5C82">
        <w:t xml:space="preserve">contractor </w:t>
      </w:r>
      <w:r w:rsidRPr="006E5C82">
        <w:t>were reviewed by experts identified in Section A</w:t>
      </w:r>
      <w:r w:rsidR="00ED468E">
        <w:t>.</w:t>
      </w:r>
      <w:r w:rsidRPr="006E5C82">
        <w:t xml:space="preserve">8. Questions have been programmed and tested for accuracy, flow, implementation of skip patterns (as described above), </w:t>
      </w:r>
      <w:r w:rsidR="00A67818">
        <w:t>and</w:t>
      </w:r>
      <w:r w:rsidRPr="006E5C82">
        <w:t xml:space="preserve"> testing for other features and content of the instrument as described above.</w:t>
      </w:r>
    </w:p>
    <w:p w:rsidR="007C29B5" w:rsidRPr="006E5C82" w:rsidRDefault="00B275EA" w:rsidP="00ED468E">
      <w:pPr>
        <w:pStyle w:val="ExhibitTitle"/>
      </w:pPr>
      <w:r w:rsidRPr="006E5C82">
        <w:lastRenderedPageBreak/>
        <w:t>Exhibit B</w:t>
      </w:r>
      <w:r w:rsidR="00ED468E">
        <w:t>.</w:t>
      </w:r>
      <w:r w:rsidRPr="006E5C82">
        <w:t>4</w:t>
      </w:r>
      <w:r w:rsidR="00ED468E">
        <w:t>.</w:t>
      </w:r>
      <w:r w:rsidRPr="006E5C82">
        <w:t>1.</w:t>
      </w:r>
      <w:r w:rsidRPr="006E5C82">
        <w:tab/>
      </w:r>
      <w:r w:rsidR="007C29B5" w:rsidRPr="006E5C82">
        <w:t>Survey Instruments and Materials for Pilot Testing</w:t>
      </w:r>
    </w:p>
    <w:tbl>
      <w:tblPr>
        <w:tblW w:w="9576" w:type="dxa"/>
        <w:tblInd w:w="-98" w:type="dxa"/>
        <w:tblBorders>
          <w:top w:val="single" w:sz="12" w:space="0" w:color="auto"/>
          <w:bottom w:val="single" w:sz="12" w:space="0" w:color="auto"/>
          <w:insideH w:val="single" w:sz="4" w:space="0" w:color="auto"/>
        </w:tblBorders>
        <w:tblCellMar>
          <w:left w:w="0" w:type="dxa"/>
          <w:right w:w="0" w:type="dxa"/>
        </w:tblCellMar>
        <w:tblLook w:val="04A0" w:firstRow="1" w:lastRow="0" w:firstColumn="1" w:lastColumn="0" w:noHBand="0" w:noVBand="1"/>
      </w:tblPr>
      <w:tblGrid>
        <w:gridCol w:w="2282"/>
        <w:gridCol w:w="2515"/>
        <w:gridCol w:w="4779"/>
      </w:tblGrid>
      <w:tr w:rsidR="007C29B5" w:rsidRPr="006E5C82" w:rsidTr="00AE28A3">
        <w:trPr>
          <w:trHeight w:val="450"/>
        </w:trPr>
        <w:tc>
          <w:tcPr>
            <w:tcW w:w="2282" w:type="dxa"/>
            <w:shd w:val="clear" w:color="auto" w:fill="auto"/>
          </w:tcPr>
          <w:p w:rsidR="007C29B5" w:rsidRPr="006E5C82" w:rsidRDefault="007C29B5" w:rsidP="00B00C82">
            <w:pPr>
              <w:pStyle w:val="TableHeader"/>
            </w:pPr>
            <w:r w:rsidRPr="006E5C82">
              <w:t>Study Protocol</w:t>
            </w:r>
          </w:p>
        </w:tc>
        <w:tc>
          <w:tcPr>
            <w:tcW w:w="2515" w:type="dxa"/>
            <w:shd w:val="clear" w:color="auto" w:fill="auto"/>
            <w:tcMar>
              <w:top w:w="0" w:type="dxa"/>
              <w:left w:w="108" w:type="dxa"/>
              <w:bottom w:w="0" w:type="dxa"/>
              <w:right w:w="108" w:type="dxa"/>
            </w:tcMar>
            <w:hideMark/>
          </w:tcPr>
          <w:p w:rsidR="007C29B5" w:rsidRPr="006E5C82" w:rsidRDefault="007C29B5" w:rsidP="00B00C82">
            <w:pPr>
              <w:pStyle w:val="TableHeader"/>
              <w:rPr>
                <w:rFonts w:eastAsia="Calibri" w:cs="Calibri"/>
              </w:rPr>
            </w:pPr>
            <w:r w:rsidRPr="006E5C82">
              <w:t>Survey Instrument</w:t>
            </w:r>
          </w:p>
        </w:tc>
        <w:tc>
          <w:tcPr>
            <w:tcW w:w="4779" w:type="dxa"/>
            <w:shd w:val="clear" w:color="auto" w:fill="auto"/>
            <w:tcMar>
              <w:top w:w="0" w:type="dxa"/>
              <w:left w:w="108" w:type="dxa"/>
              <w:bottom w:w="0" w:type="dxa"/>
              <w:right w:w="108" w:type="dxa"/>
            </w:tcMar>
            <w:hideMark/>
          </w:tcPr>
          <w:p w:rsidR="007C29B5" w:rsidRPr="006E5C82" w:rsidRDefault="007C29B5" w:rsidP="00B00C82">
            <w:pPr>
              <w:pStyle w:val="TableHeader"/>
              <w:rPr>
                <w:rFonts w:eastAsia="Calibri" w:cs="Calibri"/>
              </w:rPr>
            </w:pPr>
            <w:r w:rsidRPr="006E5C82">
              <w:t>Pilot Testing Data Components</w:t>
            </w:r>
          </w:p>
        </w:tc>
      </w:tr>
      <w:tr w:rsidR="007C29B5" w:rsidRPr="006E5C82" w:rsidTr="00AE28A3">
        <w:trPr>
          <w:trHeight w:val="877"/>
        </w:trPr>
        <w:tc>
          <w:tcPr>
            <w:tcW w:w="2282" w:type="dxa"/>
            <w:vMerge w:val="restart"/>
          </w:tcPr>
          <w:p w:rsidR="007C29B5" w:rsidRPr="006E5C82" w:rsidRDefault="007C29B5" w:rsidP="00B00C82">
            <w:pPr>
              <w:pStyle w:val="Tabletext0"/>
              <w:rPr>
                <w:b/>
              </w:rPr>
            </w:pPr>
            <w:r w:rsidRPr="006E5C82">
              <w:rPr>
                <w:b/>
              </w:rPr>
              <w:t>Standard</w:t>
            </w:r>
          </w:p>
        </w:tc>
        <w:tc>
          <w:tcPr>
            <w:tcW w:w="2515" w:type="dxa"/>
            <w:tcMar>
              <w:top w:w="0" w:type="dxa"/>
              <w:left w:w="108" w:type="dxa"/>
              <w:bottom w:w="0" w:type="dxa"/>
              <w:right w:w="108" w:type="dxa"/>
            </w:tcMar>
          </w:tcPr>
          <w:p w:rsidR="007C29B5" w:rsidRPr="006E5C82" w:rsidRDefault="007C29B5" w:rsidP="00B00C82">
            <w:pPr>
              <w:pStyle w:val="Tabletext0"/>
              <w:rPr>
                <w:rFonts w:eastAsia="Calibri" w:cs="Calibri"/>
                <w:b/>
              </w:rPr>
            </w:pPr>
            <w:r w:rsidRPr="006E5C82">
              <w:rPr>
                <w:b/>
              </w:rPr>
              <w:t>ATSS Telephone Survey (CATI)</w:t>
            </w:r>
          </w:p>
        </w:tc>
        <w:tc>
          <w:tcPr>
            <w:tcW w:w="4779" w:type="dxa"/>
            <w:tcMar>
              <w:top w:w="0" w:type="dxa"/>
              <w:left w:w="108" w:type="dxa"/>
              <w:bottom w:w="0" w:type="dxa"/>
              <w:right w:w="108" w:type="dxa"/>
            </w:tcMar>
            <w:hideMark/>
          </w:tcPr>
          <w:p w:rsidR="007C29B5" w:rsidRPr="006E5C82" w:rsidRDefault="007C29B5" w:rsidP="004A345C">
            <w:pPr>
              <w:pStyle w:val="Tabletext0"/>
              <w:numPr>
                <w:ilvl w:val="0"/>
                <w:numId w:val="31"/>
              </w:numPr>
              <w:rPr>
                <w:rFonts w:eastAsia="Calibri" w:cs="Calibri"/>
              </w:rPr>
            </w:pPr>
            <w:r w:rsidRPr="006E5C82">
              <w:t xml:space="preserve">Adult Targeted Surveillance Survey </w:t>
            </w:r>
            <w:r w:rsidR="004A345C">
              <w:t>Telephone</w:t>
            </w:r>
            <w:r w:rsidR="004A345C" w:rsidRPr="006E5C82">
              <w:t xml:space="preserve"> </w:t>
            </w:r>
            <w:r w:rsidRPr="006E5C82">
              <w:t>Screener</w:t>
            </w:r>
          </w:p>
          <w:p w:rsidR="007C29B5" w:rsidRPr="006E5C82" w:rsidRDefault="007C29B5" w:rsidP="00B00C82">
            <w:pPr>
              <w:pStyle w:val="Tabletext0"/>
              <w:numPr>
                <w:ilvl w:val="0"/>
                <w:numId w:val="31"/>
              </w:numPr>
            </w:pPr>
            <w:r w:rsidRPr="006E5C82">
              <w:t>ATSS Telephone Survey</w:t>
            </w:r>
          </w:p>
          <w:p w:rsidR="007C29B5" w:rsidRPr="006E5C82" w:rsidRDefault="007C29B5" w:rsidP="00B00C82">
            <w:pPr>
              <w:pStyle w:val="Tabletext0"/>
              <w:numPr>
                <w:ilvl w:val="0"/>
                <w:numId w:val="31"/>
              </w:numPr>
              <w:rPr>
                <w:rFonts w:cs="Calibri"/>
              </w:rPr>
            </w:pPr>
            <w:r w:rsidRPr="006E5C82">
              <w:t>Adult Biometric Measures Recruitment Screener (Phone)</w:t>
            </w:r>
          </w:p>
        </w:tc>
      </w:tr>
      <w:tr w:rsidR="007C29B5" w:rsidRPr="006E5C82" w:rsidTr="00AE28A3">
        <w:trPr>
          <w:trHeight w:val="808"/>
        </w:trPr>
        <w:tc>
          <w:tcPr>
            <w:tcW w:w="2282" w:type="dxa"/>
            <w:vMerge/>
          </w:tcPr>
          <w:p w:rsidR="007C29B5" w:rsidRPr="006E5C82" w:rsidRDefault="007C29B5" w:rsidP="00B00C82">
            <w:pPr>
              <w:pStyle w:val="Tabletext0"/>
              <w:rPr>
                <w:b/>
              </w:rPr>
            </w:pPr>
          </w:p>
        </w:tc>
        <w:tc>
          <w:tcPr>
            <w:tcW w:w="2515" w:type="dxa"/>
            <w:tcMar>
              <w:top w:w="0" w:type="dxa"/>
              <w:left w:w="108" w:type="dxa"/>
              <w:bottom w:w="0" w:type="dxa"/>
              <w:right w:w="108" w:type="dxa"/>
            </w:tcMar>
          </w:tcPr>
          <w:p w:rsidR="007C29B5" w:rsidRPr="006E5C82" w:rsidRDefault="007C29B5" w:rsidP="00B00C82">
            <w:pPr>
              <w:pStyle w:val="Tabletext0"/>
              <w:rPr>
                <w:rFonts w:eastAsia="Calibri" w:cs="Calibri"/>
                <w:b/>
              </w:rPr>
            </w:pPr>
            <w:r w:rsidRPr="006E5C82">
              <w:rPr>
                <w:b/>
              </w:rPr>
              <w:t>ATSS Paper (Mail)</w:t>
            </w:r>
          </w:p>
        </w:tc>
        <w:tc>
          <w:tcPr>
            <w:tcW w:w="4779" w:type="dxa"/>
            <w:tcMar>
              <w:top w:w="0" w:type="dxa"/>
              <w:left w:w="108" w:type="dxa"/>
              <w:bottom w:w="0" w:type="dxa"/>
              <w:right w:w="108" w:type="dxa"/>
            </w:tcMar>
            <w:hideMark/>
          </w:tcPr>
          <w:p w:rsidR="007C29B5" w:rsidRPr="006E5C82" w:rsidRDefault="007C29B5" w:rsidP="00B00C82">
            <w:pPr>
              <w:pStyle w:val="Tabletext0"/>
              <w:numPr>
                <w:ilvl w:val="0"/>
                <w:numId w:val="31"/>
              </w:numPr>
            </w:pPr>
            <w:r w:rsidRPr="006E5C82">
              <w:t>ATSS Paper (Mail) Survey</w:t>
            </w:r>
          </w:p>
          <w:p w:rsidR="007C29B5" w:rsidRPr="006E5C82" w:rsidRDefault="007C29B5" w:rsidP="00B00C82">
            <w:pPr>
              <w:pStyle w:val="Tabletext0"/>
              <w:numPr>
                <w:ilvl w:val="0"/>
                <w:numId w:val="31"/>
              </w:numPr>
              <w:rPr>
                <w:rFonts w:cs="Calibri"/>
              </w:rPr>
            </w:pPr>
            <w:r w:rsidRPr="006E5C82">
              <w:t>Adult Biometric Measures Recruitment Invitation (Paper)</w:t>
            </w:r>
          </w:p>
        </w:tc>
      </w:tr>
      <w:tr w:rsidR="007C29B5" w:rsidRPr="006E5C82" w:rsidTr="00AE28A3">
        <w:trPr>
          <w:trHeight w:val="917"/>
        </w:trPr>
        <w:tc>
          <w:tcPr>
            <w:tcW w:w="2282" w:type="dxa"/>
            <w:vMerge w:val="restart"/>
          </w:tcPr>
          <w:p w:rsidR="007C29B5" w:rsidRPr="006E5C82" w:rsidDel="00684CA9" w:rsidRDefault="007C29B5" w:rsidP="00B00C82">
            <w:pPr>
              <w:pStyle w:val="Tabletext0"/>
              <w:rPr>
                <w:b/>
              </w:rPr>
            </w:pPr>
            <w:r w:rsidRPr="006E5C82">
              <w:rPr>
                <w:b/>
              </w:rPr>
              <w:t>Enhanced</w:t>
            </w:r>
          </w:p>
        </w:tc>
        <w:tc>
          <w:tcPr>
            <w:tcW w:w="2515" w:type="dxa"/>
            <w:tcMar>
              <w:top w:w="0" w:type="dxa"/>
              <w:left w:w="108" w:type="dxa"/>
              <w:bottom w:w="0" w:type="dxa"/>
              <w:right w:w="108" w:type="dxa"/>
            </w:tcMar>
          </w:tcPr>
          <w:p w:rsidR="007C29B5" w:rsidRPr="006E5C82" w:rsidRDefault="007C29B5" w:rsidP="00B00C82">
            <w:pPr>
              <w:pStyle w:val="Tabletext0"/>
              <w:rPr>
                <w:rFonts w:eastAsia="Calibri" w:cs="Calibri"/>
                <w:b/>
              </w:rPr>
            </w:pPr>
            <w:r w:rsidRPr="006E5C82">
              <w:rPr>
                <w:b/>
              </w:rPr>
              <w:t>Caregiver Survey</w:t>
            </w:r>
          </w:p>
        </w:tc>
        <w:tc>
          <w:tcPr>
            <w:tcW w:w="4779" w:type="dxa"/>
            <w:tcMar>
              <w:top w:w="0" w:type="dxa"/>
              <w:left w:w="108" w:type="dxa"/>
              <w:bottom w:w="0" w:type="dxa"/>
              <w:right w:w="108" w:type="dxa"/>
            </w:tcMar>
            <w:hideMark/>
          </w:tcPr>
          <w:p w:rsidR="007C29B5" w:rsidRPr="006E5C82" w:rsidRDefault="007C29B5" w:rsidP="00A903A9">
            <w:pPr>
              <w:pStyle w:val="Tabletext0"/>
              <w:numPr>
                <w:ilvl w:val="0"/>
                <w:numId w:val="31"/>
              </w:numPr>
            </w:pPr>
            <w:r w:rsidRPr="006E5C82">
              <w:t>Caregiver Survey</w:t>
            </w:r>
          </w:p>
          <w:p w:rsidR="007C29B5" w:rsidRPr="006E5C82" w:rsidRDefault="00883AE3" w:rsidP="00B00C82">
            <w:pPr>
              <w:pStyle w:val="Tabletext0"/>
              <w:numPr>
                <w:ilvl w:val="0"/>
                <w:numId w:val="31"/>
              </w:numPr>
              <w:rPr>
                <w:rFonts w:cs="Calibri"/>
              </w:rPr>
            </w:pPr>
            <w:r>
              <w:t>Youth</w:t>
            </w:r>
            <w:r w:rsidRPr="006E5C82">
              <w:t xml:space="preserve"> </w:t>
            </w:r>
            <w:r w:rsidR="007C29B5" w:rsidRPr="006E5C82">
              <w:t>Biometric Measures</w:t>
            </w:r>
          </w:p>
        </w:tc>
      </w:tr>
      <w:tr w:rsidR="007C29B5" w:rsidRPr="006E5C82" w:rsidTr="00AE28A3">
        <w:trPr>
          <w:trHeight w:val="881"/>
        </w:trPr>
        <w:tc>
          <w:tcPr>
            <w:tcW w:w="2282" w:type="dxa"/>
            <w:vMerge/>
          </w:tcPr>
          <w:p w:rsidR="007C29B5" w:rsidRPr="006E5C82" w:rsidDel="00684CA9" w:rsidRDefault="007C29B5" w:rsidP="00B00C82">
            <w:pPr>
              <w:pStyle w:val="Tabletext0"/>
              <w:rPr>
                <w:b/>
              </w:rPr>
            </w:pPr>
          </w:p>
        </w:tc>
        <w:tc>
          <w:tcPr>
            <w:tcW w:w="2515" w:type="dxa"/>
            <w:tcMar>
              <w:top w:w="0" w:type="dxa"/>
              <w:left w:w="108" w:type="dxa"/>
              <w:bottom w:w="0" w:type="dxa"/>
              <w:right w:w="108" w:type="dxa"/>
            </w:tcMar>
            <w:hideMark/>
          </w:tcPr>
          <w:p w:rsidR="007C29B5" w:rsidRPr="006E5C82" w:rsidRDefault="007C29B5" w:rsidP="004A345C">
            <w:pPr>
              <w:pStyle w:val="Tabletext0"/>
              <w:rPr>
                <w:rFonts w:eastAsia="Calibri" w:cs="Calibri"/>
                <w:b/>
              </w:rPr>
            </w:pPr>
            <w:r w:rsidRPr="006E5C82">
              <w:rPr>
                <w:b/>
              </w:rPr>
              <w:t>Youth Survey</w:t>
            </w:r>
          </w:p>
        </w:tc>
        <w:tc>
          <w:tcPr>
            <w:tcW w:w="4779" w:type="dxa"/>
            <w:tcMar>
              <w:top w:w="0" w:type="dxa"/>
              <w:left w:w="108" w:type="dxa"/>
              <w:bottom w:w="0" w:type="dxa"/>
              <w:right w:w="108" w:type="dxa"/>
            </w:tcMar>
            <w:hideMark/>
          </w:tcPr>
          <w:p w:rsidR="007C29B5" w:rsidRPr="006E5C82" w:rsidRDefault="00883AE3" w:rsidP="00A903A9">
            <w:pPr>
              <w:pStyle w:val="Tabletext0"/>
              <w:numPr>
                <w:ilvl w:val="0"/>
                <w:numId w:val="31"/>
              </w:numPr>
            </w:pPr>
            <w:r>
              <w:t>Youth</w:t>
            </w:r>
            <w:r w:rsidR="007C29B5" w:rsidRPr="006E5C82">
              <w:t xml:space="preserve"> Survey</w:t>
            </w:r>
          </w:p>
          <w:p w:rsidR="007C29B5" w:rsidRPr="006E5C82" w:rsidRDefault="007C29B5" w:rsidP="00B00C82">
            <w:pPr>
              <w:pStyle w:val="Tabletext0"/>
              <w:numPr>
                <w:ilvl w:val="0"/>
                <w:numId w:val="31"/>
              </w:numPr>
              <w:rPr>
                <w:rFonts w:cs="Calibri"/>
              </w:rPr>
            </w:pPr>
            <w:r w:rsidRPr="006E5C82">
              <w:t>Youth Biometric Measures</w:t>
            </w:r>
          </w:p>
        </w:tc>
      </w:tr>
    </w:tbl>
    <w:p w:rsidR="007C29B5" w:rsidRPr="006E5C82" w:rsidRDefault="007C29B5" w:rsidP="00B00C82">
      <w:bookmarkStart w:id="35" w:name="_Toc317510912"/>
      <w:bookmarkStart w:id="36" w:name="_Toc318379284"/>
    </w:p>
    <w:p w:rsidR="007C29B5" w:rsidRPr="006E5C82" w:rsidRDefault="007C29B5" w:rsidP="00883AE3">
      <w:pPr>
        <w:pStyle w:val="Heading2"/>
      </w:pPr>
      <w:bookmarkStart w:id="37" w:name="_Toc348434934"/>
      <w:r w:rsidRPr="006E5C82">
        <w:t>B</w:t>
      </w:r>
      <w:r w:rsidR="00883AE3">
        <w:t>.</w:t>
      </w:r>
      <w:r w:rsidRPr="006E5C82">
        <w:t>5</w:t>
      </w:r>
      <w:r w:rsidRPr="006E5C82">
        <w:tab/>
        <w:t>Individuals Consulted on Statistical Aspects or Analyzing Data</w:t>
      </w:r>
      <w:bookmarkEnd w:id="35"/>
      <w:bookmarkEnd w:id="36"/>
      <w:bookmarkEnd w:id="37"/>
    </w:p>
    <w:p w:rsidR="00AB1ACE" w:rsidRDefault="007C29B5" w:rsidP="00CC69A6">
      <w:pPr>
        <w:pStyle w:val="BodyText"/>
        <w:spacing w:line="240" w:lineRule="auto"/>
        <w:ind w:left="0"/>
      </w:pPr>
      <w:r w:rsidRPr="006E5C82">
        <w:t>Robin Soler, PhD (770-488-5103), Division of Community Health, CDC</w:t>
      </w:r>
      <w:r w:rsidR="00E72F0B" w:rsidRPr="006E5C82">
        <w:t>,</w:t>
      </w:r>
      <w:r w:rsidRPr="006E5C82">
        <w:t xml:space="preserve"> is the Principal Investigator and Technical Monitor for the study. She has overall responsibility for overseeing the design and administration of the surveys, and she will be responsible for analyzing the survey data.</w:t>
      </w:r>
    </w:p>
    <w:p w:rsidR="00AB1ACE" w:rsidRDefault="007C29B5" w:rsidP="006062FD">
      <w:pPr>
        <w:pStyle w:val="BodyText"/>
        <w:spacing w:line="240" w:lineRule="auto"/>
        <w:ind w:left="0"/>
      </w:pPr>
      <w:r w:rsidRPr="006E5C82">
        <w:t xml:space="preserve">RTI </w:t>
      </w:r>
      <w:r w:rsidR="00A67818">
        <w:t xml:space="preserve">International </w:t>
      </w:r>
      <w:r w:rsidRPr="006E5C82">
        <w:t xml:space="preserve">is the project contractor responsible for developing the instruments and data collection protocols; providing training to interviewers; and collecting and analyzing from the </w:t>
      </w:r>
      <w:r w:rsidRPr="006E5C82">
        <w:rPr>
          <w:i/>
        </w:rPr>
        <w:t>Standard</w:t>
      </w:r>
      <w:r w:rsidRPr="006E5C82">
        <w:t xml:space="preserve"> and </w:t>
      </w:r>
      <w:r w:rsidRPr="006E5C82">
        <w:rPr>
          <w:i/>
        </w:rPr>
        <w:t>Enhanced Protocol</w:t>
      </w:r>
      <w:r w:rsidRPr="006E5C82">
        <w:t>s.</w:t>
      </w:r>
      <w:r w:rsidR="006062FD" w:rsidRPr="006062FD">
        <w:t xml:space="preserve"> </w:t>
      </w:r>
      <w:r w:rsidR="006062FD">
        <w:t>Diane Catellier, DrPH (919-541-6447), is the primary contact with the Technical Monitor and oversees work on all tasks related to the Targeted Surveillance and Biometric Study.</w:t>
      </w:r>
    </w:p>
    <w:p w:rsidR="00AB1ACE" w:rsidRDefault="007C29B5" w:rsidP="00CC69A6">
      <w:pPr>
        <w:pStyle w:val="BodyText"/>
        <w:spacing w:line="240" w:lineRule="auto"/>
        <w:ind w:left="0"/>
      </w:pPr>
      <w:r w:rsidRPr="006E5C82">
        <w:t>The survey instruments, sampling and data collection procedures, and analysis plan were designed in collaboration with researchers at</w:t>
      </w:r>
      <w:r w:rsidR="008B1DE1" w:rsidRPr="006E5C82">
        <w:t xml:space="preserve"> the Department of Health and Human Services</w:t>
      </w:r>
      <w:r w:rsidRPr="006E5C82">
        <w:t xml:space="preserve"> </w:t>
      </w:r>
      <w:r w:rsidR="008B1DE1" w:rsidRPr="006E5C82">
        <w:t>(</w:t>
      </w:r>
      <w:r w:rsidRPr="006E5C82">
        <w:t>HHS</w:t>
      </w:r>
      <w:r w:rsidR="008B1DE1" w:rsidRPr="006E5C82">
        <w:t>)</w:t>
      </w:r>
      <w:r w:rsidRPr="006E5C82">
        <w:t>, CDC, and RTI (Exhibits B</w:t>
      </w:r>
      <w:r w:rsidR="00883AE3">
        <w:t>.</w:t>
      </w:r>
      <w:r w:rsidRPr="006E5C82">
        <w:t>5</w:t>
      </w:r>
      <w:r w:rsidR="00883AE3">
        <w:t>.</w:t>
      </w:r>
      <w:r w:rsidRPr="006E5C82">
        <w:t>1 and B</w:t>
      </w:r>
      <w:r w:rsidR="00883AE3">
        <w:t>.</w:t>
      </w:r>
      <w:r w:rsidRPr="006E5C82">
        <w:t>5</w:t>
      </w:r>
      <w:r w:rsidR="00883AE3">
        <w:t>.</w:t>
      </w:r>
      <w:r w:rsidRPr="006E5C82">
        <w:t xml:space="preserve">2). The following personnel have been involved in the design of the protocol and data collection instrument (note </w:t>
      </w:r>
      <w:r w:rsidR="00A67818">
        <w:t xml:space="preserve">that </w:t>
      </w:r>
      <w:r w:rsidRPr="006E5C82">
        <w:t>additional experts will be asked to review instruments before they are pilot tested and finalized but the respondent burden will not change):</w:t>
      </w:r>
    </w:p>
    <w:p w:rsidR="00777C5C" w:rsidRDefault="007C29B5" w:rsidP="00460B5A">
      <w:pPr>
        <w:pStyle w:val="ExhibitTitle"/>
        <w:keepNext w:val="0"/>
      </w:pPr>
      <w:bookmarkStart w:id="38" w:name="_Toc317510924"/>
      <w:bookmarkStart w:id="39" w:name="_Toc319073161"/>
      <w:r w:rsidRPr="006E5C82">
        <w:t>Exhibit B</w:t>
      </w:r>
      <w:r w:rsidR="00883AE3">
        <w:t>.</w:t>
      </w:r>
      <w:r w:rsidRPr="006E5C82">
        <w:t>5</w:t>
      </w:r>
      <w:r w:rsidR="00883AE3">
        <w:t>.</w:t>
      </w:r>
      <w:r w:rsidRPr="006E5C82">
        <w:t>1.</w:t>
      </w:r>
      <w:r w:rsidR="00B275EA" w:rsidRPr="006E5C82">
        <w:tab/>
      </w:r>
      <w:r w:rsidRPr="006E5C82">
        <w:t>List of Individuals and Organizations That Were Consulted for the Study</w:t>
      </w:r>
      <w:bookmarkEnd w:id="38"/>
      <w:bookmarkEnd w:id="39"/>
    </w:p>
    <w:tbl>
      <w:tblPr>
        <w:tblW w:w="5097" w:type="pct"/>
        <w:tblBorders>
          <w:top w:val="single" w:sz="12" w:space="0" w:color="auto"/>
          <w:bottom w:val="single" w:sz="12" w:space="0" w:color="auto"/>
          <w:insideH w:val="single" w:sz="4" w:space="0" w:color="auto"/>
        </w:tblBorders>
        <w:tblLayout w:type="fixed"/>
        <w:tblCellMar>
          <w:left w:w="86" w:type="dxa"/>
          <w:right w:w="86" w:type="dxa"/>
        </w:tblCellMar>
        <w:tblLook w:val="04A0" w:firstRow="1" w:lastRow="0" w:firstColumn="1" w:lastColumn="0" w:noHBand="0" w:noVBand="1"/>
      </w:tblPr>
      <w:tblGrid>
        <w:gridCol w:w="2544"/>
        <w:gridCol w:w="3978"/>
        <w:gridCol w:w="3195"/>
      </w:tblGrid>
      <w:tr w:rsidR="007C29B5" w:rsidRPr="006E5C82" w:rsidTr="00AE28A3">
        <w:trPr>
          <w:tblHeader/>
        </w:trPr>
        <w:tc>
          <w:tcPr>
            <w:tcW w:w="2543" w:type="dxa"/>
            <w:shd w:val="clear" w:color="auto" w:fill="auto"/>
            <w:vAlign w:val="center"/>
          </w:tcPr>
          <w:p w:rsidR="00777C5C" w:rsidRDefault="007C29B5" w:rsidP="00460B5A">
            <w:pPr>
              <w:pStyle w:val="TableHeader"/>
              <w:keepNext w:val="0"/>
              <w:rPr>
                <w:sz w:val="22"/>
                <w:szCs w:val="22"/>
              </w:rPr>
            </w:pPr>
            <w:r w:rsidRPr="006E5C82">
              <w:rPr>
                <w:sz w:val="22"/>
                <w:szCs w:val="22"/>
              </w:rPr>
              <w:t>Name</w:t>
            </w:r>
          </w:p>
        </w:tc>
        <w:tc>
          <w:tcPr>
            <w:tcW w:w="3978" w:type="dxa"/>
            <w:shd w:val="clear" w:color="auto" w:fill="auto"/>
            <w:vAlign w:val="center"/>
          </w:tcPr>
          <w:p w:rsidR="00777C5C" w:rsidRDefault="007C29B5" w:rsidP="00460B5A">
            <w:pPr>
              <w:pStyle w:val="TableHeader"/>
              <w:keepNext w:val="0"/>
              <w:rPr>
                <w:sz w:val="22"/>
                <w:szCs w:val="22"/>
              </w:rPr>
            </w:pPr>
            <w:r w:rsidRPr="006E5C82">
              <w:rPr>
                <w:sz w:val="22"/>
                <w:szCs w:val="22"/>
              </w:rPr>
              <w:t>Organization</w:t>
            </w:r>
          </w:p>
        </w:tc>
        <w:tc>
          <w:tcPr>
            <w:tcW w:w="3195" w:type="dxa"/>
            <w:shd w:val="clear" w:color="auto" w:fill="auto"/>
            <w:vAlign w:val="center"/>
          </w:tcPr>
          <w:p w:rsidR="00777C5C" w:rsidRDefault="007C29B5" w:rsidP="00460B5A">
            <w:pPr>
              <w:pStyle w:val="TableHeader"/>
              <w:keepNext w:val="0"/>
              <w:rPr>
                <w:sz w:val="22"/>
                <w:szCs w:val="22"/>
              </w:rPr>
            </w:pPr>
            <w:r w:rsidRPr="006E5C82">
              <w:rPr>
                <w:sz w:val="22"/>
                <w:szCs w:val="22"/>
              </w:rPr>
              <w:t>Contact Information</w:t>
            </w:r>
          </w:p>
        </w:tc>
      </w:tr>
      <w:tr w:rsidR="007C29B5" w:rsidRPr="006E5C82" w:rsidTr="00AE28A3">
        <w:tc>
          <w:tcPr>
            <w:tcW w:w="2543" w:type="dxa"/>
            <w:shd w:val="clear" w:color="auto" w:fill="auto"/>
          </w:tcPr>
          <w:p w:rsidR="00777C5C" w:rsidRDefault="007C29B5" w:rsidP="00460B5A">
            <w:pPr>
              <w:spacing w:before="40" w:after="40"/>
              <w:rPr>
                <w:sz w:val="22"/>
                <w:szCs w:val="22"/>
              </w:rPr>
            </w:pPr>
            <w:r w:rsidRPr="006E5C82">
              <w:rPr>
                <w:sz w:val="22"/>
                <w:szCs w:val="22"/>
              </w:rPr>
              <w:t xml:space="preserve">Seraphine Pitt Barnes, PhD, MPH, CHES </w:t>
            </w:r>
          </w:p>
        </w:tc>
        <w:tc>
          <w:tcPr>
            <w:tcW w:w="3978" w:type="dxa"/>
            <w:shd w:val="clear" w:color="auto" w:fill="auto"/>
          </w:tcPr>
          <w:p w:rsidR="00777C5C" w:rsidRDefault="007C29B5" w:rsidP="00460B5A">
            <w:pPr>
              <w:rPr>
                <w:color w:val="000000"/>
                <w:sz w:val="22"/>
                <w:szCs w:val="22"/>
              </w:rPr>
            </w:pPr>
            <w:r w:rsidRPr="006E5C82">
              <w:rPr>
                <w:color w:val="000000"/>
                <w:sz w:val="22"/>
                <w:szCs w:val="22"/>
              </w:rPr>
              <w:t xml:space="preserve">Division of Population Health; </w:t>
            </w:r>
          </w:p>
          <w:p w:rsidR="00777C5C" w:rsidRDefault="007C29B5" w:rsidP="00460B5A">
            <w:pPr>
              <w:spacing w:before="40" w:after="40"/>
              <w:rPr>
                <w:sz w:val="22"/>
                <w:szCs w:val="22"/>
              </w:rPr>
            </w:pPr>
            <w:r w:rsidRPr="006E5C82">
              <w:rPr>
                <w:color w:val="000000"/>
                <w:sz w:val="22"/>
                <w:szCs w:val="22"/>
              </w:rPr>
              <w:t>National Center for Chronic Disease Prevention and Health Promotion (NCCDPHP)</w:t>
            </w:r>
          </w:p>
        </w:tc>
        <w:tc>
          <w:tcPr>
            <w:tcW w:w="3195" w:type="dxa"/>
            <w:shd w:val="clear" w:color="auto" w:fill="auto"/>
          </w:tcPr>
          <w:p w:rsidR="00777C5C" w:rsidRDefault="007C29B5" w:rsidP="00460B5A">
            <w:pPr>
              <w:spacing w:before="40" w:after="40"/>
              <w:rPr>
                <w:sz w:val="22"/>
                <w:szCs w:val="22"/>
              </w:rPr>
            </w:pPr>
            <w:r w:rsidRPr="006E5C82">
              <w:rPr>
                <w:sz w:val="22"/>
                <w:szCs w:val="22"/>
              </w:rPr>
              <w:t>Phone: (770) 488-6115</w:t>
            </w:r>
          </w:p>
          <w:p w:rsidR="00777C5C" w:rsidRDefault="00C97263" w:rsidP="00460B5A">
            <w:pPr>
              <w:spacing w:before="40" w:after="40"/>
              <w:rPr>
                <w:sz w:val="22"/>
                <w:szCs w:val="22"/>
              </w:rPr>
            </w:pPr>
            <w:hyperlink r:id="rId63" w:history="1">
              <w:r w:rsidR="007C29B5" w:rsidRPr="006E5C82">
                <w:rPr>
                  <w:rStyle w:val="Hyperlink"/>
                  <w:sz w:val="22"/>
                  <w:szCs w:val="22"/>
                </w:rPr>
                <w:t>seraphine.pittbarnes@cdc.hhs.gov</w:t>
              </w:r>
            </w:hyperlink>
            <w:r w:rsidR="007C29B5" w:rsidRPr="006E5C82">
              <w:rPr>
                <w:sz w:val="22"/>
                <w:szCs w:val="22"/>
              </w:rPr>
              <w:t xml:space="preserve"> </w:t>
            </w:r>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 xml:space="preserve">Nilka Burrows, MPH </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 xml:space="preserve">Division of Diabetes Translation; </w:t>
            </w:r>
            <w:r w:rsidRPr="006E5C82">
              <w:rPr>
                <w:sz w:val="22"/>
                <w:szCs w:val="22"/>
              </w:rPr>
              <w:lastRenderedPageBreak/>
              <w:t>NCCDPHP</w:t>
            </w:r>
          </w:p>
        </w:tc>
        <w:tc>
          <w:tcPr>
            <w:tcW w:w="3195" w:type="dxa"/>
            <w:shd w:val="clear" w:color="auto" w:fill="auto"/>
          </w:tcPr>
          <w:p w:rsidR="00AB1ACE" w:rsidRDefault="007C29B5" w:rsidP="00CC69A6">
            <w:pPr>
              <w:spacing w:before="40" w:after="40"/>
              <w:rPr>
                <w:sz w:val="22"/>
                <w:szCs w:val="22"/>
              </w:rPr>
            </w:pPr>
            <w:r w:rsidRPr="006E5C82">
              <w:rPr>
                <w:sz w:val="22"/>
                <w:szCs w:val="22"/>
              </w:rPr>
              <w:lastRenderedPageBreak/>
              <w:t xml:space="preserve">Phone: (770) 488-1057 </w:t>
            </w:r>
            <w:hyperlink r:id="rId64" w:history="1">
              <w:r w:rsidRPr="006E5C82">
                <w:rPr>
                  <w:rStyle w:val="Hyperlink"/>
                  <w:sz w:val="22"/>
                  <w:szCs w:val="22"/>
                </w:rPr>
                <w:t>nilka.burrows@cdc.hhs.gov</w:t>
              </w:r>
            </w:hyperlink>
            <w:r w:rsidRPr="006E5C82">
              <w:rPr>
                <w:sz w:val="22"/>
                <w:szCs w:val="22"/>
              </w:rPr>
              <w:t xml:space="preserve"> </w:t>
            </w:r>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lastRenderedPageBreak/>
              <w:t>Dan Chapman, PhD</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Division of Population Health; NCCDPHP</w:t>
            </w:r>
          </w:p>
        </w:tc>
        <w:tc>
          <w:tcPr>
            <w:tcW w:w="3195" w:type="dxa"/>
            <w:shd w:val="clear" w:color="auto" w:fill="auto"/>
          </w:tcPr>
          <w:p w:rsidR="007C29B5" w:rsidRPr="006E5C82" w:rsidRDefault="007C29B5" w:rsidP="00B00C82">
            <w:pPr>
              <w:spacing w:before="40" w:after="40"/>
              <w:rPr>
                <w:sz w:val="22"/>
                <w:szCs w:val="22"/>
              </w:rPr>
            </w:pPr>
            <w:r w:rsidRPr="006E5C82">
              <w:rPr>
                <w:sz w:val="22"/>
                <w:szCs w:val="22"/>
              </w:rPr>
              <w:t xml:space="preserve">Phone: (770) 488-5463 </w:t>
            </w:r>
            <w:hyperlink r:id="rId65" w:history="1">
              <w:r w:rsidRPr="006E5C82">
                <w:rPr>
                  <w:rStyle w:val="Hyperlink"/>
                  <w:sz w:val="22"/>
                  <w:szCs w:val="22"/>
                </w:rPr>
                <w:t>daniel.chapman@cdc.hhs.gov</w:t>
              </w:r>
            </w:hyperlink>
            <w:r w:rsidRPr="006E5C82">
              <w:rPr>
                <w:sz w:val="22"/>
                <w:szCs w:val="22"/>
              </w:rPr>
              <w:t xml:space="preserve"> </w:t>
            </w:r>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Pyone Cho, MD</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Division of Diabetes Translation; NCCDPHP</w:t>
            </w:r>
          </w:p>
        </w:tc>
        <w:tc>
          <w:tcPr>
            <w:tcW w:w="3195" w:type="dxa"/>
            <w:shd w:val="clear" w:color="auto" w:fill="auto"/>
          </w:tcPr>
          <w:p w:rsidR="007C29B5" w:rsidRPr="006E5C82" w:rsidRDefault="007C29B5" w:rsidP="00B00C82">
            <w:pPr>
              <w:spacing w:before="40" w:after="40"/>
              <w:rPr>
                <w:sz w:val="22"/>
                <w:szCs w:val="22"/>
              </w:rPr>
            </w:pPr>
            <w:r w:rsidRPr="006E5C82">
              <w:rPr>
                <w:sz w:val="22"/>
                <w:szCs w:val="22"/>
              </w:rPr>
              <w:t>Phone: (770) 488-2041</w:t>
            </w:r>
          </w:p>
          <w:p w:rsidR="007C29B5" w:rsidRPr="006E5C82" w:rsidRDefault="00C97263" w:rsidP="00B00C82">
            <w:pPr>
              <w:spacing w:before="40" w:after="40"/>
              <w:rPr>
                <w:sz w:val="22"/>
                <w:szCs w:val="22"/>
              </w:rPr>
            </w:pPr>
            <w:hyperlink r:id="rId66" w:history="1">
              <w:r w:rsidR="007C29B5" w:rsidRPr="006E5C82">
                <w:rPr>
                  <w:rStyle w:val="Hyperlink"/>
                  <w:sz w:val="22"/>
                  <w:szCs w:val="22"/>
                </w:rPr>
                <w:t>igz1@cdc.gov</w:t>
              </w:r>
            </w:hyperlink>
            <w:r w:rsidR="007C29B5" w:rsidRPr="006E5C82">
              <w:rPr>
                <w:sz w:val="22"/>
                <w:szCs w:val="22"/>
              </w:rPr>
              <w:t xml:space="preserve"> </w:t>
            </w:r>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Kristine Day, MPH</w:t>
            </w:r>
          </w:p>
        </w:tc>
        <w:tc>
          <w:tcPr>
            <w:tcW w:w="3978" w:type="dxa"/>
            <w:shd w:val="clear" w:color="auto" w:fill="auto"/>
          </w:tcPr>
          <w:p w:rsidR="007C29B5" w:rsidRPr="006E5C82" w:rsidRDefault="007C29B5" w:rsidP="00B00C82">
            <w:pPr>
              <w:keepNext/>
              <w:keepLines/>
              <w:spacing w:before="40" w:after="40"/>
              <w:rPr>
                <w:sz w:val="22"/>
                <w:szCs w:val="22"/>
              </w:rPr>
            </w:pPr>
            <w:r w:rsidRPr="006E5C82">
              <w:rPr>
                <w:sz w:val="22"/>
                <w:szCs w:val="22"/>
              </w:rPr>
              <w:t>Division of Community Health; NCCDPHP</w:t>
            </w:r>
          </w:p>
        </w:tc>
        <w:tc>
          <w:tcPr>
            <w:tcW w:w="3195" w:type="dxa"/>
            <w:shd w:val="clear" w:color="auto" w:fill="auto"/>
          </w:tcPr>
          <w:p w:rsidR="007C29B5" w:rsidRPr="006E5C82" w:rsidRDefault="007C29B5" w:rsidP="00B00C82">
            <w:pPr>
              <w:keepNext/>
              <w:keepLines/>
              <w:spacing w:before="40" w:after="40"/>
              <w:rPr>
                <w:sz w:val="22"/>
                <w:szCs w:val="22"/>
              </w:rPr>
            </w:pPr>
            <w:r w:rsidRPr="006E5C82">
              <w:rPr>
                <w:sz w:val="22"/>
                <w:szCs w:val="22"/>
              </w:rPr>
              <w:t xml:space="preserve">Phone: </w:t>
            </w:r>
            <w:r w:rsidR="00A67818">
              <w:rPr>
                <w:sz w:val="22"/>
                <w:szCs w:val="22"/>
              </w:rPr>
              <w:t>(</w:t>
            </w:r>
            <w:r w:rsidRPr="006E5C82">
              <w:rPr>
                <w:sz w:val="22"/>
                <w:szCs w:val="22"/>
              </w:rPr>
              <w:t>770</w:t>
            </w:r>
            <w:r w:rsidR="00A67818">
              <w:rPr>
                <w:sz w:val="22"/>
                <w:szCs w:val="22"/>
              </w:rPr>
              <w:t xml:space="preserve">) </w:t>
            </w:r>
            <w:r w:rsidRPr="006E5C82">
              <w:rPr>
                <w:sz w:val="22"/>
                <w:szCs w:val="22"/>
              </w:rPr>
              <w:t>488-5446</w:t>
            </w:r>
          </w:p>
          <w:p w:rsidR="007C29B5" w:rsidRPr="006E5C82" w:rsidRDefault="00C97263" w:rsidP="00B00C82">
            <w:pPr>
              <w:keepNext/>
              <w:keepLines/>
              <w:spacing w:before="40" w:after="40"/>
              <w:rPr>
                <w:sz w:val="22"/>
                <w:szCs w:val="22"/>
              </w:rPr>
            </w:pPr>
            <w:hyperlink r:id="rId67" w:history="1">
              <w:r w:rsidR="007C29B5" w:rsidRPr="00AE28A3">
                <w:rPr>
                  <w:color w:val="0000FF"/>
                  <w:sz w:val="22"/>
                  <w:szCs w:val="22"/>
                </w:rPr>
                <w:t>kday@cdc.gov</w:t>
              </w:r>
            </w:hyperlink>
          </w:p>
        </w:tc>
      </w:tr>
      <w:tr w:rsidR="007C29B5" w:rsidRPr="006E5C82" w:rsidTr="00AE28A3">
        <w:trPr>
          <w:trHeight w:val="242"/>
        </w:trPr>
        <w:tc>
          <w:tcPr>
            <w:tcW w:w="2543" w:type="dxa"/>
            <w:shd w:val="clear" w:color="auto" w:fill="auto"/>
          </w:tcPr>
          <w:p w:rsidR="007C29B5" w:rsidRPr="006E5C82" w:rsidRDefault="007C29B5" w:rsidP="00B00C82">
            <w:pPr>
              <w:spacing w:before="40" w:after="40"/>
              <w:rPr>
                <w:sz w:val="22"/>
                <w:szCs w:val="22"/>
              </w:rPr>
            </w:pPr>
            <w:r w:rsidRPr="006E5C82">
              <w:rPr>
                <w:sz w:val="22"/>
                <w:szCs w:val="22"/>
              </w:rPr>
              <w:t xml:space="preserve">Martha Engstrom, MS </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Office of Smoking and Health;</w:t>
            </w:r>
          </w:p>
          <w:p w:rsidR="007C29B5" w:rsidRPr="006E5C82" w:rsidRDefault="007C29B5" w:rsidP="00B00C82">
            <w:pPr>
              <w:spacing w:before="40" w:after="40"/>
              <w:rPr>
                <w:iCs/>
                <w:sz w:val="22"/>
                <w:szCs w:val="22"/>
              </w:rPr>
            </w:pPr>
            <w:r w:rsidRPr="006E5C82">
              <w:rPr>
                <w:sz w:val="22"/>
                <w:szCs w:val="22"/>
              </w:rPr>
              <w:t>NCCDPHP</w:t>
            </w:r>
          </w:p>
        </w:tc>
        <w:tc>
          <w:tcPr>
            <w:tcW w:w="3195" w:type="dxa"/>
            <w:shd w:val="clear" w:color="auto" w:fill="auto"/>
          </w:tcPr>
          <w:p w:rsidR="007C29B5" w:rsidRPr="006E5C82" w:rsidRDefault="007C29B5" w:rsidP="00B00C82">
            <w:pPr>
              <w:spacing w:before="40" w:after="40"/>
              <w:rPr>
                <w:sz w:val="22"/>
                <w:szCs w:val="22"/>
              </w:rPr>
            </w:pPr>
            <w:r w:rsidRPr="006E5C82">
              <w:rPr>
                <w:sz w:val="22"/>
                <w:szCs w:val="22"/>
              </w:rPr>
              <w:t xml:space="preserve">Phone: (770) 488-5749 </w:t>
            </w:r>
            <w:hyperlink r:id="rId68" w:history="1">
              <w:r w:rsidRPr="006E5C82">
                <w:rPr>
                  <w:rStyle w:val="Hyperlink"/>
                  <w:sz w:val="22"/>
                  <w:szCs w:val="22"/>
                </w:rPr>
                <w:t>martha.engstrom@cdc.hhs.gov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Charlotte Kent, PhD</w:t>
            </w:r>
          </w:p>
        </w:tc>
        <w:tc>
          <w:tcPr>
            <w:tcW w:w="3978" w:type="dxa"/>
            <w:shd w:val="clear" w:color="auto" w:fill="auto"/>
          </w:tcPr>
          <w:p w:rsidR="007C29B5" w:rsidRPr="006E5C82" w:rsidRDefault="007C29B5" w:rsidP="00B00C82">
            <w:pPr>
              <w:keepNext/>
              <w:keepLines/>
              <w:spacing w:before="40" w:after="40"/>
              <w:rPr>
                <w:sz w:val="22"/>
                <w:szCs w:val="22"/>
              </w:rPr>
            </w:pPr>
            <w:r w:rsidRPr="006E5C82">
              <w:rPr>
                <w:sz w:val="22"/>
                <w:szCs w:val="22"/>
              </w:rPr>
              <w:t>Division of Community Health; NCCDPHP</w:t>
            </w:r>
          </w:p>
        </w:tc>
        <w:tc>
          <w:tcPr>
            <w:tcW w:w="3195" w:type="dxa"/>
            <w:shd w:val="clear" w:color="auto" w:fill="auto"/>
          </w:tcPr>
          <w:p w:rsidR="007C29B5" w:rsidRPr="006E5C82" w:rsidRDefault="007C29B5" w:rsidP="00B00C82">
            <w:pPr>
              <w:keepNext/>
              <w:keepLines/>
              <w:spacing w:before="40" w:after="40"/>
              <w:rPr>
                <w:sz w:val="22"/>
                <w:szCs w:val="22"/>
              </w:rPr>
            </w:pPr>
            <w:r w:rsidRPr="006E5C82">
              <w:rPr>
                <w:sz w:val="22"/>
                <w:szCs w:val="22"/>
              </w:rPr>
              <w:t>Phone: (770) 488-6471</w:t>
            </w:r>
          </w:p>
          <w:p w:rsidR="007C29B5" w:rsidRPr="006E5C82" w:rsidRDefault="00C97263" w:rsidP="00B00C82">
            <w:pPr>
              <w:keepNext/>
              <w:keepLines/>
              <w:spacing w:before="40" w:after="40"/>
              <w:rPr>
                <w:sz w:val="22"/>
                <w:szCs w:val="22"/>
              </w:rPr>
            </w:pPr>
            <w:hyperlink r:id="rId69" w:history="1">
              <w:r w:rsidR="007C29B5" w:rsidRPr="006E5C82">
                <w:rPr>
                  <w:rStyle w:val="Hyperlink"/>
                  <w:sz w:val="22"/>
                  <w:szCs w:val="22"/>
                </w:rPr>
                <w:t>Cgk3@cdc.gov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Brian King, PhD</w:t>
            </w:r>
          </w:p>
        </w:tc>
        <w:tc>
          <w:tcPr>
            <w:tcW w:w="3978" w:type="dxa"/>
            <w:shd w:val="clear" w:color="auto" w:fill="auto"/>
          </w:tcPr>
          <w:p w:rsidR="007C29B5" w:rsidRPr="006E5C82" w:rsidRDefault="007C29B5" w:rsidP="00B00C82">
            <w:pPr>
              <w:keepNext/>
              <w:keepLines/>
              <w:spacing w:before="40" w:after="40"/>
              <w:rPr>
                <w:sz w:val="22"/>
                <w:szCs w:val="22"/>
              </w:rPr>
            </w:pPr>
            <w:r w:rsidRPr="006E5C82">
              <w:rPr>
                <w:sz w:val="22"/>
                <w:szCs w:val="22"/>
              </w:rPr>
              <w:t>Office of Smoking and Health; NCCDPHP</w:t>
            </w:r>
          </w:p>
        </w:tc>
        <w:tc>
          <w:tcPr>
            <w:tcW w:w="3195" w:type="dxa"/>
            <w:shd w:val="clear" w:color="auto" w:fill="auto"/>
          </w:tcPr>
          <w:p w:rsidR="007C29B5" w:rsidRPr="006E5C82" w:rsidRDefault="007C29B5" w:rsidP="00B00C82">
            <w:pPr>
              <w:keepNext/>
              <w:keepLines/>
              <w:spacing w:before="40" w:after="40"/>
              <w:rPr>
                <w:sz w:val="22"/>
                <w:szCs w:val="22"/>
              </w:rPr>
            </w:pPr>
            <w:r w:rsidRPr="006E5C82">
              <w:rPr>
                <w:sz w:val="22"/>
                <w:szCs w:val="22"/>
              </w:rPr>
              <w:t xml:space="preserve">Phone: </w:t>
            </w:r>
            <w:r w:rsidR="00A67818">
              <w:rPr>
                <w:sz w:val="22"/>
                <w:szCs w:val="22"/>
              </w:rPr>
              <w:t>(</w:t>
            </w:r>
            <w:r w:rsidRPr="006E5C82">
              <w:rPr>
                <w:sz w:val="22"/>
                <w:szCs w:val="22"/>
              </w:rPr>
              <w:t>770</w:t>
            </w:r>
            <w:r w:rsidR="00A67818">
              <w:rPr>
                <w:sz w:val="22"/>
                <w:szCs w:val="22"/>
              </w:rPr>
              <w:t xml:space="preserve">) </w:t>
            </w:r>
            <w:r w:rsidRPr="006E5C82">
              <w:rPr>
                <w:sz w:val="22"/>
                <w:szCs w:val="22"/>
              </w:rPr>
              <w:t>488-5107</w:t>
            </w:r>
          </w:p>
          <w:p w:rsidR="007C29B5" w:rsidRPr="006E5C82" w:rsidRDefault="00C97263" w:rsidP="00B00C82">
            <w:pPr>
              <w:keepNext/>
              <w:keepLines/>
              <w:spacing w:before="40" w:after="40"/>
              <w:rPr>
                <w:sz w:val="22"/>
                <w:szCs w:val="22"/>
              </w:rPr>
            </w:pPr>
            <w:hyperlink r:id="rId70" w:history="1">
              <w:r w:rsidR="007C29B5" w:rsidRPr="006E5C82">
                <w:rPr>
                  <w:rStyle w:val="Hyperlink"/>
                  <w:sz w:val="22"/>
                  <w:szCs w:val="22"/>
                </w:rPr>
                <w:t>baking@cdc.gov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 xml:space="preserve">Rosemarie Kobau MPH </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Office of Noncommunicable Diseases; Injury and Environmental Health</w:t>
            </w:r>
          </w:p>
        </w:tc>
        <w:tc>
          <w:tcPr>
            <w:tcW w:w="3195" w:type="dxa"/>
            <w:shd w:val="clear" w:color="auto" w:fill="auto"/>
          </w:tcPr>
          <w:p w:rsidR="007C29B5" w:rsidRPr="006E5C82" w:rsidRDefault="007C29B5" w:rsidP="00B00C82">
            <w:pPr>
              <w:spacing w:before="40" w:after="40"/>
              <w:rPr>
                <w:sz w:val="22"/>
                <w:szCs w:val="22"/>
              </w:rPr>
            </w:pPr>
            <w:r w:rsidRPr="006E5C82">
              <w:rPr>
                <w:sz w:val="22"/>
                <w:szCs w:val="22"/>
              </w:rPr>
              <w:t xml:space="preserve">Phone: (770) 488-6087 </w:t>
            </w:r>
            <w:hyperlink r:id="rId71" w:history="1">
              <w:r w:rsidRPr="006E5C82">
                <w:rPr>
                  <w:rStyle w:val="Hyperlink"/>
                  <w:sz w:val="22"/>
                  <w:szCs w:val="22"/>
                </w:rPr>
                <w:t>Rosemarie.kobau@cdc.hhs.gov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Youlian Liao, MD</w:t>
            </w:r>
          </w:p>
        </w:tc>
        <w:tc>
          <w:tcPr>
            <w:tcW w:w="3978" w:type="dxa"/>
            <w:shd w:val="clear" w:color="auto" w:fill="auto"/>
          </w:tcPr>
          <w:p w:rsidR="007C29B5" w:rsidRPr="006E5C82" w:rsidRDefault="007C29B5" w:rsidP="00B00C82">
            <w:pPr>
              <w:keepNext/>
              <w:keepLines/>
              <w:spacing w:before="40" w:after="40"/>
              <w:rPr>
                <w:sz w:val="22"/>
                <w:szCs w:val="22"/>
              </w:rPr>
            </w:pPr>
            <w:r w:rsidRPr="006E5C82">
              <w:rPr>
                <w:sz w:val="22"/>
                <w:szCs w:val="22"/>
              </w:rPr>
              <w:t>Division of Community Health; NCCDPHP</w:t>
            </w:r>
          </w:p>
        </w:tc>
        <w:tc>
          <w:tcPr>
            <w:tcW w:w="3195" w:type="dxa"/>
            <w:shd w:val="clear" w:color="auto" w:fill="auto"/>
          </w:tcPr>
          <w:p w:rsidR="007C29B5" w:rsidRPr="006E5C82" w:rsidRDefault="007C29B5" w:rsidP="00B00C82">
            <w:pPr>
              <w:keepNext/>
              <w:keepLines/>
              <w:autoSpaceDE w:val="0"/>
              <w:autoSpaceDN w:val="0"/>
              <w:adjustRightInd w:val="0"/>
              <w:spacing w:before="40" w:after="40"/>
              <w:rPr>
                <w:sz w:val="22"/>
                <w:szCs w:val="22"/>
              </w:rPr>
            </w:pPr>
            <w:r w:rsidRPr="006E5C82">
              <w:rPr>
                <w:sz w:val="22"/>
                <w:szCs w:val="22"/>
              </w:rPr>
              <w:t>Phone: (770) 488-5299</w:t>
            </w:r>
          </w:p>
          <w:p w:rsidR="007C29B5" w:rsidRPr="006E5C82" w:rsidRDefault="00C97263" w:rsidP="00B00C82">
            <w:pPr>
              <w:keepNext/>
              <w:keepLines/>
              <w:spacing w:before="40" w:after="40"/>
              <w:rPr>
                <w:sz w:val="22"/>
                <w:szCs w:val="22"/>
              </w:rPr>
            </w:pPr>
            <w:hyperlink r:id="rId72" w:history="1">
              <w:r w:rsidR="007C29B5" w:rsidRPr="006E5C82">
                <w:rPr>
                  <w:rStyle w:val="Hyperlink"/>
                  <w:sz w:val="22"/>
                  <w:szCs w:val="22"/>
                </w:rPr>
                <w:t>Ycl1@cdc.gov</w:t>
              </w:r>
            </w:hyperlink>
            <w:r w:rsidR="007C29B5" w:rsidRPr="006E5C82">
              <w:rPr>
                <w:sz w:val="22"/>
                <w:szCs w:val="22"/>
              </w:rPr>
              <w:t xml:space="preserve"> </w:t>
            </w:r>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 xml:space="preserve">Fleetwood Loustalot, PhD </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Division of Heart Disease and Stroke Prevention; NCCDPHP</w:t>
            </w:r>
          </w:p>
        </w:tc>
        <w:tc>
          <w:tcPr>
            <w:tcW w:w="3195" w:type="dxa"/>
            <w:shd w:val="clear" w:color="auto" w:fill="auto"/>
          </w:tcPr>
          <w:p w:rsidR="007C29B5" w:rsidRPr="006E5C82" w:rsidRDefault="007C29B5" w:rsidP="00B00C82">
            <w:pPr>
              <w:spacing w:before="40" w:after="40"/>
              <w:rPr>
                <w:sz w:val="22"/>
                <w:szCs w:val="22"/>
              </w:rPr>
            </w:pPr>
            <w:r w:rsidRPr="006E5C82">
              <w:rPr>
                <w:sz w:val="22"/>
                <w:szCs w:val="22"/>
              </w:rPr>
              <w:t xml:space="preserve">Phone: (770) 488-5198 </w:t>
            </w:r>
            <w:hyperlink r:id="rId73" w:history="1">
              <w:r w:rsidRPr="006E5C82">
                <w:rPr>
                  <w:rStyle w:val="Hyperlink"/>
                  <w:sz w:val="22"/>
                  <w:szCs w:val="22"/>
                </w:rPr>
                <w:t>fleetwood.loustalot@cdc.hhs.gov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 xml:space="preserve">Louise Murphy, PhD </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Division of Population Health; NCCDPHP</w:t>
            </w:r>
          </w:p>
        </w:tc>
        <w:tc>
          <w:tcPr>
            <w:tcW w:w="3195" w:type="dxa"/>
            <w:shd w:val="clear" w:color="auto" w:fill="auto"/>
          </w:tcPr>
          <w:p w:rsidR="007C29B5" w:rsidRPr="006E5C82" w:rsidRDefault="007C29B5" w:rsidP="00B00C82">
            <w:pPr>
              <w:spacing w:before="40" w:after="40"/>
              <w:rPr>
                <w:sz w:val="22"/>
                <w:szCs w:val="22"/>
              </w:rPr>
            </w:pPr>
            <w:r w:rsidRPr="006E5C82">
              <w:rPr>
                <w:sz w:val="22"/>
                <w:szCs w:val="22"/>
              </w:rPr>
              <w:t xml:space="preserve">Phone: (770) 488-5102 </w:t>
            </w:r>
            <w:hyperlink r:id="rId74" w:history="1">
              <w:r w:rsidRPr="006E5C82">
                <w:rPr>
                  <w:rStyle w:val="Hyperlink"/>
                  <w:sz w:val="22"/>
                  <w:szCs w:val="22"/>
                </w:rPr>
                <w:t>louise.murphy@cdc.hhs.gov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Rashid Njai, PhD</w:t>
            </w:r>
          </w:p>
        </w:tc>
        <w:tc>
          <w:tcPr>
            <w:tcW w:w="3978" w:type="dxa"/>
            <w:shd w:val="clear" w:color="auto" w:fill="auto"/>
          </w:tcPr>
          <w:p w:rsidR="007C29B5" w:rsidRPr="006E5C82" w:rsidRDefault="007C29B5" w:rsidP="00B00C82">
            <w:pPr>
              <w:keepNext/>
              <w:keepLines/>
              <w:spacing w:before="40" w:after="40"/>
              <w:rPr>
                <w:sz w:val="22"/>
                <w:szCs w:val="22"/>
              </w:rPr>
            </w:pPr>
            <w:r w:rsidRPr="006E5C82">
              <w:rPr>
                <w:sz w:val="22"/>
                <w:szCs w:val="22"/>
              </w:rPr>
              <w:t>Division of Community Health; NCCDPHP</w:t>
            </w:r>
          </w:p>
        </w:tc>
        <w:tc>
          <w:tcPr>
            <w:tcW w:w="3195" w:type="dxa"/>
            <w:shd w:val="clear" w:color="auto" w:fill="auto"/>
          </w:tcPr>
          <w:p w:rsidR="007C29B5" w:rsidRPr="006E5C82" w:rsidRDefault="007C29B5" w:rsidP="00B00C82">
            <w:pPr>
              <w:keepNext/>
              <w:keepLines/>
              <w:spacing w:before="40" w:after="40"/>
              <w:rPr>
                <w:sz w:val="22"/>
                <w:szCs w:val="22"/>
              </w:rPr>
            </w:pPr>
            <w:r w:rsidRPr="006E5C82">
              <w:rPr>
                <w:sz w:val="22"/>
                <w:szCs w:val="22"/>
              </w:rPr>
              <w:t>Phone: (770) 588-5215</w:t>
            </w:r>
          </w:p>
          <w:p w:rsidR="007C29B5" w:rsidRPr="006E5C82" w:rsidRDefault="00C97263" w:rsidP="00B00C82">
            <w:pPr>
              <w:keepNext/>
              <w:keepLines/>
              <w:spacing w:before="40" w:after="40"/>
              <w:rPr>
                <w:sz w:val="22"/>
                <w:szCs w:val="22"/>
              </w:rPr>
            </w:pPr>
            <w:hyperlink r:id="rId75" w:history="1">
              <w:r w:rsidR="007C29B5" w:rsidRPr="006E5C82">
                <w:rPr>
                  <w:rStyle w:val="Hyperlink"/>
                  <w:sz w:val="22"/>
                  <w:szCs w:val="22"/>
                </w:rPr>
                <w:t>rnjai@cdc.gov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Tatiana Nwankwo, MS</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Division of Health and Nutrition Examination Surveys;</w:t>
            </w:r>
            <w:r w:rsidR="00A67818">
              <w:rPr>
                <w:sz w:val="22"/>
                <w:szCs w:val="22"/>
              </w:rPr>
              <w:t xml:space="preserve"> </w:t>
            </w:r>
            <w:r w:rsidRPr="006E5C82">
              <w:rPr>
                <w:sz w:val="22"/>
                <w:szCs w:val="22"/>
              </w:rPr>
              <w:t>National Center for Health Statistics (NCHS)</w:t>
            </w:r>
          </w:p>
        </w:tc>
        <w:tc>
          <w:tcPr>
            <w:tcW w:w="3195" w:type="dxa"/>
            <w:shd w:val="clear" w:color="auto" w:fill="auto"/>
          </w:tcPr>
          <w:p w:rsidR="007C29B5" w:rsidRPr="006E5C82" w:rsidRDefault="007C29B5" w:rsidP="00B00C82">
            <w:pPr>
              <w:spacing w:before="40" w:after="40"/>
              <w:rPr>
                <w:rStyle w:val="skypepnhtextspan"/>
                <w:sz w:val="22"/>
                <w:szCs w:val="22"/>
              </w:rPr>
            </w:pPr>
            <w:r w:rsidRPr="006E5C82">
              <w:rPr>
                <w:rStyle w:val="skypepnhtextspan"/>
                <w:sz w:val="22"/>
                <w:szCs w:val="22"/>
              </w:rPr>
              <w:t>Phone: (301) 458-4813</w:t>
            </w:r>
          </w:p>
          <w:p w:rsidR="007C29B5" w:rsidRPr="006E5C82" w:rsidRDefault="00C97263" w:rsidP="00B00C82">
            <w:pPr>
              <w:spacing w:before="40" w:after="40"/>
              <w:rPr>
                <w:sz w:val="22"/>
                <w:szCs w:val="22"/>
              </w:rPr>
            </w:pPr>
            <w:hyperlink r:id="rId76" w:history="1">
              <w:r w:rsidR="007C29B5" w:rsidRPr="006E5C82">
                <w:rPr>
                  <w:rStyle w:val="Hyperlink"/>
                  <w:sz w:val="22"/>
                  <w:szCs w:val="22"/>
                </w:rPr>
                <w:t>bwt4@cdc.gov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Diane Orenstein, PhD</w:t>
            </w:r>
          </w:p>
        </w:tc>
        <w:tc>
          <w:tcPr>
            <w:tcW w:w="3978" w:type="dxa"/>
            <w:shd w:val="clear" w:color="auto" w:fill="auto"/>
          </w:tcPr>
          <w:p w:rsidR="007C29B5" w:rsidRPr="006E5C82" w:rsidRDefault="007C29B5" w:rsidP="00B00C82">
            <w:pPr>
              <w:keepNext/>
              <w:keepLines/>
              <w:spacing w:before="40" w:after="40"/>
              <w:rPr>
                <w:sz w:val="22"/>
                <w:szCs w:val="22"/>
              </w:rPr>
            </w:pPr>
            <w:r w:rsidRPr="006E5C82">
              <w:rPr>
                <w:sz w:val="22"/>
                <w:szCs w:val="22"/>
              </w:rPr>
              <w:t>Division of Community Health; NCCDPHP</w:t>
            </w:r>
          </w:p>
        </w:tc>
        <w:tc>
          <w:tcPr>
            <w:tcW w:w="3195" w:type="dxa"/>
            <w:shd w:val="clear" w:color="auto" w:fill="auto"/>
          </w:tcPr>
          <w:p w:rsidR="007C29B5" w:rsidRPr="006E5C82" w:rsidRDefault="007C29B5" w:rsidP="00B00C82">
            <w:pPr>
              <w:keepNext/>
              <w:keepLines/>
              <w:spacing w:before="40" w:after="40"/>
              <w:rPr>
                <w:sz w:val="22"/>
                <w:szCs w:val="22"/>
              </w:rPr>
            </w:pPr>
            <w:r w:rsidRPr="006E5C82">
              <w:rPr>
                <w:sz w:val="22"/>
                <w:szCs w:val="22"/>
              </w:rPr>
              <w:t>Phone: (770) 488-8003</w:t>
            </w:r>
          </w:p>
          <w:p w:rsidR="007C29B5" w:rsidRPr="006E5C82" w:rsidRDefault="00C97263" w:rsidP="00B00C82">
            <w:pPr>
              <w:keepNext/>
              <w:keepLines/>
              <w:spacing w:before="40" w:after="40"/>
              <w:rPr>
                <w:sz w:val="22"/>
                <w:szCs w:val="22"/>
              </w:rPr>
            </w:pPr>
            <w:hyperlink r:id="rId77" w:history="1">
              <w:r w:rsidR="007C29B5" w:rsidRPr="006E5C82">
                <w:rPr>
                  <w:rStyle w:val="Hyperlink"/>
                  <w:sz w:val="22"/>
                  <w:szCs w:val="22"/>
                </w:rPr>
                <w:t>Dro1@cdc.gov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Yechiam Ostchega, PhD, RN</w:t>
            </w:r>
          </w:p>
        </w:tc>
        <w:tc>
          <w:tcPr>
            <w:tcW w:w="3978" w:type="dxa"/>
            <w:shd w:val="clear" w:color="auto" w:fill="auto"/>
          </w:tcPr>
          <w:p w:rsidR="007C29B5" w:rsidRPr="006E5C82" w:rsidRDefault="007C29B5" w:rsidP="00A67818">
            <w:pPr>
              <w:spacing w:before="40" w:after="40"/>
              <w:rPr>
                <w:sz w:val="22"/>
                <w:szCs w:val="22"/>
              </w:rPr>
            </w:pPr>
            <w:r w:rsidRPr="006E5C82">
              <w:rPr>
                <w:sz w:val="22"/>
                <w:szCs w:val="22"/>
              </w:rPr>
              <w:t>Division of Health and Nutrition Examination Surveys; NCHS</w:t>
            </w:r>
          </w:p>
        </w:tc>
        <w:tc>
          <w:tcPr>
            <w:tcW w:w="3195" w:type="dxa"/>
            <w:shd w:val="clear" w:color="auto" w:fill="auto"/>
          </w:tcPr>
          <w:p w:rsidR="007C29B5" w:rsidRPr="006E5C82" w:rsidRDefault="007C29B5" w:rsidP="00B00C82">
            <w:pPr>
              <w:spacing w:before="40" w:after="40"/>
              <w:rPr>
                <w:sz w:val="22"/>
                <w:szCs w:val="22"/>
              </w:rPr>
            </w:pPr>
            <w:r w:rsidRPr="006E5C82">
              <w:rPr>
                <w:sz w:val="22"/>
                <w:szCs w:val="22"/>
              </w:rPr>
              <w:t>Phone: (301) 458-4408</w:t>
            </w:r>
          </w:p>
          <w:p w:rsidR="007C29B5" w:rsidRPr="006E5C82" w:rsidRDefault="00C97263" w:rsidP="00B00C82">
            <w:pPr>
              <w:spacing w:before="40" w:after="40"/>
              <w:rPr>
                <w:sz w:val="22"/>
                <w:szCs w:val="22"/>
              </w:rPr>
            </w:pPr>
            <w:hyperlink r:id="rId78" w:history="1">
              <w:r w:rsidR="007C29B5" w:rsidRPr="006E5C82">
                <w:rPr>
                  <w:rStyle w:val="Hyperlink"/>
                  <w:sz w:val="22"/>
                  <w:szCs w:val="22"/>
                </w:rPr>
                <w:t>yxo1@cdc.gov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Paul Siegel, MD, MPH</w:t>
            </w:r>
          </w:p>
        </w:tc>
        <w:tc>
          <w:tcPr>
            <w:tcW w:w="3978" w:type="dxa"/>
            <w:shd w:val="clear" w:color="auto" w:fill="auto"/>
          </w:tcPr>
          <w:p w:rsidR="007C29B5" w:rsidRPr="006E5C82" w:rsidRDefault="007C29B5" w:rsidP="00B00C82">
            <w:pPr>
              <w:keepNext/>
              <w:keepLines/>
              <w:spacing w:before="40" w:after="40"/>
              <w:rPr>
                <w:sz w:val="22"/>
                <w:szCs w:val="22"/>
              </w:rPr>
            </w:pPr>
            <w:r w:rsidRPr="006E5C82">
              <w:rPr>
                <w:sz w:val="22"/>
                <w:szCs w:val="22"/>
              </w:rPr>
              <w:t>Division of Community Health; NCCDPHP</w:t>
            </w:r>
          </w:p>
        </w:tc>
        <w:tc>
          <w:tcPr>
            <w:tcW w:w="3195" w:type="dxa"/>
            <w:shd w:val="clear" w:color="auto" w:fill="auto"/>
          </w:tcPr>
          <w:p w:rsidR="007C29B5" w:rsidRPr="006E5C82" w:rsidRDefault="007C29B5" w:rsidP="00B00C82">
            <w:pPr>
              <w:keepNext/>
              <w:keepLines/>
              <w:spacing w:before="40" w:after="40"/>
              <w:rPr>
                <w:sz w:val="22"/>
                <w:szCs w:val="22"/>
              </w:rPr>
            </w:pPr>
            <w:r w:rsidRPr="006E5C82">
              <w:rPr>
                <w:sz w:val="22"/>
                <w:szCs w:val="22"/>
              </w:rPr>
              <w:t>Phone: (770) 488-5296</w:t>
            </w:r>
          </w:p>
          <w:p w:rsidR="007C29B5" w:rsidRPr="006E5C82" w:rsidRDefault="00C97263" w:rsidP="00B00C82">
            <w:pPr>
              <w:keepNext/>
              <w:keepLines/>
              <w:spacing w:before="40" w:after="40"/>
              <w:rPr>
                <w:sz w:val="22"/>
                <w:szCs w:val="22"/>
              </w:rPr>
            </w:pPr>
            <w:hyperlink r:id="rId79" w:history="1">
              <w:r w:rsidR="007C29B5" w:rsidRPr="006E5C82">
                <w:rPr>
                  <w:rStyle w:val="Hyperlink"/>
                  <w:sz w:val="22"/>
                  <w:szCs w:val="22"/>
                </w:rPr>
                <w:t>pzsiegel@cdc.gov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Robin Soler, PhD</w:t>
            </w:r>
          </w:p>
        </w:tc>
        <w:tc>
          <w:tcPr>
            <w:tcW w:w="3978" w:type="dxa"/>
            <w:shd w:val="clear" w:color="auto" w:fill="auto"/>
          </w:tcPr>
          <w:p w:rsidR="007C29B5" w:rsidRPr="006E5C82" w:rsidRDefault="007C29B5" w:rsidP="00B00C82">
            <w:pPr>
              <w:keepNext/>
              <w:keepLines/>
              <w:spacing w:before="40" w:after="40"/>
              <w:rPr>
                <w:sz w:val="22"/>
                <w:szCs w:val="22"/>
              </w:rPr>
            </w:pPr>
            <w:r w:rsidRPr="006E5C82">
              <w:rPr>
                <w:sz w:val="22"/>
                <w:szCs w:val="22"/>
              </w:rPr>
              <w:t>Division of Community Health; NCCDPHP</w:t>
            </w:r>
          </w:p>
        </w:tc>
        <w:tc>
          <w:tcPr>
            <w:tcW w:w="3195" w:type="dxa"/>
            <w:shd w:val="clear" w:color="auto" w:fill="auto"/>
          </w:tcPr>
          <w:p w:rsidR="007C29B5" w:rsidRPr="006E5C82" w:rsidRDefault="007C29B5" w:rsidP="00B00C82">
            <w:pPr>
              <w:keepNext/>
              <w:keepLines/>
              <w:spacing w:before="40" w:after="40"/>
              <w:rPr>
                <w:sz w:val="22"/>
                <w:szCs w:val="22"/>
              </w:rPr>
            </w:pPr>
            <w:r w:rsidRPr="006E5C82">
              <w:rPr>
                <w:sz w:val="22"/>
                <w:szCs w:val="22"/>
              </w:rPr>
              <w:t>Phone: (770) 488-5103</w:t>
            </w:r>
          </w:p>
          <w:p w:rsidR="007C29B5" w:rsidRPr="00AE28A3" w:rsidRDefault="00C97263" w:rsidP="00B00C82">
            <w:pPr>
              <w:keepNext/>
              <w:keepLines/>
              <w:spacing w:before="40" w:after="40"/>
              <w:rPr>
                <w:color w:val="0000FF"/>
                <w:sz w:val="22"/>
                <w:szCs w:val="22"/>
              </w:rPr>
            </w:pPr>
            <w:hyperlink r:id="rId80" w:history="1">
              <w:r w:rsidR="007C29B5" w:rsidRPr="00AE28A3">
                <w:rPr>
                  <w:color w:val="0000FF"/>
                  <w:sz w:val="22"/>
                  <w:szCs w:val="22"/>
                </w:rPr>
                <w:t>rsoler@cdc.gov</w:t>
              </w:r>
            </w:hyperlink>
          </w:p>
        </w:tc>
      </w:tr>
      <w:tr w:rsidR="007C29B5" w:rsidRPr="006E5C82" w:rsidTr="00AE28A3">
        <w:tc>
          <w:tcPr>
            <w:tcW w:w="2543" w:type="dxa"/>
            <w:shd w:val="clear" w:color="auto" w:fill="auto"/>
          </w:tcPr>
          <w:p w:rsidR="007C29B5" w:rsidRPr="006E5C82" w:rsidRDefault="007C29B5" w:rsidP="00B00C82">
            <w:pPr>
              <w:spacing w:before="40" w:after="40"/>
              <w:rPr>
                <w:sz w:val="22"/>
                <w:szCs w:val="22"/>
              </w:rPr>
            </w:pPr>
            <w:r w:rsidRPr="006E5C82">
              <w:rPr>
                <w:sz w:val="22"/>
                <w:szCs w:val="22"/>
              </w:rPr>
              <w:t xml:space="preserve">Matthew Zack, MD, MPH </w:t>
            </w:r>
          </w:p>
        </w:tc>
        <w:tc>
          <w:tcPr>
            <w:tcW w:w="3978" w:type="dxa"/>
            <w:shd w:val="clear" w:color="auto" w:fill="auto"/>
          </w:tcPr>
          <w:p w:rsidR="007C29B5" w:rsidRPr="006E5C82" w:rsidRDefault="007C29B5" w:rsidP="00B00C82">
            <w:pPr>
              <w:spacing w:before="40" w:after="40"/>
              <w:rPr>
                <w:sz w:val="22"/>
                <w:szCs w:val="22"/>
              </w:rPr>
            </w:pPr>
            <w:r w:rsidRPr="006E5C82">
              <w:rPr>
                <w:sz w:val="22"/>
                <w:szCs w:val="22"/>
              </w:rPr>
              <w:t>Division of Population Health; NCCDPHP</w:t>
            </w:r>
          </w:p>
        </w:tc>
        <w:tc>
          <w:tcPr>
            <w:tcW w:w="3195" w:type="dxa"/>
            <w:shd w:val="clear" w:color="auto" w:fill="auto"/>
          </w:tcPr>
          <w:p w:rsidR="007C29B5" w:rsidRPr="006E5C82" w:rsidRDefault="007C29B5" w:rsidP="00B00C82">
            <w:pPr>
              <w:spacing w:before="40" w:after="40"/>
              <w:rPr>
                <w:sz w:val="22"/>
                <w:szCs w:val="22"/>
              </w:rPr>
            </w:pPr>
            <w:r w:rsidRPr="006E5C82">
              <w:rPr>
                <w:sz w:val="22"/>
                <w:szCs w:val="22"/>
              </w:rPr>
              <w:t xml:space="preserve">Phone: (770) 488-5460 </w:t>
            </w:r>
            <w:hyperlink r:id="rId81" w:history="1">
              <w:r w:rsidRPr="006E5C82">
                <w:rPr>
                  <w:rStyle w:val="Hyperlink"/>
                  <w:sz w:val="22"/>
                  <w:szCs w:val="22"/>
                </w:rPr>
                <w:t>Matthew.zack@cdc.hhs.gov</w:t>
              </w:r>
            </w:hyperlink>
          </w:p>
        </w:tc>
      </w:tr>
    </w:tbl>
    <w:p w:rsidR="00E01049" w:rsidRDefault="00E01049" w:rsidP="00883AE3">
      <w:pPr>
        <w:pStyle w:val="ExhibitTitle"/>
      </w:pPr>
      <w:bookmarkStart w:id="40" w:name="_Toc317510925"/>
      <w:bookmarkStart w:id="41" w:name="_Toc319073162"/>
    </w:p>
    <w:p w:rsidR="007C29B5" w:rsidRPr="006E5C82" w:rsidRDefault="007C29B5" w:rsidP="00883AE3">
      <w:pPr>
        <w:pStyle w:val="ExhibitTitle"/>
      </w:pPr>
      <w:r w:rsidRPr="006E5C82">
        <w:t>Exhibit B</w:t>
      </w:r>
      <w:r w:rsidR="00883AE3">
        <w:t>.</w:t>
      </w:r>
      <w:r w:rsidRPr="006E5C82">
        <w:t>5</w:t>
      </w:r>
      <w:r w:rsidR="00883AE3">
        <w:t>.</w:t>
      </w:r>
      <w:r w:rsidRPr="006E5C82">
        <w:t>2.</w:t>
      </w:r>
      <w:r w:rsidR="00B275EA" w:rsidRPr="006E5C82">
        <w:tab/>
      </w:r>
      <w:r w:rsidRPr="006E5C82">
        <w:t>Leads in Data Collection, Research/Sampling Design, and Data Analysis</w:t>
      </w:r>
      <w:bookmarkEnd w:id="40"/>
      <w:bookmarkEnd w:id="41"/>
      <w:r w:rsidRPr="006E5C82">
        <w:t xml:space="preserve"> </w:t>
      </w:r>
    </w:p>
    <w:tbl>
      <w:tblPr>
        <w:tblW w:w="5000" w:type="pct"/>
        <w:tblInd w:w="86" w:type="dxa"/>
        <w:tblBorders>
          <w:top w:val="single" w:sz="12" w:space="0" w:color="000000"/>
          <w:bottom w:val="single" w:sz="12" w:space="0" w:color="000000"/>
          <w:insideH w:val="single" w:sz="4" w:space="0" w:color="000000"/>
        </w:tblBorders>
        <w:tblLayout w:type="fixed"/>
        <w:tblCellMar>
          <w:left w:w="58" w:type="dxa"/>
          <w:right w:w="58" w:type="dxa"/>
        </w:tblCellMar>
        <w:tblLook w:val="0000" w:firstRow="0" w:lastRow="0" w:firstColumn="0" w:lastColumn="0" w:noHBand="0" w:noVBand="0"/>
      </w:tblPr>
      <w:tblGrid>
        <w:gridCol w:w="1732"/>
        <w:gridCol w:w="1620"/>
        <w:gridCol w:w="1182"/>
        <w:gridCol w:w="2118"/>
        <w:gridCol w:w="2924"/>
      </w:tblGrid>
      <w:tr w:rsidR="007C29B5" w:rsidRPr="006E5C82" w:rsidTr="00AE28A3">
        <w:trPr>
          <w:cantSplit/>
          <w:tblHeader/>
        </w:trPr>
        <w:tc>
          <w:tcPr>
            <w:tcW w:w="1732" w:type="dxa"/>
            <w:shd w:val="clear" w:color="auto" w:fill="auto"/>
            <w:tcMar>
              <w:top w:w="0" w:type="dxa"/>
              <w:left w:w="108" w:type="dxa"/>
              <w:bottom w:w="0" w:type="dxa"/>
              <w:right w:w="108" w:type="dxa"/>
            </w:tcMar>
          </w:tcPr>
          <w:p w:rsidR="007C29B5" w:rsidRPr="006E5C82" w:rsidRDefault="007C29B5" w:rsidP="00B00C82">
            <w:pPr>
              <w:pStyle w:val="TableHeader"/>
              <w:rPr>
                <w:sz w:val="22"/>
                <w:szCs w:val="22"/>
              </w:rPr>
            </w:pPr>
            <w:r w:rsidRPr="006E5C82">
              <w:rPr>
                <w:sz w:val="22"/>
                <w:szCs w:val="22"/>
              </w:rPr>
              <w:t>Task</w:t>
            </w:r>
          </w:p>
        </w:tc>
        <w:tc>
          <w:tcPr>
            <w:tcW w:w="1620" w:type="dxa"/>
            <w:shd w:val="clear" w:color="auto" w:fill="auto"/>
            <w:tcMar>
              <w:top w:w="0" w:type="dxa"/>
              <w:left w:w="108" w:type="dxa"/>
              <w:bottom w:w="0" w:type="dxa"/>
              <w:right w:w="108" w:type="dxa"/>
            </w:tcMar>
          </w:tcPr>
          <w:p w:rsidR="007C29B5" w:rsidRPr="006E5C82" w:rsidRDefault="007C29B5" w:rsidP="00B00C82">
            <w:pPr>
              <w:pStyle w:val="TableHeader"/>
              <w:rPr>
                <w:sz w:val="22"/>
                <w:szCs w:val="22"/>
              </w:rPr>
            </w:pPr>
            <w:r w:rsidRPr="006E5C82">
              <w:rPr>
                <w:sz w:val="22"/>
                <w:szCs w:val="22"/>
              </w:rPr>
              <w:t>Lead</w:t>
            </w:r>
          </w:p>
        </w:tc>
        <w:tc>
          <w:tcPr>
            <w:tcW w:w="1182" w:type="dxa"/>
            <w:shd w:val="clear" w:color="auto" w:fill="auto"/>
            <w:tcMar>
              <w:top w:w="0" w:type="dxa"/>
              <w:left w:w="108" w:type="dxa"/>
              <w:bottom w:w="0" w:type="dxa"/>
              <w:right w:w="108" w:type="dxa"/>
            </w:tcMar>
          </w:tcPr>
          <w:p w:rsidR="007C29B5" w:rsidRPr="006E5C82" w:rsidRDefault="007C29B5" w:rsidP="00B00C82">
            <w:pPr>
              <w:pStyle w:val="TableHeader"/>
              <w:rPr>
                <w:sz w:val="22"/>
                <w:szCs w:val="22"/>
              </w:rPr>
            </w:pPr>
            <w:r w:rsidRPr="006E5C82">
              <w:rPr>
                <w:sz w:val="22"/>
                <w:szCs w:val="22"/>
              </w:rPr>
              <w:t>Affiliation</w:t>
            </w:r>
          </w:p>
        </w:tc>
        <w:tc>
          <w:tcPr>
            <w:tcW w:w="2118" w:type="dxa"/>
            <w:shd w:val="clear" w:color="auto" w:fill="auto"/>
            <w:tcMar>
              <w:top w:w="0" w:type="dxa"/>
              <w:left w:w="108" w:type="dxa"/>
              <w:bottom w:w="0" w:type="dxa"/>
              <w:right w:w="108" w:type="dxa"/>
            </w:tcMar>
          </w:tcPr>
          <w:p w:rsidR="007C29B5" w:rsidRPr="006E5C82" w:rsidRDefault="007C29B5" w:rsidP="00B00C82">
            <w:pPr>
              <w:pStyle w:val="TableHeader"/>
              <w:rPr>
                <w:sz w:val="22"/>
                <w:szCs w:val="22"/>
              </w:rPr>
            </w:pPr>
            <w:r w:rsidRPr="006E5C82">
              <w:rPr>
                <w:sz w:val="22"/>
                <w:szCs w:val="22"/>
              </w:rPr>
              <w:t>Reviewer</w:t>
            </w:r>
          </w:p>
        </w:tc>
        <w:tc>
          <w:tcPr>
            <w:tcW w:w="2924" w:type="dxa"/>
            <w:shd w:val="clear" w:color="auto" w:fill="auto"/>
            <w:tcMar>
              <w:top w:w="0" w:type="dxa"/>
              <w:left w:w="108" w:type="dxa"/>
              <w:bottom w:w="0" w:type="dxa"/>
              <w:right w:w="108" w:type="dxa"/>
            </w:tcMar>
          </w:tcPr>
          <w:p w:rsidR="007C29B5" w:rsidRPr="006E5C82" w:rsidRDefault="007C29B5" w:rsidP="00B00C82">
            <w:pPr>
              <w:pStyle w:val="TableHeader"/>
              <w:rPr>
                <w:sz w:val="22"/>
                <w:szCs w:val="22"/>
              </w:rPr>
            </w:pPr>
            <w:r w:rsidRPr="006E5C82">
              <w:rPr>
                <w:sz w:val="22"/>
                <w:szCs w:val="22"/>
              </w:rPr>
              <w:t>Contact Information</w:t>
            </w:r>
          </w:p>
        </w:tc>
      </w:tr>
      <w:tr w:rsidR="007C29B5" w:rsidRPr="006E5C82" w:rsidTr="00AE28A3">
        <w:trPr>
          <w:cantSplit/>
        </w:trPr>
        <w:tc>
          <w:tcPr>
            <w:tcW w:w="9576" w:type="dxa"/>
            <w:gridSpan w:val="5"/>
            <w:shd w:val="clear" w:color="auto" w:fill="92CDDC"/>
            <w:tcMar>
              <w:top w:w="0" w:type="dxa"/>
              <w:left w:w="108" w:type="dxa"/>
              <w:bottom w:w="0" w:type="dxa"/>
              <w:right w:w="108" w:type="dxa"/>
            </w:tcMar>
          </w:tcPr>
          <w:p w:rsidR="007C29B5" w:rsidRPr="006E5C82" w:rsidRDefault="007C29B5" w:rsidP="00B00C82">
            <w:pPr>
              <w:keepNext/>
              <w:rPr>
                <w:b/>
                <w:sz w:val="22"/>
                <w:szCs w:val="22"/>
              </w:rPr>
            </w:pPr>
            <w:r w:rsidRPr="006E5C82">
              <w:rPr>
                <w:b/>
                <w:sz w:val="22"/>
                <w:szCs w:val="22"/>
              </w:rPr>
              <w:t>Data Collection</w:t>
            </w:r>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spacing w:before="20" w:after="20"/>
              <w:ind w:left="288" w:hanging="288"/>
              <w:rPr>
                <w:bCs/>
                <w:sz w:val="22"/>
                <w:szCs w:val="22"/>
              </w:rPr>
            </w:pPr>
            <w:r w:rsidRPr="006E5C82">
              <w:rPr>
                <w:bCs/>
                <w:sz w:val="22"/>
                <w:szCs w:val="22"/>
              </w:rPr>
              <w:t>a.</w:t>
            </w:r>
            <w:r w:rsidRPr="006E5C82">
              <w:rPr>
                <w:bCs/>
                <w:sz w:val="22"/>
                <w:szCs w:val="22"/>
              </w:rPr>
              <w:tab/>
              <w:t xml:space="preserve">All </w:t>
            </w:r>
            <w:r w:rsidR="008B1DE1" w:rsidRPr="006E5C82">
              <w:rPr>
                <w:bCs/>
                <w:sz w:val="22"/>
                <w:szCs w:val="22"/>
              </w:rPr>
              <w:t xml:space="preserve">Data Collection Activities </w:t>
            </w:r>
            <w:r w:rsidRPr="006E5C82">
              <w:rPr>
                <w:bCs/>
                <w:sz w:val="22"/>
                <w:szCs w:val="22"/>
              </w:rPr>
              <w:t xml:space="preserve">for </w:t>
            </w:r>
            <w:r w:rsidRPr="006E5C82">
              <w:rPr>
                <w:bCs/>
                <w:i/>
                <w:sz w:val="22"/>
                <w:szCs w:val="22"/>
              </w:rPr>
              <w:t>Standard Protocol</w:t>
            </w:r>
          </w:p>
        </w:tc>
        <w:tc>
          <w:tcPr>
            <w:tcW w:w="1620"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Brenna Muldavin, MS</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Kristina Peterson, PhD, MA</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sz w:val="22"/>
                <w:szCs w:val="22"/>
              </w:rPr>
            </w:pPr>
            <w:r w:rsidRPr="006E5C82">
              <w:rPr>
                <w:bCs/>
                <w:sz w:val="22"/>
                <w:szCs w:val="22"/>
              </w:rPr>
              <w:t xml:space="preserve">Phone: (919) 541-6389 </w:t>
            </w:r>
            <w:r w:rsidRPr="006E5C82">
              <w:rPr>
                <w:bCs/>
                <w:sz w:val="22"/>
                <w:szCs w:val="22"/>
              </w:rPr>
              <w:br/>
              <w:t xml:space="preserve">E-mail: </w:t>
            </w:r>
            <w:hyperlink r:id="rId82" w:tooltip="Email: bmuldavin@rti.org" w:history="1">
              <w:r w:rsidRPr="006E5C82">
                <w:rPr>
                  <w:rStyle w:val="Hyperlink"/>
                  <w:bCs/>
                  <w:sz w:val="22"/>
                  <w:szCs w:val="22"/>
                </w:rPr>
                <w:t>bmuldavin@rti.org</w:t>
              </w:r>
            </w:hyperlink>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spacing w:before="20" w:after="20"/>
              <w:ind w:left="288" w:hanging="288"/>
              <w:rPr>
                <w:bCs/>
                <w:sz w:val="22"/>
                <w:szCs w:val="22"/>
              </w:rPr>
            </w:pPr>
            <w:r w:rsidRPr="006E5C82">
              <w:rPr>
                <w:bCs/>
                <w:sz w:val="22"/>
                <w:szCs w:val="22"/>
              </w:rPr>
              <w:t>b.</w:t>
            </w:r>
            <w:r w:rsidRPr="006E5C82">
              <w:rPr>
                <w:bCs/>
                <w:sz w:val="22"/>
                <w:szCs w:val="22"/>
              </w:rPr>
              <w:tab/>
              <w:t xml:space="preserve">All </w:t>
            </w:r>
            <w:r w:rsidR="008B1DE1" w:rsidRPr="006E5C82">
              <w:rPr>
                <w:bCs/>
                <w:sz w:val="22"/>
                <w:szCs w:val="22"/>
              </w:rPr>
              <w:t xml:space="preserve">Data Collection Activities </w:t>
            </w:r>
            <w:r w:rsidRPr="006E5C82">
              <w:rPr>
                <w:bCs/>
                <w:sz w:val="22"/>
                <w:szCs w:val="22"/>
              </w:rPr>
              <w:t xml:space="preserve">for </w:t>
            </w:r>
            <w:r w:rsidRPr="006E5C82">
              <w:rPr>
                <w:bCs/>
                <w:i/>
                <w:sz w:val="22"/>
                <w:szCs w:val="22"/>
              </w:rPr>
              <w:t>Enhanced Protocol</w:t>
            </w:r>
          </w:p>
        </w:tc>
        <w:tc>
          <w:tcPr>
            <w:tcW w:w="1620"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Jane Hammond, PhD</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Dan Zaccaro, MS</w:t>
            </w:r>
          </w:p>
          <w:p w:rsidR="007C29B5" w:rsidRPr="006E5C82" w:rsidRDefault="007C29B5" w:rsidP="00B00C82">
            <w:pPr>
              <w:spacing w:before="20" w:after="20"/>
              <w:rPr>
                <w:bCs/>
                <w:sz w:val="22"/>
                <w:szCs w:val="22"/>
              </w:rPr>
            </w:pPr>
            <w:r w:rsidRPr="006E5C82">
              <w:rPr>
                <w:bCs/>
                <w:sz w:val="22"/>
                <w:szCs w:val="22"/>
              </w:rPr>
              <w:t>Brenna Muldavin, MS</w:t>
            </w:r>
            <w:r w:rsidRPr="006E5C82">
              <w:rPr>
                <w:bCs/>
                <w:sz w:val="22"/>
                <w:szCs w:val="22"/>
              </w:rPr>
              <w:br/>
              <w:t>Kristina Peterson, PhD, MA</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sz w:val="22"/>
                <w:szCs w:val="22"/>
              </w:rPr>
            </w:pPr>
            <w:r w:rsidRPr="006E5C82">
              <w:rPr>
                <w:bCs/>
                <w:sz w:val="22"/>
                <w:szCs w:val="22"/>
              </w:rPr>
              <w:t>Phone: (301) 770-8207</w:t>
            </w:r>
            <w:r w:rsidRPr="006E5C82">
              <w:rPr>
                <w:bCs/>
                <w:sz w:val="22"/>
                <w:szCs w:val="22"/>
              </w:rPr>
              <w:br/>
              <w:t xml:space="preserve">E-mail: </w:t>
            </w:r>
            <w:hyperlink r:id="rId83" w:tooltip="Email: hammond@rti.org" w:history="1">
              <w:r w:rsidRPr="006E5C82">
                <w:rPr>
                  <w:rStyle w:val="Hyperlink"/>
                  <w:sz w:val="22"/>
                  <w:szCs w:val="22"/>
                </w:rPr>
                <w:t>hammond@rti.org</w:t>
              </w:r>
            </w:hyperlink>
          </w:p>
        </w:tc>
      </w:tr>
      <w:tr w:rsidR="007C29B5" w:rsidRPr="006E5C82" w:rsidTr="00AE28A3">
        <w:trPr>
          <w:cantSplit/>
        </w:trPr>
        <w:tc>
          <w:tcPr>
            <w:tcW w:w="9576" w:type="dxa"/>
            <w:gridSpan w:val="5"/>
            <w:shd w:val="clear" w:color="auto" w:fill="92CDDC"/>
            <w:tcMar>
              <w:top w:w="0" w:type="dxa"/>
              <w:left w:w="108" w:type="dxa"/>
              <w:bottom w:w="0" w:type="dxa"/>
              <w:right w:w="108" w:type="dxa"/>
            </w:tcMar>
          </w:tcPr>
          <w:p w:rsidR="007C29B5" w:rsidRPr="006E5C82" w:rsidRDefault="007C29B5" w:rsidP="00B00C82">
            <w:pPr>
              <w:keepNext/>
              <w:spacing w:before="20" w:after="20"/>
              <w:rPr>
                <w:b/>
                <w:bCs/>
                <w:sz w:val="22"/>
                <w:szCs w:val="22"/>
              </w:rPr>
            </w:pPr>
            <w:r w:rsidRPr="006E5C82">
              <w:rPr>
                <w:b/>
                <w:bCs/>
                <w:sz w:val="22"/>
                <w:szCs w:val="22"/>
              </w:rPr>
              <w:t xml:space="preserve">Study Design </w:t>
            </w:r>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numPr>
                <w:ilvl w:val="0"/>
                <w:numId w:val="24"/>
              </w:numPr>
              <w:spacing w:before="20" w:after="20"/>
              <w:ind w:left="288" w:hanging="288"/>
              <w:rPr>
                <w:bCs/>
                <w:sz w:val="22"/>
                <w:szCs w:val="22"/>
              </w:rPr>
            </w:pPr>
            <w:r w:rsidRPr="006E5C82">
              <w:rPr>
                <w:bCs/>
                <w:i/>
                <w:sz w:val="22"/>
                <w:szCs w:val="22"/>
              </w:rPr>
              <w:t>Standard Protocol</w:t>
            </w:r>
            <w:r w:rsidRPr="006E5C82">
              <w:rPr>
                <w:bCs/>
                <w:sz w:val="22"/>
                <w:szCs w:val="22"/>
              </w:rPr>
              <w:t xml:space="preserve"> Sampling Design </w:t>
            </w:r>
          </w:p>
        </w:tc>
        <w:tc>
          <w:tcPr>
            <w:tcW w:w="1620" w:type="dxa"/>
            <w:shd w:val="clear" w:color="auto" w:fill="auto"/>
            <w:tcMar>
              <w:top w:w="0" w:type="dxa"/>
              <w:left w:w="108" w:type="dxa"/>
              <w:bottom w:w="0" w:type="dxa"/>
              <w:right w:w="108" w:type="dxa"/>
            </w:tcMar>
          </w:tcPr>
          <w:p w:rsidR="007C29B5" w:rsidRPr="006E5C82" w:rsidRDefault="00B275EA" w:rsidP="00B00C82">
            <w:pPr>
              <w:keepNext/>
              <w:spacing w:before="20" w:after="20"/>
              <w:rPr>
                <w:bCs/>
                <w:sz w:val="22"/>
                <w:szCs w:val="22"/>
              </w:rPr>
            </w:pPr>
            <w:r w:rsidRPr="006E5C82">
              <w:rPr>
                <w:bCs/>
                <w:sz w:val="22"/>
                <w:szCs w:val="22"/>
              </w:rPr>
              <w:t>Burton Levine, MS, MA</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Rachel Harter, PhD Diane Catellier, DrPH</w:t>
            </w:r>
            <w:r w:rsidRPr="006E5C82">
              <w:rPr>
                <w:bCs/>
                <w:sz w:val="22"/>
                <w:szCs w:val="22"/>
              </w:rPr>
              <w:br/>
              <w:t>Debra Holden, PhD</w:t>
            </w:r>
            <w:r w:rsidRPr="006E5C82">
              <w:rPr>
                <w:bCs/>
                <w:sz w:val="22"/>
                <w:szCs w:val="22"/>
              </w:rPr>
              <w:br/>
              <w:t>Todd Rogers, PhD</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 xml:space="preserve">Phone: (919) 541-1252 </w:t>
            </w:r>
            <w:r w:rsidRPr="006E5C82">
              <w:rPr>
                <w:bCs/>
                <w:sz w:val="22"/>
                <w:szCs w:val="22"/>
              </w:rPr>
              <w:br/>
              <w:t xml:space="preserve">E-mail: </w:t>
            </w:r>
            <w:hyperlink r:id="rId84" w:history="1">
              <w:r w:rsidRPr="006E5C82">
                <w:rPr>
                  <w:rStyle w:val="Hyperlink"/>
                  <w:bCs/>
                  <w:sz w:val="22"/>
                  <w:szCs w:val="22"/>
                </w:rPr>
                <w:t>blevine@rti.org</w:t>
              </w:r>
            </w:hyperlink>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numPr>
                <w:ilvl w:val="0"/>
                <w:numId w:val="24"/>
              </w:numPr>
              <w:spacing w:before="20" w:after="20"/>
              <w:ind w:left="288" w:hanging="288"/>
              <w:rPr>
                <w:bCs/>
                <w:sz w:val="22"/>
                <w:szCs w:val="22"/>
              </w:rPr>
            </w:pPr>
            <w:r w:rsidRPr="006E5C82">
              <w:rPr>
                <w:bCs/>
                <w:i/>
                <w:sz w:val="22"/>
                <w:szCs w:val="22"/>
              </w:rPr>
              <w:t>Standard Protocol</w:t>
            </w:r>
            <w:r w:rsidRPr="006E5C82">
              <w:rPr>
                <w:bCs/>
                <w:sz w:val="22"/>
                <w:szCs w:val="22"/>
              </w:rPr>
              <w:t xml:space="preserve"> Survey Design</w:t>
            </w:r>
          </w:p>
        </w:tc>
        <w:tc>
          <w:tcPr>
            <w:tcW w:w="1620" w:type="dxa"/>
            <w:shd w:val="clear" w:color="auto" w:fill="auto"/>
            <w:tcMar>
              <w:top w:w="0" w:type="dxa"/>
              <w:left w:w="108" w:type="dxa"/>
              <w:bottom w:w="0" w:type="dxa"/>
              <w:right w:w="108" w:type="dxa"/>
            </w:tcMar>
          </w:tcPr>
          <w:p w:rsidR="007C29B5" w:rsidRPr="006E5C82" w:rsidRDefault="00B275EA" w:rsidP="00B00C82">
            <w:pPr>
              <w:keepNext/>
              <w:spacing w:before="20" w:after="20"/>
              <w:rPr>
                <w:bCs/>
                <w:sz w:val="22"/>
                <w:szCs w:val="22"/>
              </w:rPr>
            </w:pPr>
            <w:r w:rsidRPr="006E5C82">
              <w:rPr>
                <w:bCs/>
                <w:sz w:val="22"/>
                <w:szCs w:val="22"/>
              </w:rPr>
              <w:t>Andrea Anater, PhD</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Debra Holden, PhD Matthew Farrelly, PhD</w:t>
            </w:r>
            <w:r w:rsidRPr="006E5C82">
              <w:rPr>
                <w:bCs/>
                <w:sz w:val="22"/>
                <w:szCs w:val="22"/>
              </w:rPr>
              <w:br/>
              <w:t>James Nonnemaker, PhD, MSPH</w:t>
            </w:r>
            <w:r w:rsidRPr="006E5C82">
              <w:rPr>
                <w:bCs/>
                <w:sz w:val="22"/>
                <w:szCs w:val="22"/>
              </w:rPr>
              <w:br/>
              <w:t>Carol Schmitt, PhD, MA</w:t>
            </w:r>
            <w:r w:rsidRPr="006E5C82">
              <w:rPr>
                <w:bCs/>
                <w:sz w:val="22"/>
                <w:szCs w:val="22"/>
              </w:rPr>
              <w:br/>
              <w:t>Todd Rogers, PhD</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sz w:val="22"/>
                <w:szCs w:val="22"/>
              </w:rPr>
            </w:pPr>
            <w:r w:rsidRPr="006E5C82">
              <w:rPr>
                <w:bCs/>
                <w:sz w:val="22"/>
                <w:szCs w:val="22"/>
              </w:rPr>
              <w:t xml:space="preserve">Phone: (919) 541-6977 </w:t>
            </w:r>
            <w:r w:rsidRPr="006E5C82">
              <w:rPr>
                <w:bCs/>
                <w:sz w:val="22"/>
                <w:szCs w:val="22"/>
              </w:rPr>
              <w:br/>
              <w:t xml:space="preserve">E-mail: </w:t>
            </w:r>
            <w:hyperlink r:id="rId85" w:history="1">
              <w:r w:rsidRPr="006E5C82">
                <w:rPr>
                  <w:rStyle w:val="Hyperlink"/>
                  <w:bCs/>
                  <w:sz w:val="22"/>
                  <w:szCs w:val="22"/>
                </w:rPr>
                <w:t>aanater@rti.org</w:t>
              </w:r>
            </w:hyperlink>
            <w:r w:rsidRPr="006E5C82">
              <w:rPr>
                <w:bCs/>
                <w:sz w:val="22"/>
                <w:szCs w:val="22"/>
              </w:rPr>
              <w:t xml:space="preserve"> </w:t>
            </w:r>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numPr>
                <w:ilvl w:val="0"/>
                <w:numId w:val="24"/>
              </w:numPr>
              <w:spacing w:before="20" w:after="20"/>
              <w:ind w:left="288" w:hanging="288"/>
              <w:rPr>
                <w:bCs/>
                <w:sz w:val="22"/>
                <w:szCs w:val="22"/>
              </w:rPr>
            </w:pPr>
            <w:r w:rsidRPr="006E5C82">
              <w:rPr>
                <w:bCs/>
                <w:i/>
                <w:sz w:val="22"/>
                <w:szCs w:val="22"/>
              </w:rPr>
              <w:t>Enhanced Protocol</w:t>
            </w:r>
            <w:r w:rsidRPr="006E5C82">
              <w:rPr>
                <w:bCs/>
                <w:sz w:val="22"/>
                <w:szCs w:val="22"/>
              </w:rPr>
              <w:t xml:space="preserve"> Sampling Design</w:t>
            </w:r>
          </w:p>
        </w:tc>
        <w:tc>
          <w:tcPr>
            <w:tcW w:w="1620"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Burton Levine, MS, MA</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Diane Catellier, DrPH</w:t>
            </w:r>
            <w:r w:rsidRPr="006E5C82">
              <w:rPr>
                <w:bCs/>
                <w:sz w:val="22"/>
                <w:szCs w:val="22"/>
              </w:rPr>
              <w:br/>
              <w:t>Debra Holden, PhD</w:t>
            </w:r>
            <w:r w:rsidRPr="006E5C82">
              <w:rPr>
                <w:bCs/>
                <w:sz w:val="22"/>
                <w:szCs w:val="22"/>
              </w:rPr>
              <w:br/>
              <w:t>Todd Rogers, PhD</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sz w:val="22"/>
                <w:szCs w:val="22"/>
              </w:rPr>
            </w:pPr>
            <w:r w:rsidRPr="006E5C82">
              <w:rPr>
                <w:bCs/>
                <w:sz w:val="22"/>
                <w:szCs w:val="22"/>
              </w:rPr>
              <w:t>Phone: (919) 541-1252</w:t>
            </w:r>
            <w:r w:rsidRPr="006E5C82">
              <w:rPr>
                <w:bCs/>
                <w:sz w:val="22"/>
                <w:szCs w:val="22"/>
              </w:rPr>
              <w:br/>
              <w:t xml:space="preserve">E-mail: </w:t>
            </w:r>
            <w:hyperlink r:id="rId86" w:history="1">
              <w:r w:rsidRPr="006E5C82">
                <w:rPr>
                  <w:rStyle w:val="Hyperlink"/>
                  <w:bCs/>
                  <w:sz w:val="22"/>
                  <w:szCs w:val="22"/>
                </w:rPr>
                <w:t>blevine@rti.org</w:t>
              </w:r>
            </w:hyperlink>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numPr>
                <w:ilvl w:val="0"/>
                <w:numId w:val="24"/>
              </w:numPr>
              <w:spacing w:before="20" w:after="20"/>
              <w:ind w:left="288" w:hanging="288"/>
              <w:rPr>
                <w:bCs/>
                <w:sz w:val="22"/>
                <w:szCs w:val="22"/>
              </w:rPr>
            </w:pPr>
            <w:r w:rsidRPr="006E5C82">
              <w:rPr>
                <w:bCs/>
                <w:i/>
                <w:sz w:val="22"/>
                <w:szCs w:val="22"/>
              </w:rPr>
              <w:t>Enhanced Protocol</w:t>
            </w:r>
            <w:r w:rsidRPr="006E5C82">
              <w:rPr>
                <w:bCs/>
                <w:sz w:val="22"/>
                <w:szCs w:val="22"/>
              </w:rPr>
              <w:t xml:space="preserve"> Survey Design</w:t>
            </w:r>
          </w:p>
        </w:tc>
        <w:tc>
          <w:tcPr>
            <w:tcW w:w="1620"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Andrea Anater, PhD</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Debra Holden, PhD</w:t>
            </w:r>
            <w:r w:rsidRPr="006E5C82">
              <w:rPr>
                <w:bCs/>
                <w:sz w:val="22"/>
                <w:szCs w:val="22"/>
              </w:rPr>
              <w:br/>
              <w:t>Dan Zaccaro, MS Todd Rogers, PhD</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 xml:space="preserve">Phone: (919) 541-6977 </w:t>
            </w:r>
            <w:r w:rsidRPr="006E5C82">
              <w:rPr>
                <w:bCs/>
                <w:sz w:val="22"/>
                <w:szCs w:val="22"/>
              </w:rPr>
              <w:br/>
              <w:t xml:space="preserve">E-mail: </w:t>
            </w:r>
            <w:hyperlink r:id="rId87" w:history="1">
              <w:r w:rsidRPr="006E5C82">
                <w:rPr>
                  <w:rStyle w:val="Hyperlink"/>
                  <w:bCs/>
                  <w:sz w:val="22"/>
                  <w:szCs w:val="22"/>
                </w:rPr>
                <w:t>aanater@rti.org</w:t>
              </w:r>
            </w:hyperlink>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numPr>
                <w:ilvl w:val="0"/>
                <w:numId w:val="24"/>
              </w:numPr>
              <w:spacing w:before="20" w:after="20"/>
              <w:ind w:left="288" w:hanging="288"/>
              <w:rPr>
                <w:bCs/>
                <w:sz w:val="22"/>
                <w:szCs w:val="22"/>
              </w:rPr>
            </w:pPr>
            <w:r w:rsidRPr="006E5C82">
              <w:rPr>
                <w:bCs/>
                <w:sz w:val="22"/>
                <w:szCs w:val="22"/>
              </w:rPr>
              <w:t xml:space="preserve">Sample </w:t>
            </w:r>
            <w:r w:rsidR="008B1DE1" w:rsidRPr="006E5C82">
              <w:rPr>
                <w:bCs/>
                <w:sz w:val="22"/>
                <w:szCs w:val="22"/>
              </w:rPr>
              <w:t>Weighting Design</w:t>
            </w:r>
          </w:p>
        </w:tc>
        <w:tc>
          <w:tcPr>
            <w:tcW w:w="1620"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Burton Levine, MS, MA</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Diane Catellier, DrPH</w:t>
            </w:r>
            <w:r w:rsidRPr="006E5C82">
              <w:rPr>
                <w:bCs/>
                <w:sz w:val="22"/>
                <w:szCs w:val="22"/>
              </w:rPr>
              <w:br/>
              <w:t>Rachel Harter, PhD</w:t>
            </w:r>
            <w:r w:rsidRPr="006E5C82">
              <w:rPr>
                <w:bCs/>
                <w:sz w:val="22"/>
                <w:szCs w:val="22"/>
              </w:rPr>
              <w:br/>
              <w:t>Dan Zaccaro, MS</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sz w:val="22"/>
                <w:szCs w:val="22"/>
              </w:rPr>
            </w:pPr>
            <w:r w:rsidRPr="006E5C82">
              <w:rPr>
                <w:bCs/>
                <w:sz w:val="22"/>
                <w:szCs w:val="22"/>
              </w:rPr>
              <w:t>Phone: (919) 541-1252</w:t>
            </w:r>
            <w:r w:rsidRPr="006E5C82">
              <w:rPr>
                <w:bCs/>
                <w:sz w:val="22"/>
                <w:szCs w:val="22"/>
              </w:rPr>
              <w:br/>
              <w:t xml:space="preserve">E-mail: </w:t>
            </w:r>
            <w:hyperlink r:id="rId88" w:history="1">
              <w:r w:rsidRPr="006E5C82">
                <w:rPr>
                  <w:rStyle w:val="Hyperlink"/>
                  <w:bCs/>
                  <w:sz w:val="22"/>
                  <w:szCs w:val="22"/>
                </w:rPr>
                <w:t>blevine@rti.org</w:t>
              </w:r>
            </w:hyperlink>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numPr>
                <w:ilvl w:val="0"/>
                <w:numId w:val="24"/>
              </w:numPr>
              <w:spacing w:before="20" w:after="20"/>
              <w:ind w:left="288" w:hanging="288"/>
              <w:rPr>
                <w:bCs/>
                <w:sz w:val="22"/>
                <w:szCs w:val="22"/>
              </w:rPr>
            </w:pPr>
            <w:r w:rsidRPr="006E5C82">
              <w:rPr>
                <w:bCs/>
                <w:i/>
                <w:sz w:val="22"/>
                <w:szCs w:val="22"/>
              </w:rPr>
              <w:t>Enhanced Protocol</w:t>
            </w:r>
            <w:r w:rsidRPr="006E5C82">
              <w:rPr>
                <w:bCs/>
                <w:sz w:val="22"/>
                <w:szCs w:val="22"/>
              </w:rPr>
              <w:t xml:space="preserve"> Biometric </w:t>
            </w:r>
            <w:r w:rsidR="008B1DE1" w:rsidRPr="006E5C82">
              <w:rPr>
                <w:bCs/>
                <w:sz w:val="22"/>
                <w:szCs w:val="22"/>
              </w:rPr>
              <w:t>Sample Collection</w:t>
            </w:r>
          </w:p>
        </w:tc>
        <w:tc>
          <w:tcPr>
            <w:tcW w:w="1620"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Jane Hammond, PhD</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Aten Solutions, Inc. (A10)</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Phone: (301) 770-8207</w:t>
            </w:r>
            <w:r w:rsidRPr="006E5C82">
              <w:rPr>
                <w:bCs/>
                <w:sz w:val="22"/>
                <w:szCs w:val="22"/>
              </w:rPr>
              <w:br/>
              <w:t xml:space="preserve">E-mail: </w:t>
            </w:r>
            <w:hyperlink r:id="rId89" w:tooltip="Email: hammond@rti.org" w:history="1">
              <w:r w:rsidRPr="006E5C82">
                <w:rPr>
                  <w:rStyle w:val="Hyperlink"/>
                  <w:sz w:val="22"/>
                  <w:szCs w:val="22"/>
                </w:rPr>
                <w:t>hammond@rti.org</w:t>
              </w:r>
            </w:hyperlink>
          </w:p>
        </w:tc>
      </w:tr>
      <w:tr w:rsidR="007C29B5" w:rsidRPr="006E5C82" w:rsidTr="00AE28A3">
        <w:trPr>
          <w:cantSplit/>
        </w:trPr>
        <w:tc>
          <w:tcPr>
            <w:tcW w:w="9576" w:type="dxa"/>
            <w:gridSpan w:val="5"/>
            <w:shd w:val="clear" w:color="auto" w:fill="92CDDC"/>
            <w:tcMar>
              <w:top w:w="0" w:type="dxa"/>
              <w:left w:w="108" w:type="dxa"/>
              <w:bottom w:w="0" w:type="dxa"/>
              <w:right w:w="108" w:type="dxa"/>
            </w:tcMar>
          </w:tcPr>
          <w:p w:rsidR="007C29B5" w:rsidRPr="006E5C82" w:rsidRDefault="007C29B5" w:rsidP="00B00C82">
            <w:pPr>
              <w:keepNext/>
              <w:spacing w:before="20" w:after="20"/>
              <w:rPr>
                <w:b/>
                <w:bCs/>
                <w:sz w:val="22"/>
                <w:szCs w:val="22"/>
              </w:rPr>
            </w:pPr>
            <w:r w:rsidRPr="006E5C82">
              <w:rPr>
                <w:b/>
                <w:bCs/>
                <w:sz w:val="22"/>
                <w:szCs w:val="22"/>
              </w:rPr>
              <w:lastRenderedPageBreak/>
              <w:t>Data Analysis</w:t>
            </w:r>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numPr>
                <w:ilvl w:val="0"/>
                <w:numId w:val="25"/>
              </w:numPr>
              <w:spacing w:before="20" w:after="20"/>
              <w:ind w:left="288" w:hanging="288"/>
              <w:rPr>
                <w:bCs/>
                <w:sz w:val="22"/>
                <w:szCs w:val="22"/>
              </w:rPr>
            </w:pPr>
            <w:r w:rsidRPr="006E5C82">
              <w:rPr>
                <w:bCs/>
                <w:sz w:val="22"/>
                <w:szCs w:val="22"/>
              </w:rPr>
              <w:t xml:space="preserve">Data </w:t>
            </w:r>
            <w:r w:rsidR="008B1DE1" w:rsidRPr="006E5C82">
              <w:rPr>
                <w:bCs/>
                <w:sz w:val="22"/>
                <w:szCs w:val="22"/>
              </w:rPr>
              <w:t xml:space="preserve">Analysis </w:t>
            </w:r>
            <w:r w:rsidRPr="006E5C82">
              <w:rPr>
                <w:bCs/>
                <w:sz w:val="22"/>
                <w:szCs w:val="22"/>
              </w:rPr>
              <w:t xml:space="preserve">for </w:t>
            </w:r>
            <w:r w:rsidRPr="006E5C82">
              <w:rPr>
                <w:bCs/>
                <w:i/>
                <w:sz w:val="22"/>
                <w:szCs w:val="22"/>
              </w:rPr>
              <w:t>Standard Protocol</w:t>
            </w:r>
          </w:p>
        </w:tc>
        <w:tc>
          <w:tcPr>
            <w:tcW w:w="1620" w:type="dxa"/>
            <w:shd w:val="clear" w:color="auto" w:fill="auto"/>
            <w:tcMar>
              <w:top w:w="0" w:type="dxa"/>
              <w:left w:w="108" w:type="dxa"/>
              <w:bottom w:w="0" w:type="dxa"/>
              <w:right w:w="108" w:type="dxa"/>
            </w:tcMar>
          </w:tcPr>
          <w:p w:rsidR="007C29B5" w:rsidRPr="006E5C82" w:rsidRDefault="00B275EA" w:rsidP="00B00C82">
            <w:pPr>
              <w:keepNext/>
              <w:spacing w:before="20" w:after="20"/>
              <w:rPr>
                <w:bCs/>
                <w:sz w:val="22"/>
                <w:szCs w:val="22"/>
              </w:rPr>
            </w:pPr>
            <w:r w:rsidRPr="006E5C82">
              <w:rPr>
                <w:bCs/>
                <w:sz w:val="22"/>
                <w:szCs w:val="22"/>
              </w:rPr>
              <w:t>Diane Catellier, DrPH</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Rachel Harter, PhD</w:t>
            </w:r>
            <w:r w:rsidRPr="006E5C82">
              <w:rPr>
                <w:bCs/>
                <w:sz w:val="22"/>
                <w:szCs w:val="22"/>
              </w:rPr>
              <w:br/>
              <w:t>Debra Holden, PhD</w:t>
            </w:r>
            <w:r w:rsidRPr="006E5C82">
              <w:rPr>
                <w:bCs/>
                <w:sz w:val="22"/>
                <w:szCs w:val="22"/>
              </w:rPr>
              <w:br/>
              <w:t>Todd Rogers, PhD</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Phone: (919) 541-6447</w:t>
            </w:r>
            <w:r w:rsidRPr="006E5C82">
              <w:rPr>
                <w:bCs/>
                <w:sz w:val="22"/>
                <w:szCs w:val="22"/>
              </w:rPr>
              <w:br/>
              <w:t xml:space="preserve">E-mail: </w:t>
            </w:r>
            <w:hyperlink r:id="rId90" w:tooltip="Email: dcatellier@rti.org" w:history="1">
              <w:r w:rsidRPr="006E5C82">
                <w:rPr>
                  <w:rStyle w:val="Hyperlink"/>
                  <w:bCs/>
                  <w:sz w:val="22"/>
                  <w:szCs w:val="22"/>
                </w:rPr>
                <w:t>dcatellier@rti.org</w:t>
              </w:r>
            </w:hyperlink>
            <w:r w:rsidRPr="006E5C82">
              <w:rPr>
                <w:sz w:val="22"/>
                <w:szCs w:val="22"/>
              </w:rPr>
              <w:br/>
            </w:r>
          </w:p>
        </w:tc>
      </w:tr>
      <w:tr w:rsidR="007C29B5" w:rsidRPr="006E5C82" w:rsidTr="00AE28A3">
        <w:trPr>
          <w:cantSplit/>
        </w:trPr>
        <w:tc>
          <w:tcPr>
            <w:tcW w:w="1732" w:type="dxa"/>
            <w:shd w:val="clear" w:color="auto" w:fill="auto"/>
            <w:tcMar>
              <w:top w:w="0" w:type="dxa"/>
              <w:left w:w="108" w:type="dxa"/>
              <w:bottom w:w="0" w:type="dxa"/>
              <w:right w:w="108" w:type="dxa"/>
            </w:tcMar>
          </w:tcPr>
          <w:p w:rsidR="007C29B5" w:rsidRPr="006E5C82" w:rsidRDefault="007C29B5" w:rsidP="00B00C82">
            <w:pPr>
              <w:keepNext/>
              <w:numPr>
                <w:ilvl w:val="0"/>
                <w:numId w:val="25"/>
              </w:numPr>
              <w:spacing w:before="20" w:after="20"/>
              <w:ind w:left="288" w:hanging="288"/>
              <w:rPr>
                <w:bCs/>
                <w:sz w:val="22"/>
                <w:szCs w:val="22"/>
              </w:rPr>
            </w:pPr>
            <w:r w:rsidRPr="006E5C82">
              <w:rPr>
                <w:bCs/>
                <w:sz w:val="22"/>
                <w:szCs w:val="22"/>
              </w:rPr>
              <w:t xml:space="preserve">Data </w:t>
            </w:r>
            <w:r w:rsidR="008B1DE1" w:rsidRPr="006E5C82">
              <w:rPr>
                <w:bCs/>
                <w:sz w:val="22"/>
                <w:szCs w:val="22"/>
              </w:rPr>
              <w:t xml:space="preserve">Analysis </w:t>
            </w:r>
            <w:r w:rsidRPr="006E5C82">
              <w:rPr>
                <w:bCs/>
                <w:sz w:val="22"/>
                <w:szCs w:val="22"/>
              </w:rPr>
              <w:t xml:space="preserve">for </w:t>
            </w:r>
            <w:r w:rsidRPr="006E5C82">
              <w:rPr>
                <w:bCs/>
                <w:i/>
                <w:sz w:val="22"/>
                <w:szCs w:val="22"/>
              </w:rPr>
              <w:t>Enhanced Protocol</w:t>
            </w:r>
          </w:p>
        </w:tc>
        <w:tc>
          <w:tcPr>
            <w:tcW w:w="1620"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Jane Hammond, PhD</w:t>
            </w:r>
          </w:p>
        </w:tc>
        <w:tc>
          <w:tcPr>
            <w:tcW w:w="1182" w:type="dxa"/>
            <w:shd w:val="clear" w:color="auto" w:fill="auto"/>
            <w:tcMar>
              <w:top w:w="0" w:type="dxa"/>
              <w:left w:w="108" w:type="dxa"/>
              <w:bottom w:w="0" w:type="dxa"/>
              <w:right w:w="108" w:type="dxa"/>
            </w:tcMar>
          </w:tcPr>
          <w:p w:rsidR="007C29B5" w:rsidRPr="006E5C82" w:rsidRDefault="007C29B5" w:rsidP="00B00C82">
            <w:pPr>
              <w:keepNext/>
              <w:spacing w:before="20" w:after="20"/>
              <w:rPr>
                <w:bCs/>
                <w:sz w:val="22"/>
                <w:szCs w:val="22"/>
              </w:rPr>
            </w:pPr>
            <w:r w:rsidRPr="006E5C82">
              <w:rPr>
                <w:bCs/>
                <w:sz w:val="22"/>
                <w:szCs w:val="22"/>
              </w:rPr>
              <w:t>RTI</w:t>
            </w:r>
          </w:p>
        </w:tc>
        <w:tc>
          <w:tcPr>
            <w:tcW w:w="2118" w:type="dxa"/>
            <w:shd w:val="clear" w:color="auto" w:fill="auto"/>
            <w:tcMar>
              <w:top w:w="0" w:type="dxa"/>
              <w:left w:w="108" w:type="dxa"/>
              <w:bottom w:w="0" w:type="dxa"/>
              <w:right w:w="108" w:type="dxa"/>
            </w:tcMar>
          </w:tcPr>
          <w:p w:rsidR="007C29B5" w:rsidRPr="006E5C82" w:rsidRDefault="007C29B5" w:rsidP="00B00C82">
            <w:pPr>
              <w:spacing w:before="20" w:after="20"/>
              <w:rPr>
                <w:bCs/>
                <w:sz w:val="22"/>
                <w:szCs w:val="22"/>
              </w:rPr>
            </w:pPr>
            <w:r w:rsidRPr="006E5C82">
              <w:rPr>
                <w:bCs/>
                <w:sz w:val="22"/>
                <w:szCs w:val="22"/>
              </w:rPr>
              <w:t>Diane Catellier, DrPH</w:t>
            </w:r>
          </w:p>
          <w:p w:rsidR="007C29B5" w:rsidRPr="006E5C82" w:rsidRDefault="007C29B5" w:rsidP="00B00C82">
            <w:pPr>
              <w:spacing w:before="20" w:after="20"/>
              <w:rPr>
                <w:bCs/>
                <w:sz w:val="22"/>
                <w:szCs w:val="22"/>
              </w:rPr>
            </w:pPr>
            <w:r w:rsidRPr="006E5C82">
              <w:rPr>
                <w:bCs/>
                <w:sz w:val="22"/>
                <w:szCs w:val="22"/>
              </w:rPr>
              <w:t>Dan Zaccaro, MS</w:t>
            </w:r>
            <w:r w:rsidRPr="006E5C82">
              <w:rPr>
                <w:bCs/>
                <w:sz w:val="22"/>
                <w:szCs w:val="22"/>
              </w:rPr>
              <w:br/>
              <w:t>Rachel Harter, PhD</w:t>
            </w:r>
            <w:r w:rsidRPr="006E5C82">
              <w:rPr>
                <w:bCs/>
                <w:sz w:val="22"/>
                <w:szCs w:val="22"/>
              </w:rPr>
              <w:br/>
              <w:t>Debra Holden, PhD</w:t>
            </w:r>
            <w:r w:rsidRPr="006E5C82">
              <w:rPr>
                <w:bCs/>
                <w:sz w:val="22"/>
                <w:szCs w:val="22"/>
              </w:rPr>
              <w:br/>
              <w:t>Todd Rogers, PhD</w:t>
            </w:r>
          </w:p>
        </w:tc>
        <w:tc>
          <w:tcPr>
            <w:tcW w:w="2924" w:type="dxa"/>
            <w:shd w:val="clear" w:color="auto" w:fill="auto"/>
            <w:tcMar>
              <w:top w:w="0" w:type="dxa"/>
              <w:left w:w="108" w:type="dxa"/>
              <w:bottom w:w="0" w:type="dxa"/>
              <w:right w:w="108" w:type="dxa"/>
            </w:tcMar>
          </w:tcPr>
          <w:p w:rsidR="007C29B5" w:rsidRPr="006E5C82" w:rsidRDefault="007C29B5" w:rsidP="00B00C82">
            <w:pPr>
              <w:keepNext/>
              <w:spacing w:before="20" w:after="20"/>
              <w:rPr>
                <w:sz w:val="22"/>
                <w:szCs w:val="22"/>
              </w:rPr>
            </w:pPr>
            <w:r w:rsidRPr="006E5C82">
              <w:rPr>
                <w:bCs/>
                <w:sz w:val="22"/>
                <w:szCs w:val="22"/>
              </w:rPr>
              <w:t>Phone: (301) 770-8207</w:t>
            </w:r>
            <w:r w:rsidRPr="006E5C82">
              <w:rPr>
                <w:bCs/>
                <w:sz w:val="22"/>
                <w:szCs w:val="22"/>
              </w:rPr>
              <w:br/>
              <w:t xml:space="preserve">E-mail: </w:t>
            </w:r>
            <w:hyperlink r:id="rId91" w:tooltip="Email: hammond@rti.org" w:history="1">
              <w:r w:rsidRPr="006E5C82">
                <w:rPr>
                  <w:rStyle w:val="Hyperlink"/>
                  <w:sz w:val="22"/>
                  <w:szCs w:val="22"/>
                </w:rPr>
                <w:t>hammond@rti.org</w:t>
              </w:r>
            </w:hyperlink>
          </w:p>
        </w:tc>
      </w:tr>
    </w:tbl>
    <w:p w:rsidR="007C29B5" w:rsidRPr="006E5C82" w:rsidRDefault="007C29B5" w:rsidP="00B00C82">
      <w:pPr>
        <w:pStyle w:val="Source1"/>
      </w:pPr>
    </w:p>
    <w:p w:rsidR="00F20ECC" w:rsidRPr="006E5C82" w:rsidRDefault="007C29B5" w:rsidP="00F20ECC">
      <w:pPr>
        <w:pStyle w:val="Heading2"/>
      </w:pPr>
      <w:r w:rsidRPr="006E5C82">
        <w:br w:type="page"/>
      </w:r>
      <w:bookmarkStart w:id="42" w:name="_Toc318379285"/>
      <w:bookmarkStart w:id="43" w:name="_Toc348434935"/>
      <w:r w:rsidR="00F20ECC" w:rsidRPr="006E5C82">
        <w:lastRenderedPageBreak/>
        <w:t>B</w:t>
      </w:r>
      <w:r w:rsidR="00F20ECC">
        <w:t>.6</w:t>
      </w:r>
      <w:r w:rsidR="00F20ECC" w:rsidRPr="006E5C82">
        <w:tab/>
      </w:r>
      <w:r w:rsidR="00F20ECC">
        <w:t>References</w:t>
      </w:r>
    </w:p>
    <w:bookmarkEnd w:id="42"/>
    <w:bookmarkEnd w:id="43"/>
    <w:p w:rsidR="00777C5C" w:rsidRDefault="00100BD8" w:rsidP="00460B5A">
      <w:pPr>
        <w:pStyle w:val="biblio"/>
        <w:numPr>
          <w:ilvl w:val="0"/>
          <w:numId w:val="32"/>
        </w:numPr>
      </w:pPr>
      <w:r>
        <w:t>Rosner</w:t>
      </w:r>
      <w:r w:rsidRPr="00100BD8">
        <w:t>, B. (1995). Fundamentals of biostatistics (4th ed.; p. 384). Belmont, CA: Duxbury Press.</w:t>
      </w:r>
    </w:p>
    <w:p w:rsidR="00777C5C" w:rsidRDefault="00CC69A6" w:rsidP="00460B5A">
      <w:pPr>
        <w:pStyle w:val="biblio"/>
        <w:numPr>
          <w:ilvl w:val="0"/>
          <w:numId w:val="32"/>
        </w:numPr>
      </w:pPr>
      <w:r w:rsidRPr="00476D39">
        <w:t>Cohen,</w:t>
      </w:r>
      <w:r>
        <w:t xml:space="preserve"> J. (1988).</w:t>
      </w:r>
      <w:r w:rsidRPr="00476D39">
        <w:t xml:space="preserve"> </w:t>
      </w:r>
      <w:r w:rsidRPr="00476D39">
        <w:rPr>
          <w:i/>
        </w:rPr>
        <w:t>Statistical power analysis for the behavioral sciences</w:t>
      </w:r>
      <w:r>
        <w:t xml:space="preserve"> (2</w:t>
      </w:r>
      <w:r w:rsidRPr="00476D39">
        <w:t>nd</w:t>
      </w:r>
      <w:r>
        <w:t xml:space="preserve"> ed.).</w:t>
      </w:r>
      <w:r w:rsidRPr="00476D39">
        <w:t xml:space="preserve"> </w:t>
      </w:r>
      <w:r>
        <w:t xml:space="preserve">Hillsdale, NJ: </w:t>
      </w:r>
      <w:r w:rsidRPr="00476D39">
        <w:t>Lawrence Erlbaum Associates, Inc., Publishers</w:t>
      </w:r>
      <w:r>
        <w:t>.</w:t>
      </w:r>
    </w:p>
    <w:p w:rsidR="00777C5C" w:rsidRDefault="007C29B5" w:rsidP="00460B5A">
      <w:pPr>
        <w:pStyle w:val="biblio"/>
        <w:numPr>
          <w:ilvl w:val="0"/>
          <w:numId w:val="32"/>
        </w:numPr>
      </w:pPr>
      <w:bookmarkStart w:id="44" w:name="_Ref319320015"/>
      <w:r w:rsidRPr="006E5C82">
        <w:t xml:space="preserve">Kwon, J. H., Jang, H. Y., Rho, J. S., Jung, J. H., Yum, K. S., &amp; Han, J. W. (2011). Association of visceral fat and risk factors for metabolic syndrome in children and adolescents. </w:t>
      </w:r>
      <w:r w:rsidRPr="006E5C82">
        <w:rPr>
          <w:i/>
          <w:iCs/>
        </w:rPr>
        <w:t xml:space="preserve">Yonsei Medical Journal, </w:t>
      </w:r>
      <w:r w:rsidRPr="006E5C82">
        <w:rPr>
          <w:i/>
        </w:rPr>
        <w:t>52</w:t>
      </w:r>
      <w:r w:rsidRPr="006E5C82">
        <w:t>(1), 39–44.</w:t>
      </w:r>
      <w:bookmarkEnd w:id="44"/>
    </w:p>
    <w:p w:rsidR="00777C5C" w:rsidRDefault="007C29B5" w:rsidP="00460B5A">
      <w:pPr>
        <w:pStyle w:val="biblio"/>
        <w:numPr>
          <w:ilvl w:val="0"/>
          <w:numId w:val="32"/>
        </w:numPr>
      </w:pPr>
      <w:bookmarkStart w:id="45" w:name="_Ref319320043"/>
      <w:r w:rsidRPr="006E5C82">
        <w:t xml:space="preserve">Halterman, J. S., Borreli, B., Tremblay, P., Conn, K. M., Fagnano, M., Montes, G., &amp; Hernandez, T. (2008). Screening for environmental tobacco smoke exposure among inner-city children with asthma. </w:t>
      </w:r>
      <w:r w:rsidRPr="006E5C82">
        <w:rPr>
          <w:i/>
          <w:iCs/>
        </w:rPr>
        <w:t>Pediatrics</w:t>
      </w:r>
      <w:r w:rsidRPr="006E5C82">
        <w:t xml:space="preserve">, </w:t>
      </w:r>
      <w:r w:rsidRPr="006E5C82">
        <w:rPr>
          <w:i/>
        </w:rPr>
        <w:t>122</w:t>
      </w:r>
      <w:r w:rsidRPr="006E5C82">
        <w:t>(6), 1277–1283.</w:t>
      </w:r>
      <w:bookmarkEnd w:id="45"/>
    </w:p>
    <w:p w:rsidR="00777C5C" w:rsidRDefault="007C29B5" w:rsidP="00460B5A">
      <w:pPr>
        <w:pStyle w:val="biblio"/>
        <w:numPr>
          <w:ilvl w:val="0"/>
          <w:numId w:val="32"/>
        </w:numPr>
        <w:rPr>
          <w:shd w:val="clear" w:color="auto" w:fill="FFFFFF"/>
        </w:rPr>
      </w:pPr>
      <w:bookmarkStart w:id="46" w:name="_Ref319320426"/>
      <w:r w:rsidRPr="006E5C82">
        <w:rPr>
          <w:shd w:val="clear" w:color="auto" w:fill="FFFFFF"/>
        </w:rPr>
        <w:t xml:space="preserve">Link, M., &amp; Mokdad, A. (2005). Advance letters as a means of improving respondent cooperation in RDD studies: A multi-state experiment. </w:t>
      </w:r>
      <w:r w:rsidRPr="006E5C82">
        <w:rPr>
          <w:i/>
          <w:shd w:val="clear" w:color="auto" w:fill="FFFFFF"/>
        </w:rPr>
        <w:t>Public Opinion Quarterly</w:t>
      </w:r>
      <w:r w:rsidRPr="006E5C82">
        <w:rPr>
          <w:shd w:val="clear" w:color="auto" w:fill="FFFFFF"/>
        </w:rPr>
        <w:t xml:space="preserve">, </w:t>
      </w:r>
      <w:r w:rsidRPr="006E5C82">
        <w:rPr>
          <w:i/>
          <w:shd w:val="clear" w:color="auto" w:fill="FFFFFF"/>
        </w:rPr>
        <w:t>69</w:t>
      </w:r>
      <w:r w:rsidRPr="006E5C82">
        <w:rPr>
          <w:shd w:val="clear" w:color="auto" w:fill="FFFFFF"/>
        </w:rPr>
        <w:t>(4), 572–587.</w:t>
      </w:r>
      <w:bookmarkEnd w:id="46"/>
    </w:p>
    <w:p w:rsidR="00777C5C" w:rsidRDefault="007C29B5" w:rsidP="00460B5A">
      <w:pPr>
        <w:pStyle w:val="biblio"/>
        <w:numPr>
          <w:ilvl w:val="0"/>
          <w:numId w:val="32"/>
        </w:numPr>
      </w:pPr>
      <w:bookmarkStart w:id="47" w:name="_Ref319320428"/>
      <w:r w:rsidRPr="006E5C82">
        <w:t xml:space="preserve">De Leeuw, E., Callegaro, M., Hox, J., Korendijk, E., &amp; Lensvelt-Mulders, G. (2007). The influence of advance letters on response in telephone surveys. A meta-analysis. </w:t>
      </w:r>
      <w:r w:rsidRPr="006E5C82">
        <w:rPr>
          <w:i/>
        </w:rPr>
        <w:t>Public Opinion Quarterly</w:t>
      </w:r>
      <w:r w:rsidRPr="006E5C82">
        <w:t xml:space="preserve">, </w:t>
      </w:r>
      <w:r w:rsidRPr="006E5C82">
        <w:rPr>
          <w:i/>
        </w:rPr>
        <w:t>71</w:t>
      </w:r>
      <w:r w:rsidRPr="006E5C82">
        <w:t>(3), 413–443.</w:t>
      </w:r>
      <w:bookmarkEnd w:id="47"/>
    </w:p>
    <w:p w:rsidR="00777C5C" w:rsidRDefault="007C29B5" w:rsidP="00460B5A">
      <w:pPr>
        <w:pStyle w:val="biblio"/>
        <w:numPr>
          <w:ilvl w:val="0"/>
          <w:numId w:val="32"/>
        </w:numPr>
      </w:pPr>
      <w:bookmarkStart w:id="48" w:name="_Ref319320482"/>
      <w:r w:rsidRPr="006E5C82">
        <w:t xml:space="preserve">Cantor, D., Wang, K., &amp; Abi-Habib, N. (2003). </w:t>
      </w:r>
      <w:r w:rsidRPr="006E5C82">
        <w:rPr>
          <w:iCs/>
        </w:rPr>
        <w:t>Comparing promised and pre-paid incentives for an extended interview on a random digit dial survey</w:t>
      </w:r>
      <w:r w:rsidRPr="006E5C82">
        <w:rPr>
          <w:i/>
        </w:rPr>
        <w:t>. Proceedings of the Survey Research Methods Section of the ASA</w:t>
      </w:r>
      <w:r w:rsidRPr="006E5C82">
        <w:t>, Nashville, TN.</w:t>
      </w:r>
      <w:bookmarkEnd w:id="48"/>
    </w:p>
    <w:p w:rsidR="00777C5C" w:rsidRDefault="007C29B5" w:rsidP="00460B5A">
      <w:pPr>
        <w:pStyle w:val="biblio"/>
        <w:numPr>
          <w:ilvl w:val="0"/>
          <w:numId w:val="32"/>
        </w:numPr>
      </w:pPr>
      <w:bookmarkStart w:id="49" w:name="_Ref319320499"/>
      <w:r w:rsidRPr="006E5C82">
        <w:t xml:space="preserve">Singer, E., Van Hoewyk, J., &amp; Maher, M. P. (2000). Experiments with incentives in telephone surveys. </w:t>
      </w:r>
      <w:r w:rsidRPr="006E5C82">
        <w:rPr>
          <w:i/>
        </w:rPr>
        <w:t>Public Opinion Quarterly</w:t>
      </w:r>
      <w:r w:rsidRPr="006E5C82">
        <w:t xml:space="preserve">, </w:t>
      </w:r>
      <w:r w:rsidRPr="006E5C82">
        <w:rPr>
          <w:i/>
        </w:rPr>
        <w:t>64</w:t>
      </w:r>
      <w:r w:rsidRPr="006E5C82">
        <w:t>(2), 171–188.</w:t>
      </w:r>
      <w:bookmarkEnd w:id="49"/>
    </w:p>
    <w:p w:rsidR="00777C5C" w:rsidRDefault="007C29B5" w:rsidP="00460B5A">
      <w:pPr>
        <w:pStyle w:val="biblio"/>
        <w:numPr>
          <w:ilvl w:val="0"/>
          <w:numId w:val="32"/>
        </w:numPr>
        <w:rPr>
          <w:i/>
        </w:rPr>
      </w:pPr>
      <w:r w:rsidRPr="006E5C82">
        <w:t xml:space="preserve">Groves, R. M. (2006). Nonresponse rates and nonresponse bias in household surveys. </w:t>
      </w:r>
      <w:r w:rsidRPr="006E5C82">
        <w:rPr>
          <w:i/>
        </w:rPr>
        <w:t>Public Opinion Quarterly</w:t>
      </w:r>
      <w:r w:rsidRPr="006E5C82">
        <w:t xml:space="preserve">, </w:t>
      </w:r>
      <w:r w:rsidRPr="006E5C82">
        <w:rPr>
          <w:i/>
        </w:rPr>
        <w:t>70</w:t>
      </w:r>
      <w:r w:rsidRPr="006E5C82">
        <w:t>(5), 646–675.</w:t>
      </w:r>
    </w:p>
    <w:p w:rsidR="00777C5C" w:rsidRDefault="007C29B5" w:rsidP="00460B5A">
      <w:pPr>
        <w:pStyle w:val="biblio"/>
        <w:numPr>
          <w:ilvl w:val="0"/>
          <w:numId w:val="32"/>
        </w:numPr>
      </w:pPr>
      <w:bookmarkStart w:id="50" w:name="_Ref319320527"/>
      <w:r w:rsidRPr="006E5C82">
        <w:t xml:space="preserve">Groves, R. M., Singer, E., &amp; Corning, A. (2000). Leverage-saliency theory of survey participation—description and an illustration. </w:t>
      </w:r>
      <w:r w:rsidRPr="006E5C82">
        <w:rPr>
          <w:i/>
        </w:rPr>
        <w:t>Public Opinion Quarterly</w:t>
      </w:r>
      <w:r w:rsidRPr="006E5C82">
        <w:t xml:space="preserve">, </w:t>
      </w:r>
      <w:r w:rsidRPr="006E5C82">
        <w:rPr>
          <w:i/>
        </w:rPr>
        <w:t>64,</w:t>
      </w:r>
      <w:r w:rsidRPr="006E5C82">
        <w:t xml:space="preserve"> 299–308.</w:t>
      </w:r>
      <w:bookmarkEnd w:id="50"/>
    </w:p>
    <w:p w:rsidR="00777C5C" w:rsidRDefault="007C29B5" w:rsidP="00460B5A">
      <w:pPr>
        <w:pStyle w:val="biblio"/>
        <w:numPr>
          <w:ilvl w:val="0"/>
          <w:numId w:val="32"/>
        </w:numPr>
      </w:pPr>
      <w:bookmarkStart w:id="51" w:name="_Ref319320576"/>
      <w:r w:rsidRPr="006E5C82">
        <w:rPr>
          <w:bCs/>
        </w:rPr>
        <w:t xml:space="preserve">Cantor, D., </w:t>
      </w:r>
      <w:r w:rsidRPr="006E5C82">
        <w:rPr>
          <w:bCs/>
          <w:lang w:val="sv-SE"/>
        </w:rPr>
        <w:t xml:space="preserve">O’Hare, B. C., &amp; </w:t>
      </w:r>
      <w:r w:rsidRPr="006E5C82">
        <w:rPr>
          <w:bCs/>
        </w:rPr>
        <w:t>O’Connor, K. S. (2007).</w:t>
      </w:r>
      <w:r w:rsidRPr="006E5C82">
        <w:t xml:space="preserve"> The use of monetary incentives to reduce non-response in random digit dial telephone surveys. </w:t>
      </w:r>
      <w:r w:rsidRPr="006E5C82">
        <w:rPr>
          <w:bCs/>
        </w:rPr>
        <w:t xml:space="preserve">In J.M. Lepkowski, C. Tucker, J. M. Brick, E. de Leeuw, L. Japec, P. J. </w:t>
      </w:r>
      <w:r w:rsidRPr="006E5C82">
        <w:t>Lavrakas</w:t>
      </w:r>
      <w:r w:rsidRPr="006E5C82">
        <w:rPr>
          <w:bCs/>
        </w:rPr>
        <w:t>, M. W. Link, &amp; R. L. Sangster (eds</w:t>
      </w:r>
      <w:r w:rsidR="00BE7B65" w:rsidRPr="006E5C82">
        <w:rPr>
          <w:bCs/>
        </w:rPr>
        <w:t xml:space="preserve">.), </w:t>
      </w:r>
      <w:r w:rsidRPr="006E5C82">
        <w:rPr>
          <w:bCs/>
          <w:i/>
          <w:iCs/>
        </w:rPr>
        <w:t>Advances in telephone survey methodology</w:t>
      </w:r>
      <w:r w:rsidRPr="006E5C82">
        <w:rPr>
          <w:bCs/>
        </w:rPr>
        <w:t>. John Wiley &amp; Sons.</w:t>
      </w:r>
      <w:bookmarkEnd w:id="51"/>
    </w:p>
    <w:p w:rsidR="00777C5C" w:rsidRDefault="007C29B5" w:rsidP="00460B5A">
      <w:pPr>
        <w:pStyle w:val="biblio"/>
        <w:numPr>
          <w:ilvl w:val="0"/>
          <w:numId w:val="32"/>
        </w:numPr>
      </w:pPr>
      <w:bookmarkStart w:id="52" w:name="_Ref319320603"/>
      <w:r w:rsidRPr="006E5C82">
        <w:t xml:space="preserve">O’Muircheartaigh, C., &amp; Campanelli, P. (1999). A multilevel exploration of the role of interviewers in survey non-response. </w:t>
      </w:r>
      <w:r w:rsidRPr="006E5C82">
        <w:rPr>
          <w:i/>
        </w:rPr>
        <w:t>Journal of the Royal Statistical Society,</w:t>
      </w:r>
      <w:r w:rsidRPr="006E5C82">
        <w:t xml:space="preserve"> </w:t>
      </w:r>
      <w:r w:rsidRPr="006E5C82">
        <w:rPr>
          <w:i/>
        </w:rPr>
        <w:t>162</w:t>
      </w:r>
      <w:r w:rsidRPr="006E5C82">
        <w:t>, 437–446.</w:t>
      </w:r>
      <w:bookmarkEnd w:id="52"/>
    </w:p>
    <w:p w:rsidR="00777C5C" w:rsidRDefault="007C29B5" w:rsidP="00460B5A">
      <w:pPr>
        <w:pStyle w:val="biblio"/>
        <w:numPr>
          <w:ilvl w:val="0"/>
          <w:numId w:val="32"/>
        </w:numPr>
      </w:pPr>
      <w:bookmarkStart w:id="53" w:name="_Ref319320691"/>
      <w:r w:rsidRPr="006E5C82">
        <w:t xml:space="preserve">Groves, R. M., &amp; McGonagle, K. A. (2001). A theory-guided interviewer training protocol regarding survey participation. </w:t>
      </w:r>
      <w:r w:rsidRPr="006E5C82">
        <w:rPr>
          <w:i/>
        </w:rPr>
        <w:t>Journal of Official Statistics, 17,</w:t>
      </w:r>
      <w:r w:rsidRPr="006E5C82">
        <w:t xml:space="preserve"> 249–265.</w:t>
      </w:r>
      <w:bookmarkEnd w:id="53"/>
    </w:p>
    <w:p w:rsidR="003E1251" w:rsidRDefault="003E1251" w:rsidP="003E1251">
      <w:pPr>
        <w:pStyle w:val="biblio"/>
        <w:numPr>
          <w:ilvl w:val="0"/>
          <w:numId w:val="32"/>
        </w:numPr>
      </w:pPr>
      <w:bookmarkStart w:id="54" w:name="_Ref346538551"/>
      <w:bookmarkStart w:id="55" w:name="_Ref319485705"/>
      <w:r w:rsidRPr="0056461F">
        <w:lastRenderedPageBreak/>
        <w:t xml:space="preserve">Troiano, R. P., Berrigan, D., Dodd, K. W., Mâsse, L. C., Tilert, T., &amp; McDowell, M. (2008). Physical activity in the United States measured by accelerometer. </w:t>
      </w:r>
      <w:r w:rsidRPr="0056461F">
        <w:rPr>
          <w:i/>
        </w:rPr>
        <w:t>Medical Science Sports and Exercise, 40,</w:t>
      </w:r>
      <w:r w:rsidRPr="0056461F">
        <w:t xml:space="preserve"> 181–188.</w:t>
      </w:r>
      <w:bookmarkEnd w:id="54"/>
    </w:p>
    <w:p w:rsidR="00777C5C" w:rsidRDefault="007C29B5" w:rsidP="00460B5A">
      <w:pPr>
        <w:pStyle w:val="biblio"/>
        <w:numPr>
          <w:ilvl w:val="0"/>
          <w:numId w:val="32"/>
        </w:numPr>
      </w:pPr>
      <w:r w:rsidRPr="006E5C82">
        <w:t xml:space="preserve">Catellier, D. J., Hannan, P. J., Murray, D. M., Addy, C. L., Conway, T. L., Yang, S. &amp; Rice, J. C. (2005). Imputation of missing data when measuring physical activity by accelerometry. </w:t>
      </w:r>
      <w:r w:rsidRPr="006E5C82">
        <w:rPr>
          <w:i/>
          <w:iCs/>
        </w:rPr>
        <w:t>Medicine and Science in Sports and Exercise,</w:t>
      </w:r>
      <w:r w:rsidRPr="006E5C82">
        <w:t xml:space="preserve"> </w:t>
      </w:r>
      <w:r w:rsidRPr="006E5C82">
        <w:rPr>
          <w:i/>
        </w:rPr>
        <w:t>37</w:t>
      </w:r>
      <w:r w:rsidRPr="006E5C82">
        <w:t>(11 Suppl), S555–S562.</w:t>
      </w:r>
      <w:bookmarkEnd w:id="55"/>
    </w:p>
    <w:p w:rsidR="00596584" w:rsidRDefault="00596584" w:rsidP="000A63D2">
      <w:pPr>
        <w:pStyle w:val="CommentText"/>
        <w:numPr>
          <w:ilvl w:val="0"/>
          <w:numId w:val="32"/>
        </w:numPr>
        <w:rPr>
          <w:sz w:val="24"/>
          <w:szCs w:val="24"/>
        </w:rPr>
      </w:pPr>
      <w:r>
        <w:rPr>
          <w:sz w:val="24"/>
          <w:szCs w:val="24"/>
        </w:rPr>
        <w:t>Tudor-Locke,</w:t>
      </w:r>
      <w:r w:rsidR="009451F4">
        <w:rPr>
          <w:sz w:val="24"/>
          <w:szCs w:val="24"/>
        </w:rPr>
        <w:t xml:space="preserve"> </w:t>
      </w:r>
      <w:r>
        <w:rPr>
          <w:sz w:val="24"/>
          <w:szCs w:val="24"/>
        </w:rPr>
        <w:t xml:space="preserve">C., Camhi, S. M., &amp; Troiano, R. P. (2012). A catalog of rules, variables, and definitions applied to accelerometer data in the National Health and Nutrition Examination Survey, 2003–2006. </w:t>
      </w:r>
      <w:r>
        <w:rPr>
          <w:i/>
          <w:iCs/>
          <w:sz w:val="24"/>
          <w:szCs w:val="24"/>
        </w:rPr>
        <w:t xml:space="preserve">Preventing Chronic Disease, 9. </w:t>
      </w:r>
    </w:p>
    <w:p w:rsidR="00E14988" w:rsidRDefault="00E14988" w:rsidP="00E14988">
      <w:pPr>
        <w:pStyle w:val="CommentText"/>
        <w:ind w:left="360"/>
      </w:pPr>
    </w:p>
    <w:p w:rsidR="007C29B5" w:rsidRPr="00835D7D" w:rsidRDefault="007C29B5" w:rsidP="00B00C82">
      <w:pPr>
        <w:pStyle w:val="BodyText"/>
        <w:keepLines/>
        <w:spacing w:line="240" w:lineRule="auto"/>
        <w:ind w:left="360"/>
      </w:pPr>
    </w:p>
    <w:p w:rsidR="005F6BD5" w:rsidRPr="007C29B5" w:rsidRDefault="005F6BD5" w:rsidP="00B00C82"/>
    <w:sectPr w:rsidR="005F6BD5" w:rsidRPr="007C29B5" w:rsidSect="004622F6">
      <w:footnotePr>
        <w:numFmt w:val="lowerLetter"/>
      </w:footnotePr>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03" w:rsidRDefault="00BE3003" w:rsidP="0051551A">
      <w:r>
        <w:separator/>
      </w:r>
    </w:p>
  </w:endnote>
  <w:endnote w:type="continuationSeparator" w:id="0">
    <w:p w:rsidR="00BE3003" w:rsidRDefault="00BE3003" w:rsidP="0051551A">
      <w:r>
        <w:continuationSeparator/>
      </w:r>
    </w:p>
  </w:endnote>
  <w:endnote w:type="continuationNotice" w:id="1">
    <w:p w:rsidR="00BE3003" w:rsidRDefault="00BE3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03" w:rsidRPr="00FC6200" w:rsidRDefault="00777779" w:rsidP="00FC6200">
    <w:pPr>
      <w:pStyle w:val="Footer"/>
      <w:jc w:val="center"/>
    </w:pPr>
    <w:r>
      <w:fldChar w:fldCharType="begin"/>
    </w:r>
    <w:r w:rsidR="004E2560">
      <w:instrText xml:space="preserve"> PAGE   \* MERGEFORMAT </w:instrText>
    </w:r>
    <w:r>
      <w:fldChar w:fldCharType="separate"/>
    </w:r>
    <w:r w:rsidR="00C97263">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03" w:rsidRDefault="00777779" w:rsidP="00FC6200">
    <w:pPr>
      <w:pStyle w:val="Footer"/>
      <w:tabs>
        <w:tab w:val="clear" w:pos="4320"/>
        <w:tab w:val="clear" w:pos="8640"/>
        <w:tab w:val="right" w:pos="9360"/>
      </w:tabs>
      <w:jc w:val="center"/>
    </w:pPr>
    <w:r>
      <w:fldChar w:fldCharType="begin"/>
    </w:r>
    <w:r w:rsidR="004E2560">
      <w:instrText xml:space="preserve"> PAGE   \* MERGEFORMAT </w:instrText>
    </w:r>
    <w:r>
      <w:fldChar w:fldCharType="separate"/>
    </w:r>
    <w:r w:rsidR="00C9726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03" w:rsidRDefault="00BE3003" w:rsidP="0051551A">
      <w:r>
        <w:separator/>
      </w:r>
    </w:p>
  </w:footnote>
  <w:footnote w:type="continuationSeparator" w:id="0">
    <w:p w:rsidR="00BE3003" w:rsidRDefault="00BE3003" w:rsidP="0051551A">
      <w:r>
        <w:continuationSeparator/>
      </w:r>
    </w:p>
  </w:footnote>
  <w:footnote w:type="continuationNotice" w:id="1">
    <w:p w:rsidR="00BE3003" w:rsidRDefault="00BE3003"/>
  </w:footnote>
  <w:footnote w:id="2">
    <w:p w:rsidR="00BE3003" w:rsidRDefault="00BE3003">
      <w:pPr>
        <w:pStyle w:val="FootnoteText"/>
      </w:pPr>
      <w:r>
        <w:rPr>
          <w:rStyle w:val="FootnoteReference"/>
        </w:rPr>
        <w:footnoteRef/>
      </w:r>
      <w:r>
        <w:t xml:space="preserve"> CTG Program Implementation awards were made to 35 communities to use proven programs and strategies to improve their community’s health and wellness. CTG Program Capacity-building awards were made to 26 communities to build a solid foundation for community prevention efforts to ensure long-term success.</w:t>
      </w:r>
    </w:p>
    <w:p w:rsidR="00BE3003" w:rsidRDefault="00BE3003">
      <w:pPr>
        <w:pStyle w:val="FootnoteText"/>
      </w:pPr>
    </w:p>
  </w:footnote>
  <w:footnote w:id="3">
    <w:p w:rsidR="00BE3003" w:rsidRPr="00E33B93" w:rsidRDefault="00BE3003" w:rsidP="00537500">
      <w:pPr>
        <w:pStyle w:val="FootnoteText"/>
      </w:pPr>
      <w:r>
        <w:rPr>
          <w:rStyle w:val="FootnoteReference"/>
        </w:rPr>
        <w:footnoteRef/>
      </w:r>
      <w:r w:rsidRPr="00626073">
        <w:rPr>
          <w:vertAlign w:val="superscript"/>
        </w:rPr>
        <w:t xml:space="preserve"> </w:t>
      </w:r>
      <w:r>
        <w:t>NCHS Urban-Rural Classification Scheme for Counties is described here:</w:t>
      </w:r>
      <w:r w:rsidRPr="00E33B93">
        <w:t xml:space="preserve"> </w:t>
      </w:r>
      <w:hyperlink r:id="rId1" w:history="1">
        <w:r w:rsidRPr="00C36633">
          <w:rPr>
            <w:rStyle w:val="Hyperlink"/>
          </w:rPr>
          <w:t>http://www.cdc.gov/nchs/data_access/urban_rural.htm</w:t>
        </w:r>
      </w:hyperlink>
      <w:r>
        <w:t xml:space="preserve">. </w:t>
      </w:r>
    </w:p>
  </w:footnote>
  <w:footnote w:id="4">
    <w:p w:rsidR="00BE3003" w:rsidRDefault="00BE3003" w:rsidP="007C29B5">
      <w:pPr>
        <w:pStyle w:val="FootnoteText"/>
      </w:pPr>
      <w:r>
        <w:rPr>
          <w:rStyle w:val="FootnoteReference"/>
        </w:rPr>
        <w:footnoteRef/>
      </w:r>
      <w:r>
        <w:t xml:space="preserve"> Acxiom’s Web site states, “Acxiom’s InfoBase is the world’s largest compilation of timely, up-to-date consumer intelligence with 176 million consumers and 111 million households” (</w:t>
      </w:r>
      <w:hyperlink r:id="rId2" w:history="1">
        <w:r w:rsidRPr="009420E5">
          <w:rPr>
            <w:rStyle w:val="Hyperlink"/>
          </w:rPr>
          <w:t>http://lists.nextmark.com/market;jsessionid=B728DEBDA6B7648AD977CE27304780A5?page=order/online/datacard&amp;id=131838</w:t>
        </w:r>
      </w:hyperlink>
      <w:r w:rsidRPr="00BE65DB">
        <w:rPr>
          <w:rStyle w:val="Hyperlink"/>
        </w:rPr>
        <w:t>).</w:t>
      </w:r>
    </w:p>
  </w:footnote>
  <w:footnote w:id="5">
    <w:p w:rsidR="00BE3003" w:rsidRPr="00FD0F45" w:rsidRDefault="00BE3003" w:rsidP="007C29B5">
      <w:pPr>
        <w:pStyle w:val="FootnoteText"/>
      </w:pPr>
      <w:r w:rsidRPr="00626073">
        <w:rPr>
          <w:rStyle w:val="FootnoteReference"/>
        </w:rPr>
        <w:footnoteRef/>
      </w:r>
      <w:r w:rsidRPr="00626073">
        <w:rPr>
          <w:vertAlign w:val="superscript"/>
        </w:rPr>
        <w:t xml:space="preserve"> </w:t>
      </w:r>
      <w:r>
        <w:t>The test for the difference of two proportions is described in many places including Rosner.</w:t>
      </w:r>
      <w:r w:rsidRPr="00626073">
        <w:rPr>
          <w:vertAlign w:val="superscript"/>
        </w:rPr>
        <w:t>3</w:t>
      </w:r>
      <w:r>
        <w:rPr>
          <w:vertAlign w:val="superscript"/>
        </w:rPr>
        <w:t>4</w:t>
      </w:r>
    </w:p>
  </w:footnote>
  <w:footnote w:id="6">
    <w:p w:rsidR="00BE3003" w:rsidRDefault="00BE3003" w:rsidP="007C29B5">
      <w:pPr>
        <w:pStyle w:val="FootnoteText"/>
      </w:pPr>
      <w:r w:rsidRPr="0034711A">
        <w:rPr>
          <w:rStyle w:val="FootnoteReference"/>
        </w:rPr>
        <w:footnoteRef/>
      </w:r>
      <w:r w:rsidRPr="0034711A">
        <w:rPr>
          <w:vertAlign w:val="superscript"/>
        </w:rPr>
        <w:t xml:space="preserve"> </w:t>
      </w:r>
      <w:r w:rsidRPr="000A0141">
        <w:t>Singer and colleagues</w:t>
      </w:r>
      <w:r w:rsidRPr="00CC69A6">
        <w:rPr>
          <w:vertAlign w:val="superscript"/>
        </w:rPr>
        <w:t>4</w:t>
      </w:r>
      <w:r>
        <w:rPr>
          <w:vertAlign w:val="superscript"/>
        </w:rPr>
        <w:t>1</w:t>
      </w:r>
      <w:r>
        <w:t xml:space="preserve"> have been cited as providing evidence toward the ineffectiveness of promised incentives to increase survey response rates. However, approximately 200 sample cases were assigned to each condition (with or without incentive) in their experiments, requiring very large differences to reach statistical significance. The pattern supported the effectiveness of promised incentives, as in all four of their experiments the response rate was higher in the condition with an incentive. Furthermore, the experiments were conducted in 1996 with response rates close to 70%, seemingly more difficult to be increased through incentives relative to the lower current response rates (below 50% on that same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9D40680"/>
    <w:lvl w:ilvl="0">
      <w:start w:val="1"/>
      <w:numFmt w:val="decimal"/>
      <w:pStyle w:val="ListNumber"/>
      <w:lvlText w:val="%1."/>
      <w:lvlJc w:val="left"/>
      <w:pPr>
        <w:tabs>
          <w:tab w:val="num" w:pos="360"/>
        </w:tabs>
        <w:ind w:left="360" w:hanging="360"/>
      </w:pPr>
    </w:lvl>
  </w:abstractNum>
  <w:abstractNum w:abstractNumId="1">
    <w:nsid w:val="FFFFFF89"/>
    <w:multiLevelType w:val="singleLevel"/>
    <w:tmpl w:val="C2CA6D8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EE53DD"/>
    <w:multiLevelType w:val="hybridMultilevel"/>
    <w:tmpl w:val="7AC0ADDA"/>
    <w:lvl w:ilvl="0" w:tplc="671898DE">
      <w:start w:val="3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641237"/>
    <w:multiLevelType w:val="multilevel"/>
    <w:tmpl w:val="109EF930"/>
    <w:styleLink w:val="WWOutlineListStyle8"/>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19E4862"/>
    <w:multiLevelType w:val="multilevel"/>
    <w:tmpl w:val="1D9E9462"/>
    <w:styleLink w:val="WWOutlineListStyle9"/>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56E77A4"/>
    <w:multiLevelType w:val="hybridMultilevel"/>
    <w:tmpl w:val="D2B2747E"/>
    <w:lvl w:ilvl="0" w:tplc="48F8C5FC">
      <w:start w:val="1"/>
      <w:numFmt w:val="bullet"/>
      <w:pStyle w:val="bullets-2ndlevel"/>
      <w:lvlText w:val="–"/>
      <w:lvlJc w:val="left"/>
      <w:pPr>
        <w:ind w:left="144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8C80967"/>
    <w:multiLevelType w:val="multilevel"/>
    <w:tmpl w:val="C7CC67E8"/>
    <w:styleLink w:val="Format4"/>
    <w:lvl w:ilvl="0">
      <w:start w:val="1"/>
      <w:numFmt w:val="decimal"/>
      <w:lvlText w:val="%1."/>
      <w:lvlJc w:val="left"/>
      <w:pPr>
        <w:ind w:left="360" w:hanging="360"/>
      </w:pPr>
      <w:rPr>
        <w:rFonts w:ascii="Verdana" w:hAnsi="Verdana"/>
        <w:b/>
        <w:i w:val="0"/>
        <w:sz w:val="26"/>
      </w:rPr>
    </w:lvl>
    <w:lvl w:ilvl="1">
      <w:start w:val="1"/>
      <w:numFmt w:val="decimal"/>
      <w:lvlText w:val="%1.%2"/>
      <w:lvlJc w:val="left"/>
      <w:pPr>
        <w:ind w:left="720" w:hanging="720"/>
      </w:pPr>
      <w:rPr>
        <w:rFonts w:ascii="Verdana" w:hAnsi="Verdana"/>
        <w:b/>
        <w:i w:val="0"/>
        <w:sz w:val="24"/>
      </w:rPr>
    </w:lvl>
    <w:lvl w:ilvl="2">
      <w:start w:val="1"/>
      <w:numFmt w:val="decimal"/>
      <w:lvlText w:val="%1.%2.%3"/>
      <w:lvlJc w:val="left"/>
      <w:pPr>
        <w:ind w:left="5184" w:hanging="864"/>
      </w:pPr>
      <w:rPr>
        <w:rFonts w:ascii="Verdana" w:hAnsi="Verdana"/>
        <w:b/>
        <w:i/>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440C50"/>
    <w:multiLevelType w:val="multilevel"/>
    <w:tmpl w:val="2EBC59AA"/>
    <w:styleLink w:val="LFO32"/>
    <w:lvl w:ilvl="0">
      <w:start w:val="1"/>
      <w:numFmt w:val="decimal"/>
      <w:lvlText w:val="%1."/>
      <w:lvlJc w:val="left"/>
      <w:pPr>
        <w:ind w:left="1440" w:hanging="360"/>
      </w:p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9">
    <w:nsid w:val="0F474716"/>
    <w:multiLevelType w:val="multilevel"/>
    <w:tmpl w:val="BE729412"/>
    <w:styleLink w:val="WWOutlineListStyle10"/>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10D90567"/>
    <w:multiLevelType w:val="hybridMultilevel"/>
    <w:tmpl w:val="2D4C3502"/>
    <w:lvl w:ilvl="0" w:tplc="D9ECAB26">
      <w:start w:val="1"/>
      <w:numFmt w:val="bullet"/>
      <w:pStyle w:val="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1D25FC"/>
    <w:multiLevelType w:val="hybridMultilevel"/>
    <w:tmpl w:val="B628B0D0"/>
    <w:lvl w:ilvl="0" w:tplc="0409000F">
      <w:start w:val="1"/>
      <w:numFmt w:val="decimal"/>
      <w:lvlText w:val="%1."/>
      <w:lvlJc w:val="left"/>
      <w:pPr>
        <w:ind w:left="360" w:hanging="360"/>
      </w:pPr>
      <w:rPr>
        <w:rFonts w:hint="default"/>
        <w:i/>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7A53AC"/>
    <w:multiLevelType w:val="multilevel"/>
    <w:tmpl w:val="608C35CA"/>
    <w:styleLink w:val="WWOutlineListStyle"/>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67314"/>
    <w:multiLevelType w:val="multilevel"/>
    <w:tmpl w:val="2C784AAC"/>
    <w:styleLink w:val="WWOutlineListStyle7"/>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B140069"/>
    <w:multiLevelType w:val="multilevel"/>
    <w:tmpl w:val="E13661D0"/>
    <w:styleLink w:val="WWOutlineListStyle5"/>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1FE54AC6"/>
    <w:multiLevelType w:val="hybridMultilevel"/>
    <w:tmpl w:val="BF26950E"/>
    <w:lvl w:ilvl="0" w:tplc="0409000F">
      <w:start w:val="1"/>
      <w:numFmt w:val="decimal"/>
      <w:lvlText w:val="%1."/>
      <w:lvlJc w:val="left"/>
      <w:pPr>
        <w:ind w:left="360" w:hanging="360"/>
      </w:pPr>
      <w:rPr>
        <w:rFonts w:hint="default"/>
        <w:i/>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04A7FA5"/>
    <w:multiLevelType w:val="multilevel"/>
    <w:tmpl w:val="64BE3428"/>
    <w:styleLink w:val="WWOutlineListStyle6"/>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26681591"/>
    <w:multiLevelType w:val="hybridMultilevel"/>
    <w:tmpl w:val="94589DE4"/>
    <w:lvl w:ilvl="0" w:tplc="517445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603C41"/>
    <w:multiLevelType w:val="hybridMultilevel"/>
    <w:tmpl w:val="98D0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9B7561"/>
    <w:multiLevelType w:val="hybridMultilevel"/>
    <w:tmpl w:val="7C1CDF42"/>
    <w:lvl w:ilvl="0" w:tplc="7ADCE774">
      <w:start w:val="1"/>
      <w:numFmt w:val="decimal"/>
      <w:pStyle w:val="Bulle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D2528A6"/>
    <w:multiLevelType w:val="hybridMultilevel"/>
    <w:tmpl w:val="FE32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9F6D624">
      <w:start w:val="1"/>
      <w:numFmt w:val="bullet"/>
      <w:pStyle w:val="bullets-3rdlevel"/>
      <w:lvlText w:val=""/>
      <w:lvlJc w:val="left"/>
      <w:pPr>
        <w:ind w:left="180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C17743"/>
    <w:multiLevelType w:val="multilevel"/>
    <w:tmpl w:val="44AA7D9E"/>
    <w:styleLink w:val="WWOutlineListStyle2"/>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2F2F6276"/>
    <w:multiLevelType w:val="hybridMultilevel"/>
    <w:tmpl w:val="F07453B0"/>
    <w:lvl w:ilvl="0" w:tplc="0409000F">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3F31E66"/>
    <w:multiLevelType w:val="multilevel"/>
    <w:tmpl w:val="DF3ECE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6EA7687"/>
    <w:multiLevelType w:val="multilevel"/>
    <w:tmpl w:val="BCC8CF76"/>
    <w:styleLink w:val="WWOutlineListStyle3"/>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E7E25F1"/>
    <w:multiLevelType w:val="multilevel"/>
    <w:tmpl w:val="A9F6AF2E"/>
    <w:styleLink w:val="WWOutlineListStyle1"/>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50215150"/>
    <w:multiLevelType w:val="hybridMultilevel"/>
    <w:tmpl w:val="E9B20488"/>
    <w:lvl w:ilvl="0" w:tplc="2D1AA192">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8D93AD8"/>
    <w:multiLevelType w:val="hybridMultilevel"/>
    <w:tmpl w:val="DDBC24E6"/>
    <w:lvl w:ilvl="0" w:tplc="CE3A024E">
      <w:start w:val="1"/>
      <w:numFmt w:val="bullet"/>
      <w:pStyle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C70751D"/>
    <w:multiLevelType w:val="hybridMultilevel"/>
    <w:tmpl w:val="6F2E9FA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DEB5AD1"/>
    <w:multiLevelType w:val="multilevel"/>
    <w:tmpl w:val="8C5055E6"/>
    <w:styleLink w:val="LFO6"/>
    <w:lvl w:ilvl="0">
      <w:numFmt w:val="bullet"/>
      <w:lvlText w:val=""/>
      <w:lvlJc w:val="left"/>
      <w:pPr>
        <w:ind w:left="360" w:hanging="360"/>
      </w:pPr>
      <w:rPr>
        <w:rFonts w:ascii="Wingdings" w:hAnsi="Wingdings"/>
      </w:rPr>
    </w:lvl>
    <w:lvl w:ilvl="1">
      <w:numFmt w:val="bullet"/>
      <w:lvlText w:val="–"/>
      <w:lvlJc w:val="left"/>
      <w:pPr>
        <w:ind w:left="1440" w:hanging="360"/>
      </w:pPr>
      <w:rPr>
        <w:rFonts w:ascii="Arial" w:hAnsi="Arial"/>
      </w:rPr>
    </w:lvl>
    <w:lvl w:ilvl="2">
      <w:numFmt w:val="bullet"/>
      <w:lvlText w:val=""/>
      <w:lvlJc w:val="left"/>
      <w:pPr>
        <w:ind w:left="2340" w:hanging="36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CA0B10"/>
    <w:multiLevelType w:val="multilevel"/>
    <w:tmpl w:val="0FF6B856"/>
    <w:styleLink w:val="WWOutlineListStyle4"/>
    <w:lvl w:ilvl="0">
      <w:start w:val="1"/>
      <w:numFmt w:val="none"/>
      <w:lvlText w:val="%1"/>
      <w:lvlJc w:val="left"/>
    </w:lvl>
    <w:lvl w:ilvl="1">
      <w:start w:val="75876560"/>
      <w:numFmt w:val="decimal"/>
      <w:lvlText w:val="%2."/>
      <w:lvlJc w:val="left"/>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63CD0250"/>
    <w:multiLevelType w:val="multilevel"/>
    <w:tmpl w:val="B5C4C3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993450"/>
    <w:multiLevelType w:val="hybridMultilevel"/>
    <w:tmpl w:val="3C3A0A5A"/>
    <w:lvl w:ilvl="0" w:tplc="E3F265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EF210E3"/>
    <w:multiLevelType w:val="hybridMultilevel"/>
    <w:tmpl w:val="2494BF7E"/>
    <w:lvl w:ilvl="0" w:tplc="306CF680">
      <w:start w:val="3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F5506A"/>
    <w:multiLevelType w:val="multilevel"/>
    <w:tmpl w:val="7B0E6988"/>
    <w:styleLink w:val="LFO27"/>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35">
    <w:nsid w:val="75D65FDA"/>
    <w:multiLevelType w:val="hybridMultilevel"/>
    <w:tmpl w:val="BED20A72"/>
    <w:lvl w:ilvl="0" w:tplc="E5209A24">
      <w:start w:val="32"/>
      <w:numFmt w:val="decimal"/>
      <w:pStyle w:val="bibli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CE72B0"/>
    <w:multiLevelType w:val="multilevel"/>
    <w:tmpl w:val="41281126"/>
    <w:styleLink w:val="WWOutlineListStyle11"/>
    <w:lvl w:ilvl="0">
      <w:start w:val="1"/>
      <w:numFmt w:val="none"/>
      <w:lvlText w:val=""/>
      <w:lvlJc w:val="left"/>
    </w:lvl>
    <w:lvl w:ilvl="1">
      <w:start w:val="75876560"/>
      <w:numFmt w:val="decimal"/>
      <w:lvlText w:val="%2."/>
      <w:lvlJc w:val="left"/>
      <w:rPr>
        <w:rFonts w:cs="Times New Roman"/>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26"/>
  </w:num>
  <w:num w:numId="3">
    <w:abstractNumId w:val="27"/>
  </w:num>
  <w:num w:numId="4">
    <w:abstractNumId w:val="2"/>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9"/>
  </w:num>
  <w:num w:numId="6">
    <w:abstractNumId w:val="35"/>
  </w:num>
  <w:num w:numId="7">
    <w:abstractNumId w:val="10"/>
  </w:num>
  <w:num w:numId="8">
    <w:abstractNumId w:val="36"/>
  </w:num>
  <w:num w:numId="9">
    <w:abstractNumId w:val="9"/>
  </w:num>
  <w:num w:numId="10">
    <w:abstractNumId w:val="5"/>
  </w:num>
  <w:num w:numId="11">
    <w:abstractNumId w:val="4"/>
  </w:num>
  <w:num w:numId="12">
    <w:abstractNumId w:val="13"/>
  </w:num>
  <w:num w:numId="13">
    <w:abstractNumId w:val="16"/>
  </w:num>
  <w:num w:numId="14">
    <w:abstractNumId w:val="14"/>
  </w:num>
  <w:num w:numId="15">
    <w:abstractNumId w:val="30"/>
  </w:num>
  <w:num w:numId="16">
    <w:abstractNumId w:val="24"/>
  </w:num>
  <w:num w:numId="17">
    <w:abstractNumId w:val="21"/>
  </w:num>
  <w:num w:numId="18">
    <w:abstractNumId w:val="25"/>
  </w:num>
  <w:num w:numId="19">
    <w:abstractNumId w:val="12"/>
  </w:num>
  <w:num w:numId="20">
    <w:abstractNumId w:val="7"/>
  </w:num>
  <w:num w:numId="21">
    <w:abstractNumId w:val="29"/>
  </w:num>
  <w:num w:numId="22">
    <w:abstractNumId w:val="34"/>
  </w:num>
  <w:num w:numId="23">
    <w:abstractNumId w:val="8"/>
  </w:num>
  <w:num w:numId="24">
    <w:abstractNumId w:val="31"/>
  </w:num>
  <w:num w:numId="25">
    <w:abstractNumId w:val="23"/>
  </w:num>
  <w:num w:numId="26">
    <w:abstractNumId w:val="33"/>
  </w:num>
  <w:num w:numId="27">
    <w:abstractNumId w:val="1"/>
  </w:num>
  <w:num w:numId="28">
    <w:abstractNumId w:val="20"/>
  </w:num>
  <w:num w:numId="29">
    <w:abstractNumId w:val="22"/>
  </w:num>
  <w:num w:numId="30">
    <w:abstractNumId w:val="6"/>
  </w:num>
  <w:num w:numId="31">
    <w:abstractNumId w:val="17"/>
  </w:num>
  <w:num w:numId="32">
    <w:abstractNumId w:val="3"/>
  </w:num>
  <w:num w:numId="33">
    <w:abstractNumId w:val="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1"/>
  </w:num>
  <w:num w:numId="36">
    <w:abstractNumId w:val="6"/>
  </w:num>
  <w:num w:numId="37">
    <w:abstractNumId w:val="28"/>
  </w:num>
  <w:num w:numId="38">
    <w:abstractNumId w:val="18"/>
  </w:num>
  <w:num w:numId="39">
    <w:abstractNumId w:val="32"/>
  </w:num>
  <w:num w:numId="40">
    <w:abstractNumId w:val="6"/>
  </w:num>
  <w:num w:numId="41">
    <w:abstractNumId w:val="27"/>
  </w:num>
  <w:num w:numId="42">
    <w:abstractNumId w:val="27"/>
  </w:num>
  <w:num w:numId="43">
    <w:abstractNumId w:val="27"/>
  </w:num>
  <w:num w:numId="44">
    <w:abstractNumId w:val="27"/>
  </w:num>
  <w:num w:numId="4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3665"/>
  </w:hdrShapeDefaults>
  <w:footnotePr>
    <w:footnote w:id="-1"/>
    <w:footnote w:id="0"/>
    <w:footnote w:id="1"/>
  </w:footnotePr>
  <w:endnotePr>
    <w:endnote w:id="-1"/>
    <w:endnote w:id="0"/>
    <w:endnote w:id="1"/>
  </w:endnotePr>
  <w:compat>
    <w:compatSetting w:name="compatibilityMode" w:uri="http://schemas.microsoft.com/office/word" w:val="12"/>
  </w:compat>
  <w:rsids>
    <w:rsidRoot w:val="0026020B"/>
    <w:rsid w:val="00000148"/>
    <w:rsid w:val="00000223"/>
    <w:rsid w:val="0000050C"/>
    <w:rsid w:val="00000C73"/>
    <w:rsid w:val="000017EB"/>
    <w:rsid w:val="00003FA0"/>
    <w:rsid w:val="00007905"/>
    <w:rsid w:val="00010758"/>
    <w:rsid w:val="00010B89"/>
    <w:rsid w:val="00010DD0"/>
    <w:rsid w:val="0001198E"/>
    <w:rsid w:val="00012B4B"/>
    <w:rsid w:val="00012D96"/>
    <w:rsid w:val="0001394D"/>
    <w:rsid w:val="00013F56"/>
    <w:rsid w:val="00014266"/>
    <w:rsid w:val="000151A3"/>
    <w:rsid w:val="00015CAD"/>
    <w:rsid w:val="000162AE"/>
    <w:rsid w:val="00016E86"/>
    <w:rsid w:val="00021D5F"/>
    <w:rsid w:val="00025697"/>
    <w:rsid w:val="00026279"/>
    <w:rsid w:val="00027927"/>
    <w:rsid w:val="0003157A"/>
    <w:rsid w:val="0003269F"/>
    <w:rsid w:val="00033D9B"/>
    <w:rsid w:val="00034133"/>
    <w:rsid w:val="000354FF"/>
    <w:rsid w:val="00035B09"/>
    <w:rsid w:val="0003755C"/>
    <w:rsid w:val="00040B1B"/>
    <w:rsid w:val="0004185D"/>
    <w:rsid w:val="00043D0A"/>
    <w:rsid w:val="00044764"/>
    <w:rsid w:val="00046971"/>
    <w:rsid w:val="000470F9"/>
    <w:rsid w:val="000516FE"/>
    <w:rsid w:val="000519D8"/>
    <w:rsid w:val="000541CE"/>
    <w:rsid w:val="0005517A"/>
    <w:rsid w:val="00055BD7"/>
    <w:rsid w:val="000570B8"/>
    <w:rsid w:val="00057280"/>
    <w:rsid w:val="00060086"/>
    <w:rsid w:val="000610C0"/>
    <w:rsid w:val="000614C7"/>
    <w:rsid w:val="000618B1"/>
    <w:rsid w:val="00061A5F"/>
    <w:rsid w:val="0006254E"/>
    <w:rsid w:val="0006291F"/>
    <w:rsid w:val="00062FA2"/>
    <w:rsid w:val="00063EE2"/>
    <w:rsid w:val="0006685B"/>
    <w:rsid w:val="00067F75"/>
    <w:rsid w:val="00070FBC"/>
    <w:rsid w:val="000724C4"/>
    <w:rsid w:val="00075639"/>
    <w:rsid w:val="000758C4"/>
    <w:rsid w:val="00076654"/>
    <w:rsid w:val="00081AC5"/>
    <w:rsid w:val="00081EBB"/>
    <w:rsid w:val="0008420F"/>
    <w:rsid w:val="00084816"/>
    <w:rsid w:val="00090515"/>
    <w:rsid w:val="00090589"/>
    <w:rsid w:val="00090DB1"/>
    <w:rsid w:val="00090E60"/>
    <w:rsid w:val="00091DB7"/>
    <w:rsid w:val="00092F5A"/>
    <w:rsid w:val="00093788"/>
    <w:rsid w:val="00094043"/>
    <w:rsid w:val="00094A31"/>
    <w:rsid w:val="00095A74"/>
    <w:rsid w:val="00096F33"/>
    <w:rsid w:val="000A27D5"/>
    <w:rsid w:val="000A29C8"/>
    <w:rsid w:val="000A3065"/>
    <w:rsid w:val="000A3AC4"/>
    <w:rsid w:val="000A53E8"/>
    <w:rsid w:val="000A556A"/>
    <w:rsid w:val="000A56BD"/>
    <w:rsid w:val="000A5711"/>
    <w:rsid w:val="000A63D2"/>
    <w:rsid w:val="000A675E"/>
    <w:rsid w:val="000A7BA0"/>
    <w:rsid w:val="000A7BE5"/>
    <w:rsid w:val="000B0CCB"/>
    <w:rsid w:val="000B0F67"/>
    <w:rsid w:val="000B10C9"/>
    <w:rsid w:val="000B1392"/>
    <w:rsid w:val="000B1472"/>
    <w:rsid w:val="000B15BF"/>
    <w:rsid w:val="000B179A"/>
    <w:rsid w:val="000B2BED"/>
    <w:rsid w:val="000B3A26"/>
    <w:rsid w:val="000B3F4E"/>
    <w:rsid w:val="000B59D3"/>
    <w:rsid w:val="000C0AE5"/>
    <w:rsid w:val="000C4143"/>
    <w:rsid w:val="000C5268"/>
    <w:rsid w:val="000C5694"/>
    <w:rsid w:val="000C618F"/>
    <w:rsid w:val="000C630A"/>
    <w:rsid w:val="000C6EE8"/>
    <w:rsid w:val="000C71FC"/>
    <w:rsid w:val="000D01BF"/>
    <w:rsid w:val="000D2BA0"/>
    <w:rsid w:val="000D438E"/>
    <w:rsid w:val="000D61C0"/>
    <w:rsid w:val="000D625E"/>
    <w:rsid w:val="000D6C76"/>
    <w:rsid w:val="000D7D35"/>
    <w:rsid w:val="000E02BE"/>
    <w:rsid w:val="000E17E7"/>
    <w:rsid w:val="000E218D"/>
    <w:rsid w:val="000E53F6"/>
    <w:rsid w:val="000E5B19"/>
    <w:rsid w:val="000E663F"/>
    <w:rsid w:val="000E6F37"/>
    <w:rsid w:val="000E7CC6"/>
    <w:rsid w:val="000F0283"/>
    <w:rsid w:val="000F0618"/>
    <w:rsid w:val="000F21C9"/>
    <w:rsid w:val="000F240E"/>
    <w:rsid w:val="000F2BCE"/>
    <w:rsid w:val="000F2BD2"/>
    <w:rsid w:val="000F2EA5"/>
    <w:rsid w:val="000F5304"/>
    <w:rsid w:val="000F6440"/>
    <w:rsid w:val="000F66C4"/>
    <w:rsid w:val="000F7605"/>
    <w:rsid w:val="00100194"/>
    <w:rsid w:val="00100BD8"/>
    <w:rsid w:val="00101B8F"/>
    <w:rsid w:val="00101F02"/>
    <w:rsid w:val="001028FC"/>
    <w:rsid w:val="00103745"/>
    <w:rsid w:val="0010431A"/>
    <w:rsid w:val="00104C6D"/>
    <w:rsid w:val="00107DB1"/>
    <w:rsid w:val="001100A6"/>
    <w:rsid w:val="00111919"/>
    <w:rsid w:val="001144ED"/>
    <w:rsid w:val="001153D3"/>
    <w:rsid w:val="0011615B"/>
    <w:rsid w:val="001176BC"/>
    <w:rsid w:val="00120277"/>
    <w:rsid w:val="0012191C"/>
    <w:rsid w:val="00122B00"/>
    <w:rsid w:val="001239F5"/>
    <w:rsid w:val="00124AA5"/>
    <w:rsid w:val="00127E1D"/>
    <w:rsid w:val="00131302"/>
    <w:rsid w:val="00131FB6"/>
    <w:rsid w:val="001323F3"/>
    <w:rsid w:val="001335B4"/>
    <w:rsid w:val="00134A56"/>
    <w:rsid w:val="00134E5A"/>
    <w:rsid w:val="001356C8"/>
    <w:rsid w:val="00136552"/>
    <w:rsid w:val="001375F5"/>
    <w:rsid w:val="001425F8"/>
    <w:rsid w:val="00143183"/>
    <w:rsid w:val="0014409B"/>
    <w:rsid w:val="00144B6D"/>
    <w:rsid w:val="00145C6B"/>
    <w:rsid w:val="00146492"/>
    <w:rsid w:val="00146FA4"/>
    <w:rsid w:val="00150540"/>
    <w:rsid w:val="001506DB"/>
    <w:rsid w:val="00150A2A"/>
    <w:rsid w:val="00150C08"/>
    <w:rsid w:val="00153197"/>
    <w:rsid w:val="001538D6"/>
    <w:rsid w:val="00154150"/>
    <w:rsid w:val="001544BB"/>
    <w:rsid w:val="00154DFE"/>
    <w:rsid w:val="00156D8F"/>
    <w:rsid w:val="00157B66"/>
    <w:rsid w:val="00164B37"/>
    <w:rsid w:val="00164B75"/>
    <w:rsid w:val="00164EA4"/>
    <w:rsid w:val="001655AF"/>
    <w:rsid w:val="001657F9"/>
    <w:rsid w:val="0016688B"/>
    <w:rsid w:val="00166E6C"/>
    <w:rsid w:val="0016746A"/>
    <w:rsid w:val="0017133A"/>
    <w:rsid w:val="00172BC1"/>
    <w:rsid w:val="001743C5"/>
    <w:rsid w:val="00174987"/>
    <w:rsid w:val="001749BA"/>
    <w:rsid w:val="00174E8C"/>
    <w:rsid w:val="00175ACA"/>
    <w:rsid w:val="00175BD2"/>
    <w:rsid w:val="00176CD2"/>
    <w:rsid w:val="0017745D"/>
    <w:rsid w:val="00180F10"/>
    <w:rsid w:val="0018288F"/>
    <w:rsid w:val="001828F1"/>
    <w:rsid w:val="00182EC7"/>
    <w:rsid w:val="0018378E"/>
    <w:rsid w:val="00183A6F"/>
    <w:rsid w:val="001860A6"/>
    <w:rsid w:val="00187861"/>
    <w:rsid w:val="0019072E"/>
    <w:rsid w:val="0019168A"/>
    <w:rsid w:val="00192516"/>
    <w:rsid w:val="00194247"/>
    <w:rsid w:val="0019577A"/>
    <w:rsid w:val="00196307"/>
    <w:rsid w:val="001965FB"/>
    <w:rsid w:val="001A06A1"/>
    <w:rsid w:val="001A205B"/>
    <w:rsid w:val="001A26D3"/>
    <w:rsid w:val="001A27FA"/>
    <w:rsid w:val="001A2A69"/>
    <w:rsid w:val="001A2C2B"/>
    <w:rsid w:val="001A4E8D"/>
    <w:rsid w:val="001A5B77"/>
    <w:rsid w:val="001A5DDF"/>
    <w:rsid w:val="001A73ED"/>
    <w:rsid w:val="001B2650"/>
    <w:rsid w:val="001B2A9D"/>
    <w:rsid w:val="001B32D6"/>
    <w:rsid w:val="001B453E"/>
    <w:rsid w:val="001B4BE7"/>
    <w:rsid w:val="001B7A35"/>
    <w:rsid w:val="001C55A7"/>
    <w:rsid w:val="001C6265"/>
    <w:rsid w:val="001D02B5"/>
    <w:rsid w:val="001D0412"/>
    <w:rsid w:val="001D1161"/>
    <w:rsid w:val="001D26E3"/>
    <w:rsid w:val="001D54C7"/>
    <w:rsid w:val="001E1FE4"/>
    <w:rsid w:val="001E37EA"/>
    <w:rsid w:val="001E4FBD"/>
    <w:rsid w:val="001E5305"/>
    <w:rsid w:val="001F0A97"/>
    <w:rsid w:val="001F137B"/>
    <w:rsid w:val="001F1A84"/>
    <w:rsid w:val="001F2418"/>
    <w:rsid w:val="001F3EC8"/>
    <w:rsid w:val="001F43A5"/>
    <w:rsid w:val="001F50A3"/>
    <w:rsid w:val="002005B5"/>
    <w:rsid w:val="00201213"/>
    <w:rsid w:val="00201B24"/>
    <w:rsid w:val="0020240D"/>
    <w:rsid w:val="002026C0"/>
    <w:rsid w:val="002038E7"/>
    <w:rsid w:val="002041BA"/>
    <w:rsid w:val="002042B9"/>
    <w:rsid w:val="002044B8"/>
    <w:rsid w:val="00206528"/>
    <w:rsid w:val="0020715F"/>
    <w:rsid w:val="00213342"/>
    <w:rsid w:val="002143A3"/>
    <w:rsid w:val="002157E5"/>
    <w:rsid w:val="00215B6C"/>
    <w:rsid w:val="0022016C"/>
    <w:rsid w:val="00220827"/>
    <w:rsid w:val="00221652"/>
    <w:rsid w:val="00221F37"/>
    <w:rsid w:val="00222314"/>
    <w:rsid w:val="002236DC"/>
    <w:rsid w:val="002249EA"/>
    <w:rsid w:val="002275AD"/>
    <w:rsid w:val="00230401"/>
    <w:rsid w:val="002306FC"/>
    <w:rsid w:val="00231462"/>
    <w:rsid w:val="002324D9"/>
    <w:rsid w:val="00233CF0"/>
    <w:rsid w:val="00235352"/>
    <w:rsid w:val="0023680F"/>
    <w:rsid w:val="00236B44"/>
    <w:rsid w:val="00236F7A"/>
    <w:rsid w:val="0023709E"/>
    <w:rsid w:val="002420F9"/>
    <w:rsid w:val="002423C4"/>
    <w:rsid w:val="002439BE"/>
    <w:rsid w:val="00243DC4"/>
    <w:rsid w:val="00244A31"/>
    <w:rsid w:val="00244A35"/>
    <w:rsid w:val="00245865"/>
    <w:rsid w:val="00245B25"/>
    <w:rsid w:val="00245CF6"/>
    <w:rsid w:val="00246DC4"/>
    <w:rsid w:val="002474EB"/>
    <w:rsid w:val="00250FD3"/>
    <w:rsid w:val="00252866"/>
    <w:rsid w:val="00255E9A"/>
    <w:rsid w:val="00256428"/>
    <w:rsid w:val="002577C4"/>
    <w:rsid w:val="0026020B"/>
    <w:rsid w:val="00263084"/>
    <w:rsid w:val="00264B04"/>
    <w:rsid w:val="00266553"/>
    <w:rsid w:val="00266B79"/>
    <w:rsid w:val="00266FE8"/>
    <w:rsid w:val="002670E9"/>
    <w:rsid w:val="00267FAE"/>
    <w:rsid w:val="00270390"/>
    <w:rsid w:val="00270EA5"/>
    <w:rsid w:val="00270EC2"/>
    <w:rsid w:val="0027499D"/>
    <w:rsid w:val="00274D9B"/>
    <w:rsid w:val="002762F9"/>
    <w:rsid w:val="002816CE"/>
    <w:rsid w:val="0028285A"/>
    <w:rsid w:val="00283572"/>
    <w:rsid w:val="002839BA"/>
    <w:rsid w:val="00283E5B"/>
    <w:rsid w:val="002857A1"/>
    <w:rsid w:val="00290E83"/>
    <w:rsid w:val="00291983"/>
    <w:rsid w:val="00291D8E"/>
    <w:rsid w:val="00291F1F"/>
    <w:rsid w:val="002957DF"/>
    <w:rsid w:val="0029621A"/>
    <w:rsid w:val="00296C07"/>
    <w:rsid w:val="00296C2B"/>
    <w:rsid w:val="002A1202"/>
    <w:rsid w:val="002A128A"/>
    <w:rsid w:val="002A3311"/>
    <w:rsid w:val="002A3FBC"/>
    <w:rsid w:val="002A5B92"/>
    <w:rsid w:val="002A67E3"/>
    <w:rsid w:val="002A6939"/>
    <w:rsid w:val="002A7526"/>
    <w:rsid w:val="002B0EE8"/>
    <w:rsid w:val="002B3383"/>
    <w:rsid w:val="002B34DA"/>
    <w:rsid w:val="002B3F88"/>
    <w:rsid w:val="002B5499"/>
    <w:rsid w:val="002B5A03"/>
    <w:rsid w:val="002B700F"/>
    <w:rsid w:val="002B7849"/>
    <w:rsid w:val="002C0862"/>
    <w:rsid w:val="002C1BDD"/>
    <w:rsid w:val="002C1F9A"/>
    <w:rsid w:val="002C3052"/>
    <w:rsid w:val="002C34CF"/>
    <w:rsid w:val="002C3E5B"/>
    <w:rsid w:val="002C3E6E"/>
    <w:rsid w:val="002C4DDD"/>
    <w:rsid w:val="002C59F9"/>
    <w:rsid w:val="002C63BA"/>
    <w:rsid w:val="002C6FBE"/>
    <w:rsid w:val="002C7FB5"/>
    <w:rsid w:val="002D14BE"/>
    <w:rsid w:val="002D1884"/>
    <w:rsid w:val="002D2327"/>
    <w:rsid w:val="002D2C0E"/>
    <w:rsid w:val="002D52A1"/>
    <w:rsid w:val="002D565C"/>
    <w:rsid w:val="002D663D"/>
    <w:rsid w:val="002D671E"/>
    <w:rsid w:val="002D6E6F"/>
    <w:rsid w:val="002D74D1"/>
    <w:rsid w:val="002D777E"/>
    <w:rsid w:val="002D78C2"/>
    <w:rsid w:val="002E2154"/>
    <w:rsid w:val="002E2695"/>
    <w:rsid w:val="002E3E5E"/>
    <w:rsid w:val="002E3EA3"/>
    <w:rsid w:val="002F0429"/>
    <w:rsid w:val="002F09C9"/>
    <w:rsid w:val="002F2B87"/>
    <w:rsid w:val="002F359D"/>
    <w:rsid w:val="002F4035"/>
    <w:rsid w:val="002F4A95"/>
    <w:rsid w:val="002F5655"/>
    <w:rsid w:val="002F6169"/>
    <w:rsid w:val="002F61F6"/>
    <w:rsid w:val="003006AE"/>
    <w:rsid w:val="00300EBC"/>
    <w:rsid w:val="00301815"/>
    <w:rsid w:val="00302321"/>
    <w:rsid w:val="00303472"/>
    <w:rsid w:val="00303AEC"/>
    <w:rsid w:val="00305089"/>
    <w:rsid w:val="00306125"/>
    <w:rsid w:val="00312257"/>
    <w:rsid w:val="00313972"/>
    <w:rsid w:val="00313DFB"/>
    <w:rsid w:val="00314311"/>
    <w:rsid w:val="00314314"/>
    <w:rsid w:val="00315A17"/>
    <w:rsid w:val="00316B57"/>
    <w:rsid w:val="00316B81"/>
    <w:rsid w:val="0032158F"/>
    <w:rsid w:val="0032253D"/>
    <w:rsid w:val="00323D7E"/>
    <w:rsid w:val="00324AF9"/>
    <w:rsid w:val="003275E6"/>
    <w:rsid w:val="00327AA3"/>
    <w:rsid w:val="00332D9E"/>
    <w:rsid w:val="00336B71"/>
    <w:rsid w:val="00336F17"/>
    <w:rsid w:val="00337436"/>
    <w:rsid w:val="003374C0"/>
    <w:rsid w:val="00340A4E"/>
    <w:rsid w:val="003424C4"/>
    <w:rsid w:val="00342D24"/>
    <w:rsid w:val="00345997"/>
    <w:rsid w:val="0034615F"/>
    <w:rsid w:val="00346529"/>
    <w:rsid w:val="003465D5"/>
    <w:rsid w:val="00347A06"/>
    <w:rsid w:val="003517E7"/>
    <w:rsid w:val="003525DC"/>
    <w:rsid w:val="00353970"/>
    <w:rsid w:val="00353F90"/>
    <w:rsid w:val="00355132"/>
    <w:rsid w:val="003572F4"/>
    <w:rsid w:val="0036168B"/>
    <w:rsid w:val="00361BBD"/>
    <w:rsid w:val="00362487"/>
    <w:rsid w:val="00362D58"/>
    <w:rsid w:val="00362FDD"/>
    <w:rsid w:val="00363A7C"/>
    <w:rsid w:val="00364FC5"/>
    <w:rsid w:val="003651E3"/>
    <w:rsid w:val="0036645D"/>
    <w:rsid w:val="00367527"/>
    <w:rsid w:val="00371C6E"/>
    <w:rsid w:val="00371CBD"/>
    <w:rsid w:val="00373311"/>
    <w:rsid w:val="0037473C"/>
    <w:rsid w:val="003748BA"/>
    <w:rsid w:val="00377742"/>
    <w:rsid w:val="00377AEA"/>
    <w:rsid w:val="00380499"/>
    <w:rsid w:val="003814DF"/>
    <w:rsid w:val="00382509"/>
    <w:rsid w:val="00382810"/>
    <w:rsid w:val="00383AAE"/>
    <w:rsid w:val="00383F20"/>
    <w:rsid w:val="0038478E"/>
    <w:rsid w:val="00394417"/>
    <w:rsid w:val="003945A7"/>
    <w:rsid w:val="00395DD6"/>
    <w:rsid w:val="00396786"/>
    <w:rsid w:val="00396F7F"/>
    <w:rsid w:val="003A1899"/>
    <w:rsid w:val="003A31D2"/>
    <w:rsid w:val="003A38F9"/>
    <w:rsid w:val="003A4D21"/>
    <w:rsid w:val="003A599E"/>
    <w:rsid w:val="003A5DCD"/>
    <w:rsid w:val="003B0DCB"/>
    <w:rsid w:val="003B1099"/>
    <w:rsid w:val="003B14D3"/>
    <w:rsid w:val="003B1766"/>
    <w:rsid w:val="003B1871"/>
    <w:rsid w:val="003B1DC9"/>
    <w:rsid w:val="003B328B"/>
    <w:rsid w:val="003B3D97"/>
    <w:rsid w:val="003B591D"/>
    <w:rsid w:val="003B7600"/>
    <w:rsid w:val="003B7F64"/>
    <w:rsid w:val="003C25D7"/>
    <w:rsid w:val="003C57D5"/>
    <w:rsid w:val="003C5813"/>
    <w:rsid w:val="003C5D6D"/>
    <w:rsid w:val="003C7EA0"/>
    <w:rsid w:val="003D049F"/>
    <w:rsid w:val="003D0C47"/>
    <w:rsid w:val="003D0E41"/>
    <w:rsid w:val="003D1F9C"/>
    <w:rsid w:val="003D20CD"/>
    <w:rsid w:val="003D3ECF"/>
    <w:rsid w:val="003D524B"/>
    <w:rsid w:val="003D74A2"/>
    <w:rsid w:val="003D7EA6"/>
    <w:rsid w:val="003E0822"/>
    <w:rsid w:val="003E0F85"/>
    <w:rsid w:val="003E1251"/>
    <w:rsid w:val="003E164B"/>
    <w:rsid w:val="003E1989"/>
    <w:rsid w:val="003E23CD"/>
    <w:rsid w:val="003E30DE"/>
    <w:rsid w:val="003E3A68"/>
    <w:rsid w:val="003E525B"/>
    <w:rsid w:val="003E5717"/>
    <w:rsid w:val="003E5E8B"/>
    <w:rsid w:val="003E654A"/>
    <w:rsid w:val="003E6A66"/>
    <w:rsid w:val="003E75FF"/>
    <w:rsid w:val="003E7CE0"/>
    <w:rsid w:val="003E7D83"/>
    <w:rsid w:val="003F1D50"/>
    <w:rsid w:val="003F1E05"/>
    <w:rsid w:val="003F21D2"/>
    <w:rsid w:val="003F27C9"/>
    <w:rsid w:val="003F2BE7"/>
    <w:rsid w:val="003F3263"/>
    <w:rsid w:val="003F3580"/>
    <w:rsid w:val="003F4AA3"/>
    <w:rsid w:val="003F4F0D"/>
    <w:rsid w:val="003F6DEC"/>
    <w:rsid w:val="00401181"/>
    <w:rsid w:val="00403311"/>
    <w:rsid w:val="00403B10"/>
    <w:rsid w:val="00403B5C"/>
    <w:rsid w:val="00404E9D"/>
    <w:rsid w:val="00406269"/>
    <w:rsid w:val="00407FBA"/>
    <w:rsid w:val="004126B6"/>
    <w:rsid w:val="00412F67"/>
    <w:rsid w:val="0041410B"/>
    <w:rsid w:val="00414354"/>
    <w:rsid w:val="00414F9E"/>
    <w:rsid w:val="00415653"/>
    <w:rsid w:val="0042067D"/>
    <w:rsid w:val="00420B92"/>
    <w:rsid w:val="0042182F"/>
    <w:rsid w:val="004222D2"/>
    <w:rsid w:val="004222F6"/>
    <w:rsid w:val="0042449C"/>
    <w:rsid w:val="004247E2"/>
    <w:rsid w:val="00424E95"/>
    <w:rsid w:val="0042558C"/>
    <w:rsid w:val="00425967"/>
    <w:rsid w:val="00425EA3"/>
    <w:rsid w:val="00430554"/>
    <w:rsid w:val="00434BE3"/>
    <w:rsid w:val="004353F7"/>
    <w:rsid w:val="004355C6"/>
    <w:rsid w:val="00435F94"/>
    <w:rsid w:val="004362ED"/>
    <w:rsid w:val="00437098"/>
    <w:rsid w:val="004400ED"/>
    <w:rsid w:val="004415E7"/>
    <w:rsid w:val="004438B3"/>
    <w:rsid w:val="00443D8F"/>
    <w:rsid w:val="00445F1A"/>
    <w:rsid w:val="00446A36"/>
    <w:rsid w:val="00447061"/>
    <w:rsid w:val="00447F8A"/>
    <w:rsid w:val="0045024C"/>
    <w:rsid w:val="00450858"/>
    <w:rsid w:val="0045202E"/>
    <w:rsid w:val="00452B75"/>
    <w:rsid w:val="00453F76"/>
    <w:rsid w:val="004542AD"/>
    <w:rsid w:val="00455A90"/>
    <w:rsid w:val="0045674B"/>
    <w:rsid w:val="0045694E"/>
    <w:rsid w:val="00460B5A"/>
    <w:rsid w:val="004622F6"/>
    <w:rsid w:val="00462F38"/>
    <w:rsid w:val="00464C11"/>
    <w:rsid w:val="00467DFE"/>
    <w:rsid w:val="00470221"/>
    <w:rsid w:val="00471A05"/>
    <w:rsid w:val="004740DA"/>
    <w:rsid w:val="00475657"/>
    <w:rsid w:val="00476D39"/>
    <w:rsid w:val="004811FB"/>
    <w:rsid w:val="0048233D"/>
    <w:rsid w:val="004852FE"/>
    <w:rsid w:val="00490CC6"/>
    <w:rsid w:val="0049349E"/>
    <w:rsid w:val="004937BC"/>
    <w:rsid w:val="00494561"/>
    <w:rsid w:val="00496D44"/>
    <w:rsid w:val="00497830"/>
    <w:rsid w:val="00497C18"/>
    <w:rsid w:val="004A0576"/>
    <w:rsid w:val="004A1094"/>
    <w:rsid w:val="004A1211"/>
    <w:rsid w:val="004A1516"/>
    <w:rsid w:val="004A345C"/>
    <w:rsid w:val="004A40DD"/>
    <w:rsid w:val="004A41FE"/>
    <w:rsid w:val="004A42AE"/>
    <w:rsid w:val="004A7E36"/>
    <w:rsid w:val="004B03AA"/>
    <w:rsid w:val="004B105A"/>
    <w:rsid w:val="004B15D2"/>
    <w:rsid w:val="004B1A99"/>
    <w:rsid w:val="004C068F"/>
    <w:rsid w:val="004C23AD"/>
    <w:rsid w:val="004C2CBC"/>
    <w:rsid w:val="004C2F95"/>
    <w:rsid w:val="004C3B0E"/>
    <w:rsid w:val="004C4999"/>
    <w:rsid w:val="004C4F62"/>
    <w:rsid w:val="004C5CBE"/>
    <w:rsid w:val="004D03D1"/>
    <w:rsid w:val="004D0B1B"/>
    <w:rsid w:val="004D15DC"/>
    <w:rsid w:val="004D2B8F"/>
    <w:rsid w:val="004D3AC5"/>
    <w:rsid w:val="004D4272"/>
    <w:rsid w:val="004D496E"/>
    <w:rsid w:val="004E2314"/>
    <w:rsid w:val="004E2560"/>
    <w:rsid w:val="004E27D3"/>
    <w:rsid w:val="004E2D04"/>
    <w:rsid w:val="004E354A"/>
    <w:rsid w:val="004E41B1"/>
    <w:rsid w:val="004E4882"/>
    <w:rsid w:val="004E5310"/>
    <w:rsid w:val="004F0ACD"/>
    <w:rsid w:val="004F1520"/>
    <w:rsid w:val="004F1FC1"/>
    <w:rsid w:val="004F2553"/>
    <w:rsid w:val="004F2958"/>
    <w:rsid w:val="004F3194"/>
    <w:rsid w:val="004F459B"/>
    <w:rsid w:val="0050099A"/>
    <w:rsid w:val="005019DD"/>
    <w:rsid w:val="00504559"/>
    <w:rsid w:val="00504879"/>
    <w:rsid w:val="00504D4B"/>
    <w:rsid w:val="00504E27"/>
    <w:rsid w:val="005062CB"/>
    <w:rsid w:val="005065AE"/>
    <w:rsid w:val="00506AA4"/>
    <w:rsid w:val="00507A1E"/>
    <w:rsid w:val="005106C9"/>
    <w:rsid w:val="005108F8"/>
    <w:rsid w:val="00510A6F"/>
    <w:rsid w:val="00512764"/>
    <w:rsid w:val="00513202"/>
    <w:rsid w:val="0051421A"/>
    <w:rsid w:val="00514922"/>
    <w:rsid w:val="00514C5F"/>
    <w:rsid w:val="0051551A"/>
    <w:rsid w:val="00517801"/>
    <w:rsid w:val="00522F76"/>
    <w:rsid w:val="00523641"/>
    <w:rsid w:val="00524CB0"/>
    <w:rsid w:val="00525502"/>
    <w:rsid w:val="005259D1"/>
    <w:rsid w:val="00527FDB"/>
    <w:rsid w:val="005300C1"/>
    <w:rsid w:val="00533331"/>
    <w:rsid w:val="00533364"/>
    <w:rsid w:val="00533967"/>
    <w:rsid w:val="00537500"/>
    <w:rsid w:val="00537E4F"/>
    <w:rsid w:val="0054272B"/>
    <w:rsid w:val="005445F3"/>
    <w:rsid w:val="005467DD"/>
    <w:rsid w:val="005471E2"/>
    <w:rsid w:val="00550C02"/>
    <w:rsid w:val="00550C15"/>
    <w:rsid w:val="0055188A"/>
    <w:rsid w:val="00553ECF"/>
    <w:rsid w:val="00553F67"/>
    <w:rsid w:val="0055649C"/>
    <w:rsid w:val="00556A11"/>
    <w:rsid w:val="00557D80"/>
    <w:rsid w:val="005614C2"/>
    <w:rsid w:val="00562E83"/>
    <w:rsid w:val="0056364C"/>
    <w:rsid w:val="0056461F"/>
    <w:rsid w:val="0056686A"/>
    <w:rsid w:val="00567AE4"/>
    <w:rsid w:val="0057141A"/>
    <w:rsid w:val="005715AC"/>
    <w:rsid w:val="00571EA2"/>
    <w:rsid w:val="00572BA0"/>
    <w:rsid w:val="00575582"/>
    <w:rsid w:val="00576B49"/>
    <w:rsid w:val="0057721C"/>
    <w:rsid w:val="0057754F"/>
    <w:rsid w:val="00577D62"/>
    <w:rsid w:val="00582065"/>
    <w:rsid w:val="00582818"/>
    <w:rsid w:val="00584345"/>
    <w:rsid w:val="0058474C"/>
    <w:rsid w:val="00584825"/>
    <w:rsid w:val="00584826"/>
    <w:rsid w:val="00584CEE"/>
    <w:rsid w:val="00585383"/>
    <w:rsid w:val="00586CD1"/>
    <w:rsid w:val="00587179"/>
    <w:rsid w:val="00587B88"/>
    <w:rsid w:val="005913C6"/>
    <w:rsid w:val="00591713"/>
    <w:rsid w:val="0059392C"/>
    <w:rsid w:val="00593BC6"/>
    <w:rsid w:val="00594F49"/>
    <w:rsid w:val="00596584"/>
    <w:rsid w:val="00596A1F"/>
    <w:rsid w:val="00596A81"/>
    <w:rsid w:val="00597BFB"/>
    <w:rsid w:val="005A07C3"/>
    <w:rsid w:val="005A0AF2"/>
    <w:rsid w:val="005A0B35"/>
    <w:rsid w:val="005A37BC"/>
    <w:rsid w:val="005A3BA0"/>
    <w:rsid w:val="005A4CA5"/>
    <w:rsid w:val="005A65CC"/>
    <w:rsid w:val="005B122E"/>
    <w:rsid w:val="005B2325"/>
    <w:rsid w:val="005B3B05"/>
    <w:rsid w:val="005B4031"/>
    <w:rsid w:val="005B4763"/>
    <w:rsid w:val="005B58CC"/>
    <w:rsid w:val="005B6733"/>
    <w:rsid w:val="005B6C63"/>
    <w:rsid w:val="005B70D6"/>
    <w:rsid w:val="005B712C"/>
    <w:rsid w:val="005B74E2"/>
    <w:rsid w:val="005C1B94"/>
    <w:rsid w:val="005C322E"/>
    <w:rsid w:val="005C3B84"/>
    <w:rsid w:val="005C3F8A"/>
    <w:rsid w:val="005C401D"/>
    <w:rsid w:val="005C4837"/>
    <w:rsid w:val="005C5C76"/>
    <w:rsid w:val="005C6017"/>
    <w:rsid w:val="005C7BA0"/>
    <w:rsid w:val="005D0AC4"/>
    <w:rsid w:val="005D0C5A"/>
    <w:rsid w:val="005D0C9C"/>
    <w:rsid w:val="005D1B15"/>
    <w:rsid w:val="005D3855"/>
    <w:rsid w:val="005D456E"/>
    <w:rsid w:val="005D6CED"/>
    <w:rsid w:val="005E11C2"/>
    <w:rsid w:val="005E3E90"/>
    <w:rsid w:val="005E4708"/>
    <w:rsid w:val="005E5E0C"/>
    <w:rsid w:val="005E765F"/>
    <w:rsid w:val="005E787C"/>
    <w:rsid w:val="005F21AD"/>
    <w:rsid w:val="005F288F"/>
    <w:rsid w:val="005F5372"/>
    <w:rsid w:val="005F55BA"/>
    <w:rsid w:val="005F5F3F"/>
    <w:rsid w:val="005F607B"/>
    <w:rsid w:val="005F6BD5"/>
    <w:rsid w:val="005F7663"/>
    <w:rsid w:val="00600636"/>
    <w:rsid w:val="00600808"/>
    <w:rsid w:val="006012C9"/>
    <w:rsid w:val="00601D50"/>
    <w:rsid w:val="00603BA7"/>
    <w:rsid w:val="006057AB"/>
    <w:rsid w:val="006062FD"/>
    <w:rsid w:val="00607699"/>
    <w:rsid w:val="006111A0"/>
    <w:rsid w:val="00613332"/>
    <w:rsid w:val="0061447C"/>
    <w:rsid w:val="00616AF6"/>
    <w:rsid w:val="00617E71"/>
    <w:rsid w:val="00620C46"/>
    <w:rsid w:val="0062186A"/>
    <w:rsid w:val="00622268"/>
    <w:rsid w:val="0062294E"/>
    <w:rsid w:val="006279D7"/>
    <w:rsid w:val="006314E7"/>
    <w:rsid w:val="006316C5"/>
    <w:rsid w:val="006323A9"/>
    <w:rsid w:val="00632430"/>
    <w:rsid w:val="00635193"/>
    <w:rsid w:val="006366AF"/>
    <w:rsid w:val="00640F68"/>
    <w:rsid w:val="0064167E"/>
    <w:rsid w:val="00642CFD"/>
    <w:rsid w:val="00642F43"/>
    <w:rsid w:val="006431C3"/>
    <w:rsid w:val="00643AC1"/>
    <w:rsid w:val="00644DBD"/>
    <w:rsid w:val="00644EF3"/>
    <w:rsid w:val="0064531C"/>
    <w:rsid w:val="006454E3"/>
    <w:rsid w:val="00646839"/>
    <w:rsid w:val="00646AF8"/>
    <w:rsid w:val="006513C8"/>
    <w:rsid w:val="00653EF3"/>
    <w:rsid w:val="00654971"/>
    <w:rsid w:val="00655767"/>
    <w:rsid w:val="006559DA"/>
    <w:rsid w:val="00657F0A"/>
    <w:rsid w:val="006616F3"/>
    <w:rsid w:val="00661D6B"/>
    <w:rsid w:val="00662F44"/>
    <w:rsid w:val="00663BDC"/>
    <w:rsid w:val="00664C4A"/>
    <w:rsid w:val="00664E26"/>
    <w:rsid w:val="00666B47"/>
    <w:rsid w:val="006676F2"/>
    <w:rsid w:val="00667B41"/>
    <w:rsid w:val="00670682"/>
    <w:rsid w:val="0067323D"/>
    <w:rsid w:val="00674159"/>
    <w:rsid w:val="00674E84"/>
    <w:rsid w:val="00676B9C"/>
    <w:rsid w:val="00676EF6"/>
    <w:rsid w:val="006801F9"/>
    <w:rsid w:val="0068177F"/>
    <w:rsid w:val="006838F5"/>
    <w:rsid w:val="006840CF"/>
    <w:rsid w:val="00684B6A"/>
    <w:rsid w:val="00684DD8"/>
    <w:rsid w:val="00685688"/>
    <w:rsid w:val="00687D93"/>
    <w:rsid w:val="00690369"/>
    <w:rsid w:val="0069093D"/>
    <w:rsid w:val="00690A4D"/>
    <w:rsid w:val="006929F7"/>
    <w:rsid w:val="00693880"/>
    <w:rsid w:val="0069518B"/>
    <w:rsid w:val="00697443"/>
    <w:rsid w:val="006A0C8F"/>
    <w:rsid w:val="006A0CE2"/>
    <w:rsid w:val="006A2268"/>
    <w:rsid w:val="006A3843"/>
    <w:rsid w:val="006A3A92"/>
    <w:rsid w:val="006A5713"/>
    <w:rsid w:val="006A6168"/>
    <w:rsid w:val="006A7F08"/>
    <w:rsid w:val="006B020C"/>
    <w:rsid w:val="006B05EA"/>
    <w:rsid w:val="006B0632"/>
    <w:rsid w:val="006B0E97"/>
    <w:rsid w:val="006B111F"/>
    <w:rsid w:val="006B1136"/>
    <w:rsid w:val="006B2706"/>
    <w:rsid w:val="006B476C"/>
    <w:rsid w:val="006B4F43"/>
    <w:rsid w:val="006B65AD"/>
    <w:rsid w:val="006B6E5E"/>
    <w:rsid w:val="006C00A8"/>
    <w:rsid w:val="006C1BFD"/>
    <w:rsid w:val="006C4875"/>
    <w:rsid w:val="006C64CE"/>
    <w:rsid w:val="006D158C"/>
    <w:rsid w:val="006D222A"/>
    <w:rsid w:val="006D29E4"/>
    <w:rsid w:val="006D5F7F"/>
    <w:rsid w:val="006D5FFA"/>
    <w:rsid w:val="006D60B5"/>
    <w:rsid w:val="006D6B57"/>
    <w:rsid w:val="006D7354"/>
    <w:rsid w:val="006D7FA7"/>
    <w:rsid w:val="006E04E8"/>
    <w:rsid w:val="006E1BEB"/>
    <w:rsid w:val="006E3156"/>
    <w:rsid w:val="006E483D"/>
    <w:rsid w:val="006E4DCD"/>
    <w:rsid w:val="006E4DFE"/>
    <w:rsid w:val="006E5597"/>
    <w:rsid w:val="006E5C82"/>
    <w:rsid w:val="006E69D7"/>
    <w:rsid w:val="006E72CB"/>
    <w:rsid w:val="006E7885"/>
    <w:rsid w:val="006F1915"/>
    <w:rsid w:val="006F33CD"/>
    <w:rsid w:val="006F342A"/>
    <w:rsid w:val="006F373A"/>
    <w:rsid w:val="006F402F"/>
    <w:rsid w:val="006F47BF"/>
    <w:rsid w:val="006F4C71"/>
    <w:rsid w:val="006F5842"/>
    <w:rsid w:val="006F7530"/>
    <w:rsid w:val="00700FD5"/>
    <w:rsid w:val="00705EF3"/>
    <w:rsid w:val="0070662A"/>
    <w:rsid w:val="00707823"/>
    <w:rsid w:val="00712896"/>
    <w:rsid w:val="007145C2"/>
    <w:rsid w:val="00715046"/>
    <w:rsid w:val="00716B77"/>
    <w:rsid w:val="0071737F"/>
    <w:rsid w:val="007212B8"/>
    <w:rsid w:val="007212F9"/>
    <w:rsid w:val="00722C93"/>
    <w:rsid w:val="00724F7A"/>
    <w:rsid w:val="007308C0"/>
    <w:rsid w:val="007310F3"/>
    <w:rsid w:val="00732373"/>
    <w:rsid w:val="0073306E"/>
    <w:rsid w:val="00733A92"/>
    <w:rsid w:val="0073557A"/>
    <w:rsid w:val="00735EFC"/>
    <w:rsid w:val="00736066"/>
    <w:rsid w:val="0073662F"/>
    <w:rsid w:val="0074108D"/>
    <w:rsid w:val="00742CB8"/>
    <w:rsid w:val="00743762"/>
    <w:rsid w:val="00743780"/>
    <w:rsid w:val="0074378F"/>
    <w:rsid w:val="007448DE"/>
    <w:rsid w:val="00744F1B"/>
    <w:rsid w:val="00745718"/>
    <w:rsid w:val="00745B9C"/>
    <w:rsid w:val="00745C00"/>
    <w:rsid w:val="0075228A"/>
    <w:rsid w:val="00752C34"/>
    <w:rsid w:val="00754333"/>
    <w:rsid w:val="007565C0"/>
    <w:rsid w:val="00757490"/>
    <w:rsid w:val="007575CC"/>
    <w:rsid w:val="00757795"/>
    <w:rsid w:val="0076079E"/>
    <w:rsid w:val="00760880"/>
    <w:rsid w:val="00762DCE"/>
    <w:rsid w:val="00763E26"/>
    <w:rsid w:val="007651B9"/>
    <w:rsid w:val="00765A0F"/>
    <w:rsid w:val="00774C86"/>
    <w:rsid w:val="00777779"/>
    <w:rsid w:val="00777C5C"/>
    <w:rsid w:val="00780C7F"/>
    <w:rsid w:val="0078113E"/>
    <w:rsid w:val="00782F56"/>
    <w:rsid w:val="007841FA"/>
    <w:rsid w:val="00784E34"/>
    <w:rsid w:val="00785953"/>
    <w:rsid w:val="007859E4"/>
    <w:rsid w:val="00786AA1"/>
    <w:rsid w:val="00786C2F"/>
    <w:rsid w:val="00787417"/>
    <w:rsid w:val="007875A1"/>
    <w:rsid w:val="00787A8D"/>
    <w:rsid w:val="00790A9D"/>
    <w:rsid w:val="0079194F"/>
    <w:rsid w:val="0079381F"/>
    <w:rsid w:val="00794507"/>
    <w:rsid w:val="00796DF9"/>
    <w:rsid w:val="00797D12"/>
    <w:rsid w:val="007A0245"/>
    <w:rsid w:val="007A0643"/>
    <w:rsid w:val="007A13FC"/>
    <w:rsid w:val="007A2294"/>
    <w:rsid w:val="007A26C8"/>
    <w:rsid w:val="007A2EA7"/>
    <w:rsid w:val="007A3B4F"/>
    <w:rsid w:val="007A3EB4"/>
    <w:rsid w:val="007A43D2"/>
    <w:rsid w:val="007A4D5F"/>
    <w:rsid w:val="007A4DD8"/>
    <w:rsid w:val="007A5489"/>
    <w:rsid w:val="007A58BA"/>
    <w:rsid w:val="007A5A14"/>
    <w:rsid w:val="007A754D"/>
    <w:rsid w:val="007B14A3"/>
    <w:rsid w:val="007B14A5"/>
    <w:rsid w:val="007B2085"/>
    <w:rsid w:val="007B3059"/>
    <w:rsid w:val="007B35A7"/>
    <w:rsid w:val="007B4B71"/>
    <w:rsid w:val="007B67C1"/>
    <w:rsid w:val="007B6BA6"/>
    <w:rsid w:val="007B7C5B"/>
    <w:rsid w:val="007C0BFB"/>
    <w:rsid w:val="007C0CB3"/>
    <w:rsid w:val="007C1034"/>
    <w:rsid w:val="007C1361"/>
    <w:rsid w:val="007C14C9"/>
    <w:rsid w:val="007C1A7E"/>
    <w:rsid w:val="007C2034"/>
    <w:rsid w:val="007C29B5"/>
    <w:rsid w:val="007C43AB"/>
    <w:rsid w:val="007C4EBA"/>
    <w:rsid w:val="007C551B"/>
    <w:rsid w:val="007C64E4"/>
    <w:rsid w:val="007C67F8"/>
    <w:rsid w:val="007C7698"/>
    <w:rsid w:val="007C792F"/>
    <w:rsid w:val="007D0858"/>
    <w:rsid w:val="007D3743"/>
    <w:rsid w:val="007D3D65"/>
    <w:rsid w:val="007D428A"/>
    <w:rsid w:val="007D44DA"/>
    <w:rsid w:val="007D47E0"/>
    <w:rsid w:val="007D50FC"/>
    <w:rsid w:val="007D69C1"/>
    <w:rsid w:val="007D6DEB"/>
    <w:rsid w:val="007D71E4"/>
    <w:rsid w:val="007E0A75"/>
    <w:rsid w:val="007E14D2"/>
    <w:rsid w:val="007E34C0"/>
    <w:rsid w:val="007E5356"/>
    <w:rsid w:val="007E5685"/>
    <w:rsid w:val="007E780F"/>
    <w:rsid w:val="007F0516"/>
    <w:rsid w:val="007F07EA"/>
    <w:rsid w:val="007F15CD"/>
    <w:rsid w:val="007F1708"/>
    <w:rsid w:val="007F27DC"/>
    <w:rsid w:val="007F3B27"/>
    <w:rsid w:val="007F3C22"/>
    <w:rsid w:val="007F5898"/>
    <w:rsid w:val="007F5C2B"/>
    <w:rsid w:val="007F6936"/>
    <w:rsid w:val="007F6A4B"/>
    <w:rsid w:val="0080030D"/>
    <w:rsid w:val="0080222C"/>
    <w:rsid w:val="00804309"/>
    <w:rsid w:val="008046C2"/>
    <w:rsid w:val="00804892"/>
    <w:rsid w:val="00804DAF"/>
    <w:rsid w:val="00806B76"/>
    <w:rsid w:val="0081174D"/>
    <w:rsid w:val="0081389B"/>
    <w:rsid w:val="00817EFE"/>
    <w:rsid w:val="0082046D"/>
    <w:rsid w:val="00820B57"/>
    <w:rsid w:val="00820E89"/>
    <w:rsid w:val="0082152A"/>
    <w:rsid w:val="00822670"/>
    <w:rsid w:val="00826AC1"/>
    <w:rsid w:val="00827572"/>
    <w:rsid w:val="00831DEC"/>
    <w:rsid w:val="00834B9A"/>
    <w:rsid w:val="00835A89"/>
    <w:rsid w:val="00835E6E"/>
    <w:rsid w:val="00841FDE"/>
    <w:rsid w:val="00844194"/>
    <w:rsid w:val="00844B3E"/>
    <w:rsid w:val="00844B86"/>
    <w:rsid w:val="0084686F"/>
    <w:rsid w:val="00846BD3"/>
    <w:rsid w:val="00850AC8"/>
    <w:rsid w:val="00851097"/>
    <w:rsid w:val="0085148C"/>
    <w:rsid w:val="0085149D"/>
    <w:rsid w:val="00851F83"/>
    <w:rsid w:val="008547CF"/>
    <w:rsid w:val="008558A4"/>
    <w:rsid w:val="00856803"/>
    <w:rsid w:val="008579F2"/>
    <w:rsid w:val="00860131"/>
    <w:rsid w:val="008601BA"/>
    <w:rsid w:val="008604FD"/>
    <w:rsid w:val="00860CF1"/>
    <w:rsid w:val="00861533"/>
    <w:rsid w:val="008622A7"/>
    <w:rsid w:val="00863F3E"/>
    <w:rsid w:val="00864B32"/>
    <w:rsid w:val="008665C4"/>
    <w:rsid w:val="00867744"/>
    <w:rsid w:val="00867CFB"/>
    <w:rsid w:val="00870647"/>
    <w:rsid w:val="0087292B"/>
    <w:rsid w:val="00872A51"/>
    <w:rsid w:val="00876178"/>
    <w:rsid w:val="0087790C"/>
    <w:rsid w:val="008808AD"/>
    <w:rsid w:val="0088121C"/>
    <w:rsid w:val="008817E2"/>
    <w:rsid w:val="00882B2A"/>
    <w:rsid w:val="00883520"/>
    <w:rsid w:val="00883AE3"/>
    <w:rsid w:val="00883DE4"/>
    <w:rsid w:val="008842C0"/>
    <w:rsid w:val="00884614"/>
    <w:rsid w:val="0089165E"/>
    <w:rsid w:val="008917B9"/>
    <w:rsid w:val="00891ACE"/>
    <w:rsid w:val="00891CC4"/>
    <w:rsid w:val="008923AB"/>
    <w:rsid w:val="00893653"/>
    <w:rsid w:val="00894080"/>
    <w:rsid w:val="008958D8"/>
    <w:rsid w:val="00895A0F"/>
    <w:rsid w:val="00896DD4"/>
    <w:rsid w:val="00897B72"/>
    <w:rsid w:val="008A05D0"/>
    <w:rsid w:val="008A11DD"/>
    <w:rsid w:val="008A149D"/>
    <w:rsid w:val="008A16C7"/>
    <w:rsid w:val="008A2A84"/>
    <w:rsid w:val="008A2B07"/>
    <w:rsid w:val="008B10D7"/>
    <w:rsid w:val="008B1DE1"/>
    <w:rsid w:val="008B3EB2"/>
    <w:rsid w:val="008B4558"/>
    <w:rsid w:val="008B4CF1"/>
    <w:rsid w:val="008B4F0B"/>
    <w:rsid w:val="008B68AA"/>
    <w:rsid w:val="008B7256"/>
    <w:rsid w:val="008C1FC0"/>
    <w:rsid w:val="008C2447"/>
    <w:rsid w:val="008C2A6F"/>
    <w:rsid w:val="008C3F07"/>
    <w:rsid w:val="008C49A6"/>
    <w:rsid w:val="008C5847"/>
    <w:rsid w:val="008C5A0E"/>
    <w:rsid w:val="008C6B34"/>
    <w:rsid w:val="008C6F7A"/>
    <w:rsid w:val="008D0C4C"/>
    <w:rsid w:val="008D0F77"/>
    <w:rsid w:val="008D10EE"/>
    <w:rsid w:val="008D1B00"/>
    <w:rsid w:val="008D1D69"/>
    <w:rsid w:val="008D452A"/>
    <w:rsid w:val="008D45F4"/>
    <w:rsid w:val="008D55EE"/>
    <w:rsid w:val="008E0B43"/>
    <w:rsid w:val="008E33FE"/>
    <w:rsid w:val="008E47E0"/>
    <w:rsid w:val="008E5A5D"/>
    <w:rsid w:val="008E6214"/>
    <w:rsid w:val="008E6C5A"/>
    <w:rsid w:val="008E7048"/>
    <w:rsid w:val="008F0615"/>
    <w:rsid w:val="008F261D"/>
    <w:rsid w:val="008F42C2"/>
    <w:rsid w:val="008F4DD5"/>
    <w:rsid w:val="008F58A2"/>
    <w:rsid w:val="008F5B63"/>
    <w:rsid w:val="008F65AD"/>
    <w:rsid w:val="009012EE"/>
    <w:rsid w:val="00903B3A"/>
    <w:rsid w:val="00903F58"/>
    <w:rsid w:val="00904358"/>
    <w:rsid w:val="00907876"/>
    <w:rsid w:val="009112E4"/>
    <w:rsid w:val="00911EC5"/>
    <w:rsid w:val="009122AA"/>
    <w:rsid w:val="00912C5B"/>
    <w:rsid w:val="009133CC"/>
    <w:rsid w:val="0091546B"/>
    <w:rsid w:val="00915C65"/>
    <w:rsid w:val="00915CE8"/>
    <w:rsid w:val="0091713E"/>
    <w:rsid w:val="009208B2"/>
    <w:rsid w:val="0092120B"/>
    <w:rsid w:val="00921219"/>
    <w:rsid w:val="0092328F"/>
    <w:rsid w:val="00923828"/>
    <w:rsid w:val="00923D84"/>
    <w:rsid w:val="009245AF"/>
    <w:rsid w:val="009256ED"/>
    <w:rsid w:val="009257E3"/>
    <w:rsid w:val="00925ED3"/>
    <w:rsid w:val="0092681C"/>
    <w:rsid w:val="00926AD7"/>
    <w:rsid w:val="00926C4D"/>
    <w:rsid w:val="00926CFB"/>
    <w:rsid w:val="00927DE9"/>
    <w:rsid w:val="00932C52"/>
    <w:rsid w:val="009331A3"/>
    <w:rsid w:val="0093672A"/>
    <w:rsid w:val="009375A0"/>
    <w:rsid w:val="009375E4"/>
    <w:rsid w:val="00941923"/>
    <w:rsid w:val="0094436D"/>
    <w:rsid w:val="009451F4"/>
    <w:rsid w:val="00947A81"/>
    <w:rsid w:val="0095017F"/>
    <w:rsid w:val="00950A6F"/>
    <w:rsid w:val="00950D30"/>
    <w:rsid w:val="00950DA9"/>
    <w:rsid w:val="00952216"/>
    <w:rsid w:val="0095345F"/>
    <w:rsid w:val="0095358B"/>
    <w:rsid w:val="00953C98"/>
    <w:rsid w:val="00953E68"/>
    <w:rsid w:val="009540BD"/>
    <w:rsid w:val="00954FD9"/>
    <w:rsid w:val="00955B8B"/>
    <w:rsid w:val="009561F9"/>
    <w:rsid w:val="009568D2"/>
    <w:rsid w:val="0096057A"/>
    <w:rsid w:val="00960E74"/>
    <w:rsid w:val="0096173C"/>
    <w:rsid w:val="009647DE"/>
    <w:rsid w:val="00965879"/>
    <w:rsid w:val="00966736"/>
    <w:rsid w:val="00966A02"/>
    <w:rsid w:val="00966CBB"/>
    <w:rsid w:val="00970B52"/>
    <w:rsid w:val="00970CD0"/>
    <w:rsid w:val="00971749"/>
    <w:rsid w:val="009739C8"/>
    <w:rsid w:val="0097580D"/>
    <w:rsid w:val="00976B45"/>
    <w:rsid w:val="00976E7F"/>
    <w:rsid w:val="00977977"/>
    <w:rsid w:val="00977D6C"/>
    <w:rsid w:val="00977F35"/>
    <w:rsid w:val="009828A4"/>
    <w:rsid w:val="009845A5"/>
    <w:rsid w:val="00986754"/>
    <w:rsid w:val="0098765E"/>
    <w:rsid w:val="00990B43"/>
    <w:rsid w:val="00990D2A"/>
    <w:rsid w:val="00992B8A"/>
    <w:rsid w:val="00992DF5"/>
    <w:rsid w:val="00992ECE"/>
    <w:rsid w:val="00993020"/>
    <w:rsid w:val="0099304E"/>
    <w:rsid w:val="00995BDE"/>
    <w:rsid w:val="00995C99"/>
    <w:rsid w:val="00995CDA"/>
    <w:rsid w:val="00996272"/>
    <w:rsid w:val="009A1DCF"/>
    <w:rsid w:val="009A218A"/>
    <w:rsid w:val="009A240E"/>
    <w:rsid w:val="009A394D"/>
    <w:rsid w:val="009A4999"/>
    <w:rsid w:val="009A6FB2"/>
    <w:rsid w:val="009B05A1"/>
    <w:rsid w:val="009B25B1"/>
    <w:rsid w:val="009B27C2"/>
    <w:rsid w:val="009B31E6"/>
    <w:rsid w:val="009B4473"/>
    <w:rsid w:val="009B4EB1"/>
    <w:rsid w:val="009B53F0"/>
    <w:rsid w:val="009B775F"/>
    <w:rsid w:val="009C2481"/>
    <w:rsid w:val="009C2A0D"/>
    <w:rsid w:val="009C5063"/>
    <w:rsid w:val="009C52DA"/>
    <w:rsid w:val="009C5714"/>
    <w:rsid w:val="009C60F3"/>
    <w:rsid w:val="009C7BC9"/>
    <w:rsid w:val="009D0E9E"/>
    <w:rsid w:val="009D1250"/>
    <w:rsid w:val="009D260E"/>
    <w:rsid w:val="009D320D"/>
    <w:rsid w:val="009D3942"/>
    <w:rsid w:val="009D5004"/>
    <w:rsid w:val="009D58B8"/>
    <w:rsid w:val="009D64B9"/>
    <w:rsid w:val="009D7E8A"/>
    <w:rsid w:val="009E0E8E"/>
    <w:rsid w:val="009E24A8"/>
    <w:rsid w:val="009E2613"/>
    <w:rsid w:val="009E288A"/>
    <w:rsid w:val="009E295F"/>
    <w:rsid w:val="009E3EF4"/>
    <w:rsid w:val="009E4BAD"/>
    <w:rsid w:val="009E5A2D"/>
    <w:rsid w:val="009E5F9F"/>
    <w:rsid w:val="009F2BBD"/>
    <w:rsid w:val="009F2F92"/>
    <w:rsid w:val="009F59F7"/>
    <w:rsid w:val="009F68D9"/>
    <w:rsid w:val="00A02142"/>
    <w:rsid w:val="00A02E58"/>
    <w:rsid w:val="00A041B8"/>
    <w:rsid w:val="00A057FA"/>
    <w:rsid w:val="00A07BD5"/>
    <w:rsid w:val="00A07EA0"/>
    <w:rsid w:val="00A10DCE"/>
    <w:rsid w:val="00A1185C"/>
    <w:rsid w:val="00A12A4D"/>
    <w:rsid w:val="00A148BE"/>
    <w:rsid w:val="00A15FE5"/>
    <w:rsid w:val="00A16E6B"/>
    <w:rsid w:val="00A207E5"/>
    <w:rsid w:val="00A20B0C"/>
    <w:rsid w:val="00A215F0"/>
    <w:rsid w:val="00A24CA7"/>
    <w:rsid w:val="00A254EE"/>
    <w:rsid w:val="00A31309"/>
    <w:rsid w:val="00A33F24"/>
    <w:rsid w:val="00A352AD"/>
    <w:rsid w:val="00A36DD4"/>
    <w:rsid w:val="00A41B97"/>
    <w:rsid w:val="00A41E46"/>
    <w:rsid w:val="00A427B0"/>
    <w:rsid w:val="00A42992"/>
    <w:rsid w:val="00A4319B"/>
    <w:rsid w:val="00A43562"/>
    <w:rsid w:val="00A449EA"/>
    <w:rsid w:val="00A453DD"/>
    <w:rsid w:val="00A455F6"/>
    <w:rsid w:val="00A4719C"/>
    <w:rsid w:val="00A51001"/>
    <w:rsid w:val="00A51F4A"/>
    <w:rsid w:val="00A527B4"/>
    <w:rsid w:val="00A54564"/>
    <w:rsid w:val="00A56E4B"/>
    <w:rsid w:val="00A60BF9"/>
    <w:rsid w:val="00A620EA"/>
    <w:rsid w:val="00A623A1"/>
    <w:rsid w:val="00A62895"/>
    <w:rsid w:val="00A6390B"/>
    <w:rsid w:val="00A641E3"/>
    <w:rsid w:val="00A64F59"/>
    <w:rsid w:val="00A64FE4"/>
    <w:rsid w:val="00A65076"/>
    <w:rsid w:val="00A65A21"/>
    <w:rsid w:val="00A66A59"/>
    <w:rsid w:val="00A67818"/>
    <w:rsid w:val="00A729A4"/>
    <w:rsid w:val="00A740C4"/>
    <w:rsid w:val="00A74960"/>
    <w:rsid w:val="00A74AF9"/>
    <w:rsid w:val="00A74B16"/>
    <w:rsid w:val="00A77BB2"/>
    <w:rsid w:val="00A80678"/>
    <w:rsid w:val="00A82104"/>
    <w:rsid w:val="00A8317F"/>
    <w:rsid w:val="00A83983"/>
    <w:rsid w:val="00A845F7"/>
    <w:rsid w:val="00A84C46"/>
    <w:rsid w:val="00A8639F"/>
    <w:rsid w:val="00A87E44"/>
    <w:rsid w:val="00A87E76"/>
    <w:rsid w:val="00A903A9"/>
    <w:rsid w:val="00A903EB"/>
    <w:rsid w:val="00A905FC"/>
    <w:rsid w:val="00A90927"/>
    <w:rsid w:val="00A90F77"/>
    <w:rsid w:val="00A93D90"/>
    <w:rsid w:val="00A93FC4"/>
    <w:rsid w:val="00A94344"/>
    <w:rsid w:val="00A95DDC"/>
    <w:rsid w:val="00A964B6"/>
    <w:rsid w:val="00A970FC"/>
    <w:rsid w:val="00A973EE"/>
    <w:rsid w:val="00A97CC3"/>
    <w:rsid w:val="00AA0598"/>
    <w:rsid w:val="00AA071A"/>
    <w:rsid w:val="00AA1235"/>
    <w:rsid w:val="00AA28CA"/>
    <w:rsid w:val="00AA28E7"/>
    <w:rsid w:val="00AA48FA"/>
    <w:rsid w:val="00AA4BF9"/>
    <w:rsid w:val="00AA5851"/>
    <w:rsid w:val="00AA5E61"/>
    <w:rsid w:val="00AA638A"/>
    <w:rsid w:val="00AA7E90"/>
    <w:rsid w:val="00AB000A"/>
    <w:rsid w:val="00AB177F"/>
    <w:rsid w:val="00AB1ACE"/>
    <w:rsid w:val="00AB20AD"/>
    <w:rsid w:val="00AB2112"/>
    <w:rsid w:val="00AB2942"/>
    <w:rsid w:val="00AB3C9C"/>
    <w:rsid w:val="00AB41FC"/>
    <w:rsid w:val="00AB47EE"/>
    <w:rsid w:val="00AB542A"/>
    <w:rsid w:val="00AB6046"/>
    <w:rsid w:val="00AB7E5D"/>
    <w:rsid w:val="00AC16A7"/>
    <w:rsid w:val="00AC19A5"/>
    <w:rsid w:val="00AC20D7"/>
    <w:rsid w:val="00AC35B6"/>
    <w:rsid w:val="00AC6BDE"/>
    <w:rsid w:val="00AC7C52"/>
    <w:rsid w:val="00AD096D"/>
    <w:rsid w:val="00AD12A6"/>
    <w:rsid w:val="00AD1C80"/>
    <w:rsid w:val="00AD44D9"/>
    <w:rsid w:val="00AD47EF"/>
    <w:rsid w:val="00AD4B76"/>
    <w:rsid w:val="00AD5F81"/>
    <w:rsid w:val="00AD5FC8"/>
    <w:rsid w:val="00AE00C5"/>
    <w:rsid w:val="00AE03EE"/>
    <w:rsid w:val="00AE0D77"/>
    <w:rsid w:val="00AE1E49"/>
    <w:rsid w:val="00AE1EE5"/>
    <w:rsid w:val="00AE22D8"/>
    <w:rsid w:val="00AE28A3"/>
    <w:rsid w:val="00AE48E5"/>
    <w:rsid w:val="00AE5996"/>
    <w:rsid w:val="00AE5E78"/>
    <w:rsid w:val="00AE7666"/>
    <w:rsid w:val="00AE774B"/>
    <w:rsid w:val="00AE7D05"/>
    <w:rsid w:val="00AF023B"/>
    <w:rsid w:val="00AF11F1"/>
    <w:rsid w:val="00AF1941"/>
    <w:rsid w:val="00AF3334"/>
    <w:rsid w:val="00AF57B0"/>
    <w:rsid w:val="00AF60C8"/>
    <w:rsid w:val="00AF6BD9"/>
    <w:rsid w:val="00AF72FF"/>
    <w:rsid w:val="00B00280"/>
    <w:rsid w:val="00B00C50"/>
    <w:rsid w:val="00B00C82"/>
    <w:rsid w:val="00B02290"/>
    <w:rsid w:val="00B02AD6"/>
    <w:rsid w:val="00B0301F"/>
    <w:rsid w:val="00B04597"/>
    <w:rsid w:val="00B05265"/>
    <w:rsid w:val="00B07F9A"/>
    <w:rsid w:val="00B10CBE"/>
    <w:rsid w:val="00B11261"/>
    <w:rsid w:val="00B116A7"/>
    <w:rsid w:val="00B12AFE"/>
    <w:rsid w:val="00B12C74"/>
    <w:rsid w:val="00B1326E"/>
    <w:rsid w:val="00B1459D"/>
    <w:rsid w:val="00B1527A"/>
    <w:rsid w:val="00B15E63"/>
    <w:rsid w:val="00B17436"/>
    <w:rsid w:val="00B17AB3"/>
    <w:rsid w:val="00B17E48"/>
    <w:rsid w:val="00B2018B"/>
    <w:rsid w:val="00B205BB"/>
    <w:rsid w:val="00B208D3"/>
    <w:rsid w:val="00B24386"/>
    <w:rsid w:val="00B24867"/>
    <w:rsid w:val="00B2547A"/>
    <w:rsid w:val="00B26134"/>
    <w:rsid w:val="00B275EA"/>
    <w:rsid w:val="00B300E3"/>
    <w:rsid w:val="00B3045E"/>
    <w:rsid w:val="00B30B2D"/>
    <w:rsid w:val="00B30FFD"/>
    <w:rsid w:val="00B31D09"/>
    <w:rsid w:val="00B4073F"/>
    <w:rsid w:val="00B40992"/>
    <w:rsid w:val="00B41AE0"/>
    <w:rsid w:val="00B42423"/>
    <w:rsid w:val="00B43D22"/>
    <w:rsid w:val="00B466DC"/>
    <w:rsid w:val="00B46783"/>
    <w:rsid w:val="00B46E5B"/>
    <w:rsid w:val="00B5204A"/>
    <w:rsid w:val="00B52635"/>
    <w:rsid w:val="00B536AE"/>
    <w:rsid w:val="00B543DF"/>
    <w:rsid w:val="00B55B2F"/>
    <w:rsid w:val="00B55C16"/>
    <w:rsid w:val="00B56142"/>
    <w:rsid w:val="00B56543"/>
    <w:rsid w:val="00B611D0"/>
    <w:rsid w:val="00B625FA"/>
    <w:rsid w:val="00B63BA7"/>
    <w:rsid w:val="00B63E43"/>
    <w:rsid w:val="00B64BDF"/>
    <w:rsid w:val="00B66460"/>
    <w:rsid w:val="00B6703F"/>
    <w:rsid w:val="00B678AF"/>
    <w:rsid w:val="00B67A0F"/>
    <w:rsid w:val="00B67D2A"/>
    <w:rsid w:val="00B7222D"/>
    <w:rsid w:val="00B72708"/>
    <w:rsid w:val="00B73380"/>
    <w:rsid w:val="00B73FFB"/>
    <w:rsid w:val="00B7432D"/>
    <w:rsid w:val="00B749C2"/>
    <w:rsid w:val="00B75293"/>
    <w:rsid w:val="00B76DD0"/>
    <w:rsid w:val="00B7746C"/>
    <w:rsid w:val="00B7760A"/>
    <w:rsid w:val="00B77E2F"/>
    <w:rsid w:val="00B80FDC"/>
    <w:rsid w:val="00B82288"/>
    <w:rsid w:val="00B822EA"/>
    <w:rsid w:val="00B83D33"/>
    <w:rsid w:val="00B8413D"/>
    <w:rsid w:val="00B8504B"/>
    <w:rsid w:val="00B861DB"/>
    <w:rsid w:val="00B879ED"/>
    <w:rsid w:val="00B9342E"/>
    <w:rsid w:val="00B94083"/>
    <w:rsid w:val="00B940B9"/>
    <w:rsid w:val="00B9550A"/>
    <w:rsid w:val="00B95E76"/>
    <w:rsid w:val="00B95F95"/>
    <w:rsid w:val="00B961B1"/>
    <w:rsid w:val="00B971A8"/>
    <w:rsid w:val="00BA019F"/>
    <w:rsid w:val="00BA280B"/>
    <w:rsid w:val="00BA57F8"/>
    <w:rsid w:val="00BB18EE"/>
    <w:rsid w:val="00BB263E"/>
    <w:rsid w:val="00BB27A5"/>
    <w:rsid w:val="00BB3F26"/>
    <w:rsid w:val="00BB48A4"/>
    <w:rsid w:val="00BB4933"/>
    <w:rsid w:val="00BB49B4"/>
    <w:rsid w:val="00BB53C1"/>
    <w:rsid w:val="00BB599F"/>
    <w:rsid w:val="00BB622B"/>
    <w:rsid w:val="00BB7073"/>
    <w:rsid w:val="00BB7C27"/>
    <w:rsid w:val="00BC0E92"/>
    <w:rsid w:val="00BC2176"/>
    <w:rsid w:val="00BC3C8C"/>
    <w:rsid w:val="00BC3DEB"/>
    <w:rsid w:val="00BC4D41"/>
    <w:rsid w:val="00BC59D4"/>
    <w:rsid w:val="00BC63C5"/>
    <w:rsid w:val="00BC6A33"/>
    <w:rsid w:val="00BC6BA2"/>
    <w:rsid w:val="00BD12D6"/>
    <w:rsid w:val="00BD2501"/>
    <w:rsid w:val="00BD2BF2"/>
    <w:rsid w:val="00BD34BA"/>
    <w:rsid w:val="00BD4390"/>
    <w:rsid w:val="00BD68FA"/>
    <w:rsid w:val="00BD6B08"/>
    <w:rsid w:val="00BD72EA"/>
    <w:rsid w:val="00BE0912"/>
    <w:rsid w:val="00BE1436"/>
    <w:rsid w:val="00BE18E6"/>
    <w:rsid w:val="00BE3003"/>
    <w:rsid w:val="00BE5376"/>
    <w:rsid w:val="00BE6E60"/>
    <w:rsid w:val="00BE7212"/>
    <w:rsid w:val="00BE78B1"/>
    <w:rsid w:val="00BE7B65"/>
    <w:rsid w:val="00BF04DD"/>
    <w:rsid w:val="00BF18BB"/>
    <w:rsid w:val="00BF7744"/>
    <w:rsid w:val="00C0123E"/>
    <w:rsid w:val="00C024A8"/>
    <w:rsid w:val="00C02580"/>
    <w:rsid w:val="00C02C55"/>
    <w:rsid w:val="00C04382"/>
    <w:rsid w:val="00C109BE"/>
    <w:rsid w:val="00C10A9C"/>
    <w:rsid w:val="00C1400F"/>
    <w:rsid w:val="00C151A9"/>
    <w:rsid w:val="00C17DB5"/>
    <w:rsid w:val="00C21166"/>
    <w:rsid w:val="00C215BF"/>
    <w:rsid w:val="00C2247E"/>
    <w:rsid w:val="00C2259A"/>
    <w:rsid w:val="00C23D4F"/>
    <w:rsid w:val="00C23E57"/>
    <w:rsid w:val="00C23F6A"/>
    <w:rsid w:val="00C24710"/>
    <w:rsid w:val="00C24CF7"/>
    <w:rsid w:val="00C24D3A"/>
    <w:rsid w:val="00C259D2"/>
    <w:rsid w:val="00C25E1A"/>
    <w:rsid w:val="00C26AB5"/>
    <w:rsid w:val="00C2763F"/>
    <w:rsid w:val="00C30CF3"/>
    <w:rsid w:val="00C32D22"/>
    <w:rsid w:val="00C34AEB"/>
    <w:rsid w:val="00C34FD7"/>
    <w:rsid w:val="00C36E98"/>
    <w:rsid w:val="00C4140F"/>
    <w:rsid w:val="00C42063"/>
    <w:rsid w:val="00C42FE9"/>
    <w:rsid w:val="00C4424D"/>
    <w:rsid w:val="00C4540E"/>
    <w:rsid w:val="00C4577C"/>
    <w:rsid w:val="00C45871"/>
    <w:rsid w:val="00C45D26"/>
    <w:rsid w:val="00C46B74"/>
    <w:rsid w:val="00C46EAE"/>
    <w:rsid w:val="00C50AD0"/>
    <w:rsid w:val="00C51675"/>
    <w:rsid w:val="00C51915"/>
    <w:rsid w:val="00C52F1D"/>
    <w:rsid w:val="00C53AA8"/>
    <w:rsid w:val="00C5424C"/>
    <w:rsid w:val="00C5500A"/>
    <w:rsid w:val="00C574B3"/>
    <w:rsid w:val="00C57C6E"/>
    <w:rsid w:val="00C6012C"/>
    <w:rsid w:val="00C61D36"/>
    <w:rsid w:val="00C61FDA"/>
    <w:rsid w:val="00C63803"/>
    <w:rsid w:val="00C639AF"/>
    <w:rsid w:val="00C64C67"/>
    <w:rsid w:val="00C65C02"/>
    <w:rsid w:val="00C6799A"/>
    <w:rsid w:val="00C67DDA"/>
    <w:rsid w:val="00C71F76"/>
    <w:rsid w:val="00C74B51"/>
    <w:rsid w:val="00C74B6B"/>
    <w:rsid w:val="00C75E3A"/>
    <w:rsid w:val="00C76003"/>
    <w:rsid w:val="00C762D1"/>
    <w:rsid w:val="00C82C1E"/>
    <w:rsid w:val="00C82F61"/>
    <w:rsid w:val="00C8338A"/>
    <w:rsid w:val="00C83ED5"/>
    <w:rsid w:val="00C85947"/>
    <w:rsid w:val="00C85DED"/>
    <w:rsid w:val="00C86201"/>
    <w:rsid w:val="00C862F2"/>
    <w:rsid w:val="00C86D99"/>
    <w:rsid w:val="00C8762A"/>
    <w:rsid w:val="00C87ABA"/>
    <w:rsid w:val="00C9020B"/>
    <w:rsid w:val="00C909DB"/>
    <w:rsid w:val="00C92DC1"/>
    <w:rsid w:val="00C93CB1"/>
    <w:rsid w:val="00C9480F"/>
    <w:rsid w:val="00C94E7B"/>
    <w:rsid w:val="00C95A2B"/>
    <w:rsid w:val="00C95CB7"/>
    <w:rsid w:val="00C97263"/>
    <w:rsid w:val="00CA0EF5"/>
    <w:rsid w:val="00CA1B86"/>
    <w:rsid w:val="00CA1EB2"/>
    <w:rsid w:val="00CA34D8"/>
    <w:rsid w:val="00CA3506"/>
    <w:rsid w:val="00CA3889"/>
    <w:rsid w:val="00CA4BEB"/>
    <w:rsid w:val="00CA5866"/>
    <w:rsid w:val="00CA64DF"/>
    <w:rsid w:val="00CA7416"/>
    <w:rsid w:val="00CB1C63"/>
    <w:rsid w:val="00CB2F18"/>
    <w:rsid w:val="00CB38BF"/>
    <w:rsid w:val="00CB5051"/>
    <w:rsid w:val="00CB5928"/>
    <w:rsid w:val="00CB596B"/>
    <w:rsid w:val="00CB6188"/>
    <w:rsid w:val="00CC2BB9"/>
    <w:rsid w:val="00CC423C"/>
    <w:rsid w:val="00CC5876"/>
    <w:rsid w:val="00CC644A"/>
    <w:rsid w:val="00CC69A6"/>
    <w:rsid w:val="00CD02EF"/>
    <w:rsid w:val="00CD1654"/>
    <w:rsid w:val="00CD2358"/>
    <w:rsid w:val="00CD35AA"/>
    <w:rsid w:val="00CD4C0E"/>
    <w:rsid w:val="00CD6269"/>
    <w:rsid w:val="00CD7782"/>
    <w:rsid w:val="00CE00EF"/>
    <w:rsid w:val="00CE0573"/>
    <w:rsid w:val="00CE057D"/>
    <w:rsid w:val="00CE2860"/>
    <w:rsid w:val="00CE4063"/>
    <w:rsid w:val="00CE4822"/>
    <w:rsid w:val="00CE4AC8"/>
    <w:rsid w:val="00CE6800"/>
    <w:rsid w:val="00CE70E4"/>
    <w:rsid w:val="00CF3A4D"/>
    <w:rsid w:val="00CF5367"/>
    <w:rsid w:val="00CF5DB7"/>
    <w:rsid w:val="00CF6153"/>
    <w:rsid w:val="00CF7774"/>
    <w:rsid w:val="00CF794B"/>
    <w:rsid w:val="00D01BFF"/>
    <w:rsid w:val="00D02140"/>
    <w:rsid w:val="00D026E5"/>
    <w:rsid w:val="00D05564"/>
    <w:rsid w:val="00D0591C"/>
    <w:rsid w:val="00D05E81"/>
    <w:rsid w:val="00D10B32"/>
    <w:rsid w:val="00D118C2"/>
    <w:rsid w:val="00D11988"/>
    <w:rsid w:val="00D13B90"/>
    <w:rsid w:val="00D169D9"/>
    <w:rsid w:val="00D16DA8"/>
    <w:rsid w:val="00D16E96"/>
    <w:rsid w:val="00D21F55"/>
    <w:rsid w:val="00D238D1"/>
    <w:rsid w:val="00D24E16"/>
    <w:rsid w:val="00D26249"/>
    <w:rsid w:val="00D27350"/>
    <w:rsid w:val="00D30AAB"/>
    <w:rsid w:val="00D32942"/>
    <w:rsid w:val="00D34033"/>
    <w:rsid w:val="00D365AA"/>
    <w:rsid w:val="00D4123B"/>
    <w:rsid w:val="00D41BFD"/>
    <w:rsid w:val="00D41DCB"/>
    <w:rsid w:val="00D42CEF"/>
    <w:rsid w:val="00D43D45"/>
    <w:rsid w:val="00D47BAC"/>
    <w:rsid w:val="00D50D02"/>
    <w:rsid w:val="00D61F1A"/>
    <w:rsid w:val="00D674E5"/>
    <w:rsid w:val="00D67DEC"/>
    <w:rsid w:val="00D709A4"/>
    <w:rsid w:val="00D71762"/>
    <w:rsid w:val="00D726BE"/>
    <w:rsid w:val="00D7388A"/>
    <w:rsid w:val="00D747CD"/>
    <w:rsid w:val="00D75250"/>
    <w:rsid w:val="00D765B0"/>
    <w:rsid w:val="00D80BCD"/>
    <w:rsid w:val="00D80F51"/>
    <w:rsid w:val="00D81CA4"/>
    <w:rsid w:val="00D828E3"/>
    <w:rsid w:val="00D82C23"/>
    <w:rsid w:val="00D842E2"/>
    <w:rsid w:val="00D87145"/>
    <w:rsid w:val="00D9035E"/>
    <w:rsid w:val="00D917DF"/>
    <w:rsid w:val="00D918B8"/>
    <w:rsid w:val="00D92948"/>
    <w:rsid w:val="00D941B6"/>
    <w:rsid w:val="00D94493"/>
    <w:rsid w:val="00D9498E"/>
    <w:rsid w:val="00D95EE2"/>
    <w:rsid w:val="00D9616D"/>
    <w:rsid w:val="00DA0FF6"/>
    <w:rsid w:val="00DA1641"/>
    <w:rsid w:val="00DA1C4F"/>
    <w:rsid w:val="00DA2CF2"/>
    <w:rsid w:val="00DA31D9"/>
    <w:rsid w:val="00DA3619"/>
    <w:rsid w:val="00DA3621"/>
    <w:rsid w:val="00DA39E2"/>
    <w:rsid w:val="00DA4B24"/>
    <w:rsid w:val="00DA609C"/>
    <w:rsid w:val="00DA7C7A"/>
    <w:rsid w:val="00DA7FC5"/>
    <w:rsid w:val="00DB17B0"/>
    <w:rsid w:val="00DB3566"/>
    <w:rsid w:val="00DB5820"/>
    <w:rsid w:val="00DB5B48"/>
    <w:rsid w:val="00DB667A"/>
    <w:rsid w:val="00DB68ED"/>
    <w:rsid w:val="00DB6C9E"/>
    <w:rsid w:val="00DC0D02"/>
    <w:rsid w:val="00DC19C5"/>
    <w:rsid w:val="00DC7921"/>
    <w:rsid w:val="00DC7B41"/>
    <w:rsid w:val="00DD01BA"/>
    <w:rsid w:val="00DD0A53"/>
    <w:rsid w:val="00DD0F2F"/>
    <w:rsid w:val="00DD1520"/>
    <w:rsid w:val="00DD2E01"/>
    <w:rsid w:val="00DD3029"/>
    <w:rsid w:val="00DD3773"/>
    <w:rsid w:val="00DD5B0C"/>
    <w:rsid w:val="00DD69AA"/>
    <w:rsid w:val="00DE0E21"/>
    <w:rsid w:val="00DE281F"/>
    <w:rsid w:val="00DE3555"/>
    <w:rsid w:val="00DE47F5"/>
    <w:rsid w:val="00DE5D38"/>
    <w:rsid w:val="00DE5FB9"/>
    <w:rsid w:val="00DE6023"/>
    <w:rsid w:val="00DF003B"/>
    <w:rsid w:val="00DF0C81"/>
    <w:rsid w:val="00DF2F8A"/>
    <w:rsid w:val="00DF3538"/>
    <w:rsid w:val="00DF42A3"/>
    <w:rsid w:val="00DF62CA"/>
    <w:rsid w:val="00DF6437"/>
    <w:rsid w:val="00E00805"/>
    <w:rsid w:val="00E01049"/>
    <w:rsid w:val="00E010D4"/>
    <w:rsid w:val="00E0145E"/>
    <w:rsid w:val="00E015A9"/>
    <w:rsid w:val="00E03070"/>
    <w:rsid w:val="00E04486"/>
    <w:rsid w:val="00E05D43"/>
    <w:rsid w:val="00E068A7"/>
    <w:rsid w:val="00E10789"/>
    <w:rsid w:val="00E13421"/>
    <w:rsid w:val="00E1464D"/>
    <w:rsid w:val="00E14988"/>
    <w:rsid w:val="00E171E4"/>
    <w:rsid w:val="00E1738A"/>
    <w:rsid w:val="00E17A90"/>
    <w:rsid w:val="00E209A5"/>
    <w:rsid w:val="00E20FF2"/>
    <w:rsid w:val="00E21058"/>
    <w:rsid w:val="00E22531"/>
    <w:rsid w:val="00E233B9"/>
    <w:rsid w:val="00E239EB"/>
    <w:rsid w:val="00E24E79"/>
    <w:rsid w:val="00E24E96"/>
    <w:rsid w:val="00E2549B"/>
    <w:rsid w:val="00E258B2"/>
    <w:rsid w:val="00E323D2"/>
    <w:rsid w:val="00E32CEE"/>
    <w:rsid w:val="00E33B6A"/>
    <w:rsid w:val="00E341CB"/>
    <w:rsid w:val="00E361AB"/>
    <w:rsid w:val="00E37A45"/>
    <w:rsid w:val="00E41DE8"/>
    <w:rsid w:val="00E42185"/>
    <w:rsid w:val="00E421E6"/>
    <w:rsid w:val="00E45FBA"/>
    <w:rsid w:val="00E46085"/>
    <w:rsid w:val="00E46EB7"/>
    <w:rsid w:val="00E50E04"/>
    <w:rsid w:val="00E5404E"/>
    <w:rsid w:val="00E569EF"/>
    <w:rsid w:val="00E573FE"/>
    <w:rsid w:val="00E60312"/>
    <w:rsid w:val="00E607A5"/>
    <w:rsid w:val="00E6102B"/>
    <w:rsid w:val="00E611A2"/>
    <w:rsid w:val="00E61446"/>
    <w:rsid w:val="00E61BCB"/>
    <w:rsid w:val="00E62C78"/>
    <w:rsid w:val="00E63B1F"/>
    <w:rsid w:val="00E669BF"/>
    <w:rsid w:val="00E704A8"/>
    <w:rsid w:val="00E70B8C"/>
    <w:rsid w:val="00E70C63"/>
    <w:rsid w:val="00E716EC"/>
    <w:rsid w:val="00E71BCD"/>
    <w:rsid w:val="00E72F0B"/>
    <w:rsid w:val="00E73AD1"/>
    <w:rsid w:val="00E73FBD"/>
    <w:rsid w:val="00E75C04"/>
    <w:rsid w:val="00E7652A"/>
    <w:rsid w:val="00E7778A"/>
    <w:rsid w:val="00E80393"/>
    <w:rsid w:val="00E816F4"/>
    <w:rsid w:val="00E82D47"/>
    <w:rsid w:val="00E85331"/>
    <w:rsid w:val="00E86D2D"/>
    <w:rsid w:val="00E873F6"/>
    <w:rsid w:val="00E9050B"/>
    <w:rsid w:val="00E93196"/>
    <w:rsid w:val="00E949F1"/>
    <w:rsid w:val="00E95409"/>
    <w:rsid w:val="00E96C59"/>
    <w:rsid w:val="00EA00AF"/>
    <w:rsid w:val="00EA0D1D"/>
    <w:rsid w:val="00EA14F2"/>
    <w:rsid w:val="00EA186A"/>
    <w:rsid w:val="00EA1E78"/>
    <w:rsid w:val="00EA2E2E"/>
    <w:rsid w:val="00EA3D89"/>
    <w:rsid w:val="00EA4D35"/>
    <w:rsid w:val="00EB0A4C"/>
    <w:rsid w:val="00EB100F"/>
    <w:rsid w:val="00EB15B8"/>
    <w:rsid w:val="00EB1C2E"/>
    <w:rsid w:val="00EB1EC1"/>
    <w:rsid w:val="00EB2731"/>
    <w:rsid w:val="00EB3038"/>
    <w:rsid w:val="00EB30F8"/>
    <w:rsid w:val="00EB3274"/>
    <w:rsid w:val="00EB3C33"/>
    <w:rsid w:val="00EB5775"/>
    <w:rsid w:val="00EB71CE"/>
    <w:rsid w:val="00EB72D1"/>
    <w:rsid w:val="00EC2E9A"/>
    <w:rsid w:val="00EC3EED"/>
    <w:rsid w:val="00EC5C61"/>
    <w:rsid w:val="00EC6023"/>
    <w:rsid w:val="00ED037F"/>
    <w:rsid w:val="00ED06A4"/>
    <w:rsid w:val="00ED1E39"/>
    <w:rsid w:val="00ED468E"/>
    <w:rsid w:val="00ED5172"/>
    <w:rsid w:val="00ED5AD4"/>
    <w:rsid w:val="00ED5EB9"/>
    <w:rsid w:val="00ED624B"/>
    <w:rsid w:val="00ED6FE9"/>
    <w:rsid w:val="00ED78A6"/>
    <w:rsid w:val="00EE0926"/>
    <w:rsid w:val="00EE49D4"/>
    <w:rsid w:val="00EE6B34"/>
    <w:rsid w:val="00EF1A07"/>
    <w:rsid w:val="00EF478D"/>
    <w:rsid w:val="00F00089"/>
    <w:rsid w:val="00F00950"/>
    <w:rsid w:val="00F01EE1"/>
    <w:rsid w:val="00F02016"/>
    <w:rsid w:val="00F023B8"/>
    <w:rsid w:val="00F02A7D"/>
    <w:rsid w:val="00F03210"/>
    <w:rsid w:val="00F03A4D"/>
    <w:rsid w:val="00F053F0"/>
    <w:rsid w:val="00F05CA7"/>
    <w:rsid w:val="00F117D6"/>
    <w:rsid w:val="00F11A17"/>
    <w:rsid w:val="00F11A70"/>
    <w:rsid w:val="00F1238A"/>
    <w:rsid w:val="00F1319E"/>
    <w:rsid w:val="00F133BF"/>
    <w:rsid w:val="00F13456"/>
    <w:rsid w:val="00F158EF"/>
    <w:rsid w:val="00F15E9F"/>
    <w:rsid w:val="00F16408"/>
    <w:rsid w:val="00F1672F"/>
    <w:rsid w:val="00F17D7E"/>
    <w:rsid w:val="00F201B2"/>
    <w:rsid w:val="00F20502"/>
    <w:rsid w:val="00F20ECC"/>
    <w:rsid w:val="00F20F66"/>
    <w:rsid w:val="00F218A4"/>
    <w:rsid w:val="00F21EE7"/>
    <w:rsid w:val="00F23A52"/>
    <w:rsid w:val="00F2477F"/>
    <w:rsid w:val="00F26F61"/>
    <w:rsid w:val="00F2776D"/>
    <w:rsid w:val="00F3018B"/>
    <w:rsid w:val="00F30A07"/>
    <w:rsid w:val="00F31084"/>
    <w:rsid w:val="00F31AF9"/>
    <w:rsid w:val="00F32F4F"/>
    <w:rsid w:val="00F36B48"/>
    <w:rsid w:val="00F41472"/>
    <w:rsid w:val="00F42259"/>
    <w:rsid w:val="00F44599"/>
    <w:rsid w:val="00F4610C"/>
    <w:rsid w:val="00F462A3"/>
    <w:rsid w:val="00F46FA8"/>
    <w:rsid w:val="00F50098"/>
    <w:rsid w:val="00F50647"/>
    <w:rsid w:val="00F508E8"/>
    <w:rsid w:val="00F512C8"/>
    <w:rsid w:val="00F515B4"/>
    <w:rsid w:val="00F51A2F"/>
    <w:rsid w:val="00F53E91"/>
    <w:rsid w:val="00F57FFB"/>
    <w:rsid w:val="00F6010B"/>
    <w:rsid w:val="00F60289"/>
    <w:rsid w:val="00F603A6"/>
    <w:rsid w:val="00F61305"/>
    <w:rsid w:val="00F6360E"/>
    <w:rsid w:val="00F63E9B"/>
    <w:rsid w:val="00F64672"/>
    <w:rsid w:val="00F65E07"/>
    <w:rsid w:val="00F72296"/>
    <w:rsid w:val="00F7384E"/>
    <w:rsid w:val="00F748B4"/>
    <w:rsid w:val="00F7529D"/>
    <w:rsid w:val="00F757EF"/>
    <w:rsid w:val="00F758C1"/>
    <w:rsid w:val="00F76C23"/>
    <w:rsid w:val="00F77738"/>
    <w:rsid w:val="00F77D80"/>
    <w:rsid w:val="00F77F97"/>
    <w:rsid w:val="00F80ABC"/>
    <w:rsid w:val="00F80B94"/>
    <w:rsid w:val="00F82460"/>
    <w:rsid w:val="00F83E4A"/>
    <w:rsid w:val="00F843F3"/>
    <w:rsid w:val="00F84A6A"/>
    <w:rsid w:val="00F86BE6"/>
    <w:rsid w:val="00F87D92"/>
    <w:rsid w:val="00F9048F"/>
    <w:rsid w:val="00F90DD1"/>
    <w:rsid w:val="00F94D12"/>
    <w:rsid w:val="00F95414"/>
    <w:rsid w:val="00FA09D3"/>
    <w:rsid w:val="00FB0497"/>
    <w:rsid w:val="00FB1619"/>
    <w:rsid w:val="00FB174A"/>
    <w:rsid w:val="00FB3FDD"/>
    <w:rsid w:val="00FB4B6A"/>
    <w:rsid w:val="00FC0192"/>
    <w:rsid w:val="00FC2564"/>
    <w:rsid w:val="00FC2C6F"/>
    <w:rsid w:val="00FC42B6"/>
    <w:rsid w:val="00FC6200"/>
    <w:rsid w:val="00FC7562"/>
    <w:rsid w:val="00FC7739"/>
    <w:rsid w:val="00FD10D0"/>
    <w:rsid w:val="00FD2998"/>
    <w:rsid w:val="00FD40C0"/>
    <w:rsid w:val="00FD4B36"/>
    <w:rsid w:val="00FD6B02"/>
    <w:rsid w:val="00FD7E01"/>
    <w:rsid w:val="00FE0912"/>
    <w:rsid w:val="00FE27BB"/>
    <w:rsid w:val="00FE72C2"/>
    <w:rsid w:val="00FE784F"/>
    <w:rsid w:val="00FE7D93"/>
    <w:rsid w:val="00FF0839"/>
    <w:rsid w:val="00FF54FF"/>
    <w:rsid w:val="00FF7EF9"/>
    <w:rsid w:val="00FF7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CD"/>
    <w:rPr>
      <w:rFonts w:eastAsia="Times New Roman"/>
      <w:sz w:val="24"/>
    </w:rPr>
  </w:style>
  <w:style w:type="paragraph" w:styleId="Heading1">
    <w:name w:val="heading 1"/>
    <w:basedOn w:val="Normal"/>
    <w:next w:val="Normal"/>
    <w:link w:val="Heading1Char"/>
    <w:qFormat/>
    <w:rsid w:val="005B6733"/>
    <w:pPr>
      <w:tabs>
        <w:tab w:val="left" w:pos="0"/>
      </w:tabs>
      <w:spacing w:after="240"/>
      <w:ind w:left="720" w:hanging="720"/>
      <w:jc w:val="center"/>
      <w:outlineLvl w:val="0"/>
    </w:pPr>
    <w:rPr>
      <w:b/>
      <w:caps/>
      <w:sz w:val="32"/>
      <w:szCs w:val="32"/>
    </w:rPr>
  </w:style>
  <w:style w:type="paragraph" w:styleId="Heading2">
    <w:name w:val="heading 2"/>
    <w:basedOn w:val="Normal"/>
    <w:next w:val="Normal"/>
    <w:link w:val="Heading2Char"/>
    <w:qFormat/>
    <w:rsid w:val="005B6733"/>
    <w:pPr>
      <w:keepNext/>
      <w:tabs>
        <w:tab w:val="left" w:pos="720"/>
      </w:tabs>
      <w:spacing w:after="240"/>
      <w:ind w:left="720" w:hanging="720"/>
      <w:outlineLvl w:val="1"/>
    </w:pPr>
    <w:rPr>
      <w:b/>
      <w:sz w:val="28"/>
      <w:szCs w:val="28"/>
    </w:rPr>
  </w:style>
  <w:style w:type="paragraph" w:styleId="Heading3">
    <w:name w:val="heading 3"/>
    <w:basedOn w:val="Heading2"/>
    <w:next w:val="Normal"/>
    <w:link w:val="Heading3Char"/>
    <w:qFormat/>
    <w:rsid w:val="009561F9"/>
    <w:pPr>
      <w:tabs>
        <w:tab w:val="clear" w:pos="720"/>
        <w:tab w:val="left" w:pos="900"/>
      </w:tabs>
      <w:spacing w:after="0"/>
      <w:ind w:left="907" w:hanging="907"/>
      <w:outlineLvl w:val="2"/>
    </w:pPr>
    <w:rPr>
      <w:sz w:val="24"/>
      <w:szCs w:val="24"/>
    </w:rPr>
  </w:style>
  <w:style w:type="paragraph" w:styleId="Heading4">
    <w:name w:val="heading 4"/>
    <w:basedOn w:val="BodyText1"/>
    <w:next w:val="Normal"/>
    <w:link w:val="Heading4Char"/>
    <w:autoRedefine/>
    <w:qFormat/>
    <w:rsid w:val="00F133BF"/>
    <w:pPr>
      <w:keepNext/>
      <w:spacing w:after="0"/>
      <w:outlineLvl w:val="3"/>
    </w:pPr>
    <w:rPr>
      <w:i/>
    </w:rPr>
  </w:style>
  <w:style w:type="paragraph" w:styleId="Heading5">
    <w:name w:val="heading 5"/>
    <w:basedOn w:val="BodyText"/>
    <w:next w:val="Normal"/>
    <w:link w:val="Heading5Char"/>
    <w:qFormat/>
    <w:rsid w:val="00A97CC3"/>
    <w:pPr>
      <w:outlineLvl w:val="4"/>
    </w:pPr>
    <w:rPr>
      <w:u w:val="single"/>
    </w:rPr>
  </w:style>
  <w:style w:type="paragraph" w:styleId="Heading6">
    <w:name w:val="heading 6"/>
    <w:basedOn w:val="Normal"/>
    <w:next w:val="Normal"/>
    <w:link w:val="Heading6Char"/>
    <w:qFormat/>
    <w:rsid w:val="005B67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rPr>
  </w:style>
  <w:style w:type="paragraph" w:styleId="Heading7">
    <w:name w:val="heading 7"/>
    <w:basedOn w:val="Normal"/>
    <w:next w:val="Normal"/>
    <w:link w:val="Heading7Char"/>
    <w:qFormat/>
    <w:rsid w:val="005B67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u w:val="single"/>
    </w:rPr>
  </w:style>
  <w:style w:type="paragraph" w:styleId="Heading8">
    <w:name w:val="heading 8"/>
    <w:basedOn w:val="Normal"/>
    <w:next w:val="Normal"/>
    <w:link w:val="Heading8Char"/>
    <w:qFormat/>
    <w:rsid w:val="005B6733"/>
    <w:pPr>
      <w:keepNext/>
      <w:tabs>
        <w:tab w:val="left" w:pos="-720"/>
      </w:tabs>
      <w:ind w:left="720" w:hanging="720"/>
      <w:outlineLvl w:val="7"/>
    </w:pPr>
    <w:rPr>
      <w:rFonts w:ascii="Arial" w:hAnsi="Arial"/>
      <w:b/>
      <w:i/>
      <w:iCs/>
    </w:rPr>
  </w:style>
  <w:style w:type="paragraph" w:styleId="Heading9">
    <w:name w:val="heading 9"/>
    <w:basedOn w:val="Normal"/>
    <w:next w:val="Normal"/>
    <w:link w:val="Heading9Char"/>
    <w:qFormat/>
    <w:rsid w:val="005B67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733"/>
    <w:pPr>
      <w:ind w:left="720"/>
      <w:contextualSpacing/>
    </w:pPr>
  </w:style>
  <w:style w:type="character" w:styleId="CommentReference">
    <w:name w:val="annotation reference"/>
    <w:uiPriority w:val="99"/>
    <w:rsid w:val="005B6733"/>
    <w:rPr>
      <w:rFonts w:cs="Times New Roman"/>
      <w:sz w:val="16"/>
      <w:szCs w:val="16"/>
    </w:rPr>
  </w:style>
  <w:style w:type="paragraph" w:styleId="CommentText">
    <w:name w:val="annotation text"/>
    <w:basedOn w:val="Normal"/>
    <w:link w:val="CommentTextChar"/>
    <w:uiPriority w:val="99"/>
    <w:rsid w:val="005B6733"/>
    <w:rPr>
      <w:sz w:val="20"/>
    </w:rPr>
  </w:style>
  <w:style w:type="character" w:customStyle="1" w:styleId="CommentTextChar">
    <w:name w:val="Comment Text Char"/>
    <w:link w:val="CommentText"/>
    <w:uiPriority w:val="99"/>
    <w:rsid w:val="005B6733"/>
    <w:rPr>
      <w:rFonts w:eastAsia="Times New Roman"/>
    </w:rPr>
  </w:style>
  <w:style w:type="paragraph" w:styleId="CommentSubject">
    <w:name w:val="annotation subject"/>
    <w:basedOn w:val="CommentText"/>
    <w:next w:val="CommentText"/>
    <w:link w:val="CommentSubjectChar"/>
    <w:rsid w:val="005B6733"/>
    <w:rPr>
      <w:b/>
      <w:bCs/>
    </w:rPr>
  </w:style>
  <w:style w:type="character" w:customStyle="1" w:styleId="CommentSubjectChar">
    <w:name w:val="Comment Subject Char"/>
    <w:link w:val="CommentSubject"/>
    <w:rsid w:val="005B6733"/>
    <w:rPr>
      <w:rFonts w:eastAsia="Times New Roman"/>
      <w:b/>
      <w:bCs/>
    </w:rPr>
  </w:style>
  <w:style w:type="paragraph" w:styleId="BalloonText">
    <w:name w:val="Balloon Text"/>
    <w:basedOn w:val="Normal"/>
    <w:link w:val="BalloonTextChar"/>
    <w:rsid w:val="005B6733"/>
    <w:rPr>
      <w:rFonts w:ascii="Tahoma" w:hAnsi="Tahoma"/>
      <w:sz w:val="16"/>
      <w:szCs w:val="16"/>
    </w:rPr>
  </w:style>
  <w:style w:type="character" w:customStyle="1" w:styleId="BalloonTextChar">
    <w:name w:val="Balloon Text Char"/>
    <w:link w:val="BalloonText"/>
    <w:rsid w:val="005B6733"/>
    <w:rPr>
      <w:rFonts w:ascii="Tahoma" w:eastAsia="Times New Roman" w:hAnsi="Tahoma" w:cs="Tahoma"/>
      <w:sz w:val="16"/>
      <w:szCs w:val="16"/>
    </w:rPr>
  </w:style>
  <w:style w:type="character" w:customStyle="1" w:styleId="bodytextChar">
    <w:name w:val="body text Char"/>
    <w:link w:val="BodyText1"/>
    <w:rsid w:val="00A12A4D"/>
    <w:rPr>
      <w:rFonts w:eastAsia="Times New Roman"/>
      <w:sz w:val="24"/>
      <w:szCs w:val="24"/>
    </w:rPr>
  </w:style>
  <w:style w:type="paragraph" w:customStyle="1" w:styleId="BodyText1">
    <w:name w:val="Body Text1"/>
    <w:basedOn w:val="BodyText"/>
    <w:link w:val="bodytextChar"/>
    <w:rsid w:val="00A12A4D"/>
  </w:style>
  <w:style w:type="character" w:customStyle="1" w:styleId="Heading4Char">
    <w:name w:val="Heading 4 Char"/>
    <w:link w:val="Heading4"/>
    <w:rsid w:val="00F133BF"/>
    <w:rPr>
      <w:rFonts w:eastAsia="Times New Roman"/>
      <w:i/>
      <w:sz w:val="24"/>
      <w:szCs w:val="24"/>
    </w:rPr>
  </w:style>
  <w:style w:type="paragraph" w:customStyle="1" w:styleId="bullets">
    <w:name w:val="bullets"/>
    <w:aliases w:val="bu"/>
    <w:basedOn w:val="Normal"/>
    <w:link w:val="bulletsChar"/>
    <w:rsid w:val="007B14A5"/>
    <w:pPr>
      <w:spacing w:after="120" w:line="240" w:lineRule="exact"/>
      <w:ind w:left="1080" w:hanging="360"/>
    </w:pPr>
    <w:rPr>
      <w:color w:val="000000"/>
      <w:szCs w:val="24"/>
    </w:rPr>
  </w:style>
  <w:style w:type="character" w:styleId="Hyperlink">
    <w:name w:val="Hyperlink"/>
    <w:uiPriority w:val="99"/>
    <w:rsid w:val="00E61446"/>
    <w:rPr>
      <w:rFonts w:cs="Times New Roman"/>
      <w:color w:val="0000FF"/>
      <w:u w:val="none"/>
    </w:rPr>
  </w:style>
  <w:style w:type="character" w:customStyle="1" w:styleId="apple-converted-space">
    <w:name w:val="apple-converted-space"/>
    <w:rsid w:val="00B6703F"/>
  </w:style>
  <w:style w:type="character" w:customStyle="1" w:styleId="Heading3Char">
    <w:name w:val="Heading 3 Char"/>
    <w:link w:val="Heading3"/>
    <w:rsid w:val="009561F9"/>
    <w:rPr>
      <w:rFonts w:eastAsia="Times New Roman"/>
      <w:b/>
      <w:sz w:val="24"/>
      <w:szCs w:val="24"/>
    </w:rPr>
  </w:style>
  <w:style w:type="paragraph" w:customStyle="1" w:styleId="exhibitsource">
    <w:name w:val="exhibit source"/>
    <w:basedOn w:val="Normal"/>
    <w:link w:val="exhibitsourceChar"/>
    <w:rsid w:val="005B6733"/>
    <w:pPr>
      <w:spacing w:after="120"/>
    </w:pPr>
    <w:rPr>
      <w:sz w:val="20"/>
      <w:szCs w:val="22"/>
    </w:rPr>
  </w:style>
  <w:style w:type="paragraph" w:styleId="ListNumber">
    <w:name w:val="List Number"/>
    <w:basedOn w:val="Normal"/>
    <w:rsid w:val="00B77E2F"/>
    <w:pPr>
      <w:numPr>
        <w:numId w:val="1"/>
      </w:numPr>
      <w:tabs>
        <w:tab w:val="clear" w:pos="360"/>
        <w:tab w:val="num" w:pos="1080"/>
      </w:tabs>
      <w:spacing w:after="120"/>
      <w:ind w:left="1080"/>
    </w:pPr>
    <w:rPr>
      <w:szCs w:val="24"/>
    </w:rPr>
  </w:style>
  <w:style w:type="paragraph" w:customStyle="1" w:styleId="FigureTitle">
    <w:name w:val="Figure Title"/>
    <w:basedOn w:val="Normal"/>
    <w:rsid w:val="005B6733"/>
    <w:pPr>
      <w:keepNext/>
      <w:keepLines/>
      <w:spacing w:before="240" w:after="240"/>
      <w:ind w:left="1260" w:hanging="1260"/>
    </w:pPr>
    <w:rPr>
      <w:b/>
    </w:rPr>
  </w:style>
  <w:style w:type="character" w:customStyle="1" w:styleId="Heading2Char">
    <w:name w:val="Heading 2 Char"/>
    <w:link w:val="Heading2"/>
    <w:rsid w:val="005B6733"/>
    <w:rPr>
      <w:rFonts w:eastAsia="Times New Roman"/>
      <w:b/>
      <w:sz w:val="28"/>
      <w:szCs w:val="28"/>
    </w:rPr>
  </w:style>
  <w:style w:type="paragraph" w:styleId="Header">
    <w:name w:val="header"/>
    <w:basedOn w:val="Normal"/>
    <w:link w:val="HeaderChar"/>
    <w:rsid w:val="005B6733"/>
    <w:pPr>
      <w:tabs>
        <w:tab w:val="center" w:pos="4320"/>
        <w:tab w:val="right" w:pos="8640"/>
      </w:tabs>
    </w:pPr>
  </w:style>
  <w:style w:type="character" w:customStyle="1" w:styleId="HeaderChar">
    <w:name w:val="Header Char"/>
    <w:link w:val="Header"/>
    <w:rsid w:val="005B6733"/>
    <w:rPr>
      <w:rFonts w:eastAsia="Times New Roman"/>
      <w:sz w:val="24"/>
    </w:rPr>
  </w:style>
  <w:style w:type="character" w:customStyle="1" w:styleId="NormalArialChar">
    <w:name w:val="Normal+Arial Char"/>
    <w:rsid w:val="00685688"/>
    <w:rPr>
      <w:rFonts w:ascii="Arial" w:hAnsi="Arial" w:cs="Arial"/>
      <w:sz w:val="22"/>
      <w:szCs w:val="22"/>
      <w:lang w:val="en-US" w:eastAsia="en-US" w:bidi="ar-SA"/>
    </w:rPr>
  </w:style>
  <w:style w:type="table" w:styleId="TableGrid">
    <w:name w:val="Table Grid"/>
    <w:basedOn w:val="TableNormal"/>
    <w:uiPriority w:val="99"/>
    <w:rsid w:val="005B6733"/>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2041BA"/>
    <w:pPr>
      <w:snapToGrid w:val="0"/>
      <w:spacing w:line="480" w:lineRule="auto"/>
      <w:ind w:firstLine="720"/>
    </w:pPr>
    <w:rPr>
      <w:rFonts w:eastAsia="Calibri"/>
      <w:szCs w:val="24"/>
    </w:rPr>
  </w:style>
  <w:style w:type="character" w:customStyle="1" w:styleId="BodyTextIndentChar">
    <w:name w:val="Body Text Indent Char"/>
    <w:link w:val="BodyTextIndent"/>
    <w:rsid w:val="002041BA"/>
    <w:rPr>
      <w:sz w:val="24"/>
      <w:szCs w:val="24"/>
    </w:rPr>
  </w:style>
  <w:style w:type="paragraph" w:customStyle="1" w:styleId="bullets-blank">
    <w:name w:val="bullets-blank"/>
    <w:basedOn w:val="Bullet-numbered"/>
    <w:rsid w:val="00A97CC3"/>
    <w:pPr>
      <w:keepLines/>
      <w:numPr>
        <w:numId w:val="0"/>
      </w:numPr>
      <w:tabs>
        <w:tab w:val="clear" w:pos="1440"/>
      </w:tabs>
      <w:spacing w:after="120" w:line="360" w:lineRule="auto"/>
      <w:ind w:left="1080" w:hanging="360"/>
    </w:pPr>
  </w:style>
  <w:style w:type="character" w:customStyle="1" w:styleId="bulletsChar">
    <w:name w:val="bullets Char"/>
    <w:aliases w:val="bu Char"/>
    <w:link w:val="bullets"/>
    <w:locked/>
    <w:rsid w:val="0027499D"/>
    <w:rPr>
      <w:rFonts w:eastAsia="Times New Roman"/>
      <w:color w:val="000000"/>
      <w:sz w:val="24"/>
      <w:szCs w:val="24"/>
    </w:rPr>
  </w:style>
  <w:style w:type="paragraph" w:customStyle="1" w:styleId="ExhibitTitle">
    <w:name w:val="Exhibit Title"/>
    <w:basedOn w:val="Normal"/>
    <w:link w:val="ExhibitTitleChar"/>
    <w:qFormat/>
    <w:rsid w:val="00A97CC3"/>
    <w:pPr>
      <w:keepNext/>
      <w:ind w:left="1620" w:hanging="1620"/>
    </w:pPr>
    <w:rPr>
      <w:b/>
      <w:iCs/>
      <w:szCs w:val="24"/>
    </w:rPr>
  </w:style>
  <w:style w:type="character" w:customStyle="1" w:styleId="ExhibitTitleChar">
    <w:name w:val="Exhibit Title Char"/>
    <w:link w:val="ExhibitTitle"/>
    <w:locked/>
    <w:rsid w:val="00A97CC3"/>
    <w:rPr>
      <w:rFonts w:eastAsia="Times New Roman"/>
      <w:b/>
      <w:iCs/>
      <w:sz w:val="24"/>
      <w:szCs w:val="24"/>
    </w:rPr>
  </w:style>
  <w:style w:type="paragraph" w:customStyle="1" w:styleId="bulletslast">
    <w:name w:val="bullets_last"/>
    <w:basedOn w:val="bullets"/>
    <w:qFormat/>
    <w:rsid w:val="0027499D"/>
    <w:pPr>
      <w:spacing w:after="80" w:line="240" w:lineRule="auto"/>
      <w:ind w:left="720"/>
    </w:pPr>
    <w:rPr>
      <w:color w:val="auto"/>
      <w:szCs w:val="22"/>
      <w:lang w:val="en-CA"/>
    </w:rPr>
  </w:style>
  <w:style w:type="paragraph" w:customStyle="1" w:styleId="exhibitsource2">
    <w:name w:val="exhibit source2"/>
    <w:basedOn w:val="Normal"/>
    <w:rsid w:val="0027499D"/>
    <w:pPr>
      <w:keepLines/>
      <w:spacing w:before="60" w:after="120"/>
      <w:ind w:left="187" w:hanging="187"/>
    </w:pPr>
    <w:rPr>
      <w:rFonts w:ascii="Arial" w:hAnsi="Arial"/>
      <w:sz w:val="18"/>
      <w:szCs w:val="18"/>
    </w:rPr>
  </w:style>
  <w:style w:type="paragraph" w:customStyle="1" w:styleId="figurewobox">
    <w:name w:val="figure w/o box"/>
    <w:basedOn w:val="Normal"/>
    <w:rsid w:val="0027499D"/>
    <w:pPr>
      <w:jc w:val="center"/>
    </w:pPr>
  </w:style>
  <w:style w:type="character" w:customStyle="1" w:styleId="Heading1Char">
    <w:name w:val="Heading 1 Char"/>
    <w:link w:val="Heading1"/>
    <w:rsid w:val="005B6733"/>
    <w:rPr>
      <w:rFonts w:eastAsia="Times New Roman"/>
      <w:b/>
      <w:caps/>
      <w:sz w:val="32"/>
      <w:szCs w:val="32"/>
    </w:rPr>
  </w:style>
  <w:style w:type="paragraph" w:styleId="FootnoteText">
    <w:name w:val="footnote text"/>
    <w:basedOn w:val="Normal"/>
    <w:link w:val="FootnoteTextChar"/>
    <w:rsid w:val="005B6733"/>
    <w:rPr>
      <w:sz w:val="20"/>
    </w:rPr>
  </w:style>
  <w:style w:type="character" w:customStyle="1" w:styleId="FootnoteTextChar">
    <w:name w:val="Footnote Text Char"/>
    <w:link w:val="FootnoteText"/>
    <w:rsid w:val="003E23CD"/>
    <w:rPr>
      <w:rFonts w:eastAsia="Times New Roman"/>
    </w:rPr>
  </w:style>
  <w:style w:type="character" w:styleId="FootnoteReference">
    <w:name w:val="footnote reference"/>
    <w:rsid w:val="003E23CD"/>
    <w:rPr>
      <w:rFonts w:ascii="Times New Roman" w:hAnsi="Times New Roman" w:cs="Times New Roman"/>
      <w:b w:val="0"/>
      <w:i w:val="0"/>
      <w:sz w:val="24"/>
      <w:vertAlign w:val="superscript"/>
    </w:rPr>
  </w:style>
  <w:style w:type="paragraph" w:customStyle="1" w:styleId="bullets-blank2">
    <w:name w:val="bullets-blank2"/>
    <w:basedOn w:val="bullets-blank"/>
    <w:qFormat/>
    <w:rsid w:val="009561F9"/>
    <w:pPr>
      <w:tabs>
        <w:tab w:val="left" w:pos="1800"/>
      </w:tabs>
      <w:ind w:left="1440"/>
    </w:pPr>
  </w:style>
  <w:style w:type="paragraph" w:styleId="BodyText">
    <w:name w:val="Body Text"/>
    <w:basedOn w:val="Normal"/>
    <w:link w:val="BodyTextChar0"/>
    <w:uiPriority w:val="99"/>
    <w:rsid w:val="003E23CD"/>
    <w:pPr>
      <w:spacing w:after="240" w:line="360" w:lineRule="auto"/>
      <w:ind w:left="720"/>
    </w:pPr>
    <w:rPr>
      <w:szCs w:val="24"/>
    </w:rPr>
  </w:style>
  <w:style w:type="character" w:customStyle="1" w:styleId="BodyTextChar0">
    <w:name w:val="Body Text Char"/>
    <w:link w:val="BodyText"/>
    <w:uiPriority w:val="99"/>
    <w:rsid w:val="003E23CD"/>
    <w:rPr>
      <w:rFonts w:eastAsia="Times New Roman"/>
      <w:sz w:val="24"/>
      <w:szCs w:val="24"/>
    </w:rPr>
  </w:style>
  <w:style w:type="paragraph" w:styleId="List">
    <w:name w:val="List"/>
    <w:basedOn w:val="Normal"/>
    <w:uiPriority w:val="99"/>
    <w:semiHidden/>
    <w:unhideWhenUsed/>
    <w:rsid w:val="00C51675"/>
    <w:pPr>
      <w:ind w:left="360" w:hanging="360"/>
      <w:contextualSpacing/>
    </w:pPr>
  </w:style>
  <w:style w:type="paragraph" w:styleId="Footer">
    <w:name w:val="footer"/>
    <w:basedOn w:val="Normal"/>
    <w:link w:val="FooterChar"/>
    <w:uiPriority w:val="99"/>
    <w:rsid w:val="005B6733"/>
    <w:pPr>
      <w:tabs>
        <w:tab w:val="center" w:pos="4320"/>
        <w:tab w:val="right" w:pos="8640"/>
      </w:tabs>
    </w:pPr>
  </w:style>
  <w:style w:type="character" w:customStyle="1" w:styleId="FooterChar">
    <w:name w:val="Footer Char"/>
    <w:link w:val="Footer"/>
    <w:uiPriority w:val="99"/>
    <w:rsid w:val="005B6733"/>
    <w:rPr>
      <w:rFonts w:eastAsia="Times New Roman"/>
      <w:sz w:val="24"/>
    </w:rPr>
  </w:style>
  <w:style w:type="character" w:customStyle="1" w:styleId="verityhit">
    <w:name w:val="verityhit"/>
    <w:basedOn w:val="DefaultParagraphFont"/>
    <w:rsid w:val="00A82104"/>
  </w:style>
  <w:style w:type="character" w:customStyle="1" w:styleId="Heading7Char">
    <w:name w:val="Heading 7 Char"/>
    <w:link w:val="Heading7"/>
    <w:rsid w:val="005B6733"/>
    <w:rPr>
      <w:rFonts w:eastAsia="Times New Roman"/>
      <w:b/>
      <w:sz w:val="24"/>
      <w:u w:val="single"/>
    </w:rPr>
  </w:style>
  <w:style w:type="character" w:customStyle="1" w:styleId="bodytextpsgChar">
    <w:name w:val="body text_psg Char"/>
    <w:link w:val="bodytextpsg"/>
    <w:locked/>
    <w:rsid w:val="00DB5B48"/>
    <w:rPr>
      <w:rFonts w:eastAsia="Times New Roman"/>
      <w:sz w:val="22"/>
      <w:szCs w:val="22"/>
      <w:lang w:val="es-DO"/>
    </w:rPr>
  </w:style>
  <w:style w:type="paragraph" w:customStyle="1" w:styleId="bodytextpsg">
    <w:name w:val="body text_psg"/>
    <w:basedOn w:val="Normal"/>
    <w:link w:val="bodytextpsgChar"/>
    <w:rsid w:val="00DB5B48"/>
    <w:pPr>
      <w:spacing w:after="240" w:line="320" w:lineRule="exact"/>
      <w:ind w:firstLine="720"/>
    </w:pPr>
    <w:rPr>
      <w:sz w:val="22"/>
      <w:szCs w:val="22"/>
      <w:lang w:val="es-DO"/>
    </w:rPr>
  </w:style>
  <w:style w:type="paragraph" w:styleId="PlainText">
    <w:name w:val="Plain Text"/>
    <w:basedOn w:val="Normal"/>
    <w:link w:val="PlainTextChar"/>
    <w:uiPriority w:val="99"/>
    <w:rsid w:val="005B6733"/>
    <w:rPr>
      <w:rFonts w:ascii="Courier New" w:hAnsi="Courier New"/>
      <w:sz w:val="20"/>
    </w:rPr>
  </w:style>
  <w:style w:type="character" w:customStyle="1" w:styleId="PlainTextChar">
    <w:name w:val="Plain Text Char"/>
    <w:link w:val="PlainText"/>
    <w:uiPriority w:val="99"/>
    <w:rsid w:val="005B6733"/>
    <w:rPr>
      <w:rFonts w:ascii="Courier New" w:eastAsia="Times New Roman" w:hAnsi="Courier New"/>
    </w:rPr>
  </w:style>
  <w:style w:type="paragraph" w:customStyle="1" w:styleId="biblio">
    <w:name w:val="biblio"/>
    <w:basedOn w:val="Normal"/>
    <w:link w:val="biblioChar"/>
    <w:rsid w:val="00DC19C5"/>
    <w:pPr>
      <w:numPr>
        <w:numId w:val="6"/>
      </w:numPr>
      <w:spacing w:after="240"/>
    </w:pPr>
    <w:rPr>
      <w:szCs w:val="24"/>
    </w:rPr>
  </w:style>
  <w:style w:type="character" w:customStyle="1" w:styleId="biblioChar">
    <w:name w:val="biblio Char"/>
    <w:link w:val="biblio"/>
    <w:locked/>
    <w:rsid w:val="00DC19C5"/>
    <w:rPr>
      <w:rFonts w:eastAsia="Times New Roman"/>
      <w:sz w:val="24"/>
      <w:szCs w:val="24"/>
    </w:rPr>
  </w:style>
  <w:style w:type="paragraph" w:customStyle="1" w:styleId="Bullet">
    <w:name w:val="Bullet"/>
    <w:basedOn w:val="Normal"/>
    <w:qFormat/>
    <w:rsid w:val="003E23CD"/>
    <w:pPr>
      <w:numPr>
        <w:numId w:val="3"/>
      </w:numPr>
      <w:spacing w:after="240" w:line="360" w:lineRule="auto"/>
    </w:pPr>
    <w:rPr>
      <w:szCs w:val="24"/>
    </w:rPr>
  </w:style>
  <w:style w:type="paragraph" w:customStyle="1" w:styleId="Bullet-numbered">
    <w:name w:val="Bullet-numbered"/>
    <w:basedOn w:val="Normal"/>
    <w:qFormat/>
    <w:rsid w:val="00655767"/>
    <w:pPr>
      <w:numPr>
        <w:numId w:val="5"/>
      </w:numPr>
      <w:tabs>
        <w:tab w:val="left" w:pos="1440"/>
      </w:tabs>
      <w:ind w:left="1440"/>
    </w:pPr>
    <w:rPr>
      <w:szCs w:val="24"/>
    </w:rPr>
  </w:style>
  <w:style w:type="paragraph" w:customStyle="1" w:styleId="CharCharChar1CharCharCharCharCharCharCharCharCharCharCharCharChar">
    <w:name w:val="Char Char Char1 Char Char Char Char Char Char Char Char Char Char Char Char Char"/>
    <w:basedOn w:val="Normal"/>
    <w:uiPriority w:val="99"/>
    <w:semiHidden/>
    <w:rsid w:val="005B6733"/>
    <w:pPr>
      <w:spacing w:before="80" w:after="80"/>
      <w:ind w:left="4320"/>
      <w:jc w:val="both"/>
    </w:pPr>
    <w:rPr>
      <w:rFonts w:ascii="Arial" w:hAnsi="Arial"/>
      <w:sz w:val="20"/>
      <w:szCs w:val="24"/>
    </w:rPr>
  </w:style>
  <w:style w:type="paragraph" w:customStyle="1" w:styleId="CoverText">
    <w:name w:val="Cover Text"/>
    <w:basedOn w:val="Normal"/>
    <w:qFormat/>
    <w:rsid w:val="005B6733"/>
  </w:style>
  <w:style w:type="paragraph" w:customStyle="1" w:styleId="CoverTitle">
    <w:name w:val="Cover Title"/>
    <w:basedOn w:val="Normal"/>
    <w:qFormat/>
    <w:rsid w:val="005B6733"/>
    <w:pPr>
      <w:tabs>
        <w:tab w:val="center" w:pos="4680"/>
      </w:tabs>
      <w:spacing w:line="276" w:lineRule="auto"/>
    </w:pPr>
    <w:rPr>
      <w:b/>
      <w:bCs/>
      <w:szCs w:val="24"/>
    </w:rPr>
  </w:style>
  <w:style w:type="paragraph" w:customStyle="1" w:styleId="Default">
    <w:name w:val="Default"/>
    <w:rsid w:val="005B6733"/>
    <w:pPr>
      <w:autoSpaceDE w:val="0"/>
      <w:autoSpaceDN w:val="0"/>
      <w:adjustRightInd w:val="0"/>
    </w:pPr>
    <w:rPr>
      <w:rFonts w:ascii="Arial" w:eastAsia="Times New Roman" w:hAnsi="Arial" w:cs="Arial"/>
      <w:color w:val="000000"/>
      <w:sz w:val="24"/>
      <w:szCs w:val="24"/>
    </w:rPr>
  </w:style>
  <w:style w:type="character" w:styleId="EndnoteReference">
    <w:name w:val="endnote reference"/>
    <w:rsid w:val="005B6733"/>
    <w:rPr>
      <w:rFonts w:cs="Times New Roman"/>
      <w:vertAlign w:val="superscript"/>
    </w:rPr>
  </w:style>
  <w:style w:type="paragraph" w:styleId="EndnoteText">
    <w:name w:val="endnote text"/>
    <w:basedOn w:val="Normal"/>
    <w:link w:val="EndnoteTextChar"/>
    <w:rsid w:val="005B6733"/>
    <w:rPr>
      <w:sz w:val="20"/>
    </w:rPr>
  </w:style>
  <w:style w:type="character" w:customStyle="1" w:styleId="EndnoteTextChar">
    <w:name w:val="Endnote Text Char"/>
    <w:link w:val="EndnoteText"/>
    <w:rsid w:val="005B6733"/>
    <w:rPr>
      <w:rFonts w:eastAsia="Times New Roman"/>
    </w:rPr>
  </w:style>
  <w:style w:type="character" w:customStyle="1" w:styleId="exhibitsourceChar">
    <w:name w:val="exhibit source Char"/>
    <w:link w:val="exhibitsource"/>
    <w:locked/>
    <w:rsid w:val="005B6733"/>
    <w:rPr>
      <w:rFonts w:eastAsia="Times New Roman"/>
      <w:szCs w:val="22"/>
    </w:rPr>
  </w:style>
  <w:style w:type="paragraph" w:customStyle="1" w:styleId="ExhibitTitleContinued">
    <w:name w:val="Exhibit Title Continued"/>
    <w:basedOn w:val="ExhibitTitle"/>
    <w:rsid w:val="006A5713"/>
  </w:style>
  <w:style w:type="paragraph" w:customStyle="1" w:styleId="FigureTitleContinued">
    <w:name w:val="Figure Title_Continued"/>
    <w:basedOn w:val="Normal"/>
    <w:rsid w:val="005B6733"/>
    <w:pPr>
      <w:pageBreakBefore/>
      <w:ind w:left="1166" w:hanging="1166"/>
    </w:pPr>
    <w:rPr>
      <w:b/>
      <w:szCs w:val="24"/>
    </w:rPr>
  </w:style>
  <w:style w:type="character" w:styleId="FollowedHyperlink">
    <w:name w:val="FollowedHyperlink"/>
    <w:rsid w:val="005B6733"/>
    <w:rPr>
      <w:rFonts w:cs="Times New Roman"/>
      <w:color w:val="800080"/>
      <w:u w:val="single"/>
    </w:rPr>
  </w:style>
  <w:style w:type="character" w:customStyle="1" w:styleId="footnotetex">
    <w:name w:val="footnote tex"/>
    <w:rsid w:val="005B6733"/>
  </w:style>
  <w:style w:type="character" w:customStyle="1" w:styleId="Heading5Char">
    <w:name w:val="Heading 5 Char"/>
    <w:link w:val="Heading5"/>
    <w:rsid w:val="00A97CC3"/>
    <w:rPr>
      <w:rFonts w:eastAsia="Times New Roman"/>
      <w:sz w:val="24"/>
      <w:szCs w:val="24"/>
      <w:u w:val="single"/>
    </w:rPr>
  </w:style>
  <w:style w:type="character" w:customStyle="1" w:styleId="Heading6Char">
    <w:name w:val="Heading 6 Char"/>
    <w:link w:val="Heading6"/>
    <w:rsid w:val="005B6733"/>
    <w:rPr>
      <w:rFonts w:eastAsia="Times New Roman"/>
      <w:b/>
      <w:i/>
      <w:sz w:val="24"/>
    </w:rPr>
  </w:style>
  <w:style w:type="character" w:customStyle="1" w:styleId="Heading8Char">
    <w:name w:val="Heading 8 Char"/>
    <w:link w:val="Heading8"/>
    <w:rsid w:val="005B6733"/>
    <w:rPr>
      <w:rFonts w:ascii="Arial" w:eastAsia="Times New Roman" w:hAnsi="Arial"/>
      <w:b/>
      <w:i/>
      <w:iCs/>
      <w:sz w:val="24"/>
    </w:rPr>
  </w:style>
  <w:style w:type="character" w:customStyle="1" w:styleId="Heading9Char">
    <w:name w:val="Heading 9 Char"/>
    <w:link w:val="Heading9"/>
    <w:rsid w:val="005B6733"/>
    <w:rPr>
      <w:rFonts w:ascii="Arial" w:eastAsia="Times New Roman" w:hAnsi="Arial"/>
      <w:b/>
    </w:rPr>
  </w:style>
  <w:style w:type="paragraph" w:styleId="Index1">
    <w:name w:val="index 1"/>
    <w:basedOn w:val="Normal"/>
    <w:next w:val="Normal"/>
    <w:autoRedefine/>
    <w:uiPriority w:val="99"/>
    <w:unhideWhenUsed/>
    <w:rsid w:val="005B6733"/>
    <w:pPr>
      <w:ind w:left="240" w:hanging="240"/>
    </w:pPr>
  </w:style>
  <w:style w:type="paragraph" w:customStyle="1" w:styleId="Level1">
    <w:name w:val="Level 1"/>
    <w:basedOn w:val="Normal"/>
    <w:rsid w:val="005B6733"/>
    <w:pPr>
      <w:ind w:left="1440" w:hanging="270"/>
    </w:pPr>
  </w:style>
  <w:style w:type="paragraph" w:customStyle="1" w:styleId="Level2">
    <w:name w:val="Level 2"/>
    <w:basedOn w:val="Normal"/>
    <w:rsid w:val="005B6733"/>
    <w:pPr>
      <w:numPr>
        <w:ilvl w:val="1"/>
        <w:numId w:val="4"/>
      </w:numPr>
      <w:outlineLvl w:val="1"/>
    </w:pPr>
  </w:style>
  <w:style w:type="paragraph" w:styleId="NoSpacing">
    <w:name w:val="No Spacing"/>
    <w:uiPriority w:val="99"/>
    <w:qFormat/>
    <w:rsid w:val="005B6733"/>
    <w:pPr>
      <w:jc w:val="center"/>
    </w:pPr>
    <w:rPr>
      <w:rFonts w:ascii="Calibri" w:eastAsia="Times New Roman" w:hAnsi="Calibri"/>
      <w:sz w:val="22"/>
      <w:szCs w:val="22"/>
    </w:rPr>
  </w:style>
  <w:style w:type="character" w:styleId="PageNumber">
    <w:name w:val="page number"/>
    <w:rsid w:val="005B6733"/>
    <w:rPr>
      <w:rFonts w:ascii="NewBskvll BT" w:hAnsi="NewBskvll BT" w:cs="Times New Roman"/>
      <w:sz w:val="24"/>
    </w:rPr>
  </w:style>
  <w:style w:type="character" w:styleId="Strong">
    <w:name w:val="Strong"/>
    <w:qFormat/>
    <w:rsid w:val="005B6733"/>
    <w:rPr>
      <w:rFonts w:cs="Times New Roman"/>
      <w:b/>
      <w:bCs/>
    </w:rPr>
  </w:style>
  <w:style w:type="paragraph" w:customStyle="1" w:styleId="TableHeaders">
    <w:name w:val="Table Headers"/>
    <w:basedOn w:val="Normal"/>
    <w:qFormat/>
    <w:rsid w:val="005B6733"/>
    <w:pPr>
      <w:spacing w:before="40" w:after="40"/>
      <w:jc w:val="center"/>
    </w:pPr>
    <w:rPr>
      <w:b/>
      <w:bCs/>
      <w:sz w:val="22"/>
      <w:szCs w:val="22"/>
    </w:rPr>
  </w:style>
  <w:style w:type="paragraph" w:styleId="TableofFigures">
    <w:name w:val="table of figures"/>
    <w:basedOn w:val="Normal"/>
    <w:next w:val="Normal"/>
    <w:uiPriority w:val="99"/>
    <w:unhideWhenUsed/>
    <w:rsid w:val="005B6733"/>
    <w:pPr>
      <w:tabs>
        <w:tab w:val="left" w:pos="720"/>
        <w:tab w:val="right" w:leader="dot" w:pos="9360"/>
      </w:tabs>
      <w:ind w:left="720" w:right="720" w:hanging="720"/>
    </w:pPr>
    <w:rPr>
      <w:noProof/>
    </w:rPr>
  </w:style>
  <w:style w:type="paragraph" w:customStyle="1" w:styleId="TableText">
    <w:name w:val="Table Text"/>
    <w:basedOn w:val="Normal"/>
    <w:qFormat/>
    <w:rsid w:val="005B6733"/>
    <w:pPr>
      <w:spacing w:before="40" w:after="40"/>
    </w:pPr>
    <w:rPr>
      <w:rFonts w:ascii="Arial" w:hAnsi="Arial"/>
      <w:sz w:val="18"/>
    </w:rPr>
  </w:style>
  <w:style w:type="paragraph" w:customStyle="1" w:styleId="TOC0">
    <w:name w:val="TOC 0"/>
    <w:basedOn w:val="Normal"/>
    <w:qFormat/>
    <w:rsid w:val="00C151A9"/>
    <w:pPr>
      <w:spacing w:after="240"/>
      <w:jc w:val="center"/>
    </w:pPr>
    <w:rPr>
      <w:b/>
      <w:bCs/>
      <w:caps/>
      <w:sz w:val="28"/>
    </w:rPr>
  </w:style>
  <w:style w:type="paragraph" w:styleId="TOC1">
    <w:name w:val="toc 1"/>
    <w:basedOn w:val="Normal"/>
    <w:next w:val="Normal"/>
    <w:autoRedefine/>
    <w:uiPriority w:val="39"/>
    <w:unhideWhenUsed/>
    <w:rsid w:val="005B6733"/>
    <w:pPr>
      <w:tabs>
        <w:tab w:val="left" w:pos="540"/>
        <w:tab w:val="right" w:leader="dot" w:pos="9360"/>
      </w:tabs>
      <w:ind w:left="540" w:right="720" w:hanging="540"/>
    </w:pPr>
    <w:rPr>
      <w:noProof/>
    </w:rPr>
  </w:style>
  <w:style w:type="paragraph" w:styleId="TOC2">
    <w:name w:val="toc 2"/>
    <w:basedOn w:val="Normal"/>
    <w:next w:val="Normal"/>
    <w:autoRedefine/>
    <w:uiPriority w:val="39"/>
    <w:rsid w:val="005B6733"/>
    <w:pPr>
      <w:tabs>
        <w:tab w:val="left" w:pos="1080"/>
        <w:tab w:val="right" w:leader="dot" w:pos="9360"/>
      </w:tabs>
      <w:autoSpaceDE w:val="0"/>
      <w:autoSpaceDN w:val="0"/>
      <w:adjustRightInd w:val="0"/>
      <w:ind w:left="1080" w:right="720" w:hanging="540"/>
    </w:pPr>
    <w:rPr>
      <w:rFonts w:eastAsia="MS Mincho" w:cs="Arial"/>
      <w:noProof/>
      <w:szCs w:val="22"/>
    </w:rPr>
  </w:style>
  <w:style w:type="paragraph" w:styleId="TOC3">
    <w:name w:val="toc 3"/>
    <w:basedOn w:val="Normal"/>
    <w:next w:val="Normal"/>
    <w:autoRedefine/>
    <w:uiPriority w:val="39"/>
    <w:rsid w:val="005B6733"/>
    <w:pPr>
      <w:tabs>
        <w:tab w:val="left" w:pos="1800"/>
        <w:tab w:val="right" w:leader="dot" w:pos="9360"/>
      </w:tabs>
      <w:autoSpaceDE w:val="0"/>
      <w:autoSpaceDN w:val="0"/>
      <w:adjustRightInd w:val="0"/>
      <w:ind w:left="1800" w:right="720" w:hanging="720"/>
    </w:pPr>
    <w:rPr>
      <w:noProof/>
      <w:szCs w:val="24"/>
    </w:rPr>
  </w:style>
  <w:style w:type="paragraph" w:customStyle="1" w:styleId="bullet-abc">
    <w:name w:val="bullet-abc"/>
    <w:basedOn w:val="Bullet-numbered"/>
    <w:qFormat/>
    <w:rsid w:val="00655767"/>
  </w:style>
  <w:style w:type="paragraph" w:styleId="Revision">
    <w:name w:val="Revision"/>
    <w:hidden/>
    <w:uiPriority w:val="99"/>
    <w:semiHidden/>
    <w:rsid w:val="00C52F1D"/>
    <w:rPr>
      <w:rFonts w:eastAsia="Times New Roman"/>
      <w:sz w:val="24"/>
    </w:rPr>
  </w:style>
  <w:style w:type="paragraph" w:customStyle="1" w:styleId="Tablebullet">
    <w:name w:val="Table bullet"/>
    <w:qFormat/>
    <w:rsid w:val="00425EA3"/>
    <w:pPr>
      <w:numPr>
        <w:numId w:val="2"/>
      </w:numPr>
    </w:pPr>
    <w:rPr>
      <w:rFonts w:eastAsia="Times New Roman"/>
      <w:sz w:val="24"/>
    </w:rPr>
  </w:style>
  <w:style w:type="paragraph" w:customStyle="1" w:styleId="Tablebullet2">
    <w:name w:val="Table bullet2"/>
    <w:basedOn w:val="Tablebullet"/>
    <w:qFormat/>
    <w:rsid w:val="002D52A1"/>
    <w:pPr>
      <w:numPr>
        <w:numId w:val="7"/>
      </w:numPr>
      <w:ind w:left="576" w:hanging="288"/>
    </w:pPr>
  </w:style>
  <w:style w:type="paragraph" w:styleId="NormalWeb">
    <w:name w:val="Normal (Web)"/>
    <w:basedOn w:val="Normal"/>
    <w:uiPriority w:val="99"/>
    <w:semiHidden/>
    <w:unhideWhenUsed/>
    <w:rsid w:val="009D5004"/>
    <w:pPr>
      <w:spacing w:before="100" w:beforeAutospacing="1" w:after="100" w:afterAutospacing="1"/>
    </w:pPr>
    <w:rPr>
      <w:szCs w:val="24"/>
    </w:rPr>
  </w:style>
  <w:style w:type="character" w:customStyle="1" w:styleId="Footer1">
    <w:name w:val="Footer1"/>
    <w:basedOn w:val="DefaultParagraphFont"/>
    <w:rsid w:val="00995BDE"/>
  </w:style>
  <w:style w:type="character" w:customStyle="1" w:styleId="skypepnhtextspan">
    <w:name w:val="skype_pnh_text_span"/>
    <w:rsid w:val="007F1708"/>
  </w:style>
  <w:style w:type="paragraph" w:styleId="TOC5">
    <w:name w:val="toc 5"/>
    <w:basedOn w:val="Normal"/>
    <w:next w:val="Normal"/>
    <w:autoRedefine/>
    <w:uiPriority w:val="39"/>
    <w:unhideWhenUsed/>
    <w:rsid w:val="00C151A9"/>
    <w:pPr>
      <w:tabs>
        <w:tab w:val="right" w:leader="dot" w:pos="9360"/>
      </w:tabs>
      <w:spacing w:after="100"/>
      <w:ind w:left="1267" w:right="720" w:hanging="1080"/>
    </w:pPr>
    <w:rPr>
      <w:noProof/>
    </w:rPr>
  </w:style>
  <w:style w:type="paragraph" w:customStyle="1" w:styleId="ColorfulList-Accent11">
    <w:name w:val="Colorful List - Accent 11"/>
    <w:basedOn w:val="Normal"/>
    <w:uiPriority w:val="34"/>
    <w:qFormat/>
    <w:rsid w:val="007C29B5"/>
    <w:pPr>
      <w:ind w:left="720"/>
      <w:contextualSpacing/>
    </w:pPr>
  </w:style>
  <w:style w:type="numbering" w:customStyle="1" w:styleId="WWOutlineListStyle11">
    <w:name w:val="WW_OutlineListStyle_11"/>
    <w:basedOn w:val="NoList"/>
    <w:rsid w:val="007C29B5"/>
    <w:pPr>
      <w:numPr>
        <w:numId w:val="8"/>
      </w:numPr>
    </w:pPr>
  </w:style>
  <w:style w:type="paragraph" w:customStyle="1" w:styleId="p3">
    <w:name w:val="p3"/>
    <w:basedOn w:val="Normal"/>
    <w:rsid w:val="007C29B5"/>
    <w:pPr>
      <w:widowControl w:val="0"/>
      <w:tabs>
        <w:tab w:val="left" w:pos="204"/>
      </w:tabs>
      <w:autoSpaceDE w:val="0"/>
      <w:autoSpaceDN w:val="0"/>
      <w:adjustRightInd w:val="0"/>
      <w:jc w:val="both"/>
    </w:pPr>
    <w:rPr>
      <w:szCs w:val="24"/>
    </w:rPr>
  </w:style>
  <w:style w:type="paragraph" w:customStyle="1" w:styleId="bullets-blank3">
    <w:name w:val="bullets-blank3"/>
    <w:basedOn w:val="bullets-blank"/>
    <w:qFormat/>
    <w:rsid w:val="007C29B5"/>
    <w:pPr>
      <w:tabs>
        <w:tab w:val="left" w:pos="1620"/>
        <w:tab w:val="left" w:pos="1980"/>
      </w:tabs>
      <w:spacing w:after="240"/>
      <w:ind w:left="1987" w:hanging="907"/>
      <w:contextualSpacing/>
    </w:pPr>
  </w:style>
  <w:style w:type="character" w:customStyle="1" w:styleId="footnoteref">
    <w:name w:val="footnote ref"/>
    <w:rsid w:val="007C29B5"/>
    <w:rPr>
      <w:rFonts w:ascii="NewBskvll BT" w:hAnsi="NewBskvll BT"/>
      <w:sz w:val="30"/>
      <w:vertAlign w:val="superscript"/>
    </w:rPr>
  </w:style>
  <w:style w:type="paragraph" w:customStyle="1" w:styleId="MediumGrid21">
    <w:name w:val="Medium Grid 21"/>
    <w:qFormat/>
    <w:rsid w:val="007C29B5"/>
    <w:pPr>
      <w:jc w:val="center"/>
    </w:pPr>
    <w:rPr>
      <w:rFonts w:ascii="Calibri" w:eastAsia="Times New Roman" w:hAnsi="Calibri"/>
      <w:sz w:val="22"/>
      <w:szCs w:val="22"/>
    </w:rPr>
  </w:style>
  <w:style w:type="paragraph" w:customStyle="1" w:styleId="BodyText2">
    <w:name w:val="Body Text2"/>
    <w:basedOn w:val="Normal"/>
    <w:rsid w:val="007C29B5"/>
    <w:pPr>
      <w:suppressAutoHyphens/>
      <w:autoSpaceDN w:val="0"/>
      <w:spacing w:after="160"/>
      <w:ind w:firstLine="720"/>
      <w:textAlignment w:val="baseline"/>
    </w:pPr>
  </w:style>
  <w:style w:type="paragraph" w:customStyle="1" w:styleId="bullets-2ndlevel">
    <w:name w:val="bullets-2nd level"/>
    <w:basedOn w:val="Normal"/>
    <w:rsid w:val="00A97CC3"/>
    <w:pPr>
      <w:numPr>
        <w:numId w:val="30"/>
      </w:numPr>
      <w:suppressAutoHyphens/>
      <w:autoSpaceDN w:val="0"/>
      <w:spacing w:after="240" w:line="360" w:lineRule="auto"/>
      <w:textAlignment w:val="baseline"/>
    </w:pPr>
    <w:rPr>
      <w:rFonts w:eastAsia="MS Mincho"/>
      <w:szCs w:val="24"/>
    </w:rPr>
  </w:style>
  <w:style w:type="paragraph" w:customStyle="1" w:styleId="bullets-3rdlevel">
    <w:name w:val="bullets-3rd level"/>
    <w:basedOn w:val="Normal"/>
    <w:rsid w:val="00A97CC3"/>
    <w:pPr>
      <w:numPr>
        <w:ilvl w:val="3"/>
        <w:numId w:val="28"/>
      </w:numPr>
      <w:spacing w:after="240" w:line="360" w:lineRule="auto"/>
    </w:pPr>
    <w:rPr>
      <w:szCs w:val="24"/>
    </w:rPr>
  </w:style>
  <w:style w:type="paragraph" w:customStyle="1" w:styleId="TableTextIndent1">
    <w:name w:val="Table Text Indent1"/>
    <w:basedOn w:val="Normal"/>
    <w:rsid w:val="007C29B5"/>
    <w:pPr>
      <w:suppressAutoHyphens/>
      <w:autoSpaceDN w:val="0"/>
      <w:spacing w:before="60" w:after="60"/>
      <w:ind w:left="245"/>
      <w:textAlignment w:val="baseline"/>
    </w:pPr>
    <w:rPr>
      <w:rFonts w:ascii="Verdana" w:eastAsia="MS Mincho" w:hAnsi="Verdana"/>
      <w:sz w:val="18"/>
    </w:rPr>
  </w:style>
  <w:style w:type="paragraph" w:customStyle="1" w:styleId="Source1">
    <w:name w:val="Source1"/>
    <w:basedOn w:val="Normal"/>
    <w:rsid w:val="007C29B5"/>
    <w:pPr>
      <w:keepLines/>
      <w:suppressAutoHyphens/>
      <w:autoSpaceDN w:val="0"/>
      <w:spacing w:before="120" w:after="400"/>
      <w:ind w:left="187" w:hanging="187"/>
      <w:textAlignment w:val="baseline"/>
    </w:pPr>
    <w:rPr>
      <w:rFonts w:eastAsia="MS Mincho"/>
      <w:sz w:val="20"/>
    </w:rPr>
  </w:style>
  <w:style w:type="paragraph" w:customStyle="1" w:styleId="BHNormal">
    <w:name w:val="BHNormal"/>
    <w:rsid w:val="007C29B5"/>
    <w:pPr>
      <w:suppressAutoHyphens/>
      <w:autoSpaceDN w:val="0"/>
      <w:textAlignment w:val="baseline"/>
    </w:pPr>
    <w:rPr>
      <w:sz w:val="24"/>
      <w:szCs w:val="22"/>
    </w:rPr>
  </w:style>
  <w:style w:type="paragraph" w:customStyle="1" w:styleId="figurewbox">
    <w:name w:val="figure w/box"/>
    <w:basedOn w:val="Normal"/>
    <w:rsid w:val="007C29B5"/>
    <w:pPr>
      <w:pBdr>
        <w:top w:val="single" w:sz="12" w:space="0" w:color="000000"/>
        <w:left w:val="single" w:sz="12" w:space="4" w:color="000000"/>
        <w:bottom w:val="single" w:sz="12" w:space="0" w:color="000000"/>
        <w:right w:val="single" w:sz="12" w:space="4" w:color="000000"/>
      </w:pBdr>
      <w:suppressAutoHyphens/>
      <w:autoSpaceDN w:val="0"/>
      <w:ind w:left="180" w:right="180"/>
      <w:jc w:val="center"/>
      <w:textAlignment w:val="baseline"/>
    </w:pPr>
    <w:rPr>
      <w:rFonts w:ascii="Verdana" w:eastAsia="MS Mincho" w:hAnsi="Verdana"/>
      <w:sz w:val="20"/>
    </w:rPr>
  </w:style>
  <w:style w:type="paragraph" w:customStyle="1" w:styleId="body">
    <w:name w:val="body"/>
    <w:basedOn w:val="Normal"/>
    <w:rsid w:val="00A97CC3"/>
    <w:pPr>
      <w:suppressAutoHyphens/>
      <w:autoSpaceDN w:val="0"/>
      <w:spacing w:line="276" w:lineRule="auto"/>
      <w:textAlignment w:val="baseline"/>
    </w:pPr>
    <w:rPr>
      <w:rFonts w:ascii="Verdana" w:eastAsia="MS Mincho" w:hAnsi="Verdana"/>
      <w:sz w:val="20"/>
    </w:rPr>
  </w:style>
  <w:style w:type="character" w:customStyle="1" w:styleId="bodyChar">
    <w:name w:val="body Char"/>
    <w:basedOn w:val="DefaultParagraphFont"/>
    <w:rsid w:val="00A97CC3"/>
    <w:rPr>
      <w:rFonts w:ascii="Verdana" w:eastAsia="MS Mincho" w:hAnsi="Verdana" w:cs="Times New Roman"/>
      <w:sz w:val="20"/>
      <w:szCs w:val="20"/>
    </w:rPr>
  </w:style>
  <w:style w:type="numbering" w:customStyle="1" w:styleId="WWOutlineListStyle10">
    <w:name w:val="WW_OutlineListStyle_10"/>
    <w:basedOn w:val="NoList"/>
    <w:rsid w:val="007C29B5"/>
    <w:pPr>
      <w:numPr>
        <w:numId w:val="9"/>
      </w:numPr>
    </w:pPr>
  </w:style>
  <w:style w:type="numbering" w:customStyle="1" w:styleId="WWOutlineListStyle9">
    <w:name w:val="WW_OutlineListStyle_9"/>
    <w:basedOn w:val="NoList"/>
    <w:rsid w:val="007C29B5"/>
    <w:pPr>
      <w:numPr>
        <w:numId w:val="10"/>
      </w:numPr>
    </w:pPr>
  </w:style>
  <w:style w:type="numbering" w:customStyle="1" w:styleId="WWOutlineListStyle8">
    <w:name w:val="WW_OutlineListStyle_8"/>
    <w:basedOn w:val="NoList"/>
    <w:rsid w:val="007C29B5"/>
    <w:pPr>
      <w:numPr>
        <w:numId w:val="11"/>
      </w:numPr>
    </w:pPr>
  </w:style>
  <w:style w:type="numbering" w:customStyle="1" w:styleId="WWOutlineListStyle7">
    <w:name w:val="WW_OutlineListStyle_7"/>
    <w:basedOn w:val="NoList"/>
    <w:rsid w:val="007C29B5"/>
    <w:pPr>
      <w:numPr>
        <w:numId w:val="12"/>
      </w:numPr>
    </w:pPr>
  </w:style>
  <w:style w:type="numbering" w:customStyle="1" w:styleId="WWOutlineListStyle6">
    <w:name w:val="WW_OutlineListStyle_6"/>
    <w:basedOn w:val="NoList"/>
    <w:rsid w:val="007C29B5"/>
    <w:pPr>
      <w:numPr>
        <w:numId w:val="13"/>
      </w:numPr>
    </w:pPr>
  </w:style>
  <w:style w:type="numbering" w:customStyle="1" w:styleId="WWOutlineListStyle5">
    <w:name w:val="WW_OutlineListStyle_5"/>
    <w:basedOn w:val="NoList"/>
    <w:rsid w:val="007C29B5"/>
    <w:pPr>
      <w:numPr>
        <w:numId w:val="14"/>
      </w:numPr>
    </w:pPr>
  </w:style>
  <w:style w:type="numbering" w:customStyle="1" w:styleId="WWOutlineListStyle4">
    <w:name w:val="WW_OutlineListStyle_4"/>
    <w:basedOn w:val="NoList"/>
    <w:rsid w:val="007C29B5"/>
    <w:pPr>
      <w:numPr>
        <w:numId w:val="15"/>
      </w:numPr>
    </w:pPr>
  </w:style>
  <w:style w:type="numbering" w:customStyle="1" w:styleId="WWOutlineListStyle3">
    <w:name w:val="WW_OutlineListStyle_3"/>
    <w:basedOn w:val="NoList"/>
    <w:rsid w:val="007C29B5"/>
    <w:pPr>
      <w:numPr>
        <w:numId w:val="16"/>
      </w:numPr>
    </w:pPr>
  </w:style>
  <w:style w:type="numbering" w:customStyle="1" w:styleId="WWOutlineListStyle2">
    <w:name w:val="WW_OutlineListStyle_2"/>
    <w:basedOn w:val="NoList"/>
    <w:rsid w:val="007C29B5"/>
    <w:pPr>
      <w:numPr>
        <w:numId w:val="17"/>
      </w:numPr>
    </w:pPr>
  </w:style>
  <w:style w:type="numbering" w:customStyle="1" w:styleId="WWOutlineListStyle1">
    <w:name w:val="WW_OutlineListStyle_1"/>
    <w:basedOn w:val="NoList"/>
    <w:rsid w:val="007C29B5"/>
    <w:pPr>
      <w:numPr>
        <w:numId w:val="18"/>
      </w:numPr>
    </w:pPr>
  </w:style>
  <w:style w:type="numbering" w:customStyle="1" w:styleId="WWOutlineListStyle">
    <w:name w:val="WW_OutlineListStyle"/>
    <w:basedOn w:val="NoList"/>
    <w:rsid w:val="007C29B5"/>
    <w:pPr>
      <w:numPr>
        <w:numId w:val="19"/>
      </w:numPr>
    </w:pPr>
  </w:style>
  <w:style w:type="numbering" w:customStyle="1" w:styleId="Format4">
    <w:name w:val="Format4"/>
    <w:basedOn w:val="NoList"/>
    <w:rsid w:val="007C29B5"/>
    <w:pPr>
      <w:numPr>
        <w:numId w:val="20"/>
      </w:numPr>
    </w:pPr>
  </w:style>
  <w:style w:type="numbering" w:customStyle="1" w:styleId="LFO6">
    <w:name w:val="LFO6"/>
    <w:basedOn w:val="NoList"/>
    <w:rsid w:val="007C29B5"/>
    <w:pPr>
      <w:numPr>
        <w:numId w:val="21"/>
      </w:numPr>
    </w:pPr>
  </w:style>
  <w:style w:type="numbering" w:customStyle="1" w:styleId="LFO27">
    <w:name w:val="LFO27"/>
    <w:basedOn w:val="NoList"/>
    <w:rsid w:val="007C29B5"/>
    <w:pPr>
      <w:numPr>
        <w:numId w:val="22"/>
      </w:numPr>
    </w:pPr>
  </w:style>
  <w:style w:type="numbering" w:customStyle="1" w:styleId="LFO32">
    <w:name w:val="LFO32"/>
    <w:basedOn w:val="NoList"/>
    <w:rsid w:val="007C29B5"/>
    <w:pPr>
      <w:numPr>
        <w:numId w:val="23"/>
      </w:numPr>
    </w:pPr>
  </w:style>
  <w:style w:type="paragraph" w:styleId="TOC4">
    <w:name w:val="toc 4"/>
    <w:basedOn w:val="Normal"/>
    <w:next w:val="Normal"/>
    <w:autoRedefine/>
    <w:uiPriority w:val="39"/>
    <w:unhideWhenUsed/>
    <w:rsid w:val="007C29B5"/>
    <w:pPr>
      <w:tabs>
        <w:tab w:val="right" w:leader="dot" w:pos="9350"/>
      </w:tabs>
      <w:ind w:left="1440"/>
    </w:pPr>
  </w:style>
  <w:style w:type="paragraph" w:customStyle="1" w:styleId="FN">
    <w:name w:val="FN"/>
    <w:basedOn w:val="Normal"/>
    <w:rsid w:val="007C29B5"/>
    <w:pPr>
      <w:spacing w:before="240" w:line="480" w:lineRule="auto"/>
    </w:pPr>
    <w:rPr>
      <w:sz w:val="20"/>
    </w:rPr>
  </w:style>
  <w:style w:type="paragraph" w:customStyle="1" w:styleId="bullets-blank1">
    <w:name w:val="bullets-blank1"/>
    <w:basedOn w:val="bullets-blank2"/>
    <w:qFormat/>
    <w:rsid w:val="007C29B5"/>
    <w:pPr>
      <w:tabs>
        <w:tab w:val="clear" w:pos="1800"/>
        <w:tab w:val="left" w:pos="1080"/>
      </w:tabs>
      <w:spacing w:after="240"/>
      <w:ind w:left="1080"/>
      <w:contextualSpacing/>
    </w:pPr>
  </w:style>
  <w:style w:type="paragraph" w:styleId="ListBullet">
    <w:name w:val="List Bullet"/>
    <w:basedOn w:val="Normal"/>
    <w:uiPriority w:val="99"/>
    <w:unhideWhenUsed/>
    <w:rsid w:val="007C29B5"/>
    <w:pPr>
      <w:numPr>
        <w:numId w:val="27"/>
      </w:numPr>
      <w:spacing w:after="120"/>
      <w:ind w:left="720"/>
    </w:pPr>
    <w:rPr>
      <w:rFonts w:ascii="Arial" w:eastAsia="Calibri" w:hAnsi="Arial"/>
      <w:sz w:val="22"/>
      <w:szCs w:val="22"/>
    </w:rPr>
  </w:style>
  <w:style w:type="paragraph" w:customStyle="1" w:styleId="TableHeader">
    <w:name w:val="Table Header"/>
    <w:basedOn w:val="Normal"/>
    <w:qFormat/>
    <w:rsid w:val="007C29B5"/>
    <w:pPr>
      <w:keepNext/>
      <w:spacing w:before="40" w:after="40"/>
      <w:jc w:val="center"/>
    </w:pPr>
    <w:rPr>
      <w:b/>
      <w:bCs/>
    </w:rPr>
  </w:style>
  <w:style w:type="paragraph" w:customStyle="1" w:styleId="Tabletext0">
    <w:name w:val="Table text"/>
    <w:basedOn w:val="Normal"/>
    <w:qFormat/>
    <w:rsid w:val="007C29B5"/>
    <w:pPr>
      <w:spacing w:before="40" w:after="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3CD"/>
    <w:rPr>
      <w:rFonts w:eastAsia="Times New Roman"/>
      <w:sz w:val="24"/>
    </w:rPr>
  </w:style>
  <w:style w:type="paragraph" w:styleId="Heading1">
    <w:name w:val="heading 1"/>
    <w:basedOn w:val="Normal"/>
    <w:next w:val="Normal"/>
    <w:link w:val="Heading1Char"/>
    <w:qFormat/>
    <w:rsid w:val="005B6733"/>
    <w:pPr>
      <w:tabs>
        <w:tab w:val="left" w:pos="0"/>
      </w:tabs>
      <w:spacing w:after="240"/>
      <w:ind w:left="720" w:hanging="720"/>
      <w:jc w:val="center"/>
      <w:outlineLvl w:val="0"/>
    </w:pPr>
    <w:rPr>
      <w:b/>
      <w:caps/>
      <w:sz w:val="32"/>
      <w:szCs w:val="32"/>
    </w:rPr>
  </w:style>
  <w:style w:type="paragraph" w:styleId="Heading2">
    <w:name w:val="heading 2"/>
    <w:basedOn w:val="Normal"/>
    <w:next w:val="Normal"/>
    <w:link w:val="Heading2Char"/>
    <w:qFormat/>
    <w:rsid w:val="005B6733"/>
    <w:pPr>
      <w:keepNext/>
      <w:tabs>
        <w:tab w:val="left" w:pos="720"/>
      </w:tabs>
      <w:spacing w:after="240"/>
      <w:ind w:left="720" w:hanging="720"/>
      <w:outlineLvl w:val="1"/>
    </w:pPr>
    <w:rPr>
      <w:b/>
      <w:sz w:val="28"/>
      <w:szCs w:val="28"/>
    </w:rPr>
  </w:style>
  <w:style w:type="paragraph" w:styleId="Heading3">
    <w:name w:val="heading 3"/>
    <w:basedOn w:val="Heading2"/>
    <w:next w:val="Normal"/>
    <w:link w:val="Heading3Char"/>
    <w:qFormat/>
    <w:rsid w:val="009561F9"/>
    <w:pPr>
      <w:tabs>
        <w:tab w:val="clear" w:pos="720"/>
        <w:tab w:val="left" w:pos="900"/>
      </w:tabs>
      <w:spacing w:after="0"/>
      <w:ind w:left="907" w:hanging="907"/>
      <w:outlineLvl w:val="2"/>
    </w:pPr>
    <w:rPr>
      <w:sz w:val="24"/>
      <w:szCs w:val="24"/>
    </w:rPr>
  </w:style>
  <w:style w:type="paragraph" w:styleId="Heading4">
    <w:name w:val="heading 4"/>
    <w:basedOn w:val="BodyText1"/>
    <w:next w:val="Normal"/>
    <w:link w:val="Heading4Char"/>
    <w:autoRedefine/>
    <w:qFormat/>
    <w:rsid w:val="00F133BF"/>
    <w:pPr>
      <w:keepNext/>
      <w:spacing w:after="0"/>
      <w:outlineLvl w:val="3"/>
    </w:pPr>
    <w:rPr>
      <w:i/>
    </w:rPr>
  </w:style>
  <w:style w:type="paragraph" w:styleId="Heading5">
    <w:name w:val="heading 5"/>
    <w:basedOn w:val="BodyText"/>
    <w:next w:val="Normal"/>
    <w:link w:val="Heading5Char"/>
    <w:qFormat/>
    <w:rsid w:val="00A97CC3"/>
    <w:pPr>
      <w:outlineLvl w:val="4"/>
    </w:pPr>
    <w:rPr>
      <w:u w:val="single"/>
    </w:rPr>
  </w:style>
  <w:style w:type="paragraph" w:styleId="Heading6">
    <w:name w:val="heading 6"/>
    <w:basedOn w:val="Normal"/>
    <w:next w:val="Normal"/>
    <w:link w:val="Heading6Char"/>
    <w:qFormat/>
    <w:rsid w:val="005B67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rPr>
  </w:style>
  <w:style w:type="paragraph" w:styleId="Heading7">
    <w:name w:val="heading 7"/>
    <w:basedOn w:val="Normal"/>
    <w:next w:val="Normal"/>
    <w:link w:val="Heading7Char"/>
    <w:qFormat/>
    <w:rsid w:val="005B67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u w:val="single"/>
    </w:rPr>
  </w:style>
  <w:style w:type="paragraph" w:styleId="Heading8">
    <w:name w:val="heading 8"/>
    <w:basedOn w:val="Normal"/>
    <w:next w:val="Normal"/>
    <w:link w:val="Heading8Char"/>
    <w:qFormat/>
    <w:rsid w:val="005B6733"/>
    <w:pPr>
      <w:keepNext/>
      <w:tabs>
        <w:tab w:val="left" w:pos="-720"/>
      </w:tabs>
      <w:ind w:left="720" w:hanging="720"/>
      <w:outlineLvl w:val="7"/>
    </w:pPr>
    <w:rPr>
      <w:rFonts w:ascii="Arial" w:hAnsi="Arial"/>
      <w:b/>
      <w:i/>
      <w:iCs/>
    </w:rPr>
  </w:style>
  <w:style w:type="paragraph" w:styleId="Heading9">
    <w:name w:val="heading 9"/>
    <w:basedOn w:val="Normal"/>
    <w:next w:val="Normal"/>
    <w:link w:val="Heading9Char"/>
    <w:qFormat/>
    <w:rsid w:val="005B673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733"/>
    <w:pPr>
      <w:ind w:left="720"/>
      <w:contextualSpacing/>
    </w:pPr>
  </w:style>
  <w:style w:type="character" w:styleId="CommentReference">
    <w:name w:val="annotation reference"/>
    <w:uiPriority w:val="99"/>
    <w:rsid w:val="005B6733"/>
    <w:rPr>
      <w:rFonts w:cs="Times New Roman"/>
      <w:sz w:val="16"/>
      <w:szCs w:val="16"/>
    </w:rPr>
  </w:style>
  <w:style w:type="paragraph" w:styleId="CommentText">
    <w:name w:val="annotation text"/>
    <w:basedOn w:val="Normal"/>
    <w:link w:val="CommentTextChar"/>
    <w:uiPriority w:val="99"/>
    <w:rsid w:val="005B6733"/>
    <w:rPr>
      <w:sz w:val="20"/>
    </w:rPr>
  </w:style>
  <w:style w:type="character" w:customStyle="1" w:styleId="CommentTextChar">
    <w:name w:val="Comment Text Char"/>
    <w:link w:val="CommentText"/>
    <w:uiPriority w:val="99"/>
    <w:rsid w:val="005B6733"/>
    <w:rPr>
      <w:rFonts w:eastAsia="Times New Roman"/>
    </w:rPr>
  </w:style>
  <w:style w:type="paragraph" w:styleId="CommentSubject">
    <w:name w:val="annotation subject"/>
    <w:basedOn w:val="CommentText"/>
    <w:next w:val="CommentText"/>
    <w:link w:val="CommentSubjectChar"/>
    <w:rsid w:val="005B6733"/>
    <w:rPr>
      <w:b/>
      <w:bCs/>
    </w:rPr>
  </w:style>
  <w:style w:type="character" w:customStyle="1" w:styleId="CommentSubjectChar">
    <w:name w:val="Comment Subject Char"/>
    <w:link w:val="CommentSubject"/>
    <w:rsid w:val="005B6733"/>
    <w:rPr>
      <w:rFonts w:eastAsia="Times New Roman"/>
      <w:b/>
      <w:bCs/>
    </w:rPr>
  </w:style>
  <w:style w:type="paragraph" w:styleId="BalloonText">
    <w:name w:val="Balloon Text"/>
    <w:basedOn w:val="Normal"/>
    <w:link w:val="BalloonTextChar"/>
    <w:rsid w:val="005B6733"/>
    <w:rPr>
      <w:rFonts w:ascii="Tahoma" w:hAnsi="Tahoma"/>
      <w:sz w:val="16"/>
      <w:szCs w:val="16"/>
    </w:rPr>
  </w:style>
  <w:style w:type="character" w:customStyle="1" w:styleId="BalloonTextChar">
    <w:name w:val="Balloon Text Char"/>
    <w:link w:val="BalloonText"/>
    <w:rsid w:val="005B6733"/>
    <w:rPr>
      <w:rFonts w:ascii="Tahoma" w:eastAsia="Times New Roman" w:hAnsi="Tahoma" w:cs="Tahoma"/>
      <w:sz w:val="16"/>
      <w:szCs w:val="16"/>
    </w:rPr>
  </w:style>
  <w:style w:type="character" w:customStyle="1" w:styleId="bodytextChar">
    <w:name w:val="body text Char"/>
    <w:link w:val="BodyText1"/>
    <w:rsid w:val="00A12A4D"/>
    <w:rPr>
      <w:rFonts w:eastAsia="Times New Roman"/>
      <w:sz w:val="24"/>
      <w:szCs w:val="24"/>
    </w:rPr>
  </w:style>
  <w:style w:type="paragraph" w:customStyle="1" w:styleId="BodyText1">
    <w:name w:val="Body Text1"/>
    <w:basedOn w:val="BodyText"/>
    <w:link w:val="bodytextChar"/>
    <w:rsid w:val="00A12A4D"/>
  </w:style>
  <w:style w:type="character" w:customStyle="1" w:styleId="Heading4Char">
    <w:name w:val="Heading 4 Char"/>
    <w:link w:val="Heading4"/>
    <w:rsid w:val="00F133BF"/>
    <w:rPr>
      <w:rFonts w:eastAsia="Times New Roman"/>
      <w:i/>
      <w:sz w:val="24"/>
      <w:szCs w:val="24"/>
    </w:rPr>
  </w:style>
  <w:style w:type="paragraph" w:customStyle="1" w:styleId="bullets">
    <w:name w:val="bullets"/>
    <w:aliases w:val="bu"/>
    <w:basedOn w:val="Normal"/>
    <w:link w:val="bulletsChar"/>
    <w:rsid w:val="007B14A5"/>
    <w:pPr>
      <w:spacing w:after="120" w:line="240" w:lineRule="exact"/>
      <w:ind w:left="1080" w:hanging="360"/>
    </w:pPr>
    <w:rPr>
      <w:color w:val="000000"/>
      <w:szCs w:val="24"/>
    </w:rPr>
  </w:style>
  <w:style w:type="character" w:styleId="Hyperlink">
    <w:name w:val="Hyperlink"/>
    <w:uiPriority w:val="99"/>
    <w:rsid w:val="00E61446"/>
    <w:rPr>
      <w:rFonts w:cs="Times New Roman"/>
      <w:color w:val="0000FF"/>
      <w:u w:val="none"/>
    </w:rPr>
  </w:style>
  <w:style w:type="character" w:customStyle="1" w:styleId="apple-converted-space">
    <w:name w:val="apple-converted-space"/>
    <w:rsid w:val="00B6703F"/>
  </w:style>
  <w:style w:type="character" w:customStyle="1" w:styleId="Heading3Char">
    <w:name w:val="Heading 3 Char"/>
    <w:link w:val="Heading3"/>
    <w:rsid w:val="009561F9"/>
    <w:rPr>
      <w:rFonts w:eastAsia="Times New Roman"/>
      <w:b/>
      <w:sz w:val="24"/>
      <w:szCs w:val="24"/>
    </w:rPr>
  </w:style>
  <w:style w:type="paragraph" w:customStyle="1" w:styleId="exhibitsource">
    <w:name w:val="exhibit source"/>
    <w:basedOn w:val="Normal"/>
    <w:link w:val="exhibitsourceChar"/>
    <w:rsid w:val="005B6733"/>
    <w:pPr>
      <w:spacing w:after="120"/>
    </w:pPr>
    <w:rPr>
      <w:sz w:val="20"/>
      <w:szCs w:val="22"/>
    </w:rPr>
  </w:style>
  <w:style w:type="paragraph" w:styleId="ListNumber">
    <w:name w:val="List Number"/>
    <w:basedOn w:val="Normal"/>
    <w:rsid w:val="00B77E2F"/>
    <w:pPr>
      <w:numPr>
        <w:numId w:val="1"/>
      </w:numPr>
      <w:tabs>
        <w:tab w:val="clear" w:pos="360"/>
        <w:tab w:val="num" w:pos="1080"/>
      </w:tabs>
      <w:spacing w:after="120"/>
      <w:ind w:left="1080"/>
    </w:pPr>
    <w:rPr>
      <w:szCs w:val="24"/>
    </w:rPr>
  </w:style>
  <w:style w:type="paragraph" w:customStyle="1" w:styleId="FigureTitle">
    <w:name w:val="Figure Title"/>
    <w:basedOn w:val="Normal"/>
    <w:rsid w:val="005B6733"/>
    <w:pPr>
      <w:keepNext/>
      <w:keepLines/>
      <w:spacing w:before="240" w:after="240"/>
      <w:ind w:left="1260" w:hanging="1260"/>
    </w:pPr>
    <w:rPr>
      <w:b/>
    </w:rPr>
  </w:style>
  <w:style w:type="character" w:customStyle="1" w:styleId="Heading2Char">
    <w:name w:val="Heading 2 Char"/>
    <w:link w:val="Heading2"/>
    <w:rsid w:val="005B6733"/>
    <w:rPr>
      <w:rFonts w:eastAsia="Times New Roman"/>
      <w:b/>
      <w:sz w:val="28"/>
      <w:szCs w:val="28"/>
    </w:rPr>
  </w:style>
  <w:style w:type="paragraph" w:styleId="Header">
    <w:name w:val="header"/>
    <w:basedOn w:val="Normal"/>
    <w:link w:val="HeaderChar"/>
    <w:rsid w:val="005B6733"/>
    <w:pPr>
      <w:tabs>
        <w:tab w:val="center" w:pos="4320"/>
        <w:tab w:val="right" w:pos="8640"/>
      </w:tabs>
    </w:pPr>
  </w:style>
  <w:style w:type="character" w:customStyle="1" w:styleId="HeaderChar">
    <w:name w:val="Header Char"/>
    <w:link w:val="Header"/>
    <w:rsid w:val="005B6733"/>
    <w:rPr>
      <w:rFonts w:eastAsia="Times New Roman"/>
      <w:sz w:val="24"/>
    </w:rPr>
  </w:style>
  <w:style w:type="character" w:customStyle="1" w:styleId="NormalArialChar">
    <w:name w:val="Normal+Arial Char"/>
    <w:rsid w:val="00685688"/>
    <w:rPr>
      <w:rFonts w:ascii="Arial" w:hAnsi="Arial" w:cs="Arial"/>
      <w:sz w:val="22"/>
      <w:szCs w:val="22"/>
      <w:lang w:val="en-US" w:eastAsia="en-US" w:bidi="ar-SA"/>
    </w:rPr>
  </w:style>
  <w:style w:type="table" w:styleId="TableGrid">
    <w:name w:val="Table Grid"/>
    <w:basedOn w:val="TableNormal"/>
    <w:uiPriority w:val="99"/>
    <w:rsid w:val="005B6733"/>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2041BA"/>
    <w:pPr>
      <w:snapToGrid w:val="0"/>
      <w:spacing w:line="480" w:lineRule="auto"/>
      <w:ind w:firstLine="720"/>
    </w:pPr>
    <w:rPr>
      <w:rFonts w:eastAsia="Calibri"/>
      <w:szCs w:val="24"/>
    </w:rPr>
  </w:style>
  <w:style w:type="character" w:customStyle="1" w:styleId="BodyTextIndentChar">
    <w:name w:val="Body Text Indent Char"/>
    <w:link w:val="BodyTextIndent"/>
    <w:rsid w:val="002041BA"/>
    <w:rPr>
      <w:sz w:val="24"/>
      <w:szCs w:val="24"/>
    </w:rPr>
  </w:style>
  <w:style w:type="paragraph" w:customStyle="1" w:styleId="bullets-blank">
    <w:name w:val="bullets-blank"/>
    <w:basedOn w:val="Bullet-numbered"/>
    <w:rsid w:val="00A97CC3"/>
    <w:pPr>
      <w:keepLines/>
      <w:numPr>
        <w:numId w:val="0"/>
      </w:numPr>
      <w:tabs>
        <w:tab w:val="clear" w:pos="1440"/>
      </w:tabs>
      <w:spacing w:after="120" w:line="360" w:lineRule="auto"/>
      <w:ind w:left="1080" w:hanging="360"/>
    </w:pPr>
  </w:style>
  <w:style w:type="character" w:customStyle="1" w:styleId="bulletsChar">
    <w:name w:val="bullets Char"/>
    <w:aliases w:val="bu Char"/>
    <w:link w:val="bullets"/>
    <w:locked/>
    <w:rsid w:val="0027499D"/>
    <w:rPr>
      <w:rFonts w:eastAsia="Times New Roman"/>
      <w:color w:val="000000"/>
      <w:sz w:val="24"/>
      <w:szCs w:val="24"/>
    </w:rPr>
  </w:style>
  <w:style w:type="paragraph" w:customStyle="1" w:styleId="ExhibitTitle">
    <w:name w:val="Exhibit Title"/>
    <w:basedOn w:val="Normal"/>
    <w:link w:val="ExhibitTitleChar"/>
    <w:qFormat/>
    <w:rsid w:val="00A97CC3"/>
    <w:pPr>
      <w:keepNext/>
      <w:ind w:left="1620" w:hanging="1620"/>
    </w:pPr>
    <w:rPr>
      <w:b/>
      <w:iCs/>
      <w:szCs w:val="24"/>
    </w:rPr>
  </w:style>
  <w:style w:type="character" w:customStyle="1" w:styleId="ExhibitTitleChar">
    <w:name w:val="Exhibit Title Char"/>
    <w:link w:val="ExhibitTitle"/>
    <w:locked/>
    <w:rsid w:val="00A97CC3"/>
    <w:rPr>
      <w:rFonts w:eastAsia="Times New Roman"/>
      <w:b/>
      <w:iCs/>
      <w:sz w:val="24"/>
      <w:szCs w:val="24"/>
    </w:rPr>
  </w:style>
  <w:style w:type="paragraph" w:customStyle="1" w:styleId="bulletslast">
    <w:name w:val="bullets_last"/>
    <w:basedOn w:val="bullets"/>
    <w:qFormat/>
    <w:rsid w:val="0027499D"/>
    <w:pPr>
      <w:spacing w:after="80" w:line="240" w:lineRule="auto"/>
      <w:ind w:left="720"/>
    </w:pPr>
    <w:rPr>
      <w:color w:val="auto"/>
      <w:szCs w:val="22"/>
      <w:lang w:val="en-CA"/>
    </w:rPr>
  </w:style>
  <w:style w:type="paragraph" w:customStyle="1" w:styleId="exhibitsource2">
    <w:name w:val="exhibit source2"/>
    <w:basedOn w:val="Normal"/>
    <w:rsid w:val="0027499D"/>
    <w:pPr>
      <w:keepLines/>
      <w:spacing w:before="60" w:after="120"/>
      <w:ind w:left="187" w:hanging="187"/>
    </w:pPr>
    <w:rPr>
      <w:rFonts w:ascii="Arial" w:hAnsi="Arial"/>
      <w:sz w:val="18"/>
      <w:szCs w:val="18"/>
    </w:rPr>
  </w:style>
  <w:style w:type="paragraph" w:customStyle="1" w:styleId="figurewobox">
    <w:name w:val="figure w/o box"/>
    <w:basedOn w:val="Normal"/>
    <w:rsid w:val="0027499D"/>
    <w:pPr>
      <w:jc w:val="center"/>
    </w:pPr>
  </w:style>
  <w:style w:type="character" w:customStyle="1" w:styleId="Heading1Char">
    <w:name w:val="Heading 1 Char"/>
    <w:link w:val="Heading1"/>
    <w:rsid w:val="005B6733"/>
    <w:rPr>
      <w:rFonts w:eastAsia="Times New Roman"/>
      <w:b/>
      <w:caps/>
      <w:sz w:val="32"/>
      <w:szCs w:val="32"/>
    </w:rPr>
  </w:style>
  <w:style w:type="paragraph" w:styleId="FootnoteText">
    <w:name w:val="footnote text"/>
    <w:basedOn w:val="Normal"/>
    <w:link w:val="FootnoteTextChar"/>
    <w:rsid w:val="005B6733"/>
    <w:rPr>
      <w:sz w:val="20"/>
    </w:rPr>
  </w:style>
  <w:style w:type="character" w:customStyle="1" w:styleId="FootnoteTextChar">
    <w:name w:val="Footnote Text Char"/>
    <w:link w:val="FootnoteText"/>
    <w:rsid w:val="003E23CD"/>
    <w:rPr>
      <w:rFonts w:eastAsia="Times New Roman"/>
    </w:rPr>
  </w:style>
  <w:style w:type="character" w:styleId="FootnoteReference">
    <w:name w:val="footnote reference"/>
    <w:rsid w:val="003E23CD"/>
    <w:rPr>
      <w:rFonts w:ascii="Times New Roman" w:hAnsi="Times New Roman" w:cs="Times New Roman"/>
      <w:b w:val="0"/>
      <w:i w:val="0"/>
      <w:sz w:val="24"/>
      <w:vertAlign w:val="superscript"/>
    </w:rPr>
  </w:style>
  <w:style w:type="paragraph" w:customStyle="1" w:styleId="bullets-blank2">
    <w:name w:val="bullets-blank2"/>
    <w:basedOn w:val="bullets-blank"/>
    <w:qFormat/>
    <w:rsid w:val="009561F9"/>
    <w:pPr>
      <w:tabs>
        <w:tab w:val="left" w:pos="1800"/>
      </w:tabs>
      <w:ind w:left="1440"/>
    </w:pPr>
  </w:style>
  <w:style w:type="paragraph" w:styleId="BodyText">
    <w:name w:val="Body Text"/>
    <w:basedOn w:val="Normal"/>
    <w:link w:val="BodyTextChar0"/>
    <w:uiPriority w:val="99"/>
    <w:rsid w:val="003E23CD"/>
    <w:pPr>
      <w:spacing w:after="240" w:line="360" w:lineRule="auto"/>
      <w:ind w:left="720"/>
    </w:pPr>
    <w:rPr>
      <w:szCs w:val="24"/>
    </w:rPr>
  </w:style>
  <w:style w:type="character" w:customStyle="1" w:styleId="BodyTextChar0">
    <w:name w:val="Body Text Char"/>
    <w:link w:val="BodyText"/>
    <w:uiPriority w:val="99"/>
    <w:rsid w:val="003E23CD"/>
    <w:rPr>
      <w:rFonts w:eastAsia="Times New Roman"/>
      <w:sz w:val="24"/>
      <w:szCs w:val="24"/>
    </w:rPr>
  </w:style>
  <w:style w:type="paragraph" w:styleId="List">
    <w:name w:val="List"/>
    <w:basedOn w:val="Normal"/>
    <w:uiPriority w:val="99"/>
    <w:semiHidden/>
    <w:unhideWhenUsed/>
    <w:rsid w:val="00C51675"/>
    <w:pPr>
      <w:ind w:left="360" w:hanging="360"/>
      <w:contextualSpacing/>
    </w:pPr>
  </w:style>
  <w:style w:type="paragraph" w:styleId="Footer">
    <w:name w:val="footer"/>
    <w:basedOn w:val="Normal"/>
    <w:link w:val="FooterChar"/>
    <w:uiPriority w:val="99"/>
    <w:rsid w:val="005B6733"/>
    <w:pPr>
      <w:tabs>
        <w:tab w:val="center" w:pos="4320"/>
        <w:tab w:val="right" w:pos="8640"/>
      </w:tabs>
    </w:pPr>
  </w:style>
  <w:style w:type="character" w:customStyle="1" w:styleId="FooterChar">
    <w:name w:val="Footer Char"/>
    <w:link w:val="Footer"/>
    <w:uiPriority w:val="99"/>
    <w:rsid w:val="005B6733"/>
    <w:rPr>
      <w:rFonts w:eastAsia="Times New Roman"/>
      <w:sz w:val="24"/>
    </w:rPr>
  </w:style>
  <w:style w:type="character" w:customStyle="1" w:styleId="verityhit">
    <w:name w:val="verityhit"/>
    <w:basedOn w:val="DefaultParagraphFont"/>
    <w:rsid w:val="00A82104"/>
  </w:style>
  <w:style w:type="character" w:customStyle="1" w:styleId="Heading7Char">
    <w:name w:val="Heading 7 Char"/>
    <w:link w:val="Heading7"/>
    <w:rsid w:val="005B6733"/>
    <w:rPr>
      <w:rFonts w:eastAsia="Times New Roman"/>
      <w:b/>
      <w:sz w:val="24"/>
      <w:u w:val="single"/>
    </w:rPr>
  </w:style>
  <w:style w:type="character" w:customStyle="1" w:styleId="bodytextpsgChar">
    <w:name w:val="body text_psg Char"/>
    <w:link w:val="bodytextpsg"/>
    <w:locked/>
    <w:rsid w:val="00DB5B48"/>
    <w:rPr>
      <w:rFonts w:eastAsia="Times New Roman"/>
      <w:sz w:val="22"/>
      <w:szCs w:val="22"/>
      <w:lang w:val="es-DO"/>
    </w:rPr>
  </w:style>
  <w:style w:type="paragraph" w:customStyle="1" w:styleId="bodytextpsg">
    <w:name w:val="body text_psg"/>
    <w:basedOn w:val="Normal"/>
    <w:link w:val="bodytextpsgChar"/>
    <w:rsid w:val="00DB5B48"/>
    <w:pPr>
      <w:spacing w:after="240" w:line="320" w:lineRule="exact"/>
      <w:ind w:firstLine="720"/>
    </w:pPr>
    <w:rPr>
      <w:sz w:val="22"/>
      <w:szCs w:val="22"/>
      <w:lang w:val="es-DO"/>
    </w:rPr>
  </w:style>
  <w:style w:type="paragraph" w:styleId="PlainText">
    <w:name w:val="Plain Text"/>
    <w:basedOn w:val="Normal"/>
    <w:link w:val="PlainTextChar"/>
    <w:uiPriority w:val="99"/>
    <w:rsid w:val="005B6733"/>
    <w:rPr>
      <w:rFonts w:ascii="Courier New" w:hAnsi="Courier New"/>
      <w:sz w:val="20"/>
    </w:rPr>
  </w:style>
  <w:style w:type="character" w:customStyle="1" w:styleId="PlainTextChar">
    <w:name w:val="Plain Text Char"/>
    <w:link w:val="PlainText"/>
    <w:uiPriority w:val="99"/>
    <w:rsid w:val="005B6733"/>
    <w:rPr>
      <w:rFonts w:ascii="Courier New" w:eastAsia="Times New Roman" w:hAnsi="Courier New"/>
    </w:rPr>
  </w:style>
  <w:style w:type="paragraph" w:customStyle="1" w:styleId="biblio">
    <w:name w:val="biblio"/>
    <w:basedOn w:val="Normal"/>
    <w:link w:val="biblioChar"/>
    <w:rsid w:val="00DC19C5"/>
    <w:pPr>
      <w:numPr>
        <w:numId w:val="6"/>
      </w:numPr>
      <w:spacing w:after="240"/>
    </w:pPr>
    <w:rPr>
      <w:szCs w:val="24"/>
    </w:rPr>
  </w:style>
  <w:style w:type="character" w:customStyle="1" w:styleId="biblioChar">
    <w:name w:val="biblio Char"/>
    <w:link w:val="biblio"/>
    <w:locked/>
    <w:rsid w:val="00DC19C5"/>
    <w:rPr>
      <w:rFonts w:eastAsia="Times New Roman"/>
      <w:sz w:val="24"/>
      <w:szCs w:val="24"/>
    </w:rPr>
  </w:style>
  <w:style w:type="paragraph" w:customStyle="1" w:styleId="Bullet">
    <w:name w:val="Bullet"/>
    <w:basedOn w:val="Normal"/>
    <w:qFormat/>
    <w:rsid w:val="003E23CD"/>
    <w:pPr>
      <w:numPr>
        <w:numId w:val="3"/>
      </w:numPr>
      <w:spacing w:after="240" w:line="360" w:lineRule="auto"/>
    </w:pPr>
    <w:rPr>
      <w:szCs w:val="24"/>
    </w:rPr>
  </w:style>
  <w:style w:type="paragraph" w:customStyle="1" w:styleId="Bullet-numbered">
    <w:name w:val="Bullet-numbered"/>
    <w:basedOn w:val="Normal"/>
    <w:qFormat/>
    <w:rsid w:val="00655767"/>
    <w:pPr>
      <w:numPr>
        <w:numId w:val="5"/>
      </w:numPr>
      <w:tabs>
        <w:tab w:val="left" w:pos="1440"/>
      </w:tabs>
      <w:ind w:left="1440"/>
    </w:pPr>
    <w:rPr>
      <w:szCs w:val="24"/>
    </w:rPr>
  </w:style>
  <w:style w:type="paragraph" w:customStyle="1" w:styleId="CharCharChar1CharCharCharCharCharCharCharCharCharCharCharCharChar">
    <w:name w:val="Char Char Char1 Char Char Char Char Char Char Char Char Char Char Char Char Char"/>
    <w:basedOn w:val="Normal"/>
    <w:uiPriority w:val="99"/>
    <w:semiHidden/>
    <w:rsid w:val="005B6733"/>
    <w:pPr>
      <w:spacing w:before="80" w:after="80"/>
      <w:ind w:left="4320"/>
      <w:jc w:val="both"/>
    </w:pPr>
    <w:rPr>
      <w:rFonts w:ascii="Arial" w:hAnsi="Arial"/>
      <w:sz w:val="20"/>
      <w:szCs w:val="24"/>
    </w:rPr>
  </w:style>
  <w:style w:type="paragraph" w:customStyle="1" w:styleId="CoverText">
    <w:name w:val="Cover Text"/>
    <w:basedOn w:val="Normal"/>
    <w:qFormat/>
    <w:rsid w:val="005B6733"/>
  </w:style>
  <w:style w:type="paragraph" w:customStyle="1" w:styleId="CoverTitle">
    <w:name w:val="Cover Title"/>
    <w:basedOn w:val="Normal"/>
    <w:qFormat/>
    <w:rsid w:val="005B6733"/>
    <w:pPr>
      <w:tabs>
        <w:tab w:val="center" w:pos="4680"/>
      </w:tabs>
      <w:spacing w:line="276" w:lineRule="auto"/>
    </w:pPr>
    <w:rPr>
      <w:b/>
      <w:bCs/>
      <w:szCs w:val="24"/>
    </w:rPr>
  </w:style>
  <w:style w:type="paragraph" w:customStyle="1" w:styleId="Default">
    <w:name w:val="Default"/>
    <w:rsid w:val="005B6733"/>
    <w:pPr>
      <w:autoSpaceDE w:val="0"/>
      <w:autoSpaceDN w:val="0"/>
      <w:adjustRightInd w:val="0"/>
    </w:pPr>
    <w:rPr>
      <w:rFonts w:ascii="Arial" w:eastAsia="Times New Roman" w:hAnsi="Arial" w:cs="Arial"/>
      <w:color w:val="000000"/>
      <w:sz w:val="24"/>
      <w:szCs w:val="24"/>
    </w:rPr>
  </w:style>
  <w:style w:type="character" w:styleId="EndnoteReference">
    <w:name w:val="endnote reference"/>
    <w:rsid w:val="005B6733"/>
    <w:rPr>
      <w:rFonts w:cs="Times New Roman"/>
      <w:vertAlign w:val="superscript"/>
    </w:rPr>
  </w:style>
  <w:style w:type="paragraph" w:styleId="EndnoteText">
    <w:name w:val="endnote text"/>
    <w:basedOn w:val="Normal"/>
    <w:link w:val="EndnoteTextChar"/>
    <w:rsid w:val="005B6733"/>
    <w:rPr>
      <w:sz w:val="20"/>
    </w:rPr>
  </w:style>
  <w:style w:type="character" w:customStyle="1" w:styleId="EndnoteTextChar">
    <w:name w:val="Endnote Text Char"/>
    <w:link w:val="EndnoteText"/>
    <w:rsid w:val="005B6733"/>
    <w:rPr>
      <w:rFonts w:eastAsia="Times New Roman"/>
    </w:rPr>
  </w:style>
  <w:style w:type="character" w:customStyle="1" w:styleId="exhibitsourceChar">
    <w:name w:val="exhibit source Char"/>
    <w:link w:val="exhibitsource"/>
    <w:locked/>
    <w:rsid w:val="005B6733"/>
    <w:rPr>
      <w:rFonts w:eastAsia="Times New Roman"/>
      <w:szCs w:val="22"/>
    </w:rPr>
  </w:style>
  <w:style w:type="paragraph" w:customStyle="1" w:styleId="ExhibitTitleContinued">
    <w:name w:val="Exhibit Title Continued"/>
    <w:basedOn w:val="ExhibitTitle"/>
    <w:rsid w:val="006A5713"/>
  </w:style>
  <w:style w:type="paragraph" w:customStyle="1" w:styleId="FigureTitleContinued">
    <w:name w:val="Figure Title_Continued"/>
    <w:basedOn w:val="Normal"/>
    <w:rsid w:val="005B6733"/>
    <w:pPr>
      <w:pageBreakBefore/>
      <w:ind w:left="1166" w:hanging="1166"/>
    </w:pPr>
    <w:rPr>
      <w:b/>
      <w:szCs w:val="24"/>
    </w:rPr>
  </w:style>
  <w:style w:type="character" w:styleId="FollowedHyperlink">
    <w:name w:val="FollowedHyperlink"/>
    <w:rsid w:val="005B6733"/>
    <w:rPr>
      <w:rFonts w:cs="Times New Roman"/>
      <w:color w:val="800080"/>
      <w:u w:val="single"/>
    </w:rPr>
  </w:style>
  <w:style w:type="character" w:customStyle="1" w:styleId="footnotetex">
    <w:name w:val="footnote tex"/>
    <w:rsid w:val="005B6733"/>
  </w:style>
  <w:style w:type="character" w:customStyle="1" w:styleId="Heading5Char">
    <w:name w:val="Heading 5 Char"/>
    <w:link w:val="Heading5"/>
    <w:rsid w:val="00A97CC3"/>
    <w:rPr>
      <w:rFonts w:eastAsia="Times New Roman"/>
      <w:sz w:val="24"/>
      <w:szCs w:val="24"/>
      <w:u w:val="single"/>
    </w:rPr>
  </w:style>
  <w:style w:type="character" w:customStyle="1" w:styleId="Heading6Char">
    <w:name w:val="Heading 6 Char"/>
    <w:link w:val="Heading6"/>
    <w:rsid w:val="005B6733"/>
    <w:rPr>
      <w:rFonts w:eastAsia="Times New Roman"/>
      <w:b/>
      <w:i/>
      <w:sz w:val="24"/>
    </w:rPr>
  </w:style>
  <w:style w:type="character" w:customStyle="1" w:styleId="Heading8Char">
    <w:name w:val="Heading 8 Char"/>
    <w:link w:val="Heading8"/>
    <w:rsid w:val="005B6733"/>
    <w:rPr>
      <w:rFonts w:ascii="Arial" w:eastAsia="Times New Roman" w:hAnsi="Arial"/>
      <w:b/>
      <w:i/>
      <w:iCs/>
      <w:sz w:val="24"/>
    </w:rPr>
  </w:style>
  <w:style w:type="character" w:customStyle="1" w:styleId="Heading9Char">
    <w:name w:val="Heading 9 Char"/>
    <w:link w:val="Heading9"/>
    <w:rsid w:val="005B6733"/>
    <w:rPr>
      <w:rFonts w:ascii="Arial" w:eastAsia="Times New Roman" w:hAnsi="Arial"/>
      <w:b/>
    </w:rPr>
  </w:style>
  <w:style w:type="paragraph" w:styleId="Index1">
    <w:name w:val="index 1"/>
    <w:basedOn w:val="Normal"/>
    <w:next w:val="Normal"/>
    <w:autoRedefine/>
    <w:uiPriority w:val="99"/>
    <w:unhideWhenUsed/>
    <w:rsid w:val="005B6733"/>
    <w:pPr>
      <w:ind w:left="240" w:hanging="240"/>
    </w:pPr>
  </w:style>
  <w:style w:type="paragraph" w:customStyle="1" w:styleId="Level1">
    <w:name w:val="Level 1"/>
    <w:basedOn w:val="Normal"/>
    <w:rsid w:val="005B6733"/>
    <w:pPr>
      <w:ind w:left="1440" w:hanging="270"/>
    </w:pPr>
  </w:style>
  <w:style w:type="paragraph" w:customStyle="1" w:styleId="Level2">
    <w:name w:val="Level 2"/>
    <w:basedOn w:val="Normal"/>
    <w:rsid w:val="005B6733"/>
    <w:pPr>
      <w:numPr>
        <w:ilvl w:val="1"/>
        <w:numId w:val="4"/>
      </w:numPr>
      <w:outlineLvl w:val="1"/>
    </w:pPr>
  </w:style>
  <w:style w:type="paragraph" w:styleId="NoSpacing">
    <w:name w:val="No Spacing"/>
    <w:uiPriority w:val="99"/>
    <w:qFormat/>
    <w:rsid w:val="005B6733"/>
    <w:pPr>
      <w:jc w:val="center"/>
    </w:pPr>
    <w:rPr>
      <w:rFonts w:ascii="Calibri" w:eastAsia="Times New Roman" w:hAnsi="Calibri"/>
      <w:sz w:val="22"/>
      <w:szCs w:val="22"/>
    </w:rPr>
  </w:style>
  <w:style w:type="character" w:styleId="PageNumber">
    <w:name w:val="page number"/>
    <w:rsid w:val="005B6733"/>
    <w:rPr>
      <w:rFonts w:ascii="NewBskvll BT" w:hAnsi="NewBskvll BT" w:cs="Times New Roman"/>
      <w:sz w:val="24"/>
    </w:rPr>
  </w:style>
  <w:style w:type="character" w:styleId="Strong">
    <w:name w:val="Strong"/>
    <w:qFormat/>
    <w:rsid w:val="005B6733"/>
    <w:rPr>
      <w:rFonts w:cs="Times New Roman"/>
      <w:b/>
      <w:bCs/>
    </w:rPr>
  </w:style>
  <w:style w:type="paragraph" w:customStyle="1" w:styleId="TableHeaders">
    <w:name w:val="Table Headers"/>
    <w:basedOn w:val="Normal"/>
    <w:qFormat/>
    <w:rsid w:val="005B6733"/>
    <w:pPr>
      <w:spacing w:before="40" w:after="40"/>
      <w:jc w:val="center"/>
    </w:pPr>
    <w:rPr>
      <w:b/>
      <w:bCs/>
      <w:sz w:val="22"/>
      <w:szCs w:val="22"/>
    </w:rPr>
  </w:style>
  <w:style w:type="paragraph" w:styleId="TableofFigures">
    <w:name w:val="table of figures"/>
    <w:basedOn w:val="Normal"/>
    <w:next w:val="Normal"/>
    <w:uiPriority w:val="99"/>
    <w:unhideWhenUsed/>
    <w:rsid w:val="005B6733"/>
    <w:pPr>
      <w:tabs>
        <w:tab w:val="left" w:pos="720"/>
        <w:tab w:val="right" w:leader="dot" w:pos="9360"/>
      </w:tabs>
      <w:ind w:left="720" w:right="720" w:hanging="720"/>
    </w:pPr>
    <w:rPr>
      <w:noProof/>
    </w:rPr>
  </w:style>
  <w:style w:type="paragraph" w:customStyle="1" w:styleId="TableText">
    <w:name w:val="Table Text"/>
    <w:basedOn w:val="Normal"/>
    <w:qFormat/>
    <w:rsid w:val="005B6733"/>
    <w:pPr>
      <w:spacing w:before="40" w:after="40"/>
    </w:pPr>
    <w:rPr>
      <w:rFonts w:ascii="Arial" w:hAnsi="Arial"/>
      <w:sz w:val="18"/>
    </w:rPr>
  </w:style>
  <w:style w:type="paragraph" w:customStyle="1" w:styleId="TOC0">
    <w:name w:val="TOC 0"/>
    <w:basedOn w:val="Normal"/>
    <w:qFormat/>
    <w:rsid w:val="00C151A9"/>
    <w:pPr>
      <w:spacing w:after="240"/>
      <w:jc w:val="center"/>
    </w:pPr>
    <w:rPr>
      <w:b/>
      <w:bCs/>
      <w:caps/>
      <w:sz w:val="28"/>
    </w:rPr>
  </w:style>
  <w:style w:type="paragraph" w:styleId="TOC1">
    <w:name w:val="toc 1"/>
    <w:basedOn w:val="Normal"/>
    <w:next w:val="Normal"/>
    <w:autoRedefine/>
    <w:uiPriority w:val="39"/>
    <w:unhideWhenUsed/>
    <w:rsid w:val="005B6733"/>
    <w:pPr>
      <w:tabs>
        <w:tab w:val="left" w:pos="540"/>
        <w:tab w:val="right" w:leader="dot" w:pos="9360"/>
      </w:tabs>
      <w:ind w:left="540" w:right="720" w:hanging="540"/>
    </w:pPr>
    <w:rPr>
      <w:noProof/>
    </w:rPr>
  </w:style>
  <w:style w:type="paragraph" w:styleId="TOC2">
    <w:name w:val="toc 2"/>
    <w:basedOn w:val="Normal"/>
    <w:next w:val="Normal"/>
    <w:autoRedefine/>
    <w:uiPriority w:val="39"/>
    <w:rsid w:val="005B6733"/>
    <w:pPr>
      <w:tabs>
        <w:tab w:val="left" w:pos="1080"/>
        <w:tab w:val="right" w:leader="dot" w:pos="9360"/>
      </w:tabs>
      <w:autoSpaceDE w:val="0"/>
      <w:autoSpaceDN w:val="0"/>
      <w:adjustRightInd w:val="0"/>
      <w:ind w:left="1080" w:right="720" w:hanging="540"/>
    </w:pPr>
    <w:rPr>
      <w:rFonts w:eastAsia="MS Mincho" w:cs="Arial"/>
      <w:noProof/>
      <w:szCs w:val="22"/>
    </w:rPr>
  </w:style>
  <w:style w:type="paragraph" w:styleId="TOC3">
    <w:name w:val="toc 3"/>
    <w:basedOn w:val="Normal"/>
    <w:next w:val="Normal"/>
    <w:autoRedefine/>
    <w:uiPriority w:val="39"/>
    <w:rsid w:val="005B6733"/>
    <w:pPr>
      <w:tabs>
        <w:tab w:val="left" w:pos="1800"/>
        <w:tab w:val="right" w:leader="dot" w:pos="9360"/>
      </w:tabs>
      <w:autoSpaceDE w:val="0"/>
      <w:autoSpaceDN w:val="0"/>
      <w:adjustRightInd w:val="0"/>
      <w:ind w:left="1800" w:right="720" w:hanging="720"/>
    </w:pPr>
    <w:rPr>
      <w:noProof/>
      <w:szCs w:val="24"/>
    </w:rPr>
  </w:style>
  <w:style w:type="paragraph" w:customStyle="1" w:styleId="bullet-abc">
    <w:name w:val="bullet-abc"/>
    <w:basedOn w:val="Bullet-numbered"/>
    <w:qFormat/>
    <w:rsid w:val="00655767"/>
  </w:style>
  <w:style w:type="paragraph" w:styleId="Revision">
    <w:name w:val="Revision"/>
    <w:hidden/>
    <w:uiPriority w:val="99"/>
    <w:semiHidden/>
    <w:rsid w:val="00C52F1D"/>
    <w:rPr>
      <w:rFonts w:eastAsia="Times New Roman"/>
      <w:sz w:val="24"/>
    </w:rPr>
  </w:style>
  <w:style w:type="paragraph" w:customStyle="1" w:styleId="Tablebullet">
    <w:name w:val="Table bullet"/>
    <w:qFormat/>
    <w:rsid w:val="00425EA3"/>
    <w:pPr>
      <w:numPr>
        <w:numId w:val="2"/>
      </w:numPr>
    </w:pPr>
    <w:rPr>
      <w:rFonts w:eastAsia="Times New Roman"/>
      <w:sz w:val="24"/>
    </w:rPr>
  </w:style>
  <w:style w:type="paragraph" w:customStyle="1" w:styleId="Tablebullet2">
    <w:name w:val="Table bullet2"/>
    <w:basedOn w:val="Tablebullet"/>
    <w:qFormat/>
    <w:rsid w:val="002D52A1"/>
    <w:pPr>
      <w:numPr>
        <w:numId w:val="7"/>
      </w:numPr>
      <w:ind w:left="576" w:hanging="288"/>
    </w:pPr>
  </w:style>
  <w:style w:type="paragraph" w:styleId="NormalWeb">
    <w:name w:val="Normal (Web)"/>
    <w:basedOn w:val="Normal"/>
    <w:uiPriority w:val="99"/>
    <w:semiHidden/>
    <w:unhideWhenUsed/>
    <w:rsid w:val="009D5004"/>
    <w:pPr>
      <w:spacing w:before="100" w:beforeAutospacing="1" w:after="100" w:afterAutospacing="1"/>
    </w:pPr>
    <w:rPr>
      <w:szCs w:val="24"/>
    </w:rPr>
  </w:style>
  <w:style w:type="character" w:customStyle="1" w:styleId="Footer1">
    <w:name w:val="Footer1"/>
    <w:basedOn w:val="DefaultParagraphFont"/>
    <w:rsid w:val="00995BDE"/>
  </w:style>
  <w:style w:type="character" w:customStyle="1" w:styleId="skypepnhtextspan">
    <w:name w:val="skype_pnh_text_span"/>
    <w:rsid w:val="007F1708"/>
  </w:style>
  <w:style w:type="paragraph" w:styleId="TOC5">
    <w:name w:val="toc 5"/>
    <w:basedOn w:val="Normal"/>
    <w:next w:val="Normal"/>
    <w:autoRedefine/>
    <w:uiPriority w:val="39"/>
    <w:unhideWhenUsed/>
    <w:rsid w:val="00C151A9"/>
    <w:pPr>
      <w:tabs>
        <w:tab w:val="right" w:leader="dot" w:pos="9360"/>
      </w:tabs>
      <w:spacing w:after="100"/>
      <w:ind w:left="1267" w:right="720" w:hanging="1080"/>
    </w:pPr>
    <w:rPr>
      <w:noProof/>
    </w:rPr>
  </w:style>
  <w:style w:type="paragraph" w:customStyle="1" w:styleId="ColorfulList-Accent11">
    <w:name w:val="Colorful List - Accent 11"/>
    <w:basedOn w:val="Normal"/>
    <w:uiPriority w:val="34"/>
    <w:qFormat/>
    <w:rsid w:val="007C29B5"/>
    <w:pPr>
      <w:ind w:left="720"/>
      <w:contextualSpacing/>
    </w:pPr>
  </w:style>
  <w:style w:type="numbering" w:customStyle="1" w:styleId="WWOutlineListStyle11">
    <w:name w:val="WW_OutlineListStyle_11"/>
    <w:basedOn w:val="NoList"/>
    <w:rsid w:val="007C29B5"/>
    <w:pPr>
      <w:numPr>
        <w:numId w:val="8"/>
      </w:numPr>
    </w:pPr>
  </w:style>
  <w:style w:type="paragraph" w:customStyle="1" w:styleId="p3">
    <w:name w:val="p3"/>
    <w:basedOn w:val="Normal"/>
    <w:rsid w:val="007C29B5"/>
    <w:pPr>
      <w:widowControl w:val="0"/>
      <w:tabs>
        <w:tab w:val="left" w:pos="204"/>
      </w:tabs>
      <w:autoSpaceDE w:val="0"/>
      <w:autoSpaceDN w:val="0"/>
      <w:adjustRightInd w:val="0"/>
      <w:jc w:val="both"/>
    </w:pPr>
    <w:rPr>
      <w:szCs w:val="24"/>
    </w:rPr>
  </w:style>
  <w:style w:type="paragraph" w:customStyle="1" w:styleId="bullets-blank3">
    <w:name w:val="bullets-blank3"/>
    <w:basedOn w:val="bullets-blank"/>
    <w:qFormat/>
    <w:rsid w:val="007C29B5"/>
    <w:pPr>
      <w:tabs>
        <w:tab w:val="left" w:pos="1620"/>
        <w:tab w:val="left" w:pos="1980"/>
      </w:tabs>
      <w:spacing w:after="240"/>
      <w:ind w:left="1987" w:hanging="907"/>
      <w:contextualSpacing/>
    </w:pPr>
  </w:style>
  <w:style w:type="character" w:customStyle="1" w:styleId="footnoteref">
    <w:name w:val="footnote ref"/>
    <w:rsid w:val="007C29B5"/>
    <w:rPr>
      <w:rFonts w:ascii="NewBskvll BT" w:hAnsi="NewBskvll BT"/>
      <w:sz w:val="30"/>
      <w:vertAlign w:val="superscript"/>
    </w:rPr>
  </w:style>
  <w:style w:type="paragraph" w:customStyle="1" w:styleId="MediumGrid21">
    <w:name w:val="Medium Grid 21"/>
    <w:qFormat/>
    <w:rsid w:val="007C29B5"/>
    <w:pPr>
      <w:jc w:val="center"/>
    </w:pPr>
    <w:rPr>
      <w:rFonts w:ascii="Calibri" w:eastAsia="Times New Roman" w:hAnsi="Calibri"/>
      <w:sz w:val="22"/>
      <w:szCs w:val="22"/>
    </w:rPr>
  </w:style>
  <w:style w:type="paragraph" w:customStyle="1" w:styleId="BodyText2">
    <w:name w:val="Body Text2"/>
    <w:basedOn w:val="Normal"/>
    <w:rsid w:val="007C29B5"/>
    <w:pPr>
      <w:suppressAutoHyphens/>
      <w:autoSpaceDN w:val="0"/>
      <w:spacing w:after="160"/>
      <w:ind w:firstLine="720"/>
      <w:textAlignment w:val="baseline"/>
    </w:pPr>
  </w:style>
  <w:style w:type="paragraph" w:customStyle="1" w:styleId="bullets-2ndlevel">
    <w:name w:val="bullets-2nd level"/>
    <w:basedOn w:val="Normal"/>
    <w:rsid w:val="00A97CC3"/>
    <w:pPr>
      <w:numPr>
        <w:numId w:val="30"/>
      </w:numPr>
      <w:suppressAutoHyphens/>
      <w:autoSpaceDN w:val="0"/>
      <w:spacing w:after="240" w:line="360" w:lineRule="auto"/>
      <w:textAlignment w:val="baseline"/>
    </w:pPr>
    <w:rPr>
      <w:rFonts w:eastAsia="MS Mincho"/>
      <w:szCs w:val="24"/>
    </w:rPr>
  </w:style>
  <w:style w:type="paragraph" w:customStyle="1" w:styleId="bullets-3rdlevel">
    <w:name w:val="bullets-3rd level"/>
    <w:basedOn w:val="Normal"/>
    <w:rsid w:val="00A97CC3"/>
    <w:pPr>
      <w:numPr>
        <w:ilvl w:val="3"/>
        <w:numId w:val="28"/>
      </w:numPr>
      <w:spacing w:after="240" w:line="360" w:lineRule="auto"/>
    </w:pPr>
    <w:rPr>
      <w:szCs w:val="24"/>
    </w:rPr>
  </w:style>
  <w:style w:type="paragraph" w:customStyle="1" w:styleId="TableTextIndent1">
    <w:name w:val="Table Text Indent1"/>
    <w:basedOn w:val="Normal"/>
    <w:rsid w:val="007C29B5"/>
    <w:pPr>
      <w:suppressAutoHyphens/>
      <w:autoSpaceDN w:val="0"/>
      <w:spacing w:before="60" w:after="60"/>
      <w:ind w:left="245"/>
      <w:textAlignment w:val="baseline"/>
    </w:pPr>
    <w:rPr>
      <w:rFonts w:ascii="Verdana" w:eastAsia="MS Mincho" w:hAnsi="Verdana"/>
      <w:sz w:val="18"/>
    </w:rPr>
  </w:style>
  <w:style w:type="paragraph" w:customStyle="1" w:styleId="Source1">
    <w:name w:val="Source1"/>
    <w:basedOn w:val="Normal"/>
    <w:rsid w:val="007C29B5"/>
    <w:pPr>
      <w:keepLines/>
      <w:suppressAutoHyphens/>
      <w:autoSpaceDN w:val="0"/>
      <w:spacing w:before="120" w:after="400"/>
      <w:ind w:left="187" w:hanging="187"/>
      <w:textAlignment w:val="baseline"/>
    </w:pPr>
    <w:rPr>
      <w:rFonts w:eastAsia="MS Mincho"/>
      <w:sz w:val="20"/>
    </w:rPr>
  </w:style>
  <w:style w:type="paragraph" w:customStyle="1" w:styleId="BHNormal">
    <w:name w:val="BHNormal"/>
    <w:rsid w:val="007C29B5"/>
    <w:pPr>
      <w:suppressAutoHyphens/>
      <w:autoSpaceDN w:val="0"/>
      <w:textAlignment w:val="baseline"/>
    </w:pPr>
    <w:rPr>
      <w:sz w:val="24"/>
      <w:szCs w:val="22"/>
    </w:rPr>
  </w:style>
  <w:style w:type="paragraph" w:customStyle="1" w:styleId="figurewbox">
    <w:name w:val="figure w/box"/>
    <w:basedOn w:val="Normal"/>
    <w:rsid w:val="007C29B5"/>
    <w:pPr>
      <w:pBdr>
        <w:top w:val="single" w:sz="12" w:space="0" w:color="000000"/>
        <w:left w:val="single" w:sz="12" w:space="4" w:color="000000"/>
        <w:bottom w:val="single" w:sz="12" w:space="0" w:color="000000"/>
        <w:right w:val="single" w:sz="12" w:space="4" w:color="000000"/>
      </w:pBdr>
      <w:suppressAutoHyphens/>
      <w:autoSpaceDN w:val="0"/>
      <w:ind w:left="180" w:right="180"/>
      <w:jc w:val="center"/>
      <w:textAlignment w:val="baseline"/>
    </w:pPr>
    <w:rPr>
      <w:rFonts w:ascii="Verdana" w:eastAsia="MS Mincho" w:hAnsi="Verdana"/>
      <w:sz w:val="20"/>
    </w:rPr>
  </w:style>
  <w:style w:type="paragraph" w:customStyle="1" w:styleId="body">
    <w:name w:val="body"/>
    <w:basedOn w:val="Normal"/>
    <w:rsid w:val="00A97CC3"/>
    <w:pPr>
      <w:suppressAutoHyphens/>
      <w:autoSpaceDN w:val="0"/>
      <w:spacing w:line="276" w:lineRule="auto"/>
      <w:textAlignment w:val="baseline"/>
    </w:pPr>
    <w:rPr>
      <w:rFonts w:ascii="Verdana" w:eastAsia="MS Mincho" w:hAnsi="Verdana"/>
      <w:sz w:val="20"/>
    </w:rPr>
  </w:style>
  <w:style w:type="character" w:customStyle="1" w:styleId="bodyChar">
    <w:name w:val="body Char"/>
    <w:basedOn w:val="DefaultParagraphFont"/>
    <w:rsid w:val="00A97CC3"/>
    <w:rPr>
      <w:rFonts w:ascii="Verdana" w:eastAsia="MS Mincho" w:hAnsi="Verdana" w:cs="Times New Roman"/>
      <w:sz w:val="20"/>
      <w:szCs w:val="20"/>
    </w:rPr>
  </w:style>
  <w:style w:type="numbering" w:customStyle="1" w:styleId="WWOutlineListStyle10">
    <w:name w:val="WW_OutlineListStyle_10"/>
    <w:basedOn w:val="NoList"/>
    <w:rsid w:val="007C29B5"/>
    <w:pPr>
      <w:numPr>
        <w:numId w:val="9"/>
      </w:numPr>
    </w:pPr>
  </w:style>
  <w:style w:type="numbering" w:customStyle="1" w:styleId="WWOutlineListStyle9">
    <w:name w:val="WW_OutlineListStyle_9"/>
    <w:basedOn w:val="NoList"/>
    <w:rsid w:val="007C29B5"/>
    <w:pPr>
      <w:numPr>
        <w:numId w:val="10"/>
      </w:numPr>
    </w:pPr>
  </w:style>
  <w:style w:type="numbering" w:customStyle="1" w:styleId="WWOutlineListStyle8">
    <w:name w:val="WW_OutlineListStyle_8"/>
    <w:basedOn w:val="NoList"/>
    <w:rsid w:val="007C29B5"/>
    <w:pPr>
      <w:numPr>
        <w:numId w:val="11"/>
      </w:numPr>
    </w:pPr>
  </w:style>
  <w:style w:type="numbering" w:customStyle="1" w:styleId="WWOutlineListStyle7">
    <w:name w:val="WW_OutlineListStyle_7"/>
    <w:basedOn w:val="NoList"/>
    <w:rsid w:val="007C29B5"/>
    <w:pPr>
      <w:numPr>
        <w:numId w:val="12"/>
      </w:numPr>
    </w:pPr>
  </w:style>
  <w:style w:type="numbering" w:customStyle="1" w:styleId="WWOutlineListStyle6">
    <w:name w:val="WW_OutlineListStyle_6"/>
    <w:basedOn w:val="NoList"/>
    <w:rsid w:val="007C29B5"/>
    <w:pPr>
      <w:numPr>
        <w:numId w:val="13"/>
      </w:numPr>
    </w:pPr>
  </w:style>
  <w:style w:type="numbering" w:customStyle="1" w:styleId="WWOutlineListStyle5">
    <w:name w:val="WW_OutlineListStyle_5"/>
    <w:basedOn w:val="NoList"/>
    <w:rsid w:val="007C29B5"/>
    <w:pPr>
      <w:numPr>
        <w:numId w:val="14"/>
      </w:numPr>
    </w:pPr>
  </w:style>
  <w:style w:type="numbering" w:customStyle="1" w:styleId="WWOutlineListStyle4">
    <w:name w:val="WW_OutlineListStyle_4"/>
    <w:basedOn w:val="NoList"/>
    <w:rsid w:val="007C29B5"/>
    <w:pPr>
      <w:numPr>
        <w:numId w:val="15"/>
      </w:numPr>
    </w:pPr>
  </w:style>
  <w:style w:type="numbering" w:customStyle="1" w:styleId="WWOutlineListStyle3">
    <w:name w:val="WW_OutlineListStyle_3"/>
    <w:basedOn w:val="NoList"/>
    <w:rsid w:val="007C29B5"/>
    <w:pPr>
      <w:numPr>
        <w:numId w:val="16"/>
      </w:numPr>
    </w:pPr>
  </w:style>
  <w:style w:type="numbering" w:customStyle="1" w:styleId="WWOutlineListStyle2">
    <w:name w:val="WW_OutlineListStyle_2"/>
    <w:basedOn w:val="NoList"/>
    <w:rsid w:val="007C29B5"/>
    <w:pPr>
      <w:numPr>
        <w:numId w:val="17"/>
      </w:numPr>
    </w:pPr>
  </w:style>
  <w:style w:type="numbering" w:customStyle="1" w:styleId="WWOutlineListStyle1">
    <w:name w:val="WW_OutlineListStyle_1"/>
    <w:basedOn w:val="NoList"/>
    <w:rsid w:val="007C29B5"/>
    <w:pPr>
      <w:numPr>
        <w:numId w:val="18"/>
      </w:numPr>
    </w:pPr>
  </w:style>
  <w:style w:type="numbering" w:customStyle="1" w:styleId="WWOutlineListStyle">
    <w:name w:val="WW_OutlineListStyle"/>
    <w:basedOn w:val="NoList"/>
    <w:rsid w:val="007C29B5"/>
    <w:pPr>
      <w:numPr>
        <w:numId w:val="19"/>
      </w:numPr>
    </w:pPr>
  </w:style>
  <w:style w:type="numbering" w:customStyle="1" w:styleId="Format4">
    <w:name w:val="Format4"/>
    <w:basedOn w:val="NoList"/>
    <w:rsid w:val="007C29B5"/>
    <w:pPr>
      <w:numPr>
        <w:numId w:val="20"/>
      </w:numPr>
    </w:pPr>
  </w:style>
  <w:style w:type="numbering" w:customStyle="1" w:styleId="LFO6">
    <w:name w:val="LFO6"/>
    <w:basedOn w:val="NoList"/>
    <w:rsid w:val="007C29B5"/>
    <w:pPr>
      <w:numPr>
        <w:numId w:val="21"/>
      </w:numPr>
    </w:pPr>
  </w:style>
  <w:style w:type="numbering" w:customStyle="1" w:styleId="LFO27">
    <w:name w:val="LFO27"/>
    <w:basedOn w:val="NoList"/>
    <w:rsid w:val="007C29B5"/>
    <w:pPr>
      <w:numPr>
        <w:numId w:val="22"/>
      </w:numPr>
    </w:pPr>
  </w:style>
  <w:style w:type="numbering" w:customStyle="1" w:styleId="LFO32">
    <w:name w:val="LFO32"/>
    <w:basedOn w:val="NoList"/>
    <w:rsid w:val="007C29B5"/>
    <w:pPr>
      <w:numPr>
        <w:numId w:val="23"/>
      </w:numPr>
    </w:pPr>
  </w:style>
  <w:style w:type="paragraph" w:styleId="TOC4">
    <w:name w:val="toc 4"/>
    <w:basedOn w:val="Normal"/>
    <w:next w:val="Normal"/>
    <w:autoRedefine/>
    <w:uiPriority w:val="39"/>
    <w:unhideWhenUsed/>
    <w:rsid w:val="007C29B5"/>
    <w:pPr>
      <w:tabs>
        <w:tab w:val="right" w:leader="dot" w:pos="9350"/>
      </w:tabs>
      <w:ind w:left="1440"/>
    </w:pPr>
  </w:style>
  <w:style w:type="paragraph" w:customStyle="1" w:styleId="FN">
    <w:name w:val="FN"/>
    <w:basedOn w:val="Normal"/>
    <w:rsid w:val="007C29B5"/>
    <w:pPr>
      <w:spacing w:before="240" w:line="480" w:lineRule="auto"/>
    </w:pPr>
    <w:rPr>
      <w:sz w:val="20"/>
    </w:rPr>
  </w:style>
  <w:style w:type="paragraph" w:customStyle="1" w:styleId="bullets-blank1">
    <w:name w:val="bullets-blank1"/>
    <w:basedOn w:val="bullets-blank2"/>
    <w:qFormat/>
    <w:rsid w:val="007C29B5"/>
    <w:pPr>
      <w:tabs>
        <w:tab w:val="clear" w:pos="1800"/>
        <w:tab w:val="left" w:pos="1080"/>
      </w:tabs>
      <w:spacing w:after="240"/>
      <w:ind w:left="1080"/>
      <w:contextualSpacing/>
    </w:pPr>
  </w:style>
  <w:style w:type="paragraph" w:styleId="ListBullet">
    <w:name w:val="List Bullet"/>
    <w:basedOn w:val="Normal"/>
    <w:uiPriority w:val="99"/>
    <w:unhideWhenUsed/>
    <w:rsid w:val="007C29B5"/>
    <w:pPr>
      <w:numPr>
        <w:numId w:val="27"/>
      </w:numPr>
      <w:spacing w:after="120"/>
      <w:ind w:left="720"/>
    </w:pPr>
    <w:rPr>
      <w:rFonts w:ascii="Arial" w:eastAsia="Calibri" w:hAnsi="Arial"/>
      <w:sz w:val="22"/>
      <w:szCs w:val="22"/>
    </w:rPr>
  </w:style>
  <w:style w:type="paragraph" w:customStyle="1" w:styleId="TableHeader">
    <w:name w:val="Table Header"/>
    <w:basedOn w:val="Normal"/>
    <w:qFormat/>
    <w:rsid w:val="007C29B5"/>
    <w:pPr>
      <w:keepNext/>
      <w:spacing w:before="40" w:after="40"/>
      <w:jc w:val="center"/>
    </w:pPr>
    <w:rPr>
      <w:b/>
      <w:bCs/>
    </w:rPr>
  </w:style>
  <w:style w:type="paragraph" w:customStyle="1" w:styleId="Tabletext0">
    <w:name w:val="Table text"/>
    <w:basedOn w:val="Normal"/>
    <w:qFormat/>
    <w:rsid w:val="007C29B5"/>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0935">
      <w:bodyDiv w:val="1"/>
      <w:marLeft w:val="0"/>
      <w:marRight w:val="0"/>
      <w:marTop w:val="0"/>
      <w:marBottom w:val="0"/>
      <w:divBdr>
        <w:top w:val="none" w:sz="0" w:space="0" w:color="auto"/>
        <w:left w:val="none" w:sz="0" w:space="0" w:color="auto"/>
        <w:bottom w:val="none" w:sz="0" w:space="0" w:color="auto"/>
        <w:right w:val="none" w:sz="0" w:space="0" w:color="auto"/>
      </w:divBdr>
    </w:div>
    <w:div w:id="100498277">
      <w:bodyDiv w:val="1"/>
      <w:marLeft w:val="0"/>
      <w:marRight w:val="0"/>
      <w:marTop w:val="0"/>
      <w:marBottom w:val="0"/>
      <w:divBdr>
        <w:top w:val="none" w:sz="0" w:space="0" w:color="auto"/>
        <w:left w:val="none" w:sz="0" w:space="0" w:color="auto"/>
        <w:bottom w:val="none" w:sz="0" w:space="0" w:color="auto"/>
        <w:right w:val="none" w:sz="0" w:space="0" w:color="auto"/>
      </w:divBdr>
    </w:div>
    <w:div w:id="303315530">
      <w:bodyDiv w:val="1"/>
      <w:marLeft w:val="0"/>
      <w:marRight w:val="0"/>
      <w:marTop w:val="0"/>
      <w:marBottom w:val="0"/>
      <w:divBdr>
        <w:top w:val="none" w:sz="0" w:space="0" w:color="auto"/>
        <w:left w:val="none" w:sz="0" w:space="0" w:color="auto"/>
        <w:bottom w:val="none" w:sz="0" w:space="0" w:color="auto"/>
        <w:right w:val="none" w:sz="0" w:space="0" w:color="auto"/>
      </w:divBdr>
    </w:div>
    <w:div w:id="474378155">
      <w:bodyDiv w:val="1"/>
      <w:marLeft w:val="0"/>
      <w:marRight w:val="0"/>
      <w:marTop w:val="0"/>
      <w:marBottom w:val="0"/>
      <w:divBdr>
        <w:top w:val="none" w:sz="0" w:space="0" w:color="auto"/>
        <w:left w:val="none" w:sz="0" w:space="0" w:color="auto"/>
        <w:bottom w:val="none" w:sz="0" w:space="0" w:color="auto"/>
        <w:right w:val="none" w:sz="0" w:space="0" w:color="auto"/>
      </w:divBdr>
    </w:div>
    <w:div w:id="545484100">
      <w:bodyDiv w:val="1"/>
      <w:marLeft w:val="0"/>
      <w:marRight w:val="0"/>
      <w:marTop w:val="0"/>
      <w:marBottom w:val="0"/>
      <w:divBdr>
        <w:top w:val="none" w:sz="0" w:space="0" w:color="auto"/>
        <w:left w:val="none" w:sz="0" w:space="0" w:color="auto"/>
        <w:bottom w:val="none" w:sz="0" w:space="0" w:color="auto"/>
        <w:right w:val="none" w:sz="0" w:space="0" w:color="auto"/>
      </w:divBdr>
    </w:div>
    <w:div w:id="622149192">
      <w:bodyDiv w:val="1"/>
      <w:marLeft w:val="4"/>
      <w:marRight w:val="4"/>
      <w:marTop w:val="4"/>
      <w:marBottom w:val="4"/>
      <w:divBdr>
        <w:top w:val="none" w:sz="0" w:space="0" w:color="auto"/>
        <w:left w:val="none" w:sz="0" w:space="0" w:color="auto"/>
        <w:bottom w:val="none" w:sz="0" w:space="0" w:color="auto"/>
        <w:right w:val="none" w:sz="0" w:space="0" w:color="auto"/>
      </w:divBdr>
      <w:divsChild>
        <w:div w:id="66419965">
          <w:marLeft w:val="0"/>
          <w:marRight w:val="0"/>
          <w:marTop w:val="0"/>
          <w:marBottom w:val="0"/>
          <w:divBdr>
            <w:top w:val="none" w:sz="0" w:space="0" w:color="auto"/>
            <w:left w:val="none" w:sz="0" w:space="0" w:color="auto"/>
            <w:bottom w:val="none" w:sz="0" w:space="0" w:color="auto"/>
            <w:right w:val="none" w:sz="0" w:space="0" w:color="auto"/>
          </w:divBdr>
          <w:divsChild>
            <w:div w:id="1293050884">
              <w:marLeft w:val="0"/>
              <w:marRight w:val="0"/>
              <w:marTop w:val="0"/>
              <w:marBottom w:val="0"/>
              <w:divBdr>
                <w:top w:val="none" w:sz="0" w:space="0" w:color="auto"/>
                <w:left w:val="none" w:sz="0" w:space="0" w:color="auto"/>
                <w:bottom w:val="none" w:sz="0" w:space="0" w:color="auto"/>
                <w:right w:val="none" w:sz="0" w:space="0" w:color="auto"/>
              </w:divBdr>
              <w:divsChild>
                <w:div w:id="1081756069">
                  <w:marLeft w:val="0"/>
                  <w:marRight w:val="0"/>
                  <w:marTop w:val="0"/>
                  <w:marBottom w:val="180"/>
                  <w:divBdr>
                    <w:top w:val="none" w:sz="0" w:space="0" w:color="auto"/>
                    <w:left w:val="none" w:sz="0" w:space="0" w:color="auto"/>
                    <w:bottom w:val="none" w:sz="0" w:space="0" w:color="auto"/>
                    <w:right w:val="none" w:sz="0" w:space="0" w:color="auto"/>
                  </w:divBdr>
                  <w:divsChild>
                    <w:div w:id="810368753">
                      <w:marLeft w:val="0"/>
                      <w:marRight w:val="0"/>
                      <w:marTop w:val="0"/>
                      <w:marBottom w:val="0"/>
                      <w:divBdr>
                        <w:top w:val="none" w:sz="0" w:space="0" w:color="auto"/>
                        <w:left w:val="none" w:sz="0" w:space="0" w:color="auto"/>
                        <w:bottom w:val="none" w:sz="0" w:space="0" w:color="auto"/>
                        <w:right w:val="none" w:sz="0" w:space="0" w:color="auto"/>
                      </w:divBdr>
                      <w:divsChild>
                        <w:div w:id="2145268744">
                          <w:marLeft w:val="0"/>
                          <w:marRight w:val="0"/>
                          <w:marTop w:val="0"/>
                          <w:marBottom w:val="0"/>
                          <w:divBdr>
                            <w:top w:val="none" w:sz="0" w:space="0" w:color="auto"/>
                            <w:left w:val="none" w:sz="0" w:space="0" w:color="auto"/>
                            <w:bottom w:val="none" w:sz="0" w:space="0" w:color="auto"/>
                            <w:right w:val="none" w:sz="0" w:space="0" w:color="auto"/>
                          </w:divBdr>
                          <w:divsChild>
                            <w:div w:id="16730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7065">
      <w:bodyDiv w:val="1"/>
      <w:marLeft w:val="0"/>
      <w:marRight w:val="0"/>
      <w:marTop w:val="0"/>
      <w:marBottom w:val="0"/>
      <w:divBdr>
        <w:top w:val="none" w:sz="0" w:space="0" w:color="auto"/>
        <w:left w:val="none" w:sz="0" w:space="0" w:color="auto"/>
        <w:bottom w:val="none" w:sz="0" w:space="0" w:color="auto"/>
        <w:right w:val="none" w:sz="0" w:space="0" w:color="auto"/>
      </w:divBdr>
    </w:div>
    <w:div w:id="665132791">
      <w:bodyDiv w:val="1"/>
      <w:marLeft w:val="0"/>
      <w:marRight w:val="0"/>
      <w:marTop w:val="0"/>
      <w:marBottom w:val="0"/>
      <w:divBdr>
        <w:top w:val="none" w:sz="0" w:space="0" w:color="auto"/>
        <w:left w:val="none" w:sz="0" w:space="0" w:color="auto"/>
        <w:bottom w:val="none" w:sz="0" w:space="0" w:color="auto"/>
        <w:right w:val="none" w:sz="0" w:space="0" w:color="auto"/>
      </w:divBdr>
    </w:div>
    <w:div w:id="706611627">
      <w:bodyDiv w:val="1"/>
      <w:marLeft w:val="0"/>
      <w:marRight w:val="0"/>
      <w:marTop w:val="0"/>
      <w:marBottom w:val="0"/>
      <w:divBdr>
        <w:top w:val="none" w:sz="0" w:space="0" w:color="auto"/>
        <w:left w:val="none" w:sz="0" w:space="0" w:color="auto"/>
        <w:bottom w:val="none" w:sz="0" w:space="0" w:color="auto"/>
        <w:right w:val="none" w:sz="0" w:space="0" w:color="auto"/>
      </w:divBdr>
    </w:div>
    <w:div w:id="841968077">
      <w:bodyDiv w:val="1"/>
      <w:marLeft w:val="0"/>
      <w:marRight w:val="0"/>
      <w:marTop w:val="0"/>
      <w:marBottom w:val="0"/>
      <w:divBdr>
        <w:top w:val="none" w:sz="0" w:space="0" w:color="auto"/>
        <w:left w:val="none" w:sz="0" w:space="0" w:color="auto"/>
        <w:bottom w:val="none" w:sz="0" w:space="0" w:color="auto"/>
        <w:right w:val="none" w:sz="0" w:space="0" w:color="auto"/>
      </w:divBdr>
    </w:div>
    <w:div w:id="846403533">
      <w:bodyDiv w:val="1"/>
      <w:marLeft w:val="0"/>
      <w:marRight w:val="0"/>
      <w:marTop w:val="0"/>
      <w:marBottom w:val="0"/>
      <w:divBdr>
        <w:top w:val="none" w:sz="0" w:space="0" w:color="auto"/>
        <w:left w:val="none" w:sz="0" w:space="0" w:color="auto"/>
        <w:bottom w:val="none" w:sz="0" w:space="0" w:color="auto"/>
        <w:right w:val="none" w:sz="0" w:space="0" w:color="auto"/>
      </w:divBdr>
    </w:div>
    <w:div w:id="1236429130">
      <w:bodyDiv w:val="1"/>
      <w:marLeft w:val="0"/>
      <w:marRight w:val="0"/>
      <w:marTop w:val="0"/>
      <w:marBottom w:val="0"/>
      <w:divBdr>
        <w:top w:val="none" w:sz="0" w:space="0" w:color="auto"/>
        <w:left w:val="none" w:sz="0" w:space="0" w:color="auto"/>
        <w:bottom w:val="none" w:sz="0" w:space="0" w:color="auto"/>
        <w:right w:val="none" w:sz="0" w:space="0" w:color="auto"/>
      </w:divBdr>
      <w:divsChild>
        <w:div w:id="1921282468">
          <w:marLeft w:val="0"/>
          <w:marRight w:val="0"/>
          <w:marTop w:val="0"/>
          <w:marBottom w:val="0"/>
          <w:divBdr>
            <w:top w:val="none" w:sz="0" w:space="0" w:color="auto"/>
            <w:left w:val="none" w:sz="0" w:space="0" w:color="auto"/>
            <w:bottom w:val="none" w:sz="0" w:space="0" w:color="auto"/>
            <w:right w:val="none" w:sz="0" w:space="0" w:color="auto"/>
          </w:divBdr>
          <w:divsChild>
            <w:div w:id="1998341842">
              <w:marLeft w:val="0"/>
              <w:marRight w:val="0"/>
              <w:marTop w:val="0"/>
              <w:marBottom w:val="0"/>
              <w:divBdr>
                <w:top w:val="none" w:sz="0" w:space="0" w:color="auto"/>
                <w:left w:val="none" w:sz="0" w:space="0" w:color="auto"/>
                <w:bottom w:val="none" w:sz="0" w:space="0" w:color="auto"/>
                <w:right w:val="none" w:sz="0" w:space="0" w:color="auto"/>
              </w:divBdr>
              <w:divsChild>
                <w:div w:id="126439369">
                  <w:marLeft w:val="0"/>
                  <w:marRight w:val="0"/>
                  <w:marTop w:val="0"/>
                  <w:marBottom w:val="0"/>
                  <w:divBdr>
                    <w:top w:val="none" w:sz="0" w:space="0" w:color="auto"/>
                    <w:left w:val="none" w:sz="0" w:space="0" w:color="auto"/>
                    <w:bottom w:val="none" w:sz="0" w:space="0" w:color="auto"/>
                    <w:right w:val="none" w:sz="0" w:space="0" w:color="auto"/>
                  </w:divBdr>
                  <w:divsChild>
                    <w:div w:id="229925511">
                      <w:marLeft w:val="0"/>
                      <w:marRight w:val="0"/>
                      <w:marTop w:val="0"/>
                      <w:marBottom w:val="0"/>
                      <w:divBdr>
                        <w:top w:val="none" w:sz="0" w:space="0" w:color="auto"/>
                        <w:left w:val="none" w:sz="0" w:space="0" w:color="auto"/>
                        <w:bottom w:val="none" w:sz="0" w:space="0" w:color="auto"/>
                        <w:right w:val="none" w:sz="0" w:space="0" w:color="auto"/>
                      </w:divBdr>
                      <w:divsChild>
                        <w:div w:id="330642609">
                          <w:marLeft w:val="0"/>
                          <w:marRight w:val="0"/>
                          <w:marTop w:val="0"/>
                          <w:marBottom w:val="0"/>
                          <w:divBdr>
                            <w:top w:val="none" w:sz="0" w:space="0" w:color="auto"/>
                            <w:left w:val="none" w:sz="0" w:space="0" w:color="auto"/>
                            <w:bottom w:val="none" w:sz="0" w:space="0" w:color="auto"/>
                            <w:right w:val="none" w:sz="0" w:space="0" w:color="auto"/>
                          </w:divBdr>
                          <w:divsChild>
                            <w:div w:id="1680696040">
                              <w:marLeft w:val="0"/>
                              <w:marRight w:val="0"/>
                              <w:marTop w:val="0"/>
                              <w:marBottom w:val="0"/>
                              <w:divBdr>
                                <w:top w:val="none" w:sz="0" w:space="0" w:color="auto"/>
                                <w:left w:val="none" w:sz="0" w:space="0" w:color="auto"/>
                                <w:bottom w:val="none" w:sz="0" w:space="0" w:color="auto"/>
                                <w:right w:val="none" w:sz="0" w:space="0" w:color="auto"/>
                              </w:divBdr>
                              <w:divsChild>
                                <w:div w:id="1572302978">
                                  <w:marLeft w:val="0"/>
                                  <w:marRight w:val="0"/>
                                  <w:marTop w:val="0"/>
                                  <w:marBottom w:val="0"/>
                                  <w:divBdr>
                                    <w:top w:val="none" w:sz="0" w:space="0" w:color="auto"/>
                                    <w:left w:val="none" w:sz="0" w:space="0" w:color="auto"/>
                                    <w:bottom w:val="none" w:sz="0" w:space="0" w:color="auto"/>
                                    <w:right w:val="none" w:sz="0" w:space="0" w:color="auto"/>
                                  </w:divBdr>
                                  <w:divsChild>
                                    <w:div w:id="138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282255">
      <w:bodyDiv w:val="1"/>
      <w:marLeft w:val="0"/>
      <w:marRight w:val="0"/>
      <w:marTop w:val="0"/>
      <w:marBottom w:val="0"/>
      <w:divBdr>
        <w:top w:val="none" w:sz="0" w:space="0" w:color="auto"/>
        <w:left w:val="none" w:sz="0" w:space="0" w:color="auto"/>
        <w:bottom w:val="none" w:sz="0" w:space="0" w:color="auto"/>
        <w:right w:val="none" w:sz="0" w:space="0" w:color="auto"/>
      </w:divBdr>
    </w:div>
    <w:div w:id="1297024574">
      <w:bodyDiv w:val="1"/>
      <w:marLeft w:val="0"/>
      <w:marRight w:val="0"/>
      <w:marTop w:val="0"/>
      <w:marBottom w:val="0"/>
      <w:divBdr>
        <w:top w:val="none" w:sz="0" w:space="0" w:color="auto"/>
        <w:left w:val="none" w:sz="0" w:space="0" w:color="auto"/>
        <w:bottom w:val="none" w:sz="0" w:space="0" w:color="auto"/>
        <w:right w:val="none" w:sz="0" w:space="0" w:color="auto"/>
      </w:divBdr>
    </w:div>
    <w:div w:id="1340350827">
      <w:bodyDiv w:val="1"/>
      <w:marLeft w:val="0"/>
      <w:marRight w:val="0"/>
      <w:marTop w:val="0"/>
      <w:marBottom w:val="0"/>
      <w:divBdr>
        <w:top w:val="none" w:sz="0" w:space="0" w:color="auto"/>
        <w:left w:val="none" w:sz="0" w:space="0" w:color="auto"/>
        <w:bottom w:val="none" w:sz="0" w:space="0" w:color="auto"/>
        <w:right w:val="none" w:sz="0" w:space="0" w:color="auto"/>
      </w:divBdr>
    </w:div>
    <w:div w:id="1355886988">
      <w:bodyDiv w:val="1"/>
      <w:marLeft w:val="4"/>
      <w:marRight w:val="4"/>
      <w:marTop w:val="4"/>
      <w:marBottom w:val="4"/>
      <w:divBdr>
        <w:top w:val="none" w:sz="0" w:space="0" w:color="auto"/>
        <w:left w:val="none" w:sz="0" w:space="0" w:color="auto"/>
        <w:bottom w:val="none" w:sz="0" w:space="0" w:color="auto"/>
        <w:right w:val="none" w:sz="0" w:space="0" w:color="auto"/>
      </w:divBdr>
      <w:divsChild>
        <w:div w:id="1831750450">
          <w:marLeft w:val="0"/>
          <w:marRight w:val="0"/>
          <w:marTop w:val="0"/>
          <w:marBottom w:val="0"/>
          <w:divBdr>
            <w:top w:val="none" w:sz="0" w:space="0" w:color="auto"/>
            <w:left w:val="none" w:sz="0" w:space="0" w:color="auto"/>
            <w:bottom w:val="none" w:sz="0" w:space="0" w:color="auto"/>
            <w:right w:val="none" w:sz="0" w:space="0" w:color="auto"/>
          </w:divBdr>
          <w:divsChild>
            <w:div w:id="196310587">
              <w:marLeft w:val="0"/>
              <w:marRight w:val="0"/>
              <w:marTop w:val="0"/>
              <w:marBottom w:val="0"/>
              <w:divBdr>
                <w:top w:val="none" w:sz="0" w:space="0" w:color="auto"/>
                <w:left w:val="none" w:sz="0" w:space="0" w:color="auto"/>
                <w:bottom w:val="none" w:sz="0" w:space="0" w:color="auto"/>
                <w:right w:val="none" w:sz="0" w:space="0" w:color="auto"/>
              </w:divBdr>
              <w:divsChild>
                <w:div w:id="760490381">
                  <w:marLeft w:val="0"/>
                  <w:marRight w:val="0"/>
                  <w:marTop w:val="0"/>
                  <w:marBottom w:val="180"/>
                  <w:divBdr>
                    <w:top w:val="none" w:sz="0" w:space="0" w:color="auto"/>
                    <w:left w:val="none" w:sz="0" w:space="0" w:color="auto"/>
                    <w:bottom w:val="none" w:sz="0" w:space="0" w:color="auto"/>
                    <w:right w:val="none" w:sz="0" w:space="0" w:color="auto"/>
                  </w:divBdr>
                  <w:divsChild>
                    <w:div w:id="546912208">
                      <w:marLeft w:val="0"/>
                      <w:marRight w:val="0"/>
                      <w:marTop w:val="0"/>
                      <w:marBottom w:val="0"/>
                      <w:divBdr>
                        <w:top w:val="none" w:sz="0" w:space="0" w:color="auto"/>
                        <w:left w:val="none" w:sz="0" w:space="0" w:color="auto"/>
                        <w:bottom w:val="none" w:sz="0" w:space="0" w:color="auto"/>
                        <w:right w:val="none" w:sz="0" w:space="0" w:color="auto"/>
                      </w:divBdr>
                      <w:divsChild>
                        <w:div w:id="1048260619">
                          <w:marLeft w:val="0"/>
                          <w:marRight w:val="0"/>
                          <w:marTop w:val="0"/>
                          <w:marBottom w:val="0"/>
                          <w:divBdr>
                            <w:top w:val="none" w:sz="0" w:space="0" w:color="auto"/>
                            <w:left w:val="none" w:sz="0" w:space="0" w:color="auto"/>
                            <w:bottom w:val="none" w:sz="0" w:space="0" w:color="auto"/>
                            <w:right w:val="none" w:sz="0" w:space="0" w:color="auto"/>
                          </w:divBdr>
                          <w:divsChild>
                            <w:div w:id="17770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544252">
      <w:bodyDiv w:val="1"/>
      <w:marLeft w:val="0"/>
      <w:marRight w:val="0"/>
      <w:marTop w:val="0"/>
      <w:marBottom w:val="0"/>
      <w:divBdr>
        <w:top w:val="none" w:sz="0" w:space="0" w:color="auto"/>
        <w:left w:val="none" w:sz="0" w:space="0" w:color="auto"/>
        <w:bottom w:val="none" w:sz="0" w:space="0" w:color="auto"/>
        <w:right w:val="none" w:sz="0" w:space="0" w:color="auto"/>
      </w:divBdr>
    </w:div>
    <w:div w:id="1416628381">
      <w:bodyDiv w:val="1"/>
      <w:marLeft w:val="0"/>
      <w:marRight w:val="0"/>
      <w:marTop w:val="0"/>
      <w:marBottom w:val="0"/>
      <w:divBdr>
        <w:top w:val="none" w:sz="0" w:space="0" w:color="auto"/>
        <w:left w:val="none" w:sz="0" w:space="0" w:color="auto"/>
        <w:bottom w:val="none" w:sz="0" w:space="0" w:color="auto"/>
        <w:right w:val="none" w:sz="0" w:space="0" w:color="auto"/>
      </w:divBdr>
    </w:div>
    <w:div w:id="1503082175">
      <w:bodyDiv w:val="1"/>
      <w:marLeft w:val="0"/>
      <w:marRight w:val="0"/>
      <w:marTop w:val="0"/>
      <w:marBottom w:val="0"/>
      <w:divBdr>
        <w:top w:val="none" w:sz="0" w:space="0" w:color="auto"/>
        <w:left w:val="none" w:sz="0" w:space="0" w:color="auto"/>
        <w:bottom w:val="none" w:sz="0" w:space="0" w:color="auto"/>
        <w:right w:val="none" w:sz="0" w:space="0" w:color="auto"/>
      </w:divBdr>
      <w:divsChild>
        <w:div w:id="433325122">
          <w:marLeft w:val="0"/>
          <w:marRight w:val="0"/>
          <w:marTop w:val="0"/>
          <w:marBottom w:val="0"/>
          <w:divBdr>
            <w:top w:val="none" w:sz="0" w:space="0" w:color="auto"/>
            <w:left w:val="none" w:sz="0" w:space="0" w:color="auto"/>
            <w:bottom w:val="none" w:sz="0" w:space="0" w:color="auto"/>
            <w:right w:val="none" w:sz="0" w:space="0" w:color="auto"/>
          </w:divBdr>
          <w:divsChild>
            <w:div w:id="1888028056">
              <w:marLeft w:val="0"/>
              <w:marRight w:val="0"/>
              <w:marTop w:val="0"/>
              <w:marBottom w:val="0"/>
              <w:divBdr>
                <w:top w:val="none" w:sz="0" w:space="0" w:color="auto"/>
                <w:left w:val="none" w:sz="0" w:space="0" w:color="auto"/>
                <w:bottom w:val="none" w:sz="0" w:space="0" w:color="auto"/>
                <w:right w:val="none" w:sz="0" w:space="0" w:color="auto"/>
              </w:divBdr>
              <w:divsChild>
                <w:div w:id="1896811854">
                  <w:marLeft w:val="0"/>
                  <w:marRight w:val="0"/>
                  <w:marTop w:val="0"/>
                  <w:marBottom w:val="0"/>
                  <w:divBdr>
                    <w:top w:val="none" w:sz="0" w:space="0" w:color="auto"/>
                    <w:left w:val="none" w:sz="0" w:space="0" w:color="auto"/>
                    <w:bottom w:val="none" w:sz="0" w:space="0" w:color="auto"/>
                    <w:right w:val="none" w:sz="0" w:space="0" w:color="auto"/>
                  </w:divBdr>
                  <w:divsChild>
                    <w:div w:id="7753657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33910899">
      <w:bodyDiv w:val="1"/>
      <w:marLeft w:val="0"/>
      <w:marRight w:val="0"/>
      <w:marTop w:val="0"/>
      <w:marBottom w:val="0"/>
      <w:divBdr>
        <w:top w:val="none" w:sz="0" w:space="0" w:color="auto"/>
        <w:left w:val="none" w:sz="0" w:space="0" w:color="auto"/>
        <w:bottom w:val="none" w:sz="0" w:space="0" w:color="auto"/>
        <w:right w:val="none" w:sz="0" w:space="0" w:color="auto"/>
      </w:divBdr>
    </w:div>
    <w:div w:id="1835029912">
      <w:bodyDiv w:val="1"/>
      <w:marLeft w:val="0"/>
      <w:marRight w:val="0"/>
      <w:marTop w:val="0"/>
      <w:marBottom w:val="0"/>
      <w:divBdr>
        <w:top w:val="none" w:sz="0" w:space="0" w:color="auto"/>
        <w:left w:val="none" w:sz="0" w:space="0" w:color="auto"/>
        <w:bottom w:val="none" w:sz="0" w:space="0" w:color="auto"/>
        <w:right w:val="none" w:sz="0" w:space="0" w:color="auto"/>
      </w:divBdr>
    </w:div>
    <w:div w:id="1923828978">
      <w:bodyDiv w:val="1"/>
      <w:marLeft w:val="0"/>
      <w:marRight w:val="0"/>
      <w:marTop w:val="0"/>
      <w:marBottom w:val="0"/>
      <w:divBdr>
        <w:top w:val="none" w:sz="0" w:space="0" w:color="auto"/>
        <w:left w:val="none" w:sz="0" w:space="0" w:color="auto"/>
        <w:bottom w:val="none" w:sz="0" w:space="0" w:color="auto"/>
        <w:right w:val="none" w:sz="0" w:space="0" w:color="auto"/>
      </w:divBdr>
    </w:div>
    <w:div w:id="1989900788">
      <w:bodyDiv w:val="1"/>
      <w:marLeft w:val="0"/>
      <w:marRight w:val="0"/>
      <w:marTop w:val="0"/>
      <w:marBottom w:val="0"/>
      <w:divBdr>
        <w:top w:val="none" w:sz="0" w:space="0" w:color="auto"/>
        <w:left w:val="none" w:sz="0" w:space="0" w:color="auto"/>
        <w:bottom w:val="none" w:sz="0" w:space="0" w:color="auto"/>
        <w:right w:val="none" w:sz="0" w:space="0" w:color="auto"/>
      </w:divBdr>
      <w:divsChild>
        <w:div w:id="2116827720">
          <w:marLeft w:val="0"/>
          <w:marRight w:val="0"/>
          <w:marTop w:val="0"/>
          <w:marBottom w:val="0"/>
          <w:divBdr>
            <w:top w:val="none" w:sz="0" w:space="0" w:color="auto"/>
            <w:left w:val="none" w:sz="0" w:space="0" w:color="auto"/>
            <w:bottom w:val="none" w:sz="0" w:space="0" w:color="auto"/>
            <w:right w:val="none" w:sz="0" w:space="0" w:color="auto"/>
          </w:divBdr>
          <w:divsChild>
            <w:div w:id="1267349127">
              <w:marLeft w:val="0"/>
              <w:marRight w:val="0"/>
              <w:marTop w:val="300"/>
              <w:marBottom w:val="0"/>
              <w:divBdr>
                <w:top w:val="none" w:sz="0" w:space="0" w:color="auto"/>
                <w:left w:val="none" w:sz="0" w:space="0" w:color="auto"/>
                <w:bottom w:val="none" w:sz="0" w:space="0" w:color="auto"/>
                <w:right w:val="none" w:sz="0" w:space="0" w:color="auto"/>
              </w:divBdr>
              <w:divsChild>
                <w:div w:id="641272958">
                  <w:marLeft w:val="150"/>
                  <w:marRight w:val="150"/>
                  <w:marTop w:val="0"/>
                  <w:marBottom w:val="0"/>
                  <w:divBdr>
                    <w:top w:val="none" w:sz="0" w:space="0" w:color="auto"/>
                    <w:left w:val="none" w:sz="0" w:space="0" w:color="auto"/>
                    <w:bottom w:val="none" w:sz="0" w:space="0" w:color="auto"/>
                    <w:right w:val="none" w:sz="0" w:space="0" w:color="auto"/>
                  </w:divBdr>
                  <w:divsChild>
                    <w:div w:id="981152224">
                      <w:marLeft w:val="0"/>
                      <w:marRight w:val="0"/>
                      <w:marTop w:val="0"/>
                      <w:marBottom w:val="210"/>
                      <w:divBdr>
                        <w:top w:val="single" w:sz="6" w:space="0" w:color="E6E6E6"/>
                        <w:left w:val="single" w:sz="6" w:space="0" w:color="E6E6E6"/>
                        <w:bottom w:val="single" w:sz="6" w:space="0" w:color="E6E6E6"/>
                        <w:right w:val="single" w:sz="6" w:space="0" w:color="E6E6E6"/>
                      </w:divBdr>
                      <w:divsChild>
                        <w:div w:id="1234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558583">
      <w:bodyDiv w:val="1"/>
      <w:marLeft w:val="0"/>
      <w:marRight w:val="0"/>
      <w:marTop w:val="0"/>
      <w:marBottom w:val="0"/>
      <w:divBdr>
        <w:top w:val="none" w:sz="0" w:space="0" w:color="auto"/>
        <w:left w:val="none" w:sz="0" w:space="0" w:color="auto"/>
        <w:bottom w:val="none" w:sz="0" w:space="0" w:color="auto"/>
        <w:right w:val="none" w:sz="0" w:space="0" w:color="auto"/>
      </w:divBdr>
    </w:div>
    <w:div w:id="2108575576">
      <w:bodyDiv w:val="1"/>
      <w:marLeft w:val="0"/>
      <w:marRight w:val="0"/>
      <w:marTop w:val="0"/>
      <w:marBottom w:val="0"/>
      <w:divBdr>
        <w:top w:val="none" w:sz="0" w:space="0" w:color="auto"/>
        <w:left w:val="none" w:sz="0" w:space="0" w:color="auto"/>
        <w:bottom w:val="none" w:sz="0" w:space="0" w:color="auto"/>
        <w:right w:val="none" w:sz="0" w:space="0" w:color="auto"/>
      </w:divBdr>
    </w:div>
    <w:div w:id="213394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oleObject" Target="embeddings/oleObject4.bin"/><Relationship Id="rId39" Type="http://schemas.openxmlformats.org/officeDocument/2006/relationships/image" Target="media/image17.wmf"/><Relationship Id="rId21" Type="http://schemas.openxmlformats.org/officeDocument/2006/relationships/image" Target="media/image7.jpe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image" Target="media/image25.wmf"/><Relationship Id="rId63" Type="http://schemas.openxmlformats.org/officeDocument/2006/relationships/hyperlink" Target="mailto:seraphine.pittbarnes@cdc.hhs.gov" TargetMode="External"/><Relationship Id="rId68" Type="http://schemas.openxmlformats.org/officeDocument/2006/relationships/hyperlink" Target="mailto:martha.engstrom@cdc.hhs.gov" TargetMode="External"/><Relationship Id="rId76" Type="http://schemas.openxmlformats.org/officeDocument/2006/relationships/hyperlink" Target="mailto:bwt4@cdc.gov" TargetMode="External"/><Relationship Id="rId84" Type="http://schemas.openxmlformats.org/officeDocument/2006/relationships/hyperlink" Target="mailto:blevine@rti.org" TargetMode="External"/><Relationship Id="rId89" Type="http://schemas.openxmlformats.org/officeDocument/2006/relationships/hyperlink" Target="mailto:hammond@rti.org" TargetMode="External"/><Relationship Id="rId7" Type="http://schemas.openxmlformats.org/officeDocument/2006/relationships/settings" Target="settings.xml"/><Relationship Id="rId71" Type="http://schemas.openxmlformats.org/officeDocument/2006/relationships/hyperlink" Target="mailto:Rosemarie.kobau@cdc.hhs.gov"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2.wmf"/><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0.bin"/><Relationship Id="rId66" Type="http://schemas.openxmlformats.org/officeDocument/2006/relationships/hyperlink" Target="mailto:igz1@cdc.gov" TargetMode="External"/><Relationship Id="rId74" Type="http://schemas.openxmlformats.org/officeDocument/2006/relationships/hyperlink" Target="mailto:louise.murphy@cdc.hhs.gov" TargetMode="External"/><Relationship Id="rId79" Type="http://schemas.openxmlformats.org/officeDocument/2006/relationships/hyperlink" Target="mailto:pzsiegel@cdc.gov" TargetMode="External"/><Relationship Id="rId87" Type="http://schemas.openxmlformats.org/officeDocument/2006/relationships/hyperlink" Target="mailto:aanater@rti.org" TargetMode="External"/><Relationship Id="rId5" Type="http://schemas.openxmlformats.org/officeDocument/2006/relationships/styles" Target="styles.xml"/><Relationship Id="rId61" Type="http://schemas.openxmlformats.org/officeDocument/2006/relationships/image" Target="media/image28.wmf"/><Relationship Id="rId82" Type="http://schemas.openxmlformats.org/officeDocument/2006/relationships/hyperlink" Target="mailto:bmuldavin@rti.org" TargetMode="External"/><Relationship Id="rId90" Type="http://schemas.openxmlformats.org/officeDocument/2006/relationships/hyperlink" Target="mailto:dcatellier@rti.org"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image" Target="media/image11.wmf"/><Relationship Id="rId30" Type="http://schemas.openxmlformats.org/officeDocument/2006/relationships/oleObject" Target="embeddings/oleObject6.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hyperlink" Target="mailto:nilka.burrows@cdc.hhs.gov" TargetMode="External"/><Relationship Id="rId69" Type="http://schemas.openxmlformats.org/officeDocument/2006/relationships/hyperlink" Target="mailto:Cgk3@cdc.gov" TargetMode="External"/><Relationship Id="rId77" Type="http://schemas.openxmlformats.org/officeDocument/2006/relationships/hyperlink" Target="mailto:Dro1@cdc.gov" TargetMode="External"/><Relationship Id="rId8" Type="http://schemas.openxmlformats.org/officeDocument/2006/relationships/webSettings" Target="webSettings.xml"/><Relationship Id="rId51" Type="http://schemas.openxmlformats.org/officeDocument/2006/relationships/image" Target="media/image23.wmf"/><Relationship Id="rId72" Type="http://schemas.openxmlformats.org/officeDocument/2006/relationships/hyperlink" Target="mailto:Ycl1@cdc.gov" TargetMode="External"/><Relationship Id="rId80" Type="http://schemas.openxmlformats.org/officeDocument/2006/relationships/hyperlink" Target="mailto:rsoler@cdc.gov" TargetMode="External"/><Relationship Id="rId85" Type="http://schemas.openxmlformats.org/officeDocument/2006/relationships/hyperlink" Target="mailto:aanater@rti.org"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7.wmf"/><Relationship Id="rId67" Type="http://schemas.openxmlformats.org/officeDocument/2006/relationships/hyperlink" Target="mailto:kday@cdc.gov" TargetMode="External"/><Relationship Id="rId20" Type="http://schemas.openxmlformats.org/officeDocument/2006/relationships/image" Target="media/image6.emf"/><Relationship Id="rId41" Type="http://schemas.openxmlformats.org/officeDocument/2006/relationships/image" Target="media/image18.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hyperlink" Target="mailto:baking@cdc.gov" TargetMode="External"/><Relationship Id="rId75" Type="http://schemas.openxmlformats.org/officeDocument/2006/relationships/hyperlink" Target="mailto:rnjai@cdc.gov" TargetMode="External"/><Relationship Id="rId83" Type="http://schemas.openxmlformats.org/officeDocument/2006/relationships/hyperlink" Target="mailto:hammond@rti.org" TargetMode="External"/><Relationship Id="rId88" Type="http://schemas.openxmlformats.org/officeDocument/2006/relationships/hyperlink" Target="mailto:blevine@rti.org" TargetMode="External"/><Relationship Id="rId91" Type="http://schemas.openxmlformats.org/officeDocument/2006/relationships/hyperlink" Target="mailto:hammond@rti.org" TargetMode="Externa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image" Target="media/image3.emf"/><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endnotes" Target="endnote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hyperlink" Target="mailto:daniel.chapman@cdc.hhs.gov" TargetMode="External"/><Relationship Id="rId73" Type="http://schemas.openxmlformats.org/officeDocument/2006/relationships/hyperlink" Target="mailto:fleetwood.loustalot@cdc.hhs.gov" TargetMode="External"/><Relationship Id="rId78" Type="http://schemas.openxmlformats.org/officeDocument/2006/relationships/hyperlink" Target="mailto:yxo1@cdc.gov" TargetMode="External"/><Relationship Id="rId81" Type="http://schemas.openxmlformats.org/officeDocument/2006/relationships/hyperlink" Target="mailto:Matthew.zack@cdc.hhs.gov" TargetMode="External"/><Relationship Id="rId86" Type="http://schemas.openxmlformats.org/officeDocument/2006/relationships/hyperlink" Target="mailto:blevine@rti.org" TargetMode="External"/><Relationship Id="rId4" Type="http://schemas.openxmlformats.org/officeDocument/2006/relationships/numbering" Target="numbering.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lists.nextmark.com/market;jsessionid=B728DEBDA6B7648AD977CE27304780A5?page=order/online/datacard&amp;id=131838" TargetMode="External"/><Relationship Id="rId1" Type="http://schemas.openxmlformats.org/officeDocument/2006/relationships/hyperlink" Target="http://www.cdc.gov/nchs/data_access/urban_rur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733F1-F14A-4781-879D-8591A09E6728}">
  <ds:schemaRefs>
    <ds:schemaRef ds:uri="http://schemas.openxmlformats.org/officeDocument/2006/bibliography"/>
  </ds:schemaRefs>
</ds:datastoreItem>
</file>

<file path=customXml/itemProps2.xml><?xml version="1.0" encoding="utf-8"?>
<ds:datastoreItem xmlns:ds="http://schemas.openxmlformats.org/officeDocument/2006/customXml" ds:itemID="{B11AA54B-0EE0-4F1C-925E-16C9DDEACDB2}">
  <ds:schemaRefs>
    <ds:schemaRef ds:uri="http://schemas.openxmlformats.org/officeDocument/2006/bibliography"/>
  </ds:schemaRefs>
</ds:datastoreItem>
</file>

<file path=customXml/itemProps3.xml><?xml version="1.0" encoding="utf-8"?>
<ds:datastoreItem xmlns:ds="http://schemas.openxmlformats.org/officeDocument/2006/customXml" ds:itemID="{E0289DD6-7915-4077-8E8D-E7BA55F4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13222</Words>
  <Characters>75368</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88414</CharactersWithSpaces>
  <SharedDoc>false</SharedDoc>
  <HyperlinkBase/>
  <HLinks>
    <vt:vector size="258" baseType="variant">
      <vt:variant>
        <vt:i4>5373972</vt:i4>
      </vt:variant>
      <vt:variant>
        <vt:i4>213</vt:i4>
      </vt:variant>
      <vt:variant>
        <vt:i4>0</vt:i4>
      </vt:variant>
      <vt:variant>
        <vt:i4>5</vt:i4>
      </vt:variant>
      <vt:variant>
        <vt:lpwstr>http://www.bls.gov/cew/ew10table6.pdf</vt:lpwstr>
      </vt:variant>
      <vt:variant>
        <vt:lpwstr/>
      </vt:variant>
      <vt:variant>
        <vt:i4>1245240</vt:i4>
      </vt:variant>
      <vt:variant>
        <vt:i4>210</vt:i4>
      </vt:variant>
      <vt:variant>
        <vt:i4>0</vt:i4>
      </vt:variant>
      <vt:variant>
        <vt:i4>5</vt:i4>
      </vt:variant>
      <vt:variant>
        <vt:lpwstr>mailto:cschmitt@rti.org</vt:lpwstr>
      </vt:variant>
      <vt:variant>
        <vt:lpwstr/>
      </vt:variant>
      <vt:variant>
        <vt:i4>3801118</vt:i4>
      </vt:variant>
      <vt:variant>
        <vt:i4>207</vt:i4>
      </vt:variant>
      <vt:variant>
        <vt:i4>0</vt:i4>
      </vt:variant>
      <vt:variant>
        <vt:i4>5</vt:i4>
      </vt:variant>
      <vt:variant>
        <vt:lpwstr>mailto:jsallis@ucsd.edu</vt:lpwstr>
      </vt:variant>
      <vt:variant>
        <vt:lpwstr/>
      </vt:variant>
      <vt:variant>
        <vt:i4>7209027</vt:i4>
      </vt:variant>
      <vt:variant>
        <vt:i4>204</vt:i4>
      </vt:variant>
      <vt:variant>
        <vt:i4>0</vt:i4>
      </vt:variant>
      <vt:variant>
        <vt:i4>5</vt:i4>
      </vt:variant>
      <vt:variant>
        <vt:lpwstr>mailto:jnonnemaker@rti.org</vt:lpwstr>
      </vt:variant>
      <vt:variant>
        <vt:lpwstr/>
      </vt:variant>
      <vt:variant>
        <vt:i4>7864409</vt:i4>
      </vt:variant>
      <vt:variant>
        <vt:i4>201</vt:i4>
      </vt:variant>
      <vt:variant>
        <vt:i4>0</vt:i4>
      </vt:variant>
      <vt:variant>
        <vt:i4>5</vt:i4>
      </vt:variant>
      <vt:variant>
        <vt:lpwstr>mailto:lalytle@umn.edu</vt:lpwstr>
      </vt:variant>
      <vt:variant>
        <vt:lpwstr/>
      </vt:variant>
      <vt:variant>
        <vt:i4>7602251</vt:i4>
      </vt:variant>
      <vt:variant>
        <vt:i4>198</vt:i4>
      </vt:variant>
      <vt:variant>
        <vt:i4>0</vt:i4>
      </vt:variant>
      <vt:variant>
        <vt:i4>5</vt:i4>
      </vt:variant>
      <vt:variant>
        <vt:lpwstr>mailto:melewis@rti.org</vt:lpwstr>
      </vt:variant>
      <vt:variant>
        <vt:lpwstr/>
      </vt:variant>
      <vt:variant>
        <vt:i4>2949136</vt:i4>
      </vt:variant>
      <vt:variant>
        <vt:i4>195</vt:i4>
      </vt:variant>
      <vt:variant>
        <vt:i4>0</vt:i4>
      </vt:variant>
      <vt:variant>
        <vt:i4>5</vt:i4>
      </vt:variant>
      <vt:variant>
        <vt:lpwstr>mailto:clesesne@icfi.org</vt:lpwstr>
      </vt:variant>
      <vt:variant>
        <vt:lpwstr/>
      </vt:variant>
      <vt:variant>
        <vt:i4>5898273</vt:i4>
      </vt:variant>
      <vt:variant>
        <vt:i4>192</vt:i4>
      </vt:variant>
      <vt:variant>
        <vt:i4>0</vt:i4>
      </vt:variant>
      <vt:variant>
        <vt:i4>5</vt:i4>
      </vt:variant>
      <vt:variant>
        <vt:lpwstr>mailto:Andrew.Hyland@RoswellPark.org</vt:lpwstr>
      </vt:variant>
      <vt:variant>
        <vt:lpwstr/>
      </vt:variant>
      <vt:variant>
        <vt:i4>7667793</vt:i4>
      </vt:variant>
      <vt:variant>
        <vt:i4>189</vt:i4>
      </vt:variant>
      <vt:variant>
        <vt:i4>0</vt:i4>
      </vt:variant>
      <vt:variant>
        <vt:i4>5</vt:i4>
      </vt:variant>
      <vt:variant>
        <vt:lpwstr>mailto:hersey@rti.org</vt:lpwstr>
      </vt:variant>
      <vt:variant>
        <vt:lpwstr/>
      </vt:variant>
      <vt:variant>
        <vt:i4>2293855</vt:i4>
      </vt:variant>
      <vt:variant>
        <vt:i4>186</vt:i4>
      </vt:variant>
      <vt:variant>
        <vt:i4>0</vt:i4>
      </vt:variant>
      <vt:variant>
        <vt:i4>5</vt:i4>
      </vt:variant>
      <vt:variant>
        <vt:lpwstr>mailto:Charris5@icfi.org</vt:lpwstr>
      </vt:variant>
      <vt:variant>
        <vt:lpwstr/>
      </vt:variant>
      <vt:variant>
        <vt:i4>7995457</vt:i4>
      </vt:variant>
      <vt:variant>
        <vt:i4>183</vt:i4>
      </vt:variant>
      <vt:variant>
        <vt:i4>0</vt:i4>
      </vt:variant>
      <vt:variant>
        <vt:i4>5</vt:i4>
      </vt:variant>
      <vt:variant>
        <vt:lpwstr>mailto:mcf@rti.org</vt:lpwstr>
      </vt:variant>
      <vt:variant>
        <vt:lpwstr/>
      </vt:variant>
      <vt:variant>
        <vt:i4>8061001</vt:i4>
      </vt:variant>
      <vt:variant>
        <vt:i4>180</vt:i4>
      </vt:variant>
      <vt:variant>
        <vt:i4>0</vt:i4>
      </vt:variant>
      <vt:variant>
        <vt:i4>5</vt:i4>
      </vt:variant>
      <vt:variant>
        <vt:lpwstr>mailto:kcdavis@rti.org</vt:lpwstr>
      </vt:variant>
      <vt:variant>
        <vt:lpwstr/>
      </vt:variant>
      <vt:variant>
        <vt:i4>5963887</vt:i4>
      </vt:variant>
      <vt:variant>
        <vt:i4>177</vt:i4>
      </vt:variant>
      <vt:variant>
        <vt:i4>0</vt:i4>
      </vt:variant>
      <vt:variant>
        <vt:i4>5</vt:i4>
      </vt:variant>
      <vt:variant>
        <vt:lpwstr>mailto:mclementi@a10clinical.com</vt:lpwstr>
      </vt:variant>
      <vt:variant>
        <vt:lpwstr/>
      </vt:variant>
      <vt:variant>
        <vt:i4>6160482</vt:i4>
      </vt:variant>
      <vt:variant>
        <vt:i4>174</vt:i4>
      </vt:variant>
      <vt:variant>
        <vt:i4>0</vt:i4>
      </vt:variant>
      <vt:variant>
        <vt:i4>5</vt:i4>
      </vt:variant>
      <vt:variant>
        <vt:lpwstr>mailto:Matthew.zack@cdc.hhs.gov</vt:lpwstr>
      </vt:variant>
      <vt:variant>
        <vt:lpwstr/>
      </vt:variant>
      <vt:variant>
        <vt:i4>8323136</vt:i4>
      </vt:variant>
      <vt:variant>
        <vt:i4>171</vt:i4>
      </vt:variant>
      <vt:variant>
        <vt:i4>0</vt:i4>
      </vt:variant>
      <vt:variant>
        <vt:i4>5</vt:i4>
      </vt:variant>
      <vt:variant>
        <vt:lpwstr>mailto:rsoler@cdc.gov</vt:lpwstr>
      </vt:variant>
      <vt:variant>
        <vt:lpwstr/>
      </vt:variant>
      <vt:variant>
        <vt:i4>1114212</vt:i4>
      </vt:variant>
      <vt:variant>
        <vt:i4>168</vt:i4>
      </vt:variant>
      <vt:variant>
        <vt:i4>0</vt:i4>
      </vt:variant>
      <vt:variant>
        <vt:i4>5</vt:i4>
      </vt:variant>
      <vt:variant>
        <vt:lpwstr>mailto:yxo1@cdc.gov</vt:lpwstr>
      </vt:variant>
      <vt:variant>
        <vt:lpwstr/>
      </vt:variant>
      <vt:variant>
        <vt:i4>1114222</vt:i4>
      </vt:variant>
      <vt:variant>
        <vt:i4>165</vt:i4>
      </vt:variant>
      <vt:variant>
        <vt:i4>0</vt:i4>
      </vt:variant>
      <vt:variant>
        <vt:i4>5</vt:i4>
      </vt:variant>
      <vt:variant>
        <vt:lpwstr>mailto:bwt4@cdc.gov</vt:lpwstr>
      </vt:variant>
      <vt:variant>
        <vt:lpwstr/>
      </vt:variant>
      <vt:variant>
        <vt:i4>5243005</vt:i4>
      </vt:variant>
      <vt:variant>
        <vt:i4>162</vt:i4>
      </vt:variant>
      <vt:variant>
        <vt:i4>0</vt:i4>
      </vt:variant>
      <vt:variant>
        <vt:i4>5</vt:i4>
      </vt:variant>
      <vt:variant>
        <vt:lpwstr>mailto:louise.murphy@cdc.hhs.gov</vt:lpwstr>
      </vt:variant>
      <vt:variant>
        <vt:lpwstr/>
      </vt:variant>
      <vt:variant>
        <vt:i4>6357060</vt:i4>
      </vt:variant>
      <vt:variant>
        <vt:i4>159</vt:i4>
      </vt:variant>
      <vt:variant>
        <vt:i4>0</vt:i4>
      </vt:variant>
      <vt:variant>
        <vt:i4>5</vt:i4>
      </vt:variant>
      <vt:variant>
        <vt:lpwstr>mailto:fleetwood.loustalot@cdc.hhs.gov</vt:lpwstr>
      </vt:variant>
      <vt:variant>
        <vt:lpwstr/>
      </vt:variant>
      <vt:variant>
        <vt:i4>1179775</vt:i4>
      </vt:variant>
      <vt:variant>
        <vt:i4>156</vt:i4>
      </vt:variant>
      <vt:variant>
        <vt:i4>0</vt:i4>
      </vt:variant>
      <vt:variant>
        <vt:i4>5</vt:i4>
      </vt:variant>
      <vt:variant>
        <vt:lpwstr>mailto:Ycl1@cdc.gov</vt:lpwstr>
      </vt:variant>
      <vt:variant>
        <vt:lpwstr/>
      </vt:variant>
      <vt:variant>
        <vt:i4>7274571</vt:i4>
      </vt:variant>
      <vt:variant>
        <vt:i4>153</vt:i4>
      </vt:variant>
      <vt:variant>
        <vt:i4>0</vt:i4>
      </vt:variant>
      <vt:variant>
        <vt:i4>5</vt:i4>
      </vt:variant>
      <vt:variant>
        <vt:lpwstr>mailto:Rosemarie.kobau@cdc.hhs.gov</vt:lpwstr>
      </vt:variant>
      <vt:variant>
        <vt:lpwstr/>
      </vt:variant>
      <vt:variant>
        <vt:i4>3342340</vt:i4>
      </vt:variant>
      <vt:variant>
        <vt:i4>150</vt:i4>
      </vt:variant>
      <vt:variant>
        <vt:i4>0</vt:i4>
      </vt:variant>
      <vt:variant>
        <vt:i4>5</vt:i4>
      </vt:variant>
      <vt:variant>
        <vt:lpwstr>mailto:martha.engstrom@cdc.hhs.gov</vt:lpwstr>
      </vt:variant>
      <vt:variant>
        <vt:lpwstr/>
      </vt:variant>
      <vt:variant>
        <vt:i4>852016</vt:i4>
      </vt:variant>
      <vt:variant>
        <vt:i4>147</vt:i4>
      </vt:variant>
      <vt:variant>
        <vt:i4>0</vt:i4>
      </vt:variant>
      <vt:variant>
        <vt:i4>5</vt:i4>
      </vt:variant>
      <vt:variant>
        <vt:lpwstr>mailto:kday@cdc.gov</vt:lpwstr>
      </vt:variant>
      <vt:variant>
        <vt:lpwstr/>
      </vt:variant>
      <vt:variant>
        <vt:i4>5046395</vt:i4>
      </vt:variant>
      <vt:variant>
        <vt:i4>144</vt:i4>
      </vt:variant>
      <vt:variant>
        <vt:i4>0</vt:i4>
      </vt:variant>
      <vt:variant>
        <vt:i4>5</vt:i4>
      </vt:variant>
      <vt:variant>
        <vt:lpwstr>mailto:Seraphine.pittbarnes@cdc.hhs.gov</vt:lpwstr>
      </vt:variant>
      <vt:variant>
        <vt:lpwstr/>
      </vt:variant>
      <vt:variant>
        <vt:i4>1245247</vt:i4>
      </vt:variant>
      <vt:variant>
        <vt:i4>56</vt:i4>
      </vt:variant>
      <vt:variant>
        <vt:i4>0</vt:i4>
      </vt:variant>
      <vt:variant>
        <vt:i4>5</vt:i4>
      </vt:variant>
      <vt:variant>
        <vt:lpwstr/>
      </vt:variant>
      <vt:variant>
        <vt:lpwstr>_Toc319417466</vt:lpwstr>
      </vt:variant>
      <vt:variant>
        <vt:i4>1245247</vt:i4>
      </vt:variant>
      <vt:variant>
        <vt:i4>53</vt:i4>
      </vt:variant>
      <vt:variant>
        <vt:i4>0</vt:i4>
      </vt:variant>
      <vt:variant>
        <vt:i4>5</vt:i4>
      </vt:variant>
      <vt:variant>
        <vt:lpwstr/>
      </vt:variant>
      <vt:variant>
        <vt:lpwstr>_Toc319417465</vt:lpwstr>
      </vt:variant>
      <vt:variant>
        <vt:i4>1245247</vt:i4>
      </vt:variant>
      <vt:variant>
        <vt:i4>50</vt:i4>
      </vt:variant>
      <vt:variant>
        <vt:i4>0</vt:i4>
      </vt:variant>
      <vt:variant>
        <vt:i4>5</vt:i4>
      </vt:variant>
      <vt:variant>
        <vt:lpwstr/>
      </vt:variant>
      <vt:variant>
        <vt:lpwstr>_Toc319417464</vt:lpwstr>
      </vt:variant>
      <vt:variant>
        <vt:i4>1245247</vt:i4>
      </vt:variant>
      <vt:variant>
        <vt:i4>47</vt:i4>
      </vt:variant>
      <vt:variant>
        <vt:i4>0</vt:i4>
      </vt:variant>
      <vt:variant>
        <vt:i4>5</vt:i4>
      </vt:variant>
      <vt:variant>
        <vt:lpwstr/>
      </vt:variant>
      <vt:variant>
        <vt:lpwstr>_Toc319417463</vt:lpwstr>
      </vt:variant>
      <vt:variant>
        <vt:i4>1245247</vt:i4>
      </vt:variant>
      <vt:variant>
        <vt:i4>44</vt:i4>
      </vt:variant>
      <vt:variant>
        <vt:i4>0</vt:i4>
      </vt:variant>
      <vt:variant>
        <vt:i4>5</vt:i4>
      </vt:variant>
      <vt:variant>
        <vt:lpwstr/>
      </vt:variant>
      <vt:variant>
        <vt:lpwstr>_Toc319417462</vt:lpwstr>
      </vt:variant>
      <vt:variant>
        <vt:i4>1245247</vt:i4>
      </vt:variant>
      <vt:variant>
        <vt:i4>41</vt:i4>
      </vt:variant>
      <vt:variant>
        <vt:i4>0</vt:i4>
      </vt:variant>
      <vt:variant>
        <vt:i4>5</vt:i4>
      </vt:variant>
      <vt:variant>
        <vt:lpwstr/>
      </vt:variant>
      <vt:variant>
        <vt:lpwstr>_Toc319417461</vt:lpwstr>
      </vt:variant>
      <vt:variant>
        <vt:i4>1245247</vt:i4>
      </vt:variant>
      <vt:variant>
        <vt:i4>38</vt:i4>
      </vt:variant>
      <vt:variant>
        <vt:i4>0</vt:i4>
      </vt:variant>
      <vt:variant>
        <vt:i4>5</vt:i4>
      </vt:variant>
      <vt:variant>
        <vt:lpwstr/>
      </vt:variant>
      <vt:variant>
        <vt:lpwstr>_Toc319417460</vt:lpwstr>
      </vt:variant>
      <vt:variant>
        <vt:i4>1048639</vt:i4>
      </vt:variant>
      <vt:variant>
        <vt:i4>35</vt:i4>
      </vt:variant>
      <vt:variant>
        <vt:i4>0</vt:i4>
      </vt:variant>
      <vt:variant>
        <vt:i4>5</vt:i4>
      </vt:variant>
      <vt:variant>
        <vt:lpwstr/>
      </vt:variant>
      <vt:variant>
        <vt:lpwstr>_Toc319417459</vt:lpwstr>
      </vt:variant>
      <vt:variant>
        <vt:i4>1048639</vt:i4>
      </vt:variant>
      <vt:variant>
        <vt:i4>32</vt:i4>
      </vt:variant>
      <vt:variant>
        <vt:i4>0</vt:i4>
      </vt:variant>
      <vt:variant>
        <vt:i4>5</vt:i4>
      </vt:variant>
      <vt:variant>
        <vt:lpwstr/>
      </vt:variant>
      <vt:variant>
        <vt:lpwstr>_Toc319417458</vt:lpwstr>
      </vt:variant>
      <vt:variant>
        <vt:i4>1048639</vt:i4>
      </vt:variant>
      <vt:variant>
        <vt:i4>29</vt:i4>
      </vt:variant>
      <vt:variant>
        <vt:i4>0</vt:i4>
      </vt:variant>
      <vt:variant>
        <vt:i4>5</vt:i4>
      </vt:variant>
      <vt:variant>
        <vt:lpwstr/>
      </vt:variant>
      <vt:variant>
        <vt:lpwstr>_Toc319417457</vt:lpwstr>
      </vt:variant>
      <vt:variant>
        <vt:i4>1048639</vt:i4>
      </vt:variant>
      <vt:variant>
        <vt:i4>26</vt:i4>
      </vt:variant>
      <vt:variant>
        <vt:i4>0</vt:i4>
      </vt:variant>
      <vt:variant>
        <vt:i4>5</vt:i4>
      </vt:variant>
      <vt:variant>
        <vt:lpwstr/>
      </vt:variant>
      <vt:variant>
        <vt:lpwstr>_Toc319417456</vt:lpwstr>
      </vt:variant>
      <vt:variant>
        <vt:i4>1048639</vt:i4>
      </vt:variant>
      <vt:variant>
        <vt:i4>23</vt:i4>
      </vt:variant>
      <vt:variant>
        <vt:i4>0</vt:i4>
      </vt:variant>
      <vt:variant>
        <vt:i4>5</vt:i4>
      </vt:variant>
      <vt:variant>
        <vt:lpwstr/>
      </vt:variant>
      <vt:variant>
        <vt:lpwstr>_Toc319417455</vt:lpwstr>
      </vt:variant>
      <vt:variant>
        <vt:i4>1048639</vt:i4>
      </vt:variant>
      <vt:variant>
        <vt:i4>20</vt:i4>
      </vt:variant>
      <vt:variant>
        <vt:i4>0</vt:i4>
      </vt:variant>
      <vt:variant>
        <vt:i4>5</vt:i4>
      </vt:variant>
      <vt:variant>
        <vt:lpwstr/>
      </vt:variant>
      <vt:variant>
        <vt:lpwstr>_Toc319417454</vt:lpwstr>
      </vt:variant>
      <vt:variant>
        <vt:i4>1048639</vt:i4>
      </vt:variant>
      <vt:variant>
        <vt:i4>17</vt:i4>
      </vt:variant>
      <vt:variant>
        <vt:i4>0</vt:i4>
      </vt:variant>
      <vt:variant>
        <vt:i4>5</vt:i4>
      </vt:variant>
      <vt:variant>
        <vt:lpwstr/>
      </vt:variant>
      <vt:variant>
        <vt:lpwstr>_Toc319417453</vt:lpwstr>
      </vt:variant>
      <vt:variant>
        <vt:i4>1048639</vt:i4>
      </vt:variant>
      <vt:variant>
        <vt:i4>14</vt:i4>
      </vt:variant>
      <vt:variant>
        <vt:i4>0</vt:i4>
      </vt:variant>
      <vt:variant>
        <vt:i4>5</vt:i4>
      </vt:variant>
      <vt:variant>
        <vt:lpwstr/>
      </vt:variant>
      <vt:variant>
        <vt:lpwstr>_Toc319417452</vt:lpwstr>
      </vt:variant>
      <vt:variant>
        <vt:i4>1048639</vt:i4>
      </vt:variant>
      <vt:variant>
        <vt:i4>11</vt:i4>
      </vt:variant>
      <vt:variant>
        <vt:i4>0</vt:i4>
      </vt:variant>
      <vt:variant>
        <vt:i4>5</vt:i4>
      </vt:variant>
      <vt:variant>
        <vt:lpwstr/>
      </vt:variant>
      <vt:variant>
        <vt:lpwstr>_Toc319417451</vt:lpwstr>
      </vt:variant>
      <vt:variant>
        <vt:i4>1048639</vt:i4>
      </vt:variant>
      <vt:variant>
        <vt:i4>8</vt:i4>
      </vt:variant>
      <vt:variant>
        <vt:i4>0</vt:i4>
      </vt:variant>
      <vt:variant>
        <vt:i4>5</vt:i4>
      </vt:variant>
      <vt:variant>
        <vt:lpwstr/>
      </vt:variant>
      <vt:variant>
        <vt:lpwstr>_Toc319417450</vt:lpwstr>
      </vt:variant>
      <vt:variant>
        <vt:i4>1114175</vt:i4>
      </vt:variant>
      <vt:variant>
        <vt:i4>5</vt:i4>
      </vt:variant>
      <vt:variant>
        <vt:i4>0</vt:i4>
      </vt:variant>
      <vt:variant>
        <vt:i4>5</vt:i4>
      </vt:variant>
      <vt:variant>
        <vt:lpwstr/>
      </vt:variant>
      <vt:variant>
        <vt:lpwstr>_Toc319417449</vt:lpwstr>
      </vt:variant>
      <vt:variant>
        <vt:i4>1114175</vt:i4>
      </vt:variant>
      <vt:variant>
        <vt:i4>2</vt:i4>
      </vt:variant>
      <vt:variant>
        <vt:i4>0</vt:i4>
      </vt:variant>
      <vt:variant>
        <vt:i4>5</vt:i4>
      </vt:variant>
      <vt:variant>
        <vt:lpwstr/>
      </vt:variant>
      <vt:variant>
        <vt:lpwstr>_Toc319417448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Rogers</dc:creator>
  <cp:lastModifiedBy>CDC User</cp:lastModifiedBy>
  <cp:revision>6</cp:revision>
  <cp:lastPrinted>2013-05-22T12:43:00Z</cp:lastPrinted>
  <dcterms:created xsi:type="dcterms:W3CDTF">2013-06-18T19:19:00Z</dcterms:created>
  <dcterms:modified xsi:type="dcterms:W3CDTF">2013-08-06T14:10:00Z</dcterms:modified>
</cp:coreProperties>
</file>