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E0" w:rsidRPr="0056461F" w:rsidRDefault="007D47E0" w:rsidP="00C90014">
      <w:pPr>
        <w:pStyle w:val="CoverTitle"/>
        <w:spacing w:line="240" w:lineRule="auto"/>
        <w:jc w:val="center"/>
      </w:pPr>
    </w:p>
    <w:p w:rsidR="007D47E0" w:rsidRPr="0056461F" w:rsidRDefault="007D47E0" w:rsidP="00C90014">
      <w:pPr>
        <w:pStyle w:val="CoverTitle"/>
        <w:spacing w:line="240" w:lineRule="auto"/>
        <w:jc w:val="center"/>
      </w:pPr>
    </w:p>
    <w:p w:rsidR="00244A35" w:rsidRPr="0056461F" w:rsidRDefault="00244A35" w:rsidP="00C90014">
      <w:pPr>
        <w:autoSpaceDE w:val="0"/>
        <w:autoSpaceDN w:val="0"/>
        <w:adjustRightInd w:val="0"/>
      </w:pPr>
    </w:p>
    <w:p w:rsidR="006A5713" w:rsidRPr="0056461F" w:rsidRDefault="00244A35" w:rsidP="00C90014">
      <w:pPr>
        <w:autoSpaceDE w:val="0"/>
        <w:autoSpaceDN w:val="0"/>
        <w:adjustRightInd w:val="0"/>
        <w:jc w:val="center"/>
        <w:rPr>
          <w:b/>
          <w:bCs/>
        </w:rPr>
      </w:pPr>
      <w:r w:rsidRPr="0056461F">
        <w:rPr>
          <w:rFonts w:eastAsia="Calibri"/>
          <w:b/>
          <w:szCs w:val="24"/>
        </w:rPr>
        <w:t>Targeted Surveillance and Biometric Stud</w:t>
      </w:r>
      <w:r w:rsidR="007D3743" w:rsidRPr="0056461F">
        <w:rPr>
          <w:rFonts w:eastAsia="Calibri"/>
          <w:b/>
          <w:szCs w:val="24"/>
        </w:rPr>
        <w:t>y</w:t>
      </w:r>
      <w:r w:rsidRPr="0056461F">
        <w:rPr>
          <w:rFonts w:eastAsia="Calibri"/>
          <w:b/>
          <w:szCs w:val="24"/>
        </w:rPr>
        <w:t xml:space="preserve"> for Enhanced Evaluation of</w:t>
      </w:r>
      <w:r w:rsidR="00B2547A" w:rsidRPr="0056461F">
        <w:rPr>
          <w:rFonts w:eastAsia="Calibri"/>
          <w:b/>
          <w:szCs w:val="24"/>
        </w:rPr>
        <w:br/>
      </w:r>
      <w:r w:rsidRPr="0056461F">
        <w:rPr>
          <w:rFonts w:eastAsia="Calibri"/>
          <w:b/>
          <w:bCs/>
          <w:szCs w:val="24"/>
        </w:rPr>
        <w:t>Community Transformation Grants</w:t>
      </w: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jc w:val="center"/>
        <w:rPr>
          <w:b/>
        </w:rPr>
      </w:pPr>
      <w:r w:rsidRPr="0056461F">
        <w:rPr>
          <w:b/>
        </w:rPr>
        <w:t>New</w:t>
      </w:r>
      <w:r w:rsidR="00007905" w:rsidRPr="0056461F">
        <w:rPr>
          <w:b/>
        </w:rPr>
        <w:t xml:space="preserve"> </w:t>
      </w: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7D47E0" w:rsidP="00C90014">
      <w:pPr>
        <w:pStyle w:val="CoverText"/>
      </w:pPr>
    </w:p>
    <w:p w:rsidR="007D47E0" w:rsidRPr="0056461F" w:rsidRDefault="006A5713" w:rsidP="00C90014">
      <w:pPr>
        <w:pStyle w:val="CoverText"/>
        <w:jc w:val="center"/>
      </w:pPr>
      <w:r w:rsidRPr="0056461F">
        <w:t>Supporting Statement</w:t>
      </w:r>
    </w:p>
    <w:p w:rsidR="007D47E0" w:rsidRPr="0056461F" w:rsidRDefault="007D47E0" w:rsidP="00C90014">
      <w:pPr>
        <w:pStyle w:val="CoverText"/>
        <w:jc w:val="center"/>
      </w:pPr>
    </w:p>
    <w:p w:rsidR="006A5713" w:rsidRPr="0056461F" w:rsidRDefault="006A5713" w:rsidP="00C90014">
      <w:pPr>
        <w:pStyle w:val="CoverText"/>
        <w:jc w:val="center"/>
      </w:pPr>
      <w:r w:rsidRPr="0056461F">
        <w:t xml:space="preserve">Part </w:t>
      </w:r>
      <w:proofErr w:type="gramStart"/>
      <w:r w:rsidRPr="0056461F">
        <w:t>A</w:t>
      </w:r>
      <w:r w:rsidR="007D47E0" w:rsidRPr="0056461F">
        <w:t>—</w:t>
      </w:r>
      <w:proofErr w:type="gramEnd"/>
      <w:r w:rsidR="007D47E0" w:rsidRPr="0056461F">
        <w:t>Justification</w:t>
      </w:r>
    </w:p>
    <w:p w:rsidR="007D47E0" w:rsidRPr="0056461F" w:rsidRDefault="007D47E0" w:rsidP="00C90014">
      <w:pPr>
        <w:pStyle w:val="CoverText"/>
      </w:pPr>
    </w:p>
    <w:p w:rsidR="006A5713" w:rsidRPr="0056461F" w:rsidRDefault="006A5713" w:rsidP="00C90014">
      <w:pPr>
        <w:pStyle w:val="CoverText"/>
      </w:pPr>
    </w:p>
    <w:p w:rsidR="006A5713" w:rsidRPr="0056461F" w:rsidRDefault="006A5713" w:rsidP="00C90014">
      <w:pPr>
        <w:pStyle w:val="CoverText"/>
      </w:pPr>
    </w:p>
    <w:p w:rsidR="006A5713" w:rsidRPr="0056461F" w:rsidRDefault="006A5713" w:rsidP="00C90014"/>
    <w:p w:rsidR="007D47E0" w:rsidRPr="0056461F" w:rsidRDefault="007D47E0" w:rsidP="00C90014">
      <w:pPr>
        <w:jc w:val="center"/>
        <w:rPr>
          <w:b/>
          <w:bCs/>
          <w:iCs/>
          <w:szCs w:val="24"/>
        </w:rPr>
      </w:pPr>
    </w:p>
    <w:p w:rsidR="007D47E0" w:rsidRPr="0056461F" w:rsidRDefault="007D47E0" w:rsidP="00C90014">
      <w:pPr>
        <w:jc w:val="center"/>
        <w:rPr>
          <w:b/>
          <w:bCs/>
          <w:iCs/>
          <w:szCs w:val="24"/>
        </w:rPr>
      </w:pPr>
    </w:p>
    <w:p w:rsidR="007D47E0" w:rsidRPr="0056461F" w:rsidRDefault="007D47E0" w:rsidP="00C90014">
      <w:pPr>
        <w:jc w:val="center"/>
        <w:rPr>
          <w:b/>
          <w:bCs/>
          <w:iCs/>
          <w:szCs w:val="24"/>
        </w:rPr>
      </w:pPr>
    </w:p>
    <w:p w:rsidR="007D47E0" w:rsidRPr="0056461F" w:rsidRDefault="007D47E0" w:rsidP="00C90014">
      <w:pPr>
        <w:jc w:val="center"/>
        <w:rPr>
          <w:b/>
          <w:bCs/>
          <w:iCs/>
          <w:szCs w:val="24"/>
        </w:rPr>
      </w:pPr>
    </w:p>
    <w:p w:rsidR="007D47E0" w:rsidRPr="0056461F" w:rsidRDefault="0064167E" w:rsidP="00C90014">
      <w:pPr>
        <w:jc w:val="center"/>
        <w:rPr>
          <w:b/>
          <w:bCs/>
          <w:iCs/>
          <w:szCs w:val="24"/>
        </w:rPr>
      </w:pPr>
      <w:r w:rsidRPr="0056461F">
        <w:rPr>
          <w:b/>
          <w:bCs/>
          <w:iCs/>
          <w:szCs w:val="24"/>
        </w:rPr>
        <w:t xml:space="preserve">Original Submitted </w:t>
      </w:r>
      <w:r w:rsidR="00817EFE" w:rsidRPr="0056461F">
        <w:rPr>
          <w:b/>
          <w:bCs/>
          <w:iCs/>
          <w:szCs w:val="24"/>
        </w:rPr>
        <w:t>July</w:t>
      </w:r>
      <w:r w:rsidR="009E0E8E" w:rsidRPr="0056461F">
        <w:rPr>
          <w:b/>
          <w:bCs/>
          <w:iCs/>
          <w:szCs w:val="24"/>
        </w:rPr>
        <w:t xml:space="preserve"> </w:t>
      </w:r>
      <w:r w:rsidR="00817EFE" w:rsidRPr="0056461F">
        <w:rPr>
          <w:b/>
          <w:bCs/>
          <w:iCs/>
          <w:szCs w:val="24"/>
        </w:rPr>
        <w:t>23</w:t>
      </w:r>
      <w:r w:rsidR="007D47E0" w:rsidRPr="0056461F">
        <w:rPr>
          <w:b/>
          <w:bCs/>
          <w:iCs/>
          <w:szCs w:val="24"/>
        </w:rPr>
        <w:t>, 2012</w:t>
      </w:r>
    </w:p>
    <w:p w:rsidR="00306125" w:rsidRPr="0056461F" w:rsidRDefault="007E64EA" w:rsidP="00B65E76">
      <w:pPr>
        <w:jc w:val="center"/>
        <w:rPr>
          <w:b/>
          <w:bCs/>
          <w:iCs/>
          <w:szCs w:val="24"/>
        </w:rPr>
      </w:pPr>
      <w:r>
        <w:rPr>
          <w:b/>
          <w:bCs/>
          <w:iCs/>
          <w:szCs w:val="24"/>
        </w:rPr>
        <w:t>Revised</w:t>
      </w:r>
      <w:r w:rsidR="00306125" w:rsidRPr="0056461F">
        <w:rPr>
          <w:b/>
          <w:bCs/>
          <w:iCs/>
          <w:szCs w:val="24"/>
        </w:rPr>
        <w:t xml:space="preserve"> </w:t>
      </w:r>
      <w:r w:rsidR="005449A6">
        <w:rPr>
          <w:b/>
          <w:bCs/>
          <w:iCs/>
          <w:szCs w:val="24"/>
        </w:rPr>
        <w:t>August 6</w:t>
      </w:r>
      <w:bookmarkStart w:id="0" w:name="_GoBack"/>
      <w:bookmarkEnd w:id="0"/>
      <w:r w:rsidR="00B75FB4">
        <w:rPr>
          <w:b/>
          <w:bCs/>
          <w:iCs/>
          <w:szCs w:val="24"/>
        </w:rPr>
        <w:t xml:space="preserve">, </w:t>
      </w:r>
      <w:r w:rsidR="00470221" w:rsidRPr="0056461F">
        <w:rPr>
          <w:b/>
          <w:bCs/>
          <w:iCs/>
          <w:szCs w:val="24"/>
        </w:rPr>
        <w:t>20</w:t>
      </w:r>
      <w:r w:rsidR="00306125" w:rsidRPr="0056461F">
        <w:rPr>
          <w:b/>
          <w:bCs/>
          <w:iCs/>
          <w:szCs w:val="24"/>
        </w:rPr>
        <w:t>13</w:t>
      </w:r>
    </w:p>
    <w:p w:rsidR="007D47E0" w:rsidRPr="0056461F" w:rsidRDefault="007D47E0" w:rsidP="00C90014">
      <w:pPr>
        <w:jc w:val="center"/>
        <w:rPr>
          <w:szCs w:val="24"/>
        </w:rPr>
      </w:pPr>
    </w:p>
    <w:p w:rsidR="007D47E0" w:rsidRPr="0056461F" w:rsidRDefault="007D47E0" w:rsidP="00C90014">
      <w:pPr>
        <w:jc w:val="center"/>
        <w:rPr>
          <w:szCs w:val="24"/>
        </w:rPr>
      </w:pPr>
    </w:p>
    <w:p w:rsidR="007D47E0" w:rsidRPr="0056461F" w:rsidRDefault="007D47E0" w:rsidP="00C90014">
      <w:pPr>
        <w:rPr>
          <w:szCs w:val="24"/>
        </w:rPr>
      </w:pPr>
    </w:p>
    <w:p w:rsidR="007D47E0" w:rsidRPr="0056461F" w:rsidRDefault="007D47E0" w:rsidP="00C90014">
      <w:pPr>
        <w:jc w:val="center"/>
        <w:rPr>
          <w:szCs w:val="24"/>
        </w:rPr>
      </w:pPr>
      <w:r w:rsidRPr="0056461F">
        <w:rPr>
          <w:szCs w:val="24"/>
        </w:rPr>
        <w:t>Robin Soler, Ph</w:t>
      </w:r>
      <w:r w:rsidR="007E64EA">
        <w:rPr>
          <w:szCs w:val="24"/>
        </w:rPr>
        <w:t>.</w:t>
      </w:r>
      <w:r w:rsidRPr="0056461F">
        <w:rPr>
          <w:szCs w:val="24"/>
        </w:rPr>
        <w:t>D</w:t>
      </w:r>
      <w:r w:rsidR="007E64EA">
        <w:rPr>
          <w:szCs w:val="24"/>
        </w:rPr>
        <w:t>.</w:t>
      </w:r>
    </w:p>
    <w:p w:rsidR="007D47E0" w:rsidRPr="0056461F" w:rsidRDefault="007D47E0" w:rsidP="00B040A8">
      <w:pPr>
        <w:jc w:val="center"/>
        <w:rPr>
          <w:szCs w:val="24"/>
        </w:rPr>
      </w:pPr>
      <w:r w:rsidRPr="0056461F">
        <w:rPr>
          <w:szCs w:val="24"/>
        </w:rPr>
        <w:t>Contracting Offic</w:t>
      </w:r>
      <w:r w:rsidR="00B040A8">
        <w:rPr>
          <w:szCs w:val="24"/>
        </w:rPr>
        <w:t>er Representative (CO</w:t>
      </w:r>
      <w:r w:rsidRPr="0056461F">
        <w:rPr>
          <w:szCs w:val="24"/>
        </w:rPr>
        <w:t>R)</w:t>
      </w:r>
    </w:p>
    <w:p w:rsidR="007D47E0" w:rsidRPr="0056461F" w:rsidRDefault="007D47E0" w:rsidP="00C90014">
      <w:pPr>
        <w:jc w:val="center"/>
        <w:rPr>
          <w:szCs w:val="24"/>
        </w:rPr>
      </w:pPr>
      <w:r w:rsidRPr="0056461F">
        <w:rPr>
          <w:szCs w:val="24"/>
        </w:rPr>
        <w:t>Division of Community Health</w:t>
      </w:r>
    </w:p>
    <w:p w:rsidR="007D47E0" w:rsidRPr="0056461F" w:rsidRDefault="007D47E0" w:rsidP="00C90014">
      <w:pPr>
        <w:jc w:val="center"/>
        <w:rPr>
          <w:szCs w:val="24"/>
        </w:rPr>
      </w:pPr>
      <w:r w:rsidRPr="0056461F">
        <w:rPr>
          <w:szCs w:val="24"/>
        </w:rPr>
        <w:t>Centers for Disease Control and Prevention (CDC)</w:t>
      </w:r>
    </w:p>
    <w:p w:rsidR="007D47E0" w:rsidRPr="0056461F" w:rsidRDefault="007D47E0" w:rsidP="00C90014">
      <w:pPr>
        <w:jc w:val="center"/>
        <w:rPr>
          <w:szCs w:val="24"/>
        </w:rPr>
      </w:pPr>
      <w:r w:rsidRPr="0056461F">
        <w:rPr>
          <w:szCs w:val="24"/>
        </w:rPr>
        <w:t>4770 Buford Hwy, N.E. MS K-45</w:t>
      </w:r>
    </w:p>
    <w:p w:rsidR="007D47E0" w:rsidRPr="0056461F" w:rsidRDefault="007D47E0" w:rsidP="00C90014">
      <w:pPr>
        <w:jc w:val="center"/>
        <w:rPr>
          <w:szCs w:val="24"/>
        </w:rPr>
      </w:pPr>
      <w:r w:rsidRPr="0056461F">
        <w:rPr>
          <w:szCs w:val="24"/>
        </w:rPr>
        <w:t>Atlanta GA 30341</w:t>
      </w:r>
    </w:p>
    <w:p w:rsidR="007D47E0" w:rsidRPr="0056461F" w:rsidRDefault="007D47E0" w:rsidP="00C90014">
      <w:pPr>
        <w:jc w:val="center"/>
        <w:rPr>
          <w:szCs w:val="24"/>
        </w:rPr>
      </w:pPr>
      <w:r w:rsidRPr="0056461F">
        <w:rPr>
          <w:szCs w:val="24"/>
        </w:rPr>
        <w:t>Telephone: (770) 488-5103</w:t>
      </w:r>
    </w:p>
    <w:p w:rsidR="007D47E0" w:rsidRPr="0056461F" w:rsidRDefault="007D47E0" w:rsidP="00C90014">
      <w:pPr>
        <w:jc w:val="center"/>
        <w:rPr>
          <w:szCs w:val="24"/>
        </w:rPr>
      </w:pPr>
      <w:r w:rsidRPr="0056461F">
        <w:rPr>
          <w:szCs w:val="24"/>
        </w:rPr>
        <w:t xml:space="preserve">E-mail: </w:t>
      </w:r>
      <w:r w:rsidRPr="00FA6765">
        <w:rPr>
          <w:szCs w:val="24"/>
        </w:rPr>
        <w:t>RSoler@cdc.gov</w:t>
      </w:r>
    </w:p>
    <w:p w:rsidR="00C151A9" w:rsidRPr="0056461F" w:rsidRDefault="006A5713" w:rsidP="00C90014">
      <w:pPr>
        <w:pStyle w:val="TOC0"/>
      </w:pPr>
      <w:r w:rsidRPr="0056461F">
        <w:br w:type="page"/>
      </w:r>
      <w:r w:rsidR="00C151A9" w:rsidRPr="0056461F">
        <w:lastRenderedPageBreak/>
        <w:t>TABLE OF CONTENTS</w:t>
      </w:r>
    </w:p>
    <w:p w:rsidR="00C151A9" w:rsidRPr="0056461F" w:rsidRDefault="00C151A9" w:rsidP="00C90014">
      <w:pPr>
        <w:tabs>
          <w:tab w:val="right" w:pos="9360"/>
        </w:tabs>
        <w:spacing w:after="120"/>
        <w:rPr>
          <w:b/>
          <w:szCs w:val="24"/>
        </w:rPr>
      </w:pPr>
      <w:r w:rsidRPr="0056461F">
        <w:rPr>
          <w:b/>
          <w:szCs w:val="24"/>
        </w:rPr>
        <w:t>Section</w:t>
      </w:r>
    </w:p>
    <w:p w:rsidR="00A10DCE" w:rsidRDefault="00A10DCE" w:rsidP="00C90014">
      <w:pPr>
        <w:pStyle w:val="TOC1"/>
        <w:tabs>
          <w:tab w:val="left" w:pos="1080"/>
        </w:tabs>
        <w:rPr>
          <w:rFonts w:asciiTheme="minorHAnsi" w:eastAsiaTheme="minorEastAsia" w:hAnsiTheme="minorHAnsi" w:cstheme="minorBidi"/>
          <w:sz w:val="22"/>
          <w:szCs w:val="22"/>
        </w:rPr>
      </w:pPr>
      <w:r w:rsidRPr="00FA6765">
        <w:t>Part A.</w:t>
      </w:r>
      <w:r>
        <w:rPr>
          <w:rFonts w:asciiTheme="minorHAnsi" w:eastAsiaTheme="minorEastAsia" w:hAnsiTheme="minorHAnsi" w:cstheme="minorBidi"/>
          <w:sz w:val="22"/>
          <w:szCs w:val="22"/>
        </w:rPr>
        <w:tab/>
      </w:r>
      <w:r w:rsidRPr="00FA6765">
        <w:t>Justification</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36738A">
        <w:rPr>
          <w:rFonts w:cs="Times New Roman"/>
        </w:rPr>
        <w:t>.</w:t>
      </w:r>
      <w:r w:rsidRPr="00FA6765">
        <w:rPr>
          <w:rFonts w:cs="Times New Roman"/>
        </w:rPr>
        <w:t>1</w:t>
      </w:r>
      <w:r>
        <w:rPr>
          <w:rFonts w:asciiTheme="minorHAnsi" w:eastAsiaTheme="minorEastAsia" w:hAnsiTheme="minorHAnsi" w:cstheme="minorBidi"/>
          <w:sz w:val="22"/>
        </w:rPr>
        <w:tab/>
      </w:r>
      <w:r w:rsidRPr="00FA6765">
        <w:rPr>
          <w:rFonts w:cs="Times New Roman"/>
        </w:rPr>
        <w:t>Circumstances Making the Collection of Information Necessary</w:t>
      </w:r>
    </w:p>
    <w:p w:rsidR="00A10DCE" w:rsidRDefault="00A10DCE" w:rsidP="00C90014">
      <w:pPr>
        <w:pStyle w:val="TOC3"/>
        <w:rPr>
          <w:rFonts w:asciiTheme="minorHAnsi" w:eastAsiaTheme="minorEastAsia" w:hAnsiTheme="minorHAnsi" w:cstheme="minorBidi"/>
          <w:sz w:val="22"/>
          <w:szCs w:val="22"/>
        </w:rPr>
      </w:pPr>
      <w:r w:rsidRPr="00FA6765">
        <w:rPr>
          <w:bCs/>
        </w:rPr>
        <w:t>Privacy Impact Assessment Information</w:t>
      </w:r>
    </w:p>
    <w:p w:rsidR="00A10DCE" w:rsidRDefault="00A10DCE" w:rsidP="00C90014">
      <w:pPr>
        <w:pStyle w:val="TOC3"/>
        <w:rPr>
          <w:rFonts w:asciiTheme="minorHAnsi" w:eastAsiaTheme="minorEastAsia" w:hAnsiTheme="minorHAnsi" w:cstheme="minorBidi"/>
          <w:sz w:val="22"/>
          <w:szCs w:val="22"/>
        </w:rPr>
      </w:pPr>
      <w:r w:rsidRPr="00FA6765">
        <w:rPr>
          <w:bCs/>
        </w:rPr>
        <w:t>Overview of Data Collection System</w:t>
      </w:r>
    </w:p>
    <w:p w:rsidR="00A10DCE" w:rsidRDefault="00A10DCE" w:rsidP="00C90014">
      <w:pPr>
        <w:pStyle w:val="TOC3"/>
        <w:rPr>
          <w:rFonts w:asciiTheme="minorHAnsi" w:eastAsiaTheme="minorEastAsia" w:hAnsiTheme="minorHAnsi" w:cstheme="minorBidi"/>
          <w:sz w:val="22"/>
          <w:szCs w:val="22"/>
        </w:rPr>
      </w:pPr>
      <w:r w:rsidRPr="00FA6765">
        <w:rPr>
          <w:i/>
        </w:rPr>
        <w:t>Standard Protocol</w:t>
      </w:r>
    </w:p>
    <w:p w:rsidR="00A10DCE" w:rsidRDefault="00A10DCE" w:rsidP="00C90014">
      <w:pPr>
        <w:pStyle w:val="TOC3"/>
        <w:rPr>
          <w:rFonts w:asciiTheme="minorHAnsi" w:eastAsiaTheme="minorEastAsia" w:hAnsiTheme="minorHAnsi" w:cstheme="minorBidi"/>
          <w:sz w:val="22"/>
          <w:szCs w:val="22"/>
        </w:rPr>
      </w:pPr>
      <w:r w:rsidRPr="00FA6765">
        <w:rPr>
          <w:i/>
        </w:rPr>
        <w:t>Enhanced Protocol</w:t>
      </w:r>
    </w:p>
    <w:p w:rsidR="00A10DCE" w:rsidRDefault="00A10DCE" w:rsidP="00C90014">
      <w:pPr>
        <w:pStyle w:val="TOC3"/>
        <w:rPr>
          <w:rFonts w:asciiTheme="minorHAnsi" w:eastAsiaTheme="minorEastAsia" w:hAnsiTheme="minorHAnsi" w:cstheme="minorBidi"/>
          <w:sz w:val="22"/>
          <w:szCs w:val="22"/>
        </w:rPr>
      </w:pPr>
      <w:r w:rsidRPr="00FA6765">
        <w:t xml:space="preserve">Items of Information to </w:t>
      </w:r>
      <w:r w:rsidR="00155BCB">
        <w:t>B</w:t>
      </w:r>
      <w:r w:rsidR="00155BCB" w:rsidRPr="00FA6765">
        <w:t xml:space="preserve">e </w:t>
      </w:r>
      <w:r w:rsidRPr="00FA6765">
        <w:t>Collected</w:t>
      </w:r>
    </w:p>
    <w:p w:rsidR="00A10DCE" w:rsidRDefault="00A10DCE" w:rsidP="00C90014">
      <w:pPr>
        <w:pStyle w:val="TOC3"/>
        <w:rPr>
          <w:rFonts w:asciiTheme="minorHAnsi" w:eastAsiaTheme="minorEastAsia" w:hAnsiTheme="minorHAnsi" w:cstheme="minorBidi"/>
          <w:sz w:val="22"/>
          <w:szCs w:val="22"/>
        </w:rPr>
      </w:pPr>
      <w:r w:rsidRPr="00FA6765">
        <w:rPr>
          <w:i/>
        </w:rPr>
        <w:t>Standard Protocol</w:t>
      </w:r>
      <w:r w:rsidRPr="00FA6765">
        <w:t>: Adult Targeted Surveillance Survey</w:t>
      </w:r>
    </w:p>
    <w:p w:rsidR="00A10DCE" w:rsidRDefault="00A10DCE" w:rsidP="00C90014">
      <w:pPr>
        <w:pStyle w:val="TOC3"/>
        <w:rPr>
          <w:rFonts w:asciiTheme="minorHAnsi" w:eastAsiaTheme="minorEastAsia" w:hAnsiTheme="minorHAnsi" w:cstheme="minorBidi"/>
          <w:sz w:val="22"/>
          <w:szCs w:val="22"/>
        </w:rPr>
      </w:pPr>
      <w:r w:rsidRPr="00FA6765">
        <w:rPr>
          <w:i/>
        </w:rPr>
        <w:t>Enhanced Protocol</w:t>
      </w:r>
      <w:r w:rsidRPr="00FA6765">
        <w:t>: Youth and Adult Biometric Measures</w:t>
      </w:r>
    </w:p>
    <w:p w:rsidR="00A10DCE" w:rsidRDefault="00A10DCE" w:rsidP="00C90014">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2</w:t>
      </w:r>
      <w:r>
        <w:rPr>
          <w:rFonts w:asciiTheme="minorHAnsi" w:eastAsiaTheme="minorEastAsia" w:hAnsiTheme="minorHAnsi" w:cstheme="minorBidi"/>
          <w:sz w:val="22"/>
        </w:rPr>
        <w:tab/>
      </w:r>
      <w:r w:rsidRPr="00FA6765">
        <w:rPr>
          <w:rFonts w:cs="Times New Roman"/>
        </w:rPr>
        <w:t>Purposes and Use of the Information Collection</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3</w:t>
      </w:r>
      <w:r>
        <w:rPr>
          <w:rFonts w:asciiTheme="minorHAnsi" w:eastAsiaTheme="minorEastAsia" w:hAnsiTheme="minorHAnsi" w:cstheme="minorBidi"/>
          <w:sz w:val="22"/>
        </w:rPr>
        <w:tab/>
      </w:r>
      <w:r w:rsidRPr="00FA6765">
        <w:rPr>
          <w:rFonts w:cs="Times New Roman"/>
        </w:rPr>
        <w:t>Use of Improved Information Technology and Burden Reduction</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4</w:t>
      </w:r>
      <w:r>
        <w:rPr>
          <w:rFonts w:asciiTheme="minorHAnsi" w:eastAsiaTheme="minorEastAsia" w:hAnsiTheme="minorHAnsi" w:cstheme="minorBidi"/>
          <w:sz w:val="22"/>
        </w:rPr>
        <w:tab/>
      </w:r>
      <w:r w:rsidRPr="00FA6765">
        <w:rPr>
          <w:rFonts w:cs="Times New Roman"/>
        </w:rPr>
        <w:t>Efforts to Identify Duplication and Use of Similar Information</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5</w:t>
      </w:r>
      <w:r>
        <w:rPr>
          <w:rFonts w:asciiTheme="minorHAnsi" w:eastAsiaTheme="minorEastAsia" w:hAnsiTheme="minorHAnsi" w:cstheme="minorBidi"/>
          <w:sz w:val="22"/>
        </w:rPr>
        <w:tab/>
      </w:r>
      <w:r w:rsidRPr="00FA6765">
        <w:rPr>
          <w:rFonts w:cs="Times New Roman"/>
        </w:rPr>
        <w:t>Impact on Small Businesses or Other Small Entities</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6</w:t>
      </w:r>
      <w:r>
        <w:rPr>
          <w:rFonts w:asciiTheme="minorHAnsi" w:eastAsiaTheme="minorEastAsia" w:hAnsiTheme="minorHAnsi" w:cstheme="minorBidi"/>
          <w:sz w:val="22"/>
        </w:rPr>
        <w:tab/>
      </w:r>
      <w:r w:rsidRPr="00FA6765">
        <w:rPr>
          <w:rFonts w:cs="Times New Roman"/>
        </w:rPr>
        <w:t>Consequences of Collecting the Information Less Frequently</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7</w:t>
      </w:r>
      <w:r>
        <w:rPr>
          <w:rFonts w:asciiTheme="minorHAnsi" w:eastAsiaTheme="minorEastAsia" w:hAnsiTheme="minorHAnsi" w:cstheme="minorBidi"/>
          <w:sz w:val="22"/>
        </w:rPr>
        <w:tab/>
      </w:r>
      <w:r w:rsidRPr="00FA6765">
        <w:rPr>
          <w:rFonts w:cs="Times New Roman"/>
        </w:rPr>
        <w:t>Special Circumstances Relating to the Guidelines of 5 CFR 1320.5</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8</w:t>
      </w:r>
      <w:r>
        <w:rPr>
          <w:rFonts w:asciiTheme="minorHAnsi" w:eastAsiaTheme="minorEastAsia" w:hAnsiTheme="minorHAnsi" w:cstheme="minorBidi"/>
          <w:sz w:val="22"/>
        </w:rPr>
        <w:tab/>
      </w:r>
      <w:r w:rsidRPr="00FA6765">
        <w:rPr>
          <w:rFonts w:cs="Times New Roman"/>
        </w:rPr>
        <w:t>Comments in Response to the Federal Register Notice and Effort to Consult Outside the Agency</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9</w:t>
      </w:r>
      <w:r>
        <w:rPr>
          <w:rFonts w:asciiTheme="minorHAnsi" w:eastAsiaTheme="minorEastAsia" w:hAnsiTheme="minorHAnsi" w:cstheme="minorBidi"/>
          <w:sz w:val="22"/>
        </w:rPr>
        <w:tab/>
      </w:r>
      <w:r w:rsidRPr="00FA6765">
        <w:rPr>
          <w:rFonts w:cs="Times New Roman"/>
        </w:rPr>
        <w:t>Explanation of Any Payment or Gift to Respondents</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10</w:t>
      </w:r>
      <w:r>
        <w:rPr>
          <w:rFonts w:asciiTheme="minorHAnsi" w:eastAsiaTheme="minorEastAsia" w:hAnsiTheme="minorHAnsi" w:cstheme="minorBidi"/>
          <w:sz w:val="22"/>
        </w:rPr>
        <w:tab/>
      </w:r>
      <w:r w:rsidRPr="00FA6765">
        <w:rPr>
          <w:rFonts w:cs="Times New Roman"/>
        </w:rPr>
        <w:t>Assurance of Confidentiality Provided to Respondents</w:t>
      </w:r>
    </w:p>
    <w:p w:rsidR="00A10DCE" w:rsidRDefault="00A10DCE" w:rsidP="00C90014">
      <w:pPr>
        <w:pStyle w:val="TOC3"/>
        <w:rPr>
          <w:rFonts w:asciiTheme="minorHAnsi" w:eastAsiaTheme="minorEastAsia" w:hAnsiTheme="minorHAnsi" w:cstheme="minorBidi"/>
          <w:sz w:val="22"/>
          <w:szCs w:val="22"/>
        </w:rPr>
      </w:pPr>
      <w:r w:rsidRPr="00FA6765">
        <w:t>Data Collection</w:t>
      </w:r>
    </w:p>
    <w:p w:rsidR="00A10DCE" w:rsidRDefault="00A10DCE" w:rsidP="00C90014">
      <w:pPr>
        <w:pStyle w:val="TOC3"/>
        <w:rPr>
          <w:rFonts w:asciiTheme="minorHAnsi" w:eastAsiaTheme="minorEastAsia" w:hAnsiTheme="minorHAnsi" w:cstheme="minorBidi"/>
          <w:sz w:val="22"/>
          <w:szCs w:val="22"/>
        </w:rPr>
      </w:pPr>
      <w:r w:rsidRPr="00FA6765">
        <w:t>Data Storage and Management</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11</w:t>
      </w:r>
      <w:r>
        <w:rPr>
          <w:rFonts w:asciiTheme="minorHAnsi" w:eastAsiaTheme="minorEastAsia" w:hAnsiTheme="minorHAnsi" w:cstheme="minorBidi"/>
          <w:sz w:val="22"/>
        </w:rPr>
        <w:tab/>
      </w:r>
      <w:r w:rsidRPr="00FA6765">
        <w:rPr>
          <w:rFonts w:cs="Times New Roman"/>
        </w:rPr>
        <w:t>Justification for Sensitive Questions</w:t>
      </w:r>
    </w:p>
    <w:p w:rsidR="00A10DCE" w:rsidRDefault="00A10DCE" w:rsidP="00C90014">
      <w:pPr>
        <w:pStyle w:val="TOC3"/>
        <w:rPr>
          <w:rFonts w:asciiTheme="minorHAnsi" w:eastAsiaTheme="minorEastAsia" w:hAnsiTheme="minorHAnsi" w:cstheme="minorBidi"/>
          <w:sz w:val="22"/>
          <w:szCs w:val="22"/>
        </w:rPr>
      </w:pPr>
      <w:r w:rsidRPr="00FA6765">
        <w:t>Interview Data</w:t>
      </w:r>
    </w:p>
    <w:p w:rsidR="00A10DCE" w:rsidRDefault="00A10DCE" w:rsidP="00C90014">
      <w:pPr>
        <w:pStyle w:val="TOC3"/>
        <w:rPr>
          <w:rFonts w:asciiTheme="minorHAnsi" w:eastAsiaTheme="minorEastAsia" w:hAnsiTheme="minorHAnsi" w:cstheme="minorBidi"/>
          <w:sz w:val="22"/>
          <w:szCs w:val="22"/>
        </w:rPr>
      </w:pPr>
      <w:r w:rsidRPr="00FA6765">
        <w:t>Biometric Data</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12</w:t>
      </w:r>
      <w:r>
        <w:rPr>
          <w:rFonts w:asciiTheme="minorHAnsi" w:eastAsiaTheme="minorEastAsia" w:hAnsiTheme="minorHAnsi" w:cstheme="minorBidi"/>
          <w:sz w:val="22"/>
        </w:rPr>
        <w:tab/>
      </w:r>
      <w:r w:rsidRPr="00FA6765">
        <w:rPr>
          <w:rFonts w:cs="Times New Roman"/>
        </w:rPr>
        <w:t>Estimated Annualized Burden Hours and Cost to Respondents</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13</w:t>
      </w:r>
      <w:r>
        <w:rPr>
          <w:rFonts w:asciiTheme="minorHAnsi" w:eastAsiaTheme="minorEastAsia" w:hAnsiTheme="minorHAnsi" w:cstheme="minorBidi"/>
          <w:sz w:val="22"/>
        </w:rPr>
        <w:tab/>
      </w:r>
      <w:r w:rsidRPr="00FA6765">
        <w:rPr>
          <w:rFonts w:cs="Times New Roman"/>
        </w:rPr>
        <w:t>Estimates of Other Total Annual Cost Burden to Respondents or Record Keepers</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14</w:t>
      </w:r>
      <w:r>
        <w:rPr>
          <w:rFonts w:asciiTheme="minorHAnsi" w:eastAsiaTheme="minorEastAsia" w:hAnsiTheme="minorHAnsi" w:cstheme="minorBidi"/>
          <w:sz w:val="22"/>
        </w:rPr>
        <w:tab/>
      </w:r>
      <w:r w:rsidRPr="00FA6765">
        <w:rPr>
          <w:rFonts w:cs="Times New Roman"/>
        </w:rPr>
        <w:t>Annualized Cost to Federal Government</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15</w:t>
      </w:r>
      <w:r>
        <w:rPr>
          <w:rFonts w:asciiTheme="minorHAnsi" w:eastAsiaTheme="minorEastAsia" w:hAnsiTheme="minorHAnsi" w:cstheme="minorBidi"/>
          <w:sz w:val="22"/>
        </w:rPr>
        <w:tab/>
      </w:r>
      <w:r w:rsidRPr="00FA6765">
        <w:rPr>
          <w:rFonts w:cs="Times New Roman"/>
        </w:rPr>
        <w:t>Explanation for Program Changes or Adjustments</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155BCB">
        <w:rPr>
          <w:rFonts w:cs="Times New Roman"/>
        </w:rPr>
        <w:t>.</w:t>
      </w:r>
      <w:r w:rsidRPr="00FA6765">
        <w:rPr>
          <w:rFonts w:cs="Times New Roman"/>
        </w:rPr>
        <w:t>16</w:t>
      </w:r>
      <w:r>
        <w:rPr>
          <w:rFonts w:asciiTheme="minorHAnsi" w:eastAsiaTheme="minorEastAsia" w:hAnsiTheme="minorHAnsi" w:cstheme="minorBidi"/>
          <w:sz w:val="22"/>
        </w:rPr>
        <w:tab/>
      </w:r>
      <w:r w:rsidRPr="00FA6765">
        <w:rPr>
          <w:rFonts w:cs="Times New Roman"/>
        </w:rPr>
        <w:t>Plans for Tabulation and Publication and Project Time Schedule</w:t>
      </w:r>
    </w:p>
    <w:p w:rsidR="00A10DCE" w:rsidRDefault="00A10DCE" w:rsidP="00C90014">
      <w:pPr>
        <w:pStyle w:val="TOC3"/>
        <w:rPr>
          <w:rFonts w:asciiTheme="minorHAnsi" w:eastAsiaTheme="minorEastAsia" w:hAnsiTheme="minorHAnsi" w:cstheme="minorBidi"/>
          <w:sz w:val="22"/>
          <w:szCs w:val="22"/>
        </w:rPr>
      </w:pPr>
      <w:r w:rsidRPr="00FA6765">
        <w:t>Project Timeline</w:t>
      </w:r>
    </w:p>
    <w:p w:rsidR="00A10DCE" w:rsidRDefault="00A10DCE" w:rsidP="00FA5C48">
      <w:pPr>
        <w:pStyle w:val="TOC2"/>
        <w:rPr>
          <w:rFonts w:asciiTheme="minorHAnsi" w:eastAsiaTheme="minorEastAsia" w:hAnsiTheme="minorHAnsi" w:cstheme="minorBidi"/>
          <w:sz w:val="22"/>
        </w:rPr>
      </w:pPr>
      <w:r w:rsidRPr="00FA6765">
        <w:rPr>
          <w:rFonts w:cs="Times New Roman"/>
        </w:rPr>
        <w:t>A</w:t>
      </w:r>
      <w:r w:rsidR="00FA6765">
        <w:rPr>
          <w:rFonts w:cs="Times New Roman"/>
        </w:rPr>
        <w:t>.</w:t>
      </w:r>
      <w:r w:rsidRPr="00FA6765">
        <w:rPr>
          <w:rFonts w:cs="Times New Roman"/>
        </w:rPr>
        <w:t>17</w:t>
      </w:r>
      <w:r>
        <w:rPr>
          <w:rFonts w:asciiTheme="minorHAnsi" w:eastAsiaTheme="minorEastAsia" w:hAnsiTheme="minorHAnsi" w:cstheme="minorBidi"/>
          <w:sz w:val="22"/>
        </w:rPr>
        <w:tab/>
      </w:r>
      <w:r w:rsidRPr="00FA6765">
        <w:rPr>
          <w:rFonts w:cs="Times New Roman"/>
        </w:rPr>
        <w:t xml:space="preserve">Reason(s) Display of OMB Expiration </w:t>
      </w:r>
      <w:r w:rsidR="008302A3">
        <w:rPr>
          <w:rFonts w:cs="Times New Roman"/>
        </w:rPr>
        <w:t xml:space="preserve">Date </w:t>
      </w:r>
      <w:r w:rsidR="00FA5C48">
        <w:rPr>
          <w:rFonts w:cs="Times New Roman"/>
        </w:rPr>
        <w:t>I</w:t>
      </w:r>
      <w:r w:rsidR="00FA6765" w:rsidRPr="00FA6765">
        <w:rPr>
          <w:rFonts w:cs="Times New Roman"/>
        </w:rPr>
        <w:t xml:space="preserve">s </w:t>
      </w:r>
      <w:r w:rsidRPr="00FA6765">
        <w:rPr>
          <w:rFonts w:cs="Times New Roman"/>
        </w:rPr>
        <w:t>Inappropriate</w:t>
      </w:r>
    </w:p>
    <w:p w:rsidR="00A10DCE" w:rsidRDefault="00A10DCE" w:rsidP="002C1227">
      <w:pPr>
        <w:pStyle w:val="TOC2"/>
        <w:rPr>
          <w:rFonts w:asciiTheme="minorHAnsi" w:eastAsiaTheme="minorEastAsia" w:hAnsiTheme="minorHAnsi" w:cstheme="minorBidi"/>
          <w:sz w:val="22"/>
        </w:rPr>
      </w:pPr>
      <w:r w:rsidRPr="00FA6765">
        <w:rPr>
          <w:rFonts w:cs="Times New Roman"/>
        </w:rPr>
        <w:t>A</w:t>
      </w:r>
      <w:r w:rsidR="00FA6765">
        <w:rPr>
          <w:rFonts w:cs="Times New Roman"/>
        </w:rPr>
        <w:t>.</w:t>
      </w:r>
      <w:r w:rsidRPr="00FA6765">
        <w:rPr>
          <w:rFonts w:cs="Times New Roman"/>
        </w:rPr>
        <w:t>18</w:t>
      </w:r>
      <w:r>
        <w:rPr>
          <w:rFonts w:asciiTheme="minorHAnsi" w:eastAsiaTheme="minorEastAsia" w:hAnsiTheme="minorHAnsi" w:cstheme="minorBidi"/>
          <w:sz w:val="22"/>
        </w:rPr>
        <w:tab/>
      </w:r>
      <w:r w:rsidRPr="00FA6765">
        <w:rPr>
          <w:rFonts w:cs="Times New Roman"/>
        </w:rPr>
        <w:t>Exceptions to Certification for Paperwork Reduction Act Submission</w:t>
      </w:r>
    </w:p>
    <w:p w:rsidR="00A10DCE" w:rsidRDefault="00B81D89" w:rsidP="00C90014">
      <w:pPr>
        <w:pStyle w:val="TOC1"/>
        <w:rPr>
          <w:rFonts w:asciiTheme="minorHAnsi" w:eastAsiaTheme="minorEastAsia" w:hAnsiTheme="minorHAnsi" w:cstheme="minorBidi"/>
          <w:sz w:val="22"/>
          <w:szCs w:val="22"/>
        </w:rPr>
      </w:pPr>
      <w:r>
        <w:tab/>
        <w:t xml:space="preserve">A.19 </w:t>
      </w:r>
      <w:r w:rsidR="00A10DCE" w:rsidRPr="00FA6765">
        <w:t>References</w:t>
      </w:r>
    </w:p>
    <w:p w:rsidR="00E75C04" w:rsidRPr="0056461F" w:rsidRDefault="00E75C04" w:rsidP="00C90014">
      <w:pPr>
        <w:pStyle w:val="TOC1"/>
        <w:tabs>
          <w:tab w:val="left" w:pos="1080"/>
        </w:tabs>
      </w:pPr>
    </w:p>
    <w:p w:rsidR="006A5713" w:rsidRPr="0056461F" w:rsidRDefault="006A5713" w:rsidP="00C90014"/>
    <w:p w:rsidR="00C151A9" w:rsidRPr="0056461F" w:rsidRDefault="00C151A9" w:rsidP="00C90014">
      <w:pPr>
        <w:shd w:val="clear" w:color="auto" w:fill="FFFFFF"/>
        <w:rPr>
          <w:rFonts w:ascii="Times New Roman Bold" w:hAnsi="Times New Roman Bold"/>
        </w:rPr>
      </w:pPr>
      <w:r w:rsidRPr="0056461F">
        <w:rPr>
          <w:rFonts w:ascii="Times New Roman Bold" w:hAnsi="Times New Roman Bold"/>
        </w:rPr>
        <w:br w:type="page"/>
      </w:r>
    </w:p>
    <w:p w:rsidR="00F117D6" w:rsidRPr="0056461F" w:rsidRDefault="00F117D6" w:rsidP="00260723">
      <w:pPr>
        <w:pStyle w:val="TOC0"/>
        <w:keepNext/>
        <w:spacing w:after="0"/>
      </w:pPr>
      <w:r w:rsidRPr="0056461F">
        <w:lastRenderedPageBreak/>
        <w:t>LIST OF ATTACHMENTS</w:t>
      </w:r>
    </w:p>
    <w:tbl>
      <w:tblPr>
        <w:tblW w:w="0" w:type="auto"/>
        <w:tblCellMar>
          <w:left w:w="0" w:type="dxa"/>
          <w:right w:w="0" w:type="dxa"/>
        </w:tblCellMar>
        <w:tblLook w:val="04A0" w:firstRow="1" w:lastRow="0" w:firstColumn="1" w:lastColumn="0" w:noHBand="0" w:noVBand="1"/>
      </w:tblPr>
      <w:tblGrid>
        <w:gridCol w:w="1336"/>
        <w:gridCol w:w="6782"/>
      </w:tblGrid>
      <w:tr w:rsidR="00F117D6" w:rsidRPr="0056461F" w:rsidTr="00AD5FC8">
        <w:tc>
          <w:tcPr>
            <w:tcW w:w="1336" w:type="dxa"/>
            <w:tcMar>
              <w:top w:w="0" w:type="dxa"/>
              <w:left w:w="108" w:type="dxa"/>
              <w:bottom w:w="0" w:type="dxa"/>
              <w:right w:w="108" w:type="dxa"/>
            </w:tcMar>
          </w:tcPr>
          <w:p w:rsidR="00F117D6" w:rsidRPr="0056461F" w:rsidRDefault="00F117D6" w:rsidP="001E165B">
            <w:pPr>
              <w:keepNext/>
              <w:shd w:val="clear" w:color="auto" w:fill="FFFFFF"/>
              <w:tabs>
                <w:tab w:val="left" w:pos="270"/>
                <w:tab w:val="left" w:pos="360"/>
                <w:tab w:val="left" w:pos="630"/>
                <w:tab w:val="left" w:pos="1350"/>
                <w:tab w:val="right" w:leader="dot" w:pos="9350"/>
              </w:tabs>
              <w:jc w:val="center"/>
              <w:rPr>
                <w:noProof/>
                <w:szCs w:val="24"/>
              </w:rPr>
            </w:pPr>
            <w:r w:rsidRPr="0056461F">
              <w:rPr>
                <w:noProof/>
                <w:szCs w:val="24"/>
              </w:rPr>
              <w:t>Attachment</w:t>
            </w:r>
            <w:r w:rsidR="001E165B">
              <w:rPr>
                <w:noProof/>
                <w:szCs w:val="24"/>
              </w:rPr>
              <w:t xml:space="preserve"> #</w:t>
            </w:r>
          </w:p>
        </w:tc>
        <w:tc>
          <w:tcPr>
            <w:tcW w:w="6782" w:type="dxa"/>
            <w:tcMar>
              <w:top w:w="0" w:type="dxa"/>
              <w:left w:w="108" w:type="dxa"/>
              <w:bottom w:w="0" w:type="dxa"/>
              <w:right w:w="108" w:type="dxa"/>
            </w:tcMar>
          </w:tcPr>
          <w:p w:rsidR="00F117D6" w:rsidRPr="0056461F" w:rsidRDefault="00F117D6" w:rsidP="00C90014">
            <w:pPr>
              <w:keepNext/>
              <w:shd w:val="clear" w:color="auto" w:fill="FFFFFF"/>
              <w:tabs>
                <w:tab w:val="left" w:pos="270"/>
                <w:tab w:val="left" w:pos="360"/>
                <w:tab w:val="left" w:pos="630"/>
                <w:tab w:val="left" w:pos="1350"/>
                <w:tab w:val="right" w:leader="dot" w:pos="9350"/>
              </w:tabs>
              <w:rPr>
                <w:noProof/>
                <w:szCs w:val="24"/>
              </w:rPr>
            </w:pPr>
          </w:p>
        </w:tc>
      </w:tr>
    </w:tbl>
    <w:p w:rsidR="00F117D6" w:rsidRPr="0056461F" w:rsidRDefault="00F117D6" w:rsidP="00C90014">
      <w:pPr>
        <w:ind w:left="1980" w:hanging="1980"/>
        <w:rPr>
          <w:szCs w:val="24"/>
        </w:rPr>
      </w:pPr>
      <w:r w:rsidRPr="0056461F">
        <w:rPr>
          <w:szCs w:val="24"/>
        </w:rPr>
        <w:t>Attachment 1</w:t>
      </w:r>
      <w:r w:rsidR="00884614" w:rsidRPr="0056461F">
        <w:rPr>
          <w:szCs w:val="24"/>
        </w:rPr>
        <w:t>A</w:t>
      </w:r>
      <w:r w:rsidRPr="0056461F">
        <w:rPr>
          <w:szCs w:val="24"/>
        </w:rPr>
        <w:tab/>
      </w:r>
      <w:r w:rsidR="00884614" w:rsidRPr="0056461F">
        <w:rPr>
          <w:szCs w:val="24"/>
        </w:rPr>
        <w:t>Authorizing Legislation: Public Health Service Act</w:t>
      </w:r>
    </w:p>
    <w:p w:rsidR="00884614" w:rsidRPr="0056461F" w:rsidRDefault="00884614" w:rsidP="00C90014">
      <w:pPr>
        <w:ind w:left="1980" w:hanging="1980"/>
        <w:rPr>
          <w:szCs w:val="24"/>
        </w:rPr>
      </w:pPr>
      <w:r w:rsidRPr="0056461F">
        <w:rPr>
          <w:szCs w:val="24"/>
        </w:rPr>
        <w:t>Attachment 1B</w:t>
      </w:r>
      <w:r w:rsidRPr="0056461F">
        <w:rPr>
          <w:szCs w:val="24"/>
        </w:rPr>
        <w:tab/>
        <w:t>Authorizing Legislation: ACA Section 4201</w:t>
      </w:r>
    </w:p>
    <w:p w:rsidR="00446F60" w:rsidRPr="0056461F" w:rsidRDefault="00F117D6" w:rsidP="003A189B">
      <w:pPr>
        <w:ind w:left="1980" w:hanging="1980"/>
        <w:rPr>
          <w:szCs w:val="24"/>
        </w:rPr>
      </w:pPr>
      <w:r w:rsidRPr="0056461F">
        <w:rPr>
          <w:szCs w:val="24"/>
        </w:rPr>
        <w:t>Attachment 2</w:t>
      </w:r>
      <w:r w:rsidRPr="0056461F">
        <w:rPr>
          <w:szCs w:val="24"/>
        </w:rPr>
        <w:tab/>
        <w:t>60-day Federal Register Notice</w:t>
      </w:r>
    </w:p>
    <w:p w:rsidR="006314E7" w:rsidRPr="0056461F" w:rsidRDefault="006314E7" w:rsidP="00C90014">
      <w:pPr>
        <w:ind w:left="1980" w:hanging="1980"/>
        <w:rPr>
          <w:szCs w:val="24"/>
        </w:rPr>
      </w:pPr>
      <w:r w:rsidRPr="0056461F">
        <w:rPr>
          <w:szCs w:val="24"/>
        </w:rPr>
        <w:t>Attachment 3</w:t>
      </w:r>
      <w:r w:rsidR="00A1185C" w:rsidRPr="0056461F">
        <w:rPr>
          <w:szCs w:val="24"/>
        </w:rPr>
        <w:t>A</w:t>
      </w:r>
      <w:r w:rsidRPr="0056461F">
        <w:rPr>
          <w:szCs w:val="24"/>
        </w:rPr>
        <w:tab/>
      </w:r>
      <w:r w:rsidR="00A1185C" w:rsidRPr="0056461F">
        <w:rPr>
          <w:szCs w:val="24"/>
        </w:rPr>
        <w:t>IRB Approval Letter</w:t>
      </w:r>
      <w:r w:rsidR="00596A81" w:rsidRPr="0056461F">
        <w:rPr>
          <w:szCs w:val="24"/>
        </w:rPr>
        <w:t xml:space="preserve">, </w:t>
      </w:r>
      <w:r w:rsidR="000B3F4E" w:rsidRPr="0056461F">
        <w:rPr>
          <w:i/>
          <w:szCs w:val="24"/>
        </w:rPr>
        <w:t>Standard Protocol</w:t>
      </w:r>
    </w:p>
    <w:p w:rsidR="00A1185C" w:rsidRPr="0056461F" w:rsidRDefault="00A1185C" w:rsidP="00C90014">
      <w:pPr>
        <w:ind w:left="1980" w:hanging="1980"/>
        <w:rPr>
          <w:szCs w:val="24"/>
        </w:rPr>
      </w:pPr>
      <w:r w:rsidRPr="0056461F">
        <w:rPr>
          <w:szCs w:val="24"/>
        </w:rPr>
        <w:t>Attachment 3B</w:t>
      </w:r>
      <w:r w:rsidRPr="0056461F">
        <w:rPr>
          <w:szCs w:val="24"/>
        </w:rPr>
        <w:tab/>
        <w:t>IRB Approval Letter</w:t>
      </w:r>
      <w:r w:rsidR="00596A81" w:rsidRPr="0056461F">
        <w:rPr>
          <w:szCs w:val="24"/>
        </w:rPr>
        <w:t xml:space="preserve">, </w:t>
      </w:r>
      <w:r w:rsidR="000B3F4E" w:rsidRPr="0056461F">
        <w:rPr>
          <w:i/>
          <w:szCs w:val="24"/>
        </w:rPr>
        <w:t>Enhanced Protocol</w:t>
      </w:r>
    </w:p>
    <w:p w:rsidR="00F117D6" w:rsidRPr="0056461F" w:rsidRDefault="00F117D6" w:rsidP="00C90014">
      <w:pPr>
        <w:ind w:left="1980" w:hanging="1980"/>
        <w:rPr>
          <w:szCs w:val="24"/>
        </w:rPr>
      </w:pPr>
      <w:r w:rsidRPr="0056461F">
        <w:rPr>
          <w:szCs w:val="24"/>
        </w:rPr>
        <w:t xml:space="preserve">Attachment </w:t>
      </w:r>
      <w:r w:rsidR="006314E7" w:rsidRPr="0056461F">
        <w:rPr>
          <w:szCs w:val="24"/>
        </w:rPr>
        <w:t>4</w:t>
      </w:r>
      <w:r w:rsidRPr="0056461F">
        <w:rPr>
          <w:szCs w:val="24"/>
        </w:rPr>
        <w:t>A</w:t>
      </w:r>
      <w:r w:rsidRPr="0056461F">
        <w:rPr>
          <w:szCs w:val="24"/>
        </w:rPr>
        <w:tab/>
        <w:t>Strategic Directions</w:t>
      </w:r>
      <w:r w:rsidR="005D0AC4" w:rsidRPr="0056461F">
        <w:rPr>
          <w:szCs w:val="24"/>
        </w:rPr>
        <w:t xml:space="preserve"> </w:t>
      </w:r>
      <w:r w:rsidRPr="0056461F">
        <w:rPr>
          <w:szCs w:val="24"/>
        </w:rPr>
        <w:t>of CDC-Recommended Evidence- and Practice-Based Strategies</w:t>
      </w:r>
    </w:p>
    <w:p w:rsidR="00F117D6" w:rsidRPr="0056461F" w:rsidRDefault="00F117D6" w:rsidP="00C90014">
      <w:pPr>
        <w:ind w:left="1980" w:hanging="1980"/>
        <w:rPr>
          <w:szCs w:val="24"/>
        </w:rPr>
      </w:pPr>
      <w:r w:rsidRPr="0056461F">
        <w:rPr>
          <w:szCs w:val="24"/>
        </w:rPr>
        <w:t xml:space="preserve">Attachment </w:t>
      </w:r>
      <w:r w:rsidR="006314E7" w:rsidRPr="0056461F">
        <w:rPr>
          <w:szCs w:val="24"/>
        </w:rPr>
        <w:t>4</w:t>
      </w:r>
      <w:r w:rsidRPr="0056461F">
        <w:rPr>
          <w:szCs w:val="24"/>
        </w:rPr>
        <w:t>B</w:t>
      </w:r>
      <w:r w:rsidRPr="0056461F">
        <w:rPr>
          <w:szCs w:val="24"/>
        </w:rPr>
        <w:tab/>
        <w:t>CTG Evaluation Plan</w:t>
      </w:r>
    </w:p>
    <w:p w:rsidR="009E0E8E" w:rsidRPr="0056461F" w:rsidRDefault="009E0E8E" w:rsidP="00C90014">
      <w:pPr>
        <w:ind w:left="1980" w:hanging="1980"/>
        <w:rPr>
          <w:szCs w:val="24"/>
        </w:rPr>
      </w:pPr>
      <w:r w:rsidRPr="0056461F">
        <w:rPr>
          <w:szCs w:val="24"/>
        </w:rPr>
        <w:t xml:space="preserve">Attachment </w:t>
      </w:r>
      <w:r w:rsidR="006314E7" w:rsidRPr="0056461F">
        <w:rPr>
          <w:szCs w:val="24"/>
        </w:rPr>
        <w:t>4</w:t>
      </w:r>
      <w:r w:rsidRPr="0056461F">
        <w:rPr>
          <w:szCs w:val="24"/>
        </w:rPr>
        <w:t>C</w:t>
      </w:r>
      <w:r w:rsidRPr="0056461F">
        <w:rPr>
          <w:szCs w:val="24"/>
        </w:rPr>
        <w:tab/>
        <w:t>List of CTG Awardees</w:t>
      </w:r>
      <w:r w:rsidR="00596A81" w:rsidRPr="0056461F">
        <w:rPr>
          <w:szCs w:val="24"/>
        </w:rPr>
        <w:t xml:space="preserve"> Included in the Targeted Surveillance and Biometric Study</w:t>
      </w:r>
    </w:p>
    <w:p w:rsidR="00F117D6" w:rsidRPr="0056461F" w:rsidRDefault="00F117D6" w:rsidP="00C90014">
      <w:pPr>
        <w:ind w:left="1980" w:hanging="1980"/>
        <w:rPr>
          <w:szCs w:val="24"/>
        </w:rPr>
      </w:pPr>
      <w:r w:rsidRPr="0056461F">
        <w:rPr>
          <w:szCs w:val="24"/>
        </w:rPr>
        <w:t xml:space="preserve">Attachment </w:t>
      </w:r>
      <w:r w:rsidR="006314E7" w:rsidRPr="0056461F">
        <w:rPr>
          <w:szCs w:val="24"/>
        </w:rPr>
        <w:t>5</w:t>
      </w:r>
      <w:r w:rsidRPr="0056461F">
        <w:rPr>
          <w:szCs w:val="24"/>
        </w:rPr>
        <w:tab/>
      </w:r>
      <w:r w:rsidR="00E50E04" w:rsidRPr="0056461F">
        <w:rPr>
          <w:szCs w:val="24"/>
        </w:rPr>
        <w:t xml:space="preserve">Other </w:t>
      </w:r>
      <w:r w:rsidRPr="0056461F">
        <w:rPr>
          <w:szCs w:val="24"/>
        </w:rPr>
        <w:t>Data Sources</w:t>
      </w:r>
      <w:r w:rsidR="00E50E04" w:rsidRPr="0056461F">
        <w:rPr>
          <w:szCs w:val="24"/>
        </w:rPr>
        <w:t xml:space="preserve"> Consulted</w:t>
      </w:r>
    </w:p>
    <w:p w:rsidR="00B02AD6" w:rsidRPr="0056461F" w:rsidRDefault="00F117D6" w:rsidP="00C90014">
      <w:pPr>
        <w:ind w:left="1980" w:hanging="1980"/>
        <w:rPr>
          <w:bCs/>
          <w:szCs w:val="24"/>
        </w:rPr>
      </w:pPr>
      <w:r w:rsidRPr="0056461F">
        <w:rPr>
          <w:szCs w:val="24"/>
        </w:rPr>
        <w:t xml:space="preserve">Attachment </w:t>
      </w:r>
      <w:r w:rsidR="00420B92" w:rsidRPr="0056461F">
        <w:rPr>
          <w:szCs w:val="24"/>
        </w:rPr>
        <w:t>6</w:t>
      </w:r>
      <w:r w:rsidRPr="0056461F">
        <w:rPr>
          <w:szCs w:val="24"/>
        </w:rPr>
        <w:t>A</w:t>
      </w:r>
      <w:r w:rsidRPr="0056461F">
        <w:rPr>
          <w:szCs w:val="24"/>
        </w:rPr>
        <w:tab/>
      </w:r>
      <w:r w:rsidR="000B3F4E" w:rsidRPr="0056461F">
        <w:rPr>
          <w:bCs/>
          <w:i/>
          <w:szCs w:val="24"/>
        </w:rPr>
        <w:t>Standard Protocol</w:t>
      </w:r>
      <w:r w:rsidR="006B0E97" w:rsidRPr="0056461F">
        <w:rPr>
          <w:bCs/>
          <w:i/>
          <w:szCs w:val="24"/>
        </w:rPr>
        <w:t>:</w:t>
      </w:r>
      <w:r w:rsidR="00A1185C" w:rsidRPr="0056461F">
        <w:rPr>
          <w:bCs/>
          <w:szCs w:val="24"/>
        </w:rPr>
        <w:t xml:space="preserve"> Consent to Participate in Research (Paper)</w:t>
      </w:r>
    </w:p>
    <w:p w:rsidR="00F331D1" w:rsidRPr="0056461F" w:rsidRDefault="00F331D1" w:rsidP="00C90014">
      <w:pPr>
        <w:ind w:left="1980" w:hanging="1980"/>
        <w:rPr>
          <w:bCs/>
          <w:szCs w:val="24"/>
        </w:rPr>
      </w:pPr>
      <w:r w:rsidRPr="0056461F">
        <w:rPr>
          <w:szCs w:val="24"/>
        </w:rPr>
        <w:t>Attachment 6A</w:t>
      </w:r>
      <w:r>
        <w:rPr>
          <w:szCs w:val="24"/>
        </w:rPr>
        <w:t>-</w:t>
      </w:r>
      <w:r w:rsidRPr="0056461F">
        <w:rPr>
          <w:szCs w:val="24"/>
        </w:rPr>
        <w:t>S</w:t>
      </w:r>
      <w:r w:rsidRPr="0056461F">
        <w:rPr>
          <w:szCs w:val="24"/>
        </w:rPr>
        <w:tab/>
      </w:r>
      <w:r w:rsidRPr="0056461F">
        <w:rPr>
          <w:bCs/>
          <w:i/>
          <w:szCs w:val="24"/>
        </w:rPr>
        <w:t>Standard Protocol:</w:t>
      </w:r>
      <w:r w:rsidRPr="0056461F">
        <w:rPr>
          <w:bCs/>
          <w:szCs w:val="24"/>
        </w:rPr>
        <w:t xml:space="preserve"> Consent to Participate in Research (Paper) – Spanish</w:t>
      </w:r>
    </w:p>
    <w:p w:rsidR="00F117D6" w:rsidRPr="0056461F" w:rsidRDefault="00F117D6" w:rsidP="00C90014">
      <w:pPr>
        <w:ind w:left="1980" w:hanging="1980"/>
        <w:rPr>
          <w:szCs w:val="24"/>
        </w:rPr>
      </w:pPr>
      <w:r w:rsidRPr="0056461F">
        <w:rPr>
          <w:szCs w:val="24"/>
        </w:rPr>
        <w:t xml:space="preserve">Attachment </w:t>
      </w:r>
      <w:r w:rsidR="00420B92" w:rsidRPr="0056461F">
        <w:rPr>
          <w:szCs w:val="24"/>
        </w:rPr>
        <w:t>6</w:t>
      </w:r>
      <w:r w:rsidRPr="0056461F">
        <w:rPr>
          <w:szCs w:val="24"/>
        </w:rPr>
        <w:t>B</w:t>
      </w:r>
      <w:r w:rsidRPr="0056461F">
        <w:rPr>
          <w:szCs w:val="24"/>
        </w:rPr>
        <w:tab/>
      </w:r>
      <w:r w:rsidR="000B3F4E" w:rsidRPr="0056461F">
        <w:rPr>
          <w:bCs/>
          <w:i/>
          <w:szCs w:val="24"/>
        </w:rPr>
        <w:t>Standard Protocol</w:t>
      </w:r>
      <w:r w:rsidR="006B0E97" w:rsidRPr="0056461F">
        <w:rPr>
          <w:bCs/>
          <w:i/>
          <w:szCs w:val="24"/>
        </w:rPr>
        <w:t>:</w:t>
      </w:r>
      <w:r w:rsidR="00A1185C" w:rsidRPr="0056461F">
        <w:rPr>
          <w:bCs/>
          <w:szCs w:val="24"/>
        </w:rPr>
        <w:t xml:space="preserve"> Consent to Participate in Research (Phone)</w:t>
      </w:r>
    </w:p>
    <w:p w:rsidR="00F331D1" w:rsidRPr="0056461F" w:rsidRDefault="00F331D1" w:rsidP="00C90014">
      <w:pPr>
        <w:ind w:left="1980" w:hanging="1980"/>
        <w:rPr>
          <w:szCs w:val="24"/>
        </w:rPr>
      </w:pPr>
      <w:r w:rsidRPr="0056461F">
        <w:rPr>
          <w:szCs w:val="24"/>
        </w:rPr>
        <w:t>Attachment 6B</w:t>
      </w:r>
      <w:r>
        <w:rPr>
          <w:szCs w:val="24"/>
        </w:rPr>
        <w:t>-</w:t>
      </w:r>
      <w:r w:rsidRPr="0056461F">
        <w:rPr>
          <w:szCs w:val="24"/>
        </w:rPr>
        <w:t>S</w:t>
      </w:r>
      <w:r w:rsidRPr="0056461F">
        <w:rPr>
          <w:szCs w:val="24"/>
        </w:rPr>
        <w:tab/>
      </w:r>
      <w:r w:rsidRPr="0056461F">
        <w:rPr>
          <w:bCs/>
          <w:i/>
          <w:szCs w:val="24"/>
        </w:rPr>
        <w:t>Standard Protocol:</w:t>
      </w:r>
      <w:r w:rsidRPr="0056461F">
        <w:rPr>
          <w:bCs/>
          <w:szCs w:val="24"/>
        </w:rPr>
        <w:t xml:space="preserve"> Consent to Participate in Research (Phone) – Spanish</w:t>
      </w:r>
    </w:p>
    <w:p w:rsidR="00F117D6" w:rsidRPr="0056461F" w:rsidRDefault="00F117D6" w:rsidP="00C90014">
      <w:pPr>
        <w:ind w:left="1980" w:hanging="1980"/>
        <w:rPr>
          <w:szCs w:val="24"/>
        </w:rPr>
      </w:pPr>
      <w:r w:rsidRPr="0056461F">
        <w:rPr>
          <w:szCs w:val="24"/>
        </w:rPr>
        <w:t xml:space="preserve">Attachment </w:t>
      </w:r>
      <w:r w:rsidR="00420B92" w:rsidRPr="0056461F">
        <w:rPr>
          <w:szCs w:val="24"/>
        </w:rPr>
        <w:t>6</w:t>
      </w:r>
      <w:r w:rsidRPr="0056461F">
        <w:rPr>
          <w:szCs w:val="24"/>
        </w:rPr>
        <w:t>C</w:t>
      </w:r>
      <w:r w:rsidRPr="0056461F">
        <w:rPr>
          <w:szCs w:val="24"/>
        </w:rPr>
        <w:tab/>
      </w:r>
      <w:r w:rsidR="000B3F4E" w:rsidRPr="0056461F">
        <w:rPr>
          <w:i/>
          <w:szCs w:val="24"/>
        </w:rPr>
        <w:t>Enhanced Protocol</w:t>
      </w:r>
      <w:r w:rsidRPr="0056461F">
        <w:rPr>
          <w:szCs w:val="24"/>
        </w:rPr>
        <w:t xml:space="preserve">: </w:t>
      </w:r>
      <w:r w:rsidRPr="0056461F">
        <w:rPr>
          <w:bCs/>
          <w:szCs w:val="24"/>
        </w:rPr>
        <w:t>Youth Assent Form</w:t>
      </w:r>
      <w:r w:rsidR="00596A81" w:rsidRPr="0056461F">
        <w:rPr>
          <w:bCs/>
          <w:szCs w:val="24"/>
        </w:rPr>
        <w:t>s</w:t>
      </w:r>
    </w:p>
    <w:p w:rsidR="00F331D1" w:rsidRPr="0056461F" w:rsidRDefault="00F331D1" w:rsidP="00C90014">
      <w:pPr>
        <w:ind w:left="1980" w:hanging="1980"/>
        <w:rPr>
          <w:szCs w:val="24"/>
        </w:rPr>
      </w:pPr>
      <w:r w:rsidRPr="0056461F">
        <w:rPr>
          <w:szCs w:val="24"/>
        </w:rPr>
        <w:t>Attachment 6C</w:t>
      </w:r>
      <w:r>
        <w:rPr>
          <w:szCs w:val="24"/>
        </w:rPr>
        <w:t>-</w:t>
      </w:r>
      <w:r w:rsidRPr="0056461F">
        <w:rPr>
          <w:szCs w:val="24"/>
        </w:rPr>
        <w:t>S</w:t>
      </w:r>
      <w:r w:rsidRPr="0056461F">
        <w:rPr>
          <w:szCs w:val="24"/>
        </w:rPr>
        <w:tab/>
      </w:r>
      <w:r w:rsidRPr="0056461F">
        <w:rPr>
          <w:i/>
          <w:szCs w:val="24"/>
        </w:rPr>
        <w:t>Enhanced Protocol</w:t>
      </w:r>
      <w:r w:rsidRPr="0056461F">
        <w:rPr>
          <w:szCs w:val="24"/>
        </w:rPr>
        <w:t xml:space="preserve">: </w:t>
      </w:r>
      <w:r w:rsidRPr="0056461F">
        <w:rPr>
          <w:bCs/>
          <w:szCs w:val="24"/>
        </w:rPr>
        <w:t>Youth Assent Forms – Spanish</w:t>
      </w:r>
    </w:p>
    <w:p w:rsidR="00F117D6" w:rsidRPr="0056461F" w:rsidRDefault="00F117D6" w:rsidP="00C90014">
      <w:pPr>
        <w:ind w:left="1980" w:hanging="1980"/>
        <w:rPr>
          <w:bCs/>
          <w:szCs w:val="24"/>
        </w:rPr>
      </w:pPr>
      <w:r w:rsidRPr="0056461F">
        <w:rPr>
          <w:szCs w:val="24"/>
        </w:rPr>
        <w:t xml:space="preserve">Attachment </w:t>
      </w:r>
      <w:r w:rsidR="00420B92" w:rsidRPr="0056461F">
        <w:rPr>
          <w:szCs w:val="24"/>
        </w:rPr>
        <w:t>6</w:t>
      </w:r>
      <w:r w:rsidRPr="0056461F">
        <w:rPr>
          <w:szCs w:val="24"/>
        </w:rPr>
        <w:t>D</w:t>
      </w:r>
      <w:r w:rsidRPr="0056461F">
        <w:rPr>
          <w:szCs w:val="24"/>
        </w:rPr>
        <w:tab/>
      </w:r>
      <w:r w:rsidR="000B3F4E" w:rsidRPr="0056461F">
        <w:rPr>
          <w:i/>
          <w:szCs w:val="24"/>
        </w:rPr>
        <w:t xml:space="preserve">Enhanced </w:t>
      </w:r>
      <w:proofErr w:type="gramStart"/>
      <w:r w:rsidR="000B3F4E" w:rsidRPr="0056461F">
        <w:rPr>
          <w:i/>
          <w:szCs w:val="24"/>
        </w:rPr>
        <w:t>Protocol</w:t>
      </w:r>
      <w:proofErr w:type="gramEnd"/>
      <w:r w:rsidR="00596A81" w:rsidRPr="0056461F">
        <w:rPr>
          <w:szCs w:val="24"/>
        </w:rPr>
        <w:t>:</w:t>
      </w:r>
      <w:r w:rsidRPr="0056461F">
        <w:rPr>
          <w:szCs w:val="24"/>
        </w:rPr>
        <w:t xml:space="preserve"> </w:t>
      </w:r>
      <w:r w:rsidRPr="0056461F">
        <w:rPr>
          <w:bCs/>
          <w:szCs w:val="24"/>
        </w:rPr>
        <w:t>Consent to Participate in Research (Adults Only)</w:t>
      </w:r>
    </w:p>
    <w:p w:rsidR="00F331D1" w:rsidRPr="0056461F" w:rsidRDefault="00F331D1" w:rsidP="00C90014">
      <w:pPr>
        <w:ind w:left="1980" w:hanging="1980"/>
        <w:rPr>
          <w:bCs/>
          <w:szCs w:val="24"/>
        </w:rPr>
      </w:pPr>
      <w:r w:rsidRPr="0056461F">
        <w:rPr>
          <w:szCs w:val="24"/>
        </w:rPr>
        <w:t>Attachment 6D</w:t>
      </w:r>
      <w:r>
        <w:rPr>
          <w:szCs w:val="24"/>
        </w:rPr>
        <w:t>-</w:t>
      </w:r>
      <w:r w:rsidRPr="0056461F">
        <w:rPr>
          <w:szCs w:val="24"/>
        </w:rPr>
        <w:t>S</w:t>
      </w:r>
      <w:r w:rsidRPr="0056461F">
        <w:rPr>
          <w:szCs w:val="24"/>
        </w:rPr>
        <w:tab/>
      </w:r>
      <w:r w:rsidRPr="0056461F">
        <w:rPr>
          <w:i/>
          <w:szCs w:val="24"/>
        </w:rPr>
        <w:t>Enhanced Protocol</w:t>
      </w:r>
      <w:r w:rsidRPr="0056461F">
        <w:rPr>
          <w:szCs w:val="24"/>
        </w:rPr>
        <w:t xml:space="preserve">: </w:t>
      </w:r>
      <w:r w:rsidRPr="0056461F">
        <w:rPr>
          <w:bCs/>
          <w:szCs w:val="24"/>
        </w:rPr>
        <w:t>Consent to Participate in Research (Adults Only) – Spanish</w:t>
      </w:r>
    </w:p>
    <w:p w:rsidR="00F117D6" w:rsidRPr="0056461F" w:rsidRDefault="00F117D6" w:rsidP="00C90014">
      <w:pPr>
        <w:ind w:left="1980" w:hanging="1980"/>
        <w:rPr>
          <w:bCs/>
          <w:szCs w:val="24"/>
        </w:rPr>
      </w:pPr>
      <w:r w:rsidRPr="0056461F">
        <w:rPr>
          <w:bCs/>
          <w:szCs w:val="24"/>
        </w:rPr>
        <w:t xml:space="preserve">Attachment </w:t>
      </w:r>
      <w:r w:rsidR="00420B92" w:rsidRPr="0056461F">
        <w:rPr>
          <w:bCs/>
          <w:szCs w:val="24"/>
        </w:rPr>
        <w:t>6</w:t>
      </w:r>
      <w:r w:rsidRPr="0056461F">
        <w:rPr>
          <w:bCs/>
          <w:szCs w:val="24"/>
        </w:rPr>
        <w:t>E</w:t>
      </w:r>
      <w:r w:rsidRPr="0056461F">
        <w:rPr>
          <w:bCs/>
          <w:szCs w:val="24"/>
        </w:rPr>
        <w:tab/>
      </w:r>
      <w:r w:rsidR="000B3F4E" w:rsidRPr="0056461F">
        <w:rPr>
          <w:bCs/>
          <w:i/>
          <w:szCs w:val="24"/>
        </w:rPr>
        <w:t>Enhanced Protocol</w:t>
      </w:r>
      <w:r w:rsidR="00596A81" w:rsidRPr="0056461F">
        <w:rPr>
          <w:bCs/>
          <w:szCs w:val="24"/>
        </w:rPr>
        <w:t>: Parental Permission to Participate in Research (Children Ages 3-17)</w:t>
      </w:r>
    </w:p>
    <w:p w:rsidR="00F331D1" w:rsidRPr="0056461F" w:rsidRDefault="00F331D1" w:rsidP="00C90014">
      <w:pPr>
        <w:ind w:left="1980" w:hanging="1980"/>
        <w:rPr>
          <w:bCs/>
          <w:szCs w:val="24"/>
        </w:rPr>
      </w:pPr>
      <w:r w:rsidRPr="0056461F">
        <w:rPr>
          <w:bCs/>
          <w:szCs w:val="24"/>
        </w:rPr>
        <w:t>Attachment 6E</w:t>
      </w:r>
      <w:r>
        <w:rPr>
          <w:szCs w:val="24"/>
        </w:rPr>
        <w:t>-</w:t>
      </w:r>
      <w:r w:rsidRPr="0056461F">
        <w:rPr>
          <w:szCs w:val="24"/>
        </w:rPr>
        <w:t>S</w:t>
      </w:r>
      <w:r w:rsidRPr="0056461F">
        <w:rPr>
          <w:bCs/>
          <w:szCs w:val="24"/>
        </w:rPr>
        <w:tab/>
      </w:r>
      <w:r w:rsidRPr="0056461F">
        <w:rPr>
          <w:bCs/>
          <w:i/>
          <w:szCs w:val="24"/>
        </w:rPr>
        <w:t>Enhanced Protocol</w:t>
      </w:r>
      <w:r w:rsidRPr="0056461F">
        <w:rPr>
          <w:bCs/>
          <w:szCs w:val="24"/>
        </w:rPr>
        <w:t xml:space="preserve"> Parental Permission to Participate in Research (Children Ages 3-17)</w:t>
      </w:r>
    </w:p>
    <w:p w:rsidR="00F117D6" w:rsidRPr="0056461F" w:rsidRDefault="00F117D6" w:rsidP="00C90014">
      <w:pPr>
        <w:ind w:left="1980" w:hanging="1980"/>
        <w:rPr>
          <w:szCs w:val="24"/>
        </w:rPr>
      </w:pPr>
      <w:r w:rsidRPr="0056461F">
        <w:rPr>
          <w:szCs w:val="24"/>
        </w:rPr>
        <w:t xml:space="preserve">Attachment </w:t>
      </w:r>
      <w:r w:rsidR="00F05CA7" w:rsidRPr="0056461F">
        <w:rPr>
          <w:szCs w:val="24"/>
        </w:rPr>
        <w:t>7A</w:t>
      </w:r>
      <w:r w:rsidRPr="0056461F">
        <w:rPr>
          <w:szCs w:val="24"/>
        </w:rPr>
        <w:tab/>
        <w:t>Adult Targeted Surveillance Survey</w:t>
      </w:r>
      <w:r w:rsidR="00B75FB4">
        <w:rPr>
          <w:szCs w:val="24"/>
        </w:rPr>
        <w:t xml:space="preserve"> – </w:t>
      </w:r>
      <w:r w:rsidR="007B67C1" w:rsidRPr="0056461F">
        <w:rPr>
          <w:szCs w:val="24"/>
        </w:rPr>
        <w:t>Paper</w:t>
      </w:r>
      <w:r w:rsidR="00260723">
        <w:rPr>
          <w:szCs w:val="24"/>
        </w:rPr>
        <w:t xml:space="preserve"> Booklet </w:t>
      </w:r>
    </w:p>
    <w:p w:rsidR="00F331D1" w:rsidRPr="0056461F" w:rsidRDefault="00F331D1" w:rsidP="00C90014">
      <w:pPr>
        <w:ind w:left="1980" w:hanging="1980"/>
        <w:rPr>
          <w:szCs w:val="24"/>
        </w:rPr>
      </w:pPr>
      <w:r w:rsidRPr="0056461F">
        <w:rPr>
          <w:szCs w:val="24"/>
        </w:rPr>
        <w:t>Attachment 7A</w:t>
      </w:r>
      <w:r>
        <w:rPr>
          <w:szCs w:val="24"/>
        </w:rPr>
        <w:t>-</w:t>
      </w:r>
      <w:r w:rsidRPr="0056461F">
        <w:rPr>
          <w:szCs w:val="24"/>
        </w:rPr>
        <w:t>S</w:t>
      </w:r>
      <w:r w:rsidRPr="0056461F">
        <w:rPr>
          <w:szCs w:val="24"/>
        </w:rPr>
        <w:tab/>
        <w:t>Adult Targeted Surveillance Survey – Paper</w:t>
      </w:r>
      <w:r w:rsidR="00260723">
        <w:rPr>
          <w:szCs w:val="24"/>
        </w:rPr>
        <w:t xml:space="preserve"> Booklet</w:t>
      </w:r>
      <w:r w:rsidRPr="0056461F">
        <w:rPr>
          <w:szCs w:val="24"/>
        </w:rPr>
        <w:t xml:space="preserve"> – Spanish</w:t>
      </w:r>
    </w:p>
    <w:p w:rsidR="00A1185C" w:rsidRPr="0056461F" w:rsidRDefault="00A1185C" w:rsidP="00C90014">
      <w:pPr>
        <w:ind w:left="1980" w:hanging="1980"/>
        <w:rPr>
          <w:szCs w:val="24"/>
        </w:rPr>
      </w:pPr>
      <w:r w:rsidRPr="0056461F">
        <w:rPr>
          <w:szCs w:val="24"/>
        </w:rPr>
        <w:t xml:space="preserve">Attachment </w:t>
      </w:r>
      <w:r w:rsidR="00F05CA7" w:rsidRPr="0056461F">
        <w:rPr>
          <w:szCs w:val="24"/>
        </w:rPr>
        <w:t>7B</w:t>
      </w:r>
      <w:r w:rsidRPr="0056461F">
        <w:rPr>
          <w:szCs w:val="24"/>
        </w:rPr>
        <w:tab/>
        <w:t xml:space="preserve">Adult Targeted Surveillance Survey – </w:t>
      </w:r>
      <w:r w:rsidR="007B67C1" w:rsidRPr="0056461F">
        <w:rPr>
          <w:szCs w:val="24"/>
        </w:rPr>
        <w:t xml:space="preserve">Paper </w:t>
      </w:r>
      <w:r w:rsidR="00EE5D57">
        <w:rPr>
          <w:szCs w:val="24"/>
        </w:rPr>
        <w:t xml:space="preserve">Booklet </w:t>
      </w:r>
      <w:r w:rsidRPr="0056461F">
        <w:rPr>
          <w:szCs w:val="24"/>
        </w:rPr>
        <w:t>FAQ Guide</w:t>
      </w:r>
    </w:p>
    <w:p w:rsidR="00F331D1" w:rsidRPr="0056461F" w:rsidRDefault="00F331D1" w:rsidP="00C90014">
      <w:pPr>
        <w:ind w:left="1980" w:hanging="1980"/>
        <w:rPr>
          <w:szCs w:val="24"/>
        </w:rPr>
      </w:pPr>
      <w:r w:rsidRPr="0056461F">
        <w:rPr>
          <w:szCs w:val="24"/>
        </w:rPr>
        <w:t>Attachment 7B</w:t>
      </w:r>
      <w:r>
        <w:rPr>
          <w:szCs w:val="24"/>
        </w:rPr>
        <w:t>-</w:t>
      </w:r>
      <w:r w:rsidRPr="0056461F">
        <w:rPr>
          <w:szCs w:val="24"/>
        </w:rPr>
        <w:t>S</w:t>
      </w:r>
      <w:r w:rsidRPr="0056461F">
        <w:rPr>
          <w:szCs w:val="24"/>
        </w:rPr>
        <w:tab/>
        <w:t xml:space="preserve">Adult Targeted Surveillance Survey – Paper </w:t>
      </w:r>
      <w:r w:rsidR="00EE5D57">
        <w:rPr>
          <w:szCs w:val="24"/>
        </w:rPr>
        <w:t xml:space="preserve">Booklet </w:t>
      </w:r>
      <w:r w:rsidRPr="0056461F">
        <w:rPr>
          <w:szCs w:val="24"/>
        </w:rPr>
        <w:t xml:space="preserve">FAQ Guide – Spanish </w:t>
      </w:r>
    </w:p>
    <w:p w:rsidR="007B67C1" w:rsidRPr="0056461F" w:rsidRDefault="007B67C1" w:rsidP="00462104">
      <w:pPr>
        <w:ind w:left="1980" w:hanging="1980"/>
      </w:pPr>
      <w:r w:rsidRPr="0056461F">
        <w:rPr>
          <w:szCs w:val="24"/>
        </w:rPr>
        <w:t>Attachment 7C</w:t>
      </w:r>
      <w:r w:rsidRPr="0056461F">
        <w:rPr>
          <w:szCs w:val="24"/>
        </w:rPr>
        <w:tab/>
        <w:t>Adult Targeted Surveillance Survey</w:t>
      </w:r>
      <w:r w:rsidR="00B75FB4">
        <w:rPr>
          <w:szCs w:val="24"/>
        </w:rPr>
        <w:t xml:space="preserve"> – </w:t>
      </w:r>
      <w:r w:rsidR="00462104">
        <w:rPr>
          <w:szCs w:val="24"/>
        </w:rPr>
        <w:t xml:space="preserve">Telephone </w:t>
      </w:r>
    </w:p>
    <w:p w:rsidR="00F331D1" w:rsidRDefault="00F331D1" w:rsidP="00FA215B">
      <w:pPr>
        <w:ind w:left="1980" w:hanging="1980"/>
        <w:rPr>
          <w:szCs w:val="24"/>
        </w:rPr>
      </w:pPr>
      <w:r w:rsidRPr="0056461F">
        <w:rPr>
          <w:szCs w:val="24"/>
        </w:rPr>
        <w:t>Attachment 7C</w:t>
      </w:r>
      <w:r>
        <w:rPr>
          <w:szCs w:val="24"/>
        </w:rPr>
        <w:t>-</w:t>
      </w:r>
      <w:r w:rsidRPr="0056461F">
        <w:rPr>
          <w:szCs w:val="24"/>
        </w:rPr>
        <w:t>S</w:t>
      </w:r>
      <w:r w:rsidRPr="0056461F">
        <w:rPr>
          <w:szCs w:val="24"/>
        </w:rPr>
        <w:tab/>
        <w:t xml:space="preserve">Adult Targeted Surveillance Survey – </w:t>
      </w:r>
      <w:r w:rsidR="00FA215B">
        <w:rPr>
          <w:szCs w:val="24"/>
        </w:rPr>
        <w:t xml:space="preserve">Telephone </w:t>
      </w:r>
      <w:r w:rsidR="00B75FB4">
        <w:rPr>
          <w:szCs w:val="24"/>
        </w:rPr>
        <w:t xml:space="preserve">– </w:t>
      </w:r>
      <w:r w:rsidRPr="0056461F">
        <w:rPr>
          <w:szCs w:val="24"/>
        </w:rPr>
        <w:t>Spanish</w:t>
      </w:r>
    </w:p>
    <w:p w:rsidR="00AD3E40" w:rsidRPr="0056461F" w:rsidRDefault="00AD3E40" w:rsidP="00FA215B">
      <w:pPr>
        <w:ind w:left="1980" w:hanging="1980"/>
        <w:rPr>
          <w:szCs w:val="24"/>
        </w:rPr>
      </w:pPr>
      <w:r>
        <w:rPr>
          <w:szCs w:val="24"/>
        </w:rPr>
        <w:t>Attachment 7D</w:t>
      </w:r>
      <w:r>
        <w:rPr>
          <w:szCs w:val="24"/>
        </w:rPr>
        <w:tab/>
        <w:t>Adult Targeted Surveillance Survey – Documentation of Question Provenance</w:t>
      </w:r>
    </w:p>
    <w:p w:rsidR="00897B72" w:rsidRPr="0056461F" w:rsidRDefault="00897B72" w:rsidP="00C90014">
      <w:pPr>
        <w:ind w:left="1980" w:hanging="1980"/>
        <w:rPr>
          <w:szCs w:val="24"/>
        </w:rPr>
      </w:pPr>
      <w:r w:rsidRPr="0056461F">
        <w:rPr>
          <w:szCs w:val="24"/>
        </w:rPr>
        <w:t xml:space="preserve">Attachment </w:t>
      </w:r>
      <w:r w:rsidR="00F05CA7" w:rsidRPr="0056461F">
        <w:rPr>
          <w:szCs w:val="24"/>
        </w:rPr>
        <w:t>8A</w:t>
      </w:r>
      <w:r w:rsidRPr="0056461F">
        <w:rPr>
          <w:szCs w:val="24"/>
        </w:rPr>
        <w:tab/>
      </w:r>
      <w:r w:rsidR="00640F68" w:rsidRPr="0056461F">
        <w:rPr>
          <w:szCs w:val="24"/>
        </w:rPr>
        <w:t xml:space="preserve">ATSS </w:t>
      </w:r>
      <w:r w:rsidR="0005517A" w:rsidRPr="0056461F">
        <w:rPr>
          <w:szCs w:val="24"/>
        </w:rPr>
        <w:t>Gift</w:t>
      </w:r>
      <w:r w:rsidR="00DE5D38" w:rsidRPr="0056461F">
        <w:rPr>
          <w:szCs w:val="24"/>
        </w:rPr>
        <w:t xml:space="preserve"> </w:t>
      </w:r>
      <w:r w:rsidRPr="0056461F">
        <w:rPr>
          <w:szCs w:val="24"/>
        </w:rPr>
        <w:t>Form</w:t>
      </w:r>
    </w:p>
    <w:p w:rsidR="00F331D1" w:rsidRPr="0056461F" w:rsidRDefault="00F331D1" w:rsidP="00C90014">
      <w:pPr>
        <w:ind w:left="1980" w:hanging="1980"/>
        <w:rPr>
          <w:szCs w:val="24"/>
        </w:rPr>
      </w:pPr>
      <w:r w:rsidRPr="0056461F">
        <w:rPr>
          <w:szCs w:val="24"/>
        </w:rPr>
        <w:t>Attachment 8A</w:t>
      </w:r>
      <w:r>
        <w:rPr>
          <w:szCs w:val="24"/>
        </w:rPr>
        <w:t>-</w:t>
      </w:r>
      <w:r w:rsidRPr="0056461F">
        <w:rPr>
          <w:szCs w:val="24"/>
        </w:rPr>
        <w:t>S</w:t>
      </w:r>
      <w:r w:rsidRPr="0056461F">
        <w:rPr>
          <w:szCs w:val="24"/>
        </w:rPr>
        <w:tab/>
        <w:t>ATSS Gift Form – Spanish</w:t>
      </w:r>
    </w:p>
    <w:p w:rsidR="00897B72" w:rsidRPr="0056461F" w:rsidRDefault="00897B72" w:rsidP="00C90014">
      <w:pPr>
        <w:ind w:left="1980" w:hanging="1980"/>
        <w:rPr>
          <w:b/>
          <w:szCs w:val="24"/>
        </w:rPr>
      </w:pPr>
      <w:r w:rsidRPr="0056461F">
        <w:rPr>
          <w:szCs w:val="24"/>
        </w:rPr>
        <w:t xml:space="preserve">Attachment </w:t>
      </w:r>
      <w:r w:rsidR="00F05CA7" w:rsidRPr="0056461F">
        <w:rPr>
          <w:szCs w:val="24"/>
        </w:rPr>
        <w:t>8B</w:t>
      </w:r>
      <w:r w:rsidRPr="0056461F">
        <w:rPr>
          <w:szCs w:val="24"/>
        </w:rPr>
        <w:tab/>
        <w:t xml:space="preserve">Letter Sent with </w:t>
      </w:r>
      <w:r w:rsidR="0005517A" w:rsidRPr="0056461F">
        <w:rPr>
          <w:szCs w:val="24"/>
        </w:rPr>
        <w:t>Gift</w:t>
      </w:r>
      <w:r w:rsidRPr="0056461F">
        <w:rPr>
          <w:szCs w:val="24"/>
        </w:rPr>
        <w:t xml:space="preserve"> for Completing ATSS </w:t>
      </w:r>
    </w:p>
    <w:p w:rsidR="00F331D1" w:rsidRPr="0056461F" w:rsidRDefault="00F331D1" w:rsidP="00C90014">
      <w:pPr>
        <w:ind w:left="1980" w:hanging="1980"/>
        <w:rPr>
          <w:b/>
          <w:szCs w:val="24"/>
        </w:rPr>
      </w:pPr>
      <w:r w:rsidRPr="0056461F">
        <w:rPr>
          <w:szCs w:val="24"/>
        </w:rPr>
        <w:t>Attachment</w:t>
      </w:r>
      <w:r>
        <w:rPr>
          <w:szCs w:val="24"/>
        </w:rPr>
        <w:t xml:space="preserve"> </w:t>
      </w:r>
      <w:r w:rsidRPr="0056461F">
        <w:rPr>
          <w:szCs w:val="24"/>
        </w:rPr>
        <w:t>8B</w:t>
      </w:r>
      <w:r>
        <w:rPr>
          <w:szCs w:val="24"/>
        </w:rPr>
        <w:t>-</w:t>
      </w:r>
      <w:r w:rsidRPr="0056461F">
        <w:rPr>
          <w:szCs w:val="24"/>
        </w:rPr>
        <w:t>S</w:t>
      </w:r>
      <w:r w:rsidRPr="0056461F">
        <w:rPr>
          <w:szCs w:val="24"/>
        </w:rPr>
        <w:tab/>
        <w:t>Letter Sent with Gift for Completing ATSS</w:t>
      </w:r>
      <w:r w:rsidR="00B75FB4">
        <w:rPr>
          <w:szCs w:val="24"/>
        </w:rPr>
        <w:t xml:space="preserve"> – </w:t>
      </w:r>
      <w:r w:rsidRPr="0056461F">
        <w:rPr>
          <w:szCs w:val="24"/>
        </w:rPr>
        <w:t>Spanish</w:t>
      </w:r>
    </w:p>
    <w:p w:rsidR="00F117D6" w:rsidRPr="0056461F" w:rsidRDefault="00F117D6" w:rsidP="00C90014">
      <w:pPr>
        <w:ind w:left="1980" w:hanging="1980"/>
        <w:rPr>
          <w:szCs w:val="24"/>
        </w:rPr>
      </w:pPr>
      <w:r w:rsidRPr="0056461F">
        <w:rPr>
          <w:szCs w:val="24"/>
        </w:rPr>
        <w:t xml:space="preserve">Attachment </w:t>
      </w:r>
      <w:r w:rsidR="00420B92" w:rsidRPr="0056461F">
        <w:rPr>
          <w:szCs w:val="24"/>
        </w:rPr>
        <w:t>9</w:t>
      </w:r>
      <w:r w:rsidRPr="0056461F">
        <w:rPr>
          <w:szCs w:val="24"/>
        </w:rPr>
        <w:t>A</w:t>
      </w:r>
      <w:r w:rsidRPr="0056461F">
        <w:rPr>
          <w:szCs w:val="24"/>
        </w:rPr>
        <w:tab/>
        <w:t>Caregiver Survey</w:t>
      </w:r>
    </w:p>
    <w:p w:rsidR="00F331D1" w:rsidRPr="0056461F" w:rsidRDefault="00F331D1" w:rsidP="00C90014">
      <w:pPr>
        <w:ind w:left="1980" w:hanging="1980"/>
        <w:rPr>
          <w:szCs w:val="24"/>
        </w:rPr>
      </w:pPr>
      <w:r w:rsidRPr="0056461F">
        <w:rPr>
          <w:szCs w:val="24"/>
        </w:rPr>
        <w:t>Attachment 9A</w:t>
      </w:r>
      <w:r>
        <w:rPr>
          <w:szCs w:val="24"/>
        </w:rPr>
        <w:t>-</w:t>
      </w:r>
      <w:r w:rsidRPr="0056461F">
        <w:rPr>
          <w:szCs w:val="24"/>
        </w:rPr>
        <w:t>S</w:t>
      </w:r>
      <w:r w:rsidRPr="0056461F">
        <w:rPr>
          <w:szCs w:val="24"/>
        </w:rPr>
        <w:tab/>
        <w:t>Caregiver Survey – Spanish</w:t>
      </w:r>
    </w:p>
    <w:p w:rsidR="00F117D6" w:rsidRPr="0056461F" w:rsidRDefault="00F117D6" w:rsidP="00C90014">
      <w:pPr>
        <w:ind w:left="1980" w:hanging="1980"/>
        <w:rPr>
          <w:szCs w:val="24"/>
        </w:rPr>
      </w:pPr>
      <w:r w:rsidRPr="0056461F">
        <w:rPr>
          <w:szCs w:val="24"/>
        </w:rPr>
        <w:t xml:space="preserve">Attachment </w:t>
      </w:r>
      <w:r w:rsidR="00420B92" w:rsidRPr="0056461F">
        <w:rPr>
          <w:szCs w:val="24"/>
        </w:rPr>
        <w:t>9</w:t>
      </w:r>
      <w:r w:rsidRPr="0056461F">
        <w:rPr>
          <w:szCs w:val="24"/>
        </w:rPr>
        <w:t>B</w:t>
      </w:r>
      <w:r w:rsidRPr="0056461F">
        <w:rPr>
          <w:szCs w:val="24"/>
        </w:rPr>
        <w:tab/>
        <w:t xml:space="preserve">Youth </w:t>
      </w:r>
      <w:r w:rsidR="00A1185C" w:rsidRPr="0056461F">
        <w:rPr>
          <w:szCs w:val="24"/>
        </w:rPr>
        <w:t>Survey</w:t>
      </w:r>
    </w:p>
    <w:p w:rsidR="00F331D1" w:rsidRDefault="00F331D1" w:rsidP="00C90014">
      <w:pPr>
        <w:ind w:left="1980" w:hanging="1980"/>
        <w:rPr>
          <w:szCs w:val="24"/>
        </w:rPr>
      </w:pPr>
      <w:r w:rsidRPr="0056461F">
        <w:rPr>
          <w:szCs w:val="24"/>
        </w:rPr>
        <w:t>Attachment 9B</w:t>
      </w:r>
      <w:r>
        <w:rPr>
          <w:szCs w:val="24"/>
        </w:rPr>
        <w:t>-</w:t>
      </w:r>
      <w:r w:rsidRPr="0056461F">
        <w:rPr>
          <w:szCs w:val="24"/>
        </w:rPr>
        <w:t>S</w:t>
      </w:r>
      <w:r w:rsidRPr="0056461F">
        <w:rPr>
          <w:szCs w:val="24"/>
        </w:rPr>
        <w:tab/>
        <w:t>Youth Survey – Spanish</w:t>
      </w:r>
    </w:p>
    <w:p w:rsidR="00AD3E40" w:rsidRPr="0056461F" w:rsidRDefault="00AD3E40" w:rsidP="00C90014">
      <w:pPr>
        <w:ind w:left="1980" w:hanging="1980"/>
        <w:rPr>
          <w:szCs w:val="24"/>
        </w:rPr>
      </w:pPr>
      <w:r>
        <w:rPr>
          <w:szCs w:val="24"/>
        </w:rPr>
        <w:t>Attachment 9C</w:t>
      </w:r>
      <w:r>
        <w:rPr>
          <w:szCs w:val="24"/>
        </w:rPr>
        <w:tab/>
        <w:t>Youth and Caregiver Survey – Documentation of Question Provenance</w:t>
      </w:r>
    </w:p>
    <w:p w:rsidR="00F117D6" w:rsidRPr="0056461F" w:rsidRDefault="00F117D6" w:rsidP="00C90014">
      <w:pPr>
        <w:ind w:left="1980" w:hanging="1980"/>
        <w:rPr>
          <w:szCs w:val="24"/>
        </w:rPr>
      </w:pPr>
      <w:r w:rsidRPr="0056461F">
        <w:rPr>
          <w:szCs w:val="24"/>
        </w:rPr>
        <w:t xml:space="preserve">Attachment </w:t>
      </w:r>
      <w:r w:rsidR="00977D6C" w:rsidRPr="0056461F">
        <w:rPr>
          <w:szCs w:val="24"/>
        </w:rPr>
        <w:t>1</w:t>
      </w:r>
      <w:r w:rsidR="00420B92" w:rsidRPr="0056461F">
        <w:rPr>
          <w:szCs w:val="24"/>
        </w:rPr>
        <w:t>0</w:t>
      </w:r>
      <w:r w:rsidR="004C4999" w:rsidRPr="0056461F">
        <w:rPr>
          <w:szCs w:val="24"/>
        </w:rPr>
        <w:t>A</w:t>
      </w:r>
      <w:r w:rsidRPr="0056461F">
        <w:rPr>
          <w:szCs w:val="24"/>
        </w:rPr>
        <w:tab/>
      </w:r>
      <w:r w:rsidR="005C3B84" w:rsidRPr="0056461F">
        <w:rPr>
          <w:szCs w:val="24"/>
        </w:rPr>
        <w:t>Adult Biometric Measures Recruitment Screener (</w:t>
      </w:r>
      <w:r w:rsidR="007F6A4B" w:rsidRPr="0056461F">
        <w:rPr>
          <w:szCs w:val="24"/>
        </w:rPr>
        <w:t>ATSS CATI Completes</w:t>
      </w:r>
      <w:r w:rsidR="005C3B84" w:rsidRPr="0056461F">
        <w:rPr>
          <w:szCs w:val="24"/>
        </w:rPr>
        <w:t>)</w:t>
      </w:r>
    </w:p>
    <w:p w:rsidR="001E165B" w:rsidRDefault="00F331D1" w:rsidP="001E165B">
      <w:pPr>
        <w:ind w:left="1980" w:hanging="1980"/>
        <w:rPr>
          <w:szCs w:val="24"/>
        </w:rPr>
      </w:pPr>
      <w:r w:rsidRPr="0056461F">
        <w:rPr>
          <w:szCs w:val="24"/>
        </w:rPr>
        <w:lastRenderedPageBreak/>
        <w:t>Attachment 10A</w:t>
      </w:r>
      <w:r>
        <w:rPr>
          <w:szCs w:val="24"/>
        </w:rPr>
        <w:t>-</w:t>
      </w:r>
      <w:r w:rsidRPr="0056461F">
        <w:rPr>
          <w:szCs w:val="24"/>
        </w:rPr>
        <w:t>S</w:t>
      </w:r>
      <w:r>
        <w:rPr>
          <w:szCs w:val="24"/>
        </w:rPr>
        <w:t xml:space="preserve"> </w:t>
      </w:r>
      <w:r w:rsidR="009D700D">
        <w:rPr>
          <w:szCs w:val="24"/>
        </w:rPr>
        <w:tab/>
      </w:r>
      <w:r w:rsidRPr="0056461F">
        <w:rPr>
          <w:szCs w:val="24"/>
        </w:rPr>
        <w:t>Adult Biometric Measures Recruitment Screener (ATSS CATI Completes) – Spanish</w:t>
      </w:r>
    </w:p>
    <w:p w:rsidR="00F05CA7" w:rsidRPr="0056461F" w:rsidRDefault="00F05CA7" w:rsidP="001E165B">
      <w:pPr>
        <w:ind w:left="1980" w:hanging="1980"/>
        <w:rPr>
          <w:szCs w:val="24"/>
        </w:rPr>
      </w:pPr>
      <w:r w:rsidRPr="0056461F">
        <w:rPr>
          <w:szCs w:val="24"/>
        </w:rPr>
        <w:t>Attachment 10B</w:t>
      </w:r>
      <w:r w:rsidRPr="0056461F">
        <w:rPr>
          <w:szCs w:val="24"/>
        </w:rPr>
        <w:tab/>
        <w:t xml:space="preserve">Invitation to Participate in </w:t>
      </w:r>
      <w:r w:rsidRPr="0056461F">
        <w:rPr>
          <w:i/>
          <w:szCs w:val="24"/>
        </w:rPr>
        <w:t>Enhanced Protocol</w:t>
      </w:r>
      <w:r w:rsidRPr="0056461F">
        <w:rPr>
          <w:szCs w:val="24"/>
        </w:rPr>
        <w:t>, Included with the Mailed ATSS</w:t>
      </w:r>
    </w:p>
    <w:p w:rsidR="00F331D1" w:rsidRPr="0056461F" w:rsidRDefault="00F331D1" w:rsidP="00C90014">
      <w:pPr>
        <w:ind w:left="1980" w:hanging="1980"/>
        <w:rPr>
          <w:szCs w:val="24"/>
        </w:rPr>
      </w:pPr>
      <w:r w:rsidRPr="0056461F">
        <w:rPr>
          <w:szCs w:val="24"/>
        </w:rPr>
        <w:t>Attachment 10B</w:t>
      </w:r>
      <w:r>
        <w:rPr>
          <w:szCs w:val="24"/>
        </w:rPr>
        <w:t>-</w:t>
      </w:r>
      <w:r w:rsidRPr="0056461F">
        <w:rPr>
          <w:szCs w:val="24"/>
        </w:rPr>
        <w:t xml:space="preserve">S </w:t>
      </w:r>
      <w:r w:rsidR="009D700D">
        <w:rPr>
          <w:szCs w:val="24"/>
        </w:rPr>
        <w:tab/>
      </w:r>
      <w:r w:rsidRPr="0056461F">
        <w:rPr>
          <w:szCs w:val="24"/>
        </w:rPr>
        <w:t xml:space="preserve">Invitation to Participate in </w:t>
      </w:r>
      <w:r w:rsidRPr="0056461F">
        <w:rPr>
          <w:i/>
          <w:szCs w:val="24"/>
        </w:rPr>
        <w:t>Enhanced Protocol</w:t>
      </w:r>
      <w:r w:rsidRPr="0056461F">
        <w:rPr>
          <w:szCs w:val="24"/>
        </w:rPr>
        <w:t>, Included with the Mailed ATSS</w:t>
      </w:r>
      <w:r w:rsidR="00B75FB4">
        <w:rPr>
          <w:szCs w:val="24"/>
        </w:rPr>
        <w:t xml:space="preserve"> – </w:t>
      </w:r>
      <w:r w:rsidRPr="0056461F">
        <w:rPr>
          <w:szCs w:val="24"/>
        </w:rPr>
        <w:t>Spanish</w:t>
      </w:r>
    </w:p>
    <w:p w:rsidR="004C4999" w:rsidRPr="0056461F" w:rsidRDefault="004C4999" w:rsidP="00C90014">
      <w:pPr>
        <w:ind w:left="1980" w:hanging="1980"/>
        <w:rPr>
          <w:szCs w:val="24"/>
        </w:rPr>
      </w:pPr>
      <w:r w:rsidRPr="0056461F">
        <w:rPr>
          <w:szCs w:val="24"/>
        </w:rPr>
        <w:t>Attachment 10</w:t>
      </w:r>
      <w:r w:rsidR="00F05CA7" w:rsidRPr="0056461F">
        <w:rPr>
          <w:szCs w:val="24"/>
        </w:rPr>
        <w:t>C</w:t>
      </w:r>
      <w:r w:rsidRPr="0056461F">
        <w:rPr>
          <w:szCs w:val="24"/>
        </w:rPr>
        <w:tab/>
      </w:r>
      <w:r w:rsidR="002C3052" w:rsidRPr="0056461F">
        <w:rPr>
          <w:szCs w:val="24"/>
        </w:rPr>
        <w:t>Adult Biometric Measures</w:t>
      </w:r>
      <w:r w:rsidR="00246DC4" w:rsidRPr="0056461F">
        <w:rPr>
          <w:szCs w:val="24"/>
        </w:rPr>
        <w:t xml:space="preserve"> </w:t>
      </w:r>
      <w:r w:rsidRPr="0056461F">
        <w:rPr>
          <w:szCs w:val="24"/>
        </w:rPr>
        <w:t>Recruitment Screener (</w:t>
      </w:r>
      <w:r w:rsidR="007F6A4B" w:rsidRPr="0056461F">
        <w:rPr>
          <w:szCs w:val="24"/>
        </w:rPr>
        <w:t xml:space="preserve">Paper </w:t>
      </w:r>
      <w:r w:rsidR="00C574B3" w:rsidRPr="0056461F">
        <w:rPr>
          <w:szCs w:val="24"/>
        </w:rPr>
        <w:t>Invitation Call-Ins</w:t>
      </w:r>
      <w:r w:rsidRPr="0056461F">
        <w:rPr>
          <w:szCs w:val="24"/>
        </w:rPr>
        <w:t>)</w:t>
      </w:r>
    </w:p>
    <w:p w:rsidR="00F331D1" w:rsidRDefault="00F331D1" w:rsidP="00C90014">
      <w:pPr>
        <w:ind w:left="1980" w:hanging="1980"/>
        <w:rPr>
          <w:szCs w:val="24"/>
        </w:rPr>
      </w:pPr>
      <w:r w:rsidRPr="0056461F">
        <w:rPr>
          <w:szCs w:val="24"/>
        </w:rPr>
        <w:t>Attachment 10C</w:t>
      </w:r>
      <w:r>
        <w:rPr>
          <w:szCs w:val="24"/>
        </w:rPr>
        <w:t>-</w:t>
      </w:r>
      <w:r w:rsidRPr="0056461F">
        <w:rPr>
          <w:szCs w:val="24"/>
        </w:rPr>
        <w:t>S</w:t>
      </w:r>
      <w:r w:rsidRPr="0056461F">
        <w:rPr>
          <w:i/>
          <w:iCs/>
          <w:szCs w:val="24"/>
        </w:rPr>
        <w:t xml:space="preserve"> </w:t>
      </w:r>
      <w:r w:rsidR="009D700D">
        <w:rPr>
          <w:i/>
          <w:iCs/>
          <w:szCs w:val="24"/>
        </w:rPr>
        <w:tab/>
      </w:r>
      <w:r w:rsidRPr="0056461F">
        <w:rPr>
          <w:szCs w:val="24"/>
        </w:rPr>
        <w:t>Adult Biometric Measures Recruitment Screener (Paper Invitation Call-Ins)</w:t>
      </w:r>
      <w:r w:rsidR="00B75FB4">
        <w:rPr>
          <w:szCs w:val="24"/>
        </w:rPr>
        <w:t xml:space="preserve"> – </w:t>
      </w:r>
      <w:r w:rsidRPr="0056461F">
        <w:rPr>
          <w:szCs w:val="24"/>
        </w:rPr>
        <w:t>Spanish</w:t>
      </w:r>
    </w:p>
    <w:p w:rsidR="004D605D" w:rsidRDefault="004D605D" w:rsidP="004D605D">
      <w:pPr>
        <w:ind w:left="1980" w:hanging="1980"/>
        <w:rPr>
          <w:szCs w:val="24"/>
        </w:rPr>
      </w:pPr>
      <w:r>
        <w:rPr>
          <w:szCs w:val="24"/>
        </w:rPr>
        <w:t>Attachment 10D</w:t>
      </w:r>
      <w:r>
        <w:rPr>
          <w:szCs w:val="24"/>
        </w:rPr>
        <w:tab/>
      </w:r>
      <w:r>
        <w:rPr>
          <w:i/>
          <w:iCs/>
          <w:szCs w:val="24"/>
        </w:rPr>
        <w:t xml:space="preserve">Enhanced </w:t>
      </w:r>
      <w:proofErr w:type="gramStart"/>
      <w:r>
        <w:rPr>
          <w:i/>
          <w:iCs/>
          <w:szCs w:val="24"/>
        </w:rPr>
        <w:t>Protocol</w:t>
      </w:r>
      <w:proofErr w:type="gramEnd"/>
      <w:r>
        <w:rPr>
          <w:i/>
          <w:iCs/>
          <w:szCs w:val="24"/>
        </w:rPr>
        <w:t xml:space="preserve">: </w:t>
      </w:r>
      <w:r>
        <w:rPr>
          <w:szCs w:val="24"/>
        </w:rPr>
        <w:t>Paper Telephone Information Sheet</w:t>
      </w:r>
    </w:p>
    <w:p w:rsidR="004D605D" w:rsidRPr="0056461F" w:rsidRDefault="004D605D" w:rsidP="004D605D">
      <w:pPr>
        <w:ind w:left="1980" w:hanging="1980"/>
        <w:rPr>
          <w:szCs w:val="24"/>
        </w:rPr>
      </w:pPr>
      <w:r>
        <w:rPr>
          <w:szCs w:val="24"/>
        </w:rPr>
        <w:t>Attachment 10D-S</w:t>
      </w:r>
      <w:r>
        <w:rPr>
          <w:szCs w:val="24"/>
        </w:rPr>
        <w:tab/>
      </w:r>
      <w:r>
        <w:rPr>
          <w:i/>
          <w:iCs/>
          <w:szCs w:val="24"/>
        </w:rPr>
        <w:t xml:space="preserve">Enhanced Protocol: </w:t>
      </w:r>
      <w:r>
        <w:rPr>
          <w:szCs w:val="24"/>
        </w:rPr>
        <w:t xml:space="preserve">Paper Telephone Information Sheet – Spanish </w:t>
      </w:r>
    </w:p>
    <w:p w:rsidR="00F117D6" w:rsidRPr="0056461F" w:rsidRDefault="00F117D6" w:rsidP="00C90014">
      <w:pPr>
        <w:ind w:left="1980" w:hanging="1980"/>
        <w:rPr>
          <w:szCs w:val="24"/>
        </w:rPr>
      </w:pPr>
      <w:r w:rsidRPr="0056461F">
        <w:rPr>
          <w:szCs w:val="24"/>
        </w:rPr>
        <w:t xml:space="preserve">Attachment </w:t>
      </w:r>
      <w:r w:rsidR="00977D6C" w:rsidRPr="0056461F">
        <w:rPr>
          <w:szCs w:val="24"/>
        </w:rPr>
        <w:t>1</w:t>
      </w:r>
      <w:r w:rsidR="00420B92" w:rsidRPr="0056461F">
        <w:rPr>
          <w:szCs w:val="24"/>
        </w:rPr>
        <w:t>1</w:t>
      </w:r>
      <w:r w:rsidRPr="0056461F">
        <w:rPr>
          <w:szCs w:val="24"/>
        </w:rPr>
        <w:t>A</w:t>
      </w:r>
      <w:r w:rsidRPr="0056461F">
        <w:rPr>
          <w:szCs w:val="24"/>
        </w:rPr>
        <w:tab/>
      </w:r>
      <w:r w:rsidR="00596A81" w:rsidRPr="0056461F">
        <w:rPr>
          <w:szCs w:val="24"/>
        </w:rPr>
        <w:t xml:space="preserve">Lead Letter Sent to </w:t>
      </w:r>
      <w:r w:rsidR="000B3F4E" w:rsidRPr="0056461F">
        <w:rPr>
          <w:i/>
          <w:szCs w:val="24"/>
        </w:rPr>
        <w:t>Standard Protocol</w:t>
      </w:r>
      <w:r w:rsidR="00596A81" w:rsidRPr="0056461F">
        <w:rPr>
          <w:szCs w:val="24"/>
        </w:rPr>
        <w:t xml:space="preserve"> Sample in Advance of Telephone Contact</w:t>
      </w:r>
    </w:p>
    <w:p w:rsidR="00F331D1" w:rsidRPr="0056461F" w:rsidRDefault="00F331D1" w:rsidP="00C90014">
      <w:pPr>
        <w:ind w:left="1980" w:hanging="1980"/>
        <w:rPr>
          <w:szCs w:val="24"/>
        </w:rPr>
      </w:pPr>
      <w:r w:rsidRPr="0056461F">
        <w:rPr>
          <w:szCs w:val="24"/>
        </w:rPr>
        <w:t>Attachment 11A</w:t>
      </w:r>
      <w:r>
        <w:rPr>
          <w:szCs w:val="24"/>
        </w:rPr>
        <w:t>-</w:t>
      </w:r>
      <w:r w:rsidRPr="0056461F">
        <w:rPr>
          <w:szCs w:val="24"/>
        </w:rPr>
        <w:t>S</w:t>
      </w:r>
      <w:r>
        <w:rPr>
          <w:szCs w:val="24"/>
        </w:rPr>
        <w:t xml:space="preserve"> </w:t>
      </w:r>
      <w:r w:rsidR="009D700D">
        <w:rPr>
          <w:szCs w:val="24"/>
        </w:rPr>
        <w:tab/>
      </w:r>
      <w:r w:rsidRPr="0056461F">
        <w:rPr>
          <w:szCs w:val="24"/>
        </w:rPr>
        <w:t xml:space="preserve">Lead Letter Sent to </w:t>
      </w:r>
      <w:r w:rsidRPr="0056461F">
        <w:rPr>
          <w:i/>
          <w:szCs w:val="24"/>
        </w:rPr>
        <w:t>Standard Protocol</w:t>
      </w:r>
      <w:r w:rsidRPr="0056461F">
        <w:rPr>
          <w:szCs w:val="24"/>
        </w:rPr>
        <w:t xml:space="preserve"> Sample in Advance of Telephone Contact</w:t>
      </w:r>
      <w:r w:rsidR="00B75FB4">
        <w:rPr>
          <w:szCs w:val="24"/>
        </w:rPr>
        <w:t xml:space="preserve"> – </w:t>
      </w:r>
      <w:r w:rsidRPr="0056461F">
        <w:rPr>
          <w:szCs w:val="24"/>
        </w:rPr>
        <w:t>Spanish</w:t>
      </w:r>
    </w:p>
    <w:p w:rsidR="00596A81" w:rsidRPr="0056461F" w:rsidRDefault="00596A81" w:rsidP="00C90014">
      <w:pPr>
        <w:ind w:left="1980" w:hanging="1980"/>
        <w:rPr>
          <w:szCs w:val="24"/>
        </w:rPr>
      </w:pPr>
      <w:r w:rsidRPr="0056461F">
        <w:rPr>
          <w:szCs w:val="24"/>
        </w:rPr>
        <w:t>Attachment 11A1</w:t>
      </w:r>
      <w:r w:rsidRPr="0056461F">
        <w:rPr>
          <w:szCs w:val="24"/>
        </w:rPr>
        <w:tab/>
        <w:t xml:space="preserve">Lead Letter Sent to </w:t>
      </w:r>
      <w:r w:rsidR="000B3F4E" w:rsidRPr="0056461F">
        <w:rPr>
          <w:i/>
          <w:szCs w:val="24"/>
        </w:rPr>
        <w:t>Enhanced Protocol</w:t>
      </w:r>
      <w:r w:rsidRPr="0056461F">
        <w:rPr>
          <w:szCs w:val="24"/>
        </w:rPr>
        <w:t xml:space="preserve"> Oversample</w:t>
      </w:r>
    </w:p>
    <w:p w:rsidR="00F331D1" w:rsidRPr="0056461F" w:rsidRDefault="00F331D1" w:rsidP="00C90014">
      <w:pPr>
        <w:ind w:left="1980" w:hanging="1980"/>
        <w:rPr>
          <w:szCs w:val="24"/>
        </w:rPr>
      </w:pPr>
      <w:r w:rsidRPr="0056461F">
        <w:rPr>
          <w:szCs w:val="24"/>
        </w:rPr>
        <w:t>Attachment 11A1</w:t>
      </w:r>
      <w:r>
        <w:rPr>
          <w:szCs w:val="24"/>
        </w:rPr>
        <w:t>-</w:t>
      </w:r>
      <w:r w:rsidRPr="0056461F">
        <w:rPr>
          <w:szCs w:val="24"/>
        </w:rPr>
        <w:t>S</w:t>
      </w:r>
      <w:r>
        <w:rPr>
          <w:szCs w:val="24"/>
        </w:rPr>
        <w:t xml:space="preserve"> </w:t>
      </w:r>
      <w:r w:rsidRPr="0056461F">
        <w:rPr>
          <w:szCs w:val="24"/>
        </w:rPr>
        <w:t xml:space="preserve">Lead Letter Sent to </w:t>
      </w:r>
      <w:r w:rsidRPr="0056461F">
        <w:rPr>
          <w:i/>
          <w:szCs w:val="24"/>
        </w:rPr>
        <w:t>Enhanced Protocol</w:t>
      </w:r>
      <w:r w:rsidRPr="0056461F">
        <w:rPr>
          <w:szCs w:val="24"/>
        </w:rPr>
        <w:t xml:space="preserve"> Oversample</w:t>
      </w:r>
      <w:r w:rsidR="00B75FB4">
        <w:rPr>
          <w:szCs w:val="24"/>
        </w:rPr>
        <w:t xml:space="preserve"> – </w:t>
      </w:r>
      <w:r w:rsidRPr="0056461F">
        <w:rPr>
          <w:szCs w:val="24"/>
        </w:rPr>
        <w:t>Spanish</w:t>
      </w:r>
    </w:p>
    <w:p w:rsidR="00596A81" w:rsidRPr="0056461F" w:rsidRDefault="00596A81" w:rsidP="00C90014">
      <w:pPr>
        <w:ind w:left="1980" w:hanging="1980"/>
        <w:rPr>
          <w:szCs w:val="24"/>
        </w:rPr>
      </w:pPr>
      <w:r w:rsidRPr="0056461F">
        <w:rPr>
          <w:szCs w:val="24"/>
        </w:rPr>
        <w:t>Attachment 11A2</w:t>
      </w:r>
      <w:r w:rsidRPr="0056461F">
        <w:rPr>
          <w:szCs w:val="24"/>
        </w:rPr>
        <w:tab/>
        <w:t>Letter Sent with First Mailing of Paper Questionnaire</w:t>
      </w:r>
    </w:p>
    <w:p w:rsidR="00F331D1" w:rsidRPr="0056461F" w:rsidRDefault="00F331D1" w:rsidP="00C90014">
      <w:pPr>
        <w:ind w:left="1980" w:hanging="1980"/>
        <w:rPr>
          <w:szCs w:val="24"/>
        </w:rPr>
      </w:pPr>
      <w:r w:rsidRPr="0056461F">
        <w:rPr>
          <w:szCs w:val="24"/>
        </w:rPr>
        <w:t>Attachment 11A2</w:t>
      </w:r>
      <w:r>
        <w:rPr>
          <w:szCs w:val="24"/>
        </w:rPr>
        <w:t>-</w:t>
      </w:r>
      <w:r w:rsidRPr="0056461F">
        <w:rPr>
          <w:szCs w:val="24"/>
        </w:rPr>
        <w:t>S</w:t>
      </w:r>
      <w:r>
        <w:rPr>
          <w:szCs w:val="24"/>
        </w:rPr>
        <w:t xml:space="preserve"> </w:t>
      </w:r>
      <w:r w:rsidRPr="0056461F">
        <w:rPr>
          <w:szCs w:val="24"/>
        </w:rPr>
        <w:t>Letter Sent with First Mailing of Paper Questionnaire</w:t>
      </w:r>
      <w:r w:rsidR="00B75FB4">
        <w:rPr>
          <w:szCs w:val="24"/>
        </w:rPr>
        <w:t xml:space="preserve"> – </w:t>
      </w:r>
      <w:r w:rsidRPr="0056461F">
        <w:rPr>
          <w:szCs w:val="24"/>
        </w:rPr>
        <w:t>Spanish</w:t>
      </w:r>
    </w:p>
    <w:p w:rsidR="00596A81" w:rsidRPr="0056461F" w:rsidRDefault="00596A81" w:rsidP="00C90014">
      <w:pPr>
        <w:ind w:left="1980" w:hanging="1980"/>
        <w:rPr>
          <w:szCs w:val="24"/>
        </w:rPr>
      </w:pPr>
      <w:r w:rsidRPr="0056461F">
        <w:rPr>
          <w:szCs w:val="24"/>
        </w:rPr>
        <w:t>Attachment 11A3</w:t>
      </w:r>
      <w:r w:rsidRPr="0056461F">
        <w:rPr>
          <w:szCs w:val="24"/>
        </w:rPr>
        <w:tab/>
        <w:t>Letter Sent to Households Attempted by Telephone and then Sent a Paper Questionnaire</w:t>
      </w:r>
    </w:p>
    <w:p w:rsidR="00F331D1" w:rsidRPr="0056461F" w:rsidRDefault="00F331D1" w:rsidP="00C90014">
      <w:pPr>
        <w:ind w:left="1980" w:hanging="1980"/>
        <w:rPr>
          <w:szCs w:val="24"/>
        </w:rPr>
      </w:pPr>
      <w:r w:rsidRPr="0056461F">
        <w:rPr>
          <w:szCs w:val="24"/>
        </w:rPr>
        <w:t>Attachment 11A3</w:t>
      </w:r>
      <w:r>
        <w:rPr>
          <w:szCs w:val="24"/>
        </w:rPr>
        <w:t>-</w:t>
      </w:r>
      <w:r w:rsidRPr="0056461F">
        <w:rPr>
          <w:szCs w:val="24"/>
        </w:rPr>
        <w:t>S</w:t>
      </w:r>
      <w:r>
        <w:rPr>
          <w:szCs w:val="24"/>
        </w:rPr>
        <w:t xml:space="preserve"> </w:t>
      </w:r>
      <w:r w:rsidRPr="0056461F">
        <w:rPr>
          <w:szCs w:val="24"/>
        </w:rPr>
        <w:t>Letter Sent to Households Attempted by Telephone and then Sent a Paper Questionnaire</w:t>
      </w:r>
      <w:r w:rsidR="00B75FB4">
        <w:rPr>
          <w:szCs w:val="24"/>
        </w:rPr>
        <w:t xml:space="preserve"> – </w:t>
      </w:r>
      <w:r w:rsidRPr="0056461F">
        <w:rPr>
          <w:szCs w:val="24"/>
        </w:rPr>
        <w:t>Spanish</w:t>
      </w:r>
    </w:p>
    <w:p w:rsidR="00596A81" w:rsidRPr="0056461F" w:rsidRDefault="00596A81" w:rsidP="00C90014">
      <w:pPr>
        <w:ind w:left="1980" w:hanging="1980"/>
        <w:rPr>
          <w:szCs w:val="24"/>
        </w:rPr>
      </w:pPr>
      <w:r w:rsidRPr="0056461F">
        <w:rPr>
          <w:szCs w:val="24"/>
        </w:rPr>
        <w:t>Attachment 11A4</w:t>
      </w:r>
      <w:r w:rsidRPr="0056461F">
        <w:rPr>
          <w:szCs w:val="24"/>
        </w:rPr>
        <w:tab/>
        <w:t>Letter Sent with Second Mailing of Paper Questionnaire</w:t>
      </w:r>
    </w:p>
    <w:p w:rsidR="00F331D1" w:rsidRPr="0056461F" w:rsidRDefault="00F331D1" w:rsidP="00C90014">
      <w:pPr>
        <w:ind w:left="1980" w:hanging="1980"/>
        <w:rPr>
          <w:szCs w:val="24"/>
        </w:rPr>
      </w:pPr>
      <w:r w:rsidRPr="0056461F">
        <w:rPr>
          <w:szCs w:val="24"/>
        </w:rPr>
        <w:t>Attachment 11A4</w:t>
      </w:r>
      <w:r>
        <w:rPr>
          <w:szCs w:val="24"/>
        </w:rPr>
        <w:t>-</w:t>
      </w:r>
      <w:r w:rsidRPr="0056461F">
        <w:rPr>
          <w:szCs w:val="24"/>
        </w:rPr>
        <w:t>S</w:t>
      </w:r>
      <w:r>
        <w:rPr>
          <w:szCs w:val="24"/>
        </w:rPr>
        <w:t xml:space="preserve"> </w:t>
      </w:r>
      <w:r w:rsidRPr="0056461F">
        <w:rPr>
          <w:szCs w:val="24"/>
        </w:rPr>
        <w:t>Letter Sent with Second Mailing of Paper Questionnaire</w:t>
      </w:r>
      <w:r w:rsidR="00B75FB4">
        <w:rPr>
          <w:szCs w:val="24"/>
        </w:rPr>
        <w:t xml:space="preserve"> – </w:t>
      </w:r>
      <w:r w:rsidRPr="0056461F">
        <w:rPr>
          <w:szCs w:val="24"/>
        </w:rPr>
        <w:t>Spanish</w:t>
      </w:r>
    </w:p>
    <w:p w:rsidR="00F117D6" w:rsidRPr="0056461F" w:rsidRDefault="00F117D6" w:rsidP="00C90014">
      <w:pPr>
        <w:ind w:left="1980" w:hanging="1980"/>
        <w:rPr>
          <w:szCs w:val="24"/>
        </w:rPr>
      </w:pPr>
      <w:r w:rsidRPr="0056461F">
        <w:rPr>
          <w:szCs w:val="24"/>
        </w:rPr>
        <w:t xml:space="preserve">Attachment </w:t>
      </w:r>
      <w:r w:rsidR="00977D6C" w:rsidRPr="0056461F">
        <w:rPr>
          <w:szCs w:val="24"/>
        </w:rPr>
        <w:t>1</w:t>
      </w:r>
      <w:r w:rsidR="00420B92" w:rsidRPr="0056461F">
        <w:rPr>
          <w:szCs w:val="24"/>
        </w:rPr>
        <w:t>1</w:t>
      </w:r>
      <w:r w:rsidRPr="0056461F">
        <w:rPr>
          <w:szCs w:val="24"/>
        </w:rPr>
        <w:t>B</w:t>
      </w:r>
      <w:r w:rsidRPr="0056461F">
        <w:rPr>
          <w:szCs w:val="24"/>
        </w:rPr>
        <w:tab/>
      </w:r>
      <w:r w:rsidR="00596A81" w:rsidRPr="0056461F">
        <w:rPr>
          <w:szCs w:val="24"/>
        </w:rPr>
        <w:t>ATSS</w:t>
      </w:r>
      <w:r w:rsidR="00A1185C" w:rsidRPr="0056461F">
        <w:rPr>
          <w:szCs w:val="24"/>
        </w:rPr>
        <w:t xml:space="preserve"> </w:t>
      </w:r>
      <w:r w:rsidR="009E4BAD" w:rsidRPr="0056461F">
        <w:rPr>
          <w:bCs/>
          <w:szCs w:val="24"/>
        </w:rPr>
        <w:t>Reminder Postcard</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1</w:t>
      </w:r>
      <w:r w:rsidRPr="0056461F">
        <w:rPr>
          <w:bCs/>
          <w:szCs w:val="24"/>
        </w:rPr>
        <w:t>C</w:t>
      </w:r>
      <w:r w:rsidRPr="0056461F">
        <w:rPr>
          <w:bCs/>
          <w:szCs w:val="24"/>
        </w:rPr>
        <w:tab/>
      </w:r>
      <w:r w:rsidR="000B3F4E" w:rsidRPr="0056461F">
        <w:rPr>
          <w:bCs/>
          <w:i/>
          <w:szCs w:val="24"/>
        </w:rPr>
        <w:t>Enhanced Protocol</w:t>
      </w:r>
      <w:r w:rsidR="00C9020B" w:rsidRPr="0056461F">
        <w:rPr>
          <w:bCs/>
          <w:szCs w:val="24"/>
        </w:rPr>
        <w:t>:</w:t>
      </w:r>
      <w:r w:rsidR="00E70B8C" w:rsidRPr="0056461F">
        <w:rPr>
          <w:bCs/>
          <w:szCs w:val="24"/>
        </w:rPr>
        <w:t xml:space="preserve"> Field Interviewer </w:t>
      </w:r>
      <w:r w:rsidR="00596A81" w:rsidRPr="0056461F">
        <w:rPr>
          <w:bCs/>
          <w:szCs w:val="24"/>
        </w:rPr>
        <w:t>Script</w:t>
      </w:r>
      <w:r w:rsidR="00E6102B" w:rsidRPr="0056461F">
        <w:rPr>
          <w:bCs/>
          <w:szCs w:val="24"/>
        </w:rPr>
        <w:t xml:space="preserve"> for Parent/Guardian of Youth Ages 12</w:t>
      </w:r>
      <w:r w:rsidR="00296C07" w:rsidRPr="0056461F">
        <w:rPr>
          <w:bCs/>
          <w:szCs w:val="24"/>
        </w:rPr>
        <w:t>–</w:t>
      </w:r>
      <w:r w:rsidR="00E6102B" w:rsidRPr="0056461F">
        <w:rPr>
          <w:bCs/>
          <w:szCs w:val="24"/>
        </w:rPr>
        <w:t>17</w:t>
      </w:r>
    </w:p>
    <w:p w:rsidR="00F331D1" w:rsidRPr="0056461F" w:rsidRDefault="00F331D1" w:rsidP="00C90014">
      <w:pPr>
        <w:ind w:left="1980" w:hanging="1980"/>
        <w:rPr>
          <w:bCs/>
          <w:szCs w:val="24"/>
        </w:rPr>
      </w:pPr>
      <w:r w:rsidRPr="0056461F">
        <w:rPr>
          <w:bCs/>
          <w:szCs w:val="24"/>
        </w:rPr>
        <w:t>Attachment 11C</w:t>
      </w:r>
      <w:r>
        <w:rPr>
          <w:szCs w:val="24"/>
        </w:rPr>
        <w:t>-</w:t>
      </w:r>
      <w:r w:rsidRPr="0056461F">
        <w:rPr>
          <w:szCs w:val="24"/>
        </w:rPr>
        <w:t>S</w:t>
      </w:r>
      <w:r w:rsidRPr="0056461F">
        <w:rPr>
          <w:bCs/>
          <w:szCs w:val="24"/>
        </w:rPr>
        <w:tab/>
      </w:r>
      <w:r w:rsidRPr="0056461F">
        <w:rPr>
          <w:bCs/>
          <w:i/>
          <w:szCs w:val="24"/>
        </w:rPr>
        <w:t>Enhanced Protocol</w:t>
      </w:r>
      <w:r w:rsidRPr="0056461F">
        <w:rPr>
          <w:bCs/>
          <w:szCs w:val="24"/>
        </w:rPr>
        <w:t>: Field Interviewer Script for Parent/Guardian of Youth Ages 12–17</w:t>
      </w:r>
      <w:r w:rsidR="00B75FB4">
        <w:rPr>
          <w:bCs/>
          <w:szCs w:val="24"/>
        </w:rPr>
        <w:t xml:space="preserve"> – </w:t>
      </w:r>
      <w:r w:rsidRPr="0056461F">
        <w:rPr>
          <w:bCs/>
          <w:szCs w:val="24"/>
        </w:rPr>
        <w:t>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1</w:t>
      </w:r>
      <w:r w:rsidRPr="0056461F">
        <w:rPr>
          <w:bCs/>
          <w:szCs w:val="24"/>
        </w:rPr>
        <w:t>D</w:t>
      </w:r>
      <w:r w:rsidRPr="0056461F">
        <w:rPr>
          <w:bCs/>
          <w:szCs w:val="24"/>
        </w:rPr>
        <w:tab/>
      </w:r>
      <w:r w:rsidR="000B3F4E" w:rsidRPr="0056461F">
        <w:rPr>
          <w:bCs/>
          <w:i/>
          <w:szCs w:val="24"/>
        </w:rPr>
        <w:t xml:space="preserve">Enhanced </w:t>
      </w:r>
      <w:proofErr w:type="gramStart"/>
      <w:r w:rsidR="000B3F4E" w:rsidRPr="0056461F">
        <w:rPr>
          <w:bCs/>
          <w:i/>
          <w:szCs w:val="24"/>
        </w:rPr>
        <w:t>Protocol</w:t>
      </w:r>
      <w:proofErr w:type="gramEnd"/>
      <w:r w:rsidR="00C9020B" w:rsidRPr="0056461F">
        <w:rPr>
          <w:bCs/>
          <w:szCs w:val="24"/>
        </w:rPr>
        <w:t xml:space="preserve">: </w:t>
      </w:r>
      <w:r w:rsidR="00E70B8C" w:rsidRPr="0056461F">
        <w:rPr>
          <w:bCs/>
          <w:szCs w:val="24"/>
        </w:rPr>
        <w:t>Field Interviewer Script for Youth Ages 12-17</w:t>
      </w:r>
    </w:p>
    <w:p w:rsidR="00F331D1" w:rsidRPr="0056461F" w:rsidRDefault="00F331D1" w:rsidP="00C90014">
      <w:pPr>
        <w:ind w:left="1980" w:hanging="1980"/>
        <w:rPr>
          <w:bCs/>
          <w:szCs w:val="24"/>
        </w:rPr>
      </w:pPr>
      <w:r w:rsidRPr="0056461F">
        <w:rPr>
          <w:bCs/>
          <w:szCs w:val="24"/>
        </w:rPr>
        <w:t>Attachment 11D</w:t>
      </w:r>
      <w:r>
        <w:rPr>
          <w:szCs w:val="24"/>
        </w:rPr>
        <w:t>-</w:t>
      </w:r>
      <w:r w:rsidRPr="0056461F">
        <w:rPr>
          <w:szCs w:val="24"/>
        </w:rPr>
        <w:t>S</w:t>
      </w:r>
      <w:r>
        <w:rPr>
          <w:bCs/>
          <w:szCs w:val="24"/>
        </w:rPr>
        <w:t xml:space="preserve"> </w:t>
      </w:r>
      <w:r w:rsidR="009D700D">
        <w:rPr>
          <w:bCs/>
          <w:szCs w:val="24"/>
        </w:rPr>
        <w:tab/>
      </w:r>
      <w:r w:rsidRPr="0056461F">
        <w:rPr>
          <w:bCs/>
          <w:i/>
          <w:szCs w:val="24"/>
        </w:rPr>
        <w:t>Enhanced Protocol</w:t>
      </w:r>
      <w:r w:rsidRPr="0056461F">
        <w:rPr>
          <w:bCs/>
          <w:szCs w:val="24"/>
        </w:rPr>
        <w:t>: Field Interviewer Script for Youth Ages 12-17- 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1</w:t>
      </w:r>
      <w:r w:rsidRPr="0056461F">
        <w:rPr>
          <w:bCs/>
          <w:szCs w:val="24"/>
        </w:rPr>
        <w:t>E</w:t>
      </w:r>
      <w:r w:rsidRPr="0056461F">
        <w:rPr>
          <w:bCs/>
          <w:szCs w:val="24"/>
        </w:rPr>
        <w:tab/>
      </w:r>
      <w:r w:rsidR="000B3F4E" w:rsidRPr="0056461F">
        <w:rPr>
          <w:bCs/>
          <w:i/>
          <w:szCs w:val="24"/>
        </w:rPr>
        <w:t>Enhanced Protocol</w:t>
      </w:r>
      <w:r w:rsidR="00C9020B" w:rsidRPr="0056461F">
        <w:rPr>
          <w:bCs/>
          <w:i/>
          <w:szCs w:val="24"/>
        </w:rPr>
        <w:t>:</w:t>
      </w:r>
      <w:r w:rsidR="00C9020B" w:rsidRPr="0056461F">
        <w:rPr>
          <w:bCs/>
          <w:szCs w:val="24"/>
        </w:rPr>
        <w:t xml:space="preserve"> </w:t>
      </w:r>
      <w:r w:rsidR="00E70B8C" w:rsidRPr="0056461F">
        <w:rPr>
          <w:bCs/>
          <w:szCs w:val="24"/>
        </w:rPr>
        <w:t>Field Interviewer Script for Caregivers of Children Ages 3-11</w:t>
      </w:r>
    </w:p>
    <w:p w:rsidR="00F331D1" w:rsidRPr="0056461F" w:rsidRDefault="00F331D1" w:rsidP="00C90014">
      <w:pPr>
        <w:ind w:left="1980" w:hanging="1980"/>
        <w:rPr>
          <w:bCs/>
          <w:szCs w:val="24"/>
        </w:rPr>
      </w:pPr>
      <w:r w:rsidRPr="0056461F">
        <w:rPr>
          <w:bCs/>
          <w:szCs w:val="24"/>
        </w:rPr>
        <w:t>Attachment 11E</w:t>
      </w:r>
      <w:r>
        <w:rPr>
          <w:szCs w:val="24"/>
        </w:rPr>
        <w:t>-</w:t>
      </w:r>
      <w:r w:rsidRPr="0056461F">
        <w:rPr>
          <w:szCs w:val="24"/>
        </w:rPr>
        <w:t>S</w:t>
      </w:r>
      <w:r w:rsidRPr="0056461F">
        <w:rPr>
          <w:bCs/>
          <w:szCs w:val="24"/>
        </w:rPr>
        <w:tab/>
      </w:r>
      <w:r w:rsidRPr="0056461F">
        <w:rPr>
          <w:bCs/>
          <w:i/>
          <w:szCs w:val="24"/>
        </w:rPr>
        <w:t>Enhanced Protocol</w:t>
      </w:r>
      <w:r w:rsidRPr="0056461F">
        <w:rPr>
          <w:bCs/>
          <w:szCs w:val="24"/>
        </w:rPr>
        <w:t>: Field Interviewer Script for Caregivers of Children Ages 3-11</w:t>
      </w:r>
      <w:r w:rsidR="00B75FB4">
        <w:rPr>
          <w:bCs/>
          <w:szCs w:val="24"/>
        </w:rPr>
        <w:t xml:space="preserve"> – </w:t>
      </w:r>
      <w:r w:rsidRPr="0056461F">
        <w:rPr>
          <w:bCs/>
          <w:szCs w:val="24"/>
        </w:rPr>
        <w:t>Spanish</w:t>
      </w:r>
    </w:p>
    <w:p w:rsidR="009E4BAD" w:rsidRPr="0056461F" w:rsidRDefault="009E4BAD"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1</w:t>
      </w:r>
      <w:r w:rsidRPr="0056461F">
        <w:rPr>
          <w:bCs/>
          <w:szCs w:val="24"/>
        </w:rPr>
        <w:t>F</w:t>
      </w:r>
      <w:r w:rsidRPr="0056461F">
        <w:rPr>
          <w:bCs/>
          <w:szCs w:val="24"/>
        </w:rPr>
        <w:tab/>
      </w:r>
      <w:r w:rsidR="000B3F4E" w:rsidRPr="0056461F">
        <w:rPr>
          <w:i/>
          <w:szCs w:val="24"/>
        </w:rPr>
        <w:t>Enhanced Protocol</w:t>
      </w:r>
      <w:r w:rsidR="00C9020B" w:rsidRPr="0056461F">
        <w:rPr>
          <w:szCs w:val="24"/>
        </w:rPr>
        <w:t xml:space="preserve">: </w:t>
      </w:r>
      <w:r w:rsidR="00E70B8C" w:rsidRPr="0056461F">
        <w:rPr>
          <w:szCs w:val="24"/>
        </w:rPr>
        <w:t>Field Interviewer Script for Adult Participants</w:t>
      </w:r>
    </w:p>
    <w:p w:rsidR="00F331D1" w:rsidRPr="0056461F" w:rsidRDefault="00F331D1" w:rsidP="00C90014">
      <w:pPr>
        <w:ind w:left="1980" w:hanging="1980"/>
        <w:rPr>
          <w:bCs/>
          <w:szCs w:val="24"/>
        </w:rPr>
      </w:pPr>
      <w:r w:rsidRPr="0056461F">
        <w:rPr>
          <w:bCs/>
          <w:szCs w:val="24"/>
        </w:rPr>
        <w:t>Attachment 11F</w:t>
      </w:r>
      <w:r>
        <w:rPr>
          <w:szCs w:val="24"/>
        </w:rPr>
        <w:t>-</w:t>
      </w:r>
      <w:r w:rsidRPr="0056461F">
        <w:rPr>
          <w:szCs w:val="24"/>
        </w:rPr>
        <w:t>S</w:t>
      </w:r>
      <w:r w:rsidRPr="0056461F">
        <w:rPr>
          <w:bCs/>
          <w:szCs w:val="24"/>
        </w:rPr>
        <w:tab/>
      </w:r>
      <w:r w:rsidRPr="0056461F">
        <w:rPr>
          <w:i/>
          <w:szCs w:val="24"/>
        </w:rPr>
        <w:t>Enhanced Protocol</w:t>
      </w:r>
      <w:r w:rsidRPr="0056461F">
        <w:rPr>
          <w:szCs w:val="24"/>
        </w:rPr>
        <w:t>: Field Interviewer Script for Adult Participants</w:t>
      </w:r>
      <w:r w:rsidR="00B75FB4">
        <w:rPr>
          <w:szCs w:val="24"/>
        </w:rPr>
        <w:t xml:space="preserve"> – </w:t>
      </w:r>
      <w:r w:rsidRPr="0056461F">
        <w:rPr>
          <w:szCs w:val="24"/>
        </w:rPr>
        <w:t>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2</w:t>
      </w:r>
      <w:r w:rsidRPr="0056461F">
        <w:rPr>
          <w:bCs/>
          <w:szCs w:val="24"/>
        </w:rPr>
        <w:t>A</w:t>
      </w:r>
      <w:r w:rsidRPr="0056461F">
        <w:rPr>
          <w:bCs/>
          <w:szCs w:val="24"/>
        </w:rPr>
        <w:tab/>
        <w:t>Adult Biometric Measures</w:t>
      </w:r>
    </w:p>
    <w:p w:rsidR="00F331D1" w:rsidRPr="0056461F" w:rsidRDefault="00F331D1" w:rsidP="00C90014">
      <w:pPr>
        <w:ind w:left="1980" w:hanging="1980"/>
        <w:rPr>
          <w:bCs/>
          <w:szCs w:val="24"/>
        </w:rPr>
      </w:pPr>
      <w:r w:rsidRPr="0056461F">
        <w:rPr>
          <w:bCs/>
          <w:szCs w:val="24"/>
        </w:rPr>
        <w:t>Attachment 12A</w:t>
      </w:r>
      <w:r>
        <w:rPr>
          <w:szCs w:val="24"/>
        </w:rPr>
        <w:t>-</w:t>
      </w:r>
      <w:r w:rsidRPr="0056461F">
        <w:rPr>
          <w:szCs w:val="24"/>
        </w:rPr>
        <w:t>S</w:t>
      </w:r>
      <w:r>
        <w:rPr>
          <w:bCs/>
          <w:szCs w:val="24"/>
        </w:rPr>
        <w:t xml:space="preserve"> </w:t>
      </w:r>
      <w:r w:rsidR="009D700D">
        <w:rPr>
          <w:bCs/>
          <w:szCs w:val="24"/>
        </w:rPr>
        <w:tab/>
      </w:r>
      <w:r w:rsidRPr="0056461F">
        <w:rPr>
          <w:bCs/>
          <w:szCs w:val="24"/>
        </w:rPr>
        <w:t>Adult Biometric Measures – 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2</w:t>
      </w:r>
      <w:r w:rsidRPr="0056461F">
        <w:rPr>
          <w:bCs/>
          <w:szCs w:val="24"/>
        </w:rPr>
        <w:t>B</w:t>
      </w:r>
      <w:r w:rsidRPr="0056461F">
        <w:rPr>
          <w:bCs/>
          <w:szCs w:val="24"/>
        </w:rPr>
        <w:tab/>
      </w:r>
      <w:r w:rsidR="000C71FC" w:rsidRPr="0056461F">
        <w:rPr>
          <w:bCs/>
          <w:szCs w:val="24"/>
        </w:rPr>
        <w:t xml:space="preserve">Youth </w:t>
      </w:r>
      <w:r w:rsidRPr="0056461F">
        <w:rPr>
          <w:bCs/>
          <w:szCs w:val="24"/>
        </w:rPr>
        <w:t xml:space="preserve">Biometric Measures </w:t>
      </w:r>
      <w:r w:rsidR="00A1185C" w:rsidRPr="0056461F">
        <w:rPr>
          <w:bCs/>
          <w:szCs w:val="24"/>
        </w:rPr>
        <w:t xml:space="preserve">(Ages </w:t>
      </w:r>
      <w:r w:rsidR="002F0429" w:rsidRPr="0056461F">
        <w:rPr>
          <w:bCs/>
          <w:szCs w:val="24"/>
        </w:rPr>
        <w:t>3</w:t>
      </w:r>
      <w:r w:rsidR="00296C07" w:rsidRPr="0056461F">
        <w:rPr>
          <w:bCs/>
          <w:szCs w:val="24"/>
        </w:rPr>
        <w:t>–</w:t>
      </w:r>
      <w:r w:rsidR="00A1185C" w:rsidRPr="0056461F">
        <w:rPr>
          <w:bCs/>
          <w:szCs w:val="24"/>
        </w:rPr>
        <w:t xml:space="preserve">17) </w:t>
      </w:r>
    </w:p>
    <w:p w:rsidR="00F331D1" w:rsidRDefault="00F331D1" w:rsidP="00C90014">
      <w:pPr>
        <w:ind w:left="1980" w:hanging="1980"/>
        <w:rPr>
          <w:bCs/>
          <w:szCs w:val="24"/>
        </w:rPr>
      </w:pPr>
      <w:r w:rsidRPr="0056461F">
        <w:rPr>
          <w:bCs/>
          <w:szCs w:val="24"/>
        </w:rPr>
        <w:t>Attachment 12B</w:t>
      </w:r>
      <w:r>
        <w:rPr>
          <w:szCs w:val="24"/>
        </w:rPr>
        <w:t>-</w:t>
      </w:r>
      <w:r w:rsidRPr="0056461F">
        <w:rPr>
          <w:szCs w:val="24"/>
        </w:rPr>
        <w:t>S</w:t>
      </w:r>
      <w:r w:rsidRPr="0056461F">
        <w:rPr>
          <w:bCs/>
          <w:szCs w:val="24"/>
        </w:rPr>
        <w:tab/>
        <w:t>Youth Biometric Measures (Ages 12–17) – Spanish</w:t>
      </w:r>
    </w:p>
    <w:p w:rsidR="00AD3E40" w:rsidRPr="0056461F" w:rsidRDefault="00AD3E40" w:rsidP="00C90014">
      <w:pPr>
        <w:ind w:left="1980" w:hanging="1980"/>
        <w:rPr>
          <w:bCs/>
          <w:szCs w:val="24"/>
        </w:rPr>
      </w:pPr>
      <w:r>
        <w:rPr>
          <w:bCs/>
          <w:szCs w:val="24"/>
        </w:rPr>
        <w:t>Attachment 12C</w:t>
      </w:r>
      <w:r>
        <w:rPr>
          <w:bCs/>
          <w:szCs w:val="24"/>
        </w:rPr>
        <w:tab/>
        <w:t>Adult Biometric Measures – Documentation of Question Provenance</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3</w:t>
      </w:r>
      <w:r w:rsidRPr="0056461F">
        <w:rPr>
          <w:bCs/>
          <w:szCs w:val="24"/>
        </w:rPr>
        <w:t>A</w:t>
      </w:r>
      <w:r w:rsidRPr="0056461F">
        <w:rPr>
          <w:bCs/>
          <w:szCs w:val="24"/>
        </w:rPr>
        <w:tab/>
        <w:t>Accelerometry Instructions for Participants</w:t>
      </w:r>
    </w:p>
    <w:p w:rsidR="00F331D1" w:rsidRPr="0056461F" w:rsidRDefault="00F331D1" w:rsidP="00C90014">
      <w:pPr>
        <w:ind w:left="1980" w:hanging="1980"/>
        <w:rPr>
          <w:bCs/>
          <w:szCs w:val="24"/>
        </w:rPr>
      </w:pPr>
      <w:r w:rsidRPr="0056461F">
        <w:rPr>
          <w:bCs/>
          <w:szCs w:val="24"/>
        </w:rPr>
        <w:t>Attachment 13A</w:t>
      </w:r>
      <w:r>
        <w:rPr>
          <w:szCs w:val="24"/>
        </w:rPr>
        <w:t>-</w:t>
      </w:r>
      <w:r w:rsidRPr="0056461F">
        <w:rPr>
          <w:szCs w:val="24"/>
        </w:rPr>
        <w:t>S</w:t>
      </w:r>
      <w:r>
        <w:rPr>
          <w:bCs/>
          <w:szCs w:val="24"/>
        </w:rPr>
        <w:t xml:space="preserve"> </w:t>
      </w:r>
      <w:r w:rsidR="009D700D">
        <w:rPr>
          <w:bCs/>
          <w:szCs w:val="24"/>
        </w:rPr>
        <w:tab/>
      </w:r>
      <w:r w:rsidRPr="0056461F">
        <w:rPr>
          <w:bCs/>
          <w:szCs w:val="24"/>
        </w:rPr>
        <w:t>Accelerometry Instructions for Participants – Spanish</w:t>
      </w:r>
    </w:p>
    <w:p w:rsidR="00F117D6" w:rsidRPr="0056461F" w:rsidRDefault="00F117D6" w:rsidP="00C90014">
      <w:pPr>
        <w:ind w:left="1980" w:hanging="1980"/>
        <w:rPr>
          <w:bCs/>
          <w:szCs w:val="24"/>
        </w:rPr>
      </w:pPr>
      <w:r w:rsidRPr="0056461F">
        <w:rPr>
          <w:bCs/>
          <w:szCs w:val="24"/>
        </w:rPr>
        <w:lastRenderedPageBreak/>
        <w:t xml:space="preserve">Attachment </w:t>
      </w:r>
      <w:r w:rsidR="00420B92" w:rsidRPr="0056461F">
        <w:rPr>
          <w:bCs/>
          <w:szCs w:val="24"/>
        </w:rPr>
        <w:t>13</w:t>
      </w:r>
      <w:r w:rsidRPr="0056461F">
        <w:rPr>
          <w:bCs/>
          <w:szCs w:val="24"/>
        </w:rPr>
        <w:t>B</w:t>
      </w:r>
      <w:r w:rsidRPr="0056461F">
        <w:rPr>
          <w:bCs/>
          <w:szCs w:val="24"/>
        </w:rPr>
        <w:tab/>
      </w:r>
      <w:r w:rsidR="00A1185C" w:rsidRPr="0056461F">
        <w:rPr>
          <w:bCs/>
          <w:szCs w:val="24"/>
        </w:rPr>
        <w:t>Adult Activity Diary</w:t>
      </w:r>
    </w:p>
    <w:p w:rsidR="00F331D1" w:rsidRPr="0056461F" w:rsidRDefault="00F331D1" w:rsidP="00C90014">
      <w:pPr>
        <w:ind w:left="1980" w:hanging="1980"/>
        <w:rPr>
          <w:bCs/>
          <w:szCs w:val="24"/>
        </w:rPr>
      </w:pPr>
      <w:r w:rsidRPr="0056461F">
        <w:rPr>
          <w:bCs/>
          <w:szCs w:val="24"/>
        </w:rPr>
        <w:t>Attachment 13B</w:t>
      </w:r>
      <w:r>
        <w:rPr>
          <w:szCs w:val="24"/>
        </w:rPr>
        <w:t>-</w:t>
      </w:r>
      <w:r w:rsidRPr="0056461F">
        <w:rPr>
          <w:szCs w:val="24"/>
        </w:rPr>
        <w:t>S</w:t>
      </w:r>
      <w:r w:rsidRPr="0056461F">
        <w:rPr>
          <w:bCs/>
          <w:szCs w:val="24"/>
        </w:rPr>
        <w:tab/>
        <w:t>Adult Activity Diary – 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3</w:t>
      </w:r>
      <w:r w:rsidRPr="0056461F">
        <w:rPr>
          <w:bCs/>
          <w:szCs w:val="24"/>
        </w:rPr>
        <w:t>C</w:t>
      </w:r>
      <w:r w:rsidRPr="0056461F">
        <w:rPr>
          <w:bCs/>
          <w:szCs w:val="24"/>
        </w:rPr>
        <w:tab/>
      </w:r>
      <w:r w:rsidR="00A1185C" w:rsidRPr="0056461F">
        <w:rPr>
          <w:bCs/>
          <w:szCs w:val="24"/>
        </w:rPr>
        <w:t>Youth Activity Diary</w:t>
      </w:r>
    </w:p>
    <w:p w:rsidR="00F331D1" w:rsidRPr="0056461F" w:rsidRDefault="00F331D1" w:rsidP="00C90014">
      <w:pPr>
        <w:ind w:left="1980" w:hanging="1980"/>
        <w:rPr>
          <w:bCs/>
          <w:szCs w:val="24"/>
        </w:rPr>
      </w:pPr>
      <w:r w:rsidRPr="0056461F">
        <w:rPr>
          <w:bCs/>
          <w:szCs w:val="24"/>
        </w:rPr>
        <w:t>Attachment 13C</w:t>
      </w:r>
      <w:r>
        <w:rPr>
          <w:szCs w:val="24"/>
        </w:rPr>
        <w:t>-</w:t>
      </w:r>
      <w:r w:rsidRPr="0056461F">
        <w:rPr>
          <w:szCs w:val="24"/>
        </w:rPr>
        <w:t>S</w:t>
      </w:r>
      <w:r w:rsidRPr="0056461F">
        <w:rPr>
          <w:bCs/>
          <w:szCs w:val="24"/>
        </w:rPr>
        <w:tab/>
        <w:t>Youth Activity Diary – Spanish</w:t>
      </w:r>
    </w:p>
    <w:p w:rsidR="00F117D6" w:rsidRPr="0056461F" w:rsidRDefault="00F117D6" w:rsidP="00C90014">
      <w:pPr>
        <w:ind w:left="1980" w:hanging="1980"/>
        <w:rPr>
          <w:bCs/>
          <w:szCs w:val="24"/>
        </w:rPr>
      </w:pPr>
      <w:r w:rsidRPr="0056461F">
        <w:rPr>
          <w:bCs/>
          <w:szCs w:val="24"/>
        </w:rPr>
        <w:t xml:space="preserve">Attachment </w:t>
      </w:r>
      <w:r w:rsidR="00977D6C" w:rsidRPr="0056461F">
        <w:rPr>
          <w:bCs/>
          <w:szCs w:val="24"/>
        </w:rPr>
        <w:t>1</w:t>
      </w:r>
      <w:r w:rsidR="00420B92" w:rsidRPr="0056461F">
        <w:rPr>
          <w:bCs/>
          <w:szCs w:val="24"/>
        </w:rPr>
        <w:t>3</w:t>
      </w:r>
      <w:r w:rsidR="000D61C0" w:rsidRPr="0056461F">
        <w:rPr>
          <w:bCs/>
          <w:szCs w:val="24"/>
        </w:rPr>
        <w:t>D</w:t>
      </w:r>
      <w:r w:rsidRPr="0056461F">
        <w:rPr>
          <w:bCs/>
          <w:szCs w:val="24"/>
        </w:rPr>
        <w:tab/>
        <w:t>Accelerometry Reminder Scripts</w:t>
      </w:r>
    </w:p>
    <w:p w:rsidR="006A5713" w:rsidRPr="0056461F" w:rsidRDefault="00B02AD6" w:rsidP="00C90014">
      <w:pPr>
        <w:ind w:left="1980" w:hanging="1980"/>
      </w:pPr>
      <w:r w:rsidRPr="0056461F">
        <w:rPr>
          <w:bCs/>
          <w:szCs w:val="24"/>
        </w:rPr>
        <w:t xml:space="preserve">Attachment </w:t>
      </w:r>
      <w:r w:rsidR="00977D6C" w:rsidRPr="0056461F">
        <w:rPr>
          <w:bCs/>
          <w:szCs w:val="24"/>
        </w:rPr>
        <w:t>1</w:t>
      </w:r>
      <w:r w:rsidR="00420B92" w:rsidRPr="0056461F">
        <w:rPr>
          <w:bCs/>
          <w:szCs w:val="24"/>
        </w:rPr>
        <w:t>3</w:t>
      </w:r>
      <w:r w:rsidRPr="0056461F">
        <w:rPr>
          <w:bCs/>
          <w:szCs w:val="24"/>
        </w:rPr>
        <w:t>D</w:t>
      </w:r>
      <w:r w:rsidR="00F331D1">
        <w:rPr>
          <w:szCs w:val="24"/>
        </w:rPr>
        <w:t>-</w:t>
      </w:r>
      <w:r w:rsidR="00F331D1" w:rsidRPr="0056461F">
        <w:rPr>
          <w:szCs w:val="24"/>
        </w:rPr>
        <w:t>S</w:t>
      </w:r>
      <w:r w:rsidR="00F331D1">
        <w:rPr>
          <w:bCs/>
          <w:szCs w:val="24"/>
        </w:rPr>
        <w:t xml:space="preserve"> </w:t>
      </w:r>
      <w:r w:rsidR="009D700D">
        <w:rPr>
          <w:bCs/>
          <w:szCs w:val="24"/>
        </w:rPr>
        <w:tab/>
      </w:r>
      <w:r w:rsidRPr="0056461F">
        <w:rPr>
          <w:bCs/>
          <w:szCs w:val="24"/>
        </w:rPr>
        <w:t xml:space="preserve">Accelerometry Reminder Scripts </w:t>
      </w:r>
      <w:r w:rsidR="00296C07" w:rsidRPr="0056461F">
        <w:rPr>
          <w:bCs/>
          <w:szCs w:val="24"/>
        </w:rPr>
        <w:t>–</w:t>
      </w:r>
      <w:r w:rsidRPr="0056461F">
        <w:rPr>
          <w:bCs/>
          <w:szCs w:val="24"/>
        </w:rPr>
        <w:t xml:space="preserve"> Spanish</w:t>
      </w:r>
    </w:p>
    <w:p w:rsidR="00FC6200" w:rsidRPr="0056461F" w:rsidRDefault="00FC6200" w:rsidP="00C90014">
      <w:pPr>
        <w:pStyle w:val="Heading1"/>
        <w:sectPr w:rsidR="00FC6200" w:rsidRPr="0056461F" w:rsidSect="00FC6200">
          <w:headerReference w:type="default" r:id="rId11"/>
          <w:footerReference w:type="default" r:id="rId12"/>
          <w:headerReference w:type="first" r:id="rId13"/>
          <w:pgSz w:w="12240" w:h="15840"/>
          <w:pgMar w:top="1440" w:right="1440" w:bottom="1440" w:left="1440" w:header="720" w:footer="720" w:gutter="0"/>
          <w:pgNumType w:fmt="lowerRoman"/>
          <w:cols w:space="720"/>
          <w:titlePg/>
          <w:docGrid w:linePitch="360"/>
        </w:sectPr>
      </w:pPr>
    </w:p>
    <w:p w:rsidR="008D1D69" w:rsidRPr="0056461F" w:rsidRDefault="007D47E0" w:rsidP="00C90014">
      <w:pPr>
        <w:pStyle w:val="Heading1"/>
      </w:pPr>
      <w:bookmarkStart w:id="1" w:name="_Toc318205186"/>
      <w:bookmarkStart w:id="2" w:name="_Toc319417448"/>
      <w:bookmarkStart w:id="3" w:name="_Toc348428783"/>
      <w:r w:rsidRPr="0056461F">
        <w:lastRenderedPageBreak/>
        <w:t xml:space="preserve">Part </w:t>
      </w:r>
      <w:r w:rsidR="00E21058" w:rsidRPr="0056461F">
        <w:t>A</w:t>
      </w:r>
      <w:r w:rsidR="00A94344" w:rsidRPr="0056461F">
        <w:t>.</w:t>
      </w:r>
      <w:r w:rsidR="005B6733" w:rsidRPr="0056461F">
        <w:tab/>
      </w:r>
      <w:r w:rsidR="00E21058" w:rsidRPr="0056461F">
        <w:t>Justification</w:t>
      </w:r>
      <w:bookmarkEnd w:id="1"/>
      <w:bookmarkEnd w:id="2"/>
      <w:bookmarkEnd w:id="3"/>
    </w:p>
    <w:p w:rsidR="0026020B" w:rsidRPr="0056461F" w:rsidRDefault="005B6733" w:rsidP="002C1227">
      <w:pPr>
        <w:pStyle w:val="Heading2"/>
        <w:spacing w:after="0"/>
        <w:rPr>
          <w:sz w:val="24"/>
          <w:szCs w:val="24"/>
        </w:rPr>
      </w:pPr>
      <w:bookmarkStart w:id="4" w:name="_Toc348428784"/>
      <w:r w:rsidRPr="0056461F">
        <w:rPr>
          <w:sz w:val="24"/>
          <w:szCs w:val="24"/>
        </w:rPr>
        <w:t>A</w:t>
      </w:r>
      <w:r w:rsidR="0085535A">
        <w:rPr>
          <w:sz w:val="24"/>
          <w:szCs w:val="24"/>
        </w:rPr>
        <w:t>.</w:t>
      </w:r>
      <w:r w:rsidRPr="0056461F">
        <w:rPr>
          <w:sz w:val="24"/>
          <w:szCs w:val="24"/>
        </w:rPr>
        <w:t>1</w:t>
      </w:r>
      <w:r w:rsidRPr="0056461F">
        <w:rPr>
          <w:sz w:val="24"/>
          <w:szCs w:val="24"/>
        </w:rPr>
        <w:tab/>
      </w:r>
      <w:r w:rsidR="0026020B" w:rsidRPr="0056461F">
        <w:rPr>
          <w:sz w:val="24"/>
          <w:szCs w:val="24"/>
        </w:rPr>
        <w:t>Circumstances Making the Collection of Information Necessary</w:t>
      </w:r>
      <w:bookmarkEnd w:id="4"/>
    </w:p>
    <w:p w:rsidR="005E3E90" w:rsidRPr="0056461F" w:rsidRDefault="00027927" w:rsidP="00DE2322">
      <w:pPr>
        <w:pStyle w:val="BodyText"/>
        <w:spacing w:line="240" w:lineRule="auto"/>
        <w:ind w:left="0"/>
        <w:rPr>
          <w:rFonts w:eastAsia="Calibri"/>
          <w:bCs/>
        </w:rPr>
      </w:pPr>
      <w:r w:rsidRPr="0056461F">
        <w:t>This is a new Information Collection Request (ICR)</w:t>
      </w:r>
      <w:r w:rsidR="00270390" w:rsidRPr="0056461F">
        <w:t xml:space="preserve"> supporting</w:t>
      </w:r>
      <w:r w:rsidR="00F4610C" w:rsidRPr="0056461F">
        <w:t xml:space="preserve"> </w:t>
      </w:r>
      <w:r w:rsidR="0096057A" w:rsidRPr="0056461F">
        <w:t>a Targeted Surveillance</w:t>
      </w:r>
      <w:r w:rsidR="00EC6023" w:rsidRPr="0056461F">
        <w:t xml:space="preserve"> and</w:t>
      </w:r>
      <w:r w:rsidR="00F41472" w:rsidRPr="0056461F">
        <w:t xml:space="preserve"> </w:t>
      </w:r>
      <w:r w:rsidR="0096057A" w:rsidRPr="0056461F">
        <w:t xml:space="preserve">Biometric Study </w:t>
      </w:r>
      <w:r w:rsidR="00B1326E" w:rsidRPr="0056461F">
        <w:t xml:space="preserve">to collect key outcomes required by the </w:t>
      </w:r>
      <w:r w:rsidR="00F41472" w:rsidRPr="0056461F">
        <w:t xml:space="preserve">Patient Protection and </w:t>
      </w:r>
      <w:r w:rsidR="00B1326E" w:rsidRPr="0056461F">
        <w:t>Affor</w:t>
      </w:r>
      <w:r w:rsidR="0019072E" w:rsidRPr="0056461F">
        <w:t>d</w:t>
      </w:r>
      <w:r w:rsidR="00B1326E" w:rsidRPr="0056461F">
        <w:t xml:space="preserve">able Care Act (ACA) </w:t>
      </w:r>
      <w:r w:rsidR="00270390" w:rsidRPr="0056461F">
        <w:t xml:space="preserve">in </w:t>
      </w:r>
      <w:r w:rsidR="00894080" w:rsidRPr="0056461F">
        <w:t xml:space="preserve">up to </w:t>
      </w:r>
      <w:r w:rsidR="00270390" w:rsidRPr="0056461F">
        <w:t xml:space="preserve">20 selected </w:t>
      </w:r>
      <w:r w:rsidR="00C90014">
        <w:t>awardee areas</w:t>
      </w:r>
      <w:r w:rsidR="00270390" w:rsidRPr="0056461F">
        <w:t>/geographic regions funded through the Community Transformation Grant</w:t>
      </w:r>
      <w:r w:rsidR="0055649C" w:rsidRPr="0056461F">
        <w:t>s</w:t>
      </w:r>
      <w:r w:rsidR="00270390" w:rsidRPr="0056461F">
        <w:t xml:space="preserve"> (CTG) </w:t>
      </w:r>
      <w:r w:rsidR="00D41DCB" w:rsidRPr="0056461F">
        <w:t>Program</w:t>
      </w:r>
      <w:r w:rsidRPr="0056461F">
        <w:t>.</w:t>
      </w:r>
      <w:r w:rsidR="00F4610C" w:rsidRPr="0056461F">
        <w:t xml:space="preserve"> </w:t>
      </w:r>
      <w:r w:rsidR="00DF24CD">
        <w:t>The Centers for Disease Control and Prevention’s (CDC’s) authorization to conduct this study is provided by the Public Health Service Act (Attachment 1</w:t>
      </w:r>
      <w:r w:rsidR="00DE2322">
        <w:t>A</w:t>
      </w:r>
      <w:r w:rsidR="00DF24CD">
        <w:t xml:space="preserve">). </w:t>
      </w:r>
      <w:r w:rsidR="009D66EA">
        <w:t xml:space="preserve">The </w:t>
      </w:r>
      <w:r w:rsidR="003F3580" w:rsidRPr="0056461F">
        <w:t>Office of Management and Budget (</w:t>
      </w:r>
      <w:r w:rsidR="003A4D21" w:rsidRPr="0056461F">
        <w:t>OMB</w:t>
      </w:r>
      <w:r w:rsidR="003F3580" w:rsidRPr="0056461F">
        <w:t>)</w:t>
      </w:r>
      <w:r w:rsidR="003A4D21" w:rsidRPr="0056461F">
        <w:t xml:space="preserve"> approval is being requested for the first </w:t>
      </w:r>
      <w:r w:rsidR="00D82223">
        <w:t>three</w:t>
      </w:r>
      <w:r w:rsidR="00D82223" w:rsidRPr="0056461F">
        <w:t xml:space="preserve"> </w:t>
      </w:r>
      <w:r w:rsidR="003A4D21" w:rsidRPr="0056461F">
        <w:t xml:space="preserve">years of a </w:t>
      </w:r>
      <w:r w:rsidR="00D82223">
        <w:t>six</w:t>
      </w:r>
      <w:r w:rsidR="003A4D21" w:rsidRPr="0056461F">
        <w:t>-year project.</w:t>
      </w:r>
      <w:r w:rsidR="00BD34BA" w:rsidRPr="0056461F">
        <w:t xml:space="preserve"> </w:t>
      </w:r>
      <w:r w:rsidR="003A4D21" w:rsidRPr="0056461F">
        <w:t xml:space="preserve">CDC plans to seek an extension of OMB approval to support continued data collection through the final </w:t>
      </w:r>
      <w:r w:rsidR="00D82223">
        <w:t>three</w:t>
      </w:r>
      <w:r w:rsidR="00D82223" w:rsidRPr="0056461F">
        <w:t xml:space="preserve"> </w:t>
      </w:r>
      <w:r w:rsidR="003A4D21" w:rsidRPr="0056461F">
        <w:t xml:space="preserve">years of the </w:t>
      </w:r>
      <w:r w:rsidR="00D82223">
        <w:t>six</w:t>
      </w:r>
      <w:r w:rsidR="003A4D21" w:rsidRPr="0056461F">
        <w:t xml:space="preserve">-year </w:t>
      </w:r>
      <w:r w:rsidR="008579F2" w:rsidRPr="0056461F">
        <w:t>CTG</w:t>
      </w:r>
      <w:r w:rsidR="00D41DCB" w:rsidRPr="0056461F">
        <w:t xml:space="preserve"> Program</w:t>
      </w:r>
      <w:r w:rsidR="00907876" w:rsidRPr="0056461F">
        <w:t xml:space="preserve"> </w:t>
      </w:r>
      <w:r w:rsidR="003A4D21" w:rsidRPr="0056461F">
        <w:t>award period.</w:t>
      </w:r>
      <w:r w:rsidR="00BD34BA" w:rsidRPr="0056461F">
        <w:t xml:space="preserve"> </w:t>
      </w:r>
      <w:r w:rsidR="00CE00EF" w:rsidRPr="0056461F">
        <w:t xml:space="preserve">From the ACA mandate, </w:t>
      </w:r>
      <w:r w:rsidR="005E3E90" w:rsidRPr="0056461F">
        <w:t xml:space="preserve">CDC established the CTG Program and funded awardees to create healthier communities through implementation of </w:t>
      </w:r>
      <w:r w:rsidR="005E3E90" w:rsidRPr="0056461F">
        <w:rPr>
          <w:rFonts w:eastAsia="DeVinne"/>
        </w:rPr>
        <w:t>policy, environmental, programmatic, and as appropriate infrastructure changes needed to promote healthy living and reduce disparities.</w:t>
      </w:r>
      <w:r w:rsidR="00E5404E" w:rsidRPr="0056461F">
        <w:rPr>
          <w:rFonts w:eastAsia="DeVinne"/>
        </w:rPr>
        <w:t xml:space="preserve"> </w:t>
      </w:r>
      <w:r w:rsidR="005E3E90" w:rsidRPr="0056461F">
        <w:rPr>
          <w:rFonts w:eastAsia="Calibri"/>
          <w:bCs/>
        </w:rPr>
        <w:t>Evaluation of the CTG Program is mandated as part of the ACA</w:t>
      </w:r>
      <w:r w:rsidR="00DE2322">
        <w:rPr>
          <w:rFonts w:eastAsia="Calibri"/>
          <w:bCs/>
        </w:rPr>
        <w:t xml:space="preserve"> (Attachment 1B)</w:t>
      </w:r>
      <w:r w:rsidR="00771ACC">
        <w:rPr>
          <w:rFonts w:eastAsia="Calibri"/>
          <w:bCs/>
        </w:rPr>
        <w:t>:</w:t>
      </w:r>
      <w:r w:rsidR="00771ACC" w:rsidRPr="0056461F">
        <w:rPr>
          <w:rFonts w:eastAsia="Calibri"/>
          <w:bCs/>
        </w:rPr>
        <w:t xml:space="preserve"> </w:t>
      </w:r>
    </w:p>
    <w:p w:rsidR="005E3E90" w:rsidRPr="0056461F" w:rsidRDefault="005E3E90" w:rsidP="00C90014">
      <w:pPr>
        <w:spacing w:after="240"/>
        <w:ind w:left="720" w:right="720"/>
        <w:rPr>
          <w:rFonts w:eastAsia="Calibri"/>
          <w:bCs/>
          <w:i/>
          <w:szCs w:val="24"/>
        </w:rPr>
      </w:pPr>
      <w:r w:rsidRPr="0056461F">
        <w:rPr>
          <w:rFonts w:eastAsia="Calibri"/>
          <w:bCs/>
          <w:i/>
          <w:szCs w:val="24"/>
        </w:rPr>
        <w:t xml:space="preserve">The Secretary of Health and Human Services, acting through the Director of the CDC shall award competitive grants to State and local governmental agencies and community-based organizations for the implementation, evaluation, and dissemination of evidence-based community preventive health activities in order to reduce chronic disease rates, prevent the development of secondary conditions, address health disparities, and develop a stronger evidence-base of effective prevention programming. </w:t>
      </w:r>
      <w:r w:rsidRPr="0056461F">
        <w:rPr>
          <w:rFonts w:eastAsia="Calibri"/>
          <w:bCs/>
          <w:iCs/>
          <w:szCs w:val="24"/>
        </w:rPr>
        <w:t>[ACA Section 4201]</w:t>
      </w:r>
    </w:p>
    <w:p w:rsidR="005E3E90" w:rsidRPr="0056461F" w:rsidRDefault="005E3E90" w:rsidP="00C90014">
      <w:pPr>
        <w:pStyle w:val="BodyText"/>
        <w:spacing w:line="240" w:lineRule="auto"/>
        <w:ind w:left="0"/>
        <w:rPr>
          <w:rFonts w:eastAsia="Calibri"/>
        </w:rPr>
      </w:pPr>
      <w:r w:rsidRPr="0056461F">
        <w:rPr>
          <w:rFonts w:eastAsia="Calibri"/>
        </w:rPr>
        <w:t xml:space="preserve">The ACA </w:t>
      </w:r>
      <w:r w:rsidRPr="0056461F">
        <w:t>further</w:t>
      </w:r>
      <w:r w:rsidRPr="0056461F">
        <w:rPr>
          <w:rFonts w:eastAsia="Calibri"/>
        </w:rPr>
        <w:t xml:space="preserve"> specifies that measures for the following core outcomes must be collected and assessed over time: </w:t>
      </w:r>
    </w:p>
    <w:p w:rsidR="005E3E90" w:rsidRPr="0056461F" w:rsidRDefault="005E3E90" w:rsidP="00C90014">
      <w:pPr>
        <w:pStyle w:val="ListParagraph"/>
        <w:numPr>
          <w:ilvl w:val="0"/>
          <w:numId w:val="26"/>
        </w:numPr>
        <w:ind w:left="1440"/>
        <w:rPr>
          <w:szCs w:val="24"/>
        </w:rPr>
      </w:pPr>
      <w:r w:rsidRPr="0056461F">
        <w:rPr>
          <w:rFonts w:eastAsia="Calibri"/>
          <w:bCs/>
          <w:szCs w:val="24"/>
        </w:rPr>
        <w:t>c</w:t>
      </w:r>
      <w:r w:rsidRPr="0056461F">
        <w:rPr>
          <w:szCs w:val="24"/>
        </w:rPr>
        <w:t xml:space="preserve">hanges in weight; </w:t>
      </w:r>
    </w:p>
    <w:p w:rsidR="005E3E90" w:rsidRPr="0056461F" w:rsidRDefault="005E3E90" w:rsidP="00C90014">
      <w:pPr>
        <w:pStyle w:val="ListParagraph"/>
        <w:numPr>
          <w:ilvl w:val="0"/>
          <w:numId w:val="26"/>
        </w:numPr>
        <w:ind w:left="1440"/>
        <w:rPr>
          <w:szCs w:val="24"/>
        </w:rPr>
      </w:pPr>
      <w:r w:rsidRPr="0056461F">
        <w:rPr>
          <w:szCs w:val="24"/>
        </w:rPr>
        <w:t xml:space="preserve">changes in proper nutrition; </w:t>
      </w:r>
    </w:p>
    <w:p w:rsidR="005E3E90" w:rsidRPr="0056461F" w:rsidRDefault="005E3E90" w:rsidP="00C90014">
      <w:pPr>
        <w:pStyle w:val="ListParagraph"/>
        <w:numPr>
          <w:ilvl w:val="0"/>
          <w:numId w:val="26"/>
        </w:numPr>
        <w:ind w:left="1440"/>
        <w:rPr>
          <w:szCs w:val="24"/>
        </w:rPr>
      </w:pPr>
      <w:r w:rsidRPr="0056461F">
        <w:rPr>
          <w:szCs w:val="24"/>
        </w:rPr>
        <w:t>changes in physical activity;</w:t>
      </w:r>
    </w:p>
    <w:p w:rsidR="005E3E90" w:rsidRPr="0056461F" w:rsidRDefault="005E3E90" w:rsidP="00C90014">
      <w:pPr>
        <w:pStyle w:val="ListParagraph"/>
        <w:numPr>
          <w:ilvl w:val="0"/>
          <w:numId w:val="26"/>
        </w:numPr>
        <w:ind w:left="1440"/>
        <w:rPr>
          <w:szCs w:val="24"/>
        </w:rPr>
      </w:pPr>
      <w:r w:rsidRPr="0056461F">
        <w:rPr>
          <w:szCs w:val="24"/>
        </w:rPr>
        <w:t xml:space="preserve">changes in tobacco use prevalence; </w:t>
      </w:r>
    </w:p>
    <w:p w:rsidR="005E3E90" w:rsidRDefault="005E3E90" w:rsidP="00C90014">
      <w:pPr>
        <w:pStyle w:val="ListParagraph"/>
        <w:numPr>
          <w:ilvl w:val="0"/>
          <w:numId w:val="26"/>
        </w:numPr>
        <w:ind w:left="1440"/>
        <w:rPr>
          <w:szCs w:val="24"/>
        </w:rPr>
      </w:pPr>
      <w:r w:rsidRPr="0056461F">
        <w:rPr>
          <w:szCs w:val="24"/>
        </w:rPr>
        <w:t>changes in emotional well-being and overall mental health; and</w:t>
      </w:r>
    </w:p>
    <w:p w:rsidR="00DE2322" w:rsidRPr="0056461F" w:rsidRDefault="00DE2322" w:rsidP="00C90014">
      <w:pPr>
        <w:pStyle w:val="ListParagraph"/>
        <w:numPr>
          <w:ilvl w:val="0"/>
          <w:numId w:val="26"/>
        </w:numPr>
        <w:ind w:left="1440"/>
        <w:rPr>
          <w:szCs w:val="24"/>
        </w:rPr>
      </w:pPr>
      <w:r>
        <w:rPr>
          <w:szCs w:val="24"/>
        </w:rPr>
        <w:t>other factors using community-specific data from the Behavioral Risk Factor Surveillance Survey; and</w:t>
      </w:r>
    </w:p>
    <w:p w:rsidR="005E3E90" w:rsidRPr="0056461F" w:rsidRDefault="005E3E90" w:rsidP="00C90014">
      <w:pPr>
        <w:pStyle w:val="ListParagraph"/>
        <w:numPr>
          <w:ilvl w:val="0"/>
          <w:numId w:val="26"/>
        </w:numPr>
        <w:spacing w:after="240"/>
        <w:ind w:left="1440"/>
        <w:rPr>
          <w:szCs w:val="24"/>
        </w:rPr>
      </w:pPr>
      <w:proofErr w:type="gramStart"/>
      <w:r w:rsidRPr="0056461F">
        <w:rPr>
          <w:szCs w:val="24"/>
        </w:rPr>
        <w:t>other</w:t>
      </w:r>
      <w:proofErr w:type="gramEnd"/>
      <w:r w:rsidRPr="0056461F">
        <w:rPr>
          <w:szCs w:val="24"/>
        </w:rPr>
        <w:t xml:space="preserve"> factors as determined by the Secretary.</w:t>
      </w:r>
    </w:p>
    <w:p w:rsidR="005E3E90" w:rsidRPr="0056461F" w:rsidRDefault="005E3E90" w:rsidP="00105360">
      <w:pPr>
        <w:pStyle w:val="BodyText"/>
        <w:spacing w:line="240" w:lineRule="auto"/>
        <w:ind w:left="0"/>
      </w:pPr>
      <w:r w:rsidRPr="0056461F">
        <w:t xml:space="preserve">In addition to the five </w:t>
      </w:r>
      <w:proofErr w:type="gramStart"/>
      <w:r w:rsidRPr="0056461F">
        <w:t>core</w:t>
      </w:r>
      <w:proofErr w:type="gramEnd"/>
      <w:r w:rsidRPr="0056461F">
        <w:t xml:space="preserve"> outcome measures cited in the ACA above (items i</w:t>
      </w:r>
      <w:r w:rsidR="00105360">
        <w:t>-</w:t>
      </w:r>
      <w:r w:rsidRPr="0056461F">
        <w:t xml:space="preserve">v), </w:t>
      </w:r>
      <w:r w:rsidR="00762DCE" w:rsidRPr="0056461F">
        <w:t>the Department of Health and Human Services (</w:t>
      </w:r>
      <w:r w:rsidRPr="0056461F">
        <w:t>HHS</w:t>
      </w:r>
      <w:r w:rsidR="00762DCE" w:rsidRPr="0056461F">
        <w:t>)</w:t>
      </w:r>
      <w:r w:rsidRPr="0056461F">
        <w:t xml:space="preserve"> determined that an assessment of objective changes in body mass index (BMI) should be performed (per item vi</w:t>
      </w:r>
      <w:r w:rsidR="00DE2322">
        <w:t>i</w:t>
      </w:r>
      <w:r w:rsidRPr="0056461F">
        <w:t xml:space="preserve">). </w:t>
      </w:r>
      <w:r w:rsidR="00403B5C" w:rsidRPr="0056461F">
        <w:t xml:space="preserve">CDC developed an evaluation plan to align with the mandates of the ACA and the resulting CTG Program. </w:t>
      </w:r>
      <w:r w:rsidR="008F42C2" w:rsidRPr="0056461F">
        <w:t xml:space="preserve">Although there are multiple components of the evaluation plan, this </w:t>
      </w:r>
      <w:r w:rsidR="00403B5C" w:rsidRPr="0056461F">
        <w:t>ICR</w:t>
      </w:r>
      <w:r w:rsidR="008F42C2" w:rsidRPr="0056461F">
        <w:t xml:space="preserve"> requests approval for a Targeted Surveillance and Biometric Study. This current </w:t>
      </w:r>
      <w:r w:rsidR="00762DCE" w:rsidRPr="0056461F">
        <w:t>ICR</w:t>
      </w:r>
      <w:r w:rsidR="008F42C2" w:rsidRPr="0056461F">
        <w:t xml:space="preserve"> complements two additional requests that OMB has approved: Monitoring and Reporting System for CTG Awardees (OMB No. 0920-0946, exp. 8/31/2015) and Use of System Dynamics Modeling and Economic Analysis in Select Communities (OMB No. 0920-0937, exp. 6/30/2015). Separate requests will be submitted to OMB for related evaluation studies that require data collection.</w:t>
      </w:r>
    </w:p>
    <w:p w:rsidR="005E3E90" w:rsidRPr="0056461F" w:rsidRDefault="00145C6B" w:rsidP="00C90014">
      <w:pPr>
        <w:pStyle w:val="BodyText"/>
        <w:spacing w:line="240" w:lineRule="auto"/>
        <w:ind w:left="0"/>
      </w:pPr>
      <w:r w:rsidRPr="0056461F">
        <w:rPr>
          <w:iCs/>
        </w:rPr>
        <w:lastRenderedPageBreak/>
        <w:t xml:space="preserve">In fiscal year 2011, </w:t>
      </w:r>
      <w:r w:rsidRPr="0056461F">
        <w:t xml:space="preserve">$102.6 million was authorized for the CTG Program (CDC-RFA-DP11-1103PPHF11) to fund state and local governmental agencies, tribes and territories, state or local nonprofit organizations, and national networks of community-based organizations. The purpose of this funding </w:t>
      </w:r>
      <w:r w:rsidR="009D66EA">
        <w:t>i</w:t>
      </w:r>
      <w:r w:rsidRPr="0056461F">
        <w:t>s to implement, evaluate, and disseminate evidence-based community preventive health activities to reduce chronic disease rates, prevent the development of secondary conditions, address health disparities, and develop a stronger evidence base for effective prevention programming. Section 4201 of the ACA specifies that an evaluation of CTG is to be conducted “</w:t>
      </w:r>
      <w:r w:rsidRPr="0056461F">
        <w:rPr>
          <w:rFonts w:ascii="NewCenturySchlbk-Roman" w:hAnsi="NewCenturySchlbk-Roman" w:cs="NewCenturySchlbk-Roman"/>
        </w:rPr>
        <w:t>to measure changes in the prevalence of chronic disease</w:t>
      </w:r>
      <w:r w:rsidR="00CE00EF" w:rsidRPr="0056461F">
        <w:rPr>
          <w:rFonts w:ascii="NewCenturySchlbk-Roman" w:hAnsi="NewCenturySchlbk-Roman" w:cs="NewCenturySchlbk-Roman"/>
        </w:rPr>
        <w:t xml:space="preserve"> </w:t>
      </w:r>
      <w:r w:rsidRPr="0056461F">
        <w:rPr>
          <w:rFonts w:ascii="NewCenturySchlbk-Roman" w:hAnsi="NewCenturySchlbk-Roman" w:cs="NewCenturySchlbk-Roman"/>
        </w:rPr>
        <w:t>risk factors among community members participating in</w:t>
      </w:r>
      <w:r w:rsidR="00CE00EF" w:rsidRPr="0056461F">
        <w:rPr>
          <w:rFonts w:ascii="NewCenturySchlbk-Roman" w:hAnsi="NewCenturySchlbk-Roman" w:cs="NewCenturySchlbk-Roman"/>
        </w:rPr>
        <w:t xml:space="preserve"> </w:t>
      </w:r>
      <w:r w:rsidRPr="0056461F">
        <w:rPr>
          <w:rFonts w:ascii="NewCenturySchlbk-Roman" w:hAnsi="NewCenturySchlbk-Roman" w:cs="NewCenturySchlbk-Roman"/>
        </w:rPr>
        <w:t>preventive health activities</w:t>
      </w:r>
      <w:r w:rsidR="00762DCE" w:rsidRPr="0056461F">
        <w:rPr>
          <w:rFonts w:ascii="NewCenturySchlbk-Roman" w:hAnsi="NewCenturySchlbk-Roman" w:cs="NewCenturySchlbk-Roman"/>
        </w:rPr>
        <w:t xml:space="preserve">.” </w:t>
      </w:r>
      <w:r w:rsidRPr="0056461F">
        <w:rPr>
          <w:rFonts w:ascii="NewCenturySchlbk-Roman" w:hAnsi="NewCenturySchlbk-Roman" w:cs="NewCenturySchlbk-Roman"/>
        </w:rPr>
        <w:t>In implementing this mandate, CDC designed a multicomponent national evaluation of CTG that includes this Targeted Surveillance and Biometric Study for Enhanced Evaluation of the CTG</w:t>
      </w:r>
      <w:r w:rsidR="00434037">
        <w:rPr>
          <w:rFonts w:ascii="NewCenturySchlbk-Roman" w:hAnsi="NewCenturySchlbk-Roman" w:cs="NewCenturySchlbk-Roman"/>
        </w:rPr>
        <w:t xml:space="preserve"> Program </w:t>
      </w:r>
      <w:r w:rsidR="00CE00EF" w:rsidRPr="0056461F">
        <w:rPr>
          <w:rFonts w:ascii="NewCenturySchlbk-Roman" w:hAnsi="NewCenturySchlbk-Roman" w:cs="NewCenturySchlbk-Roman"/>
        </w:rPr>
        <w:t xml:space="preserve">described within this </w:t>
      </w:r>
      <w:r w:rsidR="00D82223">
        <w:rPr>
          <w:rFonts w:ascii="NewCenturySchlbk-Roman" w:hAnsi="NewCenturySchlbk-Roman" w:cs="NewCenturySchlbk-Roman"/>
        </w:rPr>
        <w:t>ICR</w:t>
      </w:r>
      <w:r w:rsidRPr="0056461F">
        <w:rPr>
          <w:rFonts w:ascii="NewCenturySchlbk-Roman" w:hAnsi="NewCenturySchlbk-Roman" w:cs="NewCenturySchlbk-Roman"/>
        </w:rPr>
        <w:t>.</w:t>
      </w:r>
      <w:r w:rsidRPr="0056461F">
        <w:t xml:space="preserve"> </w:t>
      </w:r>
      <w:r w:rsidR="005E3E90" w:rsidRPr="0056461F">
        <w:t xml:space="preserve">This </w:t>
      </w:r>
      <w:r w:rsidR="00036355" w:rsidRPr="0056461F">
        <w:t xml:space="preserve">study </w:t>
      </w:r>
      <w:r w:rsidR="005E3E90" w:rsidRPr="0056461F">
        <w:t xml:space="preserve">is a </w:t>
      </w:r>
      <w:r w:rsidR="00762DCE" w:rsidRPr="0056461F">
        <w:t>population-</w:t>
      </w:r>
      <w:r w:rsidR="005E3E90" w:rsidRPr="0056461F">
        <w:t xml:space="preserve">based household assessment of persons </w:t>
      </w:r>
      <w:r w:rsidR="00D82223">
        <w:t>three</w:t>
      </w:r>
      <w:r w:rsidR="00D82223" w:rsidRPr="0056461F">
        <w:t xml:space="preserve"> </w:t>
      </w:r>
      <w:r w:rsidR="005E3E90" w:rsidRPr="0056461F">
        <w:t xml:space="preserve">years of age and older who live in 20 CTG </w:t>
      </w:r>
      <w:r w:rsidR="00C90014">
        <w:t>awardee areas</w:t>
      </w:r>
      <w:r w:rsidR="005E3E90" w:rsidRPr="0056461F">
        <w:t xml:space="preserve"> that are currently implementing interventions.</w:t>
      </w:r>
      <w:r w:rsidR="00E5404E" w:rsidRPr="0056461F">
        <w:t xml:space="preserve"> </w:t>
      </w:r>
      <w:r w:rsidR="00BB27A5" w:rsidRPr="0056461F">
        <w:t xml:space="preserve">Adults in selected households will be asked to complete an Adult Targeted Surveillance Survey (ATSS) as part of a </w:t>
      </w:r>
      <w:r w:rsidR="00BB27A5" w:rsidRPr="0056461F">
        <w:rPr>
          <w:i/>
          <w:iCs/>
        </w:rPr>
        <w:t>Standard Protocol</w:t>
      </w:r>
      <w:r w:rsidR="00BB27A5" w:rsidRPr="0056461F">
        <w:t xml:space="preserve"> of data collection. </w:t>
      </w:r>
      <w:r w:rsidR="005E3E90" w:rsidRPr="0056461F">
        <w:t xml:space="preserve">In </w:t>
      </w:r>
      <w:r w:rsidR="00BB27A5" w:rsidRPr="0056461F">
        <w:t xml:space="preserve">addition, </w:t>
      </w:r>
      <w:r w:rsidR="005E3E90" w:rsidRPr="0056461F">
        <w:t xml:space="preserve">to meet the HHS request for an assessment of changes in BMI, a subsample of households of participants from </w:t>
      </w:r>
      <w:r w:rsidR="004350F7">
        <w:t>8</w:t>
      </w:r>
      <w:r w:rsidR="004350F7" w:rsidRPr="0056461F">
        <w:t xml:space="preserve"> </w:t>
      </w:r>
      <w:r w:rsidR="005E3E90" w:rsidRPr="0056461F">
        <w:t xml:space="preserve">of the 20 participating </w:t>
      </w:r>
      <w:r w:rsidR="00C90014">
        <w:t>awardee areas</w:t>
      </w:r>
      <w:r w:rsidR="005E3E90" w:rsidRPr="0056461F">
        <w:t xml:space="preserve"> will be selected</w:t>
      </w:r>
      <w:r w:rsidR="00BB27A5" w:rsidRPr="0056461F">
        <w:t xml:space="preserve"> to participate in an </w:t>
      </w:r>
      <w:r w:rsidR="00BB27A5" w:rsidRPr="0056461F">
        <w:rPr>
          <w:i/>
          <w:iCs/>
        </w:rPr>
        <w:t>Enhanced Protocol</w:t>
      </w:r>
      <w:r w:rsidR="00BB27A5" w:rsidRPr="0056461F">
        <w:t xml:space="preserve"> of data collection</w:t>
      </w:r>
      <w:r w:rsidR="005E3E90" w:rsidRPr="0056461F">
        <w:t>. Because we are assessing outcomes across a broad range of ages</w:t>
      </w:r>
      <w:r w:rsidR="009F59F7" w:rsidRPr="0056461F">
        <w:t>,</w:t>
      </w:r>
      <w:r w:rsidR="005E3E90" w:rsidRPr="0056461F">
        <w:t xml:space="preserve"> and to use resources optimally, we have designed different data collection methods based on participants’ age and whether they will be invited to participate in the </w:t>
      </w:r>
      <w:r w:rsidR="00BB27A5" w:rsidRPr="0056461F">
        <w:rPr>
          <w:i/>
          <w:iCs/>
        </w:rPr>
        <w:t>Enhanced Protocol</w:t>
      </w:r>
      <w:r w:rsidR="005E3E90" w:rsidRPr="0056461F">
        <w:t>.</w:t>
      </w:r>
      <w:r w:rsidR="00E5404E" w:rsidRPr="0056461F">
        <w:t xml:space="preserve"> </w:t>
      </w:r>
      <w:r w:rsidR="005E3E90" w:rsidRPr="0056461F">
        <w:t xml:space="preserve">All participants, regardless of age, will be administered </w:t>
      </w:r>
      <w:r w:rsidR="00BB27A5" w:rsidRPr="0056461F">
        <w:t>a questionnaire (either by</w:t>
      </w:r>
      <w:r w:rsidR="00AD497B">
        <w:t xml:space="preserve"> telephone</w:t>
      </w:r>
      <w:r w:rsidR="00BB27A5" w:rsidRPr="0056461F">
        <w:t xml:space="preserve"> or in person) that assesses the same outcomes (i.e., as specified in the ACA)</w:t>
      </w:r>
      <w:r w:rsidR="009F59F7" w:rsidRPr="0056461F">
        <w:t>.</w:t>
      </w:r>
      <w:r w:rsidR="00E5404E" w:rsidRPr="0056461F">
        <w:t xml:space="preserve"> </w:t>
      </w:r>
    </w:p>
    <w:p w:rsidR="00027927" w:rsidRPr="0056461F" w:rsidRDefault="00BB27A5" w:rsidP="00C90014">
      <w:pPr>
        <w:pStyle w:val="BodyText"/>
        <w:spacing w:line="240" w:lineRule="auto"/>
        <w:ind w:left="0"/>
      </w:pPr>
      <w:r w:rsidRPr="0056461F">
        <w:rPr>
          <w:rFonts w:eastAsia="Batang"/>
        </w:rPr>
        <w:t>As described above,</w:t>
      </w:r>
      <w:r w:rsidR="00E5404E" w:rsidRPr="0056461F">
        <w:rPr>
          <w:rFonts w:eastAsia="Batang"/>
        </w:rPr>
        <w:t xml:space="preserve"> </w:t>
      </w:r>
      <w:r w:rsidR="00145C6B" w:rsidRPr="0056461F">
        <w:rPr>
          <w:rFonts w:eastAsia="Batang"/>
        </w:rPr>
        <w:t xml:space="preserve">outcomes specific to </w:t>
      </w:r>
      <w:r w:rsidR="00B55C16" w:rsidRPr="0056461F">
        <w:rPr>
          <w:rFonts w:eastAsia="Batang"/>
        </w:rPr>
        <w:t xml:space="preserve">each of the five </w:t>
      </w:r>
      <w:r w:rsidR="0091546B" w:rsidRPr="0056461F">
        <w:t>strategic directive</w:t>
      </w:r>
      <w:r w:rsidR="00B55C16" w:rsidRPr="0056461F">
        <w:t xml:space="preserve">s </w:t>
      </w:r>
      <w:r w:rsidR="00145C6B" w:rsidRPr="0056461F">
        <w:t xml:space="preserve">are to </w:t>
      </w:r>
      <w:r w:rsidR="00B55C16" w:rsidRPr="0056461F">
        <w:t>be collected and assessed over time</w:t>
      </w:r>
      <w:r w:rsidR="00BD34BA" w:rsidRPr="0056461F">
        <w:t xml:space="preserve"> </w:t>
      </w:r>
      <w:r w:rsidR="007651B9" w:rsidRPr="0056461F">
        <w:t xml:space="preserve">through targeted surveillance </w:t>
      </w:r>
      <w:r w:rsidR="008B4F0B" w:rsidRPr="0056461F">
        <w:t>and</w:t>
      </w:r>
      <w:r w:rsidR="00BD34BA" w:rsidRPr="0056461F">
        <w:t xml:space="preserve"> </w:t>
      </w:r>
      <w:r w:rsidR="007651B9" w:rsidRPr="0056461F">
        <w:t xml:space="preserve">special and enhanced evaluation studies </w:t>
      </w:r>
      <w:r w:rsidR="00B55C16" w:rsidRPr="0056461F">
        <w:t>(Attachment </w:t>
      </w:r>
      <w:r w:rsidR="003651E3" w:rsidRPr="0056461F">
        <w:t>4</w:t>
      </w:r>
      <w:r w:rsidR="00D27350" w:rsidRPr="0056461F">
        <w:t>A</w:t>
      </w:r>
      <w:r w:rsidR="00B55C16" w:rsidRPr="0056461F">
        <w:t>): (1) tobacco-free living</w:t>
      </w:r>
      <w:r w:rsidR="00EB3274" w:rsidRPr="0056461F">
        <w:t xml:space="preserve">; </w:t>
      </w:r>
      <w:r w:rsidR="00B55C16" w:rsidRPr="0056461F">
        <w:t>(2) active lifestyles and healthy eating</w:t>
      </w:r>
      <w:r w:rsidR="00EB3274" w:rsidRPr="0056461F">
        <w:t xml:space="preserve">; </w:t>
      </w:r>
      <w:r w:rsidR="00B55C16" w:rsidRPr="0056461F">
        <w:t>(3) </w:t>
      </w:r>
      <w:r w:rsidR="0093672A" w:rsidRPr="0056461F">
        <w:t>high-</w:t>
      </w:r>
      <w:r w:rsidR="00B55C16" w:rsidRPr="0056461F">
        <w:t>impact</w:t>
      </w:r>
      <w:r w:rsidR="0093672A" w:rsidRPr="0056461F">
        <w:t>,</w:t>
      </w:r>
      <w:r w:rsidR="00B55C16" w:rsidRPr="0056461F">
        <w:t xml:space="preserve"> evidence-based clinical and other preventive services</w:t>
      </w:r>
      <w:r w:rsidR="00EB3274" w:rsidRPr="0056461F">
        <w:t xml:space="preserve">; </w:t>
      </w:r>
      <w:r w:rsidR="00B55C16" w:rsidRPr="0056461F">
        <w:t>(4) social and emotional well-being</w:t>
      </w:r>
      <w:r w:rsidR="00EB3274" w:rsidRPr="0056461F">
        <w:t xml:space="preserve">; </w:t>
      </w:r>
      <w:r w:rsidR="00B55C16" w:rsidRPr="0056461F">
        <w:t xml:space="preserve">and (5) healthy and safe physical environments. </w:t>
      </w:r>
      <w:r w:rsidR="00907876" w:rsidRPr="0056461F">
        <w:t xml:space="preserve">The </w:t>
      </w:r>
      <w:r w:rsidR="008579F2" w:rsidRPr="0056461F">
        <w:t>CTG</w:t>
      </w:r>
      <w:r w:rsidR="00D41DCB" w:rsidRPr="0056461F">
        <w:t xml:space="preserve"> Program</w:t>
      </w:r>
      <w:r w:rsidR="00907876" w:rsidRPr="0056461F">
        <w:t xml:space="preserve"> </w:t>
      </w:r>
      <w:r w:rsidR="00B55C16" w:rsidRPr="0056461F">
        <w:t>a</w:t>
      </w:r>
      <w:r w:rsidR="00B55C16" w:rsidRPr="0056461F">
        <w:rPr>
          <w:rFonts w:eastAsia="Batang"/>
        </w:rPr>
        <w:t>wardees</w:t>
      </w:r>
      <w:r w:rsidR="00B55C16" w:rsidRPr="0056461F">
        <w:t xml:space="preserve"> will create healthier communities through implementation of sustainable,</w:t>
      </w:r>
      <w:r w:rsidR="00BD34BA" w:rsidRPr="0056461F">
        <w:t xml:space="preserve"> </w:t>
      </w:r>
      <w:r w:rsidR="00B55C16" w:rsidRPr="0056461F">
        <w:t xml:space="preserve">evidence- and practice-based </w:t>
      </w:r>
      <w:r w:rsidR="003F3580" w:rsidRPr="0056461F">
        <w:t>jurisdiction-wide</w:t>
      </w:r>
      <w:r w:rsidR="008B4F0B" w:rsidRPr="0056461F">
        <w:t xml:space="preserve"> strategies </w:t>
      </w:r>
      <w:r w:rsidR="00B55C16" w:rsidRPr="0056461F">
        <w:t>in counties, states, tribes, and territories.</w:t>
      </w:r>
      <w:r w:rsidR="007651B9" w:rsidRPr="0056461F">
        <w:t xml:space="preserve"> The following provides a</w:t>
      </w:r>
      <w:r w:rsidR="00BD34BA" w:rsidRPr="0056461F">
        <w:t xml:space="preserve"> </w:t>
      </w:r>
      <w:r w:rsidR="007651B9" w:rsidRPr="0056461F">
        <w:t xml:space="preserve">rationale </w:t>
      </w:r>
      <w:r w:rsidR="00646839" w:rsidRPr="0056461F">
        <w:t>supporting</w:t>
      </w:r>
      <w:r w:rsidR="00BD34BA" w:rsidRPr="0056461F">
        <w:t xml:space="preserve"> </w:t>
      </w:r>
      <w:r w:rsidR="007651B9" w:rsidRPr="0056461F">
        <w:t>the proposed data collection for each of the five strategic directives</w:t>
      </w:r>
      <w:r w:rsidR="009F59F7" w:rsidRPr="0056461F">
        <w:t>:</w:t>
      </w:r>
    </w:p>
    <w:p w:rsidR="00B55C16" w:rsidRPr="0056461F" w:rsidRDefault="00B55C16" w:rsidP="00C90014">
      <w:pPr>
        <w:pStyle w:val="Heading4"/>
        <w:numPr>
          <w:ilvl w:val="0"/>
          <w:numId w:val="8"/>
        </w:numPr>
        <w:spacing w:line="240" w:lineRule="auto"/>
        <w:rPr>
          <w:rFonts w:eastAsia="Batang"/>
        </w:rPr>
      </w:pPr>
      <w:bookmarkStart w:id="5" w:name="OLE_LINK3"/>
      <w:bookmarkStart w:id="6" w:name="OLE_LINK4"/>
      <w:r w:rsidRPr="0056461F">
        <w:rPr>
          <w:rFonts w:eastAsia="Batang"/>
        </w:rPr>
        <w:t>Tobacco-free Living</w:t>
      </w:r>
      <w:r w:rsidR="002F4035" w:rsidRPr="0056461F">
        <w:rPr>
          <w:rFonts w:eastAsia="Batang"/>
        </w:rPr>
        <w:t xml:space="preserve"> </w:t>
      </w:r>
    </w:p>
    <w:p w:rsidR="001A5B77" w:rsidRPr="0056461F" w:rsidRDefault="001A5B77" w:rsidP="00C90014">
      <w:pPr>
        <w:pStyle w:val="BodyText"/>
        <w:spacing w:line="240" w:lineRule="auto"/>
      </w:pPr>
      <w:r w:rsidRPr="0056461F">
        <w:t>Tobacco use is the leading cause of preventable death and disability in the United States.</w:t>
      </w:r>
      <w:r w:rsidR="00550C15" w:rsidRPr="0056461F">
        <w:t xml:space="preserve"> </w:t>
      </w:r>
      <w:r w:rsidRPr="0056461F">
        <w:t>Each year, tobacco use is responsible for approximately 443,000 deaths, an estimated 49,000 of which are the result of secondhand smoke exposure.</w:t>
      </w:r>
      <w:r w:rsidR="00562E83" w:rsidRPr="003E23CD">
        <w:rPr>
          <w:rStyle w:val="FootnoteReference"/>
        </w:rPr>
        <w:t>1</w:t>
      </w:r>
      <w:r w:rsidR="00550C15" w:rsidRPr="0056461F">
        <w:t xml:space="preserve"> </w:t>
      </w:r>
      <w:r w:rsidRPr="0056461F">
        <w:t>Nearly one in five adults (19.3%) is a current smoker</w:t>
      </w:r>
      <w:r w:rsidR="00F5409A">
        <w:t>,</w:t>
      </w:r>
      <w:r w:rsidR="00562E83" w:rsidRPr="003E23CD">
        <w:rPr>
          <w:rStyle w:val="FootnoteReference"/>
        </w:rPr>
        <w:t>2</w:t>
      </w:r>
      <w:r w:rsidRPr="0056461F">
        <w:t xml:space="preserve"> and 40.1</w:t>
      </w:r>
      <w:r w:rsidR="00F5409A">
        <w:t>%</w:t>
      </w:r>
      <w:r w:rsidRPr="0056461F">
        <w:t xml:space="preserve"> of nonsmokers are exposed to </w:t>
      </w:r>
      <w:r w:rsidR="00470221" w:rsidRPr="0056461F">
        <w:t>secondhand smoke</w:t>
      </w:r>
      <w:r w:rsidRPr="0056461F">
        <w:t>.</w:t>
      </w:r>
      <w:r w:rsidR="00562E83" w:rsidRPr="003E23CD">
        <w:rPr>
          <w:rStyle w:val="FootnoteReference"/>
        </w:rPr>
        <w:t>3</w:t>
      </w:r>
      <w:r w:rsidR="00550C15" w:rsidRPr="0056461F">
        <w:t xml:space="preserve"> </w:t>
      </w:r>
      <w:r w:rsidRPr="0056461F">
        <w:t xml:space="preserve">Despite overall declines in tobacco use over the past several years, disparities in smoking prevalence persist among </w:t>
      </w:r>
      <w:r w:rsidR="004F1520" w:rsidRPr="0056461F">
        <w:t xml:space="preserve">all </w:t>
      </w:r>
      <w:r w:rsidRPr="0056461F">
        <w:t>sociodemographic groups.</w:t>
      </w:r>
      <w:r w:rsidR="00550C15" w:rsidRPr="0056461F">
        <w:t xml:space="preserve"> </w:t>
      </w:r>
      <w:r w:rsidRPr="0056461F">
        <w:t xml:space="preserve">Promising strategies to reduce smoking prevalence and exposure to </w:t>
      </w:r>
      <w:r w:rsidR="00470221" w:rsidRPr="0056461F">
        <w:t>secondhand smoke</w:t>
      </w:r>
      <w:r w:rsidRPr="0056461F">
        <w:t xml:space="preserve"> include increasing the cost of tobacco products,</w:t>
      </w:r>
      <w:r w:rsidR="00BD34BA" w:rsidRPr="0056461F">
        <w:t xml:space="preserve"> </w:t>
      </w:r>
      <w:r w:rsidR="00F76C23" w:rsidRPr="0056461F">
        <w:t>adopting and implementing</w:t>
      </w:r>
      <w:r w:rsidRPr="0056461F">
        <w:t xml:space="preserve"> smoke-free</w:t>
      </w:r>
      <w:r w:rsidR="00B678AF" w:rsidRPr="0056461F">
        <w:t xml:space="preserve"> </w:t>
      </w:r>
      <w:r w:rsidR="00CE00EF" w:rsidRPr="0056461F">
        <w:t>environmental changes</w:t>
      </w:r>
      <w:r w:rsidRPr="0056461F">
        <w:t xml:space="preserve">, and implementing anti-tobacco </w:t>
      </w:r>
      <w:r w:rsidR="00CE00EF" w:rsidRPr="0056461F">
        <w:t>educational efforts</w:t>
      </w:r>
      <w:r w:rsidRPr="0056461F">
        <w:t xml:space="preserve">, among other </w:t>
      </w:r>
      <w:r w:rsidR="003F3580" w:rsidRPr="0056461F">
        <w:t>jurisdiction-wide</w:t>
      </w:r>
      <w:r w:rsidR="00C26AB5" w:rsidRPr="0056461F">
        <w:t xml:space="preserve"> strategies</w:t>
      </w:r>
      <w:r w:rsidRPr="0056461F">
        <w:t>.</w:t>
      </w:r>
      <w:r w:rsidR="00562E83" w:rsidRPr="003E23CD">
        <w:rPr>
          <w:rStyle w:val="FootnoteReference"/>
        </w:rPr>
        <w:t>4</w:t>
      </w:r>
      <w:r w:rsidR="00550C15" w:rsidRPr="0056461F">
        <w:rPr>
          <w:vertAlign w:val="superscript"/>
        </w:rPr>
        <w:t xml:space="preserve"> </w:t>
      </w:r>
      <w:r w:rsidRPr="0056461F">
        <w:t xml:space="preserve">However, there </w:t>
      </w:r>
      <w:r w:rsidR="00101F02" w:rsidRPr="0056461F">
        <w:t xml:space="preserve">are several </w:t>
      </w:r>
      <w:r w:rsidR="004B03AA" w:rsidRPr="0056461F">
        <w:t>gap</w:t>
      </w:r>
      <w:r w:rsidR="00101F02" w:rsidRPr="0056461F">
        <w:t>s</w:t>
      </w:r>
      <w:r w:rsidR="004B03AA" w:rsidRPr="0056461F">
        <w:t xml:space="preserve"> in the </w:t>
      </w:r>
      <w:r w:rsidRPr="0056461F">
        <w:t>evidence for how these efforts may work independently or in tandem to effect positive change in key tobacco-related outcomes.</w:t>
      </w:r>
      <w:r w:rsidR="00562E83" w:rsidRPr="003E23CD">
        <w:rPr>
          <w:rStyle w:val="FootnoteReference"/>
        </w:rPr>
        <w:t>5</w:t>
      </w:r>
      <w:r w:rsidR="00425EA3" w:rsidRPr="003E23CD">
        <w:rPr>
          <w:rStyle w:val="FootnoteReference"/>
        </w:rPr>
        <w:t>,</w:t>
      </w:r>
      <w:r w:rsidR="00562E83" w:rsidRPr="003E23CD">
        <w:rPr>
          <w:rStyle w:val="FootnoteReference"/>
        </w:rPr>
        <w:t>6</w:t>
      </w:r>
      <w:r w:rsidR="00550C15" w:rsidRPr="0056461F">
        <w:t xml:space="preserve"> </w:t>
      </w:r>
      <w:r w:rsidRPr="0056461F">
        <w:t xml:space="preserve">Further, current public health surveillance systems are limited in their capacity to link exposure to </w:t>
      </w:r>
      <w:r w:rsidR="004B03AA" w:rsidRPr="0056461F">
        <w:t>promising strategies</w:t>
      </w:r>
      <w:r w:rsidRPr="0056461F">
        <w:t xml:space="preserve"> with biometric measures of smoking and </w:t>
      </w:r>
      <w:r w:rsidR="00470221" w:rsidRPr="0056461F">
        <w:t>secondhand smoke</w:t>
      </w:r>
      <w:r w:rsidRPr="0056461F">
        <w:t xml:space="preserve"> exposure, such as enzyme immunoassays to measure cotinine.</w:t>
      </w:r>
      <w:r w:rsidR="00550C15" w:rsidRPr="0056461F">
        <w:t xml:space="preserve"> </w:t>
      </w:r>
      <w:r w:rsidRPr="0056461F">
        <w:lastRenderedPageBreak/>
        <w:t>Cotinine is a validated measure of exposure to smoking</w:t>
      </w:r>
      <w:r w:rsidR="00562E83" w:rsidRPr="003E23CD">
        <w:rPr>
          <w:rStyle w:val="FootnoteReference"/>
        </w:rPr>
        <w:t>7</w:t>
      </w:r>
      <w:r w:rsidRPr="0056461F">
        <w:t xml:space="preserve"> that has been </w:t>
      </w:r>
      <w:r w:rsidR="0023680F" w:rsidRPr="0056461F">
        <w:t xml:space="preserve">considered the “gold </w:t>
      </w:r>
      <w:r w:rsidR="00EB3274" w:rsidRPr="0056461F">
        <w:t xml:space="preserve">standard” </w:t>
      </w:r>
      <w:r w:rsidRPr="0056461F">
        <w:t>to evaluate the effectiveness of smoke-free policies.</w:t>
      </w:r>
      <w:r w:rsidR="00562E83" w:rsidRPr="003E23CD">
        <w:rPr>
          <w:rStyle w:val="FootnoteReference"/>
        </w:rPr>
        <w:t>8</w:t>
      </w:r>
      <w:r w:rsidRPr="0056461F">
        <w:t xml:space="preserve"> </w:t>
      </w:r>
    </w:p>
    <w:p w:rsidR="00B55C16" w:rsidRPr="0056461F" w:rsidRDefault="00B55C16" w:rsidP="00C90014">
      <w:pPr>
        <w:pStyle w:val="Heading4"/>
        <w:numPr>
          <w:ilvl w:val="0"/>
          <w:numId w:val="8"/>
        </w:numPr>
        <w:spacing w:line="240" w:lineRule="auto"/>
        <w:rPr>
          <w:rFonts w:eastAsia="Batang"/>
        </w:rPr>
      </w:pPr>
      <w:r w:rsidRPr="0056461F">
        <w:rPr>
          <w:rFonts w:eastAsia="Batang"/>
        </w:rPr>
        <w:t xml:space="preserve">Active </w:t>
      </w:r>
      <w:r w:rsidR="00A94344" w:rsidRPr="0056461F">
        <w:rPr>
          <w:rFonts w:eastAsia="Batang"/>
        </w:rPr>
        <w:t xml:space="preserve">Lifestyles </w:t>
      </w:r>
      <w:r w:rsidRPr="0056461F">
        <w:rPr>
          <w:rFonts w:eastAsia="Batang"/>
        </w:rPr>
        <w:t xml:space="preserve">and </w:t>
      </w:r>
      <w:r w:rsidR="00A94344" w:rsidRPr="0056461F">
        <w:rPr>
          <w:rFonts w:eastAsia="Batang"/>
        </w:rPr>
        <w:t>Health</w:t>
      </w:r>
      <w:r w:rsidR="006B020C" w:rsidRPr="0056461F">
        <w:rPr>
          <w:rFonts w:eastAsia="Batang"/>
        </w:rPr>
        <w:t>y</w:t>
      </w:r>
      <w:r w:rsidR="00A94344" w:rsidRPr="0056461F">
        <w:rPr>
          <w:rFonts w:eastAsia="Batang"/>
        </w:rPr>
        <w:t xml:space="preserve"> Eatin</w:t>
      </w:r>
      <w:r w:rsidRPr="0056461F">
        <w:rPr>
          <w:rFonts w:eastAsia="Batang"/>
        </w:rPr>
        <w:t>g</w:t>
      </w:r>
    </w:p>
    <w:p w:rsidR="00B80FDC" w:rsidRPr="0056461F" w:rsidRDefault="00B80FDC" w:rsidP="00C90014">
      <w:pPr>
        <w:pStyle w:val="BodyText"/>
        <w:spacing w:line="240" w:lineRule="auto"/>
        <w:rPr>
          <w:shd w:val="clear" w:color="auto" w:fill="FFFFFF"/>
        </w:rPr>
      </w:pPr>
      <w:r w:rsidRPr="0056461F">
        <w:t xml:space="preserve">In the </w:t>
      </w:r>
      <w:r w:rsidR="0093672A" w:rsidRPr="0056461F">
        <w:t>United States</w:t>
      </w:r>
      <w:r w:rsidRPr="0056461F">
        <w:t>, about 3</w:t>
      </w:r>
      <w:r w:rsidR="00101F02" w:rsidRPr="0056461F">
        <w:t>4</w:t>
      </w:r>
      <w:r w:rsidR="00F5409A">
        <w:t>%</w:t>
      </w:r>
      <w:r w:rsidRPr="0056461F">
        <w:t xml:space="preserve"> of adults and 17</w:t>
      </w:r>
      <w:r w:rsidR="00F5409A">
        <w:t>%</w:t>
      </w:r>
      <w:r w:rsidRPr="0056461F">
        <w:t xml:space="preserve"> of youth aged 2</w:t>
      </w:r>
      <w:r w:rsidR="0093672A" w:rsidRPr="0056461F">
        <w:t>–</w:t>
      </w:r>
      <w:r w:rsidRPr="0056461F">
        <w:t>19 are considered obese.</w:t>
      </w:r>
      <w:r w:rsidR="00562E83" w:rsidRPr="003E23CD">
        <w:rPr>
          <w:rStyle w:val="FootnoteReference"/>
        </w:rPr>
        <w:t>9</w:t>
      </w:r>
      <w:r w:rsidR="004542AD" w:rsidRPr="003E23CD">
        <w:rPr>
          <w:rStyle w:val="FootnoteReference"/>
        </w:rPr>
        <w:t>,</w:t>
      </w:r>
      <w:r w:rsidR="00562E83" w:rsidRPr="003E23CD">
        <w:rPr>
          <w:rStyle w:val="FootnoteReference"/>
        </w:rPr>
        <w:t>10</w:t>
      </w:r>
      <w:r w:rsidRPr="0056461F">
        <w:t xml:space="preserve"> </w:t>
      </w:r>
      <w:r w:rsidRPr="0056461F">
        <w:rPr>
          <w:shd w:val="clear" w:color="auto" w:fill="FFFFFF"/>
        </w:rPr>
        <w:t xml:space="preserve">Obesity contributes to chronic health conditions </w:t>
      </w:r>
      <w:r w:rsidR="0023680F" w:rsidRPr="0056461F">
        <w:rPr>
          <w:shd w:val="clear" w:color="auto" w:fill="FFFFFF"/>
        </w:rPr>
        <w:t>such as</w:t>
      </w:r>
      <w:r w:rsidR="00BD34BA" w:rsidRPr="0056461F">
        <w:rPr>
          <w:shd w:val="clear" w:color="auto" w:fill="FFFFFF"/>
        </w:rPr>
        <w:t xml:space="preserve"> </w:t>
      </w:r>
      <w:r w:rsidRPr="0056461F">
        <w:rPr>
          <w:shd w:val="clear" w:color="auto" w:fill="FFFFFF"/>
        </w:rPr>
        <w:t>heart disease, stroke, type 2 diabetes</w:t>
      </w:r>
      <w:r w:rsidR="0093672A" w:rsidRPr="0056461F">
        <w:rPr>
          <w:shd w:val="clear" w:color="auto" w:fill="FFFFFF"/>
        </w:rPr>
        <w:t>,</w:t>
      </w:r>
      <w:r w:rsidRPr="0056461F">
        <w:rPr>
          <w:shd w:val="clear" w:color="auto" w:fill="FFFFFF"/>
        </w:rPr>
        <w:t xml:space="preserve"> and certain types of cancer, which are some of the leading causes of death.</w:t>
      </w:r>
      <w:r w:rsidR="00562E83" w:rsidRPr="003E23CD">
        <w:rPr>
          <w:rStyle w:val="FootnoteReference"/>
        </w:rPr>
        <w:t>2</w:t>
      </w:r>
      <w:r w:rsidRPr="0056461F">
        <w:rPr>
          <w:shd w:val="clear" w:color="auto" w:fill="FFFFFF"/>
        </w:rPr>
        <w:t xml:space="preserve"> </w:t>
      </w:r>
      <w:r w:rsidR="0093672A" w:rsidRPr="0056461F">
        <w:rPr>
          <w:shd w:val="clear" w:color="auto" w:fill="FFFFFF"/>
        </w:rPr>
        <w:t xml:space="preserve">Obese </w:t>
      </w:r>
      <w:r w:rsidR="007651B9" w:rsidRPr="0056461F">
        <w:rPr>
          <w:shd w:val="clear" w:color="auto" w:fill="FFFFFF"/>
        </w:rPr>
        <w:t xml:space="preserve">persons </w:t>
      </w:r>
      <w:r w:rsidRPr="0056461F">
        <w:rPr>
          <w:shd w:val="clear" w:color="auto" w:fill="FFFFFF"/>
        </w:rPr>
        <w:t xml:space="preserve">also place a large financial burden on our medical care system because </w:t>
      </w:r>
      <w:r w:rsidR="007651B9" w:rsidRPr="0056461F">
        <w:rPr>
          <w:shd w:val="clear" w:color="auto" w:fill="FFFFFF"/>
        </w:rPr>
        <w:t>their care tends to be</w:t>
      </w:r>
      <w:r w:rsidRPr="0056461F">
        <w:rPr>
          <w:shd w:val="clear" w:color="auto" w:fill="FFFFFF"/>
        </w:rPr>
        <w:t xml:space="preserve"> more costly.</w:t>
      </w:r>
      <w:r w:rsidR="00562E83" w:rsidRPr="003E23CD">
        <w:rPr>
          <w:rStyle w:val="FootnoteReference"/>
        </w:rPr>
        <w:t>2</w:t>
      </w:r>
      <w:r w:rsidR="00550C15" w:rsidRPr="0056461F">
        <w:rPr>
          <w:shd w:val="clear" w:color="auto" w:fill="FFFFFF"/>
        </w:rPr>
        <w:t xml:space="preserve"> </w:t>
      </w:r>
      <w:r w:rsidR="0093672A" w:rsidRPr="0056461F">
        <w:rPr>
          <w:shd w:val="clear" w:color="auto" w:fill="FFFFFF"/>
        </w:rPr>
        <w:t xml:space="preserve">Although </w:t>
      </w:r>
      <w:r w:rsidRPr="0056461F">
        <w:rPr>
          <w:shd w:val="clear" w:color="auto" w:fill="FFFFFF"/>
        </w:rPr>
        <w:t xml:space="preserve">obesity is a growing problem across the entire </w:t>
      </w:r>
      <w:r w:rsidR="0093672A" w:rsidRPr="0056461F">
        <w:rPr>
          <w:shd w:val="clear" w:color="auto" w:fill="FFFFFF"/>
        </w:rPr>
        <w:t>United States</w:t>
      </w:r>
      <w:r w:rsidRPr="0056461F">
        <w:rPr>
          <w:shd w:val="clear" w:color="auto" w:fill="FFFFFF"/>
        </w:rPr>
        <w:t>, certain populations are disproportionately affected</w:t>
      </w:r>
      <w:r w:rsidR="0093672A" w:rsidRPr="0056461F">
        <w:rPr>
          <w:shd w:val="clear" w:color="auto" w:fill="FFFFFF"/>
        </w:rPr>
        <w:t xml:space="preserve">: </w:t>
      </w:r>
      <w:r w:rsidRPr="0056461F">
        <w:rPr>
          <w:shd w:val="clear" w:color="auto" w:fill="FFFFFF"/>
        </w:rPr>
        <w:t>non-Hispanic black women and Hispanics have the highest rates of obesity (41.9% and 30.7%).</w:t>
      </w:r>
      <w:r w:rsidR="00562E83" w:rsidRPr="003E23CD">
        <w:rPr>
          <w:rStyle w:val="FootnoteReference"/>
        </w:rPr>
        <w:t>11</w:t>
      </w:r>
      <w:r w:rsidRPr="0056461F">
        <w:rPr>
          <w:shd w:val="clear" w:color="auto" w:fill="FFFFFF"/>
        </w:rPr>
        <w:t xml:space="preserve"> Communities characterized by lower income, less education, and more blue-collar workers also tend to have higher rates of obesity.</w:t>
      </w:r>
      <w:r w:rsidR="00562E83" w:rsidRPr="003E23CD">
        <w:rPr>
          <w:rStyle w:val="FootnoteReference"/>
        </w:rPr>
        <w:t>12</w:t>
      </w:r>
      <w:r w:rsidRPr="0056461F">
        <w:rPr>
          <w:shd w:val="clear" w:color="auto" w:fill="FFFFFF"/>
        </w:rPr>
        <w:t xml:space="preserve"> </w:t>
      </w:r>
    </w:p>
    <w:p w:rsidR="00AB2942" w:rsidRPr="0056461F" w:rsidRDefault="00B80FDC" w:rsidP="00C90014">
      <w:pPr>
        <w:pStyle w:val="BodyText"/>
        <w:spacing w:line="240" w:lineRule="auto"/>
      </w:pPr>
      <w:r w:rsidRPr="0056461F">
        <w:t>The two most important individual behaviors associated with maintaining a healthy weight are living an active lifestyle and eating a healthy diet, yet very few Americans are achieving the current recommendations.</w:t>
      </w:r>
      <w:r w:rsidR="00562E83" w:rsidRPr="003E23CD">
        <w:rPr>
          <w:rStyle w:val="FootnoteReference"/>
        </w:rPr>
        <w:t>2</w:t>
      </w:r>
      <w:r w:rsidR="00550C15" w:rsidRPr="0056461F">
        <w:t xml:space="preserve"> </w:t>
      </w:r>
      <w:r w:rsidRPr="0056461F">
        <w:t>A number of factors have contributed to th</w:t>
      </w:r>
      <w:r w:rsidR="00760880" w:rsidRPr="0056461F">
        <w:t>e obesity</w:t>
      </w:r>
      <w:r w:rsidRPr="0056461F">
        <w:t xml:space="preserve"> epidemic, including</w:t>
      </w:r>
      <w:r w:rsidR="00AE22D8" w:rsidRPr="0056461F">
        <w:t xml:space="preserve"> </w:t>
      </w:r>
      <w:r w:rsidRPr="0056461F">
        <w:t>community barriers to physical activity</w:t>
      </w:r>
      <w:r w:rsidR="00760880" w:rsidRPr="0056461F">
        <w:t xml:space="preserve"> and increased access to and availability of unhealthy foods and beverages</w:t>
      </w:r>
      <w:r w:rsidRPr="0056461F">
        <w:t xml:space="preserve">. Populations with the highest rates of obesity tend to have less access to </w:t>
      </w:r>
      <w:r w:rsidR="006C00A8" w:rsidRPr="0056461F">
        <w:t xml:space="preserve">fresh fruits and vegetables or to </w:t>
      </w:r>
      <w:r w:rsidRPr="0056461F">
        <w:t>saf</w:t>
      </w:r>
      <w:r w:rsidR="00FC42B6" w:rsidRPr="0056461F">
        <w:t>e places for physical activity</w:t>
      </w:r>
      <w:r w:rsidRPr="0056461F">
        <w:t>.</w:t>
      </w:r>
      <w:r w:rsidR="00562E83" w:rsidRPr="003E23CD">
        <w:rPr>
          <w:rStyle w:val="FootnoteReference"/>
        </w:rPr>
        <w:t>2</w:t>
      </w:r>
      <w:r w:rsidR="00550C15" w:rsidRPr="0056461F">
        <w:t xml:space="preserve"> </w:t>
      </w:r>
    </w:p>
    <w:p w:rsidR="00AB2942" w:rsidRPr="0056461F" w:rsidRDefault="00760880" w:rsidP="00C90014">
      <w:pPr>
        <w:pStyle w:val="BodyText"/>
        <w:spacing w:line="240" w:lineRule="auto"/>
      </w:pPr>
      <w:r w:rsidRPr="0056461F">
        <w:t xml:space="preserve">Specific to physical activity, </w:t>
      </w:r>
      <w:r w:rsidR="00C82C1E" w:rsidRPr="0056461F">
        <w:t>HHS</w:t>
      </w:r>
      <w:r w:rsidR="00AB2942" w:rsidRPr="0056461F">
        <w:t xml:space="preserve"> released the first official government physical activity guidelines in 2008, recommending at least 150 minutes</w:t>
      </w:r>
      <w:r w:rsidR="00676EF6" w:rsidRPr="0056461F">
        <w:t xml:space="preserve"> per </w:t>
      </w:r>
      <w:r w:rsidR="00AB2942" w:rsidRPr="0056461F">
        <w:t>week of moderate intensity</w:t>
      </w:r>
      <w:r w:rsidR="00F5409A" w:rsidRPr="00F5409A">
        <w:t xml:space="preserve"> aerobic activity</w:t>
      </w:r>
      <w:r w:rsidR="006C00A8" w:rsidRPr="0056461F">
        <w:t>,</w:t>
      </w:r>
      <w:r w:rsidR="00AB2942" w:rsidRPr="0056461F">
        <w:t xml:space="preserve"> 75 minutes</w:t>
      </w:r>
      <w:r w:rsidR="00676EF6" w:rsidRPr="0056461F">
        <w:t xml:space="preserve"> per </w:t>
      </w:r>
      <w:r w:rsidR="00AB2942" w:rsidRPr="0056461F">
        <w:t>week of vigorous intensity aerobic activity</w:t>
      </w:r>
      <w:r w:rsidR="006C00A8" w:rsidRPr="0056461F">
        <w:t>,</w:t>
      </w:r>
      <w:r w:rsidR="00AB2942" w:rsidRPr="0056461F">
        <w:t xml:space="preserve"> or a combination of the two.</w:t>
      </w:r>
      <w:r w:rsidR="00AE22D8" w:rsidRPr="0056461F">
        <w:t xml:space="preserve"> </w:t>
      </w:r>
      <w:r w:rsidR="00AB2942" w:rsidRPr="0056461F">
        <w:t>It is important to measure multiple dimensions of physical activity contributing to the guidelines, including</w:t>
      </w:r>
      <w:r w:rsidRPr="0056461F">
        <w:t xml:space="preserve"> both the duration of aerobic activity and intensity of these </w:t>
      </w:r>
      <w:r w:rsidR="00676EF6" w:rsidRPr="0056461F">
        <w:t>activities.</w:t>
      </w:r>
      <w:r w:rsidR="00562E83" w:rsidRPr="003E23CD">
        <w:rPr>
          <w:rStyle w:val="FootnoteReference"/>
        </w:rPr>
        <w:t>13</w:t>
      </w:r>
    </w:p>
    <w:p w:rsidR="009D5004" w:rsidRPr="0056461F" w:rsidRDefault="006C00A8" w:rsidP="00C90014">
      <w:pPr>
        <w:pStyle w:val="BodyText"/>
        <w:spacing w:line="240" w:lineRule="auto"/>
      </w:pPr>
      <w:r w:rsidRPr="0056461F">
        <w:t>Increasingly, s</w:t>
      </w:r>
      <w:r w:rsidR="009D5004" w:rsidRPr="0056461F">
        <w:t>edentary time (too much sitting) is being recognized as a distinct health risk behavior.</w:t>
      </w:r>
      <w:r w:rsidR="00562E83" w:rsidRPr="003E23CD">
        <w:rPr>
          <w:rStyle w:val="FootnoteReference"/>
        </w:rPr>
        <w:t>14</w:t>
      </w:r>
      <w:r w:rsidR="009D5004" w:rsidRPr="003E23CD">
        <w:t xml:space="preserve"> </w:t>
      </w:r>
      <w:r w:rsidR="009D5004" w:rsidRPr="0056461F">
        <w:t xml:space="preserve">A recent review of the literature </w:t>
      </w:r>
      <w:r w:rsidR="009112E4" w:rsidRPr="0056461F">
        <w:t>pertaining to this</w:t>
      </w:r>
      <w:r w:rsidR="009D5004" w:rsidRPr="0056461F">
        <w:t xml:space="preserve"> </w:t>
      </w:r>
      <w:r w:rsidR="009112E4" w:rsidRPr="0056461F">
        <w:t xml:space="preserve">risk factor </w:t>
      </w:r>
      <w:r w:rsidR="009D5004" w:rsidRPr="0056461F">
        <w:t>recommends that, wherever possible, population-based monitoring of sedentary time incorporate both self-reported measures (to capture important domain- and behavior-specific sedentary time information) and device-based measures (to measure both total sedentary time and patterns of sedentary time accumulation)</w:t>
      </w:r>
      <w:r w:rsidR="00231462" w:rsidRPr="0056461F">
        <w:t>.</w:t>
      </w:r>
      <w:r w:rsidR="00562E83" w:rsidRPr="00E61446">
        <w:rPr>
          <w:rStyle w:val="FootnoteReference"/>
        </w:rPr>
        <w:t>15</w:t>
      </w:r>
      <w:r w:rsidR="00AE22D8" w:rsidRPr="00E61446">
        <w:t xml:space="preserve"> </w:t>
      </w:r>
      <w:r w:rsidR="009D5004" w:rsidRPr="0056461F">
        <w:t xml:space="preserve">The </w:t>
      </w:r>
      <w:r w:rsidR="007D3743" w:rsidRPr="0056461F">
        <w:t>study</w:t>
      </w:r>
      <w:r w:rsidR="009D5004" w:rsidRPr="0056461F">
        <w:t xml:space="preserve"> described in this ICR include</w:t>
      </w:r>
      <w:r w:rsidR="00C82C1E" w:rsidRPr="0056461F">
        <w:t>s</w:t>
      </w:r>
      <w:r w:rsidR="009D5004" w:rsidRPr="0056461F">
        <w:t xml:space="preserve"> both types of measurements.</w:t>
      </w:r>
    </w:p>
    <w:p w:rsidR="00B55C16" w:rsidRPr="0056461F" w:rsidRDefault="00B55C16" w:rsidP="00C90014">
      <w:pPr>
        <w:pStyle w:val="Heading4"/>
        <w:numPr>
          <w:ilvl w:val="0"/>
          <w:numId w:val="8"/>
        </w:numPr>
        <w:spacing w:line="240" w:lineRule="auto"/>
        <w:rPr>
          <w:rFonts w:eastAsia="Batang"/>
        </w:rPr>
      </w:pPr>
      <w:r w:rsidRPr="0056461F">
        <w:rPr>
          <w:rFonts w:eastAsia="Batang"/>
        </w:rPr>
        <w:t>High</w:t>
      </w:r>
      <w:r w:rsidR="00A94344" w:rsidRPr="0056461F">
        <w:rPr>
          <w:rFonts w:eastAsia="Batang"/>
        </w:rPr>
        <w:t>-</w:t>
      </w:r>
      <w:r w:rsidRPr="0056461F">
        <w:rPr>
          <w:rFonts w:eastAsia="Batang"/>
        </w:rPr>
        <w:t>impact</w:t>
      </w:r>
      <w:r w:rsidR="009F59F7" w:rsidRPr="0056461F">
        <w:rPr>
          <w:rFonts w:eastAsia="Batang"/>
        </w:rPr>
        <w:t>,</w:t>
      </w:r>
      <w:r w:rsidRPr="0056461F">
        <w:rPr>
          <w:rFonts w:eastAsia="Batang"/>
        </w:rPr>
        <w:t xml:space="preserve"> </w:t>
      </w:r>
      <w:r w:rsidR="00A94344" w:rsidRPr="0056461F">
        <w:rPr>
          <w:rFonts w:eastAsia="Batang"/>
        </w:rPr>
        <w:t>Evidence</w:t>
      </w:r>
      <w:r w:rsidRPr="0056461F">
        <w:rPr>
          <w:rFonts w:eastAsia="Batang"/>
        </w:rPr>
        <w:t xml:space="preserve">-based </w:t>
      </w:r>
      <w:r w:rsidR="00A94344" w:rsidRPr="0056461F">
        <w:rPr>
          <w:rFonts w:eastAsia="Batang"/>
        </w:rPr>
        <w:t xml:space="preserve">Clinical </w:t>
      </w:r>
      <w:r w:rsidRPr="0056461F">
        <w:rPr>
          <w:rFonts w:eastAsia="Batang"/>
        </w:rPr>
        <w:t xml:space="preserve">and </w:t>
      </w:r>
      <w:r w:rsidR="00A94344" w:rsidRPr="0056461F">
        <w:rPr>
          <w:rFonts w:eastAsia="Batang"/>
        </w:rPr>
        <w:t xml:space="preserve">Other </w:t>
      </w:r>
      <w:r w:rsidR="00101F02" w:rsidRPr="0056461F">
        <w:rPr>
          <w:rFonts w:eastAsia="Batang"/>
        </w:rPr>
        <w:t>Community-</w:t>
      </w:r>
      <w:r w:rsidR="00434037" w:rsidRPr="0056461F">
        <w:rPr>
          <w:rFonts w:eastAsia="Batang"/>
        </w:rPr>
        <w:t xml:space="preserve">based </w:t>
      </w:r>
      <w:r w:rsidR="00A94344" w:rsidRPr="0056461F">
        <w:rPr>
          <w:rFonts w:eastAsia="Batang"/>
        </w:rPr>
        <w:t>Preventive Ser</w:t>
      </w:r>
      <w:r w:rsidRPr="0056461F">
        <w:rPr>
          <w:rFonts w:eastAsia="Batang"/>
        </w:rPr>
        <w:t>vices</w:t>
      </w:r>
    </w:p>
    <w:p w:rsidR="00676B9C" w:rsidRPr="0056461F" w:rsidRDefault="00676B9C" w:rsidP="00C90014">
      <w:pPr>
        <w:pStyle w:val="BodyText"/>
        <w:spacing w:line="240" w:lineRule="auto"/>
      </w:pPr>
      <w:r w:rsidRPr="0056461F">
        <w:t xml:space="preserve">Access to clinical and </w:t>
      </w:r>
      <w:r w:rsidR="00101F02" w:rsidRPr="0056461F">
        <w:t xml:space="preserve">community </w:t>
      </w:r>
      <w:r w:rsidRPr="0056461F">
        <w:t xml:space="preserve">preventive services can prevent </w:t>
      </w:r>
      <w:r w:rsidR="00101F02" w:rsidRPr="0056461F">
        <w:t xml:space="preserve">or control </w:t>
      </w:r>
      <w:r w:rsidRPr="0056461F">
        <w:t>high blood pressure and high cholesterol levels through early detection and</w:t>
      </w:r>
      <w:r w:rsidR="00F30A07" w:rsidRPr="0056461F">
        <w:t xml:space="preserve"> clinical</w:t>
      </w:r>
      <w:r w:rsidRPr="0056461F">
        <w:t xml:space="preserve"> management. High blood pressure and high cholesterol levels are known contributors to the leading cause </w:t>
      </w:r>
      <w:r w:rsidR="00F30A07" w:rsidRPr="0056461F">
        <w:t>of death in the United States</w:t>
      </w:r>
      <w:r w:rsidRPr="0056461F">
        <w:t>.</w:t>
      </w:r>
      <w:r w:rsidR="00562E83" w:rsidRPr="00E61446">
        <w:rPr>
          <w:rStyle w:val="FootnoteReference"/>
        </w:rPr>
        <w:t>2</w:t>
      </w:r>
      <w:r w:rsidRPr="0056461F">
        <w:t xml:space="preserve"> Cardiovascular disease</w:t>
      </w:r>
      <w:r w:rsidR="00F63E9B" w:rsidRPr="0056461F">
        <w:t xml:space="preserve"> (CVD)</w:t>
      </w:r>
      <w:r w:rsidRPr="0056461F">
        <w:t xml:space="preserve"> kills more than 800,000 adults in the </w:t>
      </w:r>
      <w:r w:rsidR="0093672A" w:rsidRPr="0056461F">
        <w:t xml:space="preserve">United States </w:t>
      </w:r>
      <w:r w:rsidRPr="0056461F">
        <w:t>each year</w:t>
      </w:r>
      <w:r w:rsidR="00F5409A">
        <w:t>,</w:t>
      </w:r>
      <w:r w:rsidRPr="0056461F">
        <w:t xml:space="preserve"> and of these</w:t>
      </w:r>
      <w:r w:rsidR="009E295F" w:rsidRPr="0056461F">
        <w:t>,</w:t>
      </w:r>
      <w:r w:rsidRPr="0056461F">
        <w:t xml:space="preserve"> 150,000 are younger than age 65.</w:t>
      </w:r>
      <w:r w:rsidR="00562E83" w:rsidRPr="003E23CD">
        <w:rPr>
          <w:rStyle w:val="FootnoteReference"/>
        </w:rPr>
        <w:t>2</w:t>
      </w:r>
      <w:r w:rsidR="00550C15" w:rsidRPr="0056461F">
        <w:t xml:space="preserve"> </w:t>
      </w:r>
      <w:r w:rsidR="00401181" w:rsidRPr="0056461F">
        <w:t>National experts agree on a set of recommended clinical preventive services that can help detect and delay the onset of</w:t>
      </w:r>
      <w:r w:rsidR="00644EF3" w:rsidRPr="0056461F">
        <w:t xml:space="preserve"> CVD</w:t>
      </w:r>
      <w:r w:rsidR="00401181" w:rsidRPr="0056461F">
        <w:t>.</w:t>
      </w:r>
      <w:r w:rsidR="002042B9" w:rsidRPr="0056461F">
        <w:t xml:space="preserve"> </w:t>
      </w:r>
      <w:r w:rsidR="00907876" w:rsidRPr="0056461F">
        <w:t>D</w:t>
      </w:r>
      <w:r w:rsidR="00401181" w:rsidRPr="0056461F">
        <w:t xml:space="preserve">espite the </w:t>
      </w:r>
      <w:r w:rsidR="00F63E9B" w:rsidRPr="0056461F">
        <w:t xml:space="preserve">importance of screenings in </w:t>
      </w:r>
      <w:r w:rsidR="00F63E9B" w:rsidRPr="0056461F">
        <w:lastRenderedPageBreak/>
        <w:t xml:space="preserve">preventing CVD, </w:t>
      </w:r>
      <w:r w:rsidRPr="0056461F">
        <w:t xml:space="preserve">only </w:t>
      </w:r>
      <w:r w:rsidR="0036738A">
        <w:t>one</w:t>
      </w:r>
      <w:r w:rsidR="0036738A" w:rsidRPr="0056461F">
        <w:t xml:space="preserve"> </w:t>
      </w:r>
      <w:r w:rsidRPr="0056461F">
        <w:t xml:space="preserve">in </w:t>
      </w:r>
      <w:r w:rsidR="0036738A">
        <w:t>four</w:t>
      </w:r>
      <w:r w:rsidR="0036738A" w:rsidRPr="0056461F">
        <w:t xml:space="preserve"> </w:t>
      </w:r>
      <w:r w:rsidRPr="0056461F">
        <w:t xml:space="preserve">Americans </w:t>
      </w:r>
      <w:r w:rsidR="0036738A">
        <w:t>aged</w:t>
      </w:r>
      <w:r w:rsidR="00F30A07" w:rsidRPr="0056461F">
        <w:t xml:space="preserve"> 50</w:t>
      </w:r>
      <w:r w:rsidR="0036738A">
        <w:t>–</w:t>
      </w:r>
      <w:r w:rsidR="00F30A07" w:rsidRPr="0056461F">
        <w:t>64 is estimated to be up</w:t>
      </w:r>
      <w:r w:rsidR="0093672A" w:rsidRPr="0056461F">
        <w:t xml:space="preserve"> </w:t>
      </w:r>
      <w:r w:rsidR="00F30A07" w:rsidRPr="0056461F">
        <w:t>to</w:t>
      </w:r>
      <w:r w:rsidR="0093672A" w:rsidRPr="0056461F">
        <w:t xml:space="preserve"> </w:t>
      </w:r>
      <w:r w:rsidR="00F30A07" w:rsidRPr="0056461F">
        <w:t>date</w:t>
      </w:r>
      <w:r w:rsidRPr="0056461F">
        <w:t xml:space="preserve"> </w:t>
      </w:r>
      <w:r w:rsidR="00401181" w:rsidRPr="0056461F">
        <w:t xml:space="preserve">in receiving these </w:t>
      </w:r>
      <w:r w:rsidRPr="0056461F">
        <w:t>services</w:t>
      </w:r>
      <w:r w:rsidR="00907876" w:rsidRPr="0056461F">
        <w:t>.</w:t>
      </w:r>
      <w:r w:rsidR="002042B9" w:rsidRPr="0056461F">
        <w:t xml:space="preserve"> </w:t>
      </w:r>
      <w:r w:rsidR="00907876" w:rsidRPr="0056461F">
        <w:t>This</w:t>
      </w:r>
      <w:r w:rsidRPr="0056461F">
        <w:t xml:space="preserve"> rate has remained virtually unchanged since 2002.</w:t>
      </w:r>
      <w:r w:rsidR="00CE775D" w:rsidRPr="003E23CD">
        <w:rPr>
          <w:rStyle w:val="FootnoteReference"/>
        </w:rPr>
        <w:t>1</w:t>
      </w:r>
      <w:r w:rsidR="00CE775D">
        <w:rPr>
          <w:rStyle w:val="FootnoteReference"/>
        </w:rPr>
        <w:t>6</w:t>
      </w:r>
      <w:r w:rsidR="00CE775D" w:rsidRPr="0056461F">
        <w:t xml:space="preserve"> </w:t>
      </w:r>
    </w:p>
    <w:p w:rsidR="00676B9C" w:rsidRPr="0056461F" w:rsidRDefault="00676B9C" w:rsidP="00C90014">
      <w:pPr>
        <w:pStyle w:val="BodyText"/>
        <w:spacing w:line="240" w:lineRule="auto"/>
      </w:pPr>
      <w:r w:rsidRPr="0056461F">
        <w:t>Periodic screenings allow for the early detection and treatment of both high cholesterol and hypertension</w:t>
      </w:r>
      <w:r w:rsidR="0093672A" w:rsidRPr="0056461F">
        <w:t xml:space="preserve">; </w:t>
      </w:r>
      <w:r w:rsidR="00F30A07" w:rsidRPr="0056461F">
        <w:t>however</w:t>
      </w:r>
      <w:r w:rsidR="0093672A" w:rsidRPr="0056461F">
        <w:t>,</w:t>
      </w:r>
      <w:r w:rsidR="00F30A07" w:rsidRPr="0056461F">
        <w:t xml:space="preserve"> </w:t>
      </w:r>
      <w:r w:rsidRPr="0056461F">
        <w:t>disparities in screenings exist between sociodemographic groups. Adults aged 45</w:t>
      </w:r>
      <w:r w:rsidR="0093672A" w:rsidRPr="0056461F">
        <w:t>–</w:t>
      </w:r>
      <w:r w:rsidRPr="0056461F">
        <w:t>64 with low income are 15</w:t>
      </w:r>
      <w:r w:rsidR="00F5409A">
        <w:t>%</w:t>
      </w:r>
      <w:r w:rsidRPr="0056461F">
        <w:t xml:space="preserve"> less likely than their </w:t>
      </w:r>
      <w:r w:rsidR="0093672A" w:rsidRPr="0056461F">
        <w:t>high-</w:t>
      </w:r>
      <w:r w:rsidRPr="0056461F">
        <w:t xml:space="preserve">income counterparts to </w:t>
      </w:r>
      <w:r w:rsidR="00907876" w:rsidRPr="0056461F">
        <w:t xml:space="preserve">have </w:t>
      </w:r>
      <w:r w:rsidRPr="0056461F">
        <w:t>receive</w:t>
      </w:r>
      <w:r w:rsidR="00907876" w:rsidRPr="0056461F">
        <w:t>d</w:t>
      </w:r>
      <w:r w:rsidRPr="0056461F">
        <w:t xml:space="preserve"> cholesterol screening in the past </w:t>
      </w:r>
      <w:r w:rsidR="00D82223">
        <w:t>five</w:t>
      </w:r>
      <w:r w:rsidR="00D82223" w:rsidRPr="0056461F">
        <w:t xml:space="preserve"> </w:t>
      </w:r>
      <w:r w:rsidRPr="0056461F">
        <w:t xml:space="preserve">years. </w:t>
      </w:r>
      <w:r w:rsidR="002D565C" w:rsidRPr="0056461F">
        <w:t>A</w:t>
      </w:r>
      <w:r w:rsidRPr="0056461F">
        <w:t xml:space="preserve">dults </w:t>
      </w:r>
      <w:r w:rsidR="002D565C" w:rsidRPr="0056461F">
        <w:t>with low</w:t>
      </w:r>
      <w:r w:rsidR="003F3580" w:rsidRPr="0056461F">
        <w:t xml:space="preserve"> </w:t>
      </w:r>
      <w:r w:rsidR="002D565C" w:rsidRPr="0056461F">
        <w:t xml:space="preserve">income </w:t>
      </w:r>
      <w:r w:rsidRPr="0056461F">
        <w:t>are also 30</w:t>
      </w:r>
      <w:r w:rsidR="00F5409A">
        <w:t>%</w:t>
      </w:r>
      <w:r w:rsidRPr="0056461F">
        <w:t xml:space="preserve"> less likely than </w:t>
      </w:r>
      <w:r w:rsidR="002D565C" w:rsidRPr="0056461F">
        <w:t xml:space="preserve">adults with </w:t>
      </w:r>
      <w:r w:rsidR="0093672A" w:rsidRPr="0056461F">
        <w:t>high</w:t>
      </w:r>
      <w:r w:rsidR="003F3580" w:rsidRPr="0056461F">
        <w:t xml:space="preserve"> </w:t>
      </w:r>
      <w:r w:rsidRPr="0056461F">
        <w:t>income to have controlled blood pressure</w:t>
      </w:r>
      <w:r w:rsidR="002D565C" w:rsidRPr="0056461F">
        <w:t>. H</w:t>
      </w:r>
      <w:r w:rsidRPr="0056461F">
        <w:t>ypertension is also more prevalent among blacks and American Indians</w:t>
      </w:r>
      <w:r w:rsidR="004B03AA" w:rsidRPr="0056461F">
        <w:t xml:space="preserve"> than among whites</w:t>
      </w:r>
      <w:r w:rsidRPr="0056461F">
        <w:t>.</w:t>
      </w:r>
      <w:r w:rsidR="00CE775D" w:rsidRPr="003E23CD">
        <w:rPr>
          <w:rStyle w:val="FootnoteReference"/>
        </w:rPr>
        <w:t>1</w:t>
      </w:r>
      <w:r w:rsidR="00CE775D">
        <w:rPr>
          <w:rStyle w:val="FootnoteReference"/>
        </w:rPr>
        <w:t>6</w:t>
      </w:r>
      <w:r w:rsidR="00CE775D" w:rsidRPr="0056461F">
        <w:t xml:space="preserve"> </w:t>
      </w:r>
      <w:r w:rsidRPr="0056461F">
        <w:t xml:space="preserve">There are still gaps to be filled with regard to </w:t>
      </w:r>
      <w:r w:rsidR="004415E7" w:rsidRPr="0056461F">
        <w:t>en</w:t>
      </w:r>
      <w:r w:rsidR="00907876" w:rsidRPr="0056461F">
        <w:t xml:space="preserve">suring access to appropriate </w:t>
      </w:r>
      <w:r w:rsidRPr="0056461F">
        <w:t>preventive services.</w:t>
      </w:r>
      <w:r w:rsidR="00550C15" w:rsidRPr="0056461F">
        <w:t xml:space="preserve"> </w:t>
      </w:r>
      <w:r w:rsidRPr="0056461F">
        <w:t xml:space="preserve">Research is needed to link </w:t>
      </w:r>
      <w:r w:rsidR="00622268" w:rsidRPr="0056461F">
        <w:t xml:space="preserve">systems </w:t>
      </w:r>
      <w:r w:rsidRPr="0056461F">
        <w:t>change</w:t>
      </w:r>
      <w:r w:rsidR="00F30A07" w:rsidRPr="0056461F">
        <w:t>s</w:t>
      </w:r>
      <w:r w:rsidR="00622268" w:rsidRPr="0056461F">
        <w:t xml:space="preserve"> and </w:t>
      </w:r>
      <w:r w:rsidR="003F3580" w:rsidRPr="0056461F">
        <w:t>jurisdiction-wide</w:t>
      </w:r>
      <w:r w:rsidR="00622268" w:rsidRPr="0056461F">
        <w:t xml:space="preserve"> strategies</w:t>
      </w:r>
      <w:r w:rsidR="00F30A07" w:rsidRPr="0056461F">
        <w:t>, such as establishment of health information technology systems in physician offices, or a heavier reliance on pharmacists to manage multiple medications,</w:t>
      </w:r>
      <w:r w:rsidRPr="0056461F">
        <w:t xml:space="preserve"> with </w:t>
      </w:r>
      <w:r w:rsidR="00F30A07" w:rsidRPr="0056461F">
        <w:t>improved access to clinical care</w:t>
      </w:r>
      <w:r w:rsidRPr="0056461F">
        <w:t>.</w:t>
      </w:r>
    </w:p>
    <w:p w:rsidR="00B55C16" w:rsidRPr="0056461F" w:rsidRDefault="00B55C16" w:rsidP="00C90014">
      <w:pPr>
        <w:pStyle w:val="Heading4"/>
        <w:numPr>
          <w:ilvl w:val="0"/>
          <w:numId w:val="8"/>
        </w:numPr>
        <w:spacing w:line="240" w:lineRule="auto"/>
        <w:rPr>
          <w:rFonts w:eastAsia="Batang"/>
        </w:rPr>
      </w:pPr>
      <w:r w:rsidRPr="0056461F">
        <w:rPr>
          <w:rFonts w:eastAsia="Batang"/>
        </w:rPr>
        <w:t xml:space="preserve">Social and </w:t>
      </w:r>
      <w:r w:rsidR="00A94344" w:rsidRPr="0056461F">
        <w:rPr>
          <w:rFonts w:eastAsia="Batang"/>
        </w:rPr>
        <w:t>Emotional W</w:t>
      </w:r>
      <w:r w:rsidRPr="0056461F">
        <w:rPr>
          <w:rFonts w:eastAsia="Batang"/>
        </w:rPr>
        <w:t>ell-being</w:t>
      </w:r>
    </w:p>
    <w:p w:rsidR="00926CFB" w:rsidRPr="0056461F" w:rsidRDefault="00926CFB" w:rsidP="00C90014">
      <w:pPr>
        <w:pStyle w:val="BodyText"/>
        <w:spacing w:line="240" w:lineRule="auto"/>
      </w:pPr>
      <w:r w:rsidRPr="0056461F">
        <w:t xml:space="preserve">Research has shown that </w:t>
      </w:r>
      <w:r w:rsidR="00437098" w:rsidRPr="0056461F">
        <w:t>mental illness is associated with increased</w:t>
      </w:r>
      <w:r w:rsidR="005D0AC4" w:rsidRPr="0056461F">
        <w:t xml:space="preserve"> </w:t>
      </w:r>
      <w:r w:rsidRPr="0056461F">
        <w:t>risk for chronic medical diseases. In 2004, an estimated 25</w:t>
      </w:r>
      <w:r w:rsidR="00F5409A">
        <w:t>%</w:t>
      </w:r>
      <w:r w:rsidRPr="0056461F">
        <w:t xml:space="preserve"> of adults in the United States reported having a mental illness in the previous year.</w:t>
      </w:r>
      <w:r w:rsidR="00562E83" w:rsidRPr="003E23CD">
        <w:rPr>
          <w:rStyle w:val="FootnoteReference"/>
        </w:rPr>
        <w:t>2</w:t>
      </w:r>
      <w:r w:rsidRPr="0056461F">
        <w:t xml:space="preserve"> </w:t>
      </w:r>
      <w:r w:rsidR="00CE00EF" w:rsidRPr="0056461F">
        <w:t>Researche</w:t>
      </w:r>
      <w:r w:rsidR="00434037">
        <w:t>r</w:t>
      </w:r>
      <w:r w:rsidR="00CE00EF" w:rsidRPr="0056461F">
        <w:t>s have</w:t>
      </w:r>
      <w:r w:rsidRPr="0056461F">
        <w:t xml:space="preserve"> estimate</w:t>
      </w:r>
      <w:r w:rsidR="00CE00EF" w:rsidRPr="0056461F">
        <w:t>d</w:t>
      </w:r>
      <w:r w:rsidRPr="0056461F">
        <w:t xml:space="preserve"> that approximately 50</w:t>
      </w:r>
      <w:r w:rsidR="00F5409A">
        <w:t>%</w:t>
      </w:r>
      <w:r w:rsidRPr="0056461F">
        <w:t xml:space="preserve"> of U.S. adults will develop at least one mental illness during their lifetime</w:t>
      </w:r>
      <w:r w:rsidR="00CE00EF" w:rsidRPr="0056461F">
        <w:t xml:space="preserve"> and that, as of 2002</w:t>
      </w:r>
      <w:r w:rsidRPr="0056461F">
        <w:t xml:space="preserve">, the economic burden </w:t>
      </w:r>
      <w:r w:rsidR="00F5409A">
        <w:t>was</w:t>
      </w:r>
      <w:r w:rsidRPr="0056461F">
        <w:t xml:space="preserve"> </w:t>
      </w:r>
      <w:r w:rsidR="0093672A" w:rsidRPr="0056461F">
        <w:t xml:space="preserve">more than </w:t>
      </w:r>
      <w:r w:rsidRPr="0056461F">
        <w:t>$300 billion.</w:t>
      </w:r>
      <w:r w:rsidR="00562E83" w:rsidRPr="003E23CD">
        <w:rPr>
          <w:rStyle w:val="FootnoteReference"/>
        </w:rPr>
        <w:t>2</w:t>
      </w:r>
      <w:r w:rsidRPr="0056461F">
        <w:t xml:space="preserve"> Racial and ethnic health disparities have been observed in the treatment of adults for serious mental illness, depression, and schizophrenia. White non-Hispanic adults aged 18 years </w:t>
      </w:r>
      <w:r w:rsidR="00F5409A">
        <w:t>or</w:t>
      </w:r>
      <w:r w:rsidR="00F5409A" w:rsidRPr="0056461F">
        <w:t xml:space="preserve"> o</w:t>
      </w:r>
      <w:r w:rsidR="00F5409A">
        <w:t>lder</w:t>
      </w:r>
      <w:r w:rsidR="00F5409A" w:rsidRPr="0056461F">
        <w:t xml:space="preserve"> </w:t>
      </w:r>
      <w:r w:rsidR="009E295F" w:rsidRPr="0056461F">
        <w:t>with serious mental illness</w:t>
      </w:r>
      <w:r w:rsidRPr="0056461F">
        <w:t xml:space="preserve"> had the highest (best) rate of treatment, 68</w:t>
      </w:r>
      <w:r w:rsidR="00F5409A">
        <w:t>%</w:t>
      </w:r>
      <w:r w:rsidRPr="0056461F">
        <w:t xml:space="preserve"> in 2002, whereas Hispanic or Latino and black non-Hispanic adults </w:t>
      </w:r>
      <w:r w:rsidR="009E295F" w:rsidRPr="0056461F">
        <w:t xml:space="preserve">with serious mental illness </w:t>
      </w:r>
      <w:r w:rsidRPr="0056461F">
        <w:t xml:space="preserve">had </w:t>
      </w:r>
      <w:r w:rsidR="009E295F" w:rsidRPr="0056461F">
        <w:t>treatment</w:t>
      </w:r>
      <w:r w:rsidRPr="0056461F">
        <w:t xml:space="preserve"> rates of 45</w:t>
      </w:r>
      <w:r w:rsidR="00F5409A">
        <w:t>%</w:t>
      </w:r>
      <w:r w:rsidRPr="0056461F">
        <w:t xml:space="preserve"> and 51</w:t>
      </w:r>
      <w:r w:rsidR="00F5409A">
        <w:t>%</w:t>
      </w:r>
      <w:r w:rsidRPr="0056461F">
        <w:t xml:space="preserve"> in 2002, respectively.</w:t>
      </w:r>
      <w:r w:rsidR="00CE775D" w:rsidRPr="003E23CD">
        <w:rPr>
          <w:rStyle w:val="FootnoteReference"/>
        </w:rPr>
        <w:t>1</w:t>
      </w:r>
      <w:r w:rsidR="00CE775D">
        <w:rPr>
          <w:rStyle w:val="FootnoteReference"/>
        </w:rPr>
        <w:t>7</w:t>
      </w:r>
      <w:r w:rsidR="00CE775D" w:rsidRPr="0056461F">
        <w:t xml:space="preserve"> </w:t>
      </w:r>
      <w:r w:rsidR="00F01EE1" w:rsidRPr="0056461F">
        <w:t xml:space="preserve">Research suggests that there </w:t>
      </w:r>
      <w:r w:rsidRPr="0056461F">
        <w:t>is a correlation between social and emotional well-being and healthy living among children and adults</w:t>
      </w:r>
      <w:r w:rsidR="00C85638">
        <w:t>,</w:t>
      </w:r>
      <w:r w:rsidR="00F01EE1" w:rsidRPr="0056461F">
        <w:t xml:space="preserve"> such that h</w:t>
      </w:r>
      <w:r w:rsidRPr="0056461F">
        <w:t>igher levels of well-being are associated with decreased risk of disease, illness, and injury; better immune functioning;</w:t>
      </w:r>
      <w:r w:rsidR="00E5404E" w:rsidRPr="0056461F">
        <w:t xml:space="preserve"> </w:t>
      </w:r>
      <w:r w:rsidR="00F01EE1" w:rsidRPr="0056461F">
        <w:t>higher work productivity</w:t>
      </w:r>
      <w:r w:rsidR="009F59F7" w:rsidRPr="0056461F">
        <w:t xml:space="preserve">; </w:t>
      </w:r>
      <w:r w:rsidRPr="0056461F">
        <w:t>speedier recovery; and increased longevity.</w:t>
      </w:r>
      <w:r w:rsidR="00562E83" w:rsidRPr="00E61446">
        <w:rPr>
          <w:rStyle w:val="FootnoteReference"/>
        </w:rPr>
        <w:t>4</w:t>
      </w:r>
      <w:r w:rsidR="00550C15" w:rsidRPr="00E61446">
        <w:t xml:space="preserve"> </w:t>
      </w:r>
      <w:r w:rsidR="004B03AA" w:rsidRPr="0056461F">
        <w:t>However, these findings are from individual studies</w:t>
      </w:r>
      <w:r w:rsidR="009E295F" w:rsidRPr="0056461F">
        <w:t>,</w:t>
      </w:r>
      <w:r w:rsidR="004B03AA" w:rsidRPr="0056461F">
        <w:t xml:space="preserve"> and </w:t>
      </w:r>
      <w:r w:rsidR="009E295F" w:rsidRPr="0056461F">
        <w:t xml:space="preserve">currently </w:t>
      </w:r>
      <w:r w:rsidR="004B03AA" w:rsidRPr="0056461F">
        <w:t xml:space="preserve">there are no surveillance efforts </w:t>
      </w:r>
      <w:r w:rsidR="009E295F" w:rsidRPr="0056461F">
        <w:t xml:space="preserve">such as the </w:t>
      </w:r>
      <w:r w:rsidR="008579F2" w:rsidRPr="0056461F">
        <w:t>CTG</w:t>
      </w:r>
      <w:r w:rsidR="00D41DCB" w:rsidRPr="0056461F">
        <w:t xml:space="preserve"> Program</w:t>
      </w:r>
      <w:r w:rsidR="00437098" w:rsidRPr="0056461F">
        <w:t>’s proposed</w:t>
      </w:r>
      <w:r w:rsidR="009E295F" w:rsidRPr="0056461F">
        <w:t xml:space="preserve"> Targeted Surveillance </w:t>
      </w:r>
      <w:r w:rsidR="00437098" w:rsidRPr="0056461F">
        <w:t xml:space="preserve">and Biometric Study </w:t>
      </w:r>
      <w:r w:rsidR="004B03AA" w:rsidRPr="0056461F">
        <w:t>to assess these issues.</w:t>
      </w:r>
      <w:r w:rsidR="00562E83" w:rsidRPr="003E23CD">
        <w:rPr>
          <w:rStyle w:val="FootnoteReference"/>
        </w:rPr>
        <w:t>2</w:t>
      </w:r>
    </w:p>
    <w:p w:rsidR="00B55C16" w:rsidRPr="0056461F" w:rsidRDefault="00B55C16" w:rsidP="00C90014">
      <w:pPr>
        <w:pStyle w:val="Heading4"/>
        <w:numPr>
          <w:ilvl w:val="0"/>
          <w:numId w:val="8"/>
        </w:numPr>
        <w:spacing w:line="240" w:lineRule="auto"/>
        <w:rPr>
          <w:rFonts w:eastAsia="Batang"/>
        </w:rPr>
      </w:pPr>
      <w:r w:rsidRPr="0056461F">
        <w:rPr>
          <w:rFonts w:eastAsia="Batang"/>
        </w:rPr>
        <w:t>Health</w:t>
      </w:r>
      <w:r w:rsidR="00926CFB" w:rsidRPr="0056461F">
        <w:rPr>
          <w:rFonts w:eastAsia="Batang"/>
        </w:rPr>
        <w:t>y</w:t>
      </w:r>
      <w:r w:rsidRPr="0056461F">
        <w:rPr>
          <w:rFonts w:eastAsia="Batang"/>
        </w:rPr>
        <w:t xml:space="preserve"> and </w:t>
      </w:r>
      <w:r w:rsidR="00A94344" w:rsidRPr="0056461F">
        <w:rPr>
          <w:rFonts w:eastAsia="Batang"/>
        </w:rPr>
        <w:t>Safe Physical Envir</w:t>
      </w:r>
      <w:r w:rsidRPr="0056461F">
        <w:rPr>
          <w:rFonts w:eastAsia="Batang"/>
        </w:rPr>
        <w:t>onments</w:t>
      </w:r>
    </w:p>
    <w:p w:rsidR="00861533" w:rsidRPr="0056461F" w:rsidRDefault="00861533" w:rsidP="00C90014">
      <w:pPr>
        <w:pStyle w:val="BodyText"/>
        <w:spacing w:line="240" w:lineRule="auto"/>
      </w:pPr>
      <w:r w:rsidRPr="0056461F">
        <w:t>Studies have shown that regular physical activity is associated with improved overall health and fitness and reduces the risk for many chronic diseases.</w:t>
      </w:r>
      <w:r w:rsidR="00CE775D" w:rsidRPr="003E23CD">
        <w:rPr>
          <w:rStyle w:val="FootnoteReference"/>
        </w:rPr>
        <w:t>1</w:t>
      </w:r>
      <w:r w:rsidR="00CE775D">
        <w:rPr>
          <w:rStyle w:val="FootnoteReference"/>
        </w:rPr>
        <w:t>8</w:t>
      </w:r>
      <w:r w:rsidR="00CE775D" w:rsidRPr="0056461F">
        <w:t xml:space="preserve"> </w:t>
      </w:r>
      <w:r w:rsidRPr="0056461F">
        <w:t xml:space="preserve">The 2008 Physical Activity Guidelines Advisory Committee notes that data from various national surveillance </w:t>
      </w:r>
      <w:r w:rsidR="009F59F7" w:rsidRPr="0056461F">
        <w:t xml:space="preserve">programs </w:t>
      </w:r>
      <w:r w:rsidRPr="0056461F">
        <w:t xml:space="preserve">consistently show that most adults and youth in the </w:t>
      </w:r>
      <w:r w:rsidR="00524CB0" w:rsidRPr="0056461F">
        <w:t>United States</w:t>
      </w:r>
      <w:r w:rsidRPr="0056461F">
        <w:t xml:space="preserve"> do not meet current physical activity recommendations</w:t>
      </w:r>
      <w:r w:rsidR="00524CB0" w:rsidRPr="0056461F">
        <w:t xml:space="preserve"> (</w:t>
      </w:r>
      <w:r w:rsidRPr="0056461F">
        <w:t>e.g.</w:t>
      </w:r>
      <w:r w:rsidR="00524CB0" w:rsidRPr="0056461F">
        <w:t>,</w:t>
      </w:r>
      <w:r w:rsidRPr="0056461F">
        <w:t xml:space="preserve"> 45% to 50% of adults and 35.8% of high school students say they get the recommended amounts of moderate to vigorous physical activity</w:t>
      </w:r>
      <w:r w:rsidR="00524CB0" w:rsidRPr="0056461F">
        <w:t>)</w:t>
      </w:r>
      <w:r w:rsidRPr="0056461F">
        <w:t>.</w:t>
      </w:r>
      <w:r w:rsidR="00CE775D">
        <w:rPr>
          <w:rStyle w:val="FootnoteReference"/>
        </w:rPr>
        <w:t>1</w:t>
      </w:r>
      <w:r w:rsidR="00CE775D" w:rsidRPr="00FA6765">
        <w:rPr>
          <w:vertAlign w:val="superscript"/>
        </w:rPr>
        <w:t>9</w:t>
      </w:r>
      <w:r w:rsidR="00CE775D" w:rsidRPr="0056461F">
        <w:t xml:space="preserve"> </w:t>
      </w:r>
      <w:r w:rsidRPr="0056461F">
        <w:t>This is an improvement over the last decade</w:t>
      </w:r>
      <w:r w:rsidR="00C85638">
        <w:t>,</w:t>
      </w:r>
      <w:r w:rsidRPr="0056461F">
        <w:t xml:space="preserve"> when only 25</w:t>
      </w:r>
      <w:r w:rsidR="00F5409A">
        <w:t>%</w:t>
      </w:r>
      <w:r w:rsidRPr="0056461F">
        <w:t xml:space="preserve"> of adults in the </w:t>
      </w:r>
      <w:r w:rsidR="00524CB0" w:rsidRPr="0056461F">
        <w:t>United States</w:t>
      </w:r>
      <w:r w:rsidRPr="0056461F">
        <w:t xml:space="preserve"> reported engaging in recommended </w:t>
      </w:r>
      <w:r w:rsidR="00BC4D41" w:rsidRPr="0056461F">
        <w:t xml:space="preserve">levels of </w:t>
      </w:r>
      <w:r w:rsidRPr="0056461F">
        <w:t>physical activity (i.e., either 30 minutes of moderate-intensity activity on ≥5 days/week or 20 minutes of vigorous-intensity physical activity on ≥3 days/week)</w:t>
      </w:r>
      <w:r w:rsidR="00C85638">
        <w:t>,</w:t>
      </w:r>
      <w:r w:rsidRPr="0056461F">
        <w:t xml:space="preserve"> and only 27</w:t>
      </w:r>
      <w:r w:rsidR="00F5409A">
        <w:t>%</w:t>
      </w:r>
      <w:r w:rsidRPr="0056461F">
        <w:t xml:space="preserve"> of grade 9</w:t>
      </w:r>
      <w:r w:rsidR="00524CB0" w:rsidRPr="0056461F">
        <w:t>–</w:t>
      </w:r>
      <w:r w:rsidRPr="0056461F">
        <w:t>12 students received moderate-intensity physical activity.</w:t>
      </w:r>
      <w:r w:rsidR="00CE775D" w:rsidRPr="0056461F">
        <w:rPr>
          <w:vertAlign w:val="superscript"/>
        </w:rPr>
        <w:t>1</w:t>
      </w:r>
      <w:r w:rsidR="00CE775D">
        <w:rPr>
          <w:vertAlign w:val="superscript"/>
        </w:rPr>
        <w:t>8</w:t>
      </w:r>
      <w:r w:rsidR="00CE775D" w:rsidRPr="0056461F">
        <w:t xml:space="preserve"> </w:t>
      </w:r>
      <w:r w:rsidRPr="0056461F">
        <w:t xml:space="preserve">However, disparities persist in the </w:t>
      </w:r>
      <w:r w:rsidR="00524CB0" w:rsidRPr="0056461F">
        <w:t>United States</w:t>
      </w:r>
      <w:r w:rsidRPr="0056461F">
        <w:t xml:space="preserve"> with respect to rates of chronic disease and physical activity </w:t>
      </w:r>
      <w:r w:rsidRPr="0056461F">
        <w:lastRenderedPageBreak/>
        <w:t>levels.</w:t>
      </w:r>
      <w:r w:rsidR="00CE775D" w:rsidRPr="003E23CD">
        <w:rPr>
          <w:rStyle w:val="FootnoteReference"/>
        </w:rPr>
        <w:t>2</w:t>
      </w:r>
      <w:r w:rsidR="00CE775D">
        <w:rPr>
          <w:rStyle w:val="FootnoteReference"/>
        </w:rPr>
        <w:t>0</w:t>
      </w:r>
      <w:r w:rsidR="00504879" w:rsidRPr="003E23CD">
        <w:rPr>
          <w:rStyle w:val="FootnoteReference"/>
        </w:rPr>
        <w:t>,</w:t>
      </w:r>
      <w:r w:rsidR="00CE775D" w:rsidRPr="003E23CD">
        <w:rPr>
          <w:rStyle w:val="FootnoteReference"/>
        </w:rPr>
        <w:t>2</w:t>
      </w:r>
      <w:r w:rsidR="00CE775D">
        <w:rPr>
          <w:rStyle w:val="FootnoteReference"/>
        </w:rPr>
        <w:t>1</w:t>
      </w:r>
      <w:r w:rsidR="00CE775D" w:rsidRPr="0056461F">
        <w:t xml:space="preserve"> </w:t>
      </w:r>
      <w:r w:rsidRPr="0056461F">
        <w:t xml:space="preserve">This </w:t>
      </w:r>
      <w:r w:rsidR="00437098" w:rsidRPr="0056461F">
        <w:t>may</w:t>
      </w:r>
      <w:r w:rsidRPr="0056461F">
        <w:t xml:space="preserve"> be associated with a lack of health</w:t>
      </w:r>
      <w:r w:rsidR="00926CFB" w:rsidRPr="0056461F">
        <w:t>y</w:t>
      </w:r>
      <w:r w:rsidRPr="0056461F">
        <w:t xml:space="preserve"> and safe physical environments in which to be physically active. </w:t>
      </w:r>
    </w:p>
    <w:p w:rsidR="00861533" w:rsidRPr="0056461F" w:rsidRDefault="00861533" w:rsidP="00C90014">
      <w:pPr>
        <w:pStyle w:val="BodyText"/>
        <w:spacing w:line="240" w:lineRule="auto"/>
      </w:pPr>
      <w:r w:rsidRPr="0056461F">
        <w:t>Environmental and policy approaches are designed to provide opportunities, support, and cues to help people be more physically active.</w:t>
      </w:r>
      <w:r w:rsidR="00CE775D" w:rsidRPr="003E23CD">
        <w:rPr>
          <w:rStyle w:val="FootnoteReference"/>
        </w:rPr>
        <w:t>2</w:t>
      </w:r>
      <w:r w:rsidR="00CE775D">
        <w:rPr>
          <w:rStyle w:val="FootnoteReference"/>
        </w:rPr>
        <w:t>2</w:t>
      </w:r>
      <w:r w:rsidR="00CE775D" w:rsidRPr="0056461F">
        <w:t xml:space="preserve"> </w:t>
      </w:r>
      <w:r w:rsidRPr="0056461F">
        <w:t xml:space="preserve">There is a growing body of evidence </w:t>
      </w:r>
      <w:r w:rsidR="00903F58" w:rsidRPr="0056461F">
        <w:t>that</w:t>
      </w:r>
      <w:r w:rsidR="00BD34BA" w:rsidRPr="0056461F">
        <w:t xml:space="preserve"> </w:t>
      </w:r>
      <w:r w:rsidRPr="0056461F">
        <w:t>support</w:t>
      </w:r>
      <w:r w:rsidR="00903F58" w:rsidRPr="0056461F">
        <w:t>s</w:t>
      </w:r>
      <w:r w:rsidRPr="0056461F">
        <w:t xml:space="preserve"> such approaches, </w:t>
      </w:r>
      <w:r w:rsidR="009E295F" w:rsidRPr="0056461F">
        <w:t>which</w:t>
      </w:r>
      <w:r w:rsidR="00BD34BA" w:rsidRPr="0056461F">
        <w:t xml:space="preserve"> </w:t>
      </w:r>
      <w:r w:rsidRPr="0056461F">
        <w:t>benefit all pe</w:t>
      </w:r>
      <w:r w:rsidR="00903F58" w:rsidRPr="0056461F">
        <w:t>rsons</w:t>
      </w:r>
      <w:r w:rsidRPr="0056461F">
        <w:t xml:space="preserve"> exposed to the environment</w:t>
      </w:r>
      <w:r w:rsidR="004350F7">
        <w:t>,</w:t>
      </w:r>
      <w:r w:rsidRPr="0056461F">
        <w:t xml:space="preserve"> rather than </w:t>
      </w:r>
      <w:r w:rsidR="009E295F" w:rsidRPr="0056461F">
        <w:t>approaches</w:t>
      </w:r>
      <w:r w:rsidRPr="0056461F">
        <w:t xml:space="preserve"> focusing on changing physical activity at the individual level.</w:t>
      </w:r>
      <w:r w:rsidR="00CE775D" w:rsidRPr="003E23CD">
        <w:rPr>
          <w:rStyle w:val="FootnoteReference"/>
        </w:rPr>
        <w:t>2</w:t>
      </w:r>
      <w:r w:rsidR="00CE775D">
        <w:rPr>
          <w:rStyle w:val="FootnoteReference"/>
        </w:rPr>
        <w:t>3</w:t>
      </w:r>
      <w:r w:rsidR="00CE775D" w:rsidRPr="0056461F">
        <w:t xml:space="preserve"> </w:t>
      </w:r>
      <w:r w:rsidR="00644EF3" w:rsidRPr="0056461F">
        <w:t>The</w:t>
      </w:r>
      <w:r w:rsidR="009E295F" w:rsidRPr="0056461F">
        <w:t xml:space="preserve"> environmental and policy</w:t>
      </w:r>
      <w:r w:rsidR="00644EF3" w:rsidRPr="0056461F">
        <w:t xml:space="preserve"> approaches hold particular promise for promoting physical activity and should be taken into account when designing physical activity interventions.</w:t>
      </w:r>
      <w:r w:rsidR="00CE775D" w:rsidRPr="003E23CD">
        <w:rPr>
          <w:rStyle w:val="FootnoteReference"/>
        </w:rPr>
        <w:t>2</w:t>
      </w:r>
      <w:r w:rsidR="00CE775D">
        <w:rPr>
          <w:rStyle w:val="FootnoteReference"/>
        </w:rPr>
        <w:t>3</w:t>
      </w:r>
      <w:r w:rsidR="00CE775D" w:rsidRPr="0056461F">
        <w:t xml:space="preserve"> </w:t>
      </w:r>
      <w:r w:rsidR="00644EF3" w:rsidRPr="0056461F">
        <w:t>Other p</w:t>
      </w:r>
      <w:r w:rsidRPr="0056461F">
        <w:t>romising strategies to increase physical activity include implementing design and land use policies and practices that support physical activity in urban areas</w:t>
      </w:r>
      <w:r w:rsidR="00F01EE1" w:rsidRPr="0056461F">
        <w:t xml:space="preserve"> and</w:t>
      </w:r>
      <w:r w:rsidRPr="0056461F">
        <w:t xml:space="preserve"> creating or enhancing access to places for physical activity</w:t>
      </w:r>
      <w:r w:rsidR="009F59F7" w:rsidRPr="0056461F">
        <w:t>.</w:t>
      </w:r>
      <w:r w:rsidR="00CE775D" w:rsidRPr="003E23CD">
        <w:rPr>
          <w:rStyle w:val="FootnoteReference"/>
        </w:rPr>
        <w:t>2</w:t>
      </w:r>
      <w:r w:rsidR="00CE775D">
        <w:rPr>
          <w:rStyle w:val="FootnoteReference"/>
        </w:rPr>
        <w:t>2</w:t>
      </w:r>
      <w:r w:rsidR="00504879" w:rsidRPr="003E23CD">
        <w:rPr>
          <w:rStyle w:val="FootnoteReference"/>
        </w:rPr>
        <w:t>,</w:t>
      </w:r>
      <w:r w:rsidR="00CE775D" w:rsidRPr="003E23CD">
        <w:rPr>
          <w:rStyle w:val="FootnoteReference"/>
        </w:rPr>
        <w:t>2</w:t>
      </w:r>
      <w:r w:rsidR="00CE775D">
        <w:rPr>
          <w:rStyle w:val="FootnoteReference"/>
        </w:rPr>
        <w:t>4</w:t>
      </w:r>
      <w:r w:rsidR="00CE775D" w:rsidRPr="0056461F">
        <w:t xml:space="preserve"> </w:t>
      </w:r>
    </w:p>
    <w:p w:rsidR="00926CFB" w:rsidRPr="0056461F" w:rsidRDefault="00CD6269" w:rsidP="00C90014">
      <w:pPr>
        <w:pStyle w:val="Heading4"/>
        <w:spacing w:line="240" w:lineRule="auto"/>
      </w:pPr>
      <w:r w:rsidRPr="0056461F">
        <w:t xml:space="preserve">Design and Evaluation of </w:t>
      </w:r>
      <w:r w:rsidR="00907876" w:rsidRPr="0056461F">
        <w:t xml:space="preserve">the </w:t>
      </w:r>
      <w:r w:rsidR="008579F2" w:rsidRPr="0056461F">
        <w:t>CTG</w:t>
      </w:r>
      <w:r w:rsidR="00D41DCB" w:rsidRPr="0056461F">
        <w:t xml:space="preserve"> Program</w:t>
      </w:r>
      <w:r w:rsidR="00907876" w:rsidRPr="0056461F">
        <w:t xml:space="preserve"> </w:t>
      </w:r>
      <w:r w:rsidRPr="0056461F">
        <w:t>to Address the Five Strategic Directives</w:t>
      </w:r>
    </w:p>
    <w:bookmarkEnd w:id="5"/>
    <w:bookmarkEnd w:id="6"/>
    <w:p w:rsidR="0064531C" w:rsidRPr="0056461F" w:rsidRDefault="00345997" w:rsidP="00C0427B">
      <w:pPr>
        <w:pStyle w:val="BodyText"/>
        <w:spacing w:line="240" w:lineRule="auto"/>
        <w:ind w:left="0"/>
      </w:pPr>
      <w:r w:rsidRPr="0056461F">
        <w:t xml:space="preserve">The goals of the </w:t>
      </w:r>
      <w:r w:rsidR="004D15DC" w:rsidRPr="0056461F">
        <w:t xml:space="preserve">CTG </w:t>
      </w:r>
      <w:r w:rsidRPr="0056461F">
        <w:t xml:space="preserve">evaluation </w:t>
      </w:r>
      <w:r w:rsidR="004D15DC" w:rsidRPr="0056461F">
        <w:t xml:space="preserve">plan </w:t>
      </w:r>
      <w:r w:rsidR="00126F5D">
        <w:t xml:space="preserve">(Attachment 4B) </w:t>
      </w:r>
      <w:r w:rsidRPr="0056461F">
        <w:t>are to</w:t>
      </w:r>
      <w:r w:rsidRPr="0056461F">
        <w:rPr>
          <w:rFonts w:eastAsia="+mn-ea"/>
          <w:b/>
          <w:kern w:val="24"/>
        </w:rPr>
        <w:t xml:space="preserve"> </w:t>
      </w:r>
      <w:r w:rsidRPr="0056461F">
        <w:rPr>
          <w:rFonts w:eastAsia="+mn-ea"/>
          <w:kern w:val="24"/>
        </w:rPr>
        <w:t xml:space="preserve">(1) </w:t>
      </w:r>
      <w:r w:rsidRPr="0056461F">
        <w:t>conduct strategic and rigorous evaluations in collaboration with awardees to fill critical gaps in the evidence base; (2)</w:t>
      </w:r>
      <w:r w:rsidR="003E23CD">
        <w:t> </w:t>
      </w:r>
      <w:r w:rsidRPr="0056461F">
        <w:t>acknowledge and understand the complex and dynamic environments in which we work, live, learn, play</w:t>
      </w:r>
      <w:r w:rsidR="003F3580" w:rsidRPr="0056461F">
        <w:t>,</w:t>
      </w:r>
      <w:r w:rsidRPr="0056461F">
        <w:t xml:space="preserve"> and pray</w:t>
      </w:r>
      <w:r w:rsidR="003F3580" w:rsidRPr="0056461F">
        <w:t>;</w:t>
      </w:r>
      <w:r w:rsidR="002042B9" w:rsidRPr="0056461F">
        <w:t xml:space="preserve"> </w:t>
      </w:r>
      <w:r w:rsidRPr="0056461F">
        <w:t>(3) address questions related to health disparities and health equity</w:t>
      </w:r>
      <w:r w:rsidR="006366AF" w:rsidRPr="0056461F">
        <w:t xml:space="preserve">; and (4) assess change in </w:t>
      </w:r>
      <w:r w:rsidR="00C0427B">
        <w:t xml:space="preserve">variables related to the five strategic directives, as specified </w:t>
      </w:r>
      <w:r w:rsidR="006366AF" w:rsidRPr="0056461F">
        <w:t xml:space="preserve">in the </w:t>
      </w:r>
      <w:r w:rsidR="0018378E" w:rsidRPr="0056461F">
        <w:t>ACA</w:t>
      </w:r>
      <w:r w:rsidR="006366AF" w:rsidRPr="0056461F">
        <w:t xml:space="preserve"> legislation</w:t>
      </w:r>
      <w:r w:rsidRPr="0056461F">
        <w:t>.</w:t>
      </w:r>
      <w:r w:rsidR="00145C6B" w:rsidRPr="0056461F">
        <w:t xml:space="preserve"> </w:t>
      </w:r>
      <w:r w:rsidR="008F42C2" w:rsidRPr="0056461F">
        <w:t xml:space="preserve">As previously described, even </w:t>
      </w:r>
      <w:r w:rsidR="00E5404E" w:rsidRPr="0056461F">
        <w:t>though</w:t>
      </w:r>
      <w:r w:rsidR="00CC2BB9" w:rsidRPr="0056461F">
        <w:t xml:space="preserve"> there are multiple components of the </w:t>
      </w:r>
      <w:r w:rsidR="008F42C2" w:rsidRPr="0056461F">
        <w:t xml:space="preserve">CTG </w:t>
      </w:r>
      <w:r w:rsidR="00CC2BB9" w:rsidRPr="0056461F">
        <w:t xml:space="preserve">evaluation plan, this </w:t>
      </w:r>
      <w:r w:rsidR="00D82223">
        <w:t>ICR</w:t>
      </w:r>
      <w:r w:rsidR="00CC2BB9" w:rsidRPr="0056461F">
        <w:t xml:space="preserve"> requests approval for</w:t>
      </w:r>
      <w:r w:rsidR="00705EF3" w:rsidRPr="0056461F">
        <w:t xml:space="preserve"> a</w:t>
      </w:r>
      <w:r w:rsidR="00CC2BB9" w:rsidRPr="0056461F">
        <w:t xml:space="preserve"> </w:t>
      </w:r>
      <w:r w:rsidR="00EC6023" w:rsidRPr="0056461F">
        <w:t xml:space="preserve">Targeted Surveillance and </w:t>
      </w:r>
      <w:r w:rsidR="00414F9E" w:rsidRPr="0056461F">
        <w:t>Biometric Study</w:t>
      </w:r>
      <w:r w:rsidR="00B1326E" w:rsidRPr="0056461F">
        <w:rPr>
          <w:bCs/>
        </w:rPr>
        <w:t xml:space="preserve"> </w:t>
      </w:r>
      <w:r w:rsidR="00C5424C" w:rsidRPr="0056461F">
        <w:rPr>
          <w:bCs/>
        </w:rPr>
        <w:t xml:space="preserve">(depicted in Exhibit </w:t>
      </w:r>
      <w:r w:rsidR="0085535A">
        <w:rPr>
          <w:bCs/>
        </w:rPr>
        <w:t>A.1.1</w:t>
      </w:r>
      <w:r w:rsidR="00C5424C" w:rsidRPr="0056461F">
        <w:rPr>
          <w:bCs/>
        </w:rPr>
        <w:t xml:space="preserve">) </w:t>
      </w:r>
      <w:r w:rsidR="00B1326E" w:rsidRPr="0056461F">
        <w:rPr>
          <w:bCs/>
        </w:rPr>
        <w:t xml:space="preserve">that includes the collection of </w:t>
      </w:r>
      <w:r w:rsidR="0064167E" w:rsidRPr="0056461F">
        <w:rPr>
          <w:bCs/>
        </w:rPr>
        <w:t xml:space="preserve">behavioral </w:t>
      </w:r>
      <w:r w:rsidR="00B1326E" w:rsidRPr="0056461F">
        <w:rPr>
          <w:bCs/>
        </w:rPr>
        <w:t>and biometric measures</w:t>
      </w:r>
      <w:r w:rsidR="00553ECF" w:rsidRPr="0056461F">
        <w:t xml:space="preserve"> </w:t>
      </w:r>
      <w:r w:rsidR="00EC6023" w:rsidRPr="0056461F">
        <w:t>from adults and youth (</w:t>
      </w:r>
      <w:r w:rsidR="0036738A">
        <w:t>aged</w:t>
      </w:r>
      <w:r w:rsidR="00EC6023" w:rsidRPr="0056461F">
        <w:t xml:space="preserve"> </w:t>
      </w:r>
      <w:r w:rsidR="00D82223">
        <w:t>three</w:t>
      </w:r>
      <w:r w:rsidR="00D82223" w:rsidRPr="0056461F">
        <w:t xml:space="preserve"> </w:t>
      </w:r>
      <w:r w:rsidR="00EC6023" w:rsidRPr="0056461F">
        <w:t xml:space="preserve">years and </w:t>
      </w:r>
      <w:r w:rsidR="004C7F12">
        <w:t>older</w:t>
      </w:r>
      <w:r w:rsidR="00EC6023" w:rsidRPr="0056461F">
        <w:t xml:space="preserve">) </w:t>
      </w:r>
      <w:r w:rsidR="00553ECF" w:rsidRPr="0056461F">
        <w:t>using a</w:t>
      </w:r>
      <w:r w:rsidR="00955B8B" w:rsidRPr="0056461F">
        <w:t xml:space="preserve"> household approach that includes</w:t>
      </w:r>
      <w:r w:rsidR="0018378E" w:rsidRPr="0056461F">
        <w:t xml:space="preserve"> the following</w:t>
      </w:r>
      <w:r w:rsidR="00E85331" w:rsidRPr="0056461F">
        <w:t>:</w:t>
      </w:r>
      <w:r w:rsidR="00553ECF" w:rsidRPr="0056461F">
        <w:t xml:space="preserve"> </w:t>
      </w:r>
    </w:p>
    <w:p w:rsidR="00E85331" w:rsidRPr="0056461F" w:rsidRDefault="000B3F4E" w:rsidP="00C90014">
      <w:pPr>
        <w:pStyle w:val="Bullet"/>
        <w:spacing w:line="240" w:lineRule="auto"/>
      </w:pPr>
      <w:r w:rsidRPr="0056461F">
        <w:rPr>
          <w:i/>
        </w:rPr>
        <w:t>Standard Protocol</w:t>
      </w:r>
      <w:r w:rsidR="00E85331" w:rsidRPr="0056461F">
        <w:rPr>
          <w:i/>
        </w:rPr>
        <w:t xml:space="preserve">: </w:t>
      </w:r>
      <w:r w:rsidR="00EB3C33" w:rsidRPr="0056461F">
        <w:t>A</w:t>
      </w:r>
      <w:r w:rsidR="00E85331" w:rsidRPr="0056461F">
        <w:t xml:space="preserve"> population-based assessment</w:t>
      </w:r>
      <w:r w:rsidR="001D54C7" w:rsidRPr="0056461F">
        <w:t xml:space="preserve"> of adults aged 18 and older </w:t>
      </w:r>
      <w:r w:rsidR="00EB3C33" w:rsidRPr="0056461F">
        <w:t xml:space="preserve">sampled from households </w:t>
      </w:r>
      <w:r w:rsidR="001D54C7" w:rsidRPr="0056461F">
        <w:t xml:space="preserve">in </w:t>
      </w:r>
      <w:r w:rsidR="00EC6023" w:rsidRPr="0056461F">
        <w:t xml:space="preserve">20 selected CTG awardee areas </w:t>
      </w:r>
      <w:r w:rsidR="00970CD0" w:rsidRPr="0056461F">
        <w:t xml:space="preserve">(Attachment </w:t>
      </w:r>
      <w:r w:rsidR="00662B2C" w:rsidRPr="0056461F">
        <w:t>4</w:t>
      </w:r>
      <w:r w:rsidR="00662B2C">
        <w:t>C</w:t>
      </w:r>
      <w:r w:rsidR="00970CD0" w:rsidRPr="0056461F">
        <w:t xml:space="preserve">) </w:t>
      </w:r>
      <w:r w:rsidR="00EC6023" w:rsidRPr="0056461F">
        <w:t>where</w:t>
      </w:r>
      <w:r w:rsidR="00131FB6" w:rsidRPr="0056461F">
        <w:t xml:space="preserve"> </w:t>
      </w:r>
      <w:r w:rsidR="001D54C7" w:rsidRPr="0056461F">
        <w:t xml:space="preserve">interventions </w:t>
      </w:r>
      <w:r w:rsidR="00EC6023" w:rsidRPr="0056461F">
        <w:t xml:space="preserve">are being implemented </w:t>
      </w:r>
      <w:r w:rsidR="00E85331" w:rsidRPr="0056461F">
        <w:t>that address the aforementioned Strategic Directives</w:t>
      </w:r>
      <w:r w:rsidR="00A15FE5" w:rsidRPr="0056461F">
        <w:t>.</w:t>
      </w:r>
      <w:r w:rsidR="001D54C7" w:rsidRPr="0056461F">
        <w:t xml:space="preserve"> </w:t>
      </w:r>
      <w:r w:rsidR="00A15FE5" w:rsidRPr="0056461F">
        <w:t>Data will be collected from adults</w:t>
      </w:r>
      <w:r w:rsidR="004A42AE" w:rsidRPr="0056461F">
        <w:t xml:space="preserve"> via </w:t>
      </w:r>
      <w:r w:rsidR="002C7FB5" w:rsidRPr="0056461F">
        <w:t xml:space="preserve">the </w:t>
      </w:r>
      <w:r w:rsidR="00A15FE5" w:rsidRPr="0056461F">
        <w:t xml:space="preserve">ATSS. </w:t>
      </w:r>
    </w:p>
    <w:p w:rsidR="00584825" w:rsidRPr="0056461F" w:rsidRDefault="000B3F4E" w:rsidP="00C90014">
      <w:pPr>
        <w:pStyle w:val="Bullet"/>
        <w:spacing w:line="240" w:lineRule="auto"/>
      </w:pPr>
      <w:r w:rsidRPr="0056461F">
        <w:rPr>
          <w:i/>
        </w:rPr>
        <w:t>Enhanced Protocol</w:t>
      </w:r>
      <w:r w:rsidR="001D54C7" w:rsidRPr="0056461F">
        <w:t xml:space="preserve">: </w:t>
      </w:r>
      <w:r w:rsidR="00EB3C33" w:rsidRPr="0056461F">
        <w:t>A</w:t>
      </w:r>
      <w:r w:rsidR="0064167E" w:rsidRPr="0056461F">
        <w:t>n</w:t>
      </w:r>
      <w:r w:rsidR="00B1326E" w:rsidRPr="0056461F">
        <w:t xml:space="preserve"> </w:t>
      </w:r>
      <w:r w:rsidR="00CF3A4D" w:rsidRPr="0056461F">
        <w:t>in-home visit</w:t>
      </w:r>
      <w:r w:rsidR="0064167E" w:rsidRPr="0056461F">
        <w:t xml:space="preserve"> to collect biometric measures</w:t>
      </w:r>
      <w:r w:rsidR="00B1326E" w:rsidRPr="0056461F">
        <w:t xml:space="preserve"> in </w:t>
      </w:r>
      <w:r w:rsidR="00584825" w:rsidRPr="0056461F">
        <w:t xml:space="preserve">a subsample of adults and youth </w:t>
      </w:r>
      <w:r w:rsidR="00EB3C33" w:rsidRPr="0056461F">
        <w:t xml:space="preserve">from </w:t>
      </w:r>
      <w:r w:rsidR="00584825" w:rsidRPr="0056461F">
        <w:t>ho</w:t>
      </w:r>
      <w:r w:rsidR="00EC6023" w:rsidRPr="0056461F">
        <w:t>useholds in</w:t>
      </w:r>
      <w:r w:rsidR="00584825" w:rsidRPr="0056461F">
        <w:t xml:space="preserve"> </w:t>
      </w:r>
      <w:r w:rsidR="00EC6023" w:rsidRPr="0056461F">
        <w:t>8</w:t>
      </w:r>
      <w:r w:rsidR="00584825" w:rsidRPr="0056461F">
        <w:t xml:space="preserve"> of the 20 </w:t>
      </w:r>
      <w:r w:rsidR="00EC6023" w:rsidRPr="0056461F">
        <w:t>CTG awardee areas</w:t>
      </w:r>
      <w:r w:rsidR="00B1326E" w:rsidRPr="0056461F">
        <w:t xml:space="preserve"> selected for the </w:t>
      </w:r>
      <w:r w:rsidRPr="0056461F">
        <w:rPr>
          <w:i/>
          <w:iCs/>
        </w:rPr>
        <w:t>Standard Protocol</w:t>
      </w:r>
      <w:r w:rsidR="00B1326E" w:rsidRPr="0056461F">
        <w:t>.</w:t>
      </w:r>
      <w:r w:rsidR="00EC6023" w:rsidRPr="0056461F">
        <w:t xml:space="preserve"> </w:t>
      </w:r>
      <w:r w:rsidR="00EB3C33" w:rsidRPr="0056461F">
        <w:t>Participants in</w:t>
      </w:r>
      <w:r w:rsidR="00B1326E" w:rsidRPr="0056461F">
        <w:t xml:space="preserve"> the </w:t>
      </w:r>
      <w:r w:rsidRPr="0056461F">
        <w:rPr>
          <w:i/>
          <w:iCs/>
        </w:rPr>
        <w:t>Enhanced Protocol</w:t>
      </w:r>
      <w:r w:rsidR="00584825" w:rsidRPr="0056461F">
        <w:t xml:space="preserve"> will </w:t>
      </w:r>
      <w:r w:rsidR="00707823" w:rsidRPr="0056461F">
        <w:t xml:space="preserve">provide </w:t>
      </w:r>
      <w:r w:rsidR="00584825" w:rsidRPr="0056461F">
        <w:t>additional data, including</w:t>
      </w:r>
      <w:r w:rsidR="00F41472" w:rsidRPr="0056461F">
        <w:t xml:space="preserve"> </w:t>
      </w:r>
      <w:r w:rsidR="00584825" w:rsidRPr="0056461F">
        <w:t xml:space="preserve">adult and youth biometric </w:t>
      </w:r>
      <w:r w:rsidR="00EB3C33" w:rsidRPr="0056461F">
        <w:t>assessments;</w:t>
      </w:r>
      <w:r w:rsidR="00584825" w:rsidRPr="0056461F">
        <w:t xml:space="preserve"> a </w:t>
      </w:r>
      <w:r w:rsidR="00EC6023" w:rsidRPr="0056461F">
        <w:t>Y</w:t>
      </w:r>
      <w:r w:rsidR="00584825" w:rsidRPr="0056461F">
        <w:t xml:space="preserve">outh </w:t>
      </w:r>
      <w:r w:rsidR="00EC6023" w:rsidRPr="0056461F">
        <w:t>S</w:t>
      </w:r>
      <w:r w:rsidR="00584825" w:rsidRPr="0056461F">
        <w:t>urvey</w:t>
      </w:r>
      <w:r w:rsidR="00B1326E" w:rsidRPr="0056461F">
        <w:t xml:space="preserve"> completed by selected </w:t>
      </w:r>
      <w:r w:rsidR="00EB3C33" w:rsidRPr="0056461F">
        <w:t xml:space="preserve">children </w:t>
      </w:r>
      <w:r w:rsidR="00B1326E" w:rsidRPr="0056461F">
        <w:t>(if aged 12</w:t>
      </w:r>
      <w:r w:rsidR="0018378E" w:rsidRPr="0056461F">
        <w:t>–</w:t>
      </w:r>
      <w:r w:rsidR="00B1326E" w:rsidRPr="0056461F">
        <w:t>17 years)</w:t>
      </w:r>
      <w:r w:rsidR="00EB3C33" w:rsidRPr="0056461F">
        <w:t>;</w:t>
      </w:r>
      <w:r w:rsidR="00B1326E" w:rsidRPr="0056461F">
        <w:t xml:space="preserve"> or </w:t>
      </w:r>
      <w:r w:rsidR="00EC6023" w:rsidRPr="0056461F">
        <w:t>a Caregiver Survey completed by a parent or</w:t>
      </w:r>
      <w:r w:rsidR="00B1326E" w:rsidRPr="0056461F">
        <w:t xml:space="preserve"> an identifie</w:t>
      </w:r>
      <w:r w:rsidR="00EC6023" w:rsidRPr="0056461F">
        <w:t xml:space="preserve">d caregiver (if </w:t>
      </w:r>
      <w:r w:rsidR="00EB3C33" w:rsidRPr="0056461F">
        <w:t xml:space="preserve">selected child is </w:t>
      </w:r>
      <w:r w:rsidR="00EC6023" w:rsidRPr="0056461F">
        <w:t>aged 3</w:t>
      </w:r>
      <w:r w:rsidR="0018378E" w:rsidRPr="0056461F">
        <w:t>–</w:t>
      </w:r>
      <w:r w:rsidR="00EC6023" w:rsidRPr="0056461F">
        <w:t>11 years</w:t>
      </w:r>
      <w:r w:rsidR="00B1326E" w:rsidRPr="0056461F">
        <w:t>)</w:t>
      </w:r>
      <w:r w:rsidR="00584825" w:rsidRPr="0056461F">
        <w:t xml:space="preserve">. </w:t>
      </w:r>
      <w:r w:rsidR="00EC6023" w:rsidRPr="0056461F">
        <w:t xml:space="preserve">Without </w:t>
      </w:r>
      <w:r w:rsidR="00EB3C33" w:rsidRPr="0056461F">
        <w:t xml:space="preserve">the </w:t>
      </w:r>
      <w:r w:rsidRPr="0056461F">
        <w:rPr>
          <w:i/>
        </w:rPr>
        <w:t>Enhanced Protocol</w:t>
      </w:r>
      <w:r w:rsidR="00EC6023" w:rsidRPr="0056461F">
        <w:t>,</w:t>
      </w:r>
      <w:r w:rsidR="00584825" w:rsidRPr="0056461F">
        <w:t xml:space="preserve"> </w:t>
      </w:r>
      <w:r w:rsidR="00EB3C33" w:rsidRPr="0056461F">
        <w:t xml:space="preserve">CDC </w:t>
      </w:r>
      <w:r w:rsidR="00584825" w:rsidRPr="0056461F">
        <w:t xml:space="preserve">would not have </w:t>
      </w:r>
      <w:r w:rsidR="001F342A">
        <w:t xml:space="preserve">any </w:t>
      </w:r>
      <w:r w:rsidR="00584825" w:rsidRPr="0056461F">
        <w:t xml:space="preserve">information on children </w:t>
      </w:r>
      <w:r w:rsidR="00EB3C33" w:rsidRPr="0056461F">
        <w:t>or</w:t>
      </w:r>
      <w:r w:rsidR="00584825" w:rsidRPr="0056461F">
        <w:t xml:space="preserve"> objective biometric data </w:t>
      </w:r>
      <w:r w:rsidR="00EB3C33" w:rsidRPr="0056461F">
        <w:t>on any respondent</w:t>
      </w:r>
      <w:r w:rsidR="008F42C2" w:rsidRPr="0056461F">
        <w:t xml:space="preserve"> to fulfill critical gaps in the evidence base</w:t>
      </w:r>
      <w:r w:rsidR="00584825" w:rsidRPr="0056461F">
        <w:t>.</w:t>
      </w:r>
    </w:p>
    <w:p w:rsidR="00AA28CA" w:rsidRPr="0056461F" w:rsidRDefault="001544BB" w:rsidP="00C90014">
      <w:pPr>
        <w:pStyle w:val="BodyText"/>
        <w:spacing w:line="240" w:lineRule="auto"/>
      </w:pPr>
      <w:r w:rsidRPr="0056461F">
        <w:t>T</w:t>
      </w:r>
      <w:r w:rsidR="00AA28CA" w:rsidRPr="0056461F">
        <w:t xml:space="preserve">he </w:t>
      </w:r>
      <w:r w:rsidR="00EC2E9A" w:rsidRPr="0056461F">
        <w:t>S</w:t>
      </w:r>
      <w:r w:rsidR="00AA28CA" w:rsidRPr="0056461F">
        <w:t xml:space="preserve">pecific Aims of the proposed </w:t>
      </w:r>
      <w:r w:rsidR="00EC2E9A" w:rsidRPr="0056461F">
        <w:t>s</w:t>
      </w:r>
      <w:r w:rsidR="007D3743" w:rsidRPr="0056461F">
        <w:t>tudy</w:t>
      </w:r>
      <w:r w:rsidR="00AA28CA" w:rsidRPr="0056461F">
        <w:t xml:space="preserve"> are</w:t>
      </w:r>
      <w:r w:rsidR="00111919" w:rsidRPr="0056461F">
        <w:t xml:space="preserve"> the following</w:t>
      </w:r>
      <w:r w:rsidR="00AA28CA" w:rsidRPr="0056461F">
        <w:t xml:space="preserve">: </w:t>
      </w:r>
    </w:p>
    <w:p w:rsidR="00AB177F" w:rsidRPr="0056461F" w:rsidRDefault="00B73380" w:rsidP="00BF5904">
      <w:pPr>
        <w:pStyle w:val="bullets-blank"/>
        <w:tabs>
          <w:tab w:val="clear" w:pos="1440"/>
          <w:tab w:val="left" w:pos="1080"/>
        </w:tabs>
        <w:spacing w:after="120"/>
        <w:ind w:left="360"/>
      </w:pPr>
      <w:r w:rsidRPr="0056461F">
        <w:t>1.</w:t>
      </w:r>
      <w:r w:rsidRPr="0056461F">
        <w:tab/>
      </w:r>
      <w:r w:rsidR="005D3855" w:rsidRPr="0056461F">
        <w:rPr>
          <w:u w:val="single"/>
        </w:rPr>
        <w:t>A</w:t>
      </w:r>
      <w:r w:rsidR="00AB177F" w:rsidRPr="0056461F">
        <w:rPr>
          <w:u w:val="single"/>
        </w:rPr>
        <w:t xml:space="preserve">nalyze trends in behavioral and biometric indicators of risk factors for chronic disease, with priority given to assessment of </w:t>
      </w:r>
      <w:r w:rsidR="007E0A75" w:rsidRPr="0056461F">
        <w:rPr>
          <w:u w:val="single"/>
        </w:rPr>
        <w:t xml:space="preserve">weight, </w:t>
      </w:r>
      <w:r w:rsidR="00AB177F" w:rsidRPr="0056461F">
        <w:rPr>
          <w:u w:val="single"/>
        </w:rPr>
        <w:t xml:space="preserve">diet, physical activity, tobacco use, and exposure to </w:t>
      </w:r>
      <w:r w:rsidR="00470221" w:rsidRPr="0056461F">
        <w:rPr>
          <w:u w:val="single"/>
        </w:rPr>
        <w:t>secondhand smoke</w:t>
      </w:r>
      <w:r w:rsidR="00AB177F" w:rsidRPr="0056461F">
        <w:rPr>
          <w:u w:val="single"/>
        </w:rPr>
        <w:t xml:space="preserve"> in children and adults in CTG </w:t>
      </w:r>
      <w:r w:rsidR="00C90014">
        <w:rPr>
          <w:u w:val="single"/>
        </w:rPr>
        <w:t>awardee areas</w:t>
      </w:r>
      <w:r w:rsidR="00AB177F" w:rsidRPr="0056461F">
        <w:t xml:space="preserve">. </w:t>
      </w:r>
      <w:r w:rsidR="005B6C63" w:rsidRPr="0056461F">
        <w:t>D</w:t>
      </w:r>
      <w:r w:rsidR="006454E3" w:rsidRPr="0056461F">
        <w:t xml:space="preserve">ata collection </w:t>
      </w:r>
      <w:r w:rsidR="00AB177F" w:rsidRPr="0056461F">
        <w:t xml:space="preserve">activities </w:t>
      </w:r>
      <w:r w:rsidR="00BC1DC9">
        <w:t xml:space="preserve">addressing Specific Aim 1 </w:t>
      </w:r>
      <w:r w:rsidR="00AB177F" w:rsidRPr="0056461F">
        <w:t xml:space="preserve">will </w:t>
      </w:r>
      <w:r w:rsidR="005B6C63" w:rsidRPr="0056461F">
        <w:t>include</w:t>
      </w:r>
      <w:r w:rsidR="0018378E" w:rsidRPr="0056461F">
        <w:t xml:space="preserve"> the following</w:t>
      </w:r>
      <w:r w:rsidR="005B6C63" w:rsidRPr="0056461F">
        <w:t>:</w:t>
      </w:r>
    </w:p>
    <w:p w:rsidR="00AB177F" w:rsidRPr="0056461F" w:rsidRDefault="00B73380" w:rsidP="00BE2BE7">
      <w:pPr>
        <w:pStyle w:val="bullets-blank"/>
        <w:spacing w:after="120"/>
      </w:pPr>
      <w:r w:rsidRPr="0056461F">
        <w:t>a.</w:t>
      </w:r>
      <w:r w:rsidRPr="0056461F">
        <w:tab/>
      </w:r>
      <w:r w:rsidR="000B3F4E" w:rsidRPr="0056461F">
        <w:rPr>
          <w:i/>
        </w:rPr>
        <w:t>Standard Protocol</w:t>
      </w:r>
      <w:r w:rsidR="00D747CD" w:rsidRPr="0056461F">
        <w:t xml:space="preserve">: </w:t>
      </w:r>
      <w:r w:rsidR="00AB177F" w:rsidRPr="0056461F">
        <w:t xml:space="preserve">Conduct </w:t>
      </w:r>
      <w:r w:rsidR="00663BDC" w:rsidRPr="0056461F">
        <w:t xml:space="preserve">the </w:t>
      </w:r>
      <w:r w:rsidR="00AB177F" w:rsidRPr="0056461F">
        <w:t>A</w:t>
      </w:r>
      <w:r w:rsidR="00120277" w:rsidRPr="0056461F">
        <w:t>TS</w:t>
      </w:r>
      <w:r w:rsidR="00AB177F" w:rsidRPr="0056461F">
        <w:t xml:space="preserve">S </w:t>
      </w:r>
      <w:r w:rsidR="00120277" w:rsidRPr="0056461F">
        <w:t xml:space="preserve">biennially </w:t>
      </w:r>
      <w:r w:rsidR="00AB177F" w:rsidRPr="0056461F">
        <w:t xml:space="preserve">in </w:t>
      </w:r>
      <w:r w:rsidR="00120277" w:rsidRPr="0056461F">
        <w:t xml:space="preserve">a representative sample of </w:t>
      </w:r>
      <w:r w:rsidR="00DB667A" w:rsidRPr="0056461F">
        <w:t xml:space="preserve">adult </w:t>
      </w:r>
      <w:r w:rsidR="00120277" w:rsidRPr="0056461F">
        <w:t xml:space="preserve">residents living in </w:t>
      </w:r>
      <w:r w:rsidR="00AB177F" w:rsidRPr="0056461F">
        <w:t xml:space="preserve">geographic areas </w:t>
      </w:r>
      <w:r w:rsidR="00120277" w:rsidRPr="0056461F">
        <w:t>targeted for int</w:t>
      </w:r>
      <w:r w:rsidR="000E5B19" w:rsidRPr="0056461F">
        <w:t>e</w:t>
      </w:r>
      <w:r w:rsidR="00120277" w:rsidRPr="0056461F">
        <w:t>rventions by</w:t>
      </w:r>
      <w:r w:rsidR="00AB177F" w:rsidRPr="0056461F">
        <w:t xml:space="preserve"> </w:t>
      </w:r>
      <w:r w:rsidR="00120277" w:rsidRPr="0056461F">
        <w:t>2</w:t>
      </w:r>
      <w:r w:rsidR="00AB177F" w:rsidRPr="0056461F">
        <w:t xml:space="preserve">0 </w:t>
      </w:r>
      <w:r w:rsidR="008579F2" w:rsidRPr="0056461F">
        <w:t>CTG</w:t>
      </w:r>
      <w:r w:rsidR="00D41DCB" w:rsidRPr="0056461F">
        <w:t xml:space="preserve"> Program</w:t>
      </w:r>
      <w:r w:rsidR="00AB177F" w:rsidRPr="0056461F">
        <w:t xml:space="preserve"> </w:t>
      </w:r>
      <w:r w:rsidR="00AB177F" w:rsidRPr="0056461F">
        <w:lastRenderedPageBreak/>
        <w:t>awardees</w:t>
      </w:r>
      <w:r w:rsidR="00120277" w:rsidRPr="0056461F">
        <w:t xml:space="preserve"> (s</w:t>
      </w:r>
      <w:r w:rsidR="008579F2" w:rsidRPr="0056461F">
        <w:t xml:space="preserve">tarting in 2013 </w:t>
      </w:r>
      <w:r w:rsidR="001F342A">
        <w:t>pending</w:t>
      </w:r>
      <w:r w:rsidR="00C0427B" w:rsidRPr="0056461F">
        <w:t xml:space="preserve"> </w:t>
      </w:r>
      <w:r w:rsidR="008579F2" w:rsidRPr="0056461F">
        <w:t xml:space="preserve">OMB approval, 2015, and in 2017 </w:t>
      </w:r>
      <w:r w:rsidR="001F342A">
        <w:t>pending</w:t>
      </w:r>
      <w:r w:rsidR="00C0427B">
        <w:t xml:space="preserve"> </w:t>
      </w:r>
      <w:r w:rsidR="008579F2" w:rsidRPr="0056461F">
        <w:t>OMB renewal</w:t>
      </w:r>
      <w:r w:rsidR="00111919" w:rsidRPr="0056461F">
        <w:t>).</w:t>
      </w:r>
      <w:r w:rsidR="005E787C" w:rsidRPr="0056461F">
        <w:t xml:space="preserve"> The same instruments and sampling designs will be used </w:t>
      </w:r>
      <w:r w:rsidR="001F342A">
        <w:t xml:space="preserve">for </w:t>
      </w:r>
      <w:r w:rsidR="005E787C" w:rsidRPr="0056461F">
        <w:t xml:space="preserve">each </w:t>
      </w:r>
      <w:r w:rsidR="00BE2BE7">
        <w:t>period</w:t>
      </w:r>
      <w:r w:rsidR="00BE2BE7" w:rsidRPr="0056461F">
        <w:t xml:space="preserve"> </w:t>
      </w:r>
      <w:r w:rsidR="005E787C" w:rsidRPr="0056461F">
        <w:t xml:space="preserve">of the ATSS administration. </w:t>
      </w:r>
    </w:p>
    <w:p w:rsidR="005E787C" w:rsidRPr="0056461F" w:rsidRDefault="00B73380" w:rsidP="00C90014">
      <w:pPr>
        <w:pStyle w:val="bullets-blank"/>
        <w:spacing w:after="120"/>
      </w:pPr>
      <w:r w:rsidRPr="0056461F">
        <w:t>b.</w:t>
      </w:r>
      <w:r w:rsidRPr="0056461F">
        <w:tab/>
      </w:r>
      <w:r w:rsidR="000B3F4E" w:rsidRPr="0056461F">
        <w:rPr>
          <w:i/>
        </w:rPr>
        <w:t>Enhanced Protocol</w:t>
      </w:r>
      <w:r w:rsidR="00FB1619" w:rsidRPr="0056461F">
        <w:t xml:space="preserve">: </w:t>
      </w:r>
      <w:r w:rsidR="005E787C" w:rsidRPr="0056461F">
        <w:t xml:space="preserve">Obtain biometric measurements </w:t>
      </w:r>
      <w:r w:rsidR="00D747CD" w:rsidRPr="0056461F">
        <w:t xml:space="preserve">for adults and youth, </w:t>
      </w:r>
      <w:r w:rsidR="007E0A75" w:rsidRPr="0056461F">
        <w:t>and conduct youth</w:t>
      </w:r>
      <w:r w:rsidR="00D747CD" w:rsidRPr="0056461F">
        <w:t>/</w:t>
      </w:r>
      <w:r w:rsidR="007E0A75" w:rsidRPr="0056461F">
        <w:t>caregiver interviews</w:t>
      </w:r>
      <w:r w:rsidR="00C71F76" w:rsidRPr="0056461F">
        <w:t xml:space="preserve"> in a subsample of </w:t>
      </w:r>
      <w:r w:rsidR="005A65CC" w:rsidRPr="0056461F">
        <w:t xml:space="preserve">ATSS </w:t>
      </w:r>
      <w:r w:rsidR="00C71F76" w:rsidRPr="0056461F">
        <w:t>households</w:t>
      </w:r>
      <w:r w:rsidR="007E0A75" w:rsidRPr="0056461F">
        <w:t xml:space="preserve"> in the same geographic areas targeted by </w:t>
      </w:r>
      <w:r w:rsidR="00774C86" w:rsidRPr="0056461F">
        <w:t>8</w:t>
      </w:r>
      <w:r w:rsidR="007E0A75" w:rsidRPr="0056461F">
        <w:t xml:space="preserve"> of the 20 </w:t>
      </w:r>
      <w:r w:rsidR="008579F2" w:rsidRPr="0056461F">
        <w:t>CTG</w:t>
      </w:r>
      <w:r w:rsidR="00D41DCB" w:rsidRPr="0056461F">
        <w:t xml:space="preserve"> Program</w:t>
      </w:r>
      <w:r w:rsidR="007E0A75" w:rsidRPr="0056461F">
        <w:t xml:space="preserve"> awardees</w:t>
      </w:r>
      <w:r w:rsidR="00EC2E9A" w:rsidRPr="0056461F">
        <w:t xml:space="preserve"> involved in the </w:t>
      </w:r>
      <w:r w:rsidR="000B3F4E" w:rsidRPr="0056461F">
        <w:rPr>
          <w:i/>
        </w:rPr>
        <w:t>Standard Protocol</w:t>
      </w:r>
      <w:r w:rsidR="00C71F76" w:rsidRPr="0056461F">
        <w:t>.</w:t>
      </w:r>
    </w:p>
    <w:p w:rsidR="00AB177F" w:rsidRPr="0056461F" w:rsidRDefault="00B73380" w:rsidP="001F342A">
      <w:pPr>
        <w:pStyle w:val="bullets-blank"/>
        <w:tabs>
          <w:tab w:val="clear" w:pos="1440"/>
          <w:tab w:val="left" w:pos="1080"/>
        </w:tabs>
        <w:spacing w:after="120"/>
        <w:ind w:left="360"/>
      </w:pPr>
      <w:r w:rsidRPr="0056461F">
        <w:t>2.</w:t>
      </w:r>
      <w:r w:rsidRPr="0056461F">
        <w:tab/>
      </w:r>
      <w:r w:rsidR="00AB177F" w:rsidRPr="0056461F">
        <w:rPr>
          <w:u w:val="single"/>
        </w:rPr>
        <w:t xml:space="preserve">Assess the reduction in disparities </w:t>
      </w:r>
      <w:r w:rsidR="00EC2E9A" w:rsidRPr="0056461F">
        <w:rPr>
          <w:u w:val="single"/>
        </w:rPr>
        <w:t xml:space="preserve">in high-interest health indicators </w:t>
      </w:r>
      <w:r w:rsidR="00AB177F" w:rsidRPr="0056461F">
        <w:rPr>
          <w:u w:val="single"/>
        </w:rPr>
        <w:t>within special populations in CTG</w:t>
      </w:r>
      <w:r w:rsidR="001F342A">
        <w:rPr>
          <w:u w:val="single"/>
        </w:rPr>
        <w:t xml:space="preserve"> </w:t>
      </w:r>
      <w:r w:rsidR="00C90014">
        <w:rPr>
          <w:u w:val="single"/>
        </w:rPr>
        <w:t>awardee areas</w:t>
      </w:r>
      <w:r w:rsidR="00AB177F" w:rsidRPr="0056461F">
        <w:t>.</w:t>
      </w:r>
      <w:r w:rsidR="00BC1DC9">
        <w:t xml:space="preserve"> </w:t>
      </w:r>
      <w:r w:rsidR="00BC1DC9" w:rsidRPr="0056461F">
        <w:t xml:space="preserve">Data collection activities </w:t>
      </w:r>
      <w:r w:rsidR="00BC1DC9">
        <w:t xml:space="preserve">addressing Specific Aim 2 </w:t>
      </w:r>
      <w:r w:rsidR="00BC1DC9" w:rsidRPr="0056461F">
        <w:t>will include the following:</w:t>
      </w:r>
    </w:p>
    <w:p w:rsidR="00AB177F" w:rsidRPr="0056461F" w:rsidRDefault="00B73380" w:rsidP="00C90014">
      <w:pPr>
        <w:pStyle w:val="bullets-blank"/>
        <w:spacing w:after="120"/>
        <w:rPr>
          <w:u w:val="single"/>
        </w:rPr>
      </w:pPr>
      <w:r w:rsidRPr="0056461F">
        <w:t>a</w:t>
      </w:r>
      <w:r w:rsidR="0018378E" w:rsidRPr="0056461F">
        <w:t>.</w:t>
      </w:r>
      <w:r w:rsidRPr="0056461F">
        <w:tab/>
      </w:r>
      <w:r w:rsidR="00AB177F" w:rsidRPr="0056461F">
        <w:t>Oversampl</w:t>
      </w:r>
      <w:r w:rsidR="00CF3A4D" w:rsidRPr="0056461F">
        <w:t>e</w:t>
      </w:r>
      <w:r w:rsidR="00AB177F" w:rsidRPr="0056461F">
        <w:t xml:space="preserve"> respondents for the </w:t>
      </w:r>
      <w:r w:rsidR="000B3F4E" w:rsidRPr="0056461F">
        <w:rPr>
          <w:i/>
        </w:rPr>
        <w:t>Standard Protocol</w:t>
      </w:r>
      <w:r w:rsidR="00C71F76" w:rsidRPr="0056461F">
        <w:t xml:space="preserve"> </w:t>
      </w:r>
      <w:r w:rsidR="002D671E" w:rsidRPr="0056461F">
        <w:t>from African American, Hispanic, and rural populations</w:t>
      </w:r>
      <w:r w:rsidR="002D671E" w:rsidRPr="0056461F" w:rsidDel="002D671E">
        <w:t xml:space="preserve"> </w:t>
      </w:r>
      <w:r w:rsidR="00CF3A4D" w:rsidRPr="0056461F">
        <w:t>to</w:t>
      </w:r>
      <w:r w:rsidR="002D671E" w:rsidRPr="0056461F">
        <w:t xml:space="preserve"> </w:t>
      </w:r>
      <w:r w:rsidR="00AB177F" w:rsidRPr="0056461F">
        <w:t xml:space="preserve">allow </w:t>
      </w:r>
      <w:r w:rsidR="002D671E" w:rsidRPr="0056461F">
        <w:t xml:space="preserve">for </w:t>
      </w:r>
      <w:r w:rsidR="00AB177F" w:rsidRPr="0056461F">
        <w:t xml:space="preserve">estimation of changes in </w:t>
      </w:r>
      <w:r w:rsidR="00111919" w:rsidRPr="0056461F">
        <w:t>high-</w:t>
      </w:r>
      <w:r w:rsidR="00AB177F" w:rsidRPr="0056461F">
        <w:t xml:space="preserve">interest indicators </w:t>
      </w:r>
      <w:r w:rsidR="002D671E" w:rsidRPr="0056461F">
        <w:t>within these groups.</w:t>
      </w:r>
    </w:p>
    <w:p w:rsidR="00AB177F" w:rsidRPr="0056461F" w:rsidRDefault="00B73380" w:rsidP="00C90014">
      <w:pPr>
        <w:pStyle w:val="bullets-blank"/>
        <w:tabs>
          <w:tab w:val="clear" w:pos="1440"/>
          <w:tab w:val="left" w:pos="1080"/>
        </w:tabs>
        <w:spacing w:after="120"/>
        <w:ind w:left="360"/>
      </w:pPr>
      <w:r w:rsidRPr="0056461F">
        <w:t>3.</w:t>
      </w:r>
      <w:r w:rsidRPr="0056461F">
        <w:tab/>
      </w:r>
      <w:r w:rsidR="00AB177F" w:rsidRPr="0056461F">
        <w:rPr>
          <w:u w:val="single"/>
        </w:rPr>
        <w:t xml:space="preserve">Explore the ways in which individual health is linked to community environmental factors that affect how people live, work, learn, </w:t>
      </w:r>
      <w:r w:rsidR="002D671E" w:rsidRPr="0056461F">
        <w:rPr>
          <w:u w:val="single"/>
        </w:rPr>
        <w:t xml:space="preserve">pray, </w:t>
      </w:r>
      <w:r w:rsidR="00AB177F" w:rsidRPr="0056461F">
        <w:rPr>
          <w:u w:val="single"/>
        </w:rPr>
        <w:t>and play</w:t>
      </w:r>
      <w:r w:rsidR="00AB177F" w:rsidRPr="0056461F">
        <w:t>.</w:t>
      </w:r>
      <w:r w:rsidR="00550C15" w:rsidRPr="0056461F">
        <w:t xml:space="preserve"> </w:t>
      </w:r>
      <w:r w:rsidR="00BC1DC9" w:rsidRPr="0056461F">
        <w:t xml:space="preserve">Data collection activities </w:t>
      </w:r>
      <w:r w:rsidR="00BC1DC9">
        <w:t xml:space="preserve">addressing Specific Aim 3 </w:t>
      </w:r>
      <w:r w:rsidR="00BC1DC9" w:rsidRPr="0056461F">
        <w:t>will include the following:</w:t>
      </w:r>
    </w:p>
    <w:p w:rsidR="00AB177F" w:rsidRPr="0056461F" w:rsidRDefault="00B73380" w:rsidP="001F342A">
      <w:pPr>
        <w:pStyle w:val="bullets-blank"/>
        <w:tabs>
          <w:tab w:val="clear" w:pos="1440"/>
          <w:tab w:val="left" w:pos="1080"/>
        </w:tabs>
        <w:spacing w:after="120"/>
      </w:pPr>
      <w:r w:rsidRPr="0056461F">
        <w:t>a.</w:t>
      </w:r>
      <w:r w:rsidRPr="0056461F">
        <w:tab/>
      </w:r>
      <w:r w:rsidR="00CF3A4D" w:rsidRPr="0056461F">
        <w:t>Collect b</w:t>
      </w:r>
      <w:r w:rsidR="00AB177F" w:rsidRPr="0056461F">
        <w:t xml:space="preserve">ehavioral and biometric information on </w:t>
      </w:r>
      <w:r w:rsidR="008579F2" w:rsidRPr="0056461F">
        <w:t xml:space="preserve">adults and </w:t>
      </w:r>
      <w:r w:rsidR="00AB177F" w:rsidRPr="0056461F">
        <w:t xml:space="preserve">adult-child pairs </w:t>
      </w:r>
      <w:r w:rsidR="005E787C" w:rsidRPr="0056461F">
        <w:t xml:space="preserve">selected </w:t>
      </w:r>
      <w:r w:rsidR="00C71F76" w:rsidRPr="0056461F">
        <w:t xml:space="preserve">from the </w:t>
      </w:r>
      <w:r w:rsidR="000B3F4E" w:rsidRPr="0056461F">
        <w:rPr>
          <w:i/>
          <w:iCs/>
        </w:rPr>
        <w:t>Enhanced Protocol</w:t>
      </w:r>
      <w:r w:rsidR="00C71F76" w:rsidRPr="0056461F">
        <w:t xml:space="preserve"> subsample </w:t>
      </w:r>
      <w:r w:rsidR="00CF3A4D" w:rsidRPr="0056461F">
        <w:t>to</w:t>
      </w:r>
      <w:r w:rsidR="00C862F2" w:rsidRPr="0056461F">
        <w:t xml:space="preserve"> be </w:t>
      </w:r>
      <w:r w:rsidR="00AB177F" w:rsidRPr="0056461F">
        <w:t xml:space="preserve">evaluated in relation to community contextual information and indicators of </w:t>
      </w:r>
      <w:r w:rsidR="008579F2" w:rsidRPr="0056461F">
        <w:t>CTG</w:t>
      </w:r>
      <w:r w:rsidR="00D41DCB" w:rsidRPr="0056461F">
        <w:t xml:space="preserve"> Program</w:t>
      </w:r>
      <w:r w:rsidR="00AB177F" w:rsidRPr="0056461F">
        <w:t xml:space="preserve"> activities</w:t>
      </w:r>
      <w:r w:rsidR="001828F1" w:rsidRPr="0056461F">
        <w:t>.</w:t>
      </w:r>
    </w:p>
    <w:p w:rsidR="00220827" w:rsidRPr="0056461F" w:rsidRDefault="00220827" w:rsidP="00C90014">
      <w:pPr>
        <w:pStyle w:val="Heading3"/>
        <w:rPr>
          <w:bCs/>
        </w:rPr>
      </w:pPr>
      <w:bookmarkStart w:id="7" w:name="_Toc348428785"/>
      <w:r w:rsidRPr="0056461F">
        <w:rPr>
          <w:bCs/>
        </w:rPr>
        <w:t>Privacy Impact Assessment Information</w:t>
      </w:r>
      <w:bookmarkEnd w:id="7"/>
      <w:r w:rsidR="00F41472" w:rsidRPr="0056461F">
        <w:rPr>
          <w:bCs/>
        </w:rPr>
        <w:t xml:space="preserve"> </w:t>
      </w:r>
    </w:p>
    <w:p w:rsidR="00220827" w:rsidRPr="0056461F" w:rsidRDefault="00220827" w:rsidP="00C90014">
      <w:pPr>
        <w:pStyle w:val="Heading3"/>
        <w:rPr>
          <w:bCs/>
        </w:rPr>
      </w:pPr>
      <w:bookmarkStart w:id="8" w:name="_Toc348428786"/>
      <w:r w:rsidRPr="0056461F">
        <w:rPr>
          <w:bCs/>
        </w:rPr>
        <w:t>Overview of Data Collection System</w:t>
      </w:r>
      <w:bookmarkEnd w:id="8"/>
    </w:p>
    <w:p w:rsidR="00291D8E" w:rsidRPr="0056461F" w:rsidRDefault="0045694E" w:rsidP="001F342A">
      <w:pPr>
        <w:pStyle w:val="BodyText"/>
        <w:spacing w:line="240" w:lineRule="auto"/>
        <w:ind w:left="0"/>
      </w:pPr>
      <w:r w:rsidRPr="0056461F">
        <w:t>T</w:t>
      </w:r>
      <w:r w:rsidR="00926AD7" w:rsidRPr="0056461F">
        <w:t>he CTG</w:t>
      </w:r>
      <w:r w:rsidR="00E5404E" w:rsidRPr="0056461F">
        <w:t xml:space="preserve"> </w:t>
      </w:r>
      <w:r w:rsidR="00EC6023" w:rsidRPr="0056461F">
        <w:t>Targeted Surveillance and Biometric Study</w:t>
      </w:r>
      <w:r w:rsidR="00291D8E" w:rsidRPr="0056461F">
        <w:t xml:space="preserve"> will include data collection from adults using a </w:t>
      </w:r>
      <w:r w:rsidR="000B3F4E" w:rsidRPr="0056461F">
        <w:rPr>
          <w:i/>
        </w:rPr>
        <w:t>Standard Protocol</w:t>
      </w:r>
      <w:r w:rsidR="00101B8F" w:rsidRPr="0056461F">
        <w:rPr>
          <w:i/>
        </w:rPr>
        <w:t>,</w:t>
      </w:r>
      <w:r w:rsidR="00291D8E" w:rsidRPr="0056461F">
        <w:t xml:space="preserve"> as well as biometric </w:t>
      </w:r>
      <w:r w:rsidR="005A65CC" w:rsidRPr="0056461F">
        <w:t xml:space="preserve">and behavioral </w:t>
      </w:r>
      <w:r w:rsidR="00291D8E" w:rsidRPr="0056461F">
        <w:t xml:space="preserve">data from a subsample of adults and </w:t>
      </w:r>
      <w:r w:rsidR="001F342A">
        <w:t>children</w:t>
      </w:r>
      <w:r w:rsidR="001F342A" w:rsidRPr="0056461F">
        <w:t xml:space="preserve"> </w:t>
      </w:r>
      <w:r w:rsidR="00394417" w:rsidRPr="0056461F">
        <w:t xml:space="preserve">residing in the same household as participating adults </w:t>
      </w:r>
      <w:r w:rsidR="00291D8E" w:rsidRPr="0056461F">
        <w:t xml:space="preserve">using an </w:t>
      </w:r>
      <w:r w:rsidR="000B3F4E" w:rsidRPr="0056461F">
        <w:rPr>
          <w:i/>
        </w:rPr>
        <w:t>Enhanced Protocol</w:t>
      </w:r>
      <w:r w:rsidR="00291D8E" w:rsidRPr="0056461F">
        <w:t>.</w:t>
      </w:r>
      <w:r w:rsidR="00101B8F" w:rsidRPr="0056461F">
        <w:t xml:space="preserve"> </w:t>
      </w:r>
      <w:r w:rsidR="00743762" w:rsidRPr="0056461F">
        <w:t xml:space="preserve">Exhibit </w:t>
      </w:r>
      <w:r w:rsidR="0085535A">
        <w:t>A.1.1</w:t>
      </w:r>
      <w:r w:rsidR="00743762" w:rsidRPr="0056461F">
        <w:t xml:space="preserve"> provides an overview of the data collection flow for the </w:t>
      </w:r>
      <w:r w:rsidR="00101B8F" w:rsidRPr="0056461F">
        <w:t>two</w:t>
      </w:r>
      <w:r w:rsidR="008F4DD5" w:rsidRPr="0056461F">
        <w:t xml:space="preserve"> </w:t>
      </w:r>
      <w:r w:rsidR="00101B8F" w:rsidRPr="0056461F">
        <w:t>p</w:t>
      </w:r>
      <w:r w:rsidR="008F4DD5" w:rsidRPr="0056461F">
        <w:t>rotocol</w:t>
      </w:r>
      <w:r w:rsidR="00743762" w:rsidRPr="0056461F">
        <w:t xml:space="preserve">s. </w:t>
      </w:r>
      <w:r w:rsidR="00437098" w:rsidRPr="0056461F">
        <w:t xml:space="preserve">In the </w:t>
      </w:r>
      <w:r w:rsidR="009F59F7" w:rsidRPr="0056461F">
        <w:t>exhibit</w:t>
      </w:r>
      <w:r w:rsidR="00437098" w:rsidRPr="0056461F">
        <w:t xml:space="preserve">, we refer to four possible tracks of data collection a respondent can follow through the study (detailed description provided in </w:t>
      </w:r>
      <w:r w:rsidR="00D77A85">
        <w:t>Section</w:t>
      </w:r>
      <w:r w:rsidR="00437098" w:rsidRPr="0056461F">
        <w:t xml:space="preserve"> B.2) including:</w:t>
      </w:r>
    </w:p>
    <w:p w:rsidR="005C322E" w:rsidRPr="0056461F" w:rsidRDefault="005C322E" w:rsidP="00C90014">
      <w:pPr>
        <w:pStyle w:val="Bullet"/>
        <w:spacing w:line="240" w:lineRule="auto"/>
      </w:pPr>
      <w:r w:rsidRPr="0056461F">
        <w:rPr>
          <w:u w:val="single"/>
        </w:rPr>
        <w:t>Tracks A-1 and A-2</w:t>
      </w:r>
      <w:r w:rsidRPr="0056461F">
        <w:t xml:space="preserve">—Selection of household in all 20 CTG </w:t>
      </w:r>
      <w:r w:rsidR="00C90014">
        <w:t>awardee areas</w:t>
      </w:r>
      <w:r w:rsidRPr="0056461F">
        <w:t xml:space="preserve"> for inclusion in the </w:t>
      </w:r>
      <w:r w:rsidRPr="0056461F">
        <w:rPr>
          <w:i/>
        </w:rPr>
        <w:t>Standard Protocol</w:t>
      </w:r>
      <w:r w:rsidRPr="0056461F">
        <w:t xml:space="preserve"> with initial data collection through mail (Track A-1) or</w:t>
      </w:r>
      <w:r w:rsidR="00AD497B">
        <w:t xml:space="preserve"> telephone</w:t>
      </w:r>
      <w:r w:rsidRPr="0056461F">
        <w:t xml:space="preserve"> (Track A-2)</w:t>
      </w:r>
      <w:r w:rsidR="00F027B8">
        <w:t>.</w:t>
      </w:r>
    </w:p>
    <w:p w:rsidR="005C322E" w:rsidRPr="0056461F" w:rsidRDefault="005C322E" w:rsidP="00C90014">
      <w:pPr>
        <w:pStyle w:val="Bullet"/>
        <w:spacing w:line="240" w:lineRule="auto"/>
      </w:pPr>
      <w:r w:rsidRPr="0056461F">
        <w:rPr>
          <w:u w:val="single"/>
        </w:rPr>
        <w:t>Track B</w:t>
      </w:r>
      <w:r w:rsidRPr="0056461F">
        <w:t xml:space="preserve">—Invitation to households in the </w:t>
      </w:r>
      <w:r w:rsidR="002C7FB5" w:rsidRPr="0056461F">
        <w:t xml:space="preserve">eight </w:t>
      </w:r>
      <w:r w:rsidRPr="0056461F">
        <w:t xml:space="preserve">CTG </w:t>
      </w:r>
      <w:r w:rsidR="0036738A">
        <w:t>awardee area</w:t>
      </w:r>
      <w:r w:rsidRPr="0056461F">
        <w:t xml:space="preserve">s selected for the </w:t>
      </w:r>
      <w:r w:rsidRPr="0056461F">
        <w:rPr>
          <w:i/>
        </w:rPr>
        <w:t>Enhanced Protocol</w:t>
      </w:r>
      <w:r w:rsidRPr="0056461F">
        <w:t xml:space="preserve"> to participate in this protocol, which involves an in-home visit by a trained field interviewer</w:t>
      </w:r>
      <w:r w:rsidR="00F027B8">
        <w:t>.</w:t>
      </w:r>
    </w:p>
    <w:p w:rsidR="005C322E" w:rsidRPr="0056461F" w:rsidRDefault="005C322E" w:rsidP="00C0427B">
      <w:pPr>
        <w:pStyle w:val="Bullet"/>
        <w:spacing w:line="240" w:lineRule="auto"/>
      </w:pPr>
      <w:r w:rsidRPr="0056461F">
        <w:rPr>
          <w:u w:val="single"/>
        </w:rPr>
        <w:t>Track C</w:t>
      </w:r>
      <w:r w:rsidRPr="0056461F">
        <w:t xml:space="preserve">—Oversample of households with </w:t>
      </w:r>
      <w:r w:rsidR="00BE2BE7">
        <w:t>“</w:t>
      </w:r>
      <w:r w:rsidRPr="0056461F">
        <w:t>child flags</w:t>
      </w:r>
      <w:r w:rsidR="00BE2BE7">
        <w:t>”</w:t>
      </w:r>
      <w:r w:rsidR="00C0427B">
        <w:t xml:space="preserve"> (i.e., the presence of at least one child aged 3-17)</w:t>
      </w:r>
      <w:r w:rsidRPr="0056461F">
        <w:t xml:space="preserve"> in the </w:t>
      </w:r>
      <w:r w:rsidR="002C7FB5" w:rsidRPr="0056461F">
        <w:t xml:space="preserve">eight </w:t>
      </w:r>
      <w:r w:rsidRPr="0056461F">
        <w:t xml:space="preserve">CTG </w:t>
      </w:r>
      <w:r w:rsidR="00C90014">
        <w:t>awardee areas</w:t>
      </w:r>
      <w:r w:rsidRPr="0056461F">
        <w:t xml:space="preserve"> and obtain their consent by</w:t>
      </w:r>
      <w:r w:rsidR="00AD497B">
        <w:t xml:space="preserve"> telephone</w:t>
      </w:r>
      <w:r w:rsidRPr="0056461F">
        <w:t xml:space="preserve"> to participate in both the </w:t>
      </w:r>
      <w:r w:rsidRPr="0056461F">
        <w:rPr>
          <w:i/>
          <w:iCs/>
        </w:rPr>
        <w:t>Standard</w:t>
      </w:r>
      <w:r w:rsidRPr="0056461F">
        <w:t xml:space="preserve"> </w:t>
      </w:r>
      <w:r w:rsidRPr="0056461F">
        <w:rPr>
          <w:i/>
          <w:iCs/>
        </w:rPr>
        <w:t>Protocol</w:t>
      </w:r>
      <w:r w:rsidRPr="0056461F">
        <w:t xml:space="preserve"> and </w:t>
      </w:r>
      <w:r w:rsidRPr="0056461F">
        <w:rPr>
          <w:i/>
        </w:rPr>
        <w:t>Enhanced Protocol</w:t>
      </w:r>
      <w:r w:rsidR="00F027B8">
        <w:rPr>
          <w:i/>
        </w:rPr>
        <w:t>.</w:t>
      </w:r>
      <w:r w:rsidRPr="0056461F">
        <w:t xml:space="preserve"> </w:t>
      </w:r>
    </w:p>
    <w:p w:rsidR="005C322E" w:rsidRPr="0056461F" w:rsidRDefault="005C322E" w:rsidP="0085535A">
      <w:pPr>
        <w:pStyle w:val="ExhibitTitle"/>
        <w:ind w:left="0" w:firstLine="0"/>
      </w:pPr>
      <w:r w:rsidRPr="0056461F">
        <w:lastRenderedPageBreak/>
        <w:t>Exhibit A</w:t>
      </w:r>
      <w:r w:rsidR="0085535A">
        <w:t>.</w:t>
      </w:r>
      <w:r w:rsidRPr="0056461F">
        <w:t>1</w:t>
      </w:r>
      <w:r w:rsidR="0085535A">
        <w:t>.</w:t>
      </w:r>
      <w:r w:rsidRPr="0056461F">
        <w:t xml:space="preserve">1. Overview of the </w:t>
      </w:r>
      <w:r w:rsidRPr="0056461F">
        <w:rPr>
          <w:i/>
        </w:rPr>
        <w:t>Standard</w:t>
      </w:r>
      <w:r w:rsidRPr="0056461F">
        <w:t xml:space="preserve"> and </w:t>
      </w:r>
      <w:r w:rsidRPr="0056461F">
        <w:rPr>
          <w:i/>
        </w:rPr>
        <w:t>Enhanced Protocol</w:t>
      </w:r>
      <w:r w:rsidRPr="0056461F">
        <w:t>s of the Targeted Surveillance and Biometric Study</w:t>
      </w:r>
    </w:p>
    <w:p w:rsidR="005C322E" w:rsidRPr="0056461F" w:rsidRDefault="006D5C71" w:rsidP="00C90014">
      <w:pPr>
        <w:pStyle w:val="figurewobox"/>
        <w:pBdr>
          <w:top w:val="single" w:sz="12" w:space="1" w:color="auto"/>
          <w:left w:val="single" w:sz="12" w:space="4" w:color="auto"/>
          <w:bottom w:val="single" w:sz="12" w:space="1" w:color="auto"/>
          <w:right w:val="single" w:sz="12" w:space="4" w:color="auto"/>
        </w:pBdr>
      </w:pPr>
      <w:r>
        <w:object w:dxaOrig="11666" w:dyaOrig="11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442.2pt" o:ole="">
            <v:imagedata r:id="rId14" o:title=""/>
          </v:shape>
          <o:OLEObject Type="Embed" ProgID="Visio.Drawing.11" ShapeID="_x0000_i1025" DrawAspect="Content" ObjectID="_1437288853" r:id="rId15"/>
        </w:object>
      </w:r>
    </w:p>
    <w:p w:rsidR="003E23CD" w:rsidRDefault="003E23CD" w:rsidP="00C90014"/>
    <w:p w:rsidR="00101B8F" w:rsidRPr="0056461F" w:rsidRDefault="000B3F4E" w:rsidP="00C90014">
      <w:pPr>
        <w:pStyle w:val="Heading3"/>
        <w:tabs>
          <w:tab w:val="clear" w:pos="900"/>
          <w:tab w:val="left" w:pos="0"/>
        </w:tabs>
        <w:ind w:left="0" w:firstLine="0"/>
        <w:rPr>
          <w:b w:val="0"/>
        </w:rPr>
      </w:pPr>
      <w:bookmarkStart w:id="9" w:name="_Toc348428787"/>
      <w:r w:rsidRPr="0056461F">
        <w:rPr>
          <w:i/>
        </w:rPr>
        <w:t>Standard Protocol</w:t>
      </w:r>
      <w:bookmarkEnd w:id="9"/>
    </w:p>
    <w:p w:rsidR="00EC6023" w:rsidRPr="0056461F" w:rsidRDefault="00743762" w:rsidP="00BE2BE7">
      <w:pPr>
        <w:pStyle w:val="BodyText"/>
        <w:spacing w:line="240" w:lineRule="auto"/>
        <w:ind w:left="0"/>
      </w:pPr>
      <w:r w:rsidRPr="0056461F">
        <w:t xml:space="preserve">As shown </w:t>
      </w:r>
      <w:r w:rsidR="00BE2BE7">
        <w:t>in</w:t>
      </w:r>
      <w:r w:rsidRPr="0056461F">
        <w:t xml:space="preserve"> Exhibit </w:t>
      </w:r>
      <w:r w:rsidR="0085535A">
        <w:t>A.1.1</w:t>
      </w:r>
      <w:r w:rsidRPr="0056461F">
        <w:t>, d</w:t>
      </w:r>
      <w:r w:rsidR="00F94D12" w:rsidRPr="0056461F">
        <w:t xml:space="preserve">ata will be </w:t>
      </w:r>
      <w:r w:rsidR="00497830" w:rsidRPr="0056461F">
        <w:t>collect</w:t>
      </w:r>
      <w:r w:rsidR="00F94D12" w:rsidRPr="0056461F">
        <w:t xml:space="preserve">ed </w:t>
      </w:r>
      <w:r w:rsidRPr="0056461F">
        <w:t xml:space="preserve">using the </w:t>
      </w:r>
      <w:r w:rsidR="00394417" w:rsidRPr="0056461F">
        <w:t>ATSS</w:t>
      </w:r>
      <w:r w:rsidRPr="0056461F">
        <w:t xml:space="preserve"> </w:t>
      </w:r>
      <w:r w:rsidR="00497830" w:rsidRPr="0056461F">
        <w:t>from adults</w:t>
      </w:r>
      <w:r w:rsidR="004E2314" w:rsidRPr="0056461F">
        <w:t xml:space="preserve"> in </w:t>
      </w:r>
      <w:r w:rsidR="00C53AA8" w:rsidRPr="0056461F">
        <w:t>specific geographic areas</w:t>
      </w:r>
      <w:r w:rsidRPr="0056461F">
        <w:t xml:space="preserve"> where 20 </w:t>
      </w:r>
      <w:r w:rsidR="00394417" w:rsidRPr="0056461F">
        <w:t xml:space="preserve">CTG </w:t>
      </w:r>
      <w:r w:rsidRPr="0056461F">
        <w:t>awardees are implemen</w:t>
      </w:r>
      <w:r w:rsidR="0008420F" w:rsidRPr="0056461F">
        <w:t>ting interventions</w:t>
      </w:r>
      <w:r w:rsidRPr="0056461F">
        <w:t xml:space="preserve">. This </w:t>
      </w:r>
      <w:r w:rsidR="000B3F4E" w:rsidRPr="0056461F">
        <w:rPr>
          <w:i/>
          <w:iCs/>
        </w:rPr>
        <w:t>Standard Protocol</w:t>
      </w:r>
      <w:r w:rsidRPr="0056461F">
        <w:t xml:space="preserve"> </w:t>
      </w:r>
      <w:r w:rsidR="00394417" w:rsidRPr="0056461F">
        <w:t xml:space="preserve">(depicted </w:t>
      </w:r>
      <w:r w:rsidR="00976B45" w:rsidRPr="0056461F">
        <w:t xml:space="preserve">on the left side of the </w:t>
      </w:r>
      <w:r w:rsidR="003F17AD">
        <w:t>exhibit</w:t>
      </w:r>
      <w:r w:rsidR="00394417" w:rsidRPr="0056461F">
        <w:t xml:space="preserve">) </w:t>
      </w:r>
      <w:r w:rsidRPr="0056461F">
        <w:t xml:space="preserve">will involve mailing the </w:t>
      </w:r>
      <w:r w:rsidR="006A7F08" w:rsidRPr="0056461F">
        <w:t xml:space="preserve">ATSS </w:t>
      </w:r>
      <w:r w:rsidR="00EC6023" w:rsidRPr="0056461F">
        <w:t xml:space="preserve">to </w:t>
      </w:r>
      <w:r w:rsidR="006A7F08" w:rsidRPr="0056461F">
        <w:t>a sample of adults residing in households in these selected areas</w:t>
      </w:r>
      <w:r w:rsidR="009A478E">
        <w:t xml:space="preserve"> </w:t>
      </w:r>
      <w:r w:rsidR="003F17AD">
        <w:t>(Track A-1 in exhibit)</w:t>
      </w:r>
      <w:r w:rsidR="006A7F08" w:rsidRPr="0056461F">
        <w:t>, or calling a portion of the sample to recruit them for the study</w:t>
      </w:r>
      <w:r w:rsidR="003F17AD">
        <w:t xml:space="preserve"> (Track A-2 in exhibit)</w:t>
      </w:r>
      <w:r w:rsidR="006A7F08" w:rsidRPr="0056461F">
        <w:t xml:space="preserve">. </w:t>
      </w:r>
      <w:r w:rsidR="00D35418">
        <w:t xml:space="preserve">The paper-based version of the ATSS will be distributed to respondents </w:t>
      </w:r>
      <w:r w:rsidR="00C664B3">
        <w:t>via mail is labeled “</w:t>
      </w:r>
      <w:r w:rsidR="00D35418">
        <w:t>CTG Program Evaluation Survey Booklet.</w:t>
      </w:r>
      <w:r w:rsidR="00C664B3">
        <w:t>”</w:t>
      </w:r>
      <w:r w:rsidR="00D35418">
        <w:t xml:space="preserve"> Respondents</w:t>
      </w:r>
      <w:r w:rsidR="006A7F08" w:rsidRPr="0056461F">
        <w:t xml:space="preserve"> will also have the option of calling a </w:t>
      </w:r>
      <w:r w:rsidR="0018378E" w:rsidRPr="0056461F">
        <w:t>toll-free</w:t>
      </w:r>
      <w:r w:rsidR="006A7F08" w:rsidRPr="0056461F">
        <w:t xml:space="preserve"> number to complete the ATSS. </w:t>
      </w:r>
      <w:r w:rsidR="00EC6023" w:rsidRPr="0056461F">
        <w:t>T</w:t>
      </w:r>
      <w:r w:rsidR="00F1319E" w:rsidRPr="0056461F">
        <w:t>h</w:t>
      </w:r>
      <w:r w:rsidR="006A7F08" w:rsidRPr="0056461F">
        <w:t>e ATSS</w:t>
      </w:r>
      <w:r w:rsidR="00F1319E" w:rsidRPr="0056461F">
        <w:t xml:space="preserve"> </w:t>
      </w:r>
      <w:r w:rsidR="00220827" w:rsidRPr="0056461F">
        <w:t>is</w:t>
      </w:r>
      <w:r w:rsidR="006A7F08" w:rsidRPr="0056461F">
        <w:t xml:space="preserve"> </w:t>
      </w:r>
      <w:r w:rsidR="00220827" w:rsidRPr="0056461F">
        <w:t>an address-based, multimode survey</w:t>
      </w:r>
      <w:r w:rsidR="001F43A5" w:rsidRPr="0056461F">
        <w:t xml:space="preserve"> that</w:t>
      </w:r>
      <w:r w:rsidR="00291D8E" w:rsidRPr="0056461F">
        <w:t xml:space="preserve"> </w:t>
      </w:r>
      <w:r w:rsidR="00220827" w:rsidRPr="0056461F">
        <w:t>will be conducted biennially</w:t>
      </w:r>
      <w:r w:rsidR="00872A51" w:rsidRPr="0056461F">
        <w:t>, with data collection periods starting</w:t>
      </w:r>
      <w:r w:rsidR="00291D8E" w:rsidRPr="0056461F">
        <w:t xml:space="preserve"> in 2013</w:t>
      </w:r>
      <w:r w:rsidR="00394417" w:rsidRPr="0056461F">
        <w:t xml:space="preserve"> (</w:t>
      </w:r>
      <w:r w:rsidR="00BE2BE7">
        <w:t>pending</w:t>
      </w:r>
      <w:r w:rsidR="00BE2BE7" w:rsidRPr="0056461F">
        <w:t xml:space="preserve"> </w:t>
      </w:r>
      <w:r w:rsidR="00394417" w:rsidRPr="0056461F">
        <w:t>approval by OMB)</w:t>
      </w:r>
      <w:r w:rsidR="00101B8F" w:rsidRPr="0056461F">
        <w:t xml:space="preserve">, </w:t>
      </w:r>
      <w:r w:rsidR="00291D8E" w:rsidRPr="0056461F">
        <w:t>2015, and 2017 (</w:t>
      </w:r>
      <w:r w:rsidR="00BE2BE7">
        <w:t>pending</w:t>
      </w:r>
      <w:r w:rsidR="00291D8E" w:rsidRPr="0056461F">
        <w:t xml:space="preserve"> </w:t>
      </w:r>
      <w:r w:rsidR="00394417" w:rsidRPr="0056461F">
        <w:t xml:space="preserve">renewal </w:t>
      </w:r>
      <w:r w:rsidR="00291D8E" w:rsidRPr="0056461F">
        <w:t>by OMB)</w:t>
      </w:r>
      <w:r w:rsidR="00220827" w:rsidRPr="0056461F">
        <w:t xml:space="preserve">. </w:t>
      </w:r>
    </w:p>
    <w:p w:rsidR="00E41DE8" w:rsidRPr="0056461F" w:rsidRDefault="00220827" w:rsidP="00BE2BE7">
      <w:pPr>
        <w:pStyle w:val="BodyText"/>
        <w:spacing w:line="240" w:lineRule="auto"/>
        <w:ind w:left="0"/>
      </w:pPr>
      <w:r w:rsidRPr="0056461F">
        <w:lastRenderedPageBreak/>
        <w:t>Thi</w:t>
      </w:r>
      <w:r w:rsidR="00EC6023" w:rsidRPr="0056461F">
        <w:t xml:space="preserve">s data collection </w:t>
      </w:r>
      <w:r w:rsidR="002E3EA3" w:rsidRPr="0056461F">
        <w:t xml:space="preserve">for the </w:t>
      </w:r>
      <w:r w:rsidR="000B3F4E" w:rsidRPr="0056461F">
        <w:rPr>
          <w:i/>
          <w:iCs/>
        </w:rPr>
        <w:t>Standard Protocol</w:t>
      </w:r>
      <w:r w:rsidR="002E3EA3" w:rsidRPr="0056461F">
        <w:rPr>
          <w:i/>
          <w:iCs/>
        </w:rPr>
        <w:t xml:space="preserve"> </w:t>
      </w:r>
      <w:r w:rsidR="00EC6023" w:rsidRPr="0056461F">
        <w:t xml:space="preserve">uses a </w:t>
      </w:r>
      <w:r w:rsidR="001F43A5" w:rsidRPr="0056461F">
        <w:t>quasi</w:t>
      </w:r>
      <w:r w:rsidR="00EC6023" w:rsidRPr="0056461F">
        <w:t>-</w:t>
      </w:r>
      <w:r w:rsidRPr="0056461F">
        <w:t xml:space="preserve">experimental </w:t>
      </w:r>
      <w:r w:rsidR="00314314" w:rsidRPr="0056461F">
        <w:t>design</w:t>
      </w:r>
      <w:r w:rsidRPr="0056461F">
        <w:t xml:space="preserve"> to assess the</w:t>
      </w:r>
      <w:r w:rsidR="00291D8E" w:rsidRPr="0056461F">
        <w:t xml:space="preserve"> </w:t>
      </w:r>
      <w:r w:rsidRPr="0056461F">
        <w:t xml:space="preserve">impact of adoption and implementation of CTG activities on intermediate, long-term, and ultimate health-related outcomes </w:t>
      </w:r>
      <w:r w:rsidR="0036738A">
        <w:t xml:space="preserve">by </w:t>
      </w:r>
      <w:r w:rsidR="00BE2BE7">
        <w:t>conducting</w:t>
      </w:r>
      <w:r w:rsidR="00BE2BE7" w:rsidRPr="0056461F">
        <w:t xml:space="preserve"> </w:t>
      </w:r>
      <w:r w:rsidRPr="0056461F">
        <w:t>repeated cross-sectional surveys in randomly selected households in geographic areas targeted for interventions by 20 awardees.</w:t>
      </w:r>
      <w:r w:rsidR="00EC6023" w:rsidRPr="0056461F">
        <w:t xml:space="preserve"> </w:t>
      </w:r>
      <w:r w:rsidRPr="0056461F">
        <w:t xml:space="preserve">Questions will focus on assessing respondents’ own beliefs and behaviors </w:t>
      </w:r>
      <w:r w:rsidR="00C0427B">
        <w:t>related</w:t>
      </w:r>
      <w:r w:rsidR="00C0427B" w:rsidRPr="0056461F">
        <w:t xml:space="preserve"> </w:t>
      </w:r>
      <w:r w:rsidRPr="0056461F">
        <w:t xml:space="preserve">to the five strategic directives for the </w:t>
      </w:r>
      <w:r w:rsidR="008579F2" w:rsidRPr="0056461F">
        <w:t>CTG</w:t>
      </w:r>
      <w:r w:rsidR="00D41DCB" w:rsidRPr="0056461F">
        <w:t xml:space="preserve"> Program</w:t>
      </w:r>
      <w:r w:rsidRPr="0056461F">
        <w:t xml:space="preserve"> (Section A</w:t>
      </w:r>
      <w:r w:rsidR="00314314" w:rsidRPr="0056461F">
        <w:t>.</w:t>
      </w:r>
      <w:r w:rsidRPr="0056461F">
        <w:t>1)</w:t>
      </w:r>
      <w:r w:rsidR="00BE2BE7">
        <w:t>.</w:t>
      </w:r>
      <w:r w:rsidRPr="0056461F">
        <w:t xml:space="preserve"> </w:t>
      </w:r>
      <w:r w:rsidR="00291D8E" w:rsidRPr="0056461F">
        <w:t xml:space="preserve">The ATSS </w:t>
      </w:r>
      <w:r w:rsidR="00E41DE8" w:rsidRPr="0056461F">
        <w:t xml:space="preserve">has been designed using items from existing national and state data systems such as the state-based </w:t>
      </w:r>
      <w:r w:rsidR="007C0BFB" w:rsidRPr="0056461F">
        <w:t>Behavioral Risk Factor Surveillance System (</w:t>
      </w:r>
      <w:r w:rsidR="00E41DE8" w:rsidRPr="0056461F">
        <w:t>BRFSS</w:t>
      </w:r>
      <w:r w:rsidR="007C0BFB" w:rsidRPr="0056461F">
        <w:t>)</w:t>
      </w:r>
      <w:r w:rsidR="00E41DE8" w:rsidRPr="0056461F">
        <w:t>.</w:t>
      </w:r>
      <w:r w:rsidR="009276EB">
        <w:rPr>
          <w:vertAlign w:val="superscript"/>
        </w:rPr>
        <w:t>25</w:t>
      </w:r>
      <w:r w:rsidR="00E41DE8" w:rsidRPr="0056461F">
        <w:t xml:space="preserve"> </w:t>
      </w:r>
      <w:r w:rsidR="00C0427B">
        <w:t xml:space="preserve">A list of data sources </w:t>
      </w:r>
      <w:r w:rsidR="00126F5D">
        <w:t>reviewed</w:t>
      </w:r>
      <w:r w:rsidR="00C0427B">
        <w:t xml:space="preserve"> for </w:t>
      </w:r>
      <w:r w:rsidR="00126F5D">
        <w:t xml:space="preserve">relevant items to </w:t>
      </w:r>
      <w:r w:rsidR="00BE2BE7">
        <w:t xml:space="preserve">be </w:t>
      </w:r>
      <w:r w:rsidR="00126F5D">
        <w:t>include</w:t>
      </w:r>
      <w:r w:rsidR="00BE2BE7">
        <w:t>d</w:t>
      </w:r>
      <w:r w:rsidR="00126F5D">
        <w:t xml:space="preserve"> in the ATSS can be found in Attachment 5. </w:t>
      </w:r>
      <w:r w:rsidR="00E41DE8" w:rsidRPr="0056461F">
        <w:t xml:space="preserve">Data from the ATSS will be compared with existing data from the BRFSS for the county or state in which the area is located </w:t>
      </w:r>
      <w:r w:rsidR="0036738A">
        <w:t>as well as</w:t>
      </w:r>
      <w:r w:rsidR="00E41DE8" w:rsidRPr="0056461F">
        <w:t xml:space="preserve"> estimates from other existing state and national surveillance systems</w:t>
      </w:r>
      <w:r w:rsidR="00101B8F" w:rsidRPr="0056461F">
        <w:t>,</w:t>
      </w:r>
      <w:r w:rsidR="00291D8E" w:rsidRPr="0056461F">
        <w:t xml:space="preserve"> where available</w:t>
      </w:r>
      <w:r w:rsidR="00E41DE8" w:rsidRPr="0056461F">
        <w:t>.</w:t>
      </w:r>
    </w:p>
    <w:p w:rsidR="007212B8" w:rsidRPr="0056461F" w:rsidRDefault="000B3F4E" w:rsidP="00C90014">
      <w:pPr>
        <w:pStyle w:val="Heading3"/>
        <w:tabs>
          <w:tab w:val="clear" w:pos="900"/>
          <w:tab w:val="left" w:pos="0"/>
        </w:tabs>
        <w:ind w:left="0" w:firstLine="0"/>
        <w:rPr>
          <w:b w:val="0"/>
        </w:rPr>
      </w:pPr>
      <w:bookmarkStart w:id="10" w:name="_Toc348428788"/>
      <w:r w:rsidRPr="0056461F">
        <w:rPr>
          <w:i/>
        </w:rPr>
        <w:t>Enhanced Protocol</w:t>
      </w:r>
      <w:bookmarkEnd w:id="10"/>
    </w:p>
    <w:p w:rsidR="00314314" w:rsidRPr="0056461F" w:rsidRDefault="00314314" w:rsidP="00C90014">
      <w:pPr>
        <w:pStyle w:val="BodyText"/>
        <w:spacing w:line="240" w:lineRule="auto"/>
        <w:ind w:left="0"/>
      </w:pPr>
      <w:r w:rsidRPr="0056461F">
        <w:t xml:space="preserve">Households in the </w:t>
      </w:r>
      <w:r w:rsidR="002C7FB5" w:rsidRPr="0056461F">
        <w:t xml:space="preserve">eight </w:t>
      </w:r>
      <w:r w:rsidRPr="0056461F">
        <w:t xml:space="preserve">CTG </w:t>
      </w:r>
      <w:r w:rsidR="00C90014">
        <w:t>awardee areas</w:t>
      </w:r>
      <w:r w:rsidRPr="0056461F">
        <w:t xml:space="preserve"> selected for the </w:t>
      </w:r>
      <w:r w:rsidR="000B3F4E" w:rsidRPr="0056461F">
        <w:rPr>
          <w:i/>
        </w:rPr>
        <w:t>Enhanced Protocol</w:t>
      </w:r>
      <w:r w:rsidRPr="0056461F">
        <w:t xml:space="preserve"> will have two mechanisms through which they can participate in this additional data collection. They can either be among the households selected initially for the </w:t>
      </w:r>
      <w:r w:rsidR="000B3F4E" w:rsidRPr="0056461F">
        <w:rPr>
          <w:i/>
        </w:rPr>
        <w:t>Standard Protocol</w:t>
      </w:r>
      <w:r w:rsidRPr="0056461F">
        <w:t xml:space="preserve"> (i.e., Track B</w:t>
      </w:r>
      <w:r w:rsidR="002C7FB5" w:rsidRPr="0056461F">
        <w:t>)</w:t>
      </w:r>
      <w:r w:rsidRPr="0056461F">
        <w:t xml:space="preserve"> such that once the adult completes the ATSS and is determined to reside in an eligible household, </w:t>
      </w:r>
      <w:r w:rsidR="002C7FB5" w:rsidRPr="0056461F">
        <w:t xml:space="preserve">he or she </w:t>
      </w:r>
      <w:r w:rsidRPr="0056461F">
        <w:t xml:space="preserve">will be invited to participate in the </w:t>
      </w:r>
      <w:r w:rsidR="000B3F4E" w:rsidRPr="0056461F">
        <w:rPr>
          <w:i/>
        </w:rPr>
        <w:t>Enhanced Protocol</w:t>
      </w:r>
      <w:r w:rsidRPr="0056461F">
        <w:t xml:space="preserve">) or be among those in an oversample of households with a </w:t>
      </w:r>
      <w:r w:rsidR="00BE2BE7">
        <w:t>“</w:t>
      </w:r>
      <w:r w:rsidRPr="0056461F">
        <w:t>child flag</w:t>
      </w:r>
      <w:r w:rsidR="00BE2BE7">
        <w:t>”</w:t>
      </w:r>
      <w:r w:rsidRPr="0056461F">
        <w:t xml:space="preserve"> from the sampling frame (</w:t>
      </w:r>
      <w:r w:rsidR="00926AD7" w:rsidRPr="0056461F">
        <w:t xml:space="preserve">i.e., Track C, see </w:t>
      </w:r>
      <w:r w:rsidRPr="0056461F">
        <w:t xml:space="preserve">Exhibit </w:t>
      </w:r>
      <w:r w:rsidR="0085535A">
        <w:t>A.1.1</w:t>
      </w:r>
      <w:r w:rsidRPr="0056461F">
        <w:t>).</w:t>
      </w:r>
    </w:p>
    <w:p w:rsidR="0054272B" w:rsidRPr="0056461F" w:rsidRDefault="00230401" w:rsidP="00C90014">
      <w:pPr>
        <w:pStyle w:val="BodyText"/>
        <w:spacing w:line="240" w:lineRule="auto"/>
        <w:ind w:left="0"/>
      </w:pPr>
      <w:r w:rsidRPr="0056461F">
        <w:t xml:space="preserve">Both adults and children </w:t>
      </w:r>
      <w:r w:rsidR="00F60289" w:rsidRPr="0056461F">
        <w:t>(aged 3</w:t>
      </w:r>
      <w:r w:rsidR="002C7FB5" w:rsidRPr="0056461F">
        <w:t>–</w:t>
      </w:r>
      <w:r w:rsidR="00F60289" w:rsidRPr="0056461F">
        <w:t>17 years)</w:t>
      </w:r>
      <w:r w:rsidR="00E5404E" w:rsidRPr="0056461F">
        <w:t xml:space="preserve"> </w:t>
      </w:r>
      <w:r w:rsidR="00926AD7" w:rsidRPr="0056461F">
        <w:t xml:space="preserve">who are recruited through Tracks B or C </w:t>
      </w:r>
      <w:r w:rsidRPr="0056461F">
        <w:t>will</w:t>
      </w:r>
      <w:r w:rsidR="00150A2A" w:rsidRPr="0056461F">
        <w:t xml:space="preserve"> </w:t>
      </w:r>
      <w:r w:rsidR="00F60289" w:rsidRPr="0056461F">
        <w:t xml:space="preserve">be invited to participate in the </w:t>
      </w:r>
      <w:r w:rsidR="002A5B92" w:rsidRPr="0056461F">
        <w:rPr>
          <w:i/>
          <w:iCs/>
        </w:rPr>
        <w:t>Enhanced Protocol</w:t>
      </w:r>
      <w:r w:rsidR="00F60289" w:rsidRPr="0056461F">
        <w:t xml:space="preserve"> and both adults and children will </w:t>
      </w:r>
      <w:r w:rsidR="00150A2A" w:rsidRPr="0056461F">
        <w:t>provide biometric measurements</w:t>
      </w:r>
      <w:r w:rsidRPr="0056461F">
        <w:t xml:space="preserve"> as part of their </w:t>
      </w:r>
      <w:r w:rsidR="00E5404E" w:rsidRPr="0056461F">
        <w:t>participation</w:t>
      </w:r>
      <w:r w:rsidR="00220827" w:rsidRPr="0056461F">
        <w:t>. Th</w:t>
      </w:r>
      <w:r w:rsidR="006A7F08" w:rsidRPr="0056461F">
        <w:t>ese</w:t>
      </w:r>
      <w:r w:rsidR="00220827" w:rsidRPr="0056461F">
        <w:t xml:space="preserve"> </w:t>
      </w:r>
      <w:r w:rsidRPr="0056461F">
        <w:t xml:space="preserve">biometric </w:t>
      </w:r>
      <w:r w:rsidR="00150A2A" w:rsidRPr="0056461F">
        <w:t>measurements</w:t>
      </w:r>
      <w:r w:rsidR="00CF3A4D" w:rsidRPr="0056461F">
        <w:t xml:space="preserve"> </w:t>
      </w:r>
      <w:r w:rsidR="00124AA5" w:rsidRPr="0056461F">
        <w:t>are de</w:t>
      </w:r>
      <w:r w:rsidR="00150A2A" w:rsidRPr="0056461F">
        <w:t>s</w:t>
      </w:r>
      <w:r w:rsidR="00124AA5" w:rsidRPr="0056461F">
        <w:t xml:space="preserve">igned to yield </w:t>
      </w:r>
      <w:r w:rsidR="00220827" w:rsidRPr="0056461F">
        <w:t xml:space="preserve">data to </w:t>
      </w:r>
      <w:r w:rsidR="00124AA5" w:rsidRPr="0056461F">
        <w:t>comply with an</w:t>
      </w:r>
      <w:r w:rsidR="00220827" w:rsidRPr="0056461F">
        <w:t xml:space="preserve"> HHS request for an </w:t>
      </w:r>
      <w:r w:rsidR="00291D8E" w:rsidRPr="0056461F">
        <w:t xml:space="preserve">objective </w:t>
      </w:r>
      <w:r w:rsidR="00220827" w:rsidRPr="0056461F">
        <w:t>assessment of changes in BMI</w:t>
      </w:r>
      <w:r w:rsidR="00124AA5" w:rsidRPr="0056461F">
        <w:t xml:space="preserve"> and </w:t>
      </w:r>
      <w:r w:rsidR="006A7F08" w:rsidRPr="0056461F">
        <w:t>to obtain data from and about children residing in each location</w:t>
      </w:r>
      <w:r w:rsidR="00F02016" w:rsidRPr="0056461F">
        <w:t xml:space="preserve">. </w:t>
      </w:r>
      <w:r w:rsidR="00124AA5" w:rsidRPr="0056461F">
        <w:t xml:space="preserve">Both </w:t>
      </w:r>
      <w:r w:rsidR="008579F2" w:rsidRPr="0056461F">
        <w:t xml:space="preserve">the collection of biometric data and the inclusion of children in the </w:t>
      </w:r>
      <w:r w:rsidR="008579F2" w:rsidRPr="0056461F">
        <w:rPr>
          <w:i/>
          <w:iCs/>
        </w:rPr>
        <w:t>Enhanced Protocol</w:t>
      </w:r>
      <w:r w:rsidR="00124AA5" w:rsidRPr="0056461F">
        <w:t xml:space="preserve"> will help to fill data </w:t>
      </w:r>
      <w:r w:rsidR="006A7F08" w:rsidRPr="0056461F">
        <w:t>gap</w:t>
      </w:r>
      <w:r w:rsidR="00124AA5" w:rsidRPr="0056461F">
        <w:t>s</w:t>
      </w:r>
      <w:r w:rsidR="006A7F08" w:rsidRPr="0056461F">
        <w:t xml:space="preserve"> in existing surveillance systems</w:t>
      </w:r>
      <w:r w:rsidR="00220827" w:rsidRPr="0056461F">
        <w:t>.</w:t>
      </w:r>
    </w:p>
    <w:p w:rsidR="002E3EA3" w:rsidRPr="0056461F" w:rsidRDefault="00220827" w:rsidP="00C90014">
      <w:pPr>
        <w:pStyle w:val="BodyText"/>
        <w:spacing w:line="240" w:lineRule="auto"/>
        <w:ind w:left="0"/>
      </w:pPr>
      <w:r w:rsidRPr="0056461F">
        <w:t xml:space="preserve">Data collection </w:t>
      </w:r>
      <w:r w:rsidR="002E3EA3" w:rsidRPr="0056461F">
        <w:t xml:space="preserve">for the </w:t>
      </w:r>
      <w:r w:rsidR="000B3F4E" w:rsidRPr="0056461F">
        <w:rPr>
          <w:i/>
          <w:iCs/>
        </w:rPr>
        <w:t>Enhanced Protocol</w:t>
      </w:r>
      <w:r w:rsidR="002E3EA3" w:rsidRPr="0056461F">
        <w:t xml:space="preserve"> </w:t>
      </w:r>
      <w:r w:rsidRPr="0056461F">
        <w:t xml:space="preserve">will </w:t>
      </w:r>
      <w:r w:rsidR="002E3EA3" w:rsidRPr="0056461F">
        <w:t xml:space="preserve">therefore </w:t>
      </w:r>
      <w:r w:rsidRPr="0056461F">
        <w:t>include the following me</w:t>
      </w:r>
      <w:r w:rsidR="006A7F08" w:rsidRPr="0056461F">
        <w:t>thods</w:t>
      </w:r>
      <w:r w:rsidR="000B3F4E" w:rsidRPr="0056461F">
        <w:t>, in addition to the completion of the ATSS by one adult in the household</w:t>
      </w:r>
      <w:r w:rsidRPr="0056461F">
        <w:t xml:space="preserve">: </w:t>
      </w:r>
    </w:p>
    <w:p w:rsidR="002E3EA3" w:rsidRPr="0056461F" w:rsidRDefault="00A970FC" w:rsidP="00C90014">
      <w:pPr>
        <w:pStyle w:val="bullets-blank"/>
        <w:keepLines/>
        <w:tabs>
          <w:tab w:val="clear" w:pos="1440"/>
        </w:tabs>
        <w:spacing w:after="120"/>
      </w:pPr>
      <w:r w:rsidRPr="0056461F">
        <w:t>a.</w:t>
      </w:r>
      <w:r w:rsidRPr="0056461F">
        <w:tab/>
      </w:r>
      <w:r w:rsidR="002C7FB5" w:rsidRPr="0056461F">
        <w:t xml:space="preserve">In </w:t>
      </w:r>
      <w:r w:rsidR="0029621A" w:rsidRPr="0056461F">
        <w:t xml:space="preserve">households with an eligible child, </w:t>
      </w:r>
      <w:r w:rsidR="00E41DE8" w:rsidRPr="0056461F">
        <w:t xml:space="preserve">an interviewer will administer </w:t>
      </w:r>
      <w:r w:rsidR="00300C09">
        <w:t xml:space="preserve">either </w:t>
      </w:r>
      <w:r w:rsidR="00E41DE8" w:rsidRPr="0056461F">
        <w:t xml:space="preserve">a </w:t>
      </w:r>
      <w:r w:rsidR="002E3EA3" w:rsidRPr="0056461F">
        <w:t>Y</w:t>
      </w:r>
      <w:r w:rsidR="00BE7212" w:rsidRPr="0056461F">
        <w:t>outh</w:t>
      </w:r>
      <w:r w:rsidR="00E41DE8" w:rsidRPr="0056461F">
        <w:t xml:space="preserve"> </w:t>
      </w:r>
      <w:r w:rsidR="002E3EA3" w:rsidRPr="0056461F">
        <w:t>S</w:t>
      </w:r>
      <w:r w:rsidR="00220827" w:rsidRPr="0056461F">
        <w:t xml:space="preserve">urvey </w:t>
      </w:r>
      <w:r w:rsidR="00291D8E" w:rsidRPr="0056461F">
        <w:t xml:space="preserve">to </w:t>
      </w:r>
      <w:r w:rsidR="0036738A" w:rsidRPr="0056461F">
        <w:t>children aged 12–17</w:t>
      </w:r>
      <w:r w:rsidR="0036738A">
        <w:t xml:space="preserve"> to </w:t>
      </w:r>
      <w:r w:rsidR="00291D8E" w:rsidRPr="0056461F">
        <w:t>obtain self-reported information on</w:t>
      </w:r>
      <w:r w:rsidR="00220827" w:rsidRPr="0056461F">
        <w:t xml:space="preserve"> diet</w:t>
      </w:r>
      <w:r w:rsidR="00291D8E" w:rsidRPr="0056461F">
        <w:t>,</w:t>
      </w:r>
      <w:r w:rsidR="0029621A" w:rsidRPr="0056461F">
        <w:t xml:space="preserve"> </w:t>
      </w:r>
      <w:r w:rsidR="00220827" w:rsidRPr="0056461F">
        <w:t>physical activity</w:t>
      </w:r>
      <w:r w:rsidR="00291D8E" w:rsidRPr="0056461F">
        <w:t>, and tobacco use or exposure</w:t>
      </w:r>
      <w:r w:rsidR="00300C09">
        <w:t>,</w:t>
      </w:r>
      <w:r w:rsidR="00220827" w:rsidRPr="0056461F">
        <w:t xml:space="preserve"> or </w:t>
      </w:r>
      <w:r w:rsidR="002E3EA3" w:rsidRPr="0056461F">
        <w:t>a Caregiver Survey to t</w:t>
      </w:r>
      <w:r w:rsidR="00BE7212" w:rsidRPr="0056461F">
        <w:t xml:space="preserve">he </w:t>
      </w:r>
      <w:r w:rsidR="00220827" w:rsidRPr="0056461F">
        <w:t>parent/caregiver for children aged 3–11</w:t>
      </w:r>
      <w:r w:rsidR="002C7FB5" w:rsidRPr="0056461F">
        <w:t xml:space="preserve">. </w:t>
      </w:r>
    </w:p>
    <w:p w:rsidR="002E3EA3" w:rsidRPr="0056461F" w:rsidRDefault="00A970FC" w:rsidP="00C90014">
      <w:pPr>
        <w:pStyle w:val="bullets-blank"/>
        <w:keepLines/>
        <w:tabs>
          <w:tab w:val="clear" w:pos="1440"/>
        </w:tabs>
        <w:spacing w:after="120"/>
      </w:pPr>
      <w:r w:rsidRPr="0056461F">
        <w:t>b.</w:t>
      </w:r>
      <w:r w:rsidRPr="0056461F">
        <w:tab/>
      </w:r>
      <w:r w:rsidR="002C7FB5" w:rsidRPr="0056461F">
        <w:t xml:space="preserve">Biometric </w:t>
      </w:r>
      <w:r w:rsidR="00220827" w:rsidRPr="0056461F">
        <w:t xml:space="preserve">data </w:t>
      </w:r>
      <w:r w:rsidR="00657F0A" w:rsidRPr="0056461F">
        <w:t xml:space="preserve">will be </w:t>
      </w:r>
      <w:r w:rsidR="00BE7212" w:rsidRPr="0056461F">
        <w:t>collecte</w:t>
      </w:r>
      <w:r w:rsidR="00657F0A" w:rsidRPr="0056461F">
        <w:t>d</w:t>
      </w:r>
      <w:r w:rsidR="00BE7212" w:rsidRPr="0056461F">
        <w:t xml:space="preserve"> </w:t>
      </w:r>
      <w:r w:rsidR="00BF7744" w:rsidRPr="0056461F">
        <w:t xml:space="preserve">from </w:t>
      </w:r>
      <w:r w:rsidR="009C5063" w:rsidRPr="0056461F">
        <w:t xml:space="preserve">a </w:t>
      </w:r>
      <w:r w:rsidR="0029621A" w:rsidRPr="0056461F">
        <w:t xml:space="preserve">selected </w:t>
      </w:r>
      <w:r w:rsidR="00BF7744" w:rsidRPr="0056461F">
        <w:t>child</w:t>
      </w:r>
      <w:r w:rsidR="005A65CC" w:rsidRPr="0056461F">
        <w:t>, if any</w:t>
      </w:r>
      <w:r w:rsidR="009C5063" w:rsidRPr="0056461F">
        <w:t xml:space="preserve"> child in that household is participating</w:t>
      </w:r>
      <w:r w:rsidR="005A65CC" w:rsidRPr="0056461F">
        <w:t>, and</w:t>
      </w:r>
      <w:r w:rsidR="00BF7744" w:rsidRPr="0056461F">
        <w:t xml:space="preserve"> </w:t>
      </w:r>
      <w:r w:rsidR="009C5063" w:rsidRPr="0056461F">
        <w:t xml:space="preserve">from </w:t>
      </w:r>
      <w:r w:rsidR="0029621A" w:rsidRPr="0056461F">
        <w:t xml:space="preserve">the </w:t>
      </w:r>
      <w:r w:rsidR="00BF7744" w:rsidRPr="0056461F">
        <w:t>adult</w:t>
      </w:r>
      <w:r w:rsidR="0029621A" w:rsidRPr="0056461F">
        <w:t xml:space="preserve"> who</w:t>
      </w:r>
      <w:r w:rsidR="004400ED" w:rsidRPr="0056461F">
        <w:rPr>
          <w:i/>
        </w:rPr>
        <w:t xml:space="preserve"> </w:t>
      </w:r>
      <w:r w:rsidR="005A65CC" w:rsidRPr="0056461F">
        <w:t>completed the ATSS</w:t>
      </w:r>
      <w:r w:rsidR="002C7FB5" w:rsidRPr="0056461F">
        <w:t>.</w:t>
      </w:r>
      <w:r w:rsidR="00220827" w:rsidRPr="0056461F">
        <w:t xml:space="preserve"> </w:t>
      </w:r>
    </w:p>
    <w:p w:rsidR="006A3A92" w:rsidRPr="0056461F" w:rsidRDefault="00A970FC" w:rsidP="00300C09">
      <w:pPr>
        <w:pStyle w:val="bullets-blank"/>
        <w:keepLines/>
        <w:spacing w:after="120"/>
      </w:pPr>
      <w:r w:rsidRPr="0056461F">
        <w:t>c.</w:t>
      </w:r>
      <w:r w:rsidRPr="0056461F">
        <w:tab/>
      </w:r>
      <w:r w:rsidR="002C7FB5" w:rsidRPr="0056461F">
        <w:t xml:space="preserve">In </w:t>
      </w:r>
      <w:r w:rsidR="0029621A" w:rsidRPr="0056461F">
        <w:t>a subset of households</w:t>
      </w:r>
      <w:r w:rsidR="004E5310" w:rsidRPr="0056461F">
        <w:t xml:space="preserve"> with eligible children who participate in the </w:t>
      </w:r>
      <w:r w:rsidR="000B3F4E" w:rsidRPr="0056461F">
        <w:rPr>
          <w:i/>
        </w:rPr>
        <w:t>Enhanced Protocol</w:t>
      </w:r>
      <w:r w:rsidR="0029621A" w:rsidRPr="0056461F">
        <w:t xml:space="preserve">, </w:t>
      </w:r>
      <w:r w:rsidR="00E573FE" w:rsidRPr="0056461F">
        <w:t xml:space="preserve">data on </w:t>
      </w:r>
      <w:r w:rsidR="0022016C" w:rsidRPr="0056461F">
        <w:t xml:space="preserve">physical activity </w:t>
      </w:r>
      <w:r w:rsidR="00E573FE" w:rsidRPr="0056461F">
        <w:t xml:space="preserve">will be collected </w:t>
      </w:r>
      <w:r w:rsidR="002C0862" w:rsidRPr="0056461F">
        <w:t>by having the adult and selected child wear activity monitor</w:t>
      </w:r>
      <w:r w:rsidR="0036738A">
        <w:t>s</w:t>
      </w:r>
      <w:r w:rsidR="00CF3A4D" w:rsidRPr="0056461F">
        <w:t xml:space="preserve"> (</w:t>
      </w:r>
      <w:r w:rsidR="002C0862" w:rsidRPr="0056461F">
        <w:t>accelerometer</w:t>
      </w:r>
      <w:r w:rsidR="0036738A">
        <w:t>s</w:t>
      </w:r>
      <w:r w:rsidR="00CF3A4D" w:rsidRPr="0056461F">
        <w:t>)</w:t>
      </w:r>
      <w:r w:rsidR="002C0862" w:rsidRPr="0056461F">
        <w:t xml:space="preserve"> during waking hours for </w:t>
      </w:r>
      <w:r w:rsidR="00CE775D">
        <w:t>seven</w:t>
      </w:r>
      <w:r w:rsidR="00CE775D" w:rsidRPr="0056461F">
        <w:t xml:space="preserve"> </w:t>
      </w:r>
      <w:r w:rsidR="002C0862" w:rsidRPr="0056461F">
        <w:t>days</w:t>
      </w:r>
      <w:r w:rsidR="0006685B" w:rsidRPr="0056461F">
        <w:t xml:space="preserve">. Additionally, </w:t>
      </w:r>
      <w:r w:rsidR="002C0862" w:rsidRPr="0056461F">
        <w:t>p</w:t>
      </w:r>
      <w:r w:rsidR="0006685B" w:rsidRPr="0056461F">
        <w:t>a</w:t>
      </w:r>
      <w:r w:rsidR="002C0862" w:rsidRPr="0056461F">
        <w:t>rticipants wearing the monitor</w:t>
      </w:r>
      <w:r w:rsidR="0036738A">
        <w:t>s</w:t>
      </w:r>
      <w:r w:rsidR="002C0862" w:rsidRPr="0056461F">
        <w:t xml:space="preserve"> (or their caregiver</w:t>
      </w:r>
      <w:r w:rsidR="0036738A">
        <w:t>s</w:t>
      </w:r>
      <w:r w:rsidR="009C5063" w:rsidRPr="0056461F">
        <w:t>,</w:t>
      </w:r>
      <w:r w:rsidR="002C0862" w:rsidRPr="0056461F">
        <w:t xml:space="preserve"> for children </w:t>
      </w:r>
      <w:r w:rsidR="0036738A">
        <w:t xml:space="preserve">aged </w:t>
      </w:r>
      <w:r w:rsidR="002C0862" w:rsidRPr="0056461F">
        <w:t>3</w:t>
      </w:r>
      <w:r w:rsidR="005D0C9C" w:rsidRPr="0056461F">
        <w:t>–</w:t>
      </w:r>
      <w:r w:rsidR="002C0862" w:rsidRPr="0056461F">
        <w:t>11) will complete a</w:t>
      </w:r>
      <w:r w:rsidR="00183A6F" w:rsidRPr="0056461F">
        <w:t>n</w:t>
      </w:r>
      <w:r w:rsidR="0006685B" w:rsidRPr="0056461F">
        <w:t xml:space="preserve"> “</w:t>
      </w:r>
      <w:r w:rsidR="0022016C" w:rsidRPr="0056461F">
        <w:t xml:space="preserve">Activity </w:t>
      </w:r>
      <w:r w:rsidR="005D0C9C" w:rsidRPr="0056461F">
        <w:t>Diary</w:t>
      </w:r>
      <w:r w:rsidR="0006685B" w:rsidRPr="0056461F">
        <w:t xml:space="preserve">” to record </w:t>
      </w:r>
      <w:r w:rsidR="00183A6F" w:rsidRPr="0056461F">
        <w:t xml:space="preserve">the time </w:t>
      </w:r>
      <w:r w:rsidR="005D0C9C" w:rsidRPr="0056461F">
        <w:t>they</w:t>
      </w:r>
      <w:r w:rsidR="00183A6F" w:rsidRPr="0056461F">
        <w:t xml:space="preserve"> got up in the morning and went to bed at night</w:t>
      </w:r>
      <w:r w:rsidR="00E573FE" w:rsidRPr="0056461F">
        <w:t xml:space="preserve"> on each of the </w:t>
      </w:r>
      <w:r w:rsidR="00CE775D">
        <w:t>seven day</w:t>
      </w:r>
      <w:r w:rsidR="00E573FE" w:rsidRPr="0056461F">
        <w:t>s of monitoring</w:t>
      </w:r>
      <w:r w:rsidR="00183A6F" w:rsidRPr="0056461F">
        <w:t xml:space="preserve">, and the time and reason the </w:t>
      </w:r>
      <w:r w:rsidR="00316B57" w:rsidRPr="0056461F">
        <w:t xml:space="preserve">activity monitor </w:t>
      </w:r>
      <w:r w:rsidR="00183A6F" w:rsidRPr="0056461F">
        <w:t xml:space="preserve">was removed for </w:t>
      </w:r>
      <w:r w:rsidR="00CE775D">
        <w:t>five minutes</w:t>
      </w:r>
      <w:r w:rsidR="00183A6F" w:rsidRPr="0056461F">
        <w:t xml:space="preserve"> or more</w:t>
      </w:r>
      <w:r w:rsidR="00300C09">
        <w:t>.</w:t>
      </w:r>
      <w:r w:rsidR="0006685B" w:rsidRPr="0056461F">
        <w:t xml:space="preserve"> </w:t>
      </w:r>
    </w:p>
    <w:p w:rsidR="00010758" w:rsidRPr="0056461F" w:rsidRDefault="00220827" w:rsidP="00C90014">
      <w:pPr>
        <w:pStyle w:val="BodyText"/>
        <w:spacing w:line="240" w:lineRule="auto"/>
        <w:ind w:left="0"/>
      </w:pPr>
      <w:r w:rsidRPr="0056461F">
        <w:lastRenderedPageBreak/>
        <w:t xml:space="preserve">Only one child per household will be selected for </w:t>
      </w:r>
      <w:r w:rsidR="00743762" w:rsidRPr="0056461F">
        <w:t xml:space="preserve">the </w:t>
      </w:r>
      <w:r w:rsidR="000B3F4E" w:rsidRPr="0056461F">
        <w:rPr>
          <w:i/>
        </w:rPr>
        <w:t>Enhanced Protocol</w:t>
      </w:r>
      <w:r w:rsidR="004E5310" w:rsidRPr="0056461F">
        <w:t xml:space="preserve"> </w:t>
      </w:r>
      <w:r w:rsidR="005A65CC" w:rsidRPr="0056461F">
        <w:t xml:space="preserve">involving the survey and biometric measures; only a subset of these will participate in the accelerometer and </w:t>
      </w:r>
      <w:r w:rsidR="00300C09">
        <w:t xml:space="preserve">activity </w:t>
      </w:r>
      <w:r w:rsidR="005A65CC" w:rsidRPr="0056461F">
        <w:t>diary data collection</w:t>
      </w:r>
      <w:r w:rsidR="00926AD7" w:rsidRPr="0056461F">
        <w:t>.</w:t>
      </w:r>
      <w:r w:rsidR="005D0AC4" w:rsidRPr="0056461F">
        <w:t xml:space="preserve"> </w:t>
      </w:r>
    </w:p>
    <w:p w:rsidR="00220827" w:rsidRPr="0056461F" w:rsidRDefault="00C53AA8" w:rsidP="00C90014">
      <w:pPr>
        <w:pStyle w:val="BodyText"/>
        <w:spacing w:line="240" w:lineRule="auto"/>
        <w:ind w:left="0"/>
        <w:rPr>
          <w:bCs/>
        </w:rPr>
      </w:pPr>
      <w:r w:rsidRPr="0056461F">
        <w:t>Da</w:t>
      </w:r>
      <w:r w:rsidR="00BF7744" w:rsidRPr="0056461F">
        <w:t>ta</w:t>
      </w:r>
      <w:r w:rsidRPr="0056461F">
        <w:t xml:space="preserve"> collection f</w:t>
      </w:r>
      <w:r w:rsidR="00AA1235" w:rsidRPr="0056461F">
        <w:t xml:space="preserve">or the </w:t>
      </w:r>
      <w:r w:rsidR="000B3F4E" w:rsidRPr="0056461F">
        <w:rPr>
          <w:i/>
        </w:rPr>
        <w:t>Standard Protocol</w:t>
      </w:r>
      <w:r w:rsidR="009D7E8A" w:rsidRPr="0056461F">
        <w:rPr>
          <w:i/>
        </w:rPr>
        <w:t xml:space="preserve"> </w:t>
      </w:r>
      <w:r w:rsidRPr="0056461F">
        <w:t>(</w:t>
      </w:r>
      <w:r w:rsidR="009D7E8A" w:rsidRPr="0056461F">
        <w:t>using the ATSS</w:t>
      </w:r>
      <w:r w:rsidRPr="0056461F">
        <w:t>)</w:t>
      </w:r>
      <w:r w:rsidR="009D7E8A" w:rsidRPr="0056461F">
        <w:t xml:space="preserve"> will be completed </w:t>
      </w:r>
      <w:r w:rsidR="001F43A5" w:rsidRPr="0056461F">
        <w:t>either</w:t>
      </w:r>
      <w:r w:rsidR="00954FD9" w:rsidRPr="0056461F">
        <w:t xml:space="preserve"> </w:t>
      </w:r>
      <w:r w:rsidR="001F43A5" w:rsidRPr="0056461F">
        <w:t xml:space="preserve">by a trained </w:t>
      </w:r>
      <w:r w:rsidR="00CF3A4D" w:rsidRPr="0056461F">
        <w:t xml:space="preserve">telephone </w:t>
      </w:r>
      <w:r w:rsidR="001F43A5" w:rsidRPr="0056461F">
        <w:t>interviewer (</w:t>
      </w:r>
      <w:r w:rsidR="00CF3A4D" w:rsidRPr="0056461F">
        <w:t>T</w:t>
      </w:r>
      <w:r w:rsidR="001F43A5" w:rsidRPr="0056461F">
        <w:t xml:space="preserve">I) via </w:t>
      </w:r>
      <w:r w:rsidR="00164EA4" w:rsidRPr="0056461F">
        <w:t xml:space="preserve">computer-assisted telephone interviewing (CATI) or </w:t>
      </w:r>
      <w:r w:rsidR="0036738A">
        <w:t xml:space="preserve">by </w:t>
      </w:r>
      <w:r w:rsidR="00164EA4" w:rsidRPr="0056461F">
        <w:t xml:space="preserve">the respondent him- or herself </w:t>
      </w:r>
      <w:r w:rsidR="0036738A">
        <w:t>via</w:t>
      </w:r>
      <w:r w:rsidR="00527FDB" w:rsidRPr="0056461F">
        <w:t xml:space="preserve"> a</w:t>
      </w:r>
      <w:r w:rsidR="00164EA4" w:rsidRPr="0056461F">
        <w:t xml:space="preserve"> paper instrument.</w:t>
      </w:r>
      <w:r w:rsidR="00527FDB" w:rsidRPr="0056461F">
        <w:t xml:space="preserve"> </w:t>
      </w:r>
      <w:r w:rsidR="00E015A9" w:rsidRPr="0056461F">
        <w:t xml:space="preserve">All </w:t>
      </w:r>
      <w:r w:rsidR="00BF7744" w:rsidRPr="0056461F">
        <w:t xml:space="preserve">additional </w:t>
      </w:r>
      <w:r w:rsidR="00E015A9" w:rsidRPr="0056461F">
        <w:t xml:space="preserve">data collection for the </w:t>
      </w:r>
      <w:r w:rsidR="000B3F4E" w:rsidRPr="0056461F">
        <w:rPr>
          <w:i/>
        </w:rPr>
        <w:t>Enhanced Protocol</w:t>
      </w:r>
      <w:r w:rsidR="00E015A9" w:rsidRPr="0056461F">
        <w:t xml:space="preserve"> will be conducted </w:t>
      </w:r>
      <w:r w:rsidR="00743762" w:rsidRPr="0056461F">
        <w:t xml:space="preserve">in the respondent’s home </w:t>
      </w:r>
      <w:r w:rsidR="00E015A9" w:rsidRPr="0056461F">
        <w:t xml:space="preserve">by a </w:t>
      </w:r>
      <w:r w:rsidR="00743762" w:rsidRPr="0056461F">
        <w:t xml:space="preserve">trained </w:t>
      </w:r>
      <w:r w:rsidR="00C65C02" w:rsidRPr="0056461F">
        <w:t>field interviewer (</w:t>
      </w:r>
      <w:r w:rsidR="00657F0A" w:rsidRPr="0056461F">
        <w:t>FI</w:t>
      </w:r>
      <w:r w:rsidR="00C65C02" w:rsidRPr="0056461F">
        <w:t>)</w:t>
      </w:r>
      <w:r w:rsidR="00E015A9" w:rsidRPr="0056461F">
        <w:t xml:space="preserve"> </w:t>
      </w:r>
      <w:r w:rsidR="00657F0A" w:rsidRPr="0056461F">
        <w:t xml:space="preserve">using </w:t>
      </w:r>
      <w:r w:rsidR="005D0C9C" w:rsidRPr="0056461F">
        <w:t>computer-</w:t>
      </w:r>
      <w:r w:rsidR="00657F0A" w:rsidRPr="0056461F">
        <w:t>assisted personal interviewing</w:t>
      </w:r>
      <w:r w:rsidR="00657F0A" w:rsidRPr="0056461F">
        <w:rPr>
          <w:b/>
        </w:rPr>
        <w:t xml:space="preserve"> </w:t>
      </w:r>
      <w:r w:rsidR="00657F0A" w:rsidRPr="0056461F">
        <w:t>(CAPI), whereby the interviewer uses a computer to read</w:t>
      </w:r>
      <w:r w:rsidR="00E015A9" w:rsidRPr="0056461F">
        <w:t xml:space="preserve"> </w:t>
      </w:r>
      <w:r w:rsidR="00657F0A" w:rsidRPr="0056461F">
        <w:t>questions and enter respondents’ answers.</w:t>
      </w:r>
      <w:r w:rsidR="00657F0A" w:rsidRPr="0056461F">
        <w:rPr>
          <w:b/>
        </w:rPr>
        <w:t xml:space="preserve"> </w:t>
      </w:r>
      <w:r w:rsidR="00B1527A" w:rsidRPr="0056461F">
        <w:t>The FIs will also be trained to collect all of the biometric data f</w:t>
      </w:r>
      <w:r w:rsidR="00743762" w:rsidRPr="0056461F">
        <w:t>ro</w:t>
      </w:r>
      <w:r w:rsidR="00B1527A" w:rsidRPr="0056461F">
        <w:t>m both adults and youths</w:t>
      </w:r>
      <w:r w:rsidR="0045694E" w:rsidRPr="0056461F">
        <w:t xml:space="preserve"> (see Section B.2 for additional details)</w:t>
      </w:r>
      <w:r w:rsidR="00DF6437" w:rsidRPr="0056461F">
        <w:t>.</w:t>
      </w:r>
      <w:r w:rsidR="00B1527A" w:rsidRPr="0056461F">
        <w:t xml:space="preserve"> </w:t>
      </w:r>
      <w:r w:rsidR="0045694E" w:rsidRPr="0056461F">
        <w:t xml:space="preserve">In four of the </w:t>
      </w:r>
      <w:r w:rsidR="002C7FB5" w:rsidRPr="0056461F">
        <w:t xml:space="preserve">eight </w:t>
      </w:r>
      <w:r w:rsidR="00C90014">
        <w:t>awardee areas</w:t>
      </w:r>
      <w:r w:rsidR="00300C09">
        <w:t xml:space="preserve"> where the </w:t>
      </w:r>
      <w:r w:rsidR="00300C09" w:rsidRPr="0056461F">
        <w:rPr>
          <w:i/>
        </w:rPr>
        <w:t>Enhanced Protocol</w:t>
      </w:r>
      <w:r w:rsidR="00300C09" w:rsidRPr="00300C09">
        <w:t xml:space="preserve"> </w:t>
      </w:r>
      <w:r w:rsidR="00300C09" w:rsidRPr="0056461F">
        <w:t>will</w:t>
      </w:r>
      <w:r w:rsidR="00300C09">
        <w:t xml:space="preserve"> be conducted</w:t>
      </w:r>
      <w:r w:rsidR="00300C09">
        <w:rPr>
          <w:i/>
        </w:rPr>
        <w:t xml:space="preserve"> </w:t>
      </w:r>
      <w:r w:rsidR="0045694E" w:rsidRPr="0056461F">
        <w:t>, selected household</w:t>
      </w:r>
      <w:r w:rsidR="00300C09">
        <w:t xml:space="preserve"> participant</w:t>
      </w:r>
      <w:r w:rsidR="0045694E" w:rsidRPr="0056461F">
        <w:t xml:space="preserve">s will also be asked to </w:t>
      </w:r>
      <w:r w:rsidR="00DF6437" w:rsidRPr="0056461F">
        <w:t xml:space="preserve">wear accelerometers and trained </w:t>
      </w:r>
      <w:r w:rsidR="0036738A">
        <w:t>i</w:t>
      </w:r>
      <w:r w:rsidR="0036738A" w:rsidRPr="0056461F">
        <w:t xml:space="preserve">n </w:t>
      </w:r>
      <w:r w:rsidR="005D0C9C" w:rsidRPr="0056461F">
        <w:t xml:space="preserve">their </w:t>
      </w:r>
      <w:r w:rsidR="00DF6437" w:rsidRPr="0056461F">
        <w:t xml:space="preserve">use by the FI. </w:t>
      </w:r>
      <w:r w:rsidR="0045694E" w:rsidRPr="0056461F">
        <w:t>If they agree, both t</w:t>
      </w:r>
      <w:r w:rsidR="00BF7744" w:rsidRPr="0056461F">
        <w:t xml:space="preserve">he </w:t>
      </w:r>
      <w:r w:rsidR="00E573FE" w:rsidRPr="0056461F">
        <w:t xml:space="preserve">adult </w:t>
      </w:r>
      <w:r w:rsidR="00DF6437" w:rsidRPr="0056461F">
        <w:t>and</w:t>
      </w:r>
      <w:r w:rsidR="00E573FE" w:rsidRPr="0056461F">
        <w:t xml:space="preserve"> child </w:t>
      </w:r>
      <w:r w:rsidR="00BF7744" w:rsidRPr="0056461F">
        <w:t>participat</w:t>
      </w:r>
      <w:r w:rsidR="00E573FE" w:rsidRPr="0056461F">
        <w:t>ing in</w:t>
      </w:r>
      <w:r w:rsidR="00F41472" w:rsidRPr="0056461F">
        <w:t xml:space="preserve"> </w:t>
      </w:r>
      <w:r w:rsidR="00BF7744" w:rsidRPr="0056461F">
        <w:t xml:space="preserve">the accelerometry data collection will complete </w:t>
      </w:r>
      <w:r w:rsidR="0045694E" w:rsidRPr="0056461F">
        <w:t>an</w:t>
      </w:r>
      <w:r w:rsidR="00E573FE" w:rsidRPr="0056461F">
        <w:t xml:space="preserve"> </w:t>
      </w:r>
      <w:r w:rsidR="00BF7744" w:rsidRPr="0056461F">
        <w:t>Activity Diary</w:t>
      </w:r>
      <w:r w:rsidR="00F41472" w:rsidRPr="0056461F">
        <w:t xml:space="preserve"> </w:t>
      </w:r>
      <w:r w:rsidR="00BF7744" w:rsidRPr="0056461F">
        <w:t xml:space="preserve">over a </w:t>
      </w:r>
      <w:r w:rsidR="00CE775D">
        <w:t>seven-day</w:t>
      </w:r>
      <w:r w:rsidR="00BF7744" w:rsidRPr="0056461F">
        <w:t xml:space="preserve"> period </w:t>
      </w:r>
      <w:r w:rsidR="00E573FE" w:rsidRPr="0056461F">
        <w:t xml:space="preserve">in which </w:t>
      </w:r>
      <w:r w:rsidR="005D0C9C" w:rsidRPr="0056461F">
        <w:t>they are</w:t>
      </w:r>
      <w:r w:rsidR="00E573FE" w:rsidRPr="0056461F">
        <w:t xml:space="preserve"> wearing the accelerometer (a caregiver will complete the </w:t>
      </w:r>
      <w:r w:rsidR="0036738A">
        <w:t>d</w:t>
      </w:r>
      <w:r w:rsidR="0036738A" w:rsidRPr="0056461F">
        <w:t xml:space="preserve">iary </w:t>
      </w:r>
      <w:r w:rsidR="00E573FE" w:rsidRPr="0056461F">
        <w:t>for children aged 3</w:t>
      </w:r>
      <w:r w:rsidR="005D0C9C" w:rsidRPr="0056461F">
        <w:t>–</w:t>
      </w:r>
      <w:r w:rsidR="00E573FE" w:rsidRPr="0056461F">
        <w:t>11)</w:t>
      </w:r>
      <w:r w:rsidR="00BF7744" w:rsidRPr="0056461F">
        <w:t xml:space="preserve">. </w:t>
      </w:r>
      <w:r w:rsidR="00BF7744" w:rsidRPr="0056461F">
        <w:rPr>
          <w:bCs/>
        </w:rPr>
        <w:t xml:space="preserve">The FI will leave the accelerometer with the respondents with instructions </w:t>
      </w:r>
      <w:r w:rsidR="0045694E" w:rsidRPr="0056461F">
        <w:rPr>
          <w:bCs/>
        </w:rPr>
        <w:t xml:space="preserve">(and a stamped, self-addressed envelope) </w:t>
      </w:r>
      <w:r w:rsidR="00BF7744" w:rsidRPr="0056461F">
        <w:rPr>
          <w:bCs/>
        </w:rPr>
        <w:t>on how to return the completed Activity Diar</w:t>
      </w:r>
      <w:r w:rsidR="00E573FE" w:rsidRPr="0056461F">
        <w:rPr>
          <w:bCs/>
        </w:rPr>
        <w:t xml:space="preserve">ies (for adult and child) </w:t>
      </w:r>
      <w:r w:rsidR="00BF7744" w:rsidRPr="0056461F">
        <w:rPr>
          <w:bCs/>
        </w:rPr>
        <w:t>and accelerometer</w:t>
      </w:r>
      <w:r w:rsidR="00E573FE" w:rsidRPr="0056461F">
        <w:rPr>
          <w:bCs/>
        </w:rPr>
        <w:t>s</w:t>
      </w:r>
      <w:r w:rsidR="00BF7744" w:rsidRPr="0056461F">
        <w:rPr>
          <w:bCs/>
        </w:rPr>
        <w:t xml:space="preserve"> for processing.</w:t>
      </w:r>
      <w:r w:rsidR="00B1527A" w:rsidRPr="0056461F">
        <w:rPr>
          <w:b/>
        </w:rPr>
        <w:t xml:space="preserve"> </w:t>
      </w:r>
    </w:p>
    <w:p w:rsidR="00220827" w:rsidRPr="0056461F" w:rsidRDefault="00220827" w:rsidP="00C90014">
      <w:pPr>
        <w:pStyle w:val="Heading3"/>
      </w:pPr>
      <w:bookmarkStart w:id="11" w:name="_Toc348428789"/>
      <w:r w:rsidRPr="0056461F">
        <w:t xml:space="preserve">Items of Information to </w:t>
      </w:r>
      <w:r w:rsidR="00155BCB">
        <w:t>B</w:t>
      </w:r>
      <w:r w:rsidR="00155BCB" w:rsidRPr="0056461F">
        <w:t xml:space="preserve">e </w:t>
      </w:r>
      <w:r w:rsidRPr="0056461F">
        <w:t>Collected</w:t>
      </w:r>
      <w:bookmarkEnd w:id="11"/>
      <w:r w:rsidRPr="0056461F">
        <w:t xml:space="preserve"> </w:t>
      </w:r>
    </w:p>
    <w:p w:rsidR="00220827" w:rsidRPr="0056461F" w:rsidRDefault="00220827" w:rsidP="00C90014">
      <w:pPr>
        <w:pStyle w:val="BodyText"/>
        <w:spacing w:line="240" w:lineRule="auto"/>
        <w:ind w:left="0"/>
      </w:pPr>
      <w:r w:rsidRPr="0056461F">
        <w:t xml:space="preserve">Exhibit </w:t>
      </w:r>
      <w:r w:rsidR="0085535A">
        <w:t>A.1.2</w:t>
      </w:r>
      <w:r w:rsidRPr="0056461F">
        <w:t xml:space="preserve"> provides a summary of the content of the da</w:t>
      </w:r>
      <w:r w:rsidR="00B1527A" w:rsidRPr="0056461F">
        <w:t>ta collection instruments to be</w:t>
      </w:r>
      <w:r w:rsidR="00F41472" w:rsidRPr="0056461F">
        <w:t xml:space="preserve"> </w:t>
      </w:r>
      <w:r w:rsidRPr="0056461F">
        <w:t xml:space="preserve">administered through this </w:t>
      </w:r>
      <w:r w:rsidR="0073662F" w:rsidRPr="0056461F">
        <w:t>study</w:t>
      </w:r>
      <w:r w:rsidRPr="0056461F">
        <w:t xml:space="preserve"> and specifies the sample</w:t>
      </w:r>
      <w:r w:rsidR="00B1527A" w:rsidRPr="0056461F">
        <w:t xml:space="preserve"> sizes</w:t>
      </w:r>
      <w:r w:rsidRPr="0056461F">
        <w:t xml:space="preserve"> for each</w:t>
      </w:r>
      <w:r w:rsidR="00B1527A" w:rsidRPr="0056461F">
        <w:t>. The topics to be</w:t>
      </w:r>
      <w:r w:rsidR="00F41472" w:rsidRPr="0056461F">
        <w:t xml:space="preserve"> </w:t>
      </w:r>
      <w:r w:rsidR="00B1527A" w:rsidRPr="0056461F">
        <w:t xml:space="preserve">addressed by </w:t>
      </w:r>
      <w:r w:rsidRPr="0056461F">
        <w:t xml:space="preserve">the various data collection instruments are described </w:t>
      </w:r>
      <w:r w:rsidR="0036738A">
        <w:t>subsequently</w:t>
      </w:r>
      <w:r w:rsidRPr="0056461F">
        <w:t>.</w:t>
      </w:r>
    </w:p>
    <w:p w:rsidR="00220827" w:rsidRPr="0056461F" w:rsidRDefault="000B3F4E" w:rsidP="00C90014">
      <w:pPr>
        <w:pStyle w:val="Heading3"/>
      </w:pPr>
      <w:bookmarkStart w:id="12" w:name="_Toc348428790"/>
      <w:r w:rsidRPr="0056461F">
        <w:rPr>
          <w:i/>
        </w:rPr>
        <w:t>Standard Protocol</w:t>
      </w:r>
      <w:r w:rsidR="0006685B" w:rsidRPr="0056461F">
        <w:t>: Adult Targeted Surveillance Survey</w:t>
      </w:r>
      <w:bookmarkEnd w:id="12"/>
    </w:p>
    <w:p w:rsidR="00220827" w:rsidRPr="0056461F" w:rsidRDefault="00220827" w:rsidP="00C90014">
      <w:pPr>
        <w:pStyle w:val="BodyText"/>
        <w:spacing w:line="240" w:lineRule="auto"/>
        <w:ind w:left="0"/>
      </w:pPr>
      <w:r w:rsidRPr="0056461F">
        <w:t>The items of information to be collected focus on the following areas:</w:t>
      </w:r>
      <w:r w:rsidR="00BF7744" w:rsidRPr="0056461F">
        <w:t xml:space="preserve"> s</w:t>
      </w:r>
      <w:r w:rsidRPr="0056461F">
        <w:t>ociodemographic characteristics; physical activity; indicators of</w:t>
      </w:r>
      <w:r w:rsidR="007841FA" w:rsidRPr="0056461F">
        <w:t xml:space="preserve"> proper nutrition such as fruit</w:t>
      </w:r>
      <w:r w:rsidR="00BF7744" w:rsidRPr="0056461F">
        <w:t xml:space="preserve"> </w:t>
      </w:r>
      <w:r w:rsidRPr="0056461F">
        <w:t>and vegetable intake; cigarette smoking; high blood pressure and t</w:t>
      </w:r>
      <w:r w:rsidR="007841FA" w:rsidRPr="0056461F">
        <w:t>reatment of the condition; high</w:t>
      </w:r>
      <w:r w:rsidR="00BF7744" w:rsidRPr="0056461F">
        <w:t xml:space="preserve"> </w:t>
      </w:r>
      <w:r w:rsidRPr="0056461F">
        <w:t>cholesterol and treatment of the condition; emotional and gen</w:t>
      </w:r>
      <w:r w:rsidR="007841FA" w:rsidRPr="0056461F">
        <w:t>eral well-being; and awareness,</w:t>
      </w:r>
      <w:r w:rsidR="00BF7744" w:rsidRPr="0056461F">
        <w:t xml:space="preserve"> </w:t>
      </w:r>
      <w:r w:rsidRPr="0056461F">
        <w:t>knowledge, and beliefs about risk factors related to obesity and chronic diseases</w:t>
      </w:r>
      <w:r w:rsidR="002249EA" w:rsidRPr="0056461F">
        <w:t xml:space="preserve"> (Attachment 7A).</w:t>
      </w:r>
    </w:p>
    <w:p w:rsidR="0023390B" w:rsidRPr="0056461F" w:rsidRDefault="00220827" w:rsidP="00713C47">
      <w:pPr>
        <w:pStyle w:val="BodyText"/>
        <w:spacing w:line="240" w:lineRule="auto"/>
        <w:ind w:left="0"/>
      </w:pPr>
      <w:r w:rsidRPr="0056461F">
        <w:t>Questions on the survey were selected to avoid topics that might be sensitive in natur</w:t>
      </w:r>
      <w:r w:rsidR="00DB5820" w:rsidRPr="0056461F">
        <w:t>e (e.g.,</w:t>
      </w:r>
      <w:r w:rsidR="00F41472" w:rsidRPr="0056461F">
        <w:t xml:space="preserve"> </w:t>
      </w:r>
      <w:r w:rsidR="00156703">
        <w:t xml:space="preserve">questions that might be </w:t>
      </w:r>
      <w:r w:rsidRPr="0056461F">
        <w:t xml:space="preserve">embarrassing, </w:t>
      </w:r>
      <w:r w:rsidR="00156703">
        <w:t xml:space="preserve">be </w:t>
      </w:r>
      <w:r w:rsidRPr="0056461F">
        <w:t xml:space="preserve">very private, or </w:t>
      </w:r>
      <w:r w:rsidR="00156703" w:rsidRPr="0056461F">
        <w:t>involv</w:t>
      </w:r>
      <w:r w:rsidR="00156703">
        <w:t>e</w:t>
      </w:r>
      <w:r w:rsidR="00156703" w:rsidRPr="0056461F">
        <w:t xml:space="preserve"> </w:t>
      </w:r>
      <w:r w:rsidRPr="0056461F">
        <w:t>illegal behavior). Item</w:t>
      </w:r>
      <w:r w:rsidR="00DB5820" w:rsidRPr="0056461F">
        <w:t>s have been drawn from existing</w:t>
      </w:r>
      <w:r w:rsidR="00F41472" w:rsidRPr="0056461F">
        <w:t xml:space="preserve"> </w:t>
      </w:r>
      <w:r w:rsidRPr="0056461F">
        <w:t>data sources with valid measures, including the state-ba</w:t>
      </w:r>
      <w:r w:rsidR="00DB5820" w:rsidRPr="0056461F">
        <w:t xml:space="preserve">sed </w:t>
      </w:r>
      <w:r w:rsidR="00CE775D" w:rsidRPr="0056461F">
        <w:t>BRFSS</w:t>
      </w:r>
      <w:r w:rsidR="00CE775D" w:rsidRPr="0056461F">
        <w:rPr>
          <w:vertAlign w:val="superscript"/>
        </w:rPr>
        <w:t>2</w:t>
      </w:r>
      <w:r w:rsidR="009276EB">
        <w:rPr>
          <w:vertAlign w:val="superscript"/>
        </w:rPr>
        <w:t>6</w:t>
      </w:r>
      <w:r w:rsidR="00CE775D" w:rsidRPr="0056461F">
        <w:t xml:space="preserve"> </w:t>
      </w:r>
      <w:r w:rsidR="00DB5820" w:rsidRPr="0056461F">
        <w:t xml:space="preserve">and </w:t>
      </w:r>
      <w:r w:rsidR="00156703">
        <w:t xml:space="preserve">the </w:t>
      </w:r>
      <w:r w:rsidR="00DB5820" w:rsidRPr="0056461F">
        <w:t>National Health</w:t>
      </w:r>
      <w:r w:rsidR="00F41472" w:rsidRPr="0056461F">
        <w:t xml:space="preserve"> </w:t>
      </w:r>
      <w:r w:rsidRPr="0056461F">
        <w:t xml:space="preserve">and Nutrition </w:t>
      </w:r>
      <w:r w:rsidR="005D0C9C" w:rsidRPr="0056461F">
        <w:t xml:space="preserve">Examination </w:t>
      </w:r>
      <w:r w:rsidRPr="0056461F">
        <w:t>Survey (NHANES).</w:t>
      </w:r>
      <w:r w:rsidR="00CE775D" w:rsidRPr="003E23CD">
        <w:rPr>
          <w:rStyle w:val="FootnoteReference"/>
        </w:rPr>
        <w:t>2</w:t>
      </w:r>
      <w:r w:rsidR="009276EB">
        <w:rPr>
          <w:rStyle w:val="FootnoteReference"/>
        </w:rPr>
        <w:t>7</w:t>
      </w:r>
      <w:r w:rsidR="003A57BF">
        <w:t xml:space="preserve"> </w:t>
      </w:r>
      <w:r w:rsidR="0023390B">
        <w:t>New items were developed to facilitate participant selection and interpretation of biometric measurements (Attachment 7D identifies the source for all items on the survey).</w:t>
      </w:r>
    </w:p>
    <w:p w:rsidR="00220827" w:rsidRPr="0056461F" w:rsidRDefault="000B3F4E" w:rsidP="00C90014">
      <w:pPr>
        <w:pStyle w:val="Heading3"/>
      </w:pPr>
      <w:bookmarkStart w:id="13" w:name="_Toc348428791"/>
      <w:r w:rsidRPr="0056461F">
        <w:rPr>
          <w:i/>
        </w:rPr>
        <w:t>Enhanced Protocol</w:t>
      </w:r>
      <w:r w:rsidR="0006685B" w:rsidRPr="0056461F">
        <w:t>: Youth and Adult Biometric Measures</w:t>
      </w:r>
      <w:bookmarkEnd w:id="13"/>
      <w:r w:rsidR="0006685B" w:rsidRPr="0056461F">
        <w:t xml:space="preserve"> </w:t>
      </w:r>
    </w:p>
    <w:p w:rsidR="00010758" w:rsidRPr="0056461F" w:rsidRDefault="00220827" w:rsidP="00C90014">
      <w:pPr>
        <w:pStyle w:val="BodyText"/>
        <w:spacing w:line="240" w:lineRule="auto"/>
        <w:ind w:left="0"/>
      </w:pPr>
      <w:r w:rsidRPr="0056461F">
        <w:t>Data collection will be conducted in a subsample of househ</w:t>
      </w:r>
      <w:r w:rsidR="007841FA" w:rsidRPr="0056461F">
        <w:t xml:space="preserve">olds </w:t>
      </w:r>
      <w:r w:rsidR="00156703">
        <w:t>in which</w:t>
      </w:r>
      <w:r w:rsidR="00156703" w:rsidRPr="0056461F">
        <w:t xml:space="preserve"> </w:t>
      </w:r>
      <w:r w:rsidR="00BF7744" w:rsidRPr="0056461F">
        <w:t xml:space="preserve">an adult </w:t>
      </w:r>
      <w:r w:rsidR="006A3A92" w:rsidRPr="0056461F">
        <w:t xml:space="preserve">was selected to </w:t>
      </w:r>
      <w:r w:rsidR="00BF7744" w:rsidRPr="0056461F">
        <w:t>firs</w:t>
      </w:r>
      <w:r w:rsidR="006A3A92" w:rsidRPr="0056461F">
        <w:t xml:space="preserve">t </w:t>
      </w:r>
      <w:r w:rsidRPr="0056461F">
        <w:t xml:space="preserve">complete the </w:t>
      </w:r>
      <w:r w:rsidR="000B3F4E" w:rsidRPr="0056461F">
        <w:rPr>
          <w:i/>
        </w:rPr>
        <w:t>Standard Protocol</w:t>
      </w:r>
      <w:r w:rsidRPr="0056461F">
        <w:t xml:space="preserve"> (</w:t>
      </w:r>
      <w:r w:rsidR="00BF7744" w:rsidRPr="0056461F">
        <w:t xml:space="preserve">i.e., </w:t>
      </w:r>
      <w:r w:rsidRPr="0056461F">
        <w:t>ATSS) and has also consen</w:t>
      </w:r>
      <w:r w:rsidR="007841FA" w:rsidRPr="0056461F">
        <w:t>ted to a home visit. Households</w:t>
      </w:r>
      <w:r w:rsidR="00BF7744" w:rsidRPr="0056461F">
        <w:t xml:space="preserve"> </w:t>
      </w:r>
      <w:r w:rsidRPr="0056461F">
        <w:t xml:space="preserve">with children will be oversampled to ensure </w:t>
      </w:r>
      <w:r w:rsidR="006A3A92" w:rsidRPr="0056461F">
        <w:t xml:space="preserve">that </w:t>
      </w:r>
      <w:r w:rsidRPr="0056461F">
        <w:t>an adequate numb</w:t>
      </w:r>
      <w:r w:rsidR="007841FA" w:rsidRPr="0056461F">
        <w:t>er of child biometric</w:t>
      </w:r>
      <w:r w:rsidR="00BF7744" w:rsidRPr="0056461F">
        <w:t xml:space="preserve"> </w:t>
      </w:r>
      <w:r w:rsidRPr="0056461F">
        <w:t>measures and surveys are obtained. If the household has m</w:t>
      </w:r>
      <w:r w:rsidR="007841FA" w:rsidRPr="0056461F">
        <w:t>ore than one child, only one is</w:t>
      </w:r>
      <w:r w:rsidR="00BF7744" w:rsidRPr="0056461F">
        <w:t xml:space="preserve"> </w:t>
      </w:r>
      <w:r w:rsidRPr="0056461F">
        <w:t>selected to participate in this protocol</w:t>
      </w:r>
      <w:r w:rsidR="00BF7744" w:rsidRPr="0056461F">
        <w:t xml:space="preserve"> through a process described in Section B.</w:t>
      </w:r>
      <w:r w:rsidR="000B3F4E" w:rsidRPr="0056461F">
        <w:t>2</w:t>
      </w:r>
      <w:r w:rsidRPr="0056461F">
        <w:t xml:space="preserve">. </w:t>
      </w:r>
    </w:p>
    <w:p w:rsidR="00010758" w:rsidRPr="0056461F" w:rsidRDefault="007841FA" w:rsidP="00C90014">
      <w:pPr>
        <w:pStyle w:val="BodyText"/>
        <w:spacing w:line="240" w:lineRule="auto"/>
        <w:ind w:left="0"/>
      </w:pPr>
      <w:r w:rsidRPr="0056461F">
        <w:lastRenderedPageBreak/>
        <w:t xml:space="preserve">The </w:t>
      </w:r>
      <w:r w:rsidR="004362ED" w:rsidRPr="0056461F">
        <w:t>data</w:t>
      </w:r>
      <w:r w:rsidRPr="0056461F">
        <w:t xml:space="preserve"> collected </w:t>
      </w:r>
      <w:r w:rsidR="006A3A92" w:rsidRPr="0056461F">
        <w:t xml:space="preserve">through the </w:t>
      </w:r>
      <w:r w:rsidR="000B3F4E" w:rsidRPr="0056461F">
        <w:rPr>
          <w:i/>
        </w:rPr>
        <w:t>Enhanced Protocol</w:t>
      </w:r>
      <w:r w:rsidR="006A3A92" w:rsidRPr="0056461F">
        <w:t xml:space="preserve"> </w:t>
      </w:r>
      <w:r w:rsidRPr="0056461F">
        <w:t>focus on the following areas:</w:t>
      </w:r>
      <w:r w:rsidR="006A3A92" w:rsidRPr="0056461F">
        <w:t xml:space="preserve"> quantitative biometric measures from adults and children; </w:t>
      </w:r>
      <w:r w:rsidR="00D917DF" w:rsidRPr="0056461F">
        <w:t xml:space="preserve">health </w:t>
      </w:r>
      <w:r w:rsidR="006A3A92" w:rsidRPr="0056461F">
        <w:t>behavior data from or about children; and objective physical activity data.</w:t>
      </w:r>
    </w:p>
    <w:p w:rsidR="009E5A2D" w:rsidRPr="0056461F" w:rsidRDefault="00A970FC" w:rsidP="00C90014">
      <w:pPr>
        <w:pStyle w:val="bullets-blank"/>
        <w:keepLines/>
        <w:tabs>
          <w:tab w:val="clear" w:pos="1440"/>
        </w:tabs>
        <w:spacing w:after="120"/>
        <w:ind w:left="360"/>
      </w:pPr>
      <w:r w:rsidRPr="0056461F">
        <w:t>a.</w:t>
      </w:r>
      <w:r w:rsidRPr="0056461F">
        <w:tab/>
      </w:r>
      <w:r w:rsidR="0006685B" w:rsidRPr="0056461F">
        <w:rPr>
          <w:b/>
          <w:bCs/>
        </w:rPr>
        <w:t>Quantitative Biometric Measures</w:t>
      </w:r>
      <w:r w:rsidR="006A3A92" w:rsidRPr="0056461F">
        <w:rPr>
          <w:b/>
          <w:bCs/>
        </w:rPr>
        <w:t>.</w:t>
      </w:r>
      <w:r w:rsidR="00F41472" w:rsidRPr="0056461F">
        <w:t xml:space="preserve"> </w:t>
      </w:r>
      <w:r w:rsidR="0006685B" w:rsidRPr="0056461F">
        <w:t xml:space="preserve">The proposed biometric measures to be collected </w:t>
      </w:r>
      <w:r w:rsidR="00126F5D">
        <w:t xml:space="preserve">are noninvasive and produce no discernible risk to participants. Proposed measures </w:t>
      </w:r>
      <w:r w:rsidR="0006685B" w:rsidRPr="0056461F">
        <w:t>include the following:</w:t>
      </w:r>
    </w:p>
    <w:p w:rsidR="00010758" w:rsidRPr="0056461F" w:rsidRDefault="00F757EF" w:rsidP="00C90014">
      <w:pPr>
        <w:pStyle w:val="bullets-blank"/>
        <w:keepLines/>
        <w:tabs>
          <w:tab w:val="clear" w:pos="1440"/>
        </w:tabs>
        <w:spacing w:after="120"/>
        <w:ind w:left="720"/>
      </w:pPr>
      <w:r w:rsidRPr="0056461F">
        <w:t>1.</w:t>
      </w:r>
      <w:r w:rsidRPr="0056461F">
        <w:tab/>
      </w:r>
      <w:r w:rsidR="00220827" w:rsidRPr="00FA6765">
        <w:rPr>
          <w:u w:val="single"/>
        </w:rPr>
        <w:t>Anthropometr</w:t>
      </w:r>
      <w:r w:rsidR="009D3942" w:rsidRPr="00FA6765">
        <w:rPr>
          <w:u w:val="single"/>
        </w:rPr>
        <w:t>y</w:t>
      </w:r>
      <w:r w:rsidR="00220827" w:rsidRPr="0056461F">
        <w:t>: BMI, measured as weight in kilograms divided by height in meters squared (Kg/M</w:t>
      </w:r>
      <w:r w:rsidR="002A5B92" w:rsidRPr="0056461F">
        <w:rPr>
          <w:vertAlign w:val="superscript"/>
        </w:rPr>
        <w:t>2</w:t>
      </w:r>
      <w:r w:rsidR="00220827" w:rsidRPr="0056461F">
        <w:t xml:space="preserve">), and waist circumference (centimeters) are both objective measures of obesity. These indices will quantify levels of obesity and are related to dietary habits and physical activity. BMI and waist circumference are also predictors of chronic disease (diabetes, </w:t>
      </w:r>
      <w:r w:rsidR="005D0C9C" w:rsidRPr="0056461F">
        <w:t>CVD</w:t>
      </w:r>
      <w:r w:rsidR="00220827" w:rsidRPr="0056461F">
        <w:t xml:space="preserve">) in adults and in children and adolescents. Decrease in obesity </w:t>
      </w:r>
      <w:r w:rsidR="00577A58">
        <w:t xml:space="preserve">prevalence </w:t>
      </w:r>
      <w:r w:rsidR="00220827" w:rsidRPr="0056461F">
        <w:t xml:space="preserve">is one of the </w:t>
      </w:r>
      <w:r w:rsidR="0045694E" w:rsidRPr="0056461F">
        <w:t>primary goals of the CTG Program</w:t>
      </w:r>
      <w:r w:rsidR="00220827" w:rsidRPr="0056461F">
        <w:t xml:space="preserve">. </w:t>
      </w:r>
    </w:p>
    <w:p w:rsidR="00010758" w:rsidRPr="0056461F" w:rsidRDefault="00F757EF" w:rsidP="00126F5D">
      <w:pPr>
        <w:pStyle w:val="bullets-blank"/>
        <w:keepLines/>
        <w:tabs>
          <w:tab w:val="clear" w:pos="1440"/>
        </w:tabs>
        <w:spacing w:after="120"/>
        <w:ind w:left="720"/>
      </w:pPr>
      <w:r w:rsidRPr="0056461F">
        <w:t>2.</w:t>
      </w:r>
      <w:r w:rsidRPr="0056461F">
        <w:tab/>
      </w:r>
      <w:r w:rsidR="00220827" w:rsidRPr="00FA6765">
        <w:rPr>
          <w:u w:val="single"/>
        </w:rPr>
        <w:t>Saliva Cotinine</w:t>
      </w:r>
      <w:r w:rsidR="00220827" w:rsidRPr="0056461F">
        <w:t xml:space="preserve">: Saliva cotinine determinations provide an objective, biologically relevant measure of exposure to </w:t>
      </w:r>
      <w:r w:rsidR="00470221" w:rsidRPr="0056461F">
        <w:t>secondhand smoke</w:t>
      </w:r>
      <w:r w:rsidR="00220827" w:rsidRPr="0056461F">
        <w:t xml:space="preserve"> in children and adults</w:t>
      </w:r>
      <w:r w:rsidR="0055188A" w:rsidRPr="0056461F">
        <w:t xml:space="preserve"> and tobacco use in adults</w:t>
      </w:r>
      <w:r w:rsidR="00220827" w:rsidRPr="0056461F">
        <w:t xml:space="preserve">. The impact of CTG activities on tobacco use and </w:t>
      </w:r>
      <w:r w:rsidR="00470221" w:rsidRPr="0056461F">
        <w:t>secondhand smoke</w:t>
      </w:r>
      <w:r w:rsidR="00220827" w:rsidRPr="0056461F">
        <w:t xml:space="preserve"> exposure can be assessed by comparing average cotinine levels prior to initiation of CTG activities with average levels after implementation. </w:t>
      </w:r>
    </w:p>
    <w:p w:rsidR="00010758" w:rsidRPr="0056461F" w:rsidRDefault="00F757EF" w:rsidP="00C90014">
      <w:pPr>
        <w:pStyle w:val="bullets-blank"/>
        <w:keepLines/>
        <w:tabs>
          <w:tab w:val="clear" w:pos="1440"/>
        </w:tabs>
        <w:spacing w:after="120"/>
        <w:ind w:left="720"/>
      </w:pPr>
      <w:r w:rsidRPr="0056461F">
        <w:t>3.</w:t>
      </w:r>
      <w:r w:rsidRPr="0056461F">
        <w:tab/>
      </w:r>
      <w:r w:rsidR="00220827" w:rsidRPr="00FA6765">
        <w:rPr>
          <w:u w:val="single"/>
        </w:rPr>
        <w:t>Blood Pressure</w:t>
      </w:r>
      <w:r w:rsidR="00220827" w:rsidRPr="0056461F">
        <w:t xml:space="preserve">: Data on systolic and diastolic blood pressure will be collected from </w:t>
      </w:r>
      <w:r w:rsidR="0006685B" w:rsidRPr="0056461F">
        <w:t>adult participants only</w:t>
      </w:r>
      <w:r w:rsidR="00D917DF" w:rsidRPr="0056461F">
        <w:t xml:space="preserve"> </w:t>
      </w:r>
      <w:r w:rsidR="006E3156" w:rsidRPr="0056461F">
        <w:t xml:space="preserve">during </w:t>
      </w:r>
      <w:r w:rsidR="00220827" w:rsidRPr="0056461F">
        <w:t xml:space="preserve">the in-home </w:t>
      </w:r>
      <w:r w:rsidR="00DF6437" w:rsidRPr="0056461F">
        <w:t>visit</w:t>
      </w:r>
      <w:r w:rsidR="006E3156" w:rsidRPr="0056461F">
        <w:t>.</w:t>
      </w:r>
      <w:r w:rsidR="00220827" w:rsidRPr="0056461F">
        <w:t xml:space="preserve"> Resting heart rate will also be measured on adult participants. As described </w:t>
      </w:r>
      <w:r w:rsidR="00156703">
        <w:t>subsequently</w:t>
      </w:r>
      <w:r w:rsidR="00220827" w:rsidRPr="0056461F">
        <w:t xml:space="preserve">, these measures will be used to ascertain hypertension and </w:t>
      </w:r>
      <w:r w:rsidR="0064167E" w:rsidRPr="0056461F">
        <w:t>current</w:t>
      </w:r>
      <w:r w:rsidR="00220827" w:rsidRPr="0056461F">
        <w:t xml:space="preserve"> treatment of hypertension.</w:t>
      </w:r>
    </w:p>
    <w:p w:rsidR="00010758" w:rsidRPr="0056461F" w:rsidRDefault="0045694E" w:rsidP="009D0B1D">
      <w:pPr>
        <w:pStyle w:val="bullets-blank"/>
        <w:tabs>
          <w:tab w:val="clear" w:pos="1440"/>
        </w:tabs>
        <w:spacing w:after="120"/>
        <w:ind w:left="720"/>
      </w:pPr>
      <w:r w:rsidRPr="0056461F">
        <w:t>4</w:t>
      </w:r>
      <w:r w:rsidR="00F757EF" w:rsidRPr="0056461F">
        <w:t>.</w:t>
      </w:r>
      <w:r w:rsidR="00F757EF" w:rsidRPr="0056461F">
        <w:tab/>
      </w:r>
      <w:r w:rsidR="00220827" w:rsidRPr="00FA6765">
        <w:rPr>
          <w:u w:val="single"/>
        </w:rPr>
        <w:t>Other</w:t>
      </w:r>
      <w:r w:rsidR="00220827" w:rsidRPr="0056461F">
        <w:t xml:space="preserve">: </w:t>
      </w:r>
      <w:r w:rsidRPr="0056461F">
        <w:t>The FI will ask a</w:t>
      </w:r>
      <w:r w:rsidR="00220827" w:rsidRPr="0056461F">
        <w:t xml:space="preserve"> short list of </w:t>
      </w:r>
      <w:r w:rsidR="005A65CC" w:rsidRPr="0056461F">
        <w:t>survey</w:t>
      </w:r>
      <w:r w:rsidR="00220827" w:rsidRPr="0056461F">
        <w:t xml:space="preserve"> items </w:t>
      </w:r>
      <w:r w:rsidR="0005517A" w:rsidRPr="0056461F">
        <w:t>to each adult and child providing biometric measures</w:t>
      </w:r>
      <w:r w:rsidR="009D0B1D">
        <w:t>. The survey items for children are included as part of the Caregiver and Youth Surveys (Attachments 9A and 9B). The survey items for adults are included as part of the Adult Biometric Measures</w:t>
      </w:r>
      <w:r w:rsidR="00713C47" w:rsidRPr="00713C47">
        <w:t xml:space="preserve"> </w:t>
      </w:r>
      <w:r w:rsidR="00713C47">
        <w:t xml:space="preserve">(Attachment </w:t>
      </w:r>
      <w:r w:rsidR="009D0B1D">
        <w:t xml:space="preserve">12A; Attachment </w:t>
      </w:r>
      <w:r w:rsidR="00713C47">
        <w:t xml:space="preserve">12C identifies the source for </w:t>
      </w:r>
      <w:r w:rsidR="009D0B1D">
        <w:t xml:space="preserve">all items that precede </w:t>
      </w:r>
      <w:r w:rsidR="00713C47">
        <w:t xml:space="preserve">the </w:t>
      </w:r>
      <w:r w:rsidR="009D0B1D">
        <w:t xml:space="preserve">adult </w:t>
      </w:r>
      <w:r w:rsidR="00713C47">
        <w:t>biometric measures)</w:t>
      </w:r>
      <w:r w:rsidR="0005517A" w:rsidRPr="0056461F">
        <w:t xml:space="preserve">. The survey items are all </w:t>
      </w:r>
      <w:r w:rsidRPr="0056461F">
        <w:t xml:space="preserve">relevant to interpreting the </w:t>
      </w:r>
      <w:r w:rsidR="0005517A" w:rsidRPr="0056461F">
        <w:t>collected data</w:t>
      </w:r>
      <w:r w:rsidR="00220827" w:rsidRPr="0056461F">
        <w:t xml:space="preserve"> such as </w:t>
      </w:r>
      <w:r w:rsidR="0005517A" w:rsidRPr="0056461F">
        <w:t xml:space="preserve">exposure to </w:t>
      </w:r>
      <w:r w:rsidR="00220827" w:rsidRPr="0056461F">
        <w:t>household smoking, how recently adult participants smoked</w:t>
      </w:r>
      <w:r w:rsidR="0005517A" w:rsidRPr="0056461F">
        <w:t xml:space="preserve"> or were around someone who was smoking</w:t>
      </w:r>
      <w:r w:rsidR="00220827" w:rsidRPr="0056461F">
        <w:t xml:space="preserve">, </w:t>
      </w:r>
      <w:r w:rsidR="0005517A" w:rsidRPr="0056461F">
        <w:t xml:space="preserve">recent </w:t>
      </w:r>
      <w:r w:rsidR="00220827" w:rsidRPr="0056461F">
        <w:t>weigh</w:t>
      </w:r>
      <w:r w:rsidR="0005517A" w:rsidRPr="0056461F">
        <w:t>t</w:t>
      </w:r>
      <w:r w:rsidR="00220827" w:rsidRPr="0056461F">
        <w:t xml:space="preserve"> loss/gain</w:t>
      </w:r>
      <w:r w:rsidR="005F5F3F" w:rsidRPr="0056461F">
        <w:t>,</w:t>
      </w:r>
      <w:r w:rsidR="00220827" w:rsidRPr="0056461F">
        <w:t xml:space="preserve"> and the date and time of day of data collection. </w:t>
      </w:r>
      <w:r w:rsidR="005F5F3F" w:rsidRPr="0056461F">
        <w:t>We</w:t>
      </w:r>
      <w:r w:rsidR="00220827" w:rsidRPr="0056461F">
        <w:t xml:space="preserve"> expect</w:t>
      </w:r>
      <w:r w:rsidRPr="0056461F">
        <w:t>, for example,</w:t>
      </w:r>
      <w:r w:rsidR="00220827" w:rsidRPr="0056461F">
        <w:t xml:space="preserve"> that decreases in household smoking will be correlated with lower saliva cotinine </w:t>
      </w:r>
      <w:r w:rsidR="00E5404E" w:rsidRPr="0056461F">
        <w:t>levels. Adults</w:t>
      </w:r>
      <w:r w:rsidR="00220827" w:rsidRPr="0056461F">
        <w:t xml:space="preserve"> with doctor</w:t>
      </w:r>
      <w:r w:rsidR="00EE0926" w:rsidRPr="0056461F">
        <w:t>-</w:t>
      </w:r>
      <w:r w:rsidR="00220827" w:rsidRPr="0056461F">
        <w:t xml:space="preserve">diagnosed hypertension </w:t>
      </w:r>
      <w:r w:rsidR="003F6DEC" w:rsidRPr="0056461F">
        <w:t xml:space="preserve">or high cholesterol </w:t>
      </w:r>
      <w:r w:rsidR="00220827" w:rsidRPr="0056461F">
        <w:t xml:space="preserve">will be asked to provide details specific to their actions in controlling these conditions (e.g., use of antihypertensive </w:t>
      </w:r>
      <w:r w:rsidR="003F6DEC" w:rsidRPr="0056461F">
        <w:t xml:space="preserve">or cholesterol-lowering </w:t>
      </w:r>
      <w:r w:rsidR="00220827" w:rsidRPr="0056461F">
        <w:t xml:space="preserve">medications, reduced salt intake). </w:t>
      </w:r>
    </w:p>
    <w:p w:rsidR="00010758" w:rsidRPr="0056461F" w:rsidRDefault="00A970FC" w:rsidP="00C90014">
      <w:pPr>
        <w:pStyle w:val="bullets-blank"/>
        <w:keepNext/>
        <w:keepLines/>
        <w:tabs>
          <w:tab w:val="clear" w:pos="1440"/>
        </w:tabs>
        <w:spacing w:after="120"/>
        <w:ind w:left="360"/>
      </w:pPr>
      <w:r w:rsidRPr="0056461F">
        <w:t>b.</w:t>
      </w:r>
      <w:r w:rsidRPr="0056461F">
        <w:tab/>
      </w:r>
      <w:r w:rsidR="00D917DF" w:rsidRPr="0056461F">
        <w:rPr>
          <w:b/>
          <w:bCs/>
        </w:rPr>
        <w:t>Health Behavior Data.</w:t>
      </w:r>
      <w:r w:rsidR="00F41472" w:rsidRPr="0056461F">
        <w:t xml:space="preserve"> </w:t>
      </w:r>
      <w:r w:rsidR="006A3A92" w:rsidRPr="0056461F">
        <w:t xml:space="preserve">For children </w:t>
      </w:r>
      <w:r w:rsidR="00D917DF" w:rsidRPr="0056461F">
        <w:t xml:space="preserve">participating in the </w:t>
      </w:r>
      <w:r w:rsidR="000B3F4E" w:rsidRPr="0056461F">
        <w:rPr>
          <w:i/>
        </w:rPr>
        <w:t>Enhanced Protocol</w:t>
      </w:r>
      <w:r w:rsidR="006A3A92" w:rsidRPr="0056461F">
        <w:t>, the following additional data collection will be co</w:t>
      </w:r>
      <w:r w:rsidR="00D917DF" w:rsidRPr="0056461F">
        <w:t>nducted</w:t>
      </w:r>
      <w:r w:rsidR="0005517A" w:rsidRPr="0056461F">
        <w:t xml:space="preserve"> (adults in the </w:t>
      </w:r>
      <w:r w:rsidR="0005517A" w:rsidRPr="0056461F">
        <w:rPr>
          <w:i/>
          <w:iCs/>
        </w:rPr>
        <w:t>Enhanced Protocol</w:t>
      </w:r>
      <w:r w:rsidR="0005517A" w:rsidRPr="0056461F">
        <w:t xml:space="preserve"> will have already provided this information either by mail or over the</w:t>
      </w:r>
      <w:r w:rsidR="00AD497B">
        <w:t xml:space="preserve"> telephone</w:t>
      </w:r>
      <w:r w:rsidR="0005517A" w:rsidRPr="0056461F">
        <w:t xml:space="preserve"> </w:t>
      </w:r>
      <w:r w:rsidR="00156703">
        <w:t>by completing</w:t>
      </w:r>
      <w:r w:rsidR="0005517A" w:rsidRPr="0056461F">
        <w:t xml:space="preserve"> the ATSS)</w:t>
      </w:r>
      <w:r w:rsidR="00D917DF" w:rsidRPr="0056461F">
        <w:t>:</w:t>
      </w:r>
    </w:p>
    <w:p w:rsidR="00126F5D" w:rsidRDefault="00F757EF" w:rsidP="003F17AD">
      <w:pPr>
        <w:pStyle w:val="bullets-blank"/>
        <w:keepLines/>
        <w:tabs>
          <w:tab w:val="clear" w:pos="1440"/>
        </w:tabs>
        <w:spacing w:after="120"/>
        <w:ind w:left="720"/>
      </w:pPr>
      <w:r w:rsidRPr="0056461F">
        <w:t>1.</w:t>
      </w:r>
      <w:r w:rsidRPr="0056461F">
        <w:tab/>
      </w:r>
      <w:r w:rsidR="00126F5D" w:rsidRPr="00FA6765">
        <w:rPr>
          <w:u w:val="single"/>
        </w:rPr>
        <w:t>Caregiver Survey</w:t>
      </w:r>
      <w:r w:rsidR="00126F5D">
        <w:rPr>
          <w:u w:val="single"/>
        </w:rPr>
        <w:t xml:space="preserve"> (Attachment 9A)</w:t>
      </w:r>
      <w:r w:rsidR="00126F5D">
        <w:t xml:space="preserve">: </w:t>
      </w:r>
      <w:r w:rsidR="00126F5D" w:rsidRPr="0056461F">
        <w:t>In-person survey data on children aged 3–11 years administered to an identified caregiver of the selected child through a CAPI</w:t>
      </w:r>
      <w:r w:rsidR="00126F5D">
        <w:t>-</w:t>
      </w:r>
      <w:r w:rsidR="00126F5D" w:rsidRPr="0056461F">
        <w:t>programmed instrument. When the child selected is 3–11 years of age, a parent/caregiver of the child living in the household will be asked to respond to the Caregiver Survey, which includes questions about the selected child’s eating and exercise behaviors, and exposure to secondhand smoke.</w:t>
      </w:r>
    </w:p>
    <w:p w:rsidR="00010758" w:rsidRPr="0056461F" w:rsidRDefault="00126F5D" w:rsidP="00577A58">
      <w:pPr>
        <w:pStyle w:val="bullets-blank"/>
        <w:keepLines/>
        <w:tabs>
          <w:tab w:val="clear" w:pos="1440"/>
        </w:tabs>
        <w:spacing w:after="120"/>
        <w:ind w:left="720"/>
      </w:pPr>
      <w:r w:rsidRPr="0056461F">
        <w:lastRenderedPageBreak/>
        <w:t>2.</w:t>
      </w:r>
      <w:r w:rsidRPr="0056461F">
        <w:tab/>
      </w:r>
      <w:r w:rsidR="003F17AD" w:rsidRPr="00FA6765">
        <w:rPr>
          <w:u w:val="single"/>
        </w:rPr>
        <w:t>Youth Survey</w:t>
      </w:r>
      <w:r>
        <w:rPr>
          <w:u w:val="single"/>
        </w:rPr>
        <w:t xml:space="preserve"> (Attachment 9B)</w:t>
      </w:r>
      <w:r w:rsidR="003F17AD">
        <w:t xml:space="preserve">: </w:t>
      </w:r>
      <w:r w:rsidR="00D917DF" w:rsidRPr="0056461F">
        <w:t>I</w:t>
      </w:r>
      <w:r w:rsidR="006A3A92" w:rsidRPr="0056461F">
        <w:t xml:space="preserve">n-person </w:t>
      </w:r>
      <w:r w:rsidR="00577A58">
        <w:t xml:space="preserve">self-reported </w:t>
      </w:r>
      <w:r w:rsidR="006A3A92" w:rsidRPr="0056461F">
        <w:t xml:space="preserve">survey data </w:t>
      </w:r>
      <w:r w:rsidR="00577A58">
        <w:t>on</w:t>
      </w:r>
      <w:r w:rsidR="00577A58" w:rsidRPr="0056461F">
        <w:t xml:space="preserve"> </w:t>
      </w:r>
      <w:r w:rsidR="006A3A92" w:rsidRPr="0056461F">
        <w:t xml:space="preserve">children aged 12–17 administered through </w:t>
      </w:r>
      <w:r w:rsidR="004138BA">
        <w:t xml:space="preserve">a </w:t>
      </w:r>
      <w:r w:rsidR="006A3A92" w:rsidRPr="0056461F">
        <w:t>CAPI</w:t>
      </w:r>
      <w:r w:rsidR="004138BA">
        <w:t>-programmed instrument</w:t>
      </w:r>
      <w:r w:rsidR="006A3A92" w:rsidRPr="0056461F">
        <w:t>. Questions will include assessment of the frequency of consumption of sugar</w:t>
      </w:r>
      <w:r w:rsidR="00976B45" w:rsidRPr="0056461F">
        <w:t>-sweetened</w:t>
      </w:r>
      <w:r w:rsidR="006A3A92" w:rsidRPr="0056461F">
        <w:t xml:space="preserve"> drinks including fruit juice, foods with high sugar and fat content, and consumption of healthy foods such as fresh vegetables. In addition, data specific to the </w:t>
      </w:r>
      <w:r w:rsidR="00796DF9" w:rsidRPr="0056461F">
        <w:t xml:space="preserve">setting in which </w:t>
      </w:r>
      <w:r w:rsidR="006A3A92" w:rsidRPr="0056461F">
        <w:t>physical activity</w:t>
      </w:r>
      <w:r w:rsidR="00796DF9" w:rsidRPr="0056461F">
        <w:t xml:space="preserve"> occurs (e.g., leisure, transportation)</w:t>
      </w:r>
      <w:r w:rsidR="006A3A92" w:rsidRPr="0056461F">
        <w:t xml:space="preserve">, and use of tobacco and exposure to </w:t>
      </w:r>
      <w:r w:rsidR="00470221" w:rsidRPr="0056461F">
        <w:t>secondhand smoke</w:t>
      </w:r>
      <w:r w:rsidR="006A3A92" w:rsidRPr="0056461F">
        <w:t xml:space="preserve"> will be collected</w:t>
      </w:r>
      <w:r w:rsidR="00221F37" w:rsidRPr="0056461F">
        <w:t>.</w:t>
      </w:r>
      <w:r w:rsidR="003A57BF">
        <w:t xml:space="preserve"> </w:t>
      </w:r>
    </w:p>
    <w:p w:rsidR="0023390B" w:rsidRPr="0056461F" w:rsidRDefault="0023390B" w:rsidP="00140788">
      <w:pPr>
        <w:pStyle w:val="BodyText"/>
        <w:spacing w:line="240" w:lineRule="auto"/>
        <w:ind w:left="360"/>
      </w:pPr>
      <w:r w:rsidRPr="0056461F">
        <w:t xml:space="preserve">Questions on the </w:t>
      </w:r>
      <w:r>
        <w:t xml:space="preserve">Youth and Caregiver Surveys </w:t>
      </w:r>
      <w:r w:rsidRPr="0056461F">
        <w:t>were</w:t>
      </w:r>
      <w:r>
        <w:t xml:space="preserve"> primarily </w:t>
      </w:r>
      <w:r w:rsidRPr="0056461F">
        <w:t xml:space="preserve">drawn from </w:t>
      </w:r>
      <w:r>
        <w:t>validated surveys or questionnaires.  New items were developed to facilitate participant selection and interpretation of biometric measurements (Attachment 9C identifies the source for all items on the surveys).</w:t>
      </w:r>
    </w:p>
    <w:p w:rsidR="00E5404E" w:rsidRPr="0056461F" w:rsidRDefault="00F757EF" w:rsidP="00C90014">
      <w:pPr>
        <w:pStyle w:val="bullets-blank"/>
        <w:keepLines/>
        <w:tabs>
          <w:tab w:val="clear" w:pos="1440"/>
        </w:tabs>
        <w:spacing w:after="120"/>
        <w:ind w:left="360"/>
      </w:pPr>
      <w:r w:rsidRPr="0056461F">
        <w:t>c.</w:t>
      </w:r>
      <w:r w:rsidRPr="0056461F">
        <w:tab/>
      </w:r>
      <w:r w:rsidR="00221F37" w:rsidRPr="0056461F">
        <w:rPr>
          <w:b/>
          <w:bCs/>
        </w:rPr>
        <w:t>Objective Physical Activity Data.</w:t>
      </w:r>
      <w:r w:rsidR="00221F37" w:rsidRPr="0056461F">
        <w:t xml:space="preserve"> A subsample</w:t>
      </w:r>
      <w:r w:rsidR="006A3A92" w:rsidRPr="0056461F">
        <w:t xml:space="preserve"> of </w:t>
      </w:r>
      <w:r w:rsidR="000B3F4E" w:rsidRPr="0056461F">
        <w:rPr>
          <w:i/>
        </w:rPr>
        <w:t>Enhanced Protocol</w:t>
      </w:r>
      <w:r w:rsidR="00221F37" w:rsidRPr="0056461F">
        <w:t xml:space="preserve"> </w:t>
      </w:r>
      <w:r w:rsidR="006A3A92" w:rsidRPr="0056461F">
        <w:t xml:space="preserve">households </w:t>
      </w:r>
      <w:r w:rsidR="00221F37" w:rsidRPr="0056461F">
        <w:t xml:space="preserve">will be </w:t>
      </w:r>
      <w:r w:rsidR="00364FC5" w:rsidRPr="0056461F">
        <w:t>selected for objective assessment of physical activity</w:t>
      </w:r>
      <w:r w:rsidR="00AB542A" w:rsidRPr="0056461F">
        <w:t xml:space="preserve"> using an accelerometer</w:t>
      </w:r>
      <w:r w:rsidR="00364FC5" w:rsidRPr="0056461F">
        <w:t>.</w:t>
      </w:r>
      <w:r w:rsidR="00F41472" w:rsidRPr="0056461F">
        <w:t xml:space="preserve"> </w:t>
      </w:r>
      <w:r w:rsidR="00364FC5" w:rsidRPr="0056461F">
        <w:t>Seven days of a</w:t>
      </w:r>
      <w:r w:rsidR="006A3A92" w:rsidRPr="0056461F">
        <w:t xml:space="preserve">ccelerometer </w:t>
      </w:r>
      <w:r w:rsidR="00364FC5" w:rsidRPr="0056461F">
        <w:t xml:space="preserve">and </w:t>
      </w:r>
      <w:r w:rsidR="00796DF9" w:rsidRPr="0056461F">
        <w:t xml:space="preserve">associated </w:t>
      </w:r>
      <w:r w:rsidR="0005517A" w:rsidRPr="0056461F">
        <w:t>A</w:t>
      </w:r>
      <w:r w:rsidR="00796DF9" w:rsidRPr="0056461F">
        <w:t xml:space="preserve">ctivity </w:t>
      </w:r>
      <w:r w:rsidR="0005517A" w:rsidRPr="0056461F">
        <w:t>D</w:t>
      </w:r>
      <w:r w:rsidR="00796DF9" w:rsidRPr="0056461F">
        <w:t>iary</w:t>
      </w:r>
      <w:r w:rsidR="00364FC5" w:rsidRPr="0056461F">
        <w:t xml:space="preserve"> </w:t>
      </w:r>
      <w:r w:rsidR="006A3A92" w:rsidRPr="0056461F">
        <w:t xml:space="preserve">data will be collected for one child (aged 3–17) and one </w:t>
      </w:r>
      <w:r w:rsidR="009122AA" w:rsidRPr="0056461F">
        <w:t xml:space="preserve">adult </w:t>
      </w:r>
      <w:r w:rsidR="00364FC5" w:rsidRPr="0056461F">
        <w:t>from each selected household</w:t>
      </w:r>
      <w:r w:rsidR="009F2BBD" w:rsidRPr="0056461F">
        <w:t xml:space="preserve"> to calculate t</w:t>
      </w:r>
      <w:r w:rsidR="00796DF9" w:rsidRPr="0056461F">
        <w:t>ime spent engaging in physical activity and intensity of that activity</w:t>
      </w:r>
      <w:r w:rsidR="00364FC5" w:rsidRPr="0056461F">
        <w:t>.</w:t>
      </w:r>
      <w:r w:rsidR="00AB542A" w:rsidRPr="0056461F">
        <w:t xml:space="preserve"> The accelerometer data will enhance our understanding of the levels of activity of individuals and relationships of that activity with levels at the community level for selected awardees in assessing the effects of CTG activities on increasing physical activity levels in children and adults, as well as estimating the extent to which members of the same household are similarly affected by CTG activities.</w:t>
      </w:r>
    </w:p>
    <w:p w:rsidR="00220827" w:rsidRPr="0056461F" w:rsidRDefault="00220827" w:rsidP="00FA6765">
      <w:pPr>
        <w:pStyle w:val="BodyText"/>
        <w:spacing w:line="240" w:lineRule="auto"/>
        <w:ind w:left="0"/>
      </w:pPr>
      <w:r w:rsidRPr="0056461F">
        <w:t xml:space="preserve">Exhibit </w:t>
      </w:r>
      <w:r w:rsidR="0085535A">
        <w:t>A.1.2</w:t>
      </w:r>
      <w:r w:rsidR="00014266" w:rsidRPr="0056461F">
        <w:t xml:space="preserve"> </w:t>
      </w:r>
      <w:r w:rsidRPr="0056461F">
        <w:t xml:space="preserve">provides an overview of the </w:t>
      </w:r>
      <w:r w:rsidR="007F15CD" w:rsidRPr="0056461F">
        <w:t xml:space="preserve">data collection </w:t>
      </w:r>
      <w:r w:rsidRPr="0056461F">
        <w:t xml:space="preserve">instruments to be used </w:t>
      </w:r>
      <w:r w:rsidR="007F15CD" w:rsidRPr="0056461F">
        <w:t>for both</w:t>
      </w:r>
      <w:r w:rsidRPr="0056461F">
        <w:t xml:space="preserve"> the </w:t>
      </w:r>
      <w:r w:rsidR="007F15CD" w:rsidRPr="0056461F">
        <w:rPr>
          <w:i/>
        </w:rPr>
        <w:t xml:space="preserve">Standard </w:t>
      </w:r>
      <w:r w:rsidR="007F15CD" w:rsidRPr="0056461F">
        <w:rPr>
          <w:iCs/>
        </w:rPr>
        <w:t>and</w:t>
      </w:r>
      <w:r w:rsidR="007F15CD" w:rsidRPr="0056461F">
        <w:rPr>
          <w:i/>
        </w:rPr>
        <w:t xml:space="preserve"> </w:t>
      </w:r>
      <w:r w:rsidR="000B3F4E" w:rsidRPr="0056461F">
        <w:rPr>
          <w:i/>
        </w:rPr>
        <w:t>Enhanced Protocol</w:t>
      </w:r>
      <w:r w:rsidR="007F15CD" w:rsidRPr="0056461F">
        <w:rPr>
          <w:i/>
        </w:rPr>
        <w:t>s</w:t>
      </w:r>
      <w:r w:rsidRPr="0056461F">
        <w:t xml:space="preserve">, </w:t>
      </w:r>
      <w:r w:rsidR="000B3F4E" w:rsidRPr="0056461F">
        <w:t xml:space="preserve">including the </w:t>
      </w:r>
      <w:r w:rsidR="003E7D83" w:rsidRPr="0056461F">
        <w:t>sample size goals</w:t>
      </w:r>
      <w:r w:rsidR="000B3F4E" w:rsidRPr="0056461F">
        <w:t>, domains covered in each instrument, and the data collection mode</w:t>
      </w:r>
      <w:r w:rsidRPr="0056461F">
        <w:t>.</w:t>
      </w:r>
    </w:p>
    <w:p w:rsidR="00C92B43" w:rsidRPr="0056461F" w:rsidRDefault="00C92B43" w:rsidP="00C92B43">
      <w:pPr>
        <w:pStyle w:val="Heading4"/>
        <w:spacing w:line="240" w:lineRule="auto"/>
      </w:pPr>
      <w:bookmarkStart w:id="14" w:name="_Toc346540067"/>
      <w:r w:rsidRPr="0056461F">
        <w:t>Identification of Website(s) and Website Content Directed at Children Younger Than 13 Years of Age</w:t>
      </w:r>
    </w:p>
    <w:p w:rsidR="00C92B43" w:rsidRPr="0056461F" w:rsidRDefault="00C92B43" w:rsidP="00C92B43">
      <w:pPr>
        <w:pStyle w:val="BodyText"/>
        <w:spacing w:line="240" w:lineRule="auto"/>
        <w:ind w:left="0"/>
      </w:pPr>
      <w:r w:rsidRPr="0056461F">
        <w:t>This ICR does not refer children younger than 13 years of age to websites.</w:t>
      </w:r>
    </w:p>
    <w:p w:rsidR="00C215BF" w:rsidRPr="0056461F" w:rsidRDefault="00C215BF" w:rsidP="00C90014">
      <w:pPr>
        <w:pStyle w:val="ExhibitTitle"/>
      </w:pPr>
      <w:r w:rsidRPr="0056461F">
        <w:t xml:space="preserve">Exhibit </w:t>
      </w:r>
      <w:r w:rsidR="0085535A">
        <w:t>A.1.2</w:t>
      </w:r>
      <w:r w:rsidRPr="0056461F">
        <w:t xml:space="preserve">. Instruments for </w:t>
      </w:r>
      <w:r w:rsidR="001506DB" w:rsidRPr="0056461F">
        <w:t xml:space="preserve">the </w:t>
      </w:r>
      <w:r w:rsidRPr="0056461F">
        <w:t>Targeted Surveilla</w:t>
      </w:r>
      <w:r w:rsidR="0064167E" w:rsidRPr="0056461F">
        <w:t>nce and Biometric Study</w:t>
      </w:r>
      <w:bookmarkEnd w:id="14"/>
    </w:p>
    <w:tbl>
      <w:tblPr>
        <w:tblW w:w="9648" w:type="dxa"/>
        <w:tblInd w:w="-98" w:type="dxa"/>
        <w:tblBorders>
          <w:top w:val="single" w:sz="12" w:space="0" w:color="auto"/>
          <w:bottom w:val="single" w:sz="12" w:space="0" w:color="auto"/>
          <w:insideH w:val="single" w:sz="4" w:space="0" w:color="auto"/>
        </w:tblBorders>
        <w:tblLayout w:type="fixed"/>
        <w:tblCellMar>
          <w:left w:w="58" w:type="dxa"/>
          <w:right w:w="58" w:type="dxa"/>
        </w:tblCellMar>
        <w:tblLook w:val="04A0" w:firstRow="1" w:lastRow="0" w:firstColumn="1" w:lastColumn="0" w:noHBand="0" w:noVBand="1"/>
      </w:tblPr>
      <w:tblGrid>
        <w:gridCol w:w="1146"/>
        <w:gridCol w:w="1800"/>
        <w:gridCol w:w="1980"/>
        <w:gridCol w:w="3102"/>
        <w:gridCol w:w="1620"/>
      </w:tblGrid>
      <w:tr w:rsidR="00C215BF" w:rsidRPr="0056461F" w:rsidTr="000F1DA4">
        <w:trPr>
          <w:cantSplit/>
          <w:tblHeader/>
        </w:trPr>
        <w:tc>
          <w:tcPr>
            <w:tcW w:w="1146" w:type="dxa"/>
            <w:vAlign w:val="bottom"/>
          </w:tcPr>
          <w:p w:rsidR="00C215BF" w:rsidRPr="0056461F" w:rsidRDefault="001506DB" w:rsidP="00C6513B">
            <w:pPr>
              <w:keepNext/>
              <w:jc w:val="center"/>
              <w:rPr>
                <w:b/>
                <w:bCs/>
              </w:rPr>
            </w:pPr>
            <w:r w:rsidRPr="0056461F">
              <w:rPr>
                <w:b/>
                <w:bCs/>
              </w:rPr>
              <w:t>Protocol</w:t>
            </w:r>
          </w:p>
        </w:tc>
        <w:tc>
          <w:tcPr>
            <w:tcW w:w="1800" w:type="dxa"/>
            <w:tcMar>
              <w:top w:w="0" w:type="dxa"/>
              <w:bottom w:w="0" w:type="dxa"/>
            </w:tcMar>
            <w:vAlign w:val="bottom"/>
            <w:hideMark/>
          </w:tcPr>
          <w:p w:rsidR="00C215BF" w:rsidRPr="0056461F" w:rsidRDefault="00C215BF" w:rsidP="00C6513B">
            <w:pPr>
              <w:keepNext/>
              <w:jc w:val="center"/>
              <w:rPr>
                <w:b/>
                <w:bCs/>
              </w:rPr>
            </w:pPr>
            <w:r w:rsidRPr="0056461F">
              <w:rPr>
                <w:b/>
                <w:bCs/>
              </w:rPr>
              <w:t>Form Name and Description</w:t>
            </w:r>
          </w:p>
        </w:tc>
        <w:tc>
          <w:tcPr>
            <w:tcW w:w="1980" w:type="dxa"/>
            <w:tcMar>
              <w:top w:w="0" w:type="dxa"/>
              <w:bottom w:w="0" w:type="dxa"/>
            </w:tcMar>
            <w:vAlign w:val="bottom"/>
            <w:hideMark/>
          </w:tcPr>
          <w:p w:rsidR="00C215BF" w:rsidRPr="0056461F" w:rsidRDefault="00C215BF" w:rsidP="00C6513B">
            <w:pPr>
              <w:keepNext/>
              <w:jc w:val="center"/>
              <w:rPr>
                <w:b/>
                <w:bCs/>
              </w:rPr>
            </w:pPr>
            <w:r w:rsidRPr="0056461F">
              <w:rPr>
                <w:b/>
                <w:bCs/>
              </w:rPr>
              <w:t>Sampling Frame</w:t>
            </w:r>
          </w:p>
        </w:tc>
        <w:tc>
          <w:tcPr>
            <w:tcW w:w="3102" w:type="dxa"/>
            <w:tcMar>
              <w:top w:w="0" w:type="dxa"/>
              <w:bottom w:w="0" w:type="dxa"/>
            </w:tcMar>
            <w:vAlign w:val="bottom"/>
            <w:hideMark/>
          </w:tcPr>
          <w:p w:rsidR="00C215BF" w:rsidRPr="0056461F" w:rsidRDefault="00C215BF" w:rsidP="00C6513B">
            <w:pPr>
              <w:keepNext/>
              <w:jc w:val="center"/>
              <w:rPr>
                <w:b/>
                <w:bCs/>
              </w:rPr>
            </w:pPr>
            <w:r w:rsidRPr="0056461F">
              <w:rPr>
                <w:b/>
                <w:bCs/>
              </w:rPr>
              <w:t>Domains</w:t>
            </w:r>
          </w:p>
        </w:tc>
        <w:tc>
          <w:tcPr>
            <w:tcW w:w="1620" w:type="dxa"/>
            <w:tcMar>
              <w:top w:w="0" w:type="dxa"/>
              <w:bottom w:w="0" w:type="dxa"/>
            </w:tcMar>
            <w:vAlign w:val="bottom"/>
            <w:hideMark/>
          </w:tcPr>
          <w:p w:rsidR="00C215BF" w:rsidRPr="0056461F" w:rsidRDefault="00C215BF" w:rsidP="00C6513B">
            <w:pPr>
              <w:keepNext/>
              <w:jc w:val="center"/>
              <w:rPr>
                <w:b/>
                <w:bCs/>
              </w:rPr>
            </w:pPr>
            <w:r w:rsidRPr="0056461F">
              <w:rPr>
                <w:b/>
                <w:bCs/>
              </w:rPr>
              <w:t>Data Collection Mode</w:t>
            </w:r>
          </w:p>
        </w:tc>
      </w:tr>
      <w:tr w:rsidR="00C215BF" w:rsidRPr="0056461F" w:rsidTr="000F1DA4">
        <w:trPr>
          <w:cantSplit/>
        </w:trPr>
        <w:tc>
          <w:tcPr>
            <w:tcW w:w="1146" w:type="dxa"/>
          </w:tcPr>
          <w:p w:rsidR="00C215BF" w:rsidRPr="0056461F" w:rsidDel="00C86D99" w:rsidRDefault="001506DB" w:rsidP="00C6513B">
            <w:pPr>
              <w:rPr>
                <w:i/>
              </w:rPr>
            </w:pPr>
            <w:r w:rsidRPr="0056461F">
              <w:rPr>
                <w:i/>
              </w:rPr>
              <w:t xml:space="preserve">Standard </w:t>
            </w:r>
          </w:p>
        </w:tc>
        <w:tc>
          <w:tcPr>
            <w:tcW w:w="1800" w:type="dxa"/>
            <w:tcMar>
              <w:top w:w="0" w:type="dxa"/>
              <w:bottom w:w="0" w:type="dxa"/>
            </w:tcMar>
            <w:hideMark/>
          </w:tcPr>
          <w:p w:rsidR="00C215BF" w:rsidRPr="0056461F" w:rsidRDefault="00C215BF" w:rsidP="00C6513B">
            <w:r w:rsidRPr="0056461F">
              <w:rPr>
                <w:u w:val="single"/>
              </w:rPr>
              <w:t xml:space="preserve">Adult Targeted Surveillance </w:t>
            </w:r>
            <w:r w:rsidR="00522F76" w:rsidRPr="0056461F">
              <w:rPr>
                <w:u w:val="single"/>
              </w:rPr>
              <w:t>Survey</w:t>
            </w:r>
            <w:r w:rsidR="00081EBB" w:rsidRPr="0056461F">
              <w:t>—</w:t>
            </w:r>
            <w:r w:rsidRPr="0056461F">
              <w:t>to obtain household surveillance data on the adults themselves and their household behaviors</w:t>
            </w:r>
          </w:p>
        </w:tc>
        <w:tc>
          <w:tcPr>
            <w:tcW w:w="1980" w:type="dxa"/>
            <w:tcMar>
              <w:top w:w="0" w:type="dxa"/>
              <w:bottom w:w="0" w:type="dxa"/>
            </w:tcMar>
            <w:hideMark/>
          </w:tcPr>
          <w:p w:rsidR="00C215BF" w:rsidRPr="0056461F" w:rsidRDefault="0005517A" w:rsidP="00C6513B">
            <w:r w:rsidRPr="0056461F">
              <w:t xml:space="preserve">Households within </w:t>
            </w:r>
            <w:r w:rsidR="00C215BF" w:rsidRPr="0056461F">
              <w:t xml:space="preserve">20 </w:t>
            </w:r>
            <w:r w:rsidR="00C90014">
              <w:t>awardee areas</w:t>
            </w:r>
            <w:r w:rsidRPr="0056461F">
              <w:t xml:space="preserve"> selected for their geographic and population diversity</w:t>
            </w:r>
            <w:r w:rsidR="000E218D" w:rsidRPr="0056461F">
              <w:t xml:space="preserve">, oversampling for households likely to have </w:t>
            </w:r>
            <w:r w:rsidR="002C7FB5" w:rsidRPr="0056461F">
              <w:t>blacks</w:t>
            </w:r>
            <w:r w:rsidR="000E218D" w:rsidRPr="0056461F">
              <w:t>, Hispanics, or rural residents</w:t>
            </w:r>
          </w:p>
        </w:tc>
        <w:tc>
          <w:tcPr>
            <w:tcW w:w="3102" w:type="dxa"/>
            <w:tcMar>
              <w:top w:w="0" w:type="dxa"/>
              <w:bottom w:w="0" w:type="dxa"/>
            </w:tcMar>
            <w:hideMark/>
          </w:tcPr>
          <w:p w:rsidR="00C215BF" w:rsidRPr="0056461F" w:rsidRDefault="00C215BF" w:rsidP="00C6513B">
            <w:pPr>
              <w:pStyle w:val="Tablebullet"/>
              <w:ind w:left="440"/>
            </w:pPr>
            <w:r w:rsidRPr="0056461F">
              <w:t>Risk behaviors of the responding adult</w:t>
            </w:r>
          </w:p>
          <w:p w:rsidR="00C215BF" w:rsidRPr="0056461F" w:rsidRDefault="00C215BF" w:rsidP="00C6513B">
            <w:pPr>
              <w:pStyle w:val="Tablebullet"/>
              <w:ind w:left="440"/>
            </w:pPr>
            <w:r w:rsidRPr="0056461F">
              <w:t>Risk behaviors of the household (e.g., how often they eat out, what types of foods they purchase, how often, how close is grocery store)</w:t>
            </w:r>
          </w:p>
          <w:p w:rsidR="00C215BF" w:rsidRPr="0056461F" w:rsidRDefault="00F20F66" w:rsidP="00C6513B">
            <w:pPr>
              <w:pStyle w:val="Tablebullet"/>
              <w:ind w:left="440"/>
            </w:pPr>
            <w:r w:rsidRPr="0056461F">
              <w:t>Sociod</w:t>
            </w:r>
            <w:r w:rsidR="00C215BF" w:rsidRPr="0056461F">
              <w:t>emographics</w:t>
            </w:r>
          </w:p>
          <w:p w:rsidR="00C215BF" w:rsidRPr="0056461F" w:rsidRDefault="00C215BF" w:rsidP="00C6513B">
            <w:pPr>
              <w:pStyle w:val="Tablebullet"/>
              <w:ind w:left="440"/>
            </w:pPr>
            <w:r w:rsidRPr="0056461F">
              <w:t xml:space="preserve">Willingness to </w:t>
            </w:r>
            <w:r w:rsidR="009E5A2D" w:rsidRPr="0056461F">
              <w:t>participate in biometric data collection</w:t>
            </w:r>
          </w:p>
        </w:tc>
        <w:tc>
          <w:tcPr>
            <w:tcW w:w="1620" w:type="dxa"/>
            <w:tcMar>
              <w:top w:w="0" w:type="dxa"/>
              <w:bottom w:w="0" w:type="dxa"/>
            </w:tcMar>
            <w:hideMark/>
          </w:tcPr>
          <w:p w:rsidR="00C215BF" w:rsidRPr="0056461F" w:rsidRDefault="00C215BF" w:rsidP="00C6513B">
            <w:r w:rsidRPr="0056461F">
              <w:t xml:space="preserve">CATI, </w:t>
            </w:r>
            <w:r w:rsidR="002C7FB5" w:rsidRPr="0056461F">
              <w:t>paper</w:t>
            </w:r>
          </w:p>
        </w:tc>
      </w:tr>
      <w:tr w:rsidR="000E218D" w:rsidRPr="0056461F" w:rsidTr="000F1DA4">
        <w:trPr>
          <w:cantSplit/>
        </w:trPr>
        <w:tc>
          <w:tcPr>
            <w:tcW w:w="1146" w:type="dxa"/>
            <w:vMerge w:val="restart"/>
          </w:tcPr>
          <w:p w:rsidR="000E218D" w:rsidRPr="0056461F" w:rsidRDefault="000E218D" w:rsidP="00C6513B">
            <w:pPr>
              <w:rPr>
                <w:i/>
              </w:rPr>
            </w:pPr>
            <w:r w:rsidRPr="0056461F">
              <w:rPr>
                <w:i/>
              </w:rPr>
              <w:lastRenderedPageBreak/>
              <w:t xml:space="preserve">Enhanced </w:t>
            </w:r>
          </w:p>
        </w:tc>
        <w:tc>
          <w:tcPr>
            <w:tcW w:w="1800" w:type="dxa"/>
            <w:tcMar>
              <w:top w:w="0" w:type="dxa"/>
              <w:bottom w:w="0" w:type="dxa"/>
            </w:tcMar>
            <w:hideMark/>
          </w:tcPr>
          <w:p w:rsidR="000E218D" w:rsidRPr="0056461F" w:rsidRDefault="000E218D" w:rsidP="00C6513B">
            <w:r w:rsidRPr="0056461F">
              <w:rPr>
                <w:u w:val="single"/>
              </w:rPr>
              <w:t>Adul</w:t>
            </w:r>
            <w:r w:rsidRPr="003F17AD">
              <w:rPr>
                <w:u w:val="single"/>
              </w:rPr>
              <w:t>t</w:t>
            </w:r>
            <w:r w:rsidR="00522F76" w:rsidRPr="00FA6765">
              <w:rPr>
                <w:u w:val="single"/>
              </w:rPr>
              <w:t xml:space="preserve"> </w:t>
            </w:r>
            <w:r w:rsidRPr="00FA6765">
              <w:rPr>
                <w:u w:val="single"/>
              </w:rPr>
              <w:t>Biometric Measures</w:t>
            </w:r>
            <w:r w:rsidRPr="0056461F">
              <w:t>—to collect information specific to the biometric measures</w:t>
            </w:r>
          </w:p>
        </w:tc>
        <w:tc>
          <w:tcPr>
            <w:tcW w:w="1980" w:type="dxa"/>
            <w:tcMar>
              <w:top w:w="0" w:type="dxa"/>
              <w:bottom w:w="0" w:type="dxa"/>
            </w:tcMar>
            <w:hideMark/>
          </w:tcPr>
          <w:p w:rsidR="000E218D" w:rsidRPr="0056461F" w:rsidRDefault="007A2556" w:rsidP="00C6513B">
            <w:r>
              <w:t>Eight</w:t>
            </w:r>
            <w:r w:rsidRPr="0056461F">
              <w:t xml:space="preserve"> </w:t>
            </w:r>
            <w:r w:rsidR="00C90014">
              <w:t>awardee areas</w:t>
            </w:r>
            <w:r w:rsidR="000E218D" w:rsidRPr="0056461F">
              <w:t xml:space="preserve"> of the 20 selected for the </w:t>
            </w:r>
            <w:r w:rsidR="000E218D" w:rsidRPr="0056461F">
              <w:rPr>
                <w:i/>
                <w:iCs/>
              </w:rPr>
              <w:t xml:space="preserve">Standard Protocol; </w:t>
            </w:r>
            <w:r>
              <w:t>a</w:t>
            </w:r>
            <w:r w:rsidRPr="0056461F">
              <w:t xml:space="preserve">dults </w:t>
            </w:r>
            <w:r w:rsidR="000E218D" w:rsidRPr="0056461F">
              <w:t>who have completed ATSS either through Track B or C</w:t>
            </w:r>
          </w:p>
        </w:tc>
        <w:tc>
          <w:tcPr>
            <w:tcW w:w="3102" w:type="dxa"/>
            <w:tcMar>
              <w:top w:w="0" w:type="dxa"/>
              <w:bottom w:w="0" w:type="dxa"/>
            </w:tcMar>
          </w:tcPr>
          <w:p w:rsidR="000E218D" w:rsidRPr="0056461F" w:rsidRDefault="000E218D" w:rsidP="00C6513B">
            <w:pPr>
              <w:pStyle w:val="Tablebullet"/>
              <w:ind w:left="350"/>
            </w:pPr>
            <w:r w:rsidRPr="0056461F">
              <w:t>Collection of height, weight, waist circumference, saliva, and blood pressure</w:t>
            </w:r>
          </w:p>
        </w:tc>
        <w:tc>
          <w:tcPr>
            <w:tcW w:w="1620" w:type="dxa"/>
            <w:tcMar>
              <w:top w:w="0" w:type="dxa"/>
              <w:bottom w:w="0" w:type="dxa"/>
            </w:tcMar>
            <w:hideMark/>
          </w:tcPr>
          <w:p w:rsidR="000E218D" w:rsidRPr="0056461F" w:rsidRDefault="000E218D" w:rsidP="00C6513B">
            <w:r w:rsidRPr="0056461F">
              <w:t>In-home visit—CAPI instrument administered by field interviewer</w:t>
            </w:r>
          </w:p>
        </w:tc>
      </w:tr>
      <w:tr w:rsidR="000E218D" w:rsidRPr="0056461F" w:rsidTr="000F1DA4">
        <w:trPr>
          <w:cantSplit/>
        </w:trPr>
        <w:tc>
          <w:tcPr>
            <w:tcW w:w="1146" w:type="dxa"/>
            <w:vMerge/>
          </w:tcPr>
          <w:p w:rsidR="000E218D" w:rsidRPr="0056461F" w:rsidRDefault="000E218D" w:rsidP="00C6513B">
            <w:pPr>
              <w:rPr>
                <w:i/>
              </w:rPr>
            </w:pPr>
          </w:p>
        </w:tc>
        <w:tc>
          <w:tcPr>
            <w:tcW w:w="1800" w:type="dxa"/>
            <w:tcMar>
              <w:top w:w="0" w:type="dxa"/>
              <w:bottom w:w="0" w:type="dxa"/>
            </w:tcMar>
          </w:tcPr>
          <w:p w:rsidR="000E218D" w:rsidRPr="003F17AD" w:rsidRDefault="000E218D" w:rsidP="00C6513B">
            <w:pPr>
              <w:rPr>
                <w:u w:val="single"/>
              </w:rPr>
            </w:pPr>
            <w:r w:rsidRPr="0056461F">
              <w:rPr>
                <w:u w:val="single"/>
              </w:rPr>
              <w:t xml:space="preserve">Youth </w:t>
            </w:r>
          </w:p>
          <w:p w:rsidR="000E218D" w:rsidRPr="0056461F" w:rsidRDefault="000E218D" w:rsidP="00C6513B">
            <w:r w:rsidRPr="00FA6765">
              <w:rPr>
                <w:u w:val="single"/>
              </w:rPr>
              <w:t>Biometric Measures</w:t>
            </w:r>
            <w:r w:rsidR="00445D7A" w:rsidRPr="00445D7A">
              <w:rPr>
                <w:u w:val="single"/>
              </w:rPr>
              <w:t>—to collect information specific to the biometric measures</w:t>
            </w:r>
          </w:p>
          <w:p w:rsidR="000E218D" w:rsidRPr="0056461F" w:rsidRDefault="000E218D" w:rsidP="00C6513B"/>
        </w:tc>
        <w:tc>
          <w:tcPr>
            <w:tcW w:w="1980" w:type="dxa"/>
            <w:tcMar>
              <w:top w:w="0" w:type="dxa"/>
              <w:bottom w:w="0" w:type="dxa"/>
            </w:tcMar>
          </w:tcPr>
          <w:p w:rsidR="000E218D" w:rsidRPr="0056461F" w:rsidRDefault="007A2556" w:rsidP="00C6513B">
            <w:pPr>
              <w:rPr>
                <w:szCs w:val="24"/>
              </w:rPr>
            </w:pPr>
            <w:r>
              <w:t>Eight</w:t>
            </w:r>
            <w:r w:rsidRPr="0056461F">
              <w:t xml:space="preserve"> </w:t>
            </w:r>
            <w:r w:rsidR="00C90014">
              <w:t>awardee areas</w:t>
            </w:r>
            <w:r w:rsidR="000E218D" w:rsidRPr="0056461F">
              <w:t xml:space="preserve"> of the 20 selected for the </w:t>
            </w:r>
            <w:r w:rsidR="000E218D" w:rsidRPr="0056461F">
              <w:rPr>
                <w:i/>
                <w:iCs/>
              </w:rPr>
              <w:t xml:space="preserve">Standard </w:t>
            </w:r>
            <w:r w:rsidR="00E5404E" w:rsidRPr="0056461F">
              <w:rPr>
                <w:i/>
                <w:iCs/>
              </w:rPr>
              <w:t>Protocol</w:t>
            </w:r>
            <w:r w:rsidR="00E5404E" w:rsidRPr="0056461F">
              <w:rPr>
                <w:szCs w:val="24"/>
              </w:rPr>
              <w:t xml:space="preserve">; </w:t>
            </w:r>
            <w:r w:rsidR="00445D7A">
              <w:rPr>
                <w:szCs w:val="24"/>
              </w:rPr>
              <w:t>c</w:t>
            </w:r>
            <w:r w:rsidR="00445D7A" w:rsidRPr="0056461F">
              <w:rPr>
                <w:szCs w:val="24"/>
              </w:rPr>
              <w:t xml:space="preserve">hildren </w:t>
            </w:r>
            <w:r w:rsidR="000E218D" w:rsidRPr="0056461F">
              <w:rPr>
                <w:szCs w:val="24"/>
              </w:rPr>
              <w:t>aged 3</w:t>
            </w:r>
            <w:r w:rsidR="002C7FB5" w:rsidRPr="0056461F">
              <w:rPr>
                <w:szCs w:val="24"/>
              </w:rPr>
              <w:t>–</w:t>
            </w:r>
            <w:r w:rsidR="000E218D" w:rsidRPr="0056461F">
              <w:rPr>
                <w:szCs w:val="24"/>
              </w:rPr>
              <w:t>17 years living in households with adults who completed ATSS</w:t>
            </w:r>
          </w:p>
        </w:tc>
        <w:tc>
          <w:tcPr>
            <w:tcW w:w="3102" w:type="dxa"/>
            <w:tcMar>
              <w:top w:w="0" w:type="dxa"/>
              <w:bottom w:w="0" w:type="dxa"/>
            </w:tcMar>
          </w:tcPr>
          <w:p w:rsidR="000E218D" w:rsidRPr="0056461F" w:rsidRDefault="000E218D" w:rsidP="00C6513B">
            <w:pPr>
              <w:pStyle w:val="Tablebullet"/>
              <w:ind w:left="350"/>
            </w:pPr>
            <w:r w:rsidRPr="0056461F">
              <w:t>Collection of height, weight, waist circumference, saliva</w:t>
            </w:r>
          </w:p>
        </w:tc>
        <w:tc>
          <w:tcPr>
            <w:tcW w:w="1620" w:type="dxa"/>
            <w:tcMar>
              <w:top w:w="0" w:type="dxa"/>
              <w:bottom w:w="0" w:type="dxa"/>
            </w:tcMar>
          </w:tcPr>
          <w:p w:rsidR="000E218D" w:rsidRPr="0056461F" w:rsidRDefault="000E218D" w:rsidP="00C6513B">
            <w:r w:rsidRPr="0056461F">
              <w:t>In-home visit—CAPI instrument administered by field interviewer</w:t>
            </w:r>
          </w:p>
        </w:tc>
      </w:tr>
      <w:tr w:rsidR="000E218D" w:rsidRPr="0056461F" w:rsidTr="000F1DA4">
        <w:trPr>
          <w:cantSplit/>
        </w:trPr>
        <w:tc>
          <w:tcPr>
            <w:tcW w:w="1146" w:type="dxa"/>
            <w:vMerge/>
          </w:tcPr>
          <w:p w:rsidR="000E218D" w:rsidRPr="0056461F" w:rsidRDefault="000E218D" w:rsidP="00C6513B"/>
        </w:tc>
        <w:tc>
          <w:tcPr>
            <w:tcW w:w="1800" w:type="dxa"/>
            <w:tcMar>
              <w:top w:w="0" w:type="dxa"/>
              <w:bottom w:w="0" w:type="dxa"/>
            </w:tcMar>
            <w:hideMark/>
          </w:tcPr>
          <w:p w:rsidR="000E218D" w:rsidRPr="0056461F" w:rsidRDefault="000E218D" w:rsidP="00C6513B">
            <w:r w:rsidRPr="0056461F">
              <w:rPr>
                <w:u w:val="single"/>
              </w:rPr>
              <w:t>Youth or Caregiver Survey</w:t>
            </w:r>
            <w:r w:rsidRPr="0056461F">
              <w:t xml:space="preserve">—to collect child-specific information on related behaviors (administered to youth </w:t>
            </w:r>
            <w:r w:rsidR="0036738A">
              <w:t>aged</w:t>
            </w:r>
            <w:r w:rsidRPr="0056461F">
              <w:t xml:space="preserve"> 12–17; to caregiver for </w:t>
            </w:r>
            <w:r w:rsidR="00445D7A">
              <w:t xml:space="preserve">children </w:t>
            </w:r>
            <w:r w:rsidR="0045352B" w:rsidRPr="0056461F">
              <w:t>age</w:t>
            </w:r>
            <w:r w:rsidR="0045352B">
              <w:t>d</w:t>
            </w:r>
            <w:r w:rsidR="0045352B" w:rsidRPr="0056461F">
              <w:t xml:space="preserve"> </w:t>
            </w:r>
            <w:r w:rsidRPr="0056461F">
              <w:t>3–11)</w:t>
            </w:r>
          </w:p>
        </w:tc>
        <w:tc>
          <w:tcPr>
            <w:tcW w:w="1980" w:type="dxa"/>
            <w:tcMar>
              <w:top w:w="0" w:type="dxa"/>
              <w:bottom w:w="0" w:type="dxa"/>
            </w:tcMar>
            <w:hideMark/>
          </w:tcPr>
          <w:p w:rsidR="000E218D" w:rsidRPr="0056461F" w:rsidRDefault="007A2556" w:rsidP="00C6513B">
            <w:r>
              <w:t>Eight</w:t>
            </w:r>
            <w:r w:rsidRPr="0056461F">
              <w:t xml:space="preserve"> </w:t>
            </w:r>
            <w:r w:rsidR="00C90014">
              <w:t>awardee areas</w:t>
            </w:r>
            <w:r w:rsidR="000E218D" w:rsidRPr="0056461F">
              <w:t xml:space="preserve"> of the 20 selected for the </w:t>
            </w:r>
            <w:r w:rsidR="000E218D" w:rsidRPr="0056461F">
              <w:rPr>
                <w:i/>
                <w:iCs/>
              </w:rPr>
              <w:t>Standard Protocol</w:t>
            </w:r>
            <w:r w:rsidR="000E218D" w:rsidRPr="0056461F">
              <w:rPr>
                <w:szCs w:val="24"/>
              </w:rPr>
              <w:t>;</w:t>
            </w:r>
            <w:r w:rsidR="00AC16A7" w:rsidRPr="0056461F">
              <w:rPr>
                <w:szCs w:val="24"/>
              </w:rPr>
              <w:t xml:space="preserve"> </w:t>
            </w:r>
            <w:r>
              <w:rPr>
                <w:szCs w:val="24"/>
              </w:rPr>
              <w:t>c</w:t>
            </w:r>
            <w:r w:rsidRPr="0056461F">
              <w:rPr>
                <w:szCs w:val="24"/>
              </w:rPr>
              <w:t xml:space="preserve">hildren </w:t>
            </w:r>
            <w:r w:rsidR="000E218D" w:rsidRPr="0056461F">
              <w:rPr>
                <w:szCs w:val="24"/>
              </w:rPr>
              <w:t>aged 3</w:t>
            </w:r>
            <w:r w:rsidR="002C7FB5" w:rsidRPr="0056461F">
              <w:rPr>
                <w:szCs w:val="24"/>
              </w:rPr>
              <w:t>–</w:t>
            </w:r>
            <w:r w:rsidR="000E218D" w:rsidRPr="0056461F">
              <w:rPr>
                <w:szCs w:val="24"/>
              </w:rPr>
              <w:t>17 years living in households with adults who completed ATSS</w:t>
            </w:r>
          </w:p>
        </w:tc>
        <w:tc>
          <w:tcPr>
            <w:tcW w:w="3102" w:type="dxa"/>
            <w:tcMar>
              <w:top w:w="0" w:type="dxa"/>
              <w:bottom w:w="0" w:type="dxa"/>
            </w:tcMar>
            <w:hideMark/>
          </w:tcPr>
          <w:p w:rsidR="000E218D" w:rsidRPr="0056461F" w:rsidRDefault="000E218D" w:rsidP="00C6513B">
            <w:pPr>
              <w:pStyle w:val="Tablebullet"/>
              <w:ind w:left="350"/>
            </w:pPr>
            <w:r w:rsidRPr="0056461F">
              <w:t>Physical activity</w:t>
            </w:r>
          </w:p>
          <w:p w:rsidR="000E218D" w:rsidRPr="0056461F" w:rsidRDefault="000E218D" w:rsidP="00C6513B">
            <w:pPr>
              <w:pStyle w:val="Tablebullet"/>
              <w:ind w:left="350"/>
            </w:pPr>
            <w:r w:rsidRPr="0056461F">
              <w:t xml:space="preserve">Nutrition </w:t>
            </w:r>
          </w:p>
          <w:p w:rsidR="000E218D" w:rsidRPr="0056461F" w:rsidRDefault="000E218D" w:rsidP="00C6513B">
            <w:pPr>
              <w:pStyle w:val="Tablebullet"/>
              <w:ind w:left="350"/>
            </w:pPr>
            <w:r w:rsidRPr="0056461F">
              <w:t>Smoking (</w:t>
            </w:r>
            <w:r w:rsidR="00156703">
              <w:t xml:space="preserve">children aged </w:t>
            </w:r>
            <w:r w:rsidR="00445D7A">
              <w:br/>
            </w:r>
            <w:r w:rsidRPr="0056461F">
              <w:t>3</w:t>
            </w:r>
            <w:r w:rsidR="00156703">
              <w:t>–</w:t>
            </w:r>
            <w:r w:rsidRPr="0056461F">
              <w:t>11</w:t>
            </w:r>
            <w:r w:rsidR="00156703">
              <w:t xml:space="preserve"> </w:t>
            </w:r>
            <w:r w:rsidRPr="0056461F">
              <w:t xml:space="preserve">are asked about exposure to </w:t>
            </w:r>
            <w:r w:rsidR="00470221" w:rsidRPr="0056461F">
              <w:t>secondhand smoke</w:t>
            </w:r>
            <w:r w:rsidRPr="0056461F">
              <w:t>)</w:t>
            </w:r>
          </w:p>
          <w:p w:rsidR="000E218D" w:rsidRPr="0056461F" w:rsidRDefault="000E218D" w:rsidP="00C6513B">
            <w:pPr>
              <w:pStyle w:val="Tablebullet"/>
              <w:ind w:left="350"/>
            </w:pPr>
            <w:r w:rsidRPr="0056461F">
              <w:t>Health and health care access</w:t>
            </w:r>
          </w:p>
          <w:p w:rsidR="000E218D" w:rsidRPr="0056461F" w:rsidRDefault="000E218D" w:rsidP="00C6513B">
            <w:pPr>
              <w:pStyle w:val="Tablebullet"/>
              <w:ind w:left="350"/>
            </w:pPr>
            <w:r w:rsidRPr="0056461F">
              <w:t xml:space="preserve">Demographics </w:t>
            </w:r>
          </w:p>
          <w:p w:rsidR="000E218D" w:rsidRPr="0056461F" w:rsidRDefault="000E218D" w:rsidP="00C6513B">
            <w:pPr>
              <w:pStyle w:val="Tablebullet"/>
              <w:ind w:left="350"/>
            </w:pPr>
            <w:r w:rsidRPr="0056461F">
              <w:t xml:space="preserve">Questions specific to the biometric data to be collected including exposure to </w:t>
            </w:r>
            <w:r w:rsidR="00470221" w:rsidRPr="0056461F">
              <w:t>secondhand smoke</w:t>
            </w:r>
            <w:r w:rsidRPr="0056461F">
              <w:t xml:space="preserve"> recent weight loss/gain</w:t>
            </w:r>
          </w:p>
        </w:tc>
        <w:tc>
          <w:tcPr>
            <w:tcW w:w="1620" w:type="dxa"/>
            <w:tcMar>
              <w:top w:w="0" w:type="dxa"/>
              <w:bottom w:w="0" w:type="dxa"/>
            </w:tcMar>
            <w:hideMark/>
          </w:tcPr>
          <w:p w:rsidR="000E218D" w:rsidRPr="0056461F" w:rsidRDefault="000E218D" w:rsidP="00C6513B">
            <w:r w:rsidRPr="0056461F">
              <w:t>In-home visit—CAPI instrument administered by field interviewer</w:t>
            </w:r>
          </w:p>
        </w:tc>
      </w:tr>
      <w:tr w:rsidR="00A84C46" w:rsidRPr="0056461F" w:rsidTr="000F1DA4">
        <w:trPr>
          <w:cantSplit/>
        </w:trPr>
        <w:tc>
          <w:tcPr>
            <w:tcW w:w="1146" w:type="dxa"/>
          </w:tcPr>
          <w:p w:rsidR="00A84C46" w:rsidRPr="0056461F" w:rsidRDefault="00A84C46" w:rsidP="00C6513B"/>
        </w:tc>
        <w:tc>
          <w:tcPr>
            <w:tcW w:w="1800" w:type="dxa"/>
            <w:tcMar>
              <w:top w:w="0" w:type="dxa"/>
              <w:bottom w:w="0" w:type="dxa"/>
            </w:tcMar>
          </w:tcPr>
          <w:p w:rsidR="00A84C46" w:rsidRPr="00FA6765" w:rsidRDefault="00A84C46" w:rsidP="00C6513B">
            <w:pPr>
              <w:rPr>
                <w:u w:val="single"/>
              </w:rPr>
            </w:pPr>
            <w:r w:rsidRPr="00FA6765">
              <w:rPr>
                <w:u w:val="single"/>
              </w:rPr>
              <w:t>Activity Diary</w:t>
            </w:r>
          </w:p>
          <w:p w:rsidR="000E218D" w:rsidRPr="0056461F" w:rsidRDefault="000E218D" w:rsidP="00C6513B">
            <w:r w:rsidRPr="0056461F">
              <w:t xml:space="preserve">(adults and youth </w:t>
            </w:r>
            <w:r w:rsidR="0036738A" w:rsidRPr="0056461F">
              <w:t>age</w:t>
            </w:r>
            <w:r w:rsidR="0036738A">
              <w:t>d</w:t>
            </w:r>
            <w:r w:rsidR="0036738A" w:rsidRPr="0056461F">
              <w:t xml:space="preserve"> </w:t>
            </w:r>
            <w:r w:rsidRPr="0056461F">
              <w:t>12</w:t>
            </w:r>
            <w:r w:rsidR="002C7FB5" w:rsidRPr="0056461F">
              <w:t>–</w:t>
            </w:r>
            <w:r w:rsidRPr="0056461F">
              <w:t xml:space="preserve">17 will complete diary themselves; caregiver/ parent will complete diary on behalf of child </w:t>
            </w:r>
            <w:r w:rsidR="0045352B" w:rsidRPr="0056461F">
              <w:t>age</w:t>
            </w:r>
            <w:r w:rsidR="0045352B">
              <w:t>d</w:t>
            </w:r>
            <w:r w:rsidR="0045352B" w:rsidRPr="0056461F">
              <w:t xml:space="preserve"> </w:t>
            </w:r>
            <w:r w:rsidRPr="0056461F">
              <w:t>3</w:t>
            </w:r>
            <w:r w:rsidR="002C7FB5" w:rsidRPr="0056461F">
              <w:t>–</w:t>
            </w:r>
            <w:r w:rsidRPr="0056461F">
              <w:t>11)</w:t>
            </w:r>
          </w:p>
        </w:tc>
        <w:tc>
          <w:tcPr>
            <w:tcW w:w="1980" w:type="dxa"/>
            <w:tcMar>
              <w:top w:w="0" w:type="dxa"/>
              <w:bottom w:w="0" w:type="dxa"/>
            </w:tcMar>
          </w:tcPr>
          <w:p w:rsidR="00A84C46" w:rsidRPr="0056461F" w:rsidRDefault="007A2556" w:rsidP="00C6513B">
            <w:r>
              <w:t>Four</w:t>
            </w:r>
            <w:r w:rsidRPr="0056461F">
              <w:t xml:space="preserve"> </w:t>
            </w:r>
            <w:r w:rsidR="00796DF9" w:rsidRPr="0056461F">
              <w:t>awardees, s</w:t>
            </w:r>
            <w:r w:rsidR="00A84C46" w:rsidRPr="0056461F">
              <w:t xml:space="preserve">ubsample </w:t>
            </w:r>
            <w:r w:rsidR="008D0C4C" w:rsidRPr="0056461F">
              <w:t xml:space="preserve">of </w:t>
            </w:r>
            <w:r w:rsidR="000E218D" w:rsidRPr="0056461F">
              <w:t xml:space="preserve">households completing </w:t>
            </w:r>
            <w:r w:rsidR="000E218D" w:rsidRPr="0056461F">
              <w:rPr>
                <w:i/>
                <w:iCs/>
              </w:rPr>
              <w:t>Enhanced Protocol</w:t>
            </w:r>
          </w:p>
        </w:tc>
        <w:tc>
          <w:tcPr>
            <w:tcW w:w="3102" w:type="dxa"/>
            <w:tcMar>
              <w:top w:w="0" w:type="dxa"/>
              <w:bottom w:w="0" w:type="dxa"/>
            </w:tcMar>
          </w:tcPr>
          <w:p w:rsidR="008665C4" w:rsidRPr="0056461F" w:rsidRDefault="008665C4" w:rsidP="00C6513B">
            <w:pPr>
              <w:pStyle w:val="Tablebullet"/>
              <w:numPr>
                <w:ilvl w:val="0"/>
                <w:numId w:val="0"/>
              </w:numPr>
            </w:pPr>
            <w:r w:rsidRPr="0056461F">
              <w:t xml:space="preserve">Questions to help interpret the objective physical activity data </w:t>
            </w:r>
          </w:p>
          <w:p w:rsidR="008665C4" w:rsidRPr="0056461F" w:rsidRDefault="008665C4" w:rsidP="00C6513B">
            <w:pPr>
              <w:pStyle w:val="Tablebullet"/>
              <w:ind w:left="350"/>
            </w:pPr>
            <w:r w:rsidRPr="0056461F">
              <w:t>Time got up in the morning and went to bed at night</w:t>
            </w:r>
          </w:p>
          <w:p w:rsidR="008665C4" w:rsidRPr="0056461F" w:rsidRDefault="008665C4" w:rsidP="00C6513B">
            <w:pPr>
              <w:pStyle w:val="Tablebullet"/>
              <w:ind w:left="350"/>
            </w:pPr>
            <w:r w:rsidRPr="0056461F">
              <w:t>Time and reason the</w:t>
            </w:r>
            <w:r w:rsidR="00F41472" w:rsidRPr="0056461F">
              <w:t xml:space="preserve"> </w:t>
            </w:r>
            <w:r w:rsidRPr="0056461F">
              <w:t>monitor was removed</w:t>
            </w:r>
          </w:p>
          <w:p w:rsidR="00A84C46" w:rsidRPr="0056461F" w:rsidRDefault="008665C4" w:rsidP="00C6513B">
            <w:pPr>
              <w:pStyle w:val="Tablebullet"/>
              <w:ind w:left="350"/>
            </w:pPr>
            <w:r w:rsidRPr="0056461F">
              <w:t>Type of activity and setting (transpor</w:t>
            </w:r>
            <w:r w:rsidR="007C0BFB" w:rsidRPr="0056461F">
              <w:t>t</w:t>
            </w:r>
            <w:r w:rsidRPr="0056461F">
              <w:t xml:space="preserve">ation, leisure) </w:t>
            </w:r>
          </w:p>
        </w:tc>
        <w:tc>
          <w:tcPr>
            <w:tcW w:w="1620" w:type="dxa"/>
            <w:tcMar>
              <w:top w:w="0" w:type="dxa"/>
              <w:bottom w:w="0" w:type="dxa"/>
            </w:tcMar>
          </w:tcPr>
          <w:p w:rsidR="00A84C46" w:rsidRPr="0056461F" w:rsidRDefault="00F72296" w:rsidP="00C6513B">
            <w:r w:rsidRPr="0056461F">
              <w:t>In-home visit, paper instrument completed by participant or caregiver</w:t>
            </w:r>
            <w:r w:rsidR="001E165B">
              <w:t>; respondent wears accelerometer</w:t>
            </w:r>
          </w:p>
        </w:tc>
      </w:tr>
    </w:tbl>
    <w:p w:rsidR="00C215BF" w:rsidRPr="0056461F" w:rsidRDefault="00C6513B" w:rsidP="00C90014">
      <w:pPr>
        <w:pStyle w:val="exhibitsource"/>
        <w:spacing w:after="240"/>
      </w:pPr>
      <w:r>
        <w:t xml:space="preserve">CAPI = computer-assisted personal interviewing; </w:t>
      </w:r>
      <w:r w:rsidR="00CF231F">
        <w:t>CATI = computer-assisted telephone interviewing</w:t>
      </w:r>
      <w:r>
        <w:t>.</w:t>
      </w:r>
    </w:p>
    <w:p w:rsidR="0026020B" w:rsidRPr="0056461F" w:rsidRDefault="00655767" w:rsidP="002C1227">
      <w:pPr>
        <w:pStyle w:val="Heading2"/>
        <w:spacing w:after="0"/>
        <w:rPr>
          <w:i/>
          <w:iCs/>
          <w:u w:val="single"/>
        </w:rPr>
      </w:pPr>
      <w:bookmarkStart w:id="15" w:name="_Toc348428792"/>
      <w:r w:rsidRPr="0056461F">
        <w:lastRenderedPageBreak/>
        <w:t>A</w:t>
      </w:r>
      <w:r w:rsidR="0085535A">
        <w:t>.</w:t>
      </w:r>
      <w:r w:rsidRPr="0056461F">
        <w:t>2</w:t>
      </w:r>
      <w:r w:rsidRPr="0056461F">
        <w:tab/>
      </w:r>
      <w:r w:rsidR="0026020B" w:rsidRPr="0056461F">
        <w:t>Purpose</w:t>
      </w:r>
      <w:r w:rsidR="00E21058" w:rsidRPr="0056461F">
        <w:t>s</w:t>
      </w:r>
      <w:r w:rsidR="0026020B" w:rsidRPr="0056461F">
        <w:t xml:space="preserve"> and Use of the Information Collection</w:t>
      </w:r>
      <w:bookmarkEnd w:id="15"/>
    </w:p>
    <w:p w:rsidR="00E00805" w:rsidRPr="0056461F" w:rsidRDefault="000E218D" w:rsidP="00126F5D">
      <w:pPr>
        <w:pStyle w:val="BodyText"/>
        <w:spacing w:line="240" w:lineRule="auto"/>
        <w:ind w:left="0"/>
      </w:pPr>
      <w:r w:rsidRPr="0056461F">
        <w:t>The primary purpos</w:t>
      </w:r>
      <w:r w:rsidR="00AC16A7" w:rsidRPr="0056461F">
        <w:t>e</w:t>
      </w:r>
      <w:r w:rsidRPr="0056461F">
        <w:t xml:space="preserve"> of th</w:t>
      </w:r>
      <w:r w:rsidR="00AC16A7" w:rsidRPr="0056461F">
        <w:t xml:space="preserve">e CTG Targeted Surveillance and Biometric Study </w:t>
      </w:r>
      <w:r w:rsidRPr="0056461F">
        <w:t xml:space="preserve">is </w:t>
      </w:r>
      <w:r w:rsidR="002C7FB5" w:rsidRPr="0056461F">
        <w:t xml:space="preserve">to </w:t>
      </w:r>
      <w:r w:rsidRPr="0056461F">
        <w:t xml:space="preserve">collect data </w:t>
      </w:r>
      <w:r w:rsidR="001428F8">
        <w:t>to examine the extent to which</w:t>
      </w:r>
      <w:r w:rsidR="00522F76" w:rsidRPr="0056461F">
        <w:rPr>
          <w:bCs/>
        </w:rPr>
        <w:t xml:space="preserve"> CTG awardees achieve targeted improvements in the outcomes noted in the ACA: </w:t>
      </w:r>
      <w:r w:rsidR="00522F76" w:rsidRPr="0056461F">
        <w:rPr>
          <w:rFonts w:eastAsia="DeVinne"/>
        </w:rPr>
        <w:t xml:space="preserve">(i) changes in weight; (ii) changes in proper nutrition; (iii) changes in physical activity; (iv) changes in tobacco use prevalence; (v) changes in emotional well-being and overall mental health; </w:t>
      </w:r>
      <w:r w:rsidR="0045352B" w:rsidRPr="0056461F">
        <w:rPr>
          <w:rFonts w:eastAsia="DeVinne"/>
        </w:rPr>
        <w:t xml:space="preserve">and </w:t>
      </w:r>
      <w:r w:rsidR="00522F76" w:rsidRPr="0056461F">
        <w:rPr>
          <w:rFonts w:eastAsia="DeVinne"/>
        </w:rPr>
        <w:t xml:space="preserve">(vi) </w:t>
      </w:r>
      <w:r w:rsidR="00522F76" w:rsidRPr="0056461F">
        <w:rPr>
          <w:bCs/>
        </w:rPr>
        <w:t>other key behavioral, biometric, and health status indicators</w:t>
      </w:r>
      <w:r w:rsidR="001428F8">
        <w:rPr>
          <w:bCs/>
        </w:rPr>
        <w:t>.</w:t>
      </w:r>
      <w:r w:rsidR="00522F76" w:rsidRPr="0056461F">
        <w:rPr>
          <w:bCs/>
        </w:rPr>
        <w:t xml:space="preserve"> </w:t>
      </w:r>
      <w:r w:rsidR="00E00805" w:rsidRPr="0056461F">
        <w:t xml:space="preserve">The </w:t>
      </w:r>
      <w:r w:rsidR="008579F2" w:rsidRPr="0056461F">
        <w:t>CTG</w:t>
      </w:r>
      <w:r w:rsidR="00D41DCB" w:rsidRPr="0056461F">
        <w:t xml:space="preserve"> Program</w:t>
      </w:r>
      <w:r w:rsidR="00E00805" w:rsidRPr="0056461F">
        <w:t xml:space="preserve"> is a new initiative with requirements to create healthier communities</w:t>
      </w:r>
      <w:r w:rsidR="002D1884" w:rsidRPr="0056461F">
        <w:t xml:space="preserve"> by addressing the primary risk factors associated with chronic diseases (e.g., proper nutrition, tobacco use)</w:t>
      </w:r>
      <w:r w:rsidR="00E00805" w:rsidRPr="0056461F">
        <w:t xml:space="preserve"> through implementation of sustainable, broad, evidence- and practice-based </w:t>
      </w:r>
      <w:r w:rsidR="00AE7666" w:rsidRPr="0056461F">
        <w:t>strategies</w:t>
      </w:r>
      <w:r w:rsidR="00E00805" w:rsidRPr="0056461F">
        <w:t xml:space="preserve"> in counties, states, tribes, and territories. </w:t>
      </w:r>
      <w:r w:rsidR="003E164B" w:rsidRPr="0056461F">
        <w:t xml:space="preserve">The goals of the </w:t>
      </w:r>
      <w:r w:rsidR="00245865" w:rsidRPr="0056461F">
        <w:t>CTG evaluation plan are to</w:t>
      </w:r>
      <w:r w:rsidR="00245865" w:rsidRPr="0056461F">
        <w:rPr>
          <w:rFonts w:eastAsia="+mn-ea"/>
          <w:b/>
          <w:kern w:val="24"/>
        </w:rPr>
        <w:t xml:space="preserve"> </w:t>
      </w:r>
      <w:r w:rsidR="00245865" w:rsidRPr="0056461F">
        <w:rPr>
          <w:rFonts w:eastAsia="+mn-ea"/>
          <w:kern w:val="24"/>
        </w:rPr>
        <w:t xml:space="preserve">(1) </w:t>
      </w:r>
      <w:r w:rsidR="00245865" w:rsidRPr="0056461F">
        <w:t xml:space="preserve">conduct strategic and rigorous evaluations in collaboration with awardees to fill critical gaps in the evidence base; (2) acknowledge and understand the complex and dynamic environments in which we work, live, learn, play, and pray; (3) address questions </w:t>
      </w:r>
      <w:r w:rsidR="003E164B" w:rsidRPr="0056461F">
        <w:t>related to health disparities and health equity; and (4) assess change in core variables</w:t>
      </w:r>
      <w:r w:rsidR="002D1884" w:rsidRPr="0056461F">
        <w:t xml:space="preserve"> </w:t>
      </w:r>
      <w:r w:rsidR="00126F5D">
        <w:t>related to the five strategic directives, as specified in the ACA legislation.</w:t>
      </w:r>
      <w:r w:rsidR="00126F5D" w:rsidRPr="0056461F">
        <w:t xml:space="preserve"> </w:t>
      </w:r>
    </w:p>
    <w:p w:rsidR="003F17AD" w:rsidRDefault="00E00805" w:rsidP="00C90014">
      <w:pPr>
        <w:pStyle w:val="BodyText"/>
        <w:spacing w:line="240" w:lineRule="auto"/>
        <w:ind w:left="0"/>
      </w:pPr>
      <w:r w:rsidRPr="0056461F">
        <w:t xml:space="preserve">The data </w:t>
      </w:r>
      <w:r w:rsidR="00DF0C81" w:rsidRPr="0056461F">
        <w:t xml:space="preserve">collected </w:t>
      </w:r>
      <w:r w:rsidR="009C52DA" w:rsidRPr="0056461F">
        <w:t>from</w:t>
      </w:r>
      <w:r w:rsidR="00DF0C81" w:rsidRPr="0056461F">
        <w:t xml:space="preserve"> the </w:t>
      </w:r>
      <w:r w:rsidR="008F4DD5" w:rsidRPr="0056461F">
        <w:rPr>
          <w:i/>
        </w:rPr>
        <w:t xml:space="preserve">Standard </w:t>
      </w:r>
      <w:r w:rsidR="000B3A26" w:rsidRPr="0056461F">
        <w:rPr>
          <w:iCs/>
        </w:rPr>
        <w:t>and</w:t>
      </w:r>
      <w:r w:rsidR="000B3A26" w:rsidRPr="0056461F">
        <w:rPr>
          <w:i/>
        </w:rPr>
        <w:t xml:space="preserve"> </w:t>
      </w:r>
      <w:r w:rsidR="000B3F4E" w:rsidRPr="0056461F">
        <w:rPr>
          <w:i/>
        </w:rPr>
        <w:t>Enhanced Protocol</w:t>
      </w:r>
      <w:r w:rsidR="000B3A26" w:rsidRPr="0056461F">
        <w:rPr>
          <w:i/>
        </w:rPr>
        <w:t>s</w:t>
      </w:r>
      <w:r w:rsidR="00DF0C81" w:rsidRPr="0056461F">
        <w:t xml:space="preserve"> </w:t>
      </w:r>
      <w:r w:rsidRPr="0056461F">
        <w:t>will be used in multiple ways. First, the biennial data collection schedule will enable monitoring of changes in intermediate and long-term outcomes of interventions for a subset of CTG awardees.</w:t>
      </w:r>
      <w:r w:rsidR="00550C15" w:rsidRPr="0056461F">
        <w:t xml:space="preserve"> </w:t>
      </w:r>
      <w:r w:rsidRPr="0056461F">
        <w:t xml:space="preserve">Second, the data will be used to determine the extent of health disparities at baseline and monitor progress toward reducing health disparities over time in racial and ethnic groups served by the CTG </w:t>
      </w:r>
      <w:r w:rsidR="00C90014">
        <w:t>awardees</w:t>
      </w:r>
      <w:r w:rsidRPr="0056461F">
        <w:t>.</w:t>
      </w:r>
      <w:r w:rsidR="00550C15" w:rsidRPr="0056461F">
        <w:t xml:space="preserve"> </w:t>
      </w:r>
      <w:r w:rsidRPr="0056461F">
        <w:t xml:space="preserve">Third, the data will provide a scientific basis to assist CDC and other governmental agencies in determining the need and direction of additional </w:t>
      </w:r>
      <w:r w:rsidR="00AB542A" w:rsidRPr="0056461F">
        <w:t>p</w:t>
      </w:r>
      <w:r w:rsidR="00D41DCB" w:rsidRPr="0056461F">
        <w:t>rogram</w:t>
      </w:r>
      <w:r w:rsidRPr="0056461F">
        <w:t xml:space="preserve">s and serve as a model for potential future assessments. </w:t>
      </w:r>
    </w:p>
    <w:p w:rsidR="003F17AD" w:rsidRPr="00FA6765" w:rsidRDefault="003F17AD" w:rsidP="000F1DA4">
      <w:pPr>
        <w:pStyle w:val="Heading3"/>
      </w:pPr>
      <w:r w:rsidRPr="00FA6765">
        <w:t>Privacy Impact Assessment</w:t>
      </w:r>
    </w:p>
    <w:p w:rsidR="002057DB" w:rsidRDefault="003F17AD" w:rsidP="00C634D2">
      <w:pPr>
        <w:pStyle w:val="BodyText"/>
        <w:spacing w:line="240" w:lineRule="auto"/>
        <w:ind w:left="0"/>
      </w:pPr>
      <w:r>
        <w:t xml:space="preserve">As described in </w:t>
      </w:r>
      <w:r w:rsidR="006C62B5">
        <w:t xml:space="preserve">Section </w:t>
      </w:r>
      <w:r>
        <w:t>A</w:t>
      </w:r>
      <w:r w:rsidR="006C62B5">
        <w:t>.</w:t>
      </w:r>
      <w:r>
        <w:t>10</w:t>
      </w:r>
      <w:r w:rsidR="00510239">
        <w:t>.A</w:t>
      </w:r>
      <w:r>
        <w:t xml:space="preserve">, </w:t>
      </w:r>
      <w:r w:rsidR="002057DB">
        <w:t xml:space="preserve">the </w:t>
      </w:r>
      <w:r w:rsidR="002057DB" w:rsidRPr="0056461F">
        <w:t xml:space="preserve">CDC has determined that the Privacy Act applies to this </w:t>
      </w:r>
      <w:r w:rsidR="002057DB">
        <w:t>study</w:t>
      </w:r>
      <w:r w:rsidR="002057DB" w:rsidRPr="0056461F">
        <w:t>. The applicable System of Records Notice is 09-20-0136, Epidemiologic Studies and Surveillance of Disease Problems.</w:t>
      </w:r>
      <w:r w:rsidR="002057DB">
        <w:t xml:space="preserve"> The </w:t>
      </w:r>
      <w:r w:rsidR="001E165B">
        <w:t>A</w:t>
      </w:r>
      <w:r w:rsidR="002057DB">
        <w:t>ct applies to this study because, in the course of collecting data, respondents’ name</w:t>
      </w:r>
      <w:r w:rsidR="006C62B5">
        <w:t>s</w:t>
      </w:r>
      <w:r w:rsidR="002057DB">
        <w:t>, address</w:t>
      </w:r>
      <w:r w:rsidR="006C62B5">
        <w:t>es</w:t>
      </w:r>
      <w:r w:rsidR="002057DB">
        <w:t>, and telephone number</w:t>
      </w:r>
      <w:r w:rsidR="006C62B5">
        <w:t>s</w:t>
      </w:r>
      <w:r w:rsidR="002057DB">
        <w:t xml:space="preserve"> will need to be stored in order to follow</w:t>
      </w:r>
      <w:r w:rsidR="006C62B5">
        <w:t xml:space="preserve"> </w:t>
      </w:r>
      <w:r w:rsidR="002057DB">
        <w:t xml:space="preserve">up with each respondent involved in the </w:t>
      </w:r>
      <w:r w:rsidR="002057DB" w:rsidRPr="000F1DA4">
        <w:rPr>
          <w:i/>
        </w:rPr>
        <w:t>Enhanced Protocol</w:t>
      </w:r>
      <w:r w:rsidR="002057DB">
        <w:t xml:space="preserve"> </w:t>
      </w:r>
      <w:r w:rsidR="00C634D2">
        <w:t>data c</w:t>
      </w:r>
      <w:r w:rsidR="002057DB">
        <w:t>ollection. As data are collected, they will be stored behind an Enhanced Security Network (ESN) that provides</w:t>
      </w:r>
      <w:r w:rsidR="00330A28">
        <w:t xml:space="preserve"> </w:t>
      </w:r>
      <w:r w:rsidR="002057DB" w:rsidRPr="0056461F">
        <w:t>data security</w:t>
      </w:r>
      <w:r w:rsidR="002057DB">
        <w:t xml:space="preserve"> and</w:t>
      </w:r>
      <w:r w:rsidR="002057DB" w:rsidRPr="0056461F">
        <w:t xml:space="preserve"> availability</w:t>
      </w:r>
      <w:r w:rsidR="009276EB">
        <w:t xml:space="preserve"> </w:t>
      </w:r>
      <w:r w:rsidR="002057DB" w:rsidRPr="0056461F">
        <w:t>at the National Institute of Standards and Technology (NIST) “Moderate” level. We have developed an Information System Security Plan based on NIST Special Publication 800-53 controls and other applicable standards to describe administrative, technical, and physical safeguards to protect the security and availability of the system and information collected for this project.</w:t>
      </w:r>
      <w:r w:rsidR="009276EB">
        <w:t xml:space="preserve"> </w:t>
      </w:r>
      <w:r w:rsidR="002057DB">
        <w:t>All draft documentation has been provided to CDC’s Information Systems Security Officer and an Authority to Operate has been temporarily granted by CDC. Section A</w:t>
      </w:r>
      <w:r w:rsidR="00156703">
        <w:t>.</w:t>
      </w:r>
      <w:r w:rsidR="002057DB">
        <w:t>10 provides more details about the process of data collection and storage to maintain high security for respondent identities.</w:t>
      </w:r>
    </w:p>
    <w:p w:rsidR="00E00805" w:rsidRPr="0056461F" w:rsidRDefault="002057DB" w:rsidP="002057DB">
      <w:pPr>
        <w:pStyle w:val="BodyText"/>
        <w:spacing w:line="240" w:lineRule="auto"/>
        <w:ind w:left="0"/>
      </w:pPr>
      <w:r>
        <w:t>Once all data from a respondent ha</w:t>
      </w:r>
      <w:r w:rsidR="00C6513B">
        <w:t>ve</w:t>
      </w:r>
      <w:r>
        <w:t xml:space="preserve"> been collected, the file will be stripped of any </w:t>
      </w:r>
      <w:r w:rsidR="00C6513B">
        <w:t>personally identifiable informa</w:t>
      </w:r>
      <w:r>
        <w:t xml:space="preserve">tion (PII) before </w:t>
      </w:r>
      <w:r w:rsidR="00694F38">
        <w:t xml:space="preserve">being </w:t>
      </w:r>
      <w:r>
        <w:t>made available to analysts for processing. As data are analyzed, t</w:t>
      </w:r>
      <w:r w:rsidR="00E00805" w:rsidRPr="0056461F">
        <w:t xml:space="preserve">he findings will be provided to </w:t>
      </w:r>
      <w:r w:rsidR="00AE7666" w:rsidRPr="0056461F">
        <w:t>awardees</w:t>
      </w:r>
      <w:r w:rsidR="00E00805" w:rsidRPr="0056461F">
        <w:t xml:space="preserve"> of the surveyed </w:t>
      </w:r>
      <w:r w:rsidR="00C90014">
        <w:t>areas</w:t>
      </w:r>
      <w:r w:rsidR="00E00805" w:rsidRPr="0056461F">
        <w:t xml:space="preserve"> with support</w:t>
      </w:r>
      <w:r w:rsidR="00104C6D" w:rsidRPr="0056461F">
        <w:t>ing</w:t>
      </w:r>
      <w:r w:rsidR="00E00805" w:rsidRPr="0056461F">
        <w:t xml:space="preserve"> documentation (e.g., methodology, data tables, data format, and data use instruction) and may be used in numerous community newsletters, flyers, reports, briefings to local government, </w:t>
      </w:r>
      <w:r w:rsidR="00A90927" w:rsidRPr="0056461F">
        <w:t>and</w:t>
      </w:r>
      <w:r w:rsidR="00E00805" w:rsidRPr="0056461F">
        <w:t xml:space="preserve"> </w:t>
      </w:r>
      <w:r w:rsidR="00E00805" w:rsidRPr="0056461F">
        <w:lastRenderedPageBreak/>
        <w:t xml:space="preserve">publications in scientific journals. CDC can use these </w:t>
      </w:r>
      <w:r w:rsidR="00694F38">
        <w:t>findings</w:t>
      </w:r>
      <w:r w:rsidR="00694F38" w:rsidRPr="0056461F">
        <w:t xml:space="preserve"> </w:t>
      </w:r>
      <w:r w:rsidR="00E00805" w:rsidRPr="0056461F">
        <w:t xml:space="preserve">in </w:t>
      </w:r>
      <w:r w:rsidR="006C62B5">
        <w:t>its</w:t>
      </w:r>
      <w:r w:rsidR="006C62B5" w:rsidRPr="0056461F">
        <w:t xml:space="preserve"> </w:t>
      </w:r>
      <w:r w:rsidR="00E00805" w:rsidRPr="0056461F">
        <w:t>publications, websites, congressional briefing</w:t>
      </w:r>
      <w:r w:rsidR="00A90927" w:rsidRPr="0056461F">
        <w:t>s</w:t>
      </w:r>
      <w:r w:rsidR="00E00805" w:rsidRPr="0056461F">
        <w:t xml:space="preserve">, national conferences, and scientific journals. </w:t>
      </w:r>
    </w:p>
    <w:p w:rsidR="00CB38BF" w:rsidRPr="0056461F" w:rsidRDefault="00655767" w:rsidP="002C1227">
      <w:pPr>
        <w:pStyle w:val="Heading2"/>
        <w:spacing w:after="0"/>
      </w:pPr>
      <w:bookmarkStart w:id="16" w:name="_Toc348428793"/>
      <w:r w:rsidRPr="0056461F">
        <w:t>A</w:t>
      </w:r>
      <w:r w:rsidR="0085535A">
        <w:t>.</w:t>
      </w:r>
      <w:r w:rsidRPr="0056461F">
        <w:t>3</w:t>
      </w:r>
      <w:r w:rsidRPr="0056461F">
        <w:tab/>
      </w:r>
      <w:r w:rsidR="00CB38BF" w:rsidRPr="0056461F">
        <w:t>Use of Improved Information T</w:t>
      </w:r>
      <w:r w:rsidR="005D1B15" w:rsidRPr="0056461F">
        <w:t>echnology and Burden Reduction</w:t>
      </w:r>
      <w:bookmarkEnd w:id="16"/>
    </w:p>
    <w:p w:rsidR="00EC5C61" w:rsidRPr="0056461F" w:rsidRDefault="00AB542A" w:rsidP="00C90014">
      <w:pPr>
        <w:pStyle w:val="BodyText"/>
        <w:spacing w:line="240" w:lineRule="auto"/>
        <w:ind w:left="0"/>
      </w:pPr>
      <w:r w:rsidRPr="0056461F">
        <w:t xml:space="preserve">State-of-the-art information technology and data collection procedures will be used throughout the </w:t>
      </w:r>
      <w:r w:rsidR="008F261D" w:rsidRPr="0056461F">
        <w:t xml:space="preserve">implementation of the </w:t>
      </w:r>
      <w:r w:rsidR="006C62B5">
        <w:t>study</w:t>
      </w:r>
      <w:r w:rsidRPr="0056461F">
        <w:t xml:space="preserve"> to minimize respondent burden, including </w:t>
      </w:r>
      <w:r w:rsidR="00694F38">
        <w:t>thorough</w:t>
      </w:r>
      <w:r w:rsidR="007C0A41">
        <w:t>,</w:t>
      </w:r>
      <w:r w:rsidR="00694F38" w:rsidRPr="0056461F">
        <w:t xml:space="preserve"> </w:t>
      </w:r>
      <w:r w:rsidRPr="0056461F">
        <w:t>intensive training of interviewers so they are familiar with the various scenarios they may encounter on the</w:t>
      </w:r>
      <w:r w:rsidR="00AD497B">
        <w:t xml:space="preserve"> telephone</w:t>
      </w:r>
      <w:r w:rsidRPr="0056461F">
        <w:t xml:space="preserve"> or in the field</w:t>
      </w:r>
      <w:r w:rsidR="00B11261" w:rsidRPr="0056461F">
        <w:t xml:space="preserve"> (so that respondent time is used efficiently)</w:t>
      </w:r>
      <w:r w:rsidRPr="0056461F">
        <w:t>, use of computer-assisted survey administration either by</w:t>
      </w:r>
      <w:r w:rsidR="00AD497B">
        <w:t xml:space="preserve"> telephone</w:t>
      </w:r>
      <w:r w:rsidRPr="0056461F">
        <w:t xml:space="preserve"> or in person, and inclusion of skip patterns in the questions to minimize respondent</w:t>
      </w:r>
      <w:r w:rsidR="00C634D2">
        <w:t xml:space="preserve"> </w:t>
      </w:r>
      <w:r w:rsidR="00694F38">
        <w:t>burden</w:t>
      </w:r>
      <w:r w:rsidRPr="0056461F">
        <w:t xml:space="preserve">. </w:t>
      </w:r>
    </w:p>
    <w:p w:rsidR="00AD12A6" w:rsidRPr="0056461F" w:rsidRDefault="005E11C2" w:rsidP="009A5C0C">
      <w:pPr>
        <w:pStyle w:val="BodyText"/>
        <w:spacing w:line="240" w:lineRule="auto"/>
        <w:ind w:left="0"/>
      </w:pPr>
      <w:r w:rsidRPr="0056461F">
        <w:t xml:space="preserve">Trained </w:t>
      </w:r>
      <w:r w:rsidR="0055188A" w:rsidRPr="0056461F">
        <w:t>T</w:t>
      </w:r>
      <w:r w:rsidR="0036645D" w:rsidRPr="0056461F">
        <w:t>I</w:t>
      </w:r>
      <w:r w:rsidR="0045352B">
        <w:t>s</w:t>
      </w:r>
      <w:r w:rsidR="0045352B" w:rsidRPr="0056461F">
        <w:t xml:space="preserve"> </w:t>
      </w:r>
      <w:r w:rsidRPr="0056461F">
        <w:t xml:space="preserve">will collect </w:t>
      </w:r>
      <w:r w:rsidR="00C109BE" w:rsidRPr="0056461F">
        <w:t xml:space="preserve">ATSS </w:t>
      </w:r>
      <w:r w:rsidRPr="0056461F">
        <w:t xml:space="preserve">data </w:t>
      </w:r>
      <w:r w:rsidR="00C109BE" w:rsidRPr="0056461F">
        <w:t xml:space="preserve">in the </w:t>
      </w:r>
      <w:r w:rsidR="000B3F4E" w:rsidRPr="0056461F">
        <w:rPr>
          <w:i/>
        </w:rPr>
        <w:t>Standard Protocol</w:t>
      </w:r>
      <w:r w:rsidR="00C109BE" w:rsidRPr="0056461F">
        <w:t xml:space="preserve"> </w:t>
      </w:r>
      <w:r w:rsidR="00CA1EB2" w:rsidRPr="0056461F">
        <w:t>using CATI</w:t>
      </w:r>
      <w:r w:rsidR="00550C02" w:rsidRPr="0056461F">
        <w:t xml:space="preserve">, unless the </w:t>
      </w:r>
      <w:r w:rsidR="00CA1EB2" w:rsidRPr="0056461F">
        <w:t xml:space="preserve">respondent </w:t>
      </w:r>
      <w:r w:rsidR="00B11261" w:rsidRPr="0056461F">
        <w:t>chooses to use</w:t>
      </w:r>
      <w:r w:rsidR="00F4610C" w:rsidRPr="0056461F">
        <w:t xml:space="preserve"> </w:t>
      </w:r>
      <w:r w:rsidR="008E6C5A" w:rsidRPr="0056461F">
        <w:t>a paper instrument</w:t>
      </w:r>
      <w:r w:rsidR="00A84C46" w:rsidRPr="0056461F">
        <w:t xml:space="preserve"> received in the mail</w:t>
      </w:r>
      <w:r w:rsidR="00CA1EB2" w:rsidRPr="0056461F">
        <w:t>.</w:t>
      </w:r>
      <w:r w:rsidR="00550C15" w:rsidRPr="0056461F">
        <w:t xml:space="preserve"> </w:t>
      </w:r>
      <w:r w:rsidR="006E04E8" w:rsidRPr="0056461F">
        <w:t>CA</w:t>
      </w:r>
      <w:r w:rsidR="00CA1EB2" w:rsidRPr="0056461F">
        <w:t>T</w:t>
      </w:r>
      <w:r w:rsidR="006E04E8" w:rsidRPr="0056461F">
        <w:t>I</w:t>
      </w:r>
      <w:r w:rsidR="00CA1EB2" w:rsidRPr="0056461F">
        <w:t xml:space="preserve"> </w:t>
      </w:r>
      <w:r w:rsidR="00533967" w:rsidRPr="0056461F">
        <w:t xml:space="preserve">and </w:t>
      </w:r>
      <w:r w:rsidR="008E6C5A" w:rsidRPr="0056461F">
        <w:t xml:space="preserve">paper </w:t>
      </w:r>
      <w:r w:rsidR="00533967" w:rsidRPr="0056461F">
        <w:t>approaches</w:t>
      </w:r>
      <w:r w:rsidR="00CC5876" w:rsidRPr="0056461F">
        <w:t xml:space="preserve"> </w:t>
      </w:r>
      <w:r w:rsidR="00533967" w:rsidRPr="0056461F">
        <w:t xml:space="preserve">are </w:t>
      </w:r>
      <w:r w:rsidR="00CC5876" w:rsidRPr="0056461F">
        <w:t>the most appropriate methodolog</w:t>
      </w:r>
      <w:r w:rsidR="00533967" w:rsidRPr="0056461F">
        <w:t>ies</w:t>
      </w:r>
      <w:r w:rsidR="00CC5876" w:rsidRPr="0056461F">
        <w:t xml:space="preserve"> for </w:t>
      </w:r>
      <w:r w:rsidR="009A5C0C">
        <w:t>collecting these data</w:t>
      </w:r>
      <w:r w:rsidR="00CC5876" w:rsidRPr="0056461F">
        <w:t>.</w:t>
      </w:r>
      <w:r w:rsidR="00562E83" w:rsidRPr="00E61446">
        <w:rPr>
          <w:rStyle w:val="FootnoteReference"/>
        </w:rPr>
        <w:t>28</w:t>
      </w:r>
      <w:r w:rsidR="00550C15" w:rsidRPr="0056461F">
        <w:t xml:space="preserve"> </w:t>
      </w:r>
      <w:r w:rsidR="00E60312" w:rsidRPr="0056461F">
        <w:t>The ATSS is designed to have multiple skip patterns so that respondents can skip entire sections of the instrument if the domain is not applicable to them</w:t>
      </w:r>
      <w:r w:rsidR="00B11261" w:rsidRPr="0056461F">
        <w:t xml:space="preserve">—this greatly minimizes respondent burden </w:t>
      </w:r>
      <w:r w:rsidR="002C7FB5" w:rsidRPr="0056461F">
        <w:t xml:space="preserve">because </w:t>
      </w:r>
      <w:r w:rsidR="00B11261" w:rsidRPr="0056461F">
        <w:t>each is directed to only answer personally relevant questions</w:t>
      </w:r>
      <w:r w:rsidR="00E60312" w:rsidRPr="0056461F">
        <w:t xml:space="preserve">. In </w:t>
      </w:r>
      <w:r w:rsidR="00B11261" w:rsidRPr="0056461F">
        <w:t>this way,</w:t>
      </w:r>
      <w:r w:rsidR="00E60312" w:rsidRPr="0056461F">
        <w:t xml:space="preserve"> t</w:t>
      </w:r>
      <w:r w:rsidR="00CC5876" w:rsidRPr="0056461F">
        <w:t>he</w:t>
      </w:r>
      <w:r w:rsidR="00F603A6" w:rsidRPr="0056461F">
        <w:t xml:space="preserve"> </w:t>
      </w:r>
      <w:r w:rsidR="00533967" w:rsidRPr="0056461F">
        <w:t xml:space="preserve">use of </w:t>
      </w:r>
      <w:r w:rsidR="00F603A6" w:rsidRPr="0056461F">
        <w:t>CATI help</w:t>
      </w:r>
      <w:r w:rsidR="00CC5876" w:rsidRPr="0056461F">
        <w:t>s</w:t>
      </w:r>
      <w:r w:rsidR="00F603A6" w:rsidRPr="0056461F">
        <w:t xml:space="preserve"> </w:t>
      </w:r>
      <w:r w:rsidR="00533967" w:rsidRPr="0056461F">
        <w:t xml:space="preserve">to </w:t>
      </w:r>
      <w:r w:rsidR="00F603A6" w:rsidRPr="0056461F">
        <w:t>keep respondent burden low</w:t>
      </w:r>
      <w:r w:rsidR="00BB49B4" w:rsidRPr="0056461F">
        <w:t xml:space="preserve"> by customizing </w:t>
      </w:r>
      <w:r w:rsidR="00533967" w:rsidRPr="0056461F">
        <w:t xml:space="preserve">and streamlining </w:t>
      </w:r>
      <w:r w:rsidR="00BB49B4" w:rsidRPr="0056461F">
        <w:t>the flow of the question</w:t>
      </w:r>
      <w:r w:rsidR="00533967" w:rsidRPr="0056461F">
        <w:t>s</w:t>
      </w:r>
      <w:r w:rsidR="00BB49B4" w:rsidRPr="0056461F">
        <w:t xml:space="preserve"> </w:t>
      </w:r>
      <w:r w:rsidR="009375E4" w:rsidRPr="0056461F">
        <w:t>to</w:t>
      </w:r>
      <w:r w:rsidR="000E17E7" w:rsidRPr="0056461F">
        <w:t xml:space="preserve"> </w:t>
      </w:r>
      <w:r w:rsidR="009375E4" w:rsidRPr="0056461F">
        <w:t xml:space="preserve">present </w:t>
      </w:r>
      <w:r w:rsidR="00533967" w:rsidRPr="0056461F">
        <w:t xml:space="preserve">only </w:t>
      </w:r>
      <w:r w:rsidR="009375E4" w:rsidRPr="0056461F">
        <w:t xml:space="preserve">those items that are </w:t>
      </w:r>
      <w:r w:rsidR="000E17E7" w:rsidRPr="0056461F">
        <w:t xml:space="preserve">relevant </w:t>
      </w:r>
      <w:r w:rsidR="009375E4" w:rsidRPr="0056461F">
        <w:t>to the respondent based on information collected previously</w:t>
      </w:r>
      <w:r w:rsidR="00BB49B4" w:rsidRPr="0056461F">
        <w:t>.</w:t>
      </w:r>
      <w:r w:rsidR="007D44DA" w:rsidRPr="0056461F">
        <w:t xml:space="preserve"> Completing the ATSS over the telephone also enhances opportunities to explain details about completing the </w:t>
      </w:r>
      <w:r w:rsidR="002A5B92" w:rsidRPr="0056461F">
        <w:rPr>
          <w:i/>
          <w:iCs/>
        </w:rPr>
        <w:t>Enhanced Protocol</w:t>
      </w:r>
      <w:r w:rsidR="007D44DA" w:rsidRPr="0056461F">
        <w:t xml:space="preserve"> via an in-home visit to those respondents who are eligible to participate in the </w:t>
      </w:r>
      <w:r w:rsidR="002A5B92" w:rsidRPr="0056461F">
        <w:rPr>
          <w:i/>
          <w:iCs/>
        </w:rPr>
        <w:t>Enhanced Protocol</w:t>
      </w:r>
      <w:r w:rsidR="007D44DA" w:rsidRPr="0056461F">
        <w:t xml:space="preserve">. </w:t>
      </w:r>
    </w:p>
    <w:p w:rsidR="002F359D" w:rsidRPr="0056461F" w:rsidRDefault="00406269" w:rsidP="00C90014">
      <w:pPr>
        <w:pStyle w:val="BodyText"/>
        <w:spacing w:line="240" w:lineRule="auto"/>
        <w:ind w:left="0"/>
      </w:pPr>
      <w:r w:rsidRPr="0056461F">
        <w:t>In addition, t</w:t>
      </w:r>
      <w:r w:rsidR="00550C02" w:rsidRPr="0056461F">
        <w:t>rained FI</w:t>
      </w:r>
      <w:r w:rsidR="00327AA3" w:rsidRPr="0056461F">
        <w:t xml:space="preserve">s </w:t>
      </w:r>
      <w:r w:rsidR="00550C02" w:rsidRPr="0056461F">
        <w:t xml:space="preserve">will </w:t>
      </w:r>
      <w:r w:rsidR="00EB71CE" w:rsidRPr="0056461F">
        <w:t>gather</w:t>
      </w:r>
      <w:r w:rsidR="00550C02" w:rsidRPr="0056461F">
        <w:t xml:space="preserve"> </w:t>
      </w:r>
      <w:r w:rsidR="00A84C46" w:rsidRPr="0056461F">
        <w:t xml:space="preserve">biometric </w:t>
      </w:r>
      <w:r w:rsidR="008E33FE" w:rsidRPr="0056461F">
        <w:t xml:space="preserve">data and health behavior data, as part of </w:t>
      </w:r>
      <w:r w:rsidR="00BC3DEB" w:rsidRPr="0056461F">
        <w:t xml:space="preserve">the </w:t>
      </w:r>
      <w:r w:rsidR="000B3F4E" w:rsidRPr="0056461F">
        <w:rPr>
          <w:i/>
          <w:iCs/>
        </w:rPr>
        <w:t>Enhanced Protocol</w:t>
      </w:r>
      <w:r w:rsidR="00BC3DEB" w:rsidRPr="0056461F">
        <w:t>.</w:t>
      </w:r>
      <w:r w:rsidR="00F41472" w:rsidRPr="0056461F">
        <w:t xml:space="preserve"> </w:t>
      </w:r>
      <w:r w:rsidR="008E33FE" w:rsidRPr="0056461F">
        <w:t>Health behavior</w:t>
      </w:r>
      <w:r w:rsidR="008F261D" w:rsidRPr="0056461F">
        <w:t xml:space="preserve"> data</w:t>
      </w:r>
      <w:r w:rsidR="008E33FE" w:rsidRPr="0056461F">
        <w:t xml:space="preserve"> are collected through the </w:t>
      </w:r>
      <w:r w:rsidR="00300EBC" w:rsidRPr="0056461F">
        <w:t>Youth</w:t>
      </w:r>
      <w:r w:rsidR="00AD12A6" w:rsidRPr="0056461F">
        <w:t xml:space="preserve"> </w:t>
      </w:r>
      <w:r w:rsidR="00782F56" w:rsidRPr="0056461F">
        <w:t>S</w:t>
      </w:r>
      <w:r w:rsidR="00AD12A6" w:rsidRPr="0056461F">
        <w:t xml:space="preserve">urvey </w:t>
      </w:r>
      <w:r w:rsidR="008E33FE" w:rsidRPr="0056461F">
        <w:t>(Attachment 9B)</w:t>
      </w:r>
      <w:r w:rsidR="00B11261" w:rsidRPr="0056461F">
        <w:t xml:space="preserve"> </w:t>
      </w:r>
      <w:r w:rsidR="007D44DA" w:rsidRPr="0056461F">
        <w:t xml:space="preserve">and </w:t>
      </w:r>
      <w:r w:rsidR="00F20F66" w:rsidRPr="0056461F">
        <w:t>Caregiver Survey</w:t>
      </w:r>
      <w:r w:rsidR="0092120B" w:rsidRPr="0056461F">
        <w:t xml:space="preserve"> </w:t>
      </w:r>
      <w:r w:rsidR="008E33FE" w:rsidRPr="0056461F">
        <w:t xml:space="preserve">(Attachment 9A). The questions in these surveys </w:t>
      </w:r>
      <w:r w:rsidR="00AD12A6" w:rsidRPr="0056461F">
        <w:t>are designed to obtain the required information while keeping respondent bu</w:t>
      </w:r>
      <w:r w:rsidR="00BC3DEB" w:rsidRPr="0056461F">
        <w:t>rden to a</w:t>
      </w:r>
      <w:r w:rsidR="00A84C46" w:rsidRPr="0056461F">
        <w:t xml:space="preserve"> </w:t>
      </w:r>
      <w:r w:rsidR="00AD12A6" w:rsidRPr="0056461F">
        <w:t>minimum</w:t>
      </w:r>
      <w:r w:rsidR="00194247" w:rsidRPr="0056461F">
        <w:t>.</w:t>
      </w:r>
      <w:r w:rsidR="00EB71CE" w:rsidRPr="0056461F">
        <w:t xml:space="preserve"> </w:t>
      </w:r>
      <w:r w:rsidR="001239F5" w:rsidRPr="0056461F">
        <w:t xml:space="preserve">During household visits, the FI will administer the </w:t>
      </w:r>
      <w:r w:rsidR="00300EBC" w:rsidRPr="0056461F">
        <w:t>Youth Survey</w:t>
      </w:r>
      <w:r w:rsidR="001239F5" w:rsidRPr="0056461F">
        <w:t xml:space="preserve"> </w:t>
      </w:r>
      <w:r w:rsidR="00867CFB" w:rsidRPr="0056461F">
        <w:t>(for children aged 12</w:t>
      </w:r>
      <w:r w:rsidR="00327AA3" w:rsidRPr="0056461F">
        <w:t>–</w:t>
      </w:r>
      <w:r w:rsidR="00867CFB" w:rsidRPr="0056461F">
        <w:t xml:space="preserve">17 years) </w:t>
      </w:r>
      <w:r w:rsidR="0092120B" w:rsidRPr="0056461F">
        <w:t xml:space="preserve">or the Caregiver Survey </w:t>
      </w:r>
      <w:r w:rsidR="00867CFB" w:rsidRPr="0056461F">
        <w:t>(for children aged 3</w:t>
      </w:r>
      <w:r w:rsidR="00327AA3" w:rsidRPr="0056461F">
        <w:t>–</w:t>
      </w:r>
      <w:r w:rsidR="00867CFB" w:rsidRPr="0056461F">
        <w:t xml:space="preserve">11 years) </w:t>
      </w:r>
      <w:r w:rsidR="001239F5" w:rsidRPr="0056461F">
        <w:t>on a laptop computer using CAPI</w:t>
      </w:r>
      <w:r w:rsidR="009E2613" w:rsidRPr="0056461F">
        <w:t xml:space="preserve"> methodology</w:t>
      </w:r>
      <w:r w:rsidR="0055188A" w:rsidRPr="0056461F">
        <w:t>.</w:t>
      </w:r>
      <w:r w:rsidR="001239F5" w:rsidRPr="0056461F">
        <w:t xml:space="preserve"> </w:t>
      </w:r>
      <w:r w:rsidR="0055188A" w:rsidRPr="0056461F">
        <w:t>The</w:t>
      </w:r>
      <w:r w:rsidR="001239F5" w:rsidRPr="0056461F">
        <w:t xml:space="preserve"> interviewer uses a computer to read questions and enter respondents’ answers.</w:t>
      </w:r>
      <w:r w:rsidR="00550C15" w:rsidRPr="0056461F">
        <w:t xml:space="preserve"> </w:t>
      </w:r>
      <w:r w:rsidR="000A29C8" w:rsidRPr="0056461F">
        <w:t xml:space="preserve">The CAPI </w:t>
      </w:r>
      <w:r w:rsidR="0061447C" w:rsidRPr="0056461F">
        <w:t>approach</w:t>
      </w:r>
      <w:r w:rsidR="000A29C8" w:rsidRPr="0056461F">
        <w:t xml:space="preserve"> is deemed the most appropriate </w:t>
      </w:r>
      <w:r w:rsidR="001239F5" w:rsidRPr="0056461F">
        <w:t xml:space="preserve">data </w:t>
      </w:r>
      <w:r w:rsidR="000A29C8" w:rsidRPr="0056461F">
        <w:t>collection methodology for interview</w:t>
      </w:r>
      <w:r w:rsidR="00A427B0" w:rsidRPr="0056461F">
        <w:t>er</w:t>
      </w:r>
      <w:r w:rsidR="000A29C8" w:rsidRPr="0056461F">
        <w:t xml:space="preserve">-assisted </w:t>
      </w:r>
      <w:r w:rsidR="001239F5" w:rsidRPr="0056461F">
        <w:t xml:space="preserve">in-person </w:t>
      </w:r>
      <w:r w:rsidR="000A29C8" w:rsidRPr="0056461F">
        <w:t xml:space="preserve">administration of </w:t>
      </w:r>
      <w:r w:rsidR="000E17E7" w:rsidRPr="0056461F">
        <w:t xml:space="preserve">a </w:t>
      </w:r>
      <w:r w:rsidR="000A29C8" w:rsidRPr="0056461F">
        <w:t>questionnaire.</w:t>
      </w:r>
      <w:r w:rsidR="00562E83" w:rsidRPr="00E61446">
        <w:rPr>
          <w:rStyle w:val="FootnoteReference"/>
        </w:rPr>
        <w:t>28</w:t>
      </w:r>
      <w:r w:rsidR="00550C15" w:rsidRPr="0056461F">
        <w:rPr>
          <w:vertAlign w:val="superscript"/>
        </w:rPr>
        <w:t xml:space="preserve"> </w:t>
      </w:r>
      <w:r w:rsidR="0061447C" w:rsidRPr="0056461F">
        <w:t xml:space="preserve">The </w:t>
      </w:r>
      <w:r w:rsidR="00AD12A6" w:rsidRPr="0056461F">
        <w:t xml:space="preserve">CAPI software </w:t>
      </w:r>
      <w:r w:rsidR="0061447C" w:rsidRPr="0056461F">
        <w:t>has the same features</w:t>
      </w:r>
      <w:r w:rsidR="001239F5" w:rsidRPr="0056461F">
        <w:t xml:space="preserve"> and advantages</w:t>
      </w:r>
      <w:r w:rsidR="0061447C" w:rsidRPr="0056461F">
        <w:t xml:space="preserve"> as the </w:t>
      </w:r>
      <w:r w:rsidR="00AD12A6" w:rsidRPr="0056461F">
        <w:t xml:space="preserve">CATI </w:t>
      </w:r>
      <w:r w:rsidR="00867CFB" w:rsidRPr="0056461F">
        <w:t>in reducing burden for the respondent</w:t>
      </w:r>
      <w:r w:rsidR="006C62B5">
        <w:t xml:space="preserve"> and</w:t>
      </w:r>
      <w:r w:rsidR="006C62B5" w:rsidRPr="0056461F">
        <w:t xml:space="preserve"> </w:t>
      </w:r>
      <w:r w:rsidR="00AD12A6" w:rsidRPr="0056461F">
        <w:t>present</w:t>
      </w:r>
      <w:r w:rsidR="0061447C" w:rsidRPr="0056461F">
        <w:t>ing</w:t>
      </w:r>
      <w:r w:rsidR="00AD12A6" w:rsidRPr="0056461F">
        <w:t xml:space="preserve"> the question text, response options, interviewer instructions, and interviewer probes.</w:t>
      </w:r>
      <w:r w:rsidR="00550C15" w:rsidRPr="0056461F">
        <w:t xml:space="preserve"> </w:t>
      </w:r>
      <w:r w:rsidR="0061447C" w:rsidRPr="0056461F">
        <w:t xml:space="preserve">It </w:t>
      </w:r>
      <w:r w:rsidR="00AD12A6" w:rsidRPr="0056461F">
        <w:t>implement</w:t>
      </w:r>
      <w:r w:rsidR="0061447C" w:rsidRPr="0056461F">
        <w:t>s</w:t>
      </w:r>
      <w:r w:rsidR="00AD12A6" w:rsidRPr="0056461F">
        <w:t xml:space="preserve"> skip patterns</w:t>
      </w:r>
      <w:r w:rsidR="0061447C" w:rsidRPr="0056461F">
        <w:t xml:space="preserve"> to </w:t>
      </w:r>
      <w:r w:rsidR="00AD12A6" w:rsidRPr="0056461F">
        <w:t>rapidly direct the interviewer to the relevant sections of the interview for the particular respondent, thus lessening the</w:t>
      </w:r>
      <w:r w:rsidR="000A29C8" w:rsidRPr="0056461F">
        <w:t xml:space="preserve"> respondent burden</w:t>
      </w:r>
      <w:r w:rsidR="0061447C" w:rsidRPr="0056461F">
        <w:t>.</w:t>
      </w:r>
      <w:r w:rsidR="00550C15" w:rsidRPr="0056461F">
        <w:t xml:space="preserve"> </w:t>
      </w:r>
      <w:r w:rsidR="0061447C" w:rsidRPr="0056461F">
        <w:t xml:space="preserve">It also performs range checks and other consistency checks during the interview to </w:t>
      </w:r>
      <w:r w:rsidR="00AD12A6" w:rsidRPr="0056461F">
        <w:t>ensur</w:t>
      </w:r>
      <w:r w:rsidR="0061447C" w:rsidRPr="0056461F">
        <w:t>e</w:t>
      </w:r>
      <w:r w:rsidR="00AD12A6" w:rsidRPr="0056461F">
        <w:t xml:space="preserve"> </w:t>
      </w:r>
      <w:r w:rsidR="00F023B8" w:rsidRPr="0056461F">
        <w:t>high-</w:t>
      </w:r>
      <w:r w:rsidR="00AD12A6" w:rsidRPr="0056461F">
        <w:t>quality data by automatically detecting errors or questionable data in real</w:t>
      </w:r>
      <w:r w:rsidR="0003157A" w:rsidRPr="0056461F">
        <w:t xml:space="preserve"> </w:t>
      </w:r>
      <w:r w:rsidR="00AD12A6" w:rsidRPr="0056461F">
        <w:t>time.</w:t>
      </w:r>
      <w:r w:rsidR="00550C15" w:rsidRPr="0056461F">
        <w:t xml:space="preserve"> </w:t>
      </w:r>
    </w:p>
    <w:p w:rsidR="00CB38BF" w:rsidRPr="0056461F" w:rsidRDefault="00CB38BF" w:rsidP="002C1227">
      <w:pPr>
        <w:pStyle w:val="Heading2"/>
        <w:spacing w:after="0"/>
      </w:pPr>
      <w:bookmarkStart w:id="17" w:name="_Toc348428794"/>
      <w:r w:rsidRPr="0056461F">
        <w:t>A</w:t>
      </w:r>
      <w:r w:rsidR="0085535A">
        <w:t>.</w:t>
      </w:r>
      <w:r w:rsidR="00655767" w:rsidRPr="0056461F">
        <w:t>4</w:t>
      </w:r>
      <w:r w:rsidR="00655767" w:rsidRPr="0056461F">
        <w:tab/>
      </w:r>
      <w:r w:rsidRPr="0056461F">
        <w:t>Efforts to Identify Duplication</w:t>
      </w:r>
      <w:r w:rsidR="0001198E" w:rsidRPr="0056461F">
        <w:t xml:space="preserve"> and Use of Similar Information</w:t>
      </w:r>
      <w:bookmarkEnd w:id="17"/>
    </w:p>
    <w:p w:rsidR="002F1861" w:rsidRDefault="002F1861" w:rsidP="002F1861">
      <w:pPr>
        <w:pStyle w:val="BodyText"/>
        <w:spacing w:line="240" w:lineRule="auto"/>
        <w:ind w:left="0"/>
      </w:pPr>
      <w:bookmarkStart w:id="18" w:name="_Toc348428795"/>
      <w:r w:rsidRPr="0056461F">
        <w:t xml:space="preserve">In developing the measures and instruments for this </w:t>
      </w:r>
      <w:r>
        <w:t>study</w:t>
      </w:r>
      <w:r w:rsidRPr="0056461F">
        <w:t xml:space="preserve">, a thorough review of the literature and available surveillance systems was conducted to ensure that the data collected through this effort are not duplicative of existing surveillance systems and respondent burden is minimized. </w:t>
      </w:r>
      <w:r>
        <w:t>In addition, the CDC Targeted Surveillance/Biometry (TS/BIO) study team worked closely with the National Heart, Lung and Blood Institute (NHLBI) Healthy Communities Study (HCS) team to ensure alignment between studies, in terms of</w:t>
      </w:r>
      <w:proofErr w:type="gramStart"/>
      <w:r>
        <w:t>  having</w:t>
      </w:r>
      <w:proofErr w:type="gramEnd"/>
      <w:r>
        <w:t xml:space="preserve"> comparable instruments and data collection protocols, where possible. </w:t>
      </w:r>
      <w:r w:rsidRPr="0056461F">
        <w:t xml:space="preserve">Although there are other existing surveillance systems that </w:t>
      </w:r>
      <w:r w:rsidRPr="0056461F">
        <w:lastRenderedPageBreak/>
        <w:t>measure several of the key outcomes for CTG (e.g., BRFSS and YRBS</w:t>
      </w:r>
      <w:r>
        <w:t>S</w:t>
      </w:r>
      <w:r w:rsidRPr="0056461F">
        <w:t>)</w:t>
      </w:r>
      <w:proofErr w:type="gramStart"/>
      <w:r w:rsidRPr="0056461F">
        <w:t>,</w:t>
      </w:r>
      <w:r>
        <w:rPr>
          <w:vertAlign w:val="superscript"/>
        </w:rPr>
        <w:t>29</w:t>
      </w:r>
      <w:proofErr w:type="gramEnd"/>
      <w:r w:rsidRPr="0056461F">
        <w:t xml:space="preserve"> these were not designed to allow estimation of trends at geographic levels being targeted by CTG awardees. The areas targeted by awardee interventions may occur across a range of geographies including the entire state; a single county, city, tribal area, or territory; or areas of the state excluding large counties (i.e., population of 500,000 or more). No single or combined set of existing surveillance systems is designed to provide population estimates for all high-priority indicators at all of these geographic levels, and the combination of multiple surveillance systems is limited by variation in indicator definitions or sampling approaches. In addition, existing surveillance systems do not include the population diversity in terms of age, race/ethnicity, and population density (with the greatest gap for middle-school</w:t>
      </w:r>
      <w:r>
        <w:t>–</w:t>
      </w:r>
      <w:r w:rsidRPr="0056461F">
        <w:t xml:space="preserve">aged children and younger, </w:t>
      </w:r>
      <w:r>
        <w:t>non</w:t>
      </w:r>
      <w:r w:rsidRPr="0056461F">
        <w:t xml:space="preserve">white and Hispanic/Latino race and ethnic groups, and individuals living in rural areas). Finally, objective measurement of weight, blood pressure, physical activity and inactivity (in a subsample), and exposure to smoke is only done in an ongoing, standardized fashion at the national level as part of the NHANES or intermittently in select geographic areas such as the California Health Interview Survey. </w:t>
      </w:r>
    </w:p>
    <w:p w:rsidR="002F1861" w:rsidRPr="00D63668" w:rsidRDefault="002F1861" w:rsidP="002F1861">
      <w:pPr>
        <w:pStyle w:val="BodyText"/>
        <w:spacing w:line="240" w:lineRule="auto"/>
        <w:ind w:left="0"/>
      </w:pPr>
      <w:r w:rsidRPr="00D63668">
        <w:t>Because the NHLBI HCS is being conducted concurrently with the TS/B</w:t>
      </w:r>
      <w:r>
        <w:t>IO</w:t>
      </w:r>
      <w:r w:rsidRPr="00D63668">
        <w:t xml:space="preserve"> study CDC’s Division of Community and NHLBI worked together to provide additional comment here. Both agencies worked together to understand study purpose, methods and measure and aligned measures for demographics and key outcome variables related to child physical activity, nutrition and obesity. The HCS overlaps with the proposed TS/B</w:t>
      </w:r>
      <w:r>
        <w:t>IO</w:t>
      </w:r>
      <w:r w:rsidRPr="00D63668">
        <w:t xml:space="preserve"> study for a portion of the population (children ages 4 to 15) and one of five core outcomes (obesity). These studies are complimentary in terms of the broad research questions they are addressing and their study designs. The contributing factors to obesity can be framed as a complex system in which behavior is affected by multiple individual-level factors and </w:t>
      </w:r>
      <w:proofErr w:type="spellStart"/>
      <w:r w:rsidRPr="00D63668">
        <w:t>socioenvironmental</w:t>
      </w:r>
      <w:proofErr w:type="spellEnd"/>
      <w:r w:rsidRPr="00D63668">
        <w:t xml:space="preserve"> factors.  Both studies take a multilevel approach to better understand how demographic and contextual factors may be related to childhood obesity. The studies are seeking to understand the influence of structural interventions (e.g., modifications to the environment or policies) on obesity-related behaviors. The HCS is also assessing the relationship of characteristics of community programs on childhood obesity to BMI, diet, and physical activity outcomes. Both studies have the potential to inform decision makers and funders at the local and national levels. In terms of design, both collect or use varying levels of information (e.g., individual and community levels) at different time points. The HCS is an observational study that collects current and ten-year retrospective data of detailed individual, school, and program and policy characteristics that may be associated with BMI, diet and physical activity in children. The findings from the HCS will be applicable to broadly diverse communities, with a particular focus on Hispanic/Latino, African American, and low-income children.  While HCS is a research study that focuses on childhood obesity, the CDC TS/BIO study is a program evaluation that assesses the effectiveness of specific CTG Program strategies for prevention and control of chronic disease by assessing change in a variety of core outcomes specified by the Patient Protection and Affordable Care Act (i.e., weight, diet, physical activity, tobacco use, emotional well-being and overall mental health) in adults and children. The TS/B</w:t>
      </w:r>
      <w:r>
        <w:t>IO</w:t>
      </w:r>
      <w:r w:rsidRPr="00D63668">
        <w:t xml:space="preserve"> study uses a successive independent samples design, in which data are collected from three different samples of respondents (adults and children) selected in Years 1, 3, and 5 from the geographic areas targeted for interventions in a subset of CTG Program awardees. The design allows monitoring changes in outcomes at the population-level over time, but does not allow monitoring of individual respondent-level changes over time. </w:t>
      </w:r>
    </w:p>
    <w:p w:rsidR="002F1861" w:rsidRPr="00D63668" w:rsidRDefault="002F1861" w:rsidP="002F1861">
      <w:pPr>
        <w:pStyle w:val="BodyText"/>
        <w:spacing w:line="240" w:lineRule="auto"/>
        <w:ind w:left="0"/>
      </w:pPr>
      <w:r w:rsidRPr="00D63668">
        <w:lastRenderedPageBreak/>
        <w:t xml:space="preserve">Findings from both the HCS and TS/BIO studies can jointly influence the field by elucidating how the broader contextual environment is related to childhood obesity.  </w:t>
      </w:r>
    </w:p>
    <w:p w:rsidR="00CB38BF" w:rsidRPr="0056461F" w:rsidRDefault="00655767" w:rsidP="002C1227">
      <w:pPr>
        <w:pStyle w:val="Heading2"/>
        <w:spacing w:after="0"/>
      </w:pPr>
      <w:r w:rsidRPr="0056461F">
        <w:t>A</w:t>
      </w:r>
      <w:r w:rsidR="0085535A">
        <w:t>.</w:t>
      </w:r>
      <w:r w:rsidRPr="0056461F">
        <w:t>5</w:t>
      </w:r>
      <w:r w:rsidRPr="0056461F">
        <w:tab/>
      </w:r>
      <w:r w:rsidR="00CB38BF" w:rsidRPr="0056461F">
        <w:t>Impact on Small Businesses or Other Small Entities</w:t>
      </w:r>
      <w:bookmarkEnd w:id="18"/>
    </w:p>
    <w:p w:rsidR="005D1B15" w:rsidRPr="0056461F" w:rsidRDefault="005D1B15" w:rsidP="001E165B">
      <w:pPr>
        <w:pStyle w:val="BodyText"/>
        <w:spacing w:line="240" w:lineRule="auto"/>
        <w:ind w:left="0"/>
      </w:pPr>
      <w:r w:rsidRPr="0056461F">
        <w:rPr>
          <w:rFonts w:eastAsia="Batang"/>
        </w:rPr>
        <w:t>No small businesses are involved as respondents to this data collection effort. These data collection efforts will involve only households of residents randomly selected from within CTG</w:t>
      </w:r>
      <w:r w:rsidR="00B11261" w:rsidRPr="0056461F">
        <w:rPr>
          <w:rFonts w:eastAsia="Batang"/>
        </w:rPr>
        <w:t xml:space="preserve"> </w:t>
      </w:r>
      <w:r w:rsidR="00694F38">
        <w:rPr>
          <w:rFonts w:eastAsia="Batang"/>
        </w:rPr>
        <w:t>awardee areas</w:t>
      </w:r>
      <w:r w:rsidRPr="0056461F">
        <w:rPr>
          <w:rFonts w:eastAsia="Batang"/>
        </w:rPr>
        <w:t>.</w:t>
      </w:r>
    </w:p>
    <w:p w:rsidR="00A905FC" w:rsidRPr="0056461F" w:rsidRDefault="00655767" w:rsidP="002C1227">
      <w:pPr>
        <w:pStyle w:val="Heading2"/>
        <w:spacing w:after="0"/>
      </w:pPr>
      <w:bookmarkStart w:id="19" w:name="_Toc348428796"/>
      <w:r w:rsidRPr="0056461F">
        <w:t>A</w:t>
      </w:r>
      <w:r w:rsidR="0085535A">
        <w:t>.</w:t>
      </w:r>
      <w:r w:rsidRPr="0056461F">
        <w:t>6</w:t>
      </w:r>
      <w:r w:rsidRPr="0056461F">
        <w:tab/>
      </w:r>
      <w:r w:rsidR="00A905FC" w:rsidRPr="0056461F">
        <w:t>Consequences of Collecting the Information Less Frequently</w:t>
      </w:r>
      <w:bookmarkEnd w:id="19"/>
    </w:p>
    <w:p w:rsidR="005D1B15" w:rsidRPr="0056461F" w:rsidRDefault="004E354A" w:rsidP="00D77A85">
      <w:pPr>
        <w:pStyle w:val="BodyText"/>
        <w:spacing w:line="240" w:lineRule="auto"/>
        <w:ind w:left="0"/>
      </w:pPr>
      <w:r w:rsidRPr="0056461F">
        <w:t>D</w:t>
      </w:r>
      <w:r w:rsidR="000D438E" w:rsidRPr="0056461F">
        <w:t xml:space="preserve">ata collection in </w:t>
      </w:r>
      <w:r w:rsidR="00674E84" w:rsidRPr="0056461F">
        <w:t>the</w:t>
      </w:r>
      <w:r w:rsidR="00F16408" w:rsidRPr="0056461F">
        <w:t xml:space="preserve"> </w:t>
      </w:r>
      <w:r w:rsidR="000B3F4E" w:rsidRPr="0056461F">
        <w:rPr>
          <w:i/>
        </w:rPr>
        <w:t>Standard Protocol</w:t>
      </w:r>
      <w:r w:rsidR="00CF5DB7" w:rsidRPr="0056461F">
        <w:t xml:space="preserve"> will consist of </w:t>
      </w:r>
      <w:r w:rsidR="009B4EB1" w:rsidRPr="0056461F">
        <w:t>the</w:t>
      </w:r>
      <w:r w:rsidR="00CF5DB7" w:rsidRPr="0056461F">
        <w:t xml:space="preserve"> </w:t>
      </w:r>
      <w:r w:rsidR="00F2776D" w:rsidRPr="0056461F">
        <w:t xml:space="preserve">biennial </w:t>
      </w:r>
      <w:r w:rsidR="00E60312" w:rsidRPr="0056461F">
        <w:t>administration of the ATSS</w:t>
      </w:r>
      <w:r w:rsidR="00CF5DB7" w:rsidRPr="0056461F">
        <w:t xml:space="preserve"> in </w:t>
      </w:r>
      <w:r w:rsidR="00514C5F" w:rsidRPr="0056461F">
        <w:t xml:space="preserve">specific geographic areas where </w:t>
      </w:r>
      <w:r w:rsidR="00F20502" w:rsidRPr="0056461F">
        <w:t>each of 2</w:t>
      </w:r>
      <w:r w:rsidR="00514C5F" w:rsidRPr="0056461F">
        <w:t xml:space="preserve">0 selected </w:t>
      </w:r>
      <w:r w:rsidR="008579F2" w:rsidRPr="0056461F">
        <w:t>CTG</w:t>
      </w:r>
      <w:r w:rsidR="00D41DCB" w:rsidRPr="0056461F">
        <w:t xml:space="preserve"> Program</w:t>
      </w:r>
      <w:r w:rsidR="00514C5F" w:rsidRPr="0056461F">
        <w:t xml:space="preserve"> awardees are implementing </w:t>
      </w:r>
      <w:r w:rsidR="00F20502" w:rsidRPr="0056461F">
        <w:t>intervention</w:t>
      </w:r>
      <w:r w:rsidR="00E60312" w:rsidRPr="0056461F">
        <w:t>s</w:t>
      </w:r>
      <w:r w:rsidR="00F20502" w:rsidRPr="0056461F">
        <w:t xml:space="preserve">. </w:t>
      </w:r>
      <w:r w:rsidR="001A2C2B" w:rsidRPr="0056461F">
        <w:t xml:space="preserve">Three cross-sectional, random samples of households will be recruited for measurement over a 12-month period starting in spring 2013 (within </w:t>
      </w:r>
      <w:r w:rsidR="007A2556">
        <w:t>six</w:t>
      </w:r>
      <w:r w:rsidR="007A2556" w:rsidRPr="0056461F">
        <w:t xml:space="preserve"> </w:t>
      </w:r>
      <w:r w:rsidR="001A2C2B" w:rsidRPr="0056461F">
        <w:t xml:space="preserve">weeks of OMB approval), spring 2015, and </w:t>
      </w:r>
      <w:r w:rsidR="00E60312" w:rsidRPr="0056461F">
        <w:t xml:space="preserve">again in </w:t>
      </w:r>
      <w:r w:rsidR="001A2C2B" w:rsidRPr="0056461F">
        <w:t>spring 2017 (upon renewal of OMB approval).</w:t>
      </w:r>
      <w:r w:rsidR="00CF5DB7" w:rsidRPr="0056461F">
        <w:t xml:space="preserve"> If the information were collected on a less frequent basis, we would run the risk of missing changes in </w:t>
      </w:r>
      <w:r w:rsidR="000D438E" w:rsidRPr="0056461F">
        <w:t>outcome</w:t>
      </w:r>
      <w:r w:rsidR="00CF5DB7" w:rsidRPr="0056461F">
        <w:t>s</w:t>
      </w:r>
      <w:r w:rsidR="00514C5F" w:rsidRPr="0056461F">
        <w:t xml:space="preserve"> associated with particular CTG intervention approaches</w:t>
      </w:r>
      <w:r w:rsidR="00CF5DB7" w:rsidRPr="0056461F">
        <w:t xml:space="preserve">. </w:t>
      </w:r>
      <w:r w:rsidR="001B32D6" w:rsidRPr="0056461F">
        <w:t xml:space="preserve">With the exception of certain oversampled strata </w:t>
      </w:r>
      <w:r w:rsidR="00B11261" w:rsidRPr="0056461F">
        <w:t xml:space="preserve">in certain </w:t>
      </w:r>
      <w:r w:rsidR="00D77A85">
        <w:t>awardee areas</w:t>
      </w:r>
      <w:r w:rsidR="00D77A85" w:rsidRPr="0056461F">
        <w:t xml:space="preserve"> </w:t>
      </w:r>
      <w:r w:rsidR="001B32D6" w:rsidRPr="0056461F">
        <w:t>(e.g., African Americans)</w:t>
      </w:r>
      <w:r w:rsidR="00CF5DB7" w:rsidRPr="0056461F">
        <w:t xml:space="preserve">, it is </w:t>
      </w:r>
      <w:r w:rsidR="001A2C2B" w:rsidRPr="0056461F">
        <w:t xml:space="preserve">very </w:t>
      </w:r>
      <w:r w:rsidR="001B32D6" w:rsidRPr="0056461F">
        <w:t>unlikely</w:t>
      </w:r>
      <w:r w:rsidR="00E46EB7" w:rsidRPr="0056461F">
        <w:t xml:space="preserve"> </w:t>
      </w:r>
      <w:r w:rsidR="00CF5DB7" w:rsidRPr="0056461F">
        <w:t xml:space="preserve">that the same resident will be surveyed </w:t>
      </w:r>
      <w:r w:rsidR="00F20502" w:rsidRPr="0056461F">
        <w:t xml:space="preserve">with the ATSS </w:t>
      </w:r>
      <w:r w:rsidR="00CF5DB7" w:rsidRPr="0056461F">
        <w:t>more than once over the years.</w:t>
      </w:r>
    </w:p>
    <w:p w:rsidR="00514C5F" w:rsidRPr="0056461F" w:rsidRDefault="00514C5F" w:rsidP="00ED71C0">
      <w:pPr>
        <w:pStyle w:val="BodyText"/>
        <w:spacing w:line="240" w:lineRule="auto"/>
        <w:ind w:left="0"/>
      </w:pPr>
      <w:r w:rsidRPr="0056461F">
        <w:t>The</w:t>
      </w:r>
      <w:r w:rsidR="00CA0EF5" w:rsidRPr="0056461F">
        <w:t xml:space="preserve"> </w:t>
      </w:r>
      <w:r w:rsidR="002A5B92" w:rsidRPr="0056461F">
        <w:rPr>
          <w:i/>
          <w:iCs/>
        </w:rPr>
        <w:t>Enhanced Prot</w:t>
      </w:r>
      <w:r w:rsidR="00CA0EF5" w:rsidRPr="0056461F">
        <w:rPr>
          <w:i/>
          <w:iCs/>
        </w:rPr>
        <w:t>oc</w:t>
      </w:r>
      <w:r w:rsidR="002A5B92" w:rsidRPr="0056461F">
        <w:rPr>
          <w:i/>
          <w:iCs/>
        </w:rPr>
        <w:t>ol</w:t>
      </w:r>
      <w:r w:rsidRPr="0056461F">
        <w:t xml:space="preserve"> in-home data collection will be conducted in </w:t>
      </w:r>
      <w:r w:rsidR="00ED71C0">
        <w:t xml:space="preserve">a subset of </w:t>
      </w:r>
      <w:r w:rsidR="00F20502" w:rsidRPr="0056461F">
        <w:t>8</w:t>
      </w:r>
      <w:r w:rsidR="00A427B0" w:rsidRPr="0056461F">
        <w:t xml:space="preserve"> of </w:t>
      </w:r>
      <w:r w:rsidRPr="0056461F">
        <w:t xml:space="preserve">the </w:t>
      </w:r>
      <w:r w:rsidR="00F20502" w:rsidRPr="0056461F">
        <w:t xml:space="preserve">20 </w:t>
      </w:r>
      <w:r w:rsidRPr="0056461F">
        <w:t xml:space="preserve">geographic areas targeted for the </w:t>
      </w:r>
      <w:r w:rsidR="000B3F4E" w:rsidRPr="0056461F">
        <w:rPr>
          <w:i/>
        </w:rPr>
        <w:t>Standard Protocol</w:t>
      </w:r>
      <w:r w:rsidR="00F16408" w:rsidRPr="0056461F">
        <w:t xml:space="preserve"> </w:t>
      </w:r>
      <w:r w:rsidRPr="0056461F">
        <w:t xml:space="preserve">and will follow the same biennial schedule. As with the </w:t>
      </w:r>
      <w:r w:rsidR="000B3F4E" w:rsidRPr="0056461F">
        <w:rPr>
          <w:i/>
        </w:rPr>
        <w:t>Standard Protocol</w:t>
      </w:r>
      <w:r w:rsidR="00674E84" w:rsidRPr="0056461F">
        <w:t xml:space="preserve">, </w:t>
      </w:r>
      <w:r w:rsidRPr="0056461F">
        <w:t xml:space="preserve">if the information </w:t>
      </w:r>
      <w:r w:rsidR="00674E84" w:rsidRPr="0056461F">
        <w:t xml:space="preserve">in the </w:t>
      </w:r>
      <w:r w:rsidR="000B3F4E" w:rsidRPr="0056461F">
        <w:rPr>
          <w:i/>
        </w:rPr>
        <w:t>Enhanced Protocol</w:t>
      </w:r>
      <w:r w:rsidR="00674E84" w:rsidRPr="0056461F">
        <w:t xml:space="preserve"> </w:t>
      </w:r>
      <w:r w:rsidRPr="0056461F">
        <w:t xml:space="preserve">were collected on a less frequent basis, we would run the risk of missing changes in outcomes associated with particular CTG intervention approaches. Given the size and population </w:t>
      </w:r>
      <w:r w:rsidR="00E60312" w:rsidRPr="0056461F">
        <w:t xml:space="preserve">diversity </w:t>
      </w:r>
      <w:r w:rsidRPr="0056461F">
        <w:t xml:space="preserve">of most of the geographic areas, it is </w:t>
      </w:r>
      <w:r w:rsidR="001A2C2B" w:rsidRPr="0056461F">
        <w:t xml:space="preserve">very </w:t>
      </w:r>
      <w:r w:rsidRPr="0056461F">
        <w:t xml:space="preserve">unlikely that the same household will be selected for an in-home </w:t>
      </w:r>
      <w:r w:rsidR="00DF6437" w:rsidRPr="0056461F">
        <w:t>visit</w:t>
      </w:r>
      <w:r w:rsidRPr="0056461F">
        <w:t xml:space="preserve"> more than once over </w:t>
      </w:r>
      <w:r w:rsidR="00C36E98" w:rsidRPr="0056461F">
        <w:t>three data collection periods</w:t>
      </w:r>
      <w:r w:rsidRPr="0056461F">
        <w:t>.</w:t>
      </w:r>
    </w:p>
    <w:p w:rsidR="00A905FC" w:rsidRPr="0056461F" w:rsidRDefault="00655767" w:rsidP="002C1227">
      <w:pPr>
        <w:pStyle w:val="Heading2"/>
        <w:spacing w:after="0"/>
      </w:pPr>
      <w:bookmarkStart w:id="20" w:name="_Toc348428797"/>
      <w:r w:rsidRPr="0056461F">
        <w:t>A</w:t>
      </w:r>
      <w:r w:rsidR="0085535A">
        <w:t>.</w:t>
      </w:r>
      <w:r w:rsidRPr="0056461F">
        <w:t>7</w:t>
      </w:r>
      <w:r w:rsidRPr="0056461F">
        <w:tab/>
      </w:r>
      <w:r w:rsidR="00A905FC" w:rsidRPr="0056461F">
        <w:t>Special Circumstances Relating to the Guidelines of 5 CFR 1320.5</w:t>
      </w:r>
      <w:bookmarkEnd w:id="20"/>
    </w:p>
    <w:p w:rsidR="005D1B15" w:rsidRPr="0056461F" w:rsidRDefault="005D1B15" w:rsidP="00C90014">
      <w:pPr>
        <w:pStyle w:val="BodyText"/>
        <w:spacing w:line="240" w:lineRule="auto"/>
        <w:ind w:left="0"/>
      </w:pPr>
      <w:r w:rsidRPr="0056461F">
        <w:t>This request fully complies with all guidelines of 5 CFR 1320.5. There are no special circumstances required.</w:t>
      </w:r>
    </w:p>
    <w:p w:rsidR="00A905FC" w:rsidRPr="0056461F" w:rsidRDefault="00655767" w:rsidP="002C1227">
      <w:pPr>
        <w:pStyle w:val="Heading2"/>
        <w:spacing w:after="0"/>
      </w:pPr>
      <w:bookmarkStart w:id="21" w:name="_Toc348428798"/>
      <w:r w:rsidRPr="0056461F">
        <w:t>A</w:t>
      </w:r>
      <w:r w:rsidR="0085535A">
        <w:t>.</w:t>
      </w:r>
      <w:r w:rsidRPr="0056461F">
        <w:t>8</w:t>
      </w:r>
      <w:r w:rsidRPr="0056461F">
        <w:tab/>
      </w:r>
      <w:r w:rsidR="00A905FC" w:rsidRPr="0056461F">
        <w:t>Comments in Response to the Federal Register Notice and Effort to Consult Outside the Agency</w:t>
      </w:r>
      <w:bookmarkEnd w:id="21"/>
    </w:p>
    <w:p w:rsidR="00314311" w:rsidRPr="0056461F" w:rsidRDefault="005D1B15" w:rsidP="00C90014">
      <w:pPr>
        <w:pStyle w:val="BodyText"/>
        <w:spacing w:line="240" w:lineRule="auto"/>
        <w:ind w:left="0"/>
      </w:pPr>
      <w:r w:rsidRPr="00FA6765">
        <w:rPr>
          <w:bCs/>
        </w:rPr>
        <w:t>A.</w:t>
      </w:r>
      <w:r w:rsidR="00314311" w:rsidRPr="00FA6765">
        <w:rPr>
          <w:bCs/>
        </w:rPr>
        <w:t xml:space="preserve"> </w:t>
      </w:r>
      <w:r w:rsidRPr="0056461F">
        <w:t xml:space="preserve">A 60-day notice for public comments on the proposed data collection activities required by 5 CFR 1320.8(d) was published in the </w:t>
      </w:r>
      <w:r w:rsidRPr="0056461F">
        <w:rPr>
          <w:i/>
          <w:iCs/>
        </w:rPr>
        <w:t>Federal Register</w:t>
      </w:r>
      <w:r w:rsidRPr="0056461F">
        <w:t xml:space="preserve"> on </w:t>
      </w:r>
      <w:r w:rsidR="00176CD2" w:rsidRPr="0056461F">
        <w:rPr>
          <w:bCs/>
        </w:rPr>
        <w:t>April 18</w:t>
      </w:r>
      <w:r w:rsidR="00C17DB5" w:rsidRPr="0056461F">
        <w:rPr>
          <w:bCs/>
        </w:rPr>
        <w:t xml:space="preserve">, </w:t>
      </w:r>
      <w:r w:rsidR="00176CD2" w:rsidRPr="0056461F">
        <w:rPr>
          <w:bCs/>
        </w:rPr>
        <w:t>2012</w:t>
      </w:r>
      <w:r w:rsidRPr="0056461F">
        <w:rPr>
          <w:bCs/>
        </w:rPr>
        <w:t xml:space="preserve"> </w:t>
      </w:r>
      <w:r w:rsidRPr="0056461F">
        <w:t>(Volume</w:t>
      </w:r>
      <w:r w:rsidR="00176CD2" w:rsidRPr="0056461F">
        <w:t xml:space="preserve"> 77</w:t>
      </w:r>
      <w:r w:rsidRPr="0056461F">
        <w:t>, Number</w:t>
      </w:r>
      <w:r w:rsidR="00176CD2" w:rsidRPr="0056461F">
        <w:t xml:space="preserve"> 75</w:t>
      </w:r>
      <w:r w:rsidRPr="0056461F">
        <w:t>, pages</w:t>
      </w:r>
      <w:r w:rsidR="00176CD2" w:rsidRPr="0056461F">
        <w:t xml:space="preserve"> 23263-23264</w:t>
      </w:r>
      <w:r w:rsidRPr="0056461F">
        <w:t>) (</w:t>
      </w:r>
      <w:r w:rsidRPr="0056461F">
        <w:rPr>
          <w:bCs/>
        </w:rPr>
        <w:t>Attachment</w:t>
      </w:r>
      <w:r w:rsidR="00D365AA" w:rsidRPr="0056461F">
        <w:rPr>
          <w:bCs/>
        </w:rPr>
        <w:t xml:space="preserve"> 2</w:t>
      </w:r>
      <w:r w:rsidRPr="0056461F">
        <w:rPr>
          <w:bCs/>
        </w:rPr>
        <w:t>)</w:t>
      </w:r>
      <w:r w:rsidRPr="0056461F">
        <w:t>.</w:t>
      </w:r>
      <w:r w:rsidR="00F41472" w:rsidRPr="0056461F">
        <w:t xml:space="preserve"> </w:t>
      </w:r>
      <w:r w:rsidR="00C2247E" w:rsidRPr="0056461F">
        <w:t>No public comments were received.</w:t>
      </w:r>
    </w:p>
    <w:p w:rsidR="00D41BFD" w:rsidRDefault="005D1B15" w:rsidP="00ED71C0">
      <w:pPr>
        <w:pStyle w:val="BodyText"/>
        <w:spacing w:line="240" w:lineRule="auto"/>
        <w:ind w:left="0"/>
      </w:pPr>
      <w:r w:rsidRPr="00FA6765">
        <w:rPr>
          <w:bCs/>
        </w:rPr>
        <w:t>B.</w:t>
      </w:r>
      <w:r w:rsidR="00314311" w:rsidRPr="00FA6765">
        <w:rPr>
          <w:bCs/>
        </w:rPr>
        <w:t xml:space="preserve"> </w:t>
      </w:r>
      <w:r w:rsidR="0051551A" w:rsidRPr="0056461F">
        <w:t>RTI</w:t>
      </w:r>
      <w:r w:rsidR="00CD02EF" w:rsidRPr="0056461F">
        <w:t xml:space="preserve"> </w:t>
      </w:r>
      <w:r w:rsidR="00D77EF3">
        <w:t xml:space="preserve">International </w:t>
      </w:r>
      <w:r w:rsidR="0051551A" w:rsidRPr="0056461F">
        <w:t xml:space="preserve">consulted with CDC Subject Matter Experts and with persons inside and outside the study design team during development of the </w:t>
      </w:r>
      <w:r w:rsidR="003C25D7" w:rsidRPr="0056461F">
        <w:t>instruments to be used in this project</w:t>
      </w:r>
      <w:r w:rsidR="006C14EE">
        <w:t xml:space="preserve">. </w:t>
      </w:r>
      <w:r w:rsidR="00F20502" w:rsidRPr="0056461F">
        <w:t xml:space="preserve"> </w:t>
      </w:r>
      <w:r w:rsidR="003C25D7" w:rsidRPr="0056461F">
        <w:t xml:space="preserve">A list of experts </w:t>
      </w:r>
      <w:r w:rsidR="001749BA" w:rsidRPr="0056461F">
        <w:t xml:space="preserve">who provided feedback </w:t>
      </w:r>
      <w:r w:rsidR="003C25D7" w:rsidRPr="0056461F">
        <w:t xml:space="preserve">for each instrument is provided </w:t>
      </w:r>
      <w:r w:rsidR="007A2556">
        <w:t>in Exhibits A.8.1 and A.8.2</w:t>
      </w:r>
      <w:r w:rsidR="003C25D7" w:rsidRPr="0056461F">
        <w:t>.</w:t>
      </w:r>
      <w:r w:rsidR="001749BA" w:rsidRPr="0056461F">
        <w:t xml:space="preserve"> </w:t>
      </w:r>
    </w:p>
    <w:p w:rsidR="00AE03EE" w:rsidRDefault="00AE03EE" w:rsidP="001F24D0">
      <w:pPr>
        <w:rPr>
          <w:color w:val="000000"/>
        </w:rPr>
      </w:pPr>
      <w:r>
        <w:rPr>
          <w:color w:val="000000"/>
        </w:rPr>
        <w:t xml:space="preserve">Exhibit </w:t>
      </w:r>
      <w:r w:rsidR="0085535A">
        <w:rPr>
          <w:color w:val="000000"/>
        </w:rPr>
        <w:t>A.8.1</w:t>
      </w:r>
      <w:r>
        <w:rPr>
          <w:color w:val="000000"/>
        </w:rPr>
        <w:t>. Subject Matter Experts at CDC Consulted fo</w:t>
      </w:r>
      <w:r w:rsidR="00324AF9">
        <w:rPr>
          <w:color w:val="000000"/>
        </w:rPr>
        <w:t xml:space="preserve">r the Targeted Surveillance and </w:t>
      </w:r>
      <w:r>
        <w:rPr>
          <w:color w:val="000000"/>
        </w:rPr>
        <w:t>Biometric Study</w:t>
      </w:r>
    </w:p>
    <w:tbl>
      <w:tblPr>
        <w:tblW w:w="5050" w:type="pct"/>
        <w:tblBorders>
          <w:top w:val="single" w:sz="12" w:space="0" w:color="auto"/>
          <w:bottom w:val="single" w:sz="12" w:space="0" w:color="auto"/>
          <w:insideH w:val="single" w:sz="4" w:space="0" w:color="auto"/>
        </w:tblBorders>
        <w:tblLayout w:type="fixed"/>
        <w:tblCellMar>
          <w:left w:w="58" w:type="dxa"/>
          <w:right w:w="58" w:type="dxa"/>
        </w:tblCellMar>
        <w:tblLook w:val="04A0" w:firstRow="1" w:lastRow="0" w:firstColumn="1" w:lastColumn="0" w:noHBand="0" w:noVBand="1"/>
      </w:tblPr>
      <w:tblGrid>
        <w:gridCol w:w="2191"/>
        <w:gridCol w:w="4185"/>
        <w:gridCol w:w="3195"/>
      </w:tblGrid>
      <w:tr w:rsidR="00AE03EE" w:rsidRPr="00E61446" w:rsidTr="000F1DA4">
        <w:trPr>
          <w:tblHeader/>
        </w:trPr>
        <w:tc>
          <w:tcPr>
            <w:tcW w:w="2191" w:type="dxa"/>
            <w:vAlign w:val="center"/>
            <w:hideMark/>
          </w:tcPr>
          <w:p w:rsidR="00AE03EE" w:rsidRPr="00E61446" w:rsidRDefault="00AE03EE" w:rsidP="00C90014">
            <w:pPr>
              <w:keepNext/>
              <w:spacing w:before="2" w:after="2"/>
              <w:jc w:val="center"/>
              <w:rPr>
                <w:rFonts w:eastAsiaTheme="minorHAnsi"/>
                <w:b/>
                <w:bCs/>
                <w:color w:val="000000"/>
                <w:sz w:val="22"/>
                <w:szCs w:val="22"/>
              </w:rPr>
            </w:pPr>
            <w:r w:rsidRPr="00E61446">
              <w:rPr>
                <w:b/>
                <w:bCs/>
                <w:color w:val="000000"/>
                <w:sz w:val="22"/>
                <w:szCs w:val="22"/>
              </w:rPr>
              <w:t>Name</w:t>
            </w:r>
          </w:p>
        </w:tc>
        <w:tc>
          <w:tcPr>
            <w:tcW w:w="4185" w:type="dxa"/>
            <w:vAlign w:val="center"/>
            <w:hideMark/>
          </w:tcPr>
          <w:p w:rsidR="00AE03EE" w:rsidRPr="00E61446" w:rsidRDefault="00AE03EE" w:rsidP="00C90014">
            <w:pPr>
              <w:keepNext/>
              <w:spacing w:before="2" w:after="2"/>
              <w:jc w:val="center"/>
              <w:rPr>
                <w:rFonts w:eastAsiaTheme="minorHAnsi"/>
                <w:b/>
                <w:bCs/>
                <w:color w:val="000000"/>
                <w:sz w:val="22"/>
                <w:szCs w:val="22"/>
              </w:rPr>
            </w:pPr>
            <w:r w:rsidRPr="00E61446">
              <w:rPr>
                <w:b/>
                <w:bCs/>
                <w:color w:val="000000"/>
                <w:sz w:val="22"/>
                <w:szCs w:val="22"/>
              </w:rPr>
              <w:t>Organization</w:t>
            </w:r>
          </w:p>
        </w:tc>
        <w:tc>
          <w:tcPr>
            <w:tcW w:w="3195" w:type="dxa"/>
            <w:vAlign w:val="center"/>
            <w:hideMark/>
          </w:tcPr>
          <w:p w:rsidR="00AE03EE" w:rsidRPr="00E61446" w:rsidRDefault="00AE03EE" w:rsidP="00C90014">
            <w:pPr>
              <w:keepNext/>
              <w:spacing w:before="2" w:after="2"/>
              <w:jc w:val="center"/>
              <w:rPr>
                <w:rFonts w:eastAsiaTheme="minorHAnsi"/>
                <w:b/>
                <w:bCs/>
                <w:color w:val="000000"/>
                <w:sz w:val="22"/>
                <w:szCs w:val="22"/>
              </w:rPr>
            </w:pPr>
            <w:r w:rsidRPr="00E61446">
              <w:rPr>
                <w:b/>
                <w:bCs/>
                <w:color w:val="000000"/>
                <w:sz w:val="22"/>
                <w:szCs w:val="22"/>
              </w:rPr>
              <w:t>Contact Information</w:t>
            </w:r>
          </w:p>
        </w:tc>
      </w:tr>
      <w:tr w:rsidR="00AE03EE" w:rsidRPr="00E61446" w:rsidTr="000F1DA4">
        <w:tc>
          <w:tcPr>
            <w:tcW w:w="2191" w:type="dxa"/>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Seraphine Pitt Barnes, PhD, MPH, CHES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Division of Population Health; </w:t>
            </w:r>
          </w:p>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National Center for Chronic Disease </w:t>
            </w:r>
            <w:r w:rsidRPr="00E61446">
              <w:rPr>
                <w:color w:val="000000"/>
                <w:sz w:val="22"/>
                <w:szCs w:val="22"/>
              </w:rPr>
              <w:lastRenderedPageBreak/>
              <w:t>Prevention and Health Promotion (NCCDPHP)</w:t>
            </w:r>
          </w:p>
        </w:tc>
        <w:tc>
          <w:tcPr>
            <w:tcW w:w="3195" w:type="dxa"/>
            <w:hideMark/>
          </w:tcPr>
          <w:p w:rsidR="00AE03EE" w:rsidRPr="00E61446" w:rsidRDefault="00AE03EE" w:rsidP="00C90014">
            <w:pPr>
              <w:spacing w:before="2" w:after="2"/>
              <w:rPr>
                <w:rFonts w:eastAsiaTheme="minorHAnsi"/>
                <w:color w:val="1F497D"/>
                <w:sz w:val="22"/>
                <w:szCs w:val="22"/>
              </w:rPr>
            </w:pPr>
            <w:r w:rsidRPr="00E61446">
              <w:rPr>
                <w:color w:val="000000"/>
                <w:sz w:val="22"/>
                <w:szCs w:val="22"/>
              </w:rPr>
              <w:lastRenderedPageBreak/>
              <w:t>Phone: (770) 488-</w:t>
            </w:r>
            <w:r w:rsidR="0045352B">
              <w:rPr>
                <w:color w:val="000000"/>
                <w:sz w:val="22"/>
                <w:szCs w:val="22"/>
              </w:rPr>
              <w:t>6</w:t>
            </w:r>
            <w:r w:rsidRPr="00E61446">
              <w:rPr>
                <w:color w:val="000000"/>
                <w:sz w:val="22"/>
                <w:szCs w:val="22"/>
              </w:rPr>
              <w:t>115</w:t>
            </w:r>
            <w:r w:rsidR="002C63BA" w:rsidRPr="00E61446">
              <w:rPr>
                <w:color w:val="000000"/>
                <w:sz w:val="22"/>
                <w:szCs w:val="22"/>
              </w:rPr>
              <w:t xml:space="preserve"> </w:t>
            </w:r>
          </w:p>
          <w:p w:rsidR="00AE03EE" w:rsidRPr="00E61446" w:rsidRDefault="00AE03EE" w:rsidP="00C90014">
            <w:pPr>
              <w:spacing w:before="2" w:after="2"/>
              <w:rPr>
                <w:rFonts w:eastAsiaTheme="minorHAnsi"/>
                <w:color w:val="000000"/>
                <w:sz w:val="22"/>
                <w:szCs w:val="22"/>
              </w:rPr>
            </w:pPr>
            <w:r w:rsidRPr="00FA6765">
              <w:rPr>
                <w:sz w:val="22"/>
                <w:szCs w:val="22"/>
              </w:rPr>
              <w:lastRenderedPageBreak/>
              <w:t>Seraphine.pittbarnes@cdc.hhs.gov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lastRenderedPageBreak/>
              <w:t xml:space="preserve">Nilka Burrows, MPH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Diabetes Translation; NCCDPHP</w:t>
            </w:r>
          </w:p>
        </w:tc>
        <w:tc>
          <w:tcPr>
            <w:tcW w:w="3195" w:type="dxa"/>
            <w:hideMark/>
          </w:tcPr>
          <w:p w:rsidR="00AE03EE" w:rsidRPr="00E61446" w:rsidRDefault="00AE03EE" w:rsidP="00C90014">
            <w:pPr>
              <w:spacing w:before="2" w:after="2"/>
              <w:rPr>
                <w:rFonts w:eastAsiaTheme="minorHAnsi"/>
                <w:color w:val="1F497D"/>
                <w:sz w:val="22"/>
                <w:szCs w:val="22"/>
              </w:rPr>
            </w:pPr>
            <w:r w:rsidRPr="00E61446">
              <w:rPr>
                <w:color w:val="000000"/>
                <w:sz w:val="22"/>
                <w:szCs w:val="22"/>
              </w:rPr>
              <w:t xml:space="preserve">Phone: (770) 488-1057 </w:t>
            </w:r>
          </w:p>
          <w:p w:rsidR="00AE03EE" w:rsidRPr="00E61446" w:rsidRDefault="00AE03EE" w:rsidP="00C90014">
            <w:pPr>
              <w:spacing w:before="2" w:after="2"/>
              <w:rPr>
                <w:rFonts w:eastAsiaTheme="minorHAnsi"/>
                <w:color w:val="000000"/>
                <w:sz w:val="22"/>
                <w:szCs w:val="22"/>
              </w:rPr>
            </w:pPr>
            <w:r w:rsidRPr="00FA6765">
              <w:rPr>
                <w:sz w:val="22"/>
                <w:szCs w:val="22"/>
              </w:rPr>
              <w:t>nilka.burrows@cdc.hhs.gov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highlight w:val="yellow"/>
              </w:rPr>
            </w:pPr>
            <w:r w:rsidRPr="00E61446">
              <w:rPr>
                <w:color w:val="000000"/>
                <w:sz w:val="22"/>
                <w:szCs w:val="22"/>
              </w:rPr>
              <w:t>Dan Chapman, PhD</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Population Health;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Phone: (770) 488-5463</w:t>
            </w:r>
            <w:r w:rsidR="002C63BA" w:rsidRPr="00E61446">
              <w:rPr>
                <w:color w:val="000000"/>
                <w:sz w:val="22"/>
                <w:szCs w:val="22"/>
              </w:rPr>
              <w:t xml:space="preserve"> </w:t>
            </w:r>
          </w:p>
          <w:p w:rsidR="00AE03EE" w:rsidRPr="00E61446" w:rsidRDefault="00AE03EE" w:rsidP="00C90014">
            <w:pPr>
              <w:spacing w:before="2" w:after="2"/>
              <w:rPr>
                <w:rStyle w:val="Hyperlink"/>
                <w:rFonts w:eastAsiaTheme="minorHAnsi"/>
                <w:sz w:val="22"/>
                <w:szCs w:val="22"/>
              </w:rPr>
            </w:pPr>
            <w:r w:rsidRPr="00FA6765">
              <w:rPr>
                <w:sz w:val="22"/>
                <w:szCs w:val="22"/>
              </w:rPr>
              <w:t>daniel.chapman@cdc.hhs.gov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Pyone Cho, MD</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Diabetes Translation;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Phone: (770) 488-2041</w:t>
            </w:r>
          </w:p>
          <w:p w:rsidR="00AE03EE" w:rsidRPr="00E61446" w:rsidRDefault="00AE03EE" w:rsidP="00C90014">
            <w:pPr>
              <w:spacing w:before="2" w:after="2"/>
              <w:rPr>
                <w:rFonts w:eastAsiaTheme="minorHAnsi"/>
                <w:color w:val="000000"/>
                <w:sz w:val="22"/>
                <w:szCs w:val="22"/>
              </w:rPr>
            </w:pPr>
            <w:r w:rsidRPr="00FA6765">
              <w:rPr>
                <w:sz w:val="22"/>
                <w:szCs w:val="22"/>
              </w:rPr>
              <w:t>igz1@cdc.gov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Kristine Day, MPH</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 xml:space="preserve">Division of Community Health; NCCDPHP </w:t>
            </w:r>
          </w:p>
        </w:tc>
        <w:tc>
          <w:tcPr>
            <w:tcW w:w="3195" w:type="dxa"/>
            <w:hideMark/>
          </w:tcPr>
          <w:p w:rsidR="00AE03EE" w:rsidRPr="00E61446" w:rsidRDefault="00E61446" w:rsidP="00C90014">
            <w:pPr>
              <w:keepNext/>
              <w:spacing w:before="2" w:after="2"/>
              <w:rPr>
                <w:rFonts w:eastAsiaTheme="minorHAnsi"/>
                <w:color w:val="000000"/>
                <w:sz w:val="22"/>
                <w:szCs w:val="22"/>
              </w:rPr>
            </w:pPr>
            <w:r w:rsidRPr="00E61446">
              <w:rPr>
                <w:color w:val="000000"/>
                <w:sz w:val="22"/>
                <w:szCs w:val="22"/>
              </w:rPr>
              <w:t>Phone: (770) 488-5446</w:t>
            </w:r>
          </w:p>
          <w:p w:rsidR="00AE03EE" w:rsidRPr="00E61446" w:rsidRDefault="00AE03EE" w:rsidP="00C90014">
            <w:pPr>
              <w:keepNext/>
              <w:spacing w:before="2" w:after="2"/>
              <w:rPr>
                <w:rFonts w:eastAsiaTheme="minorHAnsi"/>
                <w:color w:val="000000"/>
                <w:sz w:val="22"/>
                <w:szCs w:val="22"/>
              </w:rPr>
            </w:pPr>
            <w:r w:rsidRPr="00FA6765">
              <w:rPr>
                <w:sz w:val="22"/>
                <w:szCs w:val="22"/>
              </w:rPr>
              <w:t>kday@cdc.gov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Martha Engstrom, MS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Office of Smoking and Health;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Phone: (770) 488-5749</w:t>
            </w:r>
          </w:p>
          <w:p w:rsidR="00AE03EE" w:rsidRPr="00E61446" w:rsidRDefault="00AE03EE" w:rsidP="00C90014">
            <w:pPr>
              <w:spacing w:before="2" w:after="2"/>
              <w:rPr>
                <w:rFonts w:eastAsiaTheme="minorHAnsi"/>
                <w:color w:val="000000"/>
                <w:sz w:val="22"/>
                <w:szCs w:val="22"/>
              </w:rPr>
            </w:pPr>
            <w:r w:rsidRPr="00FA6765">
              <w:rPr>
                <w:sz w:val="22"/>
                <w:szCs w:val="22"/>
              </w:rPr>
              <w:t>martha.engstrom@cdc.hhs.gov</w:t>
            </w:r>
          </w:p>
        </w:tc>
      </w:tr>
      <w:tr w:rsidR="00AE03EE" w:rsidRPr="00E61446" w:rsidTr="000F1DA4">
        <w:trPr>
          <w:trHeight w:val="565"/>
        </w:trPr>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Charlotte Kent, PhD</w:t>
            </w:r>
          </w:p>
        </w:tc>
        <w:tc>
          <w:tcPr>
            <w:tcW w:w="4185" w:type="dxa"/>
            <w:hideMark/>
          </w:tcPr>
          <w:p w:rsidR="00AE03EE" w:rsidRPr="00E61446" w:rsidRDefault="00AE03EE" w:rsidP="00C90014">
            <w:pPr>
              <w:keepNext/>
              <w:spacing w:before="2" w:after="2"/>
              <w:rPr>
                <w:rFonts w:eastAsiaTheme="minorHAnsi"/>
                <w:color w:val="1F497D"/>
                <w:sz w:val="22"/>
                <w:szCs w:val="22"/>
              </w:rPr>
            </w:pPr>
            <w:r w:rsidRPr="00E61446">
              <w:rPr>
                <w:color w:val="000000"/>
                <w:sz w:val="22"/>
                <w:szCs w:val="22"/>
              </w:rPr>
              <w:t>Division of Community Health; NCCDPHP</w:t>
            </w:r>
            <w:r w:rsidRPr="00E61446">
              <w:rPr>
                <w:color w:val="1F497D"/>
                <w:sz w:val="22"/>
                <w:szCs w:val="22"/>
              </w:rPr>
              <w:t xml:space="preserve"> </w:t>
            </w:r>
          </w:p>
        </w:tc>
        <w:tc>
          <w:tcPr>
            <w:tcW w:w="3195" w:type="dxa"/>
            <w:hideMark/>
          </w:tcPr>
          <w:p w:rsidR="00AE03EE" w:rsidRPr="00E61446" w:rsidRDefault="00AE03EE" w:rsidP="00C90014">
            <w:pPr>
              <w:spacing w:before="2" w:after="2"/>
              <w:rPr>
                <w:rFonts w:eastAsiaTheme="minorHAnsi"/>
                <w:sz w:val="22"/>
                <w:szCs w:val="22"/>
              </w:rPr>
            </w:pPr>
            <w:r w:rsidRPr="00E61446">
              <w:rPr>
                <w:sz w:val="22"/>
                <w:szCs w:val="22"/>
              </w:rPr>
              <w:t xml:space="preserve">Phone: (770) 488-6471 </w:t>
            </w:r>
          </w:p>
          <w:p w:rsidR="00AE03EE" w:rsidRPr="00E61446" w:rsidRDefault="00AE03EE" w:rsidP="00C90014">
            <w:pPr>
              <w:spacing w:before="2" w:after="2"/>
              <w:rPr>
                <w:rFonts w:eastAsiaTheme="minorHAnsi"/>
                <w:color w:val="1F497D"/>
                <w:sz w:val="22"/>
                <w:szCs w:val="22"/>
                <w:u w:val="single"/>
              </w:rPr>
            </w:pPr>
            <w:r w:rsidRPr="00FA6765">
              <w:rPr>
                <w:sz w:val="22"/>
                <w:szCs w:val="22"/>
              </w:rPr>
              <w:t>Cgk3@cdc.gov</w:t>
            </w:r>
            <w:r w:rsidRPr="00E61446">
              <w:rPr>
                <w:color w:val="1F497D"/>
                <w:sz w:val="22"/>
                <w:szCs w:val="22"/>
                <w:u w:val="single"/>
              </w:rPr>
              <w:t xml:space="preserve"> </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Brian King, PhD</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 xml:space="preserve">Office of Smoking and Health; NCCDPHP </w:t>
            </w:r>
          </w:p>
        </w:tc>
        <w:tc>
          <w:tcPr>
            <w:tcW w:w="319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Phone: (770) 488-5107</w:t>
            </w:r>
            <w:r w:rsidR="002C63BA" w:rsidRPr="00E61446">
              <w:rPr>
                <w:color w:val="000000"/>
                <w:sz w:val="22"/>
                <w:szCs w:val="22"/>
              </w:rPr>
              <w:t xml:space="preserve"> </w:t>
            </w:r>
          </w:p>
          <w:p w:rsidR="00AE03EE" w:rsidRPr="00E61446" w:rsidRDefault="00AE03EE" w:rsidP="00C90014">
            <w:pPr>
              <w:keepNext/>
              <w:spacing w:before="2" w:after="2"/>
              <w:rPr>
                <w:rFonts w:eastAsiaTheme="minorHAnsi"/>
                <w:color w:val="000000"/>
                <w:sz w:val="22"/>
                <w:szCs w:val="22"/>
              </w:rPr>
            </w:pPr>
            <w:r w:rsidRPr="00FA6765">
              <w:rPr>
                <w:sz w:val="22"/>
                <w:szCs w:val="22"/>
              </w:rPr>
              <w:t>baking@cdc.gov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highlight w:val="yellow"/>
              </w:rPr>
            </w:pPr>
            <w:r w:rsidRPr="00E61446">
              <w:rPr>
                <w:color w:val="000000"/>
                <w:sz w:val="22"/>
                <w:szCs w:val="22"/>
              </w:rPr>
              <w:t xml:space="preserve">Rosemarie Kobau MPH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Office of Noncommunicable Diseases, Injury and Environmental Health </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Phone: (770) 488-6087 </w:t>
            </w:r>
          </w:p>
          <w:p w:rsidR="00AE03EE" w:rsidRPr="00E61446" w:rsidRDefault="00AE03EE" w:rsidP="00C90014">
            <w:pPr>
              <w:spacing w:before="2" w:after="2"/>
              <w:rPr>
                <w:rFonts w:eastAsiaTheme="minorHAnsi"/>
                <w:color w:val="000000"/>
                <w:sz w:val="22"/>
                <w:szCs w:val="22"/>
              </w:rPr>
            </w:pPr>
            <w:r w:rsidRPr="00FA6765">
              <w:rPr>
                <w:sz w:val="22"/>
                <w:szCs w:val="22"/>
              </w:rPr>
              <w:t>Rosemarie.kobau@cdc.hhs.gov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Youlian Liao, MD, PhD</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Division of Community Health; NCCDPHP</w:t>
            </w:r>
          </w:p>
        </w:tc>
        <w:tc>
          <w:tcPr>
            <w:tcW w:w="3195" w:type="dxa"/>
            <w:hideMark/>
          </w:tcPr>
          <w:p w:rsidR="00AE03EE" w:rsidRPr="00E61446" w:rsidRDefault="00AE03EE" w:rsidP="00C90014">
            <w:pPr>
              <w:keepNext/>
              <w:autoSpaceDE w:val="0"/>
              <w:autoSpaceDN w:val="0"/>
              <w:spacing w:before="2" w:after="2"/>
              <w:rPr>
                <w:rFonts w:eastAsiaTheme="minorHAnsi"/>
                <w:color w:val="000000"/>
                <w:sz w:val="22"/>
                <w:szCs w:val="22"/>
              </w:rPr>
            </w:pPr>
            <w:r w:rsidRPr="00E61446">
              <w:rPr>
                <w:color w:val="000000"/>
                <w:sz w:val="22"/>
                <w:szCs w:val="22"/>
              </w:rPr>
              <w:t>Phone: (770) 488-5299</w:t>
            </w:r>
            <w:r w:rsidR="002C63BA" w:rsidRPr="00E61446">
              <w:rPr>
                <w:color w:val="000000"/>
                <w:sz w:val="22"/>
                <w:szCs w:val="22"/>
              </w:rPr>
              <w:t xml:space="preserve"> </w:t>
            </w:r>
          </w:p>
          <w:p w:rsidR="00AE03EE" w:rsidRPr="00E61446" w:rsidRDefault="00AE03EE" w:rsidP="00C90014">
            <w:pPr>
              <w:keepNext/>
              <w:autoSpaceDE w:val="0"/>
              <w:autoSpaceDN w:val="0"/>
              <w:spacing w:before="2" w:after="2"/>
              <w:rPr>
                <w:rFonts w:eastAsiaTheme="minorHAnsi"/>
                <w:color w:val="000000"/>
                <w:sz w:val="22"/>
                <w:szCs w:val="22"/>
              </w:rPr>
            </w:pPr>
            <w:r w:rsidRPr="00FA6765">
              <w:rPr>
                <w:sz w:val="22"/>
                <w:szCs w:val="22"/>
              </w:rPr>
              <w:t>Ycl1@cdc.gov</w:t>
            </w:r>
            <w:r w:rsidRPr="00E61446">
              <w:rPr>
                <w:color w:val="0000FF"/>
                <w:sz w:val="22"/>
                <w:szCs w:val="22"/>
              </w:rPr>
              <w:t xml:space="preserve"> </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Fleetwood Loustalot, PhD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for Heart Disease and Stroke Prevention;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Phone: (770) 488-5198 </w:t>
            </w:r>
          </w:p>
          <w:p w:rsidR="00AE03EE" w:rsidRPr="00E61446" w:rsidRDefault="00AE03EE" w:rsidP="00C90014">
            <w:pPr>
              <w:spacing w:before="2" w:after="2"/>
              <w:rPr>
                <w:rFonts w:eastAsiaTheme="minorHAnsi"/>
                <w:color w:val="000000"/>
                <w:sz w:val="22"/>
                <w:szCs w:val="22"/>
              </w:rPr>
            </w:pPr>
            <w:r w:rsidRPr="00FA6765">
              <w:rPr>
                <w:sz w:val="22"/>
                <w:szCs w:val="22"/>
              </w:rPr>
              <w:t>fleetwood.loustalot@cdc.hhs.gov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highlight w:val="yellow"/>
              </w:rPr>
            </w:pPr>
            <w:r w:rsidRPr="00E61446">
              <w:rPr>
                <w:color w:val="000000"/>
                <w:sz w:val="22"/>
                <w:szCs w:val="22"/>
              </w:rPr>
              <w:t xml:space="preserve">Louise Murphy, PhD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Population Health;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Phone: (770) 488-5102 </w:t>
            </w:r>
          </w:p>
          <w:p w:rsidR="00AE03EE" w:rsidRPr="00E61446" w:rsidRDefault="00AE03EE" w:rsidP="00C90014">
            <w:pPr>
              <w:spacing w:before="2" w:after="2"/>
              <w:rPr>
                <w:rFonts w:eastAsiaTheme="minorHAnsi"/>
                <w:color w:val="000000"/>
                <w:sz w:val="22"/>
                <w:szCs w:val="22"/>
              </w:rPr>
            </w:pPr>
            <w:r w:rsidRPr="00FA6765">
              <w:rPr>
                <w:sz w:val="22"/>
                <w:szCs w:val="22"/>
              </w:rPr>
              <w:t>louise.murphy@cdc.hhs.gov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Rashid Njai, PhD</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Division of Community Health; NCCDPHP</w:t>
            </w:r>
          </w:p>
        </w:tc>
        <w:tc>
          <w:tcPr>
            <w:tcW w:w="319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Phone: (770) 588-5215 </w:t>
            </w:r>
          </w:p>
          <w:p w:rsidR="00AE03EE" w:rsidRPr="00E61446" w:rsidRDefault="00AE03EE" w:rsidP="00C90014">
            <w:pPr>
              <w:keepNext/>
              <w:spacing w:before="2" w:after="2"/>
              <w:rPr>
                <w:rFonts w:eastAsiaTheme="minorHAnsi"/>
                <w:color w:val="000000"/>
                <w:sz w:val="22"/>
                <w:szCs w:val="22"/>
              </w:rPr>
            </w:pPr>
            <w:r w:rsidRPr="00FA6765">
              <w:rPr>
                <w:sz w:val="22"/>
                <w:szCs w:val="22"/>
              </w:rPr>
              <w:t>rnjai@cdc.gov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Tatiana Nwankwo, MS</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Division of Health and Nutrition Examination Surveys </w:t>
            </w:r>
          </w:p>
          <w:p w:rsidR="00AE03EE" w:rsidRPr="00E61446" w:rsidRDefault="00AE03EE" w:rsidP="00C90014">
            <w:pPr>
              <w:spacing w:before="2" w:after="2"/>
              <w:rPr>
                <w:rFonts w:eastAsiaTheme="minorHAnsi"/>
                <w:color w:val="000000"/>
                <w:sz w:val="22"/>
                <w:szCs w:val="22"/>
              </w:rPr>
            </w:pPr>
            <w:r w:rsidRPr="00E61446">
              <w:rPr>
                <w:color w:val="000000"/>
                <w:sz w:val="22"/>
                <w:szCs w:val="22"/>
              </w:rPr>
              <w:t>National Center for Health Statistics (NCHS)</w:t>
            </w:r>
          </w:p>
        </w:tc>
        <w:tc>
          <w:tcPr>
            <w:tcW w:w="3195" w:type="dxa"/>
            <w:hideMark/>
          </w:tcPr>
          <w:p w:rsidR="00AE03EE" w:rsidRPr="00E61446" w:rsidRDefault="00AE03EE" w:rsidP="00C90014">
            <w:pPr>
              <w:spacing w:before="2" w:after="2"/>
              <w:rPr>
                <w:rStyle w:val="skypepnhtextspan"/>
                <w:rFonts w:eastAsiaTheme="minorHAnsi"/>
                <w:color w:val="000000"/>
                <w:sz w:val="22"/>
                <w:szCs w:val="22"/>
              </w:rPr>
            </w:pPr>
            <w:r w:rsidRPr="00E61446">
              <w:rPr>
                <w:rStyle w:val="skypepnhtextspan"/>
                <w:color w:val="000000"/>
                <w:sz w:val="22"/>
                <w:szCs w:val="22"/>
              </w:rPr>
              <w:t>Phone: (301) 458-4813</w:t>
            </w:r>
            <w:r w:rsidR="002C63BA" w:rsidRPr="00E61446">
              <w:rPr>
                <w:rStyle w:val="skypepnhtextspan"/>
                <w:color w:val="000000"/>
                <w:sz w:val="22"/>
                <w:szCs w:val="22"/>
              </w:rPr>
              <w:t xml:space="preserve"> </w:t>
            </w:r>
          </w:p>
          <w:p w:rsidR="00AE03EE" w:rsidRPr="00E61446" w:rsidRDefault="00AE03EE" w:rsidP="00C90014">
            <w:pPr>
              <w:spacing w:before="2" w:after="2"/>
              <w:rPr>
                <w:rFonts w:eastAsiaTheme="minorHAnsi"/>
                <w:sz w:val="22"/>
                <w:szCs w:val="22"/>
              </w:rPr>
            </w:pPr>
            <w:r w:rsidRPr="00FA6765">
              <w:rPr>
                <w:sz w:val="22"/>
                <w:szCs w:val="22"/>
              </w:rPr>
              <w:t>bwt4@cdc.gov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Diane Orenstein, PhD</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 xml:space="preserve">Division of Community Health; NCCDPHP </w:t>
            </w:r>
          </w:p>
        </w:tc>
        <w:tc>
          <w:tcPr>
            <w:tcW w:w="319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Phone: (770) 488-8003</w:t>
            </w:r>
            <w:r w:rsidR="002C63BA" w:rsidRPr="00E61446">
              <w:rPr>
                <w:color w:val="000000"/>
                <w:sz w:val="22"/>
                <w:szCs w:val="22"/>
              </w:rPr>
              <w:t xml:space="preserve"> </w:t>
            </w:r>
          </w:p>
          <w:p w:rsidR="00AE03EE" w:rsidRPr="00E61446" w:rsidRDefault="00AE03EE" w:rsidP="00C90014">
            <w:pPr>
              <w:keepNext/>
              <w:spacing w:before="2" w:after="2"/>
              <w:rPr>
                <w:rFonts w:eastAsiaTheme="minorHAnsi"/>
                <w:color w:val="000000"/>
                <w:sz w:val="22"/>
                <w:szCs w:val="22"/>
              </w:rPr>
            </w:pPr>
            <w:r w:rsidRPr="00FA6765">
              <w:rPr>
                <w:sz w:val="22"/>
                <w:szCs w:val="22"/>
              </w:rPr>
              <w:t>Dro1@cdc.gov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Yechiam Ostchega, PhD, RN</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Health and Nutrition Examination Surveys; NCHS</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Phone: (301) 458-4408</w:t>
            </w:r>
            <w:r w:rsidR="002C63BA" w:rsidRPr="00E61446">
              <w:rPr>
                <w:color w:val="000000"/>
                <w:sz w:val="22"/>
                <w:szCs w:val="22"/>
              </w:rPr>
              <w:t xml:space="preserve"> </w:t>
            </w:r>
          </w:p>
          <w:p w:rsidR="00AE03EE" w:rsidRPr="00E61446" w:rsidRDefault="00AE03EE" w:rsidP="00C90014">
            <w:pPr>
              <w:spacing w:before="2" w:after="2"/>
              <w:rPr>
                <w:rFonts w:eastAsiaTheme="minorHAnsi"/>
                <w:color w:val="000000"/>
                <w:sz w:val="22"/>
                <w:szCs w:val="22"/>
              </w:rPr>
            </w:pPr>
            <w:r w:rsidRPr="00FA6765">
              <w:rPr>
                <w:sz w:val="22"/>
                <w:szCs w:val="22"/>
              </w:rPr>
              <w:t>yxo1@cdc.gov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Paul Siegel, MD, MPH</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 xml:space="preserve">Division of Community Health; NCCDPHP </w:t>
            </w:r>
          </w:p>
        </w:tc>
        <w:tc>
          <w:tcPr>
            <w:tcW w:w="319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Phone: (770) 488-5296</w:t>
            </w:r>
            <w:r w:rsidR="002C63BA" w:rsidRPr="00E61446">
              <w:rPr>
                <w:color w:val="000000"/>
                <w:sz w:val="22"/>
                <w:szCs w:val="22"/>
              </w:rPr>
              <w:t xml:space="preserve"> </w:t>
            </w:r>
          </w:p>
          <w:p w:rsidR="00AE03EE" w:rsidRPr="00E61446" w:rsidRDefault="00AE03EE" w:rsidP="00C90014">
            <w:pPr>
              <w:keepNext/>
              <w:spacing w:before="2" w:after="2"/>
              <w:rPr>
                <w:rFonts w:eastAsiaTheme="minorHAnsi"/>
                <w:color w:val="000000"/>
                <w:sz w:val="22"/>
                <w:szCs w:val="22"/>
              </w:rPr>
            </w:pPr>
            <w:r w:rsidRPr="00FA6765">
              <w:rPr>
                <w:sz w:val="22"/>
                <w:szCs w:val="22"/>
              </w:rPr>
              <w:t>pzsiegel@cdc.gov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Robin Soler, PhD</w:t>
            </w:r>
          </w:p>
        </w:tc>
        <w:tc>
          <w:tcPr>
            <w:tcW w:w="418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 xml:space="preserve">Division of Community Health; NCCDPHP </w:t>
            </w:r>
          </w:p>
        </w:tc>
        <w:tc>
          <w:tcPr>
            <w:tcW w:w="3195" w:type="dxa"/>
            <w:hideMark/>
          </w:tcPr>
          <w:p w:rsidR="00AE03EE" w:rsidRPr="00E61446" w:rsidRDefault="00AE03EE" w:rsidP="00C90014">
            <w:pPr>
              <w:keepNext/>
              <w:spacing w:before="2" w:after="2"/>
              <w:rPr>
                <w:rFonts w:eastAsiaTheme="minorHAnsi"/>
                <w:color w:val="000000"/>
                <w:sz w:val="22"/>
                <w:szCs w:val="22"/>
              </w:rPr>
            </w:pPr>
            <w:r w:rsidRPr="00E61446">
              <w:rPr>
                <w:color w:val="000000"/>
                <w:sz w:val="22"/>
                <w:szCs w:val="22"/>
              </w:rPr>
              <w:t>Phone: (770) 488-5103</w:t>
            </w:r>
            <w:r w:rsidR="002C63BA" w:rsidRPr="00E61446">
              <w:rPr>
                <w:color w:val="000000"/>
                <w:sz w:val="22"/>
                <w:szCs w:val="22"/>
              </w:rPr>
              <w:t xml:space="preserve"> </w:t>
            </w:r>
          </w:p>
          <w:p w:rsidR="00AE03EE" w:rsidRPr="00E61446" w:rsidRDefault="00AE03EE" w:rsidP="00C90014">
            <w:pPr>
              <w:keepNext/>
              <w:spacing w:before="2" w:after="2"/>
              <w:rPr>
                <w:rFonts w:eastAsiaTheme="minorHAnsi"/>
                <w:color w:val="000000"/>
                <w:sz w:val="22"/>
                <w:szCs w:val="22"/>
              </w:rPr>
            </w:pPr>
            <w:r w:rsidRPr="00FA6765">
              <w:rPr>
                <w:sz w:val="22"/>
                <w:szCs w:val="22"/>
              </w:rPr>
              <w:t>rsoler@cdc.gov</w:t>
            </w:r>
          </w:p>
        </w:tc>
      </w:tr>
      <w:tr w:rsidR="00AE03EE" w:rsidRPr="00E61446" w:rsidTr="000F1DA4">
        <w:tc>
          <w:tcPr>
            <w:tcW w:w="2191"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 xml:space="preserve">Matthew Zack, MD, MPH </w:t>
            </w:r>
          </w:p>
        </w:tc>
        <w:tc>
          <w:tcPr>
            <w:tcW w:w="418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Division of Population Health; NCCDPHP</w:t>
            </w:r>
          </w:p>
        </w:tc>
        <w:tc>
          <w:tcPr>
            <w:tcW w:w="3195" w:type="dxa"/>
            <w:hideMark/>
          </w:tcPr>
          <w:p w:rsidR="00AE03EE" w:rsidRPr="00E61446" w:rsidRDefault="00AE03EE" w:rsidP="00C90014">
            <w:pPr>
              <w:spacing w:before="2" w:after="2"/>
              <w:rPr>
                <w:rFonts w:eastAsiaTheme="minorHAnsi"/>
                <w:color w:val="000000"/>
                <w:sz w:val="22"/>
                <w:szCs w:val="22"/>
              </w:rPr>
            </w:pPr>
            <w:r w:rsidRPr="00E61446">
              <w:rPr>
                <w:color w:val="000000"/>
                <w:sz w:val="22"/>
                <w:szCs w:val="22"/>
              </w:rPr>
              <w:t>Phone: (770) 488-5460</w:t>
            </w:r>
            <w:r w:rsidR="002C63BA" w:rsidRPr="00E61446">
              <w:rPr>
                <w:color w:val="000000"/>
                <w:sz w:val="22"/>
                <w:szCs w:val="22"/>
              </w:rPr>
              <w:t xml:space="preserve"> </w:t>
            </w:r>
          </w:p>
          <w:p w:rsidR="00AE03EE" w:rsidRPr="00E61446" w:rsidRDefault="00AE03EE" w:rsidP="00C90014">
            <w:pPr>
              <w:spacing w:before="2" w:after="2"/>
              <w:rPr>
                <w:rFonts w:eastAsiaTheme="minorHAnsi"/>
                <w:color w:val="0000FF"/>
                <w:sz w:val="22"/>
                <w:szCs w:val="22"/>
              </w:rPr>
            </w:pPr>
            <w:r w:rsidRPr="00FA6765">
              <w:rPr>
                <w:sz w:val="22"/>
                <w:szCs w:val="22"/>
              </w:rPr>
              <w:t>Matthew.zack@cdc.hhs.gov</w:t>
            </w:r>
          </w:p>
        </w:tc>
      </w:tr>
    </w:tbl>
    <w:p w:rsidR="000B10C9" w:rsidRPr="0056461F" w:rsidRDefault="000B10C9" w:rsidP="00C90014"/>
    <w:p w:rsidR="00A12A4D" w:rsidRPr="000F1DA4" w:rsidRDefault="007A2556" w:rsidP="000F1DA4">
      <w:pPr>
        <w:pStyle w:val="ExhibitTitle"/>
        <w:rPr>
          <w:color w:val="000000"/>
        </w:rPr>
      </w:pPr>
      <w:r w:rsidRPr="000F1DA4">
        <w:rPr>
          <w:color w:val="000000"/>
        </w:rPr>
        <w:t xml:space="preserve">Exhibit A.8.2. </w:t>
      </w:r>
      <w:r w:rsidR="00A12A4D" w:rsidRPr="000F1DA4">
        <w:rPr>
          <w:color w:val="000000"/>
        </w:rPr>
        <w:t xml:space="preserve">List of Individuals and Organizations </w:t>
      </w:r>
      <w:r w:rsidR="00976B45" w:rsidRPr="000F1DA4">
        <w:rPr>
          <w:color w:val="000000"/>
        </w:rPr>
        <w:t xml:space="preserve">Other </w:t>
      </w:r>
      <w:r w:rsidR="0045352B" w:rsidRPr="000F1DA4">
        <w:rPr>
          <w:color w:val="000000"/>
        </w:rPr>
        <w:t>Than Tho</w:t>
      </w:r>
      <w:r w:rsidR="00976B45" w:rsidRPr="000F1DA4">
        <w:rPr>
          <w:color w:val="000000"/>
        </w:rPr>
        <w:t xml:space="preserve">se at CDC </w:t>
      </w:r>
      <w:r w:rsidR="00A12A4D" w:rsidRPr="000F1DA4">
        <w:rPr>
          <w:color w:val="000000"/>
        </w:rPr>
        <w:t xml:space="preserve">Consulted </w:t>
      </w:r>
      <w:r w:rsidR="00E93196" w:rsidRPr="000F1DA4">
        <w:rPr>
          <w:color w:val="000000"/>
        </w:rPr>
        <w:t>by the Study Team</w:t>
      </w:r>
    </w:p>
    <w:tbl>
      <w:tblPr>
        <w:tblW w:w="5000" w:type="pct"/>
        <w:tblBorders>
          <w:top w:val="single" w:sz="12" w:space="0" w:color="000000"/>
          <w:bottom w:val="single" w:sz="12" w:space="0" w:color="000000"/>
          <w:insideH w:val="single" w:sz="4" w:space="0" w:color="000000"/>
        </w:tblBorders>
        <w:shd w:val="clear" w:color="auto" w:fill="FFFFFF"/>
        <w:tblLayout w:type="fixed"/>
        <w:tblCellMar>
          <w:left w:w="86" w:type="dxa"/>
          <w:right w:w="86" w:type="dxa"/>
        </w:tblCellMar>
        <w:tblLook w:val="04A0" w:firstRow="1" w:lastRow="0" w:firstColumn="1" w:lastColumn="0" w:noHBand="0" w:noVBand="1"/>
      </w:tblPr>
      <w:tblGrid>
        <w:gridCol w:w="2606"/>
        <w:gridCol w:w="3960"/>
        <w:gridCol w:w="2966"/>
      </w:tblGrid>
      <w:tr w:rsidR="0051551A" w:rsidRPr="00094043" w:rsidTr="000F1DA4">
        <w:trPr>
          <w:cantSplit/>
          <w:tblHeader/>
        </w:trPr>
        <w:tc>
          <w:tcPr>
            <w:tcW w:w="2606" w:type="dxa"/>
            <w:shd w:val="clear" w:color="auto" w:fill="FFFFFF"/>
            <w:vAlign w:val="center"/>
          </w:tcPr>
          <w:p w:rsidR="0051551A" w:rsidRPr="00094043" w:rsidRDefault="0051551A" w:rsidP="000F1DA4">
            <w:pPr>
              <w:keepNext/>
              <w:keepLines/>
              <w:spacing w:before="40" w:after="40"/>
              <w:jc w:val="center"/>
              <w:rPr>
                <w:b/>
                <w:sz w:val="22"/>
                <w:szCs w:val="22"/>
              </w:rPr>
            </w:pPr>
            <w:r w:rsidRPr="00094043">
              <w:rPr>
                <w:b/>
                <w:sz w:val="22"/>
                <w:szCs w:val="22"/>
              </w:rPr>
              <w:t>Name</w:t>
            </w:r>
          </w:p>
        </w:tc>
        <w:tc>
          <w:tcPr>
            <w:tcW w:w="3960" w:type="dxa"/>
            <w:shd w:val="clear" w:color="auto" w:fill="FFFFFF"/>
            <w:vAlign w:val="center"/>
          </w:tcPr>
          <w:p w:rsidR="0051551A" w:rsidRPr="00094043" w:rsidRDefault="0051551A" w:rsidP="000F1DA4">
            <w:pPr>
              <w:keepNext/>
              <w:keepLines/>
              <w:spacing w:before="40" w:after="40"/>
              <w:jc w:val="center"/>
              <w:rPr>
                <w:b/>
                <w:sz w:val="22"/>
                <w:szCs w:val="22"/>
              </w:rPr>
            </w:pPr>
            <w:r w:rsidRPr="00094043">
              <w:rPr>
                <w:b/>
                <w:sz w:val="22"/>
                <w:szCs w:val="22"/>
              </w:rPr>
              <w:t>Organization</w:t>
            </w:r>
          </w:p>
        </w:tc>
        <w:tc>
          <w:tcPr>
            <w:tcW w:w="2966" w:type="dxa"/>
            <w:shd w:val="clear" w:color="auto" w:fill="FFFFFF"/>
            <w:vAlign w:val="center"/>
          </w:tcPr>
          <w:p w:rsidR="0051551A" w:rsidRPr="00094043" w:rsidRDefault="0051551A" w:rsidP="000F1DA4">
            <w:pPr>
              <w:keepNext/>
              <w:keepLines/>
              <w:spacing w:before="40" w:after="40"/>
              <w:jc w:val="center"/>
              <w:rPr>
                <w:b/>
                <w:sz w:val="22"/>
                <w:szCs w:val="22"/>
              </w:rPr>
            </w:pPr>
            <w:r w:rsidRPr="00094043">
              <w:rPr>
                <w:b/>
                <w:sz w:val="22"/>
                <w:szCs w:val="22"/>
              </w:rPr>
              <w:t>Contact Information</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Joanne Arsenault</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iCs/>
                <w:sz w:val="22"/>
                <w:szCs w:val="22"/>
              </w:rPr>
            </w:pPr>
            <w:r w:rsidRPr="00094043">
              <w:rPr>
                <w:sz w:val="22"/>
                <w:szCs w:val="22"/>
              </w:rPr>
              <w:t>RTI International</w:t>
            </w:r>
          </w:p>
        </w:tc>
        <w:tc>
          <w:tcPr>
            <w:tcW w:w="2966" w:type="dxa"/>
            <w:shd w:val="clear" w:color="auto" w:fill="FFFFFF"/>
          </w:tcPr>
          <w:p w:rsidR="00196307" w:rsidRPr="00094043" w:rsidRDefault="00B8413D" w:rsidP="000F1DA4">
            <w:pPr>
              <w:keepLines/>
              <w:spacing w:before="40" w:after="40"/>
              <w:rPr>
                <w:sz w:val="22"/>
                <w:szCs w:val="22"/>
              </w:rPr>
            </w:pPr>
            <w:r w:rsidRPr="00094043">
              <w:rPr>
                <w:sz w:val="22"/>
                <w:szCs w:val="22"/>
              </w:rPr>
              <w:t xml:space="preserve">Phone: </w:t>
            </w:r>
            <w:r w:rsidR="002A6939" w:rsidRPr="00094043">
              <w:rPr>
                <w:sz w:val="22"/>
                <w:szCs w:val="22"/>
              </w:rPr>
              <w:t>(</w:t>
            </w:r>
            <w:r w:rsidR="00196307" w:rsidRPr="00094043">
              <w:rPr>
                <w:sz w:val="22"/>
                <w:szCs w:val="22"/>
              </w:rPr>
              <w:t>919</w:t>
            </w:r>
            <w:r w:rsidR="002A6939" w:rsidRPr="00094043">
              <w:rPr>
                <w:sz w:val="22"/>
                <w:szCs w:val="22"/>
              </w:rPr>
              <w:t xml:space="preserve">) </w:t>
            </w:r>
            <w:r w:rsidR="00196307" w:rsidRPr="00094043">
              <w:rPr>
                <w:sz w:val="22"/>
                <w:szCs w:val="22"/>
              </w:rPr>
              <w:t>541-8065</w:t>
            </w:r>
          </w:p>
          <w:p w:rsidR="00B5204A" w:rsidRPr="00094043" w:rsidRDefault="00196307" w:rsidP="000F1DA4">
            <w:pPr>
              <w:keepLines/>
              <w:spacing w:before="40" w:after="40"/>
              <w:rPr>
                <w:sz w:val="22"/>
                <w:szCs w:val="22"/>
              </w:rPr>
            </w:pPr>
            <w:r w:rsidRPr="00FA6765">
              <w:rPr>
                <w:sz w:val="22"/>
                <w:szCs w:val="22"/>
              </w:rPr>
              <w:t>jarsenault@rti.org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lastRenderedPageBreak/>
              <w:t>Frank Chaloupka</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University of Illinois at Chicago</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Phone: (312) 413-2367</w:t>
            </w:r>
          </w:p>
          <w:p w:rsidR="002A6939" w:rsidRPr="00094043" w:rsidRDefault="002A6939" w:rsidP="000F1DA4">
            <w:pPr>
              <w:keepLines/>
              <w:spacing w:before="40" w:after="40"/>
              <w:rPr>
                <w:sz w:val="22"/>
                <w:szCs w:val="22"/>
              </w:rPr>
            </w:pPr>
            <w:r w:rsidRPr="00FA6765">
              <w:rPr>
                <w:sz w:val="22"/>
                <w:szCs w:val="22"/>
              </w:rPr>
              <w:t>fjc@uic.edu</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Mary E. Clementi</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A10 Clinical Solutions, Inc.</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404</w:t>
            </w:r>
            <w:r w:rsidR="00B5204A" w:rsidRPr="00094043">
              <w:rPr>
                <w:sz w:val="22"/>
                <w:szCs w:val="22"/>
              </w:rPr>
              <w:t xml:space="preserve">) </w:t>
            </w:r>
            <w:r w:rsidRPr="00094043">
              <w:rPr>
                <w:sz w:val="22"/>
                <w:szCs w:val="22"/>
              </w:rPr>
              <w:t>791-6347</w:t>
            </w:r>
          </w:p>
          <w:p w:rsidR="00196307" w:rsidRPr="00094043" w:rsidRDefault="005445F3" w:rsidP="000F1DA4">
            <w:pPr>
              <w:keepLines/>
              <w:spacing w:before="40" w:after="40"/>
              <w:rPr>
                <w:sz w:val="22"/>
                <w:szCs w:val="22"/>
              </w:rPr>
            </w:pPr>
            <w:r w:rsidRPr="00FA6765">
              <w:rPr>
                <w:sz w:val="22"/>
                <w:szCs w:val="22"/>
              </w:rPr>
              <w:t>mclementi@a10clinical.com</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Kevin Davis</w:t>
            </w:r>
            <w:r w:rsidR="004B105A" w:rsidRPr="00094043">
              <w:rPr>
                <w:sz w:val="22"/>
                <w:szCs w:val="22"/>
              </w:rPr>
              <w:t>, MA</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RTI International</w:t>
            </w:r>
          </w:p>
        </w:tc>
        <w:tc>
          <w:tcPr>
            <w:tcW w:w="2966" w:type="dxa"/>
            <w:shd w:val="clear" w:color="auto" w:fill="FFFFFF"/>
          </w:tcPr>
          <w:p w:rsidR="00196307" w:rsidRPr="00094043" w:rsidRDefault="0076079E" w:rsidP="000F1DA4">
            <w:pPr>
              <w:keepLines/>
              <w:spacing w:before="40" w:after="40"/>
              <w:rPr>
                <w:sz w:val="22"/>
                <w:szCs w:val="22"/>
              </w:rPr>
            </w:pPr>
            <w:r w:rsidRPr="00094043">
              <w:rPr>
                <w:sz w:val="22"/>
                <w:szCs w:val="22"/>
              </w:rPr>
              <w:t xml:space="preserve">Phone: </w:t>
            </w:r>
            <w:r w:rsidR="00B5204A" w:rsidRPr="00094043">
              <w:rPr>
                <w:sz w:val="22"/>
                <w:szCs w:val="22"/>
              </w:rPr>
              <w:t>(</w:t>
            </w:r>
            <w:r w:rsidR="00196307" w:rsidRPr="00094043">
              <w:rPr>
                <w:sz w:val="22"/>
                <w:szCs w:val="22"/>
              </w:rPr>
              <w:t>919</w:t>
            </w:r>
            <w:r w:rsidR="00B5204A" w:rsidRPr="00094043">
              <w:rPr>
                <w:sz w:val="22"/>
                <w:szCs w:val="22"/>
              </w:rPr>
              <w:t xml:space="preserve">) </w:t>
            </w:r>
            <w:r w:rsidR="00196307" w:rsidRPr="00094043">
              <w:rPr>
                <w:sz w:val="22"/>
                <w:szCs w:val="22"/>
              </w:rPr>
              <w:t>541-5801</w:t>
            </w:r>
          </w:p>
          <w:p w:rsidR="00196307" w:rsidRPr="00094043" w:rsidRDefault="005445F3" w:rsidP="000F1DA4">
            <w:pPr>
              <w:keepLines/>
              <w:spacing w:before="40" w:after="40"/>
              <w:rPr>
                <w:sz w:val="22"/>
                <w:szCs w:val="22"/>
              </w:rPr>
            </w:pPr>
            <w:r w:rsidRPr="00FA6765">
              <w:rPr>
                <w:sz w:val="22"/>
                <w:szCs w:val="22"/>
              </w:rPr>
              <w:t>kcdavis@rti.org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Matthew Farrelly, PhD</w:t>
            </w:r>
          </w:p>
        </w:tc>
        <w:tc>
          <w:tcPr>
            <w:tcW w:w="3960" w:type="dxa"/>
            <w:shd w:val="clear" w:color="auto" w:fill="FFFFFF"/>
          </w:tcPr>
          <w:p w:rsidR="00196307" w:rsidRPr="00094043" w:rsidRDefault="00196307" w:rsidP="000F1DA4">
            <w:pPr>
              <w:keepLines/>
              <w:spacing w:before="40" w:after="40"/>
              <w:rPr>
                <w:iCs/>
                <w:sz w:val="22"/>
                <w:szCs w:val="22"/>
              </w:rPr>
            </w:pPr>
            <w:r w:rsidRPr="00094043">
              <w:rPr>
                <w:iCs/>
                <w:sz w:val="22"/>
                <w:szCs w:val="22"/>
              </w:rPr>
              <w:t>RTI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919</w:t>
            </w:r>
            <w:r w:rsidR="00B5204A" w:rsidRPr="00094043">
              <w:rPr>
                <w:sz w:val="22"/>
                <w:szCs w:val="22"/>
              </w:rPr>
              <w:t xml:space="preserve">) </w:t>
            </w:r>
            <w:r w:rsidRPr="00094043">
              <w:rPr>
                <w:sz w:val="22"/>
                <w:szCs w:val="22"/>
              </w:rPr>
              <w:t>541-6852</w:t>
            </w:r>
          </w:p>
          <w:p w:rsidR="00196307" w:rsidRPr="00094043" w:rsidRDefault="005445F3" w:rsidP="000F1DA4">
            <w:pPr>
              <w:keepLines/>
              <w:spacing w:before="40" w:after="40"/>
              <w:rPr>
                <w:sz w:val="22"/>
                <w:szCs w:val="22"/>
              </w:rPr>
            </w:pPr>
            <w:r w:rsidRPr="00FA6765">
              <w:rPr>
                <w:sz w:val="22"/>
                <w:szCs w:val="22"/>
              </w:rPr>
              <w:t>mcf@rti.org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Carole Harris,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ICF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404</w:t>
            </w:r>
            <w:r w:rsidR="00B5204A" w:rsidRPr="00094043">
              <w:rPr>
                <w:sz w:val="22"/>
                <w:szCs w:val="22"/>
              </w:rPr>
              <w:t xml:space="preserve">) </w:t>
            </w:r>
            <w:r w:rsidRPr="00094043">
              <w:rPr>
                <w:sz w:val="22"/>
                <w:szCs w:val="22"/>
              </w:rPr>
              <w:t>321-3232</w:t>
            </w:r>
          </w:p>
          <w:p w:rsidR="00196307" w:rsidRPr="00094043" w:rsidRDefault="005445F3" w:rsidP="000F1DA4">
            <w:pPr>
              <w:keepLines/>
              <w:spacing w:before="40" w:after="40"/>
              <w:rPr>
                <w:sz w:val="22"/>
                <w:szCs w:val="22"/>
              </w:rPr>
            </w:pPr>
            <w:r w:rsidRPr="00FA6765">
              <w:rPr>
                <w:sz w:val="22"/>
                <w:szCs w:val="22"/>
              </w:rPr>
              <w:t>Charris5@icfi.org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James Hersey</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RTI International</w:t>
            </w:r>
          </w:p>
        </w:tc>
        <w:tc>
          <w:tcPr>
            <w:tcW w:w="2966" w:type="dxa"/>
            <w:shd w:val="clear" w:color="auto" w:fill="FFFFFF"/>
          </w:tcPr>
          <w:p w:rsidR="00196307" w:rsidRPr="00094043" w:rsidRDefault="0076079E" w:rsidP="000F1DA4">
            <w:pPr>
              <w:keepLines/>
              <w:spacing w:before="40" w:after="40"/>
              <w:rPr>
                <w:sz w:val="22"/>
                <w:szCs w:val="22"/>
              </w:rPr>
            </w:pPr>
            <w:r w:rsidRPr="00094043">
              <w:rPr>
                <w:sz w:val="22"/>
                <w:szCs w:val="22"/>
              </w:rPr>
              <w:t xml:space="preserve">Phone: </w:t>
            </w:r>
            <w:r w:rsidR="00B5204A" w:rsidRPr="00094043">
              <w:rPr>
                <w:sz w:val="22"/>
                <w:szCs w:val="22"/>
              </w:rPr>
              <w:t>(</w:t>
            </w:r>
            <w:r w:rsidR="00196307" w:rsidRPr="00094043">
              <w:rPr>
                <w:sz w:val="22"/>
                <w:szCs w:val="22"/>
              </w:rPr>
              <w:t>202</w:t>
            </w:r>
            <w:r w:rsidR="00B5204A" w:rsidRPr="00094043">
              <w:rPr>
                <w:sz w:val="22"/>
                <w:szCs w:val="22"/>
              </w:rPr>
              <w:t xml:space="preserve">) </w:t>
            </w:r>
            <w:r w:rsidR="00196307" w:rsidRPr="00094043">
              <w:rPr>
                <w:sz w:val="22"/>
                <w:szCs w:val="22"/>
              </w:rPr>
              <w:t>728-2486</w:t>
            </w:r>
          </w:p>
          <w:p w:rsidR="00196307" w:rsidRPr="00094043" w:rsidRDefault="005445F3" w:rsidP="000F1DA4">
            <w:pPr>
              <w:keepLines/>
              <w:spacing w:before="40" w:after="40"/>
              <w:rPr>
                <w:sz w:val="22"/>
                <w:szCs w:val="22"/>
              </w:rPr>
            </w:pPr>
            <w:r w:rsidRPr="00FA6765">
              <w:rPr>
                <w:sz w:val="22"/>
                <w:szCs w:val="22"/>
              </w:rPr>
              <w:t>hersey@rti.org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Andrew Hyland</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Roswell Park</w:t>
            </w:r>
            <w:r w:rsidR="00B24867" w:rsidRPr="00094043">
              <w:rPr>
                <w:sz w:val="22"/>
                <w:szCs w:val="22"/>
              </w:rPr>
              <w:t xml:space="preserve"> Cancer Institute</w:t>
            </w:r>
          </w:p>
        </w:tc>
        <w:tc>
          <w:tcPr>
            <w:tcW w:w="2966" w:type="dxa"/>
            <w:shd w:val="clear" w:color="auto" w:fill="FFFFFF"/>
          </w:tcPr>
          <w:p w:rsidR="00196307" w:rsidRPr="00094043" w:rsidRDefault="0076079E" w:rsidP="000F1DA4">
            <w:pPr>
              <w:keepLines/>
              <w:spacing w:before="40" w:after="40"/>
              <w:rPr>
                <w:sz w:val="22"/>
                <w:szCs w:val="22"/>
              </w:rPr>
            </w:pPr>
            <w:r w:rsidRPr="00094043">
              <w:rPr>
                <w:sz w:val="22"/>
                <w:szCs w:val="22"/>
              </w:rPr>
              <w:t>Phone: (716) 845-8391</w:t>
            </w:r>
            <w:r w:rsidRPr="00094043">
              <w:rPr>
                <w:sz w:val="22"/>
                <w:szCs w:val="22"/>
              </w:rPr>
              <w:br/>
            </w:r>
            <w:r w:rsidR="00196307" w:rsidRPr="00FA6765">
              <w:rPr>
                <w:sz w:val="22"/>
                <w:szCs w:val="22"/>
              </w:rPr>
              <w:t>Andrew.Hyland@RoswellPark.org</w:t>
            </w:r>
            <w:r w:rsidR="00196307" w:rsidRPr="00094043">
              <w:rPr>
                <w:sz w:val="22"/>
                <w:szCs w:val="22"/>
              </w:rPr>
              <w:t xml:space="preserve"> </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Cathy Lesesne,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ICF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404</w:t>
            </w:r>
            <w:r w:rsidR="00B5204A" w:rsidRPr="00094043">
              <w:rPr>
                <w:sz w:val="22"/>
                <w:szCs w:val="22"/>
              </w:rPr>
              <w:t xml:space="preserve">) </w:t>
            </w:r>
            <w:r w:rsidRPr="00094043">
              <w:rPr>
                <w:sz w:val="22"/>
                <w:szCs w:val="22"/>
              </w:rPr>
              <w:t>321-3232</w:t>
            </w:r>
          </w:p>
          <w:p w:rsidR="00196307" w:rsidRPr="00094043" w:rsidRDefault="005445F3" w:rsidP="000F1DA4">
            <w:pPr>
              <w:keepLines/>
              <w:spacing w:before="40" w:after="40"/>
              <w:rPr>
                <w:sz w:val="22"/>
                <w:szCs w:val="22"/>
              </w:rPr>
            </w:pPr>
            <w:r w:rsidRPr="00FA6765">
              <w:rPr>
                <w:sz w:val="22"/>
                <w:szCs w:val="22"/>
              </w:rPr>
              <w:t>clesesne@icfi.org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Megan Lewis,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RTI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919</w:t>
            </w:r>
            <w:r w:rsidR="00B5204A" w:rsidRPr="00094043">
              <w:rPr>
                <w:sz w:val="22"/>
                <w:szCs w:val="22"/>
              </w:rPr>
              <w:t xml:space="preserve">) </w:t>
            </w:r>
            <w:r w:rsidRPr="00094043">
              <w:rPr>
                <w:sz w:val="22"/>
                <w:szCs w:val="22"/>
              </w:rPr>
              <w:t>541-6000</w:t>
            </w:r>
          </w:p>
          <w:p w:rsidR="00196307" w:rsidRPr="00094043" w:rsidRDefault="005445F3" w:rsidP="000F1DA4">
            <w:pPr>
              <w:keepLines/>
              <w:spacing w:before="40" w:after="40"/>
              <w:rPr>
                <w:sz w:val="22"/>
                <w:szCs w:val="22"/>
              </w:rPr>
            </w:pPr>
            <w:r w:rsidRPr="00FA6765">
              <w:rPr>
                <w:sz w:val="22"/>
                <w:szCs w:val="22"/>
              </w:rPr>
              <w:t>melewis@rti.org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Leslie Lytle</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University of Minnesota</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612</w:t>
            </w:r>
            <w:r w:rsidR="00B5204A" w:rsidRPr="00094043">
              <w:rPr>
                <w:sz w:val="22"/>
                <w:szCs w:val="22"/>
              </w:rPr>
              <w:t xml:space="preserve">) </w:t>
            </w:r>
            <w:r w:rsidRPr="00094043">
              <w:rPr>
                <w:sz w:val="22"/>
                <w:szCs w:val="22"/>
              </w:rPr>
              <w:t>624-1818</w:t>
            </w:r>
          </w:p>
          <w:p w:rsidR="00196307" w:rsidRPr="00094043" w:rsidRDefault="005445F3" w:rsidP="000F1DA4">
            <w:pPr>
              <w:keepLines/>
              <w:spacing w:before="40" w:after="40"/>
              <w:rPr>
                <w:sz w:val="22"/>
                <w:szCs w:val="22"/>
              </w:rPr>
            </w:pPr>
            <w:r w:rsidRPr="00FA6765">
              <w:rPr>
                <w:sz w:val="22"/>
                <w:szCs w:val="22"/>
              </w:rPr>
              <w:t>lalytle@umn.edu</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James Nonnemaker,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RTI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919</w:t>
            </w:r>
            <w:r w:rsidR="00B5204A" w:rsidRPr="00094043">
              <w:rPr>
                <w:sz w:val="22"/>
                <w:szCs w:val="22"/>
              </w:rPr>
              <w:t xml:space="preserve">) </w:t>
            </w:r>
            <w:r w:rsidRPr="00094043">
              <w:rPr>
                <w:sz w:val="22"/>
                <w:szCs w:val="22"/>
              </w:rPr>
              <w:t>541-7064</w:t>
            </w:r>
          </w:p>
          <w:p w:rsidR="00196307" w:rsidRPr="00094043" w:rsidRDefault="005445F3" w:rsidP="000F1DA4">
            <w:pPr>
              <w:keepLines/>
              <w:spacing w:before="40" w:after="40"/>
              <w:rPr>
                <w:sz w:val="22"/>
                <w:szCs w:val="22"/>
              </w:rPr>
            </w:pPr>
            <w:r w:rsidRPr="00FA6765">
              <w:rPr>
                <w:sz w:val="22"/>
                <w:szCs w:val="22"/>
              </w:rPr>
              <w:t>jnonnemaker@rti.org</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Jim Sallis</w:t>
            </w:r>
            <w:r w:rsidR="004B105A" w:rsidRPr="00094043">
              <w:rPr>
                <w:sz w:val="22"/>
                <w:szCs w:val="22"/>
              </w:rPr>
              <w: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University of California at San Diego</w:t>
            </w:r>
          </w:p>
        </w:tc>
        <w:tc>
          <w:tcPr>
            <w:tcW w:w="2966" w:type="dxa"/>
            <w:shd w:val="clear" w:color="auto" w:fill="FFFFFF"/>
          </w:tcPr>
          <w:p w:rsidR="00196307" w:rsidRPr="00094043" w:rsidRDefault="0076079E" w:rsidP="000F1DA4">
            <w:pPr>
              <w:keepLines/>
              <w:spacing w:before="40" w:after="40"/>
              <w:rPr>
                <w:sz w:val="22"/>
                <w:szCs w:val="22"/>
              </w:rPr>
            </w:pPr>
            <w:r w:rsidRPr="00094043">
              <w:rPr>
                <w:sz w:val="22"/>
                <w:szCs w:val="22"/>
              </w:rPr>
              <w:t>Phone: (619) 260-5535</w:t>
            </w:r>
            <w:r w:rsidRPr="00094043">
              <w:rPr>
                <w:sz w:val="22"/>
                <w:szCs w:val="22"/>
              </w:rPr>
              <w:br/>
            </w:r>
            <w:r w:rsidR="00196307" w:rsidRPr="00FA6765">
              <w:rPr>
                <w:sz w:val="22"/>
                <w:szCs w:val="22"/>
              </w:rPr>
              <w:t>jsallis@ucsd.edu</w:t>
            </w:r>
          </w:p>
        </w:tc>
      </w:tr>
      <w:tr w:rsidR="00196307" w:rsidRPr="00094043" w:rsidTr="000F1DA4">
        <w:trPr>
          <w:cantSplit/>
        </w:trPr>
        <w:tc>
          <w:tcPr>
            <w:tcW w:w="2606" w:type="dxa"/>
            <w:shd w:val="clear" w:color="auto" w:fill="FFFFFF"/>
          </w:tcPr>
          <w:p w:rsidR="00196307" w:rsidRPr="00094043" w:rsidRDefault="00196307" w:rsidP="000F1DA4">
            <w:pPr>
              <w:keepLines/>
              <w:spacing w:before="40" w:after="40"/>
              <w:rPr>
                <w:sz w:val="22"/>
                <w:szCs w:val="22"/>
              </w:rPr>
            </w:pPr>
            <w:r w:rsidRPr="00094043">
              <w:rPr>
                <w:sz w:val="22"/>
                <w:szCs w:val="22"/>
              </w:rPr>
              <w:t>Carol Schmitt, PhD</w:t>
            </w:r>
          </w:p>
        </w:tc>
        <w:tc>
          <w:tcPr>
            <w:tcW w:w="3960" w:type="dxa"/>
            <w:shd w:val="clear" w:color="auto" w:fill="FFFFFF"/>
          </w:tcPr>
          <w:p w:rsidR="00196307" w:rsidRPr="00094043" w:rsidRDefault="00196307" w:rsidP="000F1DA4">
            <w:pPr>
              <w:keepLines/>
              <w:spacing w:before="40" w:after="40"/>
              <w:rPr>
                <w:sz w:val="22"/>
                <w:szCs w:val="22"/>
              </w:rPr>
            </w:pPr>
            <w:r w:rsidRPr="00094043">
              <w:rPr>
                <w:sz w:val="22"/>
                <w:szCs w:val="22"/>
              </w:rPr>
              <w:t>RTI International</w:t>
            </w:r>
          </w:p>
        </w:tc>
        <w:tc>
          <w:tcPr>
            <w:tcW w:w="2966" w:type="dxa"/>
            <w:shd w:val="clear" w:color="auto" w:fill="FFFFFF"/>
          </w:tcPr>
          <w:p w:rsidR="00196307" w:rsidRPr="00094043" w:rsidRDefault="00196307" w:rsidP="000F1DA4">
            <w:pPr>
              <w:keepLines/>
              <w:spacing w:before="40" w:after="40"/>
              <w:rPr>
                <w:sz w:val="22"/>
                <w:szCs w:val="22"/>
              </w:rPr>
            </w:pPr>
            <w:r w:rsidRPr="00094043">
              <w:rPr>
                <w:sz w:val="22"/>
                <w:szCs w:val="22"/>
              </w:rPr>
              <w:t xml:space="preserve">Phone: </w:t>
            </w:r>
            <w:r w:rsidR="00B5204A" w:rsidRPr="00094043">
              <w:rPr>
                <w:sz w:val="22"/>
                <w:szCs w:val="22"/>
              </w:rPr>
              <w:t>(</w:t>
            </w:r>
            <w:r w:rsidRPr="00094043">
              <w:rPr>
                <w:sz w:val="22"/>
                <w:szCs w:val="22"/>
              </w:rPr>
              <w:t>202</w:t>
            </w:r>
            <w:r w:rsidR="00B5204A" w:rsidRPr="00094043">
              <w:rPr>
                <w:sz w:val="22"/>
                <w:szCs w:val="22"/>
              </w:rPr>
              <w:t xml:space="preserve">) </w:t>
            </w:r>
            <w:r w:rsidRPr="00094043">
              <w:rPr>
                <w:sz w:val="22"/>
                <w:szCs w:val="22"/>
              </w:rPr>
              <w:t>728-2046</w:t>
            </w:r>
          </w:p>
          <w:p w:rsidR="00196307" w:rsidRPr="00094043" w:rsidRDefault="005445F3" w:rsidP="000F1DA4">
            <w:pPr>
              <w:keepLines/>
              <w:spacing w:before="40" w:after="40"/>
              <w:rPr>
                <w:sz w:val="22"/>
                <w:szCs w:val="22"/>
              </w:rPr>
            </w:pPr>
            <w:r w:rsidRPr="00FA6765">
              <w:rPr>
                <w:sz w:val="22"/>
                <w:szCs w:val="22"/>
              </w:rPr>
              <w:t>cschmitt@rti.org</w:t>
            </w:r>
          </w:p>
        </w:tc>
      </w:tr>
    </w:tbl>
    <w:p w:rsidR="000B10C9" w:rsidRPr="0056461F" w:rsidRDefault="000B10C9" w:rsidP="00C90014">
      <w:pPr>
        <w:pStyle w:val="Heading2"/>
        <w:spacing w:after="0"/>
      </w:pPr>
    </w:p>
    <w:p w:rsidR="00A905FC" w:rsidRPr="0056461F" w:rsidRDefault="00A905FC" w:rsidP="002C1227">
      <w:pPr>
        <w:pStyle w:val="Heading2"/>
        <w:spacing w:after="0"/>
      </w:pPr>
      <w:bookmarkStart w:id="22" w:name="_Toc348428799"/>
      <w:r w:rsidRPr="0056461F">
        <w:t>A</w:t>
      </w:r>
      <w:r w:rsidR="0085535A">
        <w:t>.</w:t>
      </w:r>
      <w:r w:rsidR="00655767" w:rsidRPr="0056461F">
        <w:t>9</w:t>
      </w:r>
      <w:r w:rsidR="00655767" w:rsidRPr="0056461F">
        <w:tab/>
      </w:r>
      <w:r w:rsidRPr="0056461F">
        <w:t xml:space="preserve">Explanation of Any </w:t>
      </w:r>
      <w:r w:rsidR="00B24867" w:rsidRPr="0056461F">
        <w:t>Payment</w:t>
      </w:r>
      <w:r w:rsidRPr="0056461F">
        <w:t xml:space="preserve"> or Gift to Respondents</w:t>
      </w:r>
      <w:bookmarkEnd w:id="22"/>
    </w:p>
    <w:p w:rsidR="00DA1641" w:rsidRPr="0056461F" w:rsidRDefault="0056461F" w:rsidP="00254548">
      <w:pPr>
        <w:pStyle w:val="BodyText"/>
        <w:spacing w:line="240" w:lineRule="auto"/>
        <w:ind w:left="0"/>
      </w:pPr>
      <w:r>
        <w:t xml:space="preserve">The Targeted Surveillance and Biometric Study will provide respondents with gifts </w:t>
      </w:r>
      <w:r w:rsidR="00C677F0">
        <w:t xml:space="preserve">commensurate </w:t>
      </w:r>
      <w:r>
        <w:t>with the time they spend participating in the study</w:t>
      </w:r>
      <w:r w:rsidR="00ED71C0">
        <w:t xml:space="preserve">. These gifts are </w:t>
      </w:r>
      <w:r>
        <w:t xml:space="preserve">comparable to gifts provided to respondents </w:t>
      </w:r>
      <w:r w:rsidR="00ED71C0">
        <w:t xml:space="preserve">in </w:t>
      </w:r>
      <w:r>
        <w:t xml:space="preserve">similar studies approved by OMB. </w:t>
      </w:r>
      <w:r w:rsidR="00C23D4F" w:rsidRPr="0056461F">
        <w:t>R</w:t>
      </w:r>
      <w:r w:rsidR="00A82104" w:rsidRPr="0056461F">
        <w:t>espondents</w:t>
      </w:r>
      <w:r w:rsidR="000541CE" w:rsidRPr="0056461F">
        <w:t xml:space="preserve"> completing</w:t>
      </w:r>
      <w:r w:rsidR="00A82104" w:rsidRPr="0056461F">
        <w:t xml:space="preserve"> the ATSS </w:t>
      </w:r>
      <w:r w:rsidR="00A903EB" w:rsidRPr="0056461F">
        <w:t xml:space="preserve">in the </w:t>
      </w:r>
      <w:r w:rsidR="000B3F4E" w:rsidRPr="0056461F">
        <w:rPr>
          <w:i/>
        </w:rPr>
        <w:t>Standard Protocol</w:t>
      </w:r>
      <w:r w:rsidR="00A903EB" w:rsidRPr="0056461F">
        <w:t xml:space="preserve"> </w:t>
      </w:r>
      <w:r w:rsidR="00A82104" w:rsidRPr="0056461F">
        <w:t>will receive a</w:t>
      </w:r>
      <w:r w:rsidR="00B95F95" w:rsidRPr="0056461F">
        <w:t xml:space="preserve"> </w:t>
      </w:r>
      <w:r w:rsidR="0005517A" w:rsidRPr="0056461F">
        <w:t>gift</w:t>
      </w:r>
      <w:r w:rsidR="00A82104" w:rsidRPr="0056461F">
        <w:t xml:space="preserve"> of $</w:t>
      </w:r>
      <w:r w:rsidR="00F23A52" w:rsidRPr="0056461F">
        <w:t xml:space="preserve">20 </w:t>
      </w:r>
      <w:r w:rsidR="00254548">
        <w:t>as a token of appreciation</w:t>
      </w:r>
      <w:r w:rsidR="00A82104" w:rsidRPr="0056461F">
        <w:t>.</w:t>
      </w:r>
      <w:r w:rsidR="009561F9" w:rsidRPr="0056461F">
        <w:t xml:space="preserve"> </w:t>
      </w:r>
      <w:r w:rsidR="00003FA0" w:rsidRPr="0056461F">
        <w:t xml:space="preserve">The </w:t>
      </w:r>
      <w:r w:rsidR="00B42423" w:rsidRPr="0056461F">
        <w:t xml:space="preserve">proposed </w:t>
      </w:r>
      <w:r w:rsidR="0005517A" w:rsidRPr="0056461F">
        <w:t>gift</w:t>
      </w:r>
      <w:r w:rsidR="00B42423" w:rsidRPr="0056461F">
        <w:t xml:space="preserve"> amount for this study </w:t>
      </w:r>
      <w:r w:rsidR="00B56543" w:rsidRPr="0056461F">
        <w:t>is</w:t>
      </w:r>
      <w:r w:rsidR="00003FA0" w:rsidRPr="0056461F">
        <w:t xml:space="preserve"> based on </w:t>
      </w:r>
      <w:r w:rsidR="007D3D65" w:rsidRPr="0056461F">
        <w:t xml:space="preserve">a </w:t>
      </w:r>
      <w:r w:rsidR="00FF0839" w:rsidRPr="0056461F">
        <w:t>review</w:t>
      </w:r>
      <w:r w:rsidR="007D3D65" w:rsidRPr="0056461F">
        <w:t xml:space="preserve"> of </w:t>
      </w:r>
      <w:r w:rsidR="00D842E2" w:rsidRPr="0056461F">
        <w:t>monetary</w:t>
      </w:r>
      <w:r w:rsidR="00B42423" w:rsidRPr="0056461F">
        <w:t xml:space="preserve"> </w:t>
      </w:r>
      <w:r w:rsidR="0005517A" w:rsidRPr="0056461F">
        <w:t>gift</w:t>
      </w:r>
      <w:r w:rsidR="00B42423" w:rsidRPr="0056461F">
        <w:t xml:space="preserve">s for other recent </w:t>
      </w:r>
      <w:r w:rsidR="003D524B" w:rsidRPr="0056461F">
        <w:t>large-scal</w:t>
      </w:r>
      <w:r w:rsidR="00B42423" w:rsidRPr="0056461F">
        <w:t>e</w:t>
      </w:r>
      <w:r w:rsidR="003D524B" w:rsidRPr="0056461F">
        <w:t xml:space="preserve"> </w:t>
      </w:r>
      <w:r w:rsidR="00C52F1D" w:rsidRPr="0056461F">
        <w:t xml:space="preserve">state and </w:t>
      </w:r>
      <w:r w:rsidR="003D524B" w:rsidRPr="0056461F">
        <w:t>national surveys administ</w:t>
      </w:r>
      <w:r w:rsidR="003E654A" w:rsidRPr="0056461F">
        <w:t>er</w:t>
      </w:r>
      <w:r w:rsidR="003D524B" w:rsidRPr="0056461F">
        <w:t xml:space="preserve">ed using CATI </w:t>
      </w:r>
      <w:r w:rsidR="00B42423" w:rsidRPr="0056461F">
        <w:t>that have similar respondent burden</w:t>
      </w:r>
      <w:r w:rsidR="00003FA0" w:rsidRPr="0056461F">
        <w:t>.</w:t>
      </w:r>
      <w:r w:rsidR="009276EB">
        <w:rPr>
          <w:rStyle w:val="FootnoteReference"/>
        </w:rPr>
        <w:t>3</w:t>
      </w:r>
      <w:r w:rsidR="009276EB" w:rsidRPr="00FA6765">
        <w:rPr>
          <w:vertAlign w:val="superscript"/>
        </w:rPr>
        <w:t>0</w:t>
      </w:r>
      <w:r w:rsidR="00CE775D" w:rsidRPr="0056461F">
        <w:t xml:space="preserve"> </w:t>
      </w:r>
      <w:r w:rsidR="00B42423" w:rsidRPr="0056461F">
        <w:t xml:space="preserve">Evidence from the survey research literature also suggests that increasing the amount of the </w:t>
      </w:r>
      <w:r w:rsidR="0005517A" w:rsidRPr="0056461F">
        <w:t>gift</w:t>
      </w:r>
      <w:r w:rsidR="00B42423" w:rsidRPr="0056461F">
        <w:t xml:space="preserve"> may also have a positive effect on response rates. </w:t>
      </w:r>
      <w:bookmarkStart w:id="23" w:name="_Ref231630338"/>
      <w:bookmarkStart w:id="24" w:name="_Ref258316433"/>
      <w:bookmarkEnd w:id="23"/>
      <w:bookmarkEnd w:id="24"/>
      <w:r w:rsidR="00A82104" w:rsidRPr="0056461F">
        <w:t xml:space="preserve">We </w:t>
      </w:r>
      <w:r w:rsidR="008558A4" w:rsidRPr="0056461F">
        <w:t xml:space="preserve">have chosen a </w:t>
      </w:r>
      <w:r w:rsidR="0005517A" w:rsidRPr="0056461F">
        <w:t>gift</w:t>
      </w:r>
      <w:r w:rsidR="008558A4" w:rsidRPr="0056461F">
        <w:t xml:space="preserve"> that is </w:t>
      </w:r>
      <w:r w:rsidR="00B56543" w:rsidRPr="0056461F">
        <w:t>commonly used</w:t>
      </w:r>
      <w:r w:rsidR="008558A4" w:rsidRPr="0056461F">
        <w:t xml:space="preserve"> in other large-scale surveys</w:t>
      </w:r>
      <w:r w:rsidR="00B95F95" w:rsidRPr="0056461F">
        <w:t xml:space="preserve"> of similar kind and length</w:t>
      </w:r>
      <w:r w:rsidR="00A82104" w:rsidRPr="0056461F">
        <w:t>.</w:t>
      </w:r>
      <w:r w:rsidR="000541CE" w:rsidRPr="0056461F">
        <w:t xml:space="preserve"> </w:t>
      </w:r>
      <w:r w:rsidR="008E47E0" w:rsidRPr="0056461F">
        <w:t>S</w:t>
      </w:r>
      <w:r w:rsidR="00DA1641" w:rsidRPr="0056461F">
        <w:t xml:space="preserve">ampled households will also receive $2 along with their </w:t>
      </w:r>
      <w:r w:rsidR="008E47E0" w:rsidRPr="0056461F">
        <w:t xml:space="preserve">initial </w:t>
      </w:r>
      <w:r w:rsidR="00DA1641" w:rsidRPr="0056461F">
        <w:t xml:space="preserve">invitation letter, as an additional </w:t>
      </w:r>
      <w:r w:rsidR="0005517A" w:rsidRPr="0056461F">
        <w:t>gift</w:t>
      </w:r>
      <w:r w:rsidR="00DA1641" w:rsidRPr="0056461F">
        <w:t xml:space="preserve"> to participate</w:t>
      </w:r>
      <w:r w:rsidR="00A455F6" w:rsidRPr="0056461F">
        <w:t xml:space="preserve">. </w:t>
      </w:r>
      <w:r w:rsidR="00DA1641" w:rsidRPr="0056461F">
        <w:t xml:space="preserve">Small prepaid </w:t>
      </w:r>
      <w:r w:rsidR="0005517A" w:rsidRPr="0056461F">
        <w:t>gift</w:t>
      </w:r>
      <w:r w:rsidR="00DA1641" w:rsidRPr="0056461F">
        <w:t>s have been found to produce improvements in screener response rates</w:t>
      </w:r>
      <w:r w:rsidR="0042067D" w:rsidRPr="0056461F">
        <w:t>.</w:t>
      </w:r>
      <w:r w:rsidR="009276EB">
        <w:rPr>
          <w:rStyle w:val="FootnoteReference"/>
        </w:rPr>
        <w:t>3</w:t>
      </w:r>
      <w:r w:rsidR="009276EB" w:rsidRPr="00FA6765">
        <w:rPr>
          <w:vertAlign w:val="superscript"/>
        </w:rPr>
        <w:t>1</w:t>
      </w:r>
    </w:p>
    <w:p w:rsidR="00950A6F" w:rsidRPr="0056461F" w:rsidRDefault="00950A6F" w:rsidP="00254548">
      <w:pPr>
        <w:pStyle w:val="BodyText"/>
        <w:spacing w:line="240" w:lineRule="auto"/>
        <w:ind w:left="0"/>
        <w:rPr>
          <w:vertAlign w:val="superscript"/>
        </w:rPr>
      </w:pPr>
      <w:r w:rsidRPr="0056461F">
        <w:lastRenderedPageBreak/>
        <w:t xml:space="preserve">Adult participants </w:t>
      </w:r>
      <w:r w:rsidR="00A903EB" w:rsidRPr="0056461F">
        <w:t xml:space="preserve">completing </w:t>
      </w:r>
      <w:r w:rsidRPr="0056461F">
        <w:t xml:space="preserve">the in-home </w:t>
      </w:r>
      <w:r w:rsidR="00A903EB" w:rsidRPr="0056461F">
        <w:t xml:space="preserve">biometric </w:t>
      </w:r>
      <w:r w:rsidR="004A1211" w:rsidRPr="0056461F">
        <w:t xml:space="preserve">data collection </w:t>
      </w:r>
      <w:r w:rsidR="00A903EB" w:rsidRPr="0056461F">
        <w:t xml:space="preserve">in the </w:t>
      </w:r>
      <w:r w:rsidR="000B3F4E" w:rsidRPr="0056461F">
        <w:rPr>
          <w:i/>
        </w:rPr>
        <w:t>Enhanced Protocol</w:t>
      </w:r>
      <w:r w:rsidR="00A903EB" w:rsidRPr="0056461F">
        <w:t xml:space="preserve"> </w:t>
      </w:r>
      <w:r w:rsidRPr="0056461F">
        <w:t>will receive a $</w:t>
      </w:r>
      <w:r w:rsidR="00C2763F" w:rsidRPr="0056461F">
        <w:t xml:space="preserve">40 </w:t>
      </w:r>
      <w:r w:rsidR="0005517A" w:rsidRPr="0056461F">
        <w:t>gift</w:t>
      </w:r>
      <w:r w:rsidR="00A427B0" w:rsidRPr="0056461F">
        <w:t>,</w:t>
      </w:r>
      <w:r w:rsidRPr="0056461F">
        <w:t xml:space="preserve"> and child participants will receive a $10 </w:t>
      </w:r>
      <w:r w:rsidR="0005517A" w:rsidRPr="0056461F">
        <w:t>gift</w:t>
      </w:r>
      <w:r w:rsidRPr="0056461F">
        <w:t xml:space="preserve"> </w:t>
      </w:r>
      <w:r w:rsidR="00254548">
        <w:t>as a token of appreciation</w:t>
      </w:r>
      <w:r w:rsidRPr="0056461F">
        <w:t>.</w:t>
      </w:r>
      <w:r w:rsidR="00550C15" w:rsidRPr="0056461F">
        <w:t xml:space="preserve"> </w:t>
      </w:r>
      <w:r w:rsidR="00B5204A" w:rsidRPr="0056461F">
        <w:t>We</w:t>
      </w:r>
      <w:r w:rsidRPr="0056461F">
        <w:t xml:space="preserve"> anticipate that the </w:t>
      </w:r>
      <w:r w:rsidR="00E46EB7" w:rsidRPr="0056461F">
        <w:t xml:space="preserve">measures collected during the </w:t>
      </w:r>
      <w:r w:rsidRPr="0056461F">
        <w:t xml:space="preserve">in-home </w:t>
      </w:r>
      <w:r w:rsidR="00E46EB7" w:rsidRPr="0056461F">
        <w:t>visit</w:t>
      </w:r>
      <w:r w:rsidRPr="0056461F">
        <w:t xml:space="preserve"> will take on average </w:t>
      </w:r>
      <w:r w:rsidR="00E46EB7" w:rsidRPr="0056461F">
        <w:t>3</w:t>
      </w:r>
      <w:r w:rsidR="00AF023B" w:rsidRPr="0056461F">
        <w:t>0</w:t>
      </w:r>
      <w:r w:rsidRPr="0056461F">
        <w:t xml:space="preserve"> minutes for adults</w:t>
      </w:r>
      <w:r w:rsidR="00AF023B" w:rsidRPr="0056461F">
        <w:t>,</w:t>
      </w:r>
      <w:r w:rsidR="00E46EB7" w:rsidRPr="0056461F">
        <w:t xml:space="preserve"> 4</w:t>
      </w:r>
      <w:r w:rsidRPr="0056461F">
        <w:t xml:space="preserve">0 minutes for children </w:t>
      </w:r>
      <w:r w:rsidR="00A427B0" w:rsidRPr="0056461F">
        <w:t>12</w:t>
      </w:r>
      <w:r w:rsidR="00B82288" w:rsidRPr="0056461F">
        <w:t>–</w:t>
      </w:r>
      <w:r w:rsidR="00AF023B" w:rsidRPr="0056461F">
        <w:t xml:space="preserve">17 years of age, and </w:t>
      </w:r>
      <w:r w:rsidR="00575582" w:rsidRPr="0056461F">
        <w:t>2</w:t>
      </w:r>
      <w:r w:rsidR="00E93196" w:rsidRPr="0056461F">
        <w:t>0</w:t>
      </w:r>
      <w:r w:rsidR="00AF023B" w:rsidRPr="0056461F">
        <w:t xml:space="preserve"> minutes for children 3</w:t>
      </w:r>
      <w:r w:rsidR="004937BC" w:rsidRPr="0056461F">
        <w:t>–</w:t>
      </w:r>
      <w:r w:rsidR="00A427B0" w:rsidRPr="0056461F">
        <w:t>11</w:t>
      </w:r>
      <w:r w:rsidR="00AF023B" w:rsidRPr="0056461F">
        <w:t xml:space="preserve"> years of age </w:t>
      </w:r>
      <w:r w:rsidRPr="0056461F">
        <w:t>to complete</w:t>
      </w:r>
      <w:r w:rsidR="00575582" w:rsidRPr="0056461F">
        <w:t>, along with another 20 minutes for their caregiver (i.e., adult who may or may not have completed the ATSS) to complete the survey</w:t>
      </w:r>
      <w:r w:rsidRPr="0056461F">
        <w:t>.</w:t>
      </w:r>
      <w:r w:rsidR="007C0CB3" w:rsidRPr="0056461F">
        <w:t xml:space="preserve"> </w:t>
      </w:r>
      <w:r w:rsidR="006D7354" w:rsidRPr="0056461F">
        <w:t xml:space="preserve">An additional $20 </w:t>
      </w:r>
      <w:r w:rsidR="0005517A" w:rsidRPr="0056461F">
        <w:t>gift</w:t>
      </w:r>
      <w:r w:rsidR="006D7354" w:rsidRPr="0056461F">
        <w:t xml:space="preserve"> </w:t>
      </w:r>
      <w:r w:rsidR="00B02290" w:rsidRPr="0056461F">
        <w:t xml:space="preserve">will be sent to </w:t>
      </w:r>
      <w:r w:rsidR="006D7354" w:rsidRPr="0056461F">
        <w:t xml:space="preserve">adults and $10 </w:t>
      </w:r>
      <w:r w:rsidR="00B02290" w:rsidRPr="0056461F">
        <w:t>t</w:t>
      </w:r>
      <w:r w:rsidR="006D7354" w:rsidRPr="0056461F">
        <w:t xml:space="preserve">o children </w:t>
      </w:r>
      <w:r w:rsidR="00B02290" w:rsidRPr="0056461F">
        <w:t xml:space="preserve">who participate in the accelerometer component of the </w:t>
      </w:r>
      <w:r w:rsidR="000B3F4E" w:rsidRPr="0056461F">
        <w:rPr>
          <w:i/>
        </w:rPr>
        <w:t>Enhanced Protocol</w:t>
      </w:r>
      <w:r w:rsidR="00B02290" w:rsidRPr="0056461F">
        <w:t xml:space="preserve"> and provide at least 4 </w:t>
      </w:r>
      <w:r w:rsidR="00BB622B" w:rsidRPr="0056461F">
        <w:t xml:space="preserve">days </w:t>
      </w:r>
      <w:r w:rsidR="0081389B" w:rsidRPr="0056461F">
        <w:t xml:space="preserve">of data </w:t>
      </w:r>
      <w:r w:rsidR="00BB622B" w:rsidRPr="0056461F">
        <w:t>in which the monitor is worn at least 10 hours following the NHANES accelerometry protocol</w:t>
      </w:r>
      <w:r w:rsidR="00B02290" w:rsidRPr="0056461F">
        <w:t>.</w:t>
      </w:r>
      <w:r w:rsidR="00CE775D" w:rsidRPr="00E61446">
        <w:rPr>
          <w:rStyle w:val="FootnoteReference"/>
        </w:rPr>
        <w:t>3</w:t>
      </w:r>
      <w:r w:rsidR="009276EB">
        <w:rPr>
          <w:rStyle w:val="FootnoteReference"/>
        </w:rPr>
        <w:t>2</w:t>
      </w:r>
      <w:r w:rsidR="00CE775D" w:rsidRPr="00FA6765">
        <w:rPr>
          <w:vertAlign w:val="superscript"/>
        </w:rPr>
        <w:t>,3</w:t>
      </w:r>
      <w:r w:rsidR="009276EB">
        <w:rPr>
          <w:vertAlign w:val="superscript"/>
        </w:rPr>
        <w:t>3</w:t>
      </w:r>
      <w:r w:rsidR="00CE775D" w:rsidRPr="0056461F">
        <w:t xml:space="preserve"> </w:t>
      </w:r>
      <w:r w:rsidRPr="0056461F">
        <w:t xml:space="preserve">The </w:t>
      </w:r>
      <w:r w:rsidR="0005517A" w:rsidRPr="0056461F">
        <w:t>gift</w:t>
      </w:r>
      <w:r w:rsidRPr="0056461F">
        <w:t>s will be explained to potential participants during recruitment over the telephone and as part of the informed consent process at the home visit.</w:t>
      </w:r>
      <w:r w:rsidR="00550C15" w:rsidRPr="0056461F">
        <w:t xml:space="preserve"> </w:t>
      </w:r>
      <w:r w:rsidRPr="0056461F">
        <w:t xml:space="preserve">Proposed </w:t>
      </w:r>
      <w:r w:rsidR="0005517A" w:rsidRPr="0056461F">
        <w:t>gift</w:t>
      </w:r>
      <w:r w:rsidR="003E7CE0" w:rsidRPr="0056461F">
        <w:t xml:space="preserve">s </w:t>
      </w:r>
      <w:r w:rsidRPr="0056461F">
        <w:t>are based on both the age of the participant (child vs. adult) and the level of participation</w:t>
      </w:r>
      <w:r w:rsidR="00965879" w:rsidRPr="0056461F">
        <w:t xml:space="preserve">. The </w:t>
      </w:r>
      <w:r w:rsidR="003B7600" w:rsidRPr="0056461F">
        <w:t xml:space="preserve">proposed </w:t>
      </w:r>
      <w:r w:rsidR="0005517A" w:rsidRPr="0056461F">
        <w:t>gift</w:t>
      </w:r>
      <w:r w:rsidR="003E7CE0" w:rsidRPr="0056461F">
        <w:t xml:space="preserve">s </w:t>
      </w:r>
      <w:r w:rsidR="00965879" w:rsidRPr="0056461F">
        <w:t>are</w:t>
      </w:r>
      <w:r w:rsidR="00AF023B" w:rsidRPr="0056461F">
        <w:t xml:space="preserve"> </w:t>
      </w:r>
      <w:r w:rsidR="00965879" w:rsidRPr="0056461F">
        <w:t xml:space="preserve">slightly lower than for participants of the longer (5.9 hours) </w:t>
      </w:r>
      <w:r w:rsidR="00AF023B" w:rsidRPr="0056461F">
        <w:t xml:space="preserve">NHANES </w:t>
      </w:r>
      <w:r w:rsidR="00DF6437" w:rsidRPr="0056461F">
        <w:t>visit</w:t>
      </w:r>
      <w:r w:rsidR="00AF023B" w:rsidRPr="0056461F">
        <w:t>,</w:t>
      </w:r>
      <w:r w:rsidR="00562E83" w:rsidRPr="00E61446">
        <w:rPr>
          <w:rStyle w:val="FootnoteReference"/>
        </w:rPr>
        <w:t>27</w:t>
      </w:r>
      <w:r w:rsidR="00AF023B" w:rsidRPr="0056461F">
        <w:t xml:space="preserve"> where </w:t>
      </w:r>
      <w:r w:rsidR="003E7CE0" w:rsidRPr="0056461F">
        <w:t xml:space="preserve">a </w:t>
      </w:r>
      <w:r w:rsidR="0005517A" w:rsidRPr="0056461F">
        <w:t>gift</w:t>
      </w:r>
      <w:r w:rsidR="00AF023B" w:rsidRPr="0056461F">
        <w:t xml:space="preserve"> of $70 is given to person</w:t>
      </w:r>
      <w:r w:rsidR="00965879" w:rsidRPr="0056461F">
        <w:t>s</w:t>
      </w:r>
      <w:r w:rsidR="00AF023B" w:rsidRPr="0056461F">
        <w:t xml:space="preserve"> age</w:t>
      </w:r>
      <w:r w:rsidR="004937BC" w:rsidRPr="0056461F">
        <w:t>d</w:t>
      </w:r>
      <w:r w:rsidR="00AF023B" w:rsidRPr="0056461F">
        <w:t xml:space="preserve"> 16 and older</w:t>
      </w:r>
      <w:r w:rsidR="00965879" w:rsidRPr="0056461F">
        <w:t>, and $30 is given to c</w:t>
      </w:r>
      <w:r w:rsidR="00AF023B" w:rsidRPr="0056461F">
        <w:t xml:space="preserve">hildren </w:t>
      </w:r>
      <w:r w:rsidR="00965879" w:rsidRPr="0056461F">
        <w:t>2</w:t>
      </w:r>
      <w:r w:rsidR="004937BC" w:rsidRPr="0056461F">
        <w:t>–</w:t>
      </w:r>
      <w:r w:rsidR="00AF023B" w:rsidRPr="0056461F">
        <w:t>15</w:t>
      </w:r>
      <w:r w:rsidR="00965879" w:rsidRPr="0056461F">
        <w:t xml:space="preserve"> years of age</w:t>
      </w:r>
      <w:r w:rsidR="00AF023B" w:rsidRPr="0056461F">
        <w:rPr>
          <w:rFonts w:cs="Arial"/>
        </w:rPr>
        <w:t>.</w:t>
      </w:r>
      <w:r w:rsidR="00550C15" w:rsidRPr="0056461F">
        <w:rPr>
          <w:rFonts w:cs="Arial"/>
        </w:rPr>
        <w:t xml:space="preserve"> </w:t>
      </w:r>
      <w:r w:rsidR="003B7600" w:rsidRPr="0056461F">
        <w:rPr>
          <w:rFonts w:cs="Arial"/>
        </w:rPr>
        <w:t xml:space="preserve">The </w:t>
      </w:r>
      <w:r w:rsidR="0005517A" w:rsidRPr="0056461F">
        <w:rPr>
          <w:rFonts w:cs="Arial"/>
        </w:rPr>
        <w:t>gift</w:t>
      </w:r>
      <w:r w:rsidR="003E7CE0" w:rsidRPr="0056461F">
        <w:rPr>
          <w:rFonts w:cs="Arial"/>
        </w:rPr>
        <w:t xml:space="preserve"> </w:t>
      </w:r>
      <w:r w:rsidR="003B7600" w:rsidRPr="0056461F">
        <w:rPr>
          <w:rFonts w:cs="Arial"/>
        </w:rPr>
        <w:t xml:space="preserve">is also lower than for the </w:t>
      </w:r>
      <w:r w:rsidR="00EB1EC1" w:rsidRPr="0056461F">
        <w:rPr>
          <w:rFonts w:cs="Arial"/>
        </w:rPr>
        <w:t xml:space="preserve">Children’s Health after the Storms (CHATS) Study </w:t>
      </w:r>
      <w:r w:rsidR="00EB1EC1" w:rsidRPr="0056461F">
        <w:t>(OMB No. 0920-0925, exp. 3/31/2015)</w:t>
      </w:r>
      <w:r w:rsidR="003B7600" w:rsidRPr="0056461F">
        <w:rPr>
          <w:rFonts w:cs="Arial"/>
        </w:rPr>
        <w:t xml:space="preserve">, in which </w:t>
      </w:r>
      <w:r w:rsidR="003B7600" w:rsidRPr="0056461F">
        <w:t>the token of appreciation varied from $75</w:t>
      </w:r>
      <w:r w:rsidR="00D874E1">
        <w:rPr>
          <w:rFonts w:ascii="Arial" w:hAnsi="Arial" w:cs="Arial"/>
        </w:rPr>
        <w:t xml:space="preserve"> to </w:t>
      </w:r>
      <w:r w:rsidR="00D874E1" w:rsidRPr="0056461F">
        <w:t>$</w:t>
      </w:r>
      <w:r w:rsidR="003B7600" w:rsidRPr="0056461F">
        <w:t>135 per household, with incremental tokens of appreciation, based on activity and burden, provided for each completed activity</w:t>
      </w:r>
      <w:r w:rsidR="00B5204A" w:rsidRPr="0056461F">
        <w:t>.</w:t>
      </w:r>
      <w:r w:rsidR="001E6A09">
        <w:rPr>
          <w:rStyle w:val="FootnoteReference"/>
        </w:rPr>
        <w:footnoteReference w:id="2"/>
      </w:r>
      <w:r w:rsidR="000F6440" w:rsidRPr="0056461F">
        <w:rPr>
          <w:vertAlign w:val="superscript"/>
        </w:rPr>
        <w:t xml:space="preserve"> </w:t>
      </w:r>
    </w:p>
    <w:p w:rsidR="00A905FC" w:rsidRPr="0056461F" w:rsidRDefault="00655767" w:rsidP="002C1227">
      <w:pPr>
        <w:pStyle w:val="Heading2"/>
        <w:spacing w:after="0"/>
      </w:pPr>
      <w:bookmarkStart w:id="25" w:name="_Toc348428800"/>
      <w:r w:rsidRPr="0056461F">
        <w:t>A</w:t>
      </w:r>
      <w:r w:rsidR="0085535A">
        <w:t>.</w:t>
      </w:r>
      <w:r w:rsidRPr="0056461F">
        <w:t>10</w:t>
      </w:r>
      <w:r w:rsidRPr="0056461F">
        <w:tab/>
      </w:r>
      <w:r w:rsidR="00A905FC" w:rsidRPr="0056461F">
        <w:t>Assurance of Confidentiality Provided to Respondents</w:t>
      </w:r>
      <w:bookmarkEnd w:id="25"/>
    </w:p>
    <w:p w:rsidR="00E621FA" w:rsidRDefault="00E621FA" w:rsidP="00E621FA">
      <w:pPr>
        <w:pStyle w:val="BodyText"/>
        <w:spacing w:after="0" w:line="240" w:lineRule="auto"/>
        <w:ind w:left="0"/>
      </w:pPr>
      <w:r w:rsidRPr="00E621FA">
        <w:t>All procedures have been developed in accordance with federal, state, and local guidelines, to ensure that the rights of participants are protected and data are appropriately safeguarded. The RTI Institutional Review Board (IRB) reviewed and approved all instruments, informed consent materials, and data collection and management procedures. RTI’s IRB approval notice</w:t>
      </w:r>
      <w:r>
        <w:t>s are</w:t>
      </w:r>
      <w:r w:rsidRPr="00E621FA">
        <w:t xml:space="preserve"> included as </w:t>
      </w:r>
      <w:r w:rsidRPr="00E621FA">
        <w:rPr>
          <w:bCs/>
          <w:iCs/>
        </w:rPr>
        <w:t>Attachmen</w:t>
      </w:r>
      <w:r>
        <w:rPr>
          <w:bCs/>
          <w:iCs/>
        </w:rPr>
        <w:t>ts 3A and 3B</w:t>
      </w:r>
      <w:r w:rsidRPr="00E621FA">
        <w:t xml:space="preserve">. </w:t>
      </w:r>
    </w:p>
    <w:p w:rsidR="00E621FA" w:rsidRPr="00E621FA" w:rsidRDefault="00E621FA" w:rsidP="00E621FA">
      <w:pPr>
        <w:pStyle w:val="BodyText"/>
        <w:spacing w:after="0" w:line="240" w:lineRule="auto"/>
        <w:ind w:left="0"/>
      </w:pPr>
    </w:p>
    <w:p w:rsidR="003275E6" w:rsidRPr="0056461F" w:rsidRDefault="003275E6" w:rsidP="00C90014">
      <w:pPr>
        <w:pStyle w:val="BodyText"/>
        <w:spacing w:line="240" w:lineRule="auto"/>
        <w:ind w:left="0"/>
      </w:pPr>
      <w:r w:rsidRPr="0056461F">
        <w:rPr>
          <w:b/>
          <w:bCs/>
        </w:rPr>
        <w:t>A. Privacy Act Determination.</w:t>
      </w:r>
      <w:r w:rsidR="00F4610C" w:rsidRPr="0056461F">
        <w:rPr>
          <w:b/>
          <w:bCs/>
        </w:rPr>
        <w:t xml:space="preserve"> </w:t>
      </w:r>
      <w:r w:rsidR="002839BA" w:rsidRPr="0056461F">
        <w:t>CDC has determined that the Privacy Act applies to this project. The applicable System of Records Notice is 09-20-0136, Epidemiologic Studies and Surveillance of Disease Problems.</w:t>
      </w:r>
    </w:p>
    <w:p w:rsidR="00860131" w:rsidRPr="0056461F" w:rsidRDefault="003275E6" w:rsidP="00C90014">
      <w:pPr>
        <w:pStyle w:val="BodyText"/>
        <w:spacing w:line="240" w:lineRule="auto"/>
        <w:ind w:left="0"/>
      </w:pPr>
      <w:r w:rsidRPr="0056461F">
        <w:rPr>
          <w:b/>
        </w:rPr>
        <w:t>B. Safeguards</w:t>
      </w:r>
      <w:r w:rsidRPr="0056461F">
        <w:t>.</w:t>
      </w:r>
      <w:r w:rsidR="00F4610C" w:rsidRPr="0056461F">
        <w:t xml:space="preserve"> </w:t>
      </w:r>
      <w:r w:rsidR="00860131" w:rsidRPr="0056461F">
        <w:t xml:space="preserve">The RTI Call Center staff and staff at the company subcontracted to complete the in-home </w:t>
      </w:r>
      <w:r w:rsidR="00E93196" w:rsidRPr="0056461F">
        <w:t>visits</w:t>
      </w:r>
      <w:r w:rsidR="00860131" w:rsidRPr="0056461F">
        <w:t xml:space="preserve"> are trained in procedures for </w:t>
      </w:r>
      <w:r w:rsidR="00B543DF" w:rsidRPr="0056461F">
        <w:t xml:space="preserve">ensuring </w:t>
      </w:r>
      <w:r w:rsidRPr="0056461F">
        <w:t>privacy</w:t>
      </w:r>
      <w:r w:rsidR="00860131" w:rsidRPr="0056461F">
        <w:t xml:space="preserve"> of participant information.</w:t>
      </w:r>
      <w:r w:rsidR="00550C15" w:rsidRPr="0056461F">
        <w:t xml:space="preserve"> </w:t>
      </w:r>
      <w:r w:rsidR="00B95E76" w:rsidRPr="0056461F">
        <w:t>Participant data are primarily collected using the computerized data management system</w:t>
      </w:r>
      <w:r w:rsidR="004F459B" w:rsidRPr="0056461F">
        <w:t xml:space="preserve"> (CATI or CAPI) and stored electronically</w:t>
      </w:r>
      <w:r w:rsidR="00B95E76" w:rsidRPr="0056461F">
        <w:t>.</w:t>
      </w:r>
      <w:r w:rsidR="00550C15" w:rsidRPr="0056461F">
        <w:t xml:space="preserve"> </w:t>
      </w:r>
      <w:r w:rsidR="001D1161" w:rsidRPr="0056461F">
        <w:t xml:space="preserve">Under the </w:t>
      </w:r>
      <w:r w:rsidR="00C641DC">
        <w:t xml:space="preserve">NIST </w:t>
      </w:r>
      <w:r w:rsidR="001D1161" w:rsidRPr="0056461F">
        <w:t xml:space="preserve">Moderate </w:t>
      </w:r>
      <w:r w:rsidR="00833C3D" w:rsidRPr="0056461F">
        <w:t xml:space="preserve">security </w:t>
      </w:r>
      <w:r w:rsidR="001D1161" w:rsidRPr="0056461F">
        <w:t xml:space="preserve">level, these data are housed behind an additional firewall to ensure that no breach of stored data can occur. </w:t>
      </w:r>
      <w:r w:rsidR="004F459B" w:rsidRPr="0056461F">
        <w:t>P</w:t>
      </w:r>
      <w:r w:rsidR="00860131" w:rsidRPr="0056461F">
        <w:t xml:space="preserve">aper records of responses to the </w:t>
      </w:r>
      <w:r w:rsidR="004F459B" w:rsidRPr="0056461F">
        <w:t xml:space="preserve">mailed ATSS </w:t>
      </w:r>
      <w:r w:rsidR="0068177F" w:rsidRPr="0056461F">
        <w:t xml:space="preserve">contain case IDs but no </w:t>
      </w:r>
      <w:r w:rsidR="004F459B" w:rsidRPr="0056461F">
        <w:t>personal identifiers.</w:t>
      </w:r>
      <w:r w:rsidR="00F41472" w:rsidRPr="0056461F">
        <w:t xml:space="preserve"> </w:t>
      </w:r>
      <w:r w:rsidR="00860131" w:rsidRPr="0056461F">
        <w:t>In publications, the individual identities of participants are not disclosed, and data are reported only in the aggregate.</w:t>
      </w:r>
      <w:r w:rsidR="00F4610C" w:rsidRPr="0056461F">
        <w:t xml:space="preserve"> </w:t>
      </w:r>
    </w:p>
    <w:p w:rsidR="00A905FC" w:rsidRPr="0056461F" w:rsidRDefault="00A94344" w:rsidP="00C90014">
      <w:pPr>
        <w:pStyle w:val="Heading3"/>
      </w:pPr>
      <w:bookmarkStart w:id="26" w:name="_Toc348428801"/>
      <w:r w:rsidRPr="0056461F">
        <w:t>Data Coll</w:t>
      </w:r>
      <w:r w:rsidR="00A905FC" w:rsidRPr="0056461F">
        <w:t>ection</w:t>
      </w:r>
      <w:bookmarkEnd w:id="26"/>
    </w:p>
    <w:p w:rsidR="002839BA" w:rsidRPr="0056461F" w:rsidRDefault="002839BA" w:rsidP="002057DB">
      <w:pPr>
        <w:pStyle w:val="BodyText"/>
        <w:spacing w:line="240" w:lineRule="auto"/>
        <w:ind w:left="0"/>
      </w:pPr>
      <w:r w:rsidRPr="0056461F">
        <w:t xml:space="preserve">Information will be collected and managed according to a written security plan coordinated </w:t>
      </w:r>
      <w:r w:rsidR="00833C3D">
        <w:t>by</w:t>
      </w:r>
      <w:r w:rsidR="00833C3D" w:rsidRPr="0056461F">
        <w:t xml:space="preserve"> </w:t>
      </w:r>
      <w:r w:rsidR="00E60312" w:rsidRPr="0056461F">
        <w:t>one of CDC’s</w:t>
      </w:r>
      <w:r w:rsidRPr="0056461F">
        <w:t xml:space="preserve"> Information Systems Security Officer</w:t>
      </w:r>
      <w:r w:rsidR="00E60312" w:rsidRPr="0056461F">
        <w:t>s</w:t>
      </w:r>
      <w:r w:rsidRPr="0056461F">
        <w:t xml:space="preserve"> and approved by CDC’s Office of the Chief Information Security Officer.</w:t>
      </w:r>
      <w:r w:rsidR="00F41472" w:rsidRPr="0056461F">
        <w:t xml:space="preserve"> </w:t>
      </w:r>
      <w:r w:rsidRPr="0056461F">
        <w:t xml:space="preserve">The security plan includes management controls, operational </w:t>
      </w:r>
      <w:r w:rsidRPr="0056461F">
        <w:lastRenderedPageBreak/>
        <w:t>controls, and technical controls.</w:t>
      </w:r>
      <w:r w:rsidR="00F41472" w:rsidRPr="0056461F">
        <w:t xml:space="preserve"> </w:t>
      </w:r>
      <w:r w:rsidRPr="0056461F">
        <w:t>We have planned for data security</w:t>
      </w:r>
      <w:r w:rsidR="002057DB">
        <w:t xml:space="preserve"> and</w:t>
      </w:r>
      <w:r w:rsidRPr="0056461F">
        <w:t xml:space="preserve"> availability</w:t>
      </w:r>
      <w:r w:rsidR="002057DB">
        <w:t xml:space="preserve"> </w:t>
      </w:r>
      <w:r w:rsidRPr="0056461F">
        <w:t xml:space="preserve">at the </w:t>
      </w:r>
      <w:r w:rsidR="002057DB">
        <w:t>NIST</w:t>
      </w:r>
      <w:r w:rsidRPr="0056461F">
        <w:t xml:space="preserve"> “Moderate” level. </w:t>
      </w:r>
    </w:p>
    <w:p w:rsidR="00E323D2" w:rsidRPr="0056461F" w:rsidRDefault="00860131" w:rsidP="00C90014">
      <w:pPr>
        <w:pStyle w:val="BodyText"/>
        <w:spacing w:line="240" w:lineRule="auto"/>
        <w:ind w:left="0"/>
      </w:pPr>
      <w:r w:rsidRPr="0056461F">
        <w:t>The data collection and management systems (</w:t>
      </w:r>
      <w:r w:rsidR="00DB5B48" w:rsidRPr="0056461F">
        <w:t>CATI,</w:t>
      </w:r>
      <w:r w:rsidR="00F41472" w:rsidRPr="0056461F">
        <w:t xml:space="preserve"> </w:t>
      </w:r>
      <w:r w:rsidR="00DB5B48" w:rsidRPr="0056461F">
        <w:t>CAPI</w:t>
      </w:r>
      <w:r w:rsidRPr="0056461F">
        <w:t xml:space="preserve">) provide a high level of </w:t>
      </w:r>
      <w:r w:rsidR="003275E6" w:rsidRPr="0056461F">
        <w:t xml:space="preserve">security </w:t>
      </w:r>
      <w:r w:rsidRPr="0056461F">
        <w:t>including features such as user authorization (i.e., requirement of username and password to access the system) and encryption of sensitive data.</w:t>
      </w:r>
      <w:r w:rsidR="00550C15" w:rsidRPr="0056461F">
        <w:t xml:space="preserve"> </w:t>
      </w:r>
    </w:p>
    <w:p w:rsidR="00685688" w:rsidRPr="0056461F" w:rsidRDefault="00685688" w:rsidP="00C90014">
      <w:pPr>
        <w:pStyle w:val="BodyText"/>
        <w:spacing w:line="240" w:lineRule="auto"/>
        <w:ind w:left="0"/>
        <w:rPr>
          <w:rStyle w:val="NormalArialChar"/>
          <w:rFonts w:ascii="Times New Roman" w:hAnsi="Times New Roman" w:cs="Times New Roman"/>
          <w:sz w:val="24"/>
          <w:szCs w:val="24"/>
        </w:rPr>
      </w:pPr>
      <w:r w:rsidRPr="0056461F">
        <w:t xml:space="preserve">As </w:t>
      </w:r>
      <w:r w:rsidR="00DB5B48" w:rsidRPr="0056461F">
        <w:t>respondent</w:t>
      </w:r>
      <w:r w:rsidRPr="0056461F">
        <w:t xml:space="preserve"> information is entered at a workstation</w:t>
      </w:r>
      <w:r w:rsidR="00EA0D1D" w:rsidRPr="0056461F">
        <w:t>,</w:t>
      </w:r>
      <w:r w:rsidRPr="0056461F">
        <w:t xml:space="preserve"> it is stored in the database</w:t>
      </w:r>
      <w:r w:rsidR="006C14EE">
        <w:t xml:space="preserve"> residing</w:t>
      </w:r>
      <w:r w:rsidRPr="0056461F">
        <w:t xml:space="preserve"> on a secure server.</w:t>
      </w:r>
      <w:r w:rsidR="00550C15" w:rsidRPr="0056461F">
        <w:t xml:space="preserve"> </w:t>
      </w:r>
      <w:r w:rsidRPr="0056461F">
        <w:rPr>
          <w:rStyle w:val="NormalArialChar"/>
          <w:rFonts w:ascii="Times New Roman" w:hAnsi="Times New Roman" w:cs="Times New Roman"/>
          <w:sz w:val="24"/>
          <w:szCs w:val="24"/>
        </w:rPr>
        <w:t>Audit logs from the data management system provide complete documentation for changes to the database.</w:t>
      </w:r>
      <w:r w:rsidR="00550C15" w:rsidRPr="0056461F">
        <w:rPr>
          <w:rStyle w:val="NormalArialChar"/>
          <w:rFonts w:ascii="Times New Roman" w:hAnsi="Times New Roman" w:cs="Times New Roman"/>
          <w:sz w:val="24"/>
          <w:szCs w:val="24"/>
        </w:rPr>
        <w:t xml:space="preserve"> </w:t>
      </w:r>
      <w:r w:rsidRPr="0056461F">
        <w:rPr>
          <w:rStyle w:val="NormalArialChar"/>
          <w:rFonts w:ascii="Times New Roman" w:hAnsi="Times New Roman" w:cs="Times New Roman"/>
          <w:sz w:val="24"/>
          <w:szCs w:val="24"/>
        </w:rPr>
        <w:t xml:space="preserve">Backups of the database </w:t>
      </w:r>
      <w:r w:rsidR="00B543DF" w:rsidRPr="0056461F">
        <w:rPr>
          <w:rStyle w:val="NormalArialChar"/>
          <w:rFonts w:ascii="Times New Roman" w:hAnsi="Times New Roman" w:cs="Times New Roman"/>
          <w:sz w:val="24"/>
          <w:szCs w:val="24"/>
        </w:rPr>
        <w:t>and</w:t>
      </w:r>
      <w:r w:rsidRPr="0056461F">
        <w:rPr>
          <w:rStyle w:val="NormalArialChar"/>
          <w:rFonts w:ascii="Times New Roman" w:hAnsi="Times New Roman" w:cs="Times New Roman"/>
          <w:sz w:val="24"/>
          <w:szCs w:val="24"/>
        </w:rPr>
        <w:t xml:space="preserve"> processing reports are made daily.</w:t>
      </w:r>
    </w:p>
    <w:p w:rsidR="002839BA" w:rsidRPr="0056461F" w:rsidRDefault="002839BA" w:rsidP="00C90014">
      <w:pPr>
        <w:pStyle w:val="BodyText"/>
        <w:spacing w:line="240" w:lineRule="auto"/>
        <w:ind w:left="0"/>
      </w:pPr>
      <w:r w:rsidRPr="0056461F">
        <w:t xml:space="preserve">For ATSS interviews completed over the telephone (CATI) or </w:t>
      </w:r>
      <w:r w:rsidR="001D1161" w:rsidRPr="0056461F">
        <w:t>returned on paper in the mail,</w:t>
      </w:r>
      <w:r w:rsidRPr="0056461F">
        <w:t xml:space="preserve"> data </w:t>
      </w:r>
      <w:r w:rsidR="001D1161" w:rsidRPr="0056461F">
        <w:t>will be entered and stored</w:t>
      </w:r>
      <w:r w:rsidRPr="0056461F">
        <w:t xml:space="preserve"> on a private RTI server, which is subject to the RTI Security standards and methods outlined in the project security plan. All </w:t>
      </w:r>
      <w:r w:rsidR="00090E60" w:rsidRPr="0056461F">
        <w:t>awardee-</w:t>
      </w:r>
      <w:r w:rsidR="007C0BFB" w:rsidRPr="0056461F">
        <w:t>specific</w:t>
      </w:r>
      <w:r w:rsidR="00090E60" w:rsidRPr="0056461F">
        <w:t xml:space="preserve"> summary statistics derived from </w:t>
      </w:r>
      <w:r w:rsidRPr="0056461F">
        <w:t xml:space="preserve">data collected by CATI or on paper </w:t>
      </w:r>
      <w:r w:rsidR="00F42259" w:rsidRPr="0056461F">
        <w:t>will be de-identified and stored</w:t>
      </w:r>
      <w:r w:rsidRPr="0056461F">
        <w:t xml:space="preserve"> in the central CTG data repository. </w:t>
      </w:r>
    </w:p>
    <w:p w:rsidR="002839BA" w:rsidRPr="0056461F" w:rsidRDefault="002839BA" w:rsidP="00C90014">
      <w:pPr>
        <w:pStyle w:val="BodyText"/>
        <w:spacing w:line="240" w:lineRule="auto"/>
        <w:ind w:left="0"/>
      </w:pPr>
      <w:r w:rsidRPr="0056461F">
        <w:t>For the CAPI interviews</w:t>
      </w:r>
      <w:r w:rsidR="005C4837" w:rsidRPr="0056461F">
        <w:t xml:space="preserve"> conducted during the in-home </w:t>
      </w:r>
      <w:r w:rsidR="00575582" w:rsidRPr="0056461F">
        <w:t>visits</w:t>
      </w:r>
      <w:r w:rsidR="005C4837" w:rsidRPr="0056461F">
        <w:t xml:space="preserve"> in the </w:t>
      </w:r>
      <w:r w:rsidR="000B3F4E" w:rsidRPr="0056461F">
        <w:rPr>
          <w:i/>
        </w:rPr>
        <w:t>Enhanced Protocol</w:t>
      </w:r>
      <w:r w:rsidRPr="0056461F">
        <w:t>, information will be collected on laptops using procedures that incorporate both operational and technical controls.</w:t>
      </w:r>
      <w:r w:rsidR="00F41472" w:rsidRPr="0056461F">
        <w:t xml:space="preserve"> </w:t>
      </w:r>
      <w:r w:rsidR="00E60312" w:rsidRPr="0056461F">
        <w:t xml:space="preserve">This storage system will include collection of consent electronically through a specialized software system that allows for storage of respondent </w:t>
      </w:r>
      <w:r w:rsidR="00E5404E" w:rsidRPr="0056461F">
        <w:t>signature</w:t>
      </w:r>
      <w:r w:rsidR="00E60312" w:rsidRPr="0056461F">
        <w:t xml:space="preserve"> on the consent document. </w:t>
      </w:r>
      <w:r w:rsidRPr="0056461F">
        <w:t xml:space="preserve">Study data on field devices such as laptops will be encrypted to </w:t>
      </w:r>
      <w:r w:rsidR="00833C3D">
        <w:t>Federal Information Processing Standard (</w:t>
      </w:r>
      <w:r w:rsidRPr="0056461F">
        <w:t>FIPS</w:t>
      </w:r>
      <w:r w:rsidR="00833C3D">
        <w:t>)</w:t>
      </w:r>
      <w:r w:rsidRPr="0056461F">
        <w:t xml:space="preserve"> 140-2</w:t>
      </w:r>
      <w:r w:rsidR="007B3059" w:rsidRPr="0056461F">
        <w:t xml:space="preserve"> and are further protected in transit by Security Socket Layers (SSL)</w:t>
      </w:r>
      <w:r w:rsidRPr="0056461F">
        <w:t xml:space="preserve">. </w:t>
      </w:r>
    </w:p>
    <w:p w:rsidR="00C45D26" w:rsidRPr="0056461F" w:rsidRDefault="00C45D26" w:rsidP="00C90014">
      <w:pPr>
        <w:pStyle w:val="BodyText"/>
        <w:spacing w:line="240" w:lineRule="auto"/>
        <w:ind w:left="0"/>
      </w:pPr>
      <w:r w:rsidRPr="0056461F">
        <w:t>Accelerometers will be returned in a prepaid envelope to RTI</w:t>
      </w:r>
      <w:r w:rsidR="00263084" w:rsidRPr="0056461F">
        <w:t>.</w:t>
      </w:r>
      <w:r w:rsidR="00AE22D8" w:rsidRPr="0056461F">
        <w:t xml:space="preserve"> </w:t>
      </w:r>
      <w:r w:rsidR="00263084" w:rsidRPr="0056461F">
        <w:t>No personal identifiers can be stored on the devices</w:t>
      </w:r>
      <w:r w:rsidR="00090E60" w:rsidRPr="0056461F">
        <w:t xml:space="preserve">, and the file name is stored using a monitor ID that is linked to the participant ID using an internal linkage file that is kept on </w:t>
      </w:r>
      <w:r w:rsidR="009B4EB1" w:rsidRPr="0056461F">
        <w:t xml:space="preserve">a </w:t>
      </w:r>
      <w:r w:rsidR="00090E60" w:rsidRPr="0056461F">
        <w:t>secure</w:t>
      </w:r>
      <w:r w:rsidR="00B26134" w:rsidRPr="0056461F">
        <w:t xml:space="preserve"> server</w:t>
      </w:r>
      <w:r w:rsidR="00263084" w:rsidRPr="0056461F">
        <w:t xml:space="preserve">. </w:t>
      </w:r>
    </w:p>
    <w:p w:rsidR="00A905FC" w:rsidRPr="0056461F" w:rsidRDefault="00A94344" w:rsidP="00C90014">
      <w:pPr>
        <w:pStyle w:val="Heading3"/>
      </w:pPr>
      <w:bookmarkStart w:id="27" w:name="_Toc348428802"/>
      <w:r w:rsidRPr="0056461F">
        <w:t>Data Storage</w:t>
      </w:r>
      <w:r w:rsidR="00A905FC" w:rsidRPr="0056461F">
        <w:t xml:space="preserve"> and </w:t>
      </w:r>
      <w:r w:rsidRPr="0056461F">
        <w:t>Management</w:t>
      </w:r>
      <w:bookmarkEnd w:id="27"/>
    </w:p>
    <w:p w:rsidR="00A729A4" w:rsidRPr="0056461F" w:rsidRDefault="00A620EA" w:rsidP="00C90014">
      <w:pPr>
        <w:pStyle w:val="BodyText"/>
        <w:spacing w:line="240" w:lineRule="auto"/>
        <w:ind w:left="0"/>
      </w:pPr>
      <w:r w:rsidRPr="0056461F">
        <w:t xml:space="preserve">All data will reside on secure network servers in two RTI data centers with daily backups. </w:t>
      </w:r>
    </w:p>
    <w:p w:rsidR="00ED624B" w:rsidRPr="0056461F" w:rsidRDefault="00A620EA" w:rsidP="00C90014">
      <w:pPr>
        <w:pStyle w:val="BodyText"/>
        <w:spacing w:line="240" w:lineRule="auto"/>
        <w:ind w:left="0"/>
      </w:pPr>
      <w:r w:rsidRPr="0056461F">
        <w:t xml:space="preserve">RTI security professionals are experienced with all security documentation and processes necessary to obtain an </w:t>
      </w:r>
      <w:r w:rsidR="00ED624B" w:rsidRPr="0056461F">
        <w:t>Authority to Operate</w:t>
      </w:r>
      <w:r w:rsidRPr="0056461F">
        <w:t xml:space="preserve"> and with all applicable </w:t>
      </w:r>
      <w:r w:rsidR="00690A4D" w:rsidRPr="0056461F">
        <w:t>HHS</w:t>
      </w:r>
      <w:r w:rsidRPr="0056461F">
        <w:t>, CDC, Federal Information Security Management Act, Health Insurance Portability and Accountability Act, NIST, and other federal policies and regulations that may apply. RTI project team members and security professionals will ensure that all CDC-related</w:t>
      </w:r>
      <w:r w:rsidR="00ED624B" w:rsidRPr="0056461F">
        <w:t xml:space="preserve"> </w:t>
      </w:r>
      <w:r w:rsidRPr="0056461F">
        <w:t>technical and security standards, processe</w:t>
      </w:r>
      <w:r w:rsidR="00794507" w:rsidRPr="0056461F">
        <w:t>s, and procedures are followed.</w:t>
      </w:r>
    </w:p>
    <w:p w:rsidR="000F2EA5" w:rsidRPr="0056461F" w:rsidRDefault="00A33F24" w:rsidP="00C90014">
      <w:pPr>
        <w:pStyle w:val="BodyText"/>
        <w:spacing w:line="240" w:lineRule="auto"/>
        <w:ind w:left="0"/>
        <w:rPr>
          <w:b/>
          <w:bCs/>
        </w:rPr>
      </w:pPr>
      <w:r w:rsidRPr="0056461F">
        <w:rPr>
          <w:b/>
          <w:bCs/>
        </w:rPr>
        <w:t xml:space="preserve">C. </w:t>
      </w:r>
      <w:r w:rsidR="003D0C47" w:rsidRPr="0056461F">
        <w:rPr>
          <w:b/>
          <w:bCs/>
        </w:rPr>
        <w:t>Consent</w:t>
      </w:r>
      <w:r w:rsidR="00525502" w:rsidRPr="0056461F">
        <w:t xml:space="preserve">. </w:t>
      </w:r>
      <w:r w:rsidR="000F2EA5" w:rsidRPr="0056461F">
        <w:t>Consent will be obtained from each participant</w:t>
      </w:r>
      <w:r w:rsidR="005C4837" w:rsidRPr="0056461F">
        <w:t xml:space="preserve"> in the </w:t>
      </w:r>
      <w:r w:rsidR="000B3F4E" w:rsidRPr="0056461F">
        <w:rPr>
          <w:i/>
        </w:rPr>
        <w:t>Standard Protocol</w:t>
      </w:r>
      <w:r w:rsidR="000F2EA5" w:rsidRPr="0056461F">
        <w:t xml:space="preserve"> prior to administering the </w:t>
      </w:r>
      <w:r w:rsidR="003748BA" w:rsidRPr="0056461F">
        <w:t>ATSS</w:t>
      </w:r>
      <w:r w:rsidR="00582065" w:rsidRPr="0056461F">
        <w:t xml:space="preserve"> (Attachments </w:t>
      </w:r>
      <w:r w:rsidR="00420B92" w:rsidRPr="0056461F">
        <w:t>6</w:t>
      </w:r>
      <w:r w:rsidR="00582065" w:rsidRPr="0056461F">
        <w:t xml:space="preserve">A, </w:t>
      </w:r>
      <w:r w:rsidR="00420B92" w:rsidRPr="0056461F">
        <w:t>6</w:t>
      </w:r>
      <w:r w:rsidR="00582065" w:rsidRPr="0056461F">
        <w:t>B</w:t>
      </w:r>
      <w:r w:rsidR="003572F4" w:rsidRPr="0056461F">
        <w:t>, 6A</w:t>
      </w:r>
      <w:r w:rsidR="00662B2C">
        <w:t>-S</w:t>
      </w:r>
      <w:r w:rsidR="003572F4" w:rsidRPr="0056461F">
        <w:t>, 6B</w:t>
      </w:r>
      <w:r w:rsidR="00662B2C">
        <w:t>-S</w:t>
      </w:r>
      <w:r w:rsidR="00582065" w:rsidRPr="0056461F">
        <w:t>)</w:t>
      </w:r>
      <w:r w:rsidR="000F2EA5" w:rsidRPr="0056461F">
        <w:t xml:space="preserve">. For surveys conducted via telephone, the interviewer will read an informed consent “script” </w:t>
      </w:r>
      <w:r w:rsidR="0068177F" w:rsidRPr="0056461F">
        <w:t xml:space="preserve">displayed by the survey </w:t>
      </w:r>
      <w:r w:rsidR="00690A4D" w:rsidRPr="0056461F">
        <w:t>program</w:t>
      </w:r>
      <w:r w:rsidR="000F2EA5" w:rsidRPr="0056461F">
        <w:t>. The participant will then give his</w:t>
      </w:r>
      <w:r w:rsidR="003748BA" w:rsidRPr="0056461F">
        <w:t xml:space="preserve"> or </w:t>
      </w:r>
      <w:r w:rsidR="000F2EA5" w:rsidRPr="0056461F">
        <w:t xml:space="preserve">her verbal consent to proceed with the survey. </w:t>
      </w:r>
      <w:r w:rsidR="00A427B0" w:rsidRPr="0056461F">
        <w:t xml:space="preserve">Paper consent forms will be </w:t>
      </w:r>
      <w:r w:rsidR="0068177F" w:rsidRPr="0056461F">
        <w:t>included as part of the paper questionnaires</w:t>
      </w:r>
      <w:r w:rsidR="00A427B0" w:rsidRPr="0056461F">
        <w:t>.</w:t>
      </w:r>
      <w:r w:rsidR="0068177F" w:rsidRPr="0056461F">
        <w:t xml:space="preserve"> Completion of the paper questionnaire will be considered documentation of consent.</w:t>
      </w:r>
      <w:r w:rsidR="00F4610C" w:rsidRPr="0056461F">
        <w:t xml:space="preserve"> </w:t>
      </w:r>
      <w:r w:rsidR="0068177F" w:rsidRPr="0056461F">
        <w:t xml:space="preserve">Both the telephone consent script and the paper questionnaire </w:t>
      </w:r>
      <w:r w:rsidR="000F2EA5" w:rsidRPr="0056461F">
        <w:t xml:space="preserve">consent document will include a comprehensive description/purpose of the study, statement emphasizing the voluntary nature of the study, duration of </w:t>
      </w:r>
      <w:r w:rsidR="00A77BB2" w:rsidRPr="0056461F">
        <w:t xml:space="preserve">the </w:t>
      </w:r>
      <w:r w:rsidR="000F2EA5" w:rsidRPr="0056461F">
        <w:t xml:space="preserve">survey, </w:t>
      </w:r>
      <w:r w:rsidR="0005517A" w:rsidRPr="0056461F">
        <w:t>gift</w:t>
      </w:r>
      <w:r w:rsidR="000F2EA5" w:rsidRPr="0056461F">
        <w:t>s, risks or benefits to participants, and confidentiality procedures.</w:t>
      </w:r>
      <w:r w:rsidR="00550C15" w:rsidRPr="0056461F">
        <w:t xml:space="preserve"> </w:t>
      </w:r>
      <w:r w:rsidR="000F2EA5" w:rsidRPr="0056461F">
        <w:t xml:space="preserve">The </w:t>
      </w:r>
      <w:r w:rsidR="000F2EA5" w:rsidRPr="0056461F">
        <w:lastRenderedPageBreak/>
        <w:t>consents will be available or read in either English or Spanish. The consent documents will also clearly state that participation in each component of the study is completely voluntary</w:t>
      </w:r>
      <w:r w:rsidR="00833C3D">
        <w:t>,</w:t>
      </w:r>
      <w:r w:rsidR="000F2EA5" w:rsidRPr="0056461F">
        <w:t xml:space="preserve"> and participants can discontinue the study and opt</w:t>
      </w:r>
      <w:r w:rsidR="003748BA" w:rsidRPr="0056461F">
        <w:t xml:space="preserve"> </w:t>
      </w:r>
      <w:r w:rsidR="000F2EA5" w:rsidRPr="0056461F">
        <w:t xml:space="preserve">out of any part of the study without penalty at any time. Documentation and proof of subject consent will be stored at RTI. All consent documents will follow the guidelines outlined by </w:t>
      </w:r>
      <w:r w:rsidR="003748BA" w:rsidRPr="0056461F">
        <w:t xml:space="preserve">CDC’s </w:t>
      </w:r>
      <w:r w:rsidR="000F2EA5" w:rsidRPr="0056461F">
        <w:t>Office of Human Subjects Protection and ethical guidelines set forth by the state and federal governments.</w:t>
      </w:r>
    </w:p>
    <w:p w:rsidR="00C85DED" w:rsidRPr="0056461F" w:rsidRDefault="007C4EBA" w:rsidP="00C90014">
      <w:pPr>
        <w:pStyle w:val="BodyText"/>
        <w:spacing w:line="240" w:lineRule="auto"/>
        <w:ind w:left="0"/>
      </w:pPr>
      <w:r w:rsidRPr="0056461F">
        <w:t xml:space="preserve">Upon arriving at the home for administering the </w:t>
      </w:r>
      <w:r w:rsidRPr="0056461F">
        <w:rPr>
          <w:i/>
        </w:rPr>
        <w:t>Enhanced Protocol</w:t>
      </w:r>
      <w:r w:rsidRPr="0056461F">
        <w:t>, FIs will read a script to the respondents briefly describing what the visit entails</w:t>
      </w:r>
      <w:r w:rsidR="00AA7E90" w:rsidRPr="0056461F">
        <w:t xml:space="preserve"> (</w:t>
      </w:r>
      <w:r w:rsidR="00690A4D" w:rsidRPr="0056461F">
        <w:t xml:space="preserve">see </w:t>
      </w:r>
      <w:r w:rsidR="00AA7E90" w:rsidRPr="0056461F">
        <w:t>Attachments 11C,</w:t>
      </w:r>
      <w:r w:rsidR="00690A4D" w:rsidRPr="0056461F">
        <w:t xml:space="preserve"> </w:t>
      </w:r>
      <w:r w:rsidR="00662B2C">
        <w:t>11</w:t>
      </w:r>
      <w:r w:rsidR="00AA7E90" w:rsidRPr="0056461F">
        <w:t xml:space="preserve">D, </w:t>
      </w:r>
      <w:r w:rsidR="00662B2C">
        <w:t>11</w:t>
      </w:r>
      <w:r w:rsidR="00AA7E90" w:rsidRPr="0056461F">
        <w:t xml:space="preserve">E, </w:t>
      </w:r>
      <w:r w:rsidR="00690A4D" w:rsidRPr="0056461F">
        <w:t xml:space="preserve">and </w:t>
      </w:r>
      <w:r w:rsidR="00662B2C">
        <w:t>11</w:t>
      </w:r>
      <w:r w:rsidRPr="0056461F">
        <w:t>F</w:t>
      </w:r>
      <w:r w:rsidR="00AA7E90" w:rsidRPr="0056461F">
        <w:t>, and 11C</w:t>
      </w:r>
      <w:r w:rsidR="00D874E1">
        <w:t>-S</w:t>
      </w:r>
      <w:r w:rsidR="00AA7E90" w:rsidRPr="0056461F">
        <w:t>,</w:t>
      </w:r>
      <w:r w:rsidR="00690A4D" w:rsidRPr="0056461F">
        <w:t xml:space="preserve"> </w:t>
      </w:r>
      <w:r w:rsidR="00D874E1">
        <w:t>11</w:t>
      </w:r>
      <w:r w:rsidR="00AA7E90" w:rsidRPr="0056461F">
        <w:t>D</w:t>
      </w:r>
      <w:r w:rsidR="00D874E1">
        <w:t>-S</w:t>
      </w:r>
      <w:r w:rsidR="00AA7E90" w:rsidRPr="0056461F">
        <w:t xml:space="preserve">, </w:t>
      </w:r>
      <w:r w:rsidR="00D874E1">
        <w:t>11</w:t>
      </w:r>
      <w:r w:rsidR="00AA7E90" w:rsidRPr="0056461F">
        <w:t>E</w:t>
      </w:r>
      <w:r w:rsidR="00D874E1">
        <w:t>-S</w:t>
      </w:r>
      <w:r w:rsidR="00690A4D" w:rsidRPr="0056461F">
        <w:t>,</w:t>
      </w:r>
      <w:r w:rsidR="00AA7E90" w:rsidRPr="0056461F">
        <w:t xml:space="preserve"> and </w:t>
      </w:r>
      <w:r w:rsidR="00D874E1">
        <w:t>11</w:t>
      </w:r>
      <w:r w:rsidR="00AA7E90" w:rsidRPr="0056461F">
        <w:t>F</w:t>
      </w:r>
      <w:r w:rsidR="00D874E1">
        <w:t>-S</w:t>
      </w:r>
      <w:r w:rsidRPr="0056461F">
        <w:t>).</w:t>
      </w:r>
      <w:r w:rsidR="00E5404E" w:rsidRPr="0056461F">
        <w:t xml:space="preserve"> </w:t>
      </w:r>
      <w:r w:rsidRPr="0056461F">
        <w:t xml:space="preserve">Then </w:t>
      </w:r>
      <w:r w:rsidR="00DE5FB9" w:rsidRPr="0056461F">
        <w:t>FI</w:t>
      </w:r>
      <w:r w:rsidR="00A207E5" w:rsidRPr="0056461F">
        <w:t xml:space="preserve">s </w:t>
      </w:r>
      <w:r w:rsidR="00C85DED" w:rsidRPr="0056461F">
        <w:t>will obtain informed consent</w:t>
      </w:r>
      <w:r w:rsidR="00C1400F" w:rsidRPr="0056461F">
        <w:t xml:space="preserve"> and youth assent (for children </w:t>
      </w:r>
      <w:r w:rsidR="0036738A">
        <w:t>aged</w:t>
      </w:r>
      <w:r w:rsidR="00C1400F" w:rsidRPr="0056461F">
        <w:t xml:space="preserve"> 7</w:t>
      </w:r>
      <w:r w:rsidR="00690A4D" w:rsidRPr="0056461F">
        <w:t>–</w:t>
      </w:r>
      <w:r w:rsidR="00C1400F" w:rsidRPr="0056461F">
        <w:t>17)</w:t>
      </w:r>
      <w:r w:rsidR="003572F4" w:rsidRPr="0056461F">
        <w:t xml:space="preserve"> </w:t>
      </w:r>
      <w:r w:rsidR="00C85DED" w:rsidRPr="0056461F">
        <w:t xml:space="preserve">for </w:t>
      </w:r>
      <w:r w:rsidR="001E1FE4" w:rsidRPr="0056461F">
        <w:t>all data collected</w:t>
      </w:r>
      <w:r w:rsidR="006A0CE2" w:rsidRPr="0056461F">
        <w:t xml:space="preserve"> at the in-home </w:t>
      </w:r>
      <w:r w:rsidR="00575582" w:rsidRPr="0056461F">
        <w:t>visits</w:t>
      </w:r>
      <w:r w:rsidR="001E1FE4" w:rsidRPr="0056461F">
        <w:t xml:space="preserve"> </w:t>
      </w:r>
      <w:r w:rsidR="006A0CE2" w:rsidRPr="0056461F">
        <w:t xml:space="preserve">conducted </w:t>
      </w:r>
      <w:r w:rsidR="001E1FE4" w:rsidRPr="0056461F">
        <w:t xml:space="preserve">in the </w:t>
      </w:r>
      <w:r w:rsidR="000B3F4E" w:rsidRPr="0056461F">
        <w:rPr>
          <w:i/>
        </w:rPr>
        <w:t>Enhanced Protocol</w:t>
      </w:r>
      <w:r w:rsidR="006A0CE2" w:rsidRPr="0056461F">
        <w:rPr>
          <w:i/>
        </w:rPr>
        <w:t xml:space="preserve"> </w:t>
      </w:r>
      <w:r w:rsidR="006A0CE2" w:rsidRPr="0056461F">
        <w:t>(</w:t>
      </w:r>
      <w:r w:rsidR="009B4EB1" w:rsidRPr="0056461F">
        <w:t>Youth</w:t>
      </w:r>
      <w:r w:rsidR="00C92B43">
        <w:t xml:space="preserve"> Survey,</w:t>
      </w:r>
      <w:r w:rsidR="009B4EB1" w:rsidRPr="0056461F">
        <w:t xml:space="preserve"> </w:t>
      </w:r>
      <w:r w:rsidR="00F20F66" w:rsidRPr="0056461F">
        <w:t>Caregiver Survey</w:t>
      </w:r>
      <w:r w:rsidR="00016E86" w:rsidRPr="0056461F">
        <w:t xml:space="preserve">, </w:t>
      </w:r>
      <w:r w:rsidR="00F20502" w:rsidRPr="0056461F">
        <w:t xml:space="preserve">Youth </w:t>
      </w:r>
      <w:r w:rsidR="00C92B43">
        <w:t xml:space="preserve">Biometric Measures, </w:t>
      </w:r>
      <w:r w:rsidR="00F20502" w:rsidRPr="0056461F">
        <w:t xml:space="preserve">and Adult </w:t>
      </w:r>
      <w:r w:rsidR="00016E86" w:rsidRPr="0056461F">
        <w:t>Biometric Measures</w:t>
      </w:r>
      <w:r w:rsidR="00A207E5" w:rsidRPr="0056461F">
        <w:t>—</w:t>
      </w:r>
      <w:r w:rsidR="00582065" w:rsidRPr="0056461F">
        <w:t xml:space="preserve">Attachments </w:t>
      </w:r>
      <w:r w:rsidR="00420B92" w:rsidRPr="0056461F">
        <w:t>6</w:t>
      </w:r>
      <w:r w:rsidR="00582065" w:rsidRPr="0056461F">
        <w:t xml:space="preserve">C, </w:t>
      </w:r>
      <w:r w:rsidR="00420B92" w:rsidRPr="0056461F">
        <w:t>6</w:t>
      </w:r>
      <w:r w:rsidR="00582065" w:rsidRPr="0056461F">
        <w:t xml:space="preserve">D, </w:t>
      </w:r>
      <w:r w:rsidR="00420B92" w:rsidRPr="0056461F">
        <w:t>6</w:t>
      </w:r>
      <w:r w:rsidR="00582065" w:rsidRPr="0056461F">
        <w:t>E</w:t>
      </w:r>
      <w:r w:rsidR="00C1400F" w:rsidRPr="0056461F">
        <w:t>, 6C</w:t>
      </w:r>
      <w:r w:rsidR="00662B2C">
        <w:t>-S</w:t>
      </w:r>
      <w:r w:rsidR="00C1400F" w:rsidRPr="0056461F">
        <w:t>, 6D</w:t>
      </w:r>
      <w:r w:rsidR="00662B2C">
        <w:t>-S</w:t>
      </w:r>
      <w:r w:rsidR="00C1400F" w:rsidRPr="0056461F">
        <w:t>, 6E</w:t>
      </w:r>
      <w:r w:rsidR="00662B2C">
        <w:t>-S</w:t>
      </w:r>
      <w:r w:rsidR="00582065" w:rsidRPr="0056461F">
        <w:t>)</w:t>
      </w:r>
      <w:r w:rsidR="00C85DED" w:rsidRPr="0056461F">
        <w:t xml:space="preserve">. A copy of the written informed consent </w:t>
      </w:r>
      <w:r w:rsidR="00A83983" w:rsidRPr="0056461F">
        <w:t xml:space="preserve">forms </w:t>
      </w:r>
      <w:r w:rsidR="00C85DED" w:rsidRPr="0056461F">
        <w:t>will be provided to the participant for review prior to the start of the home visit.</w:t>
      </w:r>
      <w:r w:rsidR="00550C15" w:rsidRPr="0056461F">
        <w:t xml:space="preserve"> </w:t>
      </w:r>
      <w:r w:rsidR="00C85DED" w:rsidRPr="0056461F">
        <w:t>The consent document</w:t>
      </w:r>
      <w:r w:rsidR="00A83983" w:rsidRPr="0056461F">
        <w:t>s</w:t>
      </w:r>
      <w:r w:rsidR="00C85DED" w:rsidRPr="0056461F">
        <w:t xml:space="preserve"> will include a description of the </w:t>
      </w:r>
      <w:r w:rsidR="00A83983" w:rsidRPr="0056461F">
        <w:t>overall</w:t>
      </w:r>
      <w:r w:rsidR="00C85DED" w:rsidRPr="0056461F">
        <w:t xml:space="preserve"> study and expected roles and responsibilities of the primary caregiver and child, risks and benefits to participants, and confidentiality procedures.</w:t>
      </w:r>
      <w:r w:rsidR="00550C15" w:rsidRPr="0056461F">
        <w:t xml:space="preserve"> </w:t>
      </w:r>
      <w:r w:rsidR="00C85DED" w:rsidRPr="0056461F">
        <w:t xml:space="preserve">The consents can be read by these individuals or </w:t>
      </w:r>
      <w:r w:rsidR="003748BA" w:rsidRPr="0056461F">
        <w:t xml:space="preserve">be </w:t>
      </w:r>
      <w:r w:rsidR="00C85DED" w:rsidRPr="0056461F">
        <w:t>read to them in either English or Spanish. For the youth component, an assent</w:t>
      </w:r>
      <w:r w:rsidR="009B4EB1" w:rsidRPr="0056461F">
        <w:t xml:space="preserve"> form</w:t>
      </w:r>
      <w:r w:rsidR="00C85DED" w:rsidRPr="0056461F">
        <w:t xml:space="preserve"> is read to the child</w:t>
      </w:r>
      <w:r w:rsidR="007B3059" w:rsidRPr="0056461F">
        <w:t xml:space="preserve"> (</w:t>
      </w:r>
      <w:r w:rsidR="0036738A">
        <w:t>aged</w:t>
      </w:r>
      <w:r w:rsidR="007B3059" w:rsidRPr="0056461F">
        <w:t xml:space="preserve"> 7 </w:t>
      </w:r>
      <w:r w:rsidR="00C92B43">
        <w:t>or older</w:t>
      </w:r>
      <w:r w:rsidR="007B3059" w:rsidRPr="0056461F">
        <w:t>)</w:t>
      </w:r>
      <w:r w:rsidR="00C85DED" w:rsidRPr="0056461F">
        <w:t>, the child assent is obtained</w:t>
      </w:r>
      <w:r w:rsidR="003748BA" w:rsidRPr="0056461F">
        <w:t>,</w:t>
      </w:r>
      <w:r w:rsidR="00C85DED" w:rsidRPr="0056461F">
        <w:t xml:space="preserve"> and a copy of the signed document is provided to the parent. The consent documents will also clearly state that participation in each component of the study is completely voluntary, and participants can stop the study </w:t>
      </w:r>
      <w:r w:rsidR="00C92B43">
        <w:t>or</w:t>
      </w:r>
      <w:r w:rsidR="00C92B43" w:rsidRPr="0056461F">
        <w:t xml:space="preserve"> </w:t>
      </w:r>
      <w:r w:rsidR="00C85DED" w:rsidRPr="0056461F">
        <w:t>opt</w:t>
      </w:r>
      <w:r w:rsidR="003748BA" w:rsidRPr="0056461F">
        <w:t xml:space="preserve"> </w:t>
      </w:r>
      <w:r w:rsidR="00C85DED" w:rsidRPr="0056461F">
        <w:t xml:space="preserve">out of any part of the study without penalty at any time. </w:t>
      </w:r>
      <w:r w:rsidR="001D1161" w:rsidRPr="0056461F">
        <w:t xml:space="preserve">As described </w:t>
      </w:r>
      <w:r w:rsidR="00C92B43">
        <w:t>previously</w:t>
      </w:r>
      <w:r w:rsidR="001D1161" w:rsidRPr="0056461F">
        <w:t xml:space="preserve">, consent will be obtained and stored electronically for the </w:t>
      </w:r>
      <w:r w:rsidR="000B3F4E" w:rsidRPr="0056461F">
        <w:rPr>
          <w:i/>
        </w:rPr>
        <w:t>Enhanced Protocol</w:t>
      </w:r>
      <w:r w:rsidR="001D1161" w:rsidRPr="0056461F">
        <w:t xml:space="preserve"> respondents. </w:t>
      </w:r>
      <w:r w:rsidR="00C85DED" w:rsidRPr="0056461F">
        <w:t>Survey responses will be electronically transferred to RTI, and the saliva c</w:t>
      </w:r>
      <w:r w:rsidR="00044764" w:rsidRPr="0056461F">
        <w:t xml:space="preserve">ollection kits </w:t>
      </w:r>
      <w:r w:rsidR="00C85DED" w:rsidRPr="0056461F">
        <w:t xml:space="preserve">will be sent to the RTI Biorepository via FedEx by the FI. Documentation of subject consent will be stored at RTI. Consent documents with identifiable information will be kept separate from the data collection documents. </w:t>
      </w:r>
    </w:p>
    <w:p w:rsidR="003D0C47" w:rsidRPr="0056461F" w:rsidRDefault="00C85DED" w:rsidP="00C90014">
      <w:pPr>
        <w:pStyle w:val="BodyText"/>
        <w:spacing w:line="240" w:lineRule="auto"/>
        <w:ind w:left="0"/>
      </w:pPr>
      <w:r w:rsidRPr="0056461F">
        <w:t xml:space="preserve">All consent documents will follow the guidelines outlined by </w:t>
      </w:r>
      <w:r w:rsidR="003748BA" w:rsidRPr="0056461F">
        <w:t xml:space="preserve">CDC’s </w:t>
      </w:r>
      <w:r w:rsidRPr="0056461F">
        <w:t>Office of Human Subjects Protection and ethical guidelines set forth by the state and federal governments.</w:t>
      </w:r>
    </w:p>
    <w:p w:rsidR="00F843F3" w:rsidRDefault="00F843F3" w:rsidP="00C90014">
      <w:pPr>
        <w:pStyle w:val="BodyText"/>
        <w:spacing w:line="240" w:lineRule="auto"/>
        <w:ind w:left="0"/>
      </w:pPr>
      <w:r w:rsidRPr="0056461F">
        <w:rPr>
          <w:b/>
        </w:rPr>
        <w:t>D. Nature of Response</w:t>
      </w:r>
      <w:r w:rsidRPr="0056461F">
        <w:t>.</w:t>
      </w:r>
      <w:r w:rsidR="00F4610C" w:rsidRPr="0056461F">
        <w:t xml:space="preserve"> </w:t>
      </w:r>
      <w:r w:rsidRPr="0056461F">
        <w:t>Partic</w:t>
      </w:r>
      <w:r w:rsidR="00A427B0" w:rsidRPr="0056461F">
        <w:t>ipation</w:t>
      </w:r>
      <w:r w:rsidRPr="0056461F">
        <w:t xml:space="preserve"> in the </w:t>
      </w:r>
      <w:r w:rsidR="009E5A2D" w:rsidRPr="0056461F">
        <w:t>Targeted Surveillance and Biometric Study</w:t>
      </w:r>
      <w:r w:rsidRPr="0056461F">
        <w:t xml:space="preserve"> is voluntary.</w:t>
      </w:r>
    </w:p>
    <w:p w:rsidR="00CB5F36" w:rsidRDefault="00A401FF" w:rsidP="00CB5F36">
      <w:pPr>
        <w:pStyle w:val="BodyText"/>
        <w:spacing w:line="240" w:lineRule="auto"/>
        <w:ind w:left="0"/>
        <w:rPr>
          <w:b/>
          <w:bCs/>
        </w:rPr>
      </w:pPr>
      <w:r w:rsidRPr="00CB5F36">
        <w:rPr>
          <w:b/>
          <w:bCs/>
        </w:rPr>
        <w:t>Privacy Impact Assessment</w:t>
      </w:r>
    </w:p>
    <w:p w:rsidR="00A401FF" w:rsidRPr="0056461F" w:rsidRDefault="00A401FF" w:rsidP="00CB5F36">
      <w:pPr>
        <w:pStyle w:val="BodyText"/>
        <w:spacing w:line="240" w:lineRule="auto"/>
        <w:ind w:left="0"/>
        <w:rPr>
          <w:b/>
          <w:bCs/>
        </w:rPr>
      </w:pPr>
      <w:r>
        <w:t xml:space="preserve">As described above, the system that will be used to store data collected through the Targeted Surveillance and Biometric Study </w:t>
      </w:r>
      <w:r w:rsidR="00CB5F36">
        <w:t>has been built to ensure a moderate level of security of PII of respondents.</w:t>
      </w:r>
      <w:r w:rsidR="00330A28">
        <w:t xml:space="preserve"> </w:t>
      </w:r>
      <w:r w:rsidR="00CB5F36">
        <w:t>For this reason, the respondent can be ensured that no linkage of data elements will be possible between their responses and their PII.</w:t>
      </w:r>
    </w:p>
    <w:p w:rsidR="00A905FC" w:rsidRPr="0056461F" w:rsidRDefault="00A905FC" w:rsidP="002C1227">
      <w:pPr>
        <w:pStyle w:val="Heading2"/>
        <w:spacing w:after="0"/>
      </w:pPr>
      <w:bookmarkStart w:id="28" w:name="_Toc348428803"/>
      <w:r w:rsidRPr="0056461F">
        <w:t>A</w:t>
      </w:r>
      <w:r w:rsidR="0085535A">
        <w:t>.</w:t>
      </w:r>
      <w:r w:rsidRPr="0056461F">
        <w:t>11</w:t>
      </w:r>
      <w:r w:rsidR="00655767" w:rsidRPr="0056461F">
        <w:tab/>
      </w:r>
      <w:r w:rsidRPr="0056461F">
        <w:t>Justificat</w:t>
      </w:r>
      <w:r w:rsidR="00B77E2F" w:rsidRPr="0056461F">
        <w:t>ion for Sensitive Questions</w:t>
      </w:r>
      <w:bookmarkEnd w:id="28"/>
    </w:p>
    <w:p w:rsidR="00FC2564" w:rsidRPr="0056461F" w:rsidRDefault="00FC2564" w:rsidP="00C90014">
      <w:pPr>
        <w:pStyle w:val="BodyText"/>
        <w:spacing w:line="240" w:lineRule="auto"/>
        <w:ind w:left="0"/>
      </w:pPr>
      <w:r w:rsidRPr="0056461F">
        <w:t xml:space="preserve">All questions and procedures have been reviewed </w:t>
      </w:r>
      <w:r w:rsidR="00BA019F" w:rsidRPr="0056461F">
        <w:t xml:space="preserve">for issues of sensitivity and safety </w:t>
      </w:r>
      <w:r w:rsidRPr="0056461F">
        <w:t>by the</w:t>
      </w:r>
      <w:r w:rsidR="00D61F1A" w:rsidRPr="0056461F">
        <w:t xml:space="preserve"> </w:t>
      </w:r>
      <w:r w:rsidR="003748BA" w:rsidRPr="0056461F">
        <w:t>IRB</w:t>
      </w:r>
      <w:r w:rsidRPr="0056461F">
        <w:t>.</w:t>
      </w:r>
      <w:r w:rsidR="00550C15" w:rsidRPr="0056461F">
        <w:t xml:space="preserve"> </w:t>
      </w:r>
      <w:r w:rsidRPr="0056461F">
        <w:t>The potential sensitivity of questions and procedures is an evaluation criterion in determining content of the survey.</w:t>
      </w:r>
      <w:r w:rsidR="00550C15" w:rsidRPr="0056461F">
        <w:t xml:space="preserve"> </w:t>
      </w:r>
      <w:r w:rsidRPr="0056461F">
        <w:t xml:space="preserve">We have purposely excluded topics </w:t>
      </w:r>
      <w:r w:rsidR="00C92B43">
        <w:t xml:space="preserve">that are </w:t>
      </w:r>
      <w:r w:rsidR="002005B5" w:rsidRPr="0056461F">
        <w:t xml:space="preserve">known to be </w:t>
      </w:r>
      <w:r w:rsidRPr="0056461F">
        <w:t xml:space="preserve">sensitive </w:t>
      </w:r>
      <w:r w:rsidR="002005B5" w:rsidRPr="0056461F">
        <w:t xml:space="preserve">or </w:t>
      </w:r>
      <w:r w:rsidRPr="0056461F">
        <w:t>that might interfere with participation.</w:t>
      </w:r>
      <w:r w:rsidR="00550C15" w:rsidRPr="0056461F">
        <w:t xml:space="preserve"> </w:t>
      </w:r>
    </w:p>
    <w:p w:rsidR="00C639AF" w:rsidRPr="0056461F" w:rsidRDefault="00FC2564" w:rsidP="00C90014">
      <w:pPr>
        <w:pStyle w:val="BodyText"/>
        <w:spacing w:line="240" w:lineRule="auto"/>
        <w:ind w:left="0"/>
      </w:pPr>
      <w:r w:rsidRPr="0056461F">
        <w:lastRenderedPageBreak/>
        <w:t xml:space="preserve">In the informed consent procedure, all persons are advised of the voluntary nature of their participation in the survey or any of its components. </w:t>
      </w:r>
      <w:r w:rsidR="00C639AF" w:rsidRPr="0056461F">
        <w:t xml:space="preserve">Some of the questions or </w:t>
      </w:r>
      <w:r w:rsidR="00DF6437" w:rsidRPr="0056461F">
        <w:t>visit</w:t>
      </w:r>
      <w:r w:rsidR="00C639AF" w:rsidRPr="0056461F">
        <w:t xml:space="preserve"> components included in the adult and child surveys and biometric studies </w:t>
      </w:r>
      <w:r w:rsidRPr="0056461F">
        <w:t xml:space="preserve">that are not explicitly listed here </w:t>
      </w:r>
      <w:r w:rsidR="00C639AF" w:rsidRPr="0056461F">
        <w:t>may be considered sensitive</w:t>
      </w:r>
      <w:r w:rsidRPr="0056461F">
        <w:t>; therefore</w:t>
      </w:r>
      <w:r w:rsidR="003748BA" w:rsidRPr="0056461F">
        <w:t>,</w:t>
      </w:r>
      <w:r w:rsidRPr="0056461F">
        <w:t xml:space="preserve"> each person is reminded that he or she can refuse to answer questions or undergo any parts of the </w:t>
      </w:r>
      <w:r w:rsidR="00DF6437" w:rsidRPr="0056461F">
        <w:t>visit</w:t>
      </w:r>
      <w:r w:rsidRPr="0056461F">
        <w:t xml:space="preserve"> that he or she considers objectionable.</w:t>
      </w:r>
      <w:r w:rsidR="00550C15" w:rsidRPr="0056461F">
        <w:t xml:space="preserve"> </w:t>
      </w:r>
    </w:p>
    <w:p w:rsidR="00A41E46" w:rsidRPr="0056461F" w:rsidRDefault="00000C73" w:rsidP="00C90014">
      <w:pPr>
        <w:pStyle w:val="Heading3"/>
      </w:pPr>
      <w:bookmarkStart w:id="29" w:name="_Toc348428804"/>
      <w:r w:rsidRPr="0056461F">
        <w:t xml:space="preserve">Interview </w:t>
      </w:r>
      <w:r w:rsidR="00A77BB2" w:rsidRPr="0056461F">
        <w:t>Data</w:t>
      </w:r>
      <w:bookmarkEnd w:id="29"/>
    </w:p>
    <w:p w:rsidR="00B55B2F" w:rsidRPr="0056461F" w:rsidRDefault="00A41E46" w:rsidP="00876263">
      <w:pPr>
        <w:pStyle w:val="BodyText"/>
        <w:spacing w:line="240" w:lineRule="auto"/>
        <w:ind w:left="0"/>
      </w:pPr>
      <w:bookmarkStart w:id="30" w:name="OLE_LINK5"/>
      <w:bookmarkStart w:id="31" w:name="OLE_LINK6"/>
      <w:r w:rsidRPr="0056461F">
        <w:t xml:space="preserve">The questions in the ATSS are </w:t>
      </w:r>
      <w:r w:rsidR="00044764" w:rsidRPr="0056461F">
        <w:t xml:space="preserve">generally </w:t>
      </w:r>
      <w:r w:rsidRPr="0056461F">
        <w:t xml:space="preserve">not of a sensitive nature and are commonly found in surveys of health behavior. </w:t>
      </w:r>
      <w:bookmarkEnd w:id="30"/>
      <w:bookmarkEnd w:id="31"/>
      <w:r w:rsidRPr="0056461F">
        <w:t>Therefore, the data collection will have little or no effect on the respondent’s privacy</w:t>
      </w:r>
      <w:r w:rsidR="002005B5" w:rsidRPr="0056461F">
        <w:t xml:space="preserve"> or cause physical or emotional discomfort</w:t>
      </w:r>
      <w:r w:rsidRPr="0056461F">
        <w:t xml:space="preserve">. Questions relating to race/ethnicity and income can be considered somewhat sensitive. However, these questions are important and are necessary to evaluate whether the </w:t>
      </w:r>
      <w:r w:rsidR="008579F2" w:rsidRPr="0056461F">
        <w:t>CTG</w:t>
      </w:r>
      <w:r w:rsidR="00D41DCB" w:rsidRPr="0056461F">
        <w:t xml:space="preserve"> Program</w:t>
      </w:r>
      <w:r w:rsidRPr="0056461F">
        <w:t xml:space="preserve"> results in reduction in health disparities in rac</w:t>
      </w:r>
      <w:r w:rsidR="00496D44" w:rsidRPr="0056461F">
        <w:t>ial</w:t>
      </w:r>
      <w:r w:rsidRPr="0056461F">
        <w:t xml:space="preserve"> and ethnic populations. </w:t>
      </w:r>
      <w:r w:rsidR="00B55B2F" w:rsidRPr="0056461F">
        <w:t>Collection of income data will enable investigators to determine whether improvements in health status have occurred within certain segments of the community</w:t>
      </w:r>
      <w:r w:rsidR="00876263">
        <w:t>.</w:t>
      </w:r>
      <w:r w:rsidR="00B55B2F" w:rsidRPr="0056461F">
        <w:t xml:space="preserve"> </w:t>
      </w:r>
    </w:p>
    <w:p w:rsidR="00A41E46" w:rsidRPr="0056461F" w:rsidRDefault="00A41E46" w:rsidP="00C90014">
      <w:pPr>
        <w:pStyle w:val="BodyText"/>
        <w:spacing w:line="240" w:lineRule="auto"/>
        <w:ind w:left="0"/>
      </w:pPr>
      <w:r w:rsidRPr="0056461F">
        <w:t xml:space="preserve">The </w:t>
      </w:r>
      <w:r w:rsidR="006B111F" w:rsidRPr="0056461F">
        <w:t>instruments used will</w:t>
      </w:r>
      <w:r w:rsidR="00B55B2F" w:rsidRPr="0056461F">
        <w:t xml:space="preserve"> ask questions that are </w:t>
      </w:r>
      <w:r w:rsidRPr="0056461F">
        <w:t xml:space="preserve">consistent with the </w:t>
      </w:r>
      <w:r w:rsidR="00B55B2F" w:rsidRPr="0056461F">
        <w:t xml:space="preserve">risk factors </w:t>
      </w:r>
      <w:r w:rsidR="00C92B43">
        <w:t xml:space="preserve">that </w:t>
      </w:r>
      <w:r w:rsidR="00B55B2F" w:rsidRPr="0056461F">
        <w:t xml:space="preserve">the </w:t>
      </w:r>
      <w:r w:rsidR="008579F2" w:rsidRPr="0056461F">
        <w:t>CTG</w:t>
      </w:r>
      <w:r w:rsidR="00D41DCB" w:rsidRPr="0056461F">
        <w:t xml:space="preserve"> Program</w:t>
      </w:r>
      <w:r w:rsidR="00B55B2F" w:rsidRPr="0056461F">
        <w:t xml:space="preserve"> seeks </w:t>
      </w:r>
      <w:r w:rsidR="006B111F" w:rsidRPr="0056461F">
        <w:t xml:space="preserve">to </w:t>
      </w:r>
      <w:r w:rsidR="00496D44" w:rsidRPr="0056461F">
        <w:t>modify</w:t>
      </w:r>
      <w:r w:rsidRPr="0056461F">
        <w:t>.</w:t>
      </w:r>
      <w:r w:rsidR="00550C15" w:rsidRPr="0056461F">
        <w:t xml:space="preserve"> </w:t>
      </w:r>
      <w:r w:rsidR="00B55B2F" w:rsidRPr="0056461F">
        <w:t>Therefore</w:t>
      </w:r>
      <w:r w:rsidR="00B10CBE" w:rsidRPr="0056461F">
        <w:t>,</w:t>
      </w:r>
      <w:r w:rsidR="00B55B2F" w:rsidRPr="0056461F">
        <w:t xml:space="preserve"> questions </w:t>
      </w:r>
      <w:r w:rsidR="0089165E" w:rsidRPr="0056461F">
        <w:t xml:space="preserve">concerning the use of tobacco </w:t>
      </w:r>
      <w:r w:rsidR="00B55B2F" w:rsidRPr="0056461F">
        <w:t xml:space="preserve">are </w:t>
      </w:r>
      <w:r w:rsidR="0089165E" w:rsidRPr="0056461F">
        <w:t xml:space="preserve">only </w:t>
      </w:r>
      <w:r w:rsidR="00B55B2F" w:rsidRPr="0056461F">
        <w:t xml:space="preserve">asked of </w:t>
      </w:r>
      <w:r w:rsidR="0089165E" w:rsidRPr="0056461F">
        <w:t>children aged 12</w:t>
      </w:r>
      <w:r w:rsidR="00A207E5" w:rsidRPr="0056461F">
        <w:t>–</w:t>
      </w:r>
      <w:r w:rsidR="0089165E" w:rsidRPr="0056461F">
        <w:t xml:space="preserve">17, while questions about </w:t>
      </w:r>
      <w:r w:rsidR="00B55B2F" w:rsidRPr="0056461F">
        <w:t xml:space="preserve">exposure to </w:t>
      </w:r>
      <w:r w:rsidR="00470221" w:rsidRPr="0056461F">
        <w:t>secondhand smoke</w:t>
      </w:r>
      <w:r w:rsidR="0089165E" w:rsidRPr="0056461F">
        <w:t xml:space="preserve"> are asked for all children</w:t>
      </w:r>
      <w:r w:rsidR="00B55B2F" w:rsidRPr="0056461F">
        <w:t>.</w:t>
      </w:r>
      <w:r w:rsidR="00550C15" w:rsidRPr="0056461F">
        <w:t xml:space="preserve"> </w:t>
      </w:r>
      <w:r w:rsidR="007B3059" w:rsidRPr="0056461F">
        <w:t>For the children aged 12</w:t>
      </w:r>
      <w:r w:rsidR="00C677F0">
        <w:t>–</w:t>
      </w:r>
      <w:r w:rsidR="007B3059" w:rsidRPr="0056461F">
        <w:t xml:space="preserve">17, sensitive tobacco questions appear on showcards so the child can provide a letter response that the parent cannot see rather than answer the item outright. </w:t>
      </w:r>
      <w:r w:rsidR="00B55B2F" w:rsidRPr="0056461F">
        <w:t xml:space="preserve">Similar questions are asked in </w:t>
      </w:r>
      <w:r w:rsidR="00496D44" w:rsidRPr="0056461F">
        <w:t xml:space="preserve">many national surveys of adults and youth (e.g., </w:t>
      </w:r>
      <w:r w:rsidR="00C641DC">
        <w:t xml:space="preserve">CDC’s </w:t>
      </w:r>
      <w:r w:rsidR="00B55B2F" w:rsidRPr="0056461F">
        <w:t>N</w:t>
      </w:r>
      <w:r w:rsidR="008F261D" w:rsidRPr="0056461F">
        <w:t xml:space="preserve">ational Adult Tobacco Survey </w:t>
      </w:r>
      <w:r w:rsidR="00C92B43">
        <w:t>[</w:t>
      </w:r>
      <w:r w:rsidR="008F261D" w:rsidRPr="0056461F">
        <w:t>N</w:t>
      </w:r>
      <w:r w:rsidR="00B55B2F" w:rsidRPr="0056461F">
        <w:t>ATS</w:t>
      </w:r>
      <w:r w:rsidR="00C92B43">
        <w:t>]</w:t>
      </w:r>
      <w:r w:rsidR="00B55B2F" w:rsidRPr="0056461F">
        <w:t xml:space="preserve"> and </w:t>
      </w:r>
      <w:r w:rsidR="008F261D" w:rsidRPr="0056461F">
        <w:t xml:space="preserve">National Youth Tobacco Survey </w:t>
      </w:r>
      <w:r w:rsidR="00C92B43">
        <w:t>[</w:t>
      </w:r>
      <w:r w:rsidR="00B55B2F" w:rsidRPr="0056461F">
        <w:t>NYTS</w:t>
      </w:r>
      <w:r w:rsidR="00C92B43">
        <w:t>]</w:t>
      </w:r>
      <w:r w:rsidR="008F261D" w:rsidRPr="0056461F">
        <w:t>)</w:t>
      </w:r>
      <w:r w:rsidR="00496D44" w:rsidRPr="0056461F">
        <w:t xml:space="preserve">; however, existing survey samples are not designed to be sensitive or specific enough to detect the effect of the </w:t>
      </w:r>
      <w:r w:rsidR="008579F2" w:rsidRPr="0056461F">
        <w:t>CTG</w:t>
      </w:r>
      <w:r w:rsidR="00D41DCB" w:rsidRPr="0056461F">
        <w:t xml:space="preserve"> Program</w:t>
      </w:r>
      <w:r w:rsidR="00496D44" w:rsidRPr="0056461F">
        <w:t>, especially on racial and ethnic populations with excess di</w:t>
      </w:r>
      <w:r w:rsidR="00143183" w:rsidRPr="0056461F">
        <w:t>s</w:t>
      </w:r>
      <w:r w:rsidR="00496D44" w:rsidRPr="0056461F">
        <w:t>ease burdens</w:t>
      </w:r>
      <w:r w:rsidR="00B55B2F" w:rsidRPr="0056461F">
        <w:t xml:space="preserve">. </w:t>
      </w:r>
      <w:r w:rsidRPr="0056461F">
        <w:t>The</w:t>
      </w:r>
      <w:r w:rsidR="00C92B43">
        <w:t>se</w:t>
      </w:r>
      <w:r w:rsidRPr="0056461F">
        <w:t xml:space="preserve"> privacy safeguards are being implemented in recognition of the potentially sensitive nature of some questions in this information collection.</w:t>
      </w:r>
    </w:p>
    <w:p w:rsidR="00A41E46" w:rsidRPr="0056461F" w:rsidRDefault="00A41E46" w:rsidP="00C90014">
      <w:pPr>
        <w:pStyle w:val="Heading3"/>
      </w:pPr>
      <w:bookmarkStart w:id="32" w:name="_Toc348428805"/>
      <w:r w:rsidRPr="0056461F">
        <w:t xml:space="preserve">Biometric </w:t>
      </w:r>
      <w:r w:rsidR="00000C73" w:rsidRPr="0056461F">
        <w:t>Data</w:t>
      </w:r>
      <w:bookmarkEnd w:id="32"/>
    </w:p>
    <w:p w:rsidR="00A41E46" w:rsidRPr="0056461F" w:rsidRDefault="00A41E46" w:rsidP="00C90014">
      <w:pPr>
        <w:pStyle w:val="BodyText"/>
        <w:spacing w:line="240" w:lineRule="auto"/>
        <w:ind w:left="0"/>
      </w:pPr>
      <w:r w:rsidRPr="0056461F">
        <w:t xml:space="preserve">All content of a sensitive nature in the </w:t>
      </w:r>
      <w:r w:rsidR="00DF6437" w:rsidRPr="0056461F">
        <w:t>visit</w:t>
      </w:r>
      <w:r w:rsidRPr="0056461F">
        <w:t xml:space="preserve"> is explicitly discussed in the informed consent document</w:t>
      </w:r>
      <w:r w:rsidR="00D27350" w:rsidRPr="0056461F">
        <w:t>s</w:t>
      </w:r>
      <w:r w:rsidRPr="0056461F">
        <w:t xml:space="preserve"> (Attachment</w:t>
      </w:r>
      <w:r w:rsidR="00C92B43">
        <w:t>s</w:t>
      </w:r>
      <w:r w:rsidRPr="0056461F">
        <w:t xml:space="preserve"> </w:t>
      </w:r>
      <w:r w:rsidR="00420B92" w:rsidRPr="0056461F">
        <w:t>6</w:t>
      </w:r>
      <w:r w:rsidR="00D27350" w:rsidRPr="0056461F">
        <w:t>B, 6C, and 6E</w:t>
      </w:r>
      <w:r w:rsidR="00B10CBE" w:rsidRPr="0056461F">
        <w:t xml:space="preserve">). </w:t>
      </w:r>
      <w:r w:rsidR="00C74B51" w:rsidRPr="0056461F">
        <w:t xml:space="preserve">Saliva will be collected in persons </w:t>
      </w:r>
      <w:r w:rsidR="00D82223">
        <w:t>three</w:t>
      </w:r>
      <w:r w:rsidR="00D82223" w:rsidRPr="0056461F">
        <w:t xml:space="preserve"> </w:t>
      </w:r>
      <w:r w:rsidR="00C74B51" w:rsidRPr="0056461F">
        <w:t xml:space="preserve">years of age </w:t>
      </w:r>
      <w:r w:rsidR="00F20502" w:rsidRPr="0056461F">
        <w:t>or</w:t>
      </w:r>
      <w:r w:rsidR="00C74B51" w:rsidRPr="0056461F">
        <w:t xml:space="preserve"> older to measure </w:t>
      </w:r>
      <w:r w:rsidR="009B4EB1" w:rsidRPr="0056461F">
        <w:t xml:space="preserve">the </w:t>
      </w:r>
      <w:r w:rsidR="00C74B51" w:rsidRPr="0056461F">
        <w:t>level of cotinine.</w:t>
      </w:r>
      <w:r w:rsidR="00550C15" w:rsidRPr="0056461F">
        <w:t xml:space="preserve"> </w:t>
      </w:r>
      <w:r w:rsidR="00C74B51" w:rsidRPr="0056461F">
        <w:t xml:space="preserve">This specimen is necessary to provide a measure of exposure to </w:t>
      </w:r>
      <w:r w:rsidR="00470221" w:rsidRPr="0056461F">
        <w:t>secondhand smoke</w:t>
      </w:r>
      <w:r w:rsidR="00C74B51" w:rsidRPr="0056461F">
        <w:t xml:space="preserve"> in </w:t>
      </w:r>
      <w:r w:rsidR="00BA019F" w:rsidRPr="0056461F">
        <w:t>all participants</w:t>
      </w:r>
      <w:r w:rsidR="0050099A" w:rsidRPr="0056461F">
        <w:t xml:space="preserve"> to </w:t>
      </w:r>
      <w:r w:rsidR="00164B37" w:rsidRPr="0056461F">
        <w:t xml:space="preserve">allow evaluation of the effect of the </w:t>
      </w:r>
      <w:r w:rsidR="008579F2" w:rsidRPr="0056461F">
        <w:t>CTG</w:t>
      </w:r>
      <w:r w:rsidR="00D41DCB" w:rsidRPr="0056461F">
        <w:t xml:space="preserve"> Program</w:t>
      </w:r>
      <w:r w:rsidR="00164B37" w:rsidRPr="0056461F">
        <w:t xml:space="preserve"> on</w:t>
      </w:r>
      <w:r w:rsidR="0050099A" w:rsidRPr="0056461F">
        <w:t xml:space="preserve"> an objective measure of</w:t>
      </w:r>
      <w:r w:rsidR="00164B37" w:rsidRPr="0056461F">
        <w:t xml:space="preserve"> this </w:t>
      </w:r>
      <w:r w:rsidR="0050099A" w:rsidRPr="0056461F">
        <w:t>risk factor</w:t>
      </w:r>
      <w:r w:rsidR="00C74B51" w:rsidRPr="0056461F">
        <w:t>.</w:t>
      </w:r>
      <w:r w:rsidR="00550C15" w:rsidRPr="0056461F">
        <w:t xml:space="preserve"> </w:t>
      </w:r>
    </w:p>
    <w:p w:rsidR="00AF7BA0" w:rsidRDefault="00AF7BA0" w:rsidP="00AF7BA0">
      <w:pPr>
        <w:pStyle w:val="Heading2"/>
        <w:spacing w:after="0"/>
      </w:pPr>
      <w:bookmarkStart w:id="33" w:name="_Toc346540069"/>
      <w:r>
        <w:t>A.12</w:t>
      </w:r>
      <w:r>
        <w:tab/>
        <w:t>Estimated Annualized Burden Hours and Cost to Respondents</w:t>
      </w:r>
    </w:p>
    <w:p w:rsidR="00AF7BA0" w:rsidRDefault="00AF7BA0" w:rsidP="00AF7BA0">
      <w:pPr>
        <w:pStyle w:val="BodyText"/>
        <w:spacing w:line="240" w:lineRule="auto"/>
        <w:ind w:left="0"/>
      </w:pPr>
      <w:r>
        <w:t>OMB approval is requested for three years (2013-2015).  Exhibit A.12.1 provides an annualized summary of two waves of information collection that are scheduled to occur during this period.  The third wave of information collection is scheduled to occur in 2017.  Burden estimates for the third wave of information collection will be presented in a separate Revision request.</w:t>
      </w:r>
    </w:p>
    <w:p w:rsidR="00AF7BA0" w:rsidRDefault="00AF7BA0" w:rsidP="00AF7BA0">
      <w:pPr>
        <w:pStyle w:val="BodyText"/>
        <w:spacing w:line="240" w:lineRule="auto"/>
        <w:ind w:left="0"/>
      </w:pPr>
      <w:r>
        <w:t xml:space="preserve">Information for the Adult Targeted Surveillance Survey (ATSS) will be collected from all respondents who participate in the </w:t>
      </w:r>
      <w:r w:rsidRPr="00621350">
        <w:rPr>
          <w:i/>
        </w:rPr>
        <w:t>Standard Protocol</w:t>
      </w:r>
      <w:r>
        <w:t xml:space="preserve"> or the </w:t>
      </w:r>
      <w:r w:rsidRPr="00621350">
        <w:rPr>
          <w:i/>
        </w:rPr>
        <w:t>Enhanced Protocol</w:t>
      </w:r>
      <w:r>
        <w:t>. The ATSS w</w:t>
      </w:r>
      <w:r w:rsidR="009A738E">
        <w:t>ill be fielded in two modes: a telephone i</w:t>
      </w:r>
      <w:r>
        <w:t xml:space="preserve">nterview (Attachments 7C/7C-S) and a self-administered </w:t>
      </w:r>
      <w:r w:rsidR="009A738E">
        <w:t>p</w:t>
      </w:r>
      <w:r>
        <w:t>aper booklet (Attachments 7A/7A-S). Both modes of administration are offered in English or Spanish.</w:t>
      </w:r>
    </w:p>
    <w:p w:rsidR="00AF7BA0" w:rsidRDefault="00AF7BA0" w:rsidP="009448CE">
      <w:pPr>
        <w:pStyle w:val="BodyText"/>
        <w:spacing w:line="240" w:lineRule="auto"/>
        <w:ind w:left="0"/>
      </w:pPr>
      <w:r>
        <w:lastRenderedPageBreak/>
        <w:t>To meet recruitment goals</w:t>
      </w:r>
      <w:r w:rsidR="00BF5DC2">
        <w:t xml:space="preserve"> for the ATSS Telephone I</w:t>
      </w:r>
      <w:r>
        <w:t>nterview, we estimate that the ATSS Telephone Screener (pages 1–</w:t>
      </w:r>
      <w:r w:rsidR="009448CE">
        <w:t>20</w:t>
      </w:r>
      <w:r>
        <w:t xml:space="preserve"> of Attachments 7C/7C-S) will be administered to 13,749 respondent</w:t>
      </w:r>
      <w:r w:rsidR="00BF5DC2">
        <w:t xml:space="preserve">s per year. The </w:t>
      </w:r>
      <w:r>
        <w:t xml:space="preserve">ATSS </w:t>
      </w:r>
      <w:r w:rsidR="00BF5DC2">
        <w:t>Telephone I</w:t>
      </w:r>
      <w:r>
        <w:t>nterview (pages 2</w:t>
      </w:r>
      <w:r w:rsidR="009448CE">
        <w:t>6</w:t>
      </w:r>
      <w:r>
        <w:t>–6</w:t>
      </w:r>
      <w:r w:rsidR="009448CE">
        <w:t>4</w:t>
      </w:r>
      <w:r>
        <w:t xml:space="preserve"> of Attachments 7C/7C-S) will be completed by 7,311 respondents per year. The total estimated burden per respondent is 2 minutes for the ATSS Telephone Screener and 28 minutes for the </w:t>
      </w:r>
      <w:r w:rsidR="00BF5DC2">
        <w:t>ATSS T</w:t>
      </w:r>
      <w:r>
        <w:t xml:space="preserve">elephone </w:t>
      </w:r>
      <w:r w:rsidR="00BF5DC2">
        <w:t>I</w:t>
      </w:r>
      <w:r>
        <w:t xml:space="preserve">nterview. </w:t>
      </w:r>
    </w:p>
    <w:p w:rsidR="00AF7BA0" w:rsidRDefault="00AF7BA0" w:rsidP="009A738E">
      <w:pPr>
        <w:pStyle w:val="BodyText"/>
        <w:spacing w:line="240" w:lineRule="auto"/>
        <w:ind w:left="0"/>
      </w:pPr>
      <w:r>
        <w:t xml:space="preserve">We aim to collect an average of 8,485 responses per year for the self-administered ATSS </w:t>
      </w:r>
      <w:r w:rsidR="00BF5DC2">
        <w:t>P</w:t>
      </w:r>
      <w:r>
        <w:t xml:space="preserve">aper </w:t>
      </w:r>
      <w:r w:rsidR="00BF5DC2">
        <w:t>B</w:t>
      </w:r>
      <w:r>
        <w:t xml:space="preserve">ooklet.  The </w:t>
      </w:r>
      <w:r w:rsidR="009A738E">
        <w:t>paper booklet</w:t>
      </w:r>
      <w:r>
        <w:t xml:space="preserve"> will be mailed to selected respondents labeled as the “CTG Program Evaluation Survey Booklet.”  Respondents may complete the ATSS </w:t>
      </w:r>
      <w:r w:rsidR="00BF5DC2">
        <w:t>Paper B</w:t>
      </w:r>
      <w:r>
        <w:t xml:space="preserve">ooklet in English or Spanish (Attachment 7A/7A-S). The total estimated burden per respondent for the </w:t>
      </w:r>
      <w:r w:rsidR="00BF5DC2">
        <w:t>ATSS P</w:t>
      </w:r>
      <w:r>
        <w:t xml:space="preserve">aper </w:t>
      </w:r>
      <w:r w:rsidR="00BF5DC2">
        <w:t>B</w:t>
      </w:r>
      <w:r>
        <w:t>ooklet is 30 minutes.</w:t>
      </w:r>
    </w:p>
    <w:p w:rsidR="004C2283" w:rsidRDefault="004C2283" w:rsidP="00AF7BA0">
      <w:pPr>
        <w:pStyle w:val="BodyText"/>
        <w:spacing w:line="240" w:lineRule="auto"/>
        <w:ind w:left="0"/>
      </w:pPr>
      <w:r>
        <w:t xml:space="preserve">All respondents in the eight </w:t>
      </w:r>
      <w:r>
        <w:rPr>
          <w:i/>
          <w:iCs/>
        </w:rPr>
        <w:t>Enhanced Protocol</w:t>
      </w:r>
      <w:r>
        <w:t xml:space="preserve"> CTG awardee areas who complete the ATSS by telephone or sample members from the </w:t>
      </w:r>
      <w:r>
        <w:rPr>
          <w:i/>
          <w:iCs/>
        </w:rPr>
        <w:t>Enhanced Protocol</w:t>
      </w:r>
      <w:r>
        <w:t xml:space="preserve"> oversample will complete a screener to recruit them to participate in the </w:t>
      </w:r>
      <w:r>
        <w:rPr>
          <w:i/>
        </w:rPr>
        <w:t xml:space="preserve">Enhanced Protocol </w:t>
      </w:r>
      <w:r>
        <w:t xml:space="preserve">and to determine their eligibility (Attachments 10A/10A-S). Households that receive the ATSS Paper Booklet by mail will also receive a recruitment flyer for the </w:t>
      </w:r>
      <w:r>
        <w:rPr>
          <w:i/>
          <w:iCs/>
        </w:rPr>
        <w:t>Enhanced Protocol</w:t>
      </w:r>
      <w:r>
        <w:t xml:space="preserve"> (Attachments 10B/10B-S); </w:t>
      </w:r>
      <w:r>
        <w:rPr>
          <w:i/>
          <w:iCs/>
        </w:rPr>
        <w:t xml:space="preserve">Enhanced Protocol </w:t>
      </w:r>
      <w:r>
        <w:t xml:space="preserve">oversample members with no telephone match will receive a recruitment letter that invites participation to both the </w:t>
      </w:r>
      <w:r>
        <w:rPr>
          <w:i/>
          <w:iCs/>
        </w:rPr>
        <w:t xml:space="preserve">Standard </w:t>
      </w:r>
      <w:r>
        <w:t xml:space="preserve">and </w:t>
      </w:r>
      <w:r>
        <w:rPr>
          <w:i/>
          <w:iCs/>
        </w:rPr>
        <w:t xml:space="preserve">Enhanced Protocols </w:t>
      </w:r>
      <w:r>
        <w:t xml:space="preserve">(Attachments 10D/10D-S). Interested persons may call the toll-free number provided or provide a phone number on the form provided.  Respondents who call the toll-free number or are contacted at the phone number provided will complete a variation of the Adult Biometric Measures Recruitment Screener (Attachments 10C/10C-S). We expect a total of 4,418 individuals per year will complete the Adult Biometric Measures Recruitment Screener.  All versions of the screener are offered in English or Spanish. The estimated burden per respondent for the screener is 10 minutes. </w:t>
      </w:r>
    </w:p>
    <w:p w:rsidR="004C2283" w:rsidRDefault="004C2283" w:rsidP="004C2283">
      <w:pPr>
        <w:pStyle w:val="BodyText"/>
        <w:spacing w:line="240" w:lineRule="auto"/>
        <w:ind w:left="0"/>
      </w:pPr>
      <w:r>
        <w:t xml:space="preserve">Adult Biometric Measures data will be collected on approximately 2,667 adults per year. Respondents are given the option to complete the interview portion of the exam or receive instructions for measurements in English or Spanish (Attachments 12A/12A-S). The estimated burden per response for collection of the Adult Biometric Measures is 30 minutes. </w:t>
      </w:r>
    </w:p>
    <w:p w:rsidR="004C2283" w:rsidRDefault="004C2283" w:rsidP="004C2283">
      <w:pPr>
        <w:pStyle w:val="BodyText"/>
        <w:spacing w:line="240" w:lineRule="auto"/>
        <w:ind w:left="0"/>
      </w:pPr>
      <w:r>
        <w:t xml:space="preserve">Accelerometry data and an associated Adult Activity Diary will be collected in four of the eight </w:t>
      </w:r>
      <w:r>
        <w:rPr>
          <w:i/>
          <w:iCs/>
        </w:rPr>
        <w:t>Enhanced Protocol</w:t>
      </w:r>
      <w:r>
        <w:t xml:space="preserve"> CTG awardee areas. Data will be collected during the first wave of data collection (2013) only. Adults will wear the accelerometer for a total of seven days and complete the Adult Activity Diary provided to them in English or Spanish (Attachments 13B/13B-S). In addition, approximately 100 adults per year will be responsible for completing a similar Youth Activity Diary (Attachments 13C/13C-S) on behalf of a young child (aged 3–11 years) in their household who also provides 7-day </w:t>
      </w:r>
      <w:proofErr w:type="spellStart"/>
      <w:r>
        <w:t>accelerometry</w:t>
      </w:r>
      <w:proofErr w:type="spellEnd"/>
      <w:r>
        <w:t xml:space="preserve"> data. The estimated burden for adults to complete the Adult or Youth Activity Diary is 20 minutes.</w:t>
      </w:r>
    </w:p>
    <w:p w:rsidR="00AF7BA0" w:rsidRDefault="00AF7BA0" w:rsidP="00AF7BA0">
      <w:pPr>
        <w:pStyle w:val="BodyText"/>
        <w:spacing w:line="240" w:lineRule="auto"/>
        <w:ind w:left="0"/>
      </w:pPr>
      <w:r>
        <w:t>Approximately 960 adults per year will complete a Caregiver Survey on behalf of a young child (aged 3–11 years) in their household (Attachments 9A/9A-S). The total estimated burden to complete the Caregiver Survey is 20 minutes.</w:t>
      </w:r>
    </w:p>
    <w:p w:rsidR="00AF7BA0" w:rsidRDefault="00AF7BA0" w:rsidP="00AF7BA0">
      <w:pPr>
        <w:pStyle w:val="BodyText"/>
        <w:spacing w:line="240" w:lineRule="auto"/>
        <w:ind w:left="0"/>
      </w:pPr>
      <w:r>
        <w:t xml:space="preserve">The Youth Survey (Attachments 9B/9B-S) will be administered in the home to about 640 youth participants aged 12–17 per year. The Youth Biometric Measures (Attachment 12B/12B-S) will </w:t>
      </w:r>
      <w:r w:rsidR="007C0C9E">
        <w:t>be collected on</w:t>
      </w:r>
      <w:r>
        <w:t xml:space="preserve"> about 1,600 children aged 3–17 years per year. English and Spanish versions of </w:t>
      </w:r>
      <w:r>
        <w:lastRenderedPageBreak/>
        <w:t xml:space="preserve">the information collection instruments are available . The estimated burden per youth respondent is 20 minutes for the Youth Survey and 20 minutes for the collection of the Youth Biometric Measures. </w:t>
      </w:r>
    </w:p>
    <w:p w:rsidR="00AF7BA0" w:rsidRDefault="00AF7BA0" w:rsidP="00AF7BA0">
      <w:pPr>
        <w:pStyle w:val="BodyText"/>
        <w:spacing w:line="240" w:lineRule="auto"/>
        <w:ind w:left="0"/>
      </w:pPr>
      <w:r>
        <w:t>Approximately 67 older children (aged 12–</w:t>
      </w:r>
      <w:r w:rsidR="007C0C9E">
        <w:t>17 years) per year will wear an</w:t>
      </w:r>
      <w:r>
        <w:t xml:space="preserve"> accelerometer for a total of seven days and complete the Youth Activity Diary provided to them in English or Spanish (Attachments 13C/13C-S). The estimated burden for children aged 12–17 to complete the Youth Activity Diary is 20 minutes.</w:t>
      </w:r>
    </w:p>
    <w:p w:rsidR="00B466DC" w:rsidRPr="0056461F" w:rsidRDefault="00B466DC" w:rsidP="00372CCD">
      <w:pPr>
        <w:pStyle w:val="ExhibitTitle"/>
        <w:ind w:left="0" w:firstLine="0"/>
      </w:pPr>
      <w:r w:rsidRPr="0056461F">
        <w:t xml:space="preserve">Exhibit </w:t>
      </w:r>
      <w:r w:rsidR="0085535A">
        <w:t>A.12.1</w:t>
      </w:r>
      <w:r w:rsidRPr="0056461F">
        <w:t>. Estimated Annualized Burden Hours</w:t>
      </w:r>
      <w:bookmarkEnd w:id="33"/>
    </w:p>
    <w:tbl>
      <w:tblPr>
        <w:tblW w:w="5000" w:type="pct"/>
        <w:tblBorders>
          <w:top w:val="single" w:sz="12" w:space="0" w:color="000000"/>
          <w:bottom w:val="single" w:sz="12" w:space="0" w:color="000000"/>
          <w:insideH w:val="single" w:sz="4" w:space="0" w:color="000000"/>
        </w:tblBorders>
        <w:tblCellMar>
          <w:left w:w="0" w:type="dxa"/>
          <w:right w:w="0" w:type="dxa"/>
        </w:tblCellMar>
        <w:tblLook w:val="04A0" w:firstRow="1" w:lastRow="0" w:firstColumn="1" w:lastColumn="0" w:noHBand="0" w:noVBand="1"/>
      </w:tblPr>
      <w:tblGrid>
        <w:gridCol w:w="1753"/>
        <w:gridCol w:w="2435"/>
        <w:gridCol w:w="1412"/>
        <w:gridCol w:w="1414"/>
        <w:gridCol w:w="1211"/>
        <w:gridCol w:w="1251"/>
      </w:tblGrid>
      <w:tr w:rsidR="00E9050B" w:rsidRPr="0056461F" w:rsidTr="000F1DA4">
        <w:trPr>
          <w:cantSplit/>
          <w:tblHeader/>
        </w:trPr>
        <w:tc>
          <w:tcPr>
            <w:tcW w:w="925" w:type="pct"/>
            <w:tcMar>
              <w:top w:w="0" w:type="dxa"/>
              <w:left w:w="58" w:type="dxa"/>
              <w:bottom w:w="0" w:type="dxa"/>
              <w:right w:w="58" w:type="dxa"/>
            </w:tcMar>
            <w:vAlign w:val="bottom"/>
            <w:hideMark/>
          </w:tcPr>
          <w:p w:rsidR="00E9050B" w:rsidRPr="0056461F" w:rsidRDefault="00E9050B" w:rsidP="00C90014">
            <w:pPr>
              <w:keepNext/>
              <w:spacing w:before="20" w:after="20"/>
              <w:contextualSpacing/>
              <w:jc w:val="center"/>
              <w:rPr>
                <w:b/>
                <w:sz w:val="18"/>
                <w:szCs w:val="18"/>
              </w:rPr>
            </w:pPr>
            <w:r w:rsidRPr="0056461F">
              <w:rPr>
                <w:b/>
                <w:sz w:val="18"/>
                <w:szCs w:val="18"/>
              </w:rPr>
              <w:t>Type of Respondent</w:t>
            </w:r>
          </w:p>
        </w:tc>
        <w:tc>
          <w:tcPr>
            <w:tcW w:w="1285" w:type="pct"/>
            <w:tcMar>
              <w:top w:w="0" w:type="dxa"/>
              <w:left w:w="58" w:type="dxa"/>
              <w:bottom w:w="0" w:type="dxa"/>
              <w:right w:w="58" w:type="dxa"/>
            </w:tcMar>
            <w:vAlign w:val="bottom"/>
            <w:hideMark/>
          </w:tcPr>
          <w:p w:rsidR="00E9050B" w:rsidRPr="0056461F" w:rsidRDefault="00E9050B" w:rsidP="00C90014">
            <w:pPr>
              <w:keepNext/>
              <w:spacing w:before="20" w:after="20"/>
              <w:contextualSpacing/>
              <w:jc w:val="center"/>
              <w:rPr>
                <w:b/>
                <w:sz w:val="18"/>
                <w:szCs w:val="18"/>
              </w:rPr>
            </w:pPr>
            <w:r w:rsidRPr="0056461F">
              <w:rPr>
                <w:b/>
                <w:sz w:val="18"/>
                <w:szCs w:val="18"/>
              </w:rPr>
              <w:t>Form Name</w:t>
            </w:r>
          </w:p>
        </w:tc>
        <w:tc>
          <w:tcPr>
            <w:tcW w:w="745" w:type="pct"/>
            <w:tcMar>
              <w:left w:w="58" w:type="dxa"/>
              <w:right w:w="58" w:type="dxa"/>
            </w:tcMar>
            <w:vAlign w:val="bottom"/>
          </w:tcPr>
          <w:p w:rsidR="00E9050B" w:rsidRPr="0056461F" w:rsidRDefault="00E9050B" w:rsidP="00C90014">
            <w:pPr>
              <w:keepNext/>
              <w:spacing w:before="20" w:after="20"/>
              <w:contextualSpacing/>
              <w:jc w:val="center"/>
              <w:rPr>
                <w:b/>
                <w:sz w:val="18"/>
                <w:szCs w:val="18"/>
              </w:rPr>
            </w:pPr>
            <w:r w:rsidRPr="0056461F">
              <w:rPr>
                <w:b/>
                <w:sz w:val="18"/>
                <w:szCs w:val="18"/>
              </w:rPr>
              <w:t>Number of Respondents</w:t>
            </w:r>
          </w:p>
        </w:tc>
        <w:tc>
          <w:tcPr>
            <w:tcW w:w="746" w:type="pct"/>
            <w:tcMar>
              <w:top w:w="0" w:type="dxa"/>
              <w:left w:w="58" w:type="dxa"/>
              <w:bottom w:w="0" w:type="dxa"/>
              <w:right w:w="58" w:type="dxa"/>
            </w:tcMar>
            <w:vAlign w:val="bottom"/>
            <w:hideMark/>
          </w:tcPr>
          <w:p w:rsidR="00E9050B" w:rsidRPr="0056461F" w:rsidRDefault="00E9050B" w:rsidP="00C90014">
            <w:pPr>
              <w:keepNext/>
              <w:spacing w:before="20" w:after="20"/>
              <w:contextualSpacing/>
              <w:jc w:val="center"/>
              <w:rPr>
                <w:b/>
                <w:sz w:val="18"/>
                <w:szCs w:val="18"/>
              </w:rPr>
            </w:pPr>
            <w:r w:rsidRPr="0056461F">
              <w:rPr>
                <w:b/>
                <w:sz w:val="18"/>
                <w:szCs w:val="18"/>
              </w:rPr>
              <w:t>Number of Responses per Respondent</w:t>
            </w:r>
          </w:p>
        </w:tc>
        <w:tc>
          <w:tcPr>
            <w:tcW w:w="639" w:type="pct"/>
            <w:tcMar>
              <w:left w:w="58" w:type="dxa"/>
              <w:right w:w="58" w:type="dxa"/>
            </w:tcMar>
            <w:vAlign w:val="bottom"/>
          </w:tcPr>
          <w:p w:rsidR="00E9050B" w:rsidRPr="0056461F" w:rsidRDefault="00E9050B" w:rsidP="00C90014">
            <w:pPr>
              <w:keepNext/>
              <w:spacing w:before="20" w:after="20"/>
              <w:contextualSpacing/>
              <w:jc w:val="center"/>
              <w:rPr>
                <w:b/>
                <w:sz w:val="18"/>
                <w:szCs w:val="18"/>
              </w:rPr>
            </w:pPr>
            <w:r w:rsidRPr="0056461F">
              <w:rPr>
                <w:b/>
                <w:sz w:val="18"/>
                <w:szCs w:val="18"/>
              </w:rPr>
              <w:t xml:space="preserve">Average Burden per Response (in </w:t>
            </w:r>
            <w:r w:rsidR="00C677F0">
              <w:rPr>
                <w:b/>
                <w:sz w:val="18"/>
                <w:szCs w:val="18"/>
              </w:rPr>
              <w:t>hours</w:t>
            </w:r>
            <w:r w:rsidRPr="0056461F">
              <w:rPr>
                <w:b/>
                <w:sz w:val="18"/>
                <w:szCs w:val="18"/>
              </w:rPr>
              <w:t>)</w:t>
            </w:r>
          </w:p>
        </w:tc>
        <w:tc>
          <w:tcPr>
            <w:tcW w:w="660" w:type="pct"/>
            <w:tcMar>
              <w:top w:w="0" w:type="dxa"/>
              <w:left w:w="58" w:type="dxa"/>
              <w:bottom w:w="0" w:type="dxa"/>
              <w:right w:w="58" w:type="dxa"/>
            </w:tcMar>
            <w:vAlign w:val="bottom"/>
            <w:hideMark/>
          </w:tcPr>
          <w:p w:rsidR="00E9050B" w:rsidRPr="0056461F" w:rsidRDefault="00E9050B" w:rsidP="00C90014">
            <w:pPr>
              <w:keepNext/>
              <w:spacing w:before="20" w:after="20"/>
              <w:contextualSpacing/>
              <w:jc w:val="center"/>
              <w:rPr>
                <w:b/>
                <w:sz w:val="18"/>
                <w:szCs w:val="18"/>
              </w:rPr>
            </w:pPr>
            <w:r w:rsidRPr="0056461F">
              <w:rPr>
                <w:b/>
                <w:sz w:val="18"/>
                <w:szCs w:val="18"/>
              </w:rPr>
              <w:t xml:space="preserve">Total Burden (in </w:t>
            </w:r>
            <w:r w:rsidR="00C677F0">
              <w:rPr>
                <w:b/>
                <w:sz w:val="18"/>
                <w:szCs w:val="18"/>
              </w:rPr>
              <w:t>hours</w:t>
            </w:r>
            <w:r w:rsidRPr="0056461F">
              <w:rPr>
                <w:b/>
                <w:sz w:val="18"/>
                <w:szCs w:val="18"/>
              </w:rPr>
              <w:t>)</w:t>
            </w:r>
          </w:p>
        </w:tc>
      </w:tr>
      <w:tr w:rsidR="00594BD5" w:rsidRPr="0056461F" w:rsidTr="000F1DA4">
        <w:trPr>
          <w:cantSplit/>
        </w:trPr>
        <w:tc>
          <w:tcPr>
            <w:tcW w:w="925" w:type="pct"/>
            <w:vMerge w:val="restart"/>
            <w:tcMar>
              <w:left w:w="58" w:type="dxa"/>
              <w:right w:w="58" w:type="dxa"/>
            </w:tcMar>
            <w:vAlign w:val="center"/>
            <w:hideMark/>
          </w:tcPr>
          <w:p w:rsidR="00594BD5" w:rsidRPr="0056461F" w:rsidRDefault="00594BD5" w:rsidP="00C90014">
            <w:pPr>
              <w:spacing w:before="20" w:after="20"/>
              <w:contextualSpacing/>
              <w:rPr>
                <w:sz w:val="18"/>
                <w:szCs w:val="18"/>
              </w:rPr>
            </w:pPr>
            <w:r w:rsidRPr="0056461F">
              <w:rPr>
                <w:sz w:val="18"/>
                <w:szCs w:val="18"/>
              </w:rPr>
              <w:t>Adults completing ATSS in</w:t>
            </w:r>
            <w:r w:rsidRPr="000F1DA4">
              <w:rPr>
                <w:i/>
                <w:sz w:val="18"/>
                <w:szCs w:val="18"/>
              </w:rPr>
              <w:t xml:space="preserve"> Standard</w:t>
            </w:r>
            <w:r w:rsidRPr="0056461F">
              <w:rPr>
                <w:sz w:val="18"/>
                <w:szCs w:val="18"/>
              </w:rPr>
              <w:t xml:space="preserve"> or </w:t>
            </w:r>
            <w:r w:rsidRPr="000F1DA4">
              <w:rPr>
                <w:i/>
                <w:sz w:val="18"/>
                <w:szCs w:val="18"/>
              </w:rPr>
              <w:t>Enhanced Protocol</w:t>
            </w:r>
          </w:p>
        </w:tc>
        <w:tc>
          <w:tcPr>
            <w:tcW w:w="1285" w:type="pct"/>
            <w:tcMar>
              <w:top w:w="0" w:type="dxa"/>
              <w:left w:w="58" w:type="dxa"/>
              <w:bottom w:w="0" w:type="dxa"/>
              <w:right w:w="58" w:type="dxa"/>
            </w:tcMar>
            <w:vAlign w:val="center"/>
            <w:hideMark/>
          </w:tcPr>
          <w:p w:rsidR="00594BD5" w:rsidRDefault="00594BD5" w:rsidP="009448CE">
            <w:pPr>
              <w:spacing w:before="20" w:after="20"/>
              <w:rPr>
                <w:sz w:val="18"/>
                <w:szCs w:val="18"/>
              </w:rPr>
            </w:pPr>
            <w:r>
              <w:rPr>
                <w:sz w:val="18"/>
                <w:szCs w:val="18"/>
              </w:rPr>
              <w:t xml:space="preserve">Adult Targeted </w:t>
            </w:r>
            <w:r w:rsidR="000A20E1">
              <w:rPr>
                <w:sz w:val="18"/>
                <w:szCs w:val="18"/>
              </w:rPr>
              <w:t>Surveillance Survey–</w:t>
            </w:r>
            <w:r w:rsidR="00AB0E5E">
              <w:rPr>
                <w:sz w:val="18"/>
                <w:szCs w:val="18"/>
              </w:rPr>
              <w:t>Telephone</w:t>
            </w:r>
            <w:r w:rsidR="000A20E1">
              <w:rPr>
                <w:sz w:val="18"/>
                <w:szCs w:val="18"/>
              </w:rPr>
              <w:t xml:space="preserve"> </w:t>
            </w:r>
            <w:r>
              <w:rPr>
                <w:sz w:val="18"/>
                <w:szCs w:val="18"/>
              </w:rPr>
              <w:t xml:space="preserve">Screener (pp. </w:t>
            </w:r>
            <w:r w:rsidR="00BB6418" w:rsidRPr="00BB6418">
              <w:rPr>
                <w:sz w:val="18"/>
                <w:szCs w:val="18"/>
              </w:rPr>
              <w:t>1</w:t>
            </w:r>
            <w:r w:rsidR="00330A28">
              <w:rPr>
                <w:sz w:val="18"/>
                <w:szCs w:val="18"/>
              </w:rPr>
              <w:t>–</w:t>
            </w:r>
            <w:r w:rsidR="009448CE">
              <w:rPr>
                <w:sz w:val="18"/>
                <w:szCs w:val="18"/>
              </w:rPr>
              <w:t>20</w:t>
            </w:r>
            <w:r w:rsidRPr="00BB6418">
              <w:rPr>
                <w:sz w:val="18"/>
                <w:szCs w:val="18"/>
              </w:rPr>
              <w:t>)</w:t>
            </w:r>
          </w:p>
        </w:tc>
        <w:tc>
          <w:tcPr>
            <w:tcW w:w="745" w:type="pct"/>
            <w:tcMar>
              <w:left w:w="58" w:type="dxa"/>
              <w:right w:w="58" w:type="dxa"/>
            </w:tcMar>
            <w:vAlign w:val="center"/>
          </w:tcPr>
          <w:p w:rsidR="00594BD5" w:rsidRPr="0056461F" w:rsidRDefault="00FA215B" w:rsidP="00FA215B">
            <w:pPr>
              <w:spacing w:before="20" w:after="20"/>
              <w:contextualSpacing/>
              <w:jc w:val="center"/>
              <w:rPr>
                <w:sz w:val="18"/>
                <w:szCs w:val="18"/>
              </w:rPr>
            </w:pPr>
            <w:r>
              <w:rPr>
                <w:sz w:val="18"/>
                <w:szCs w:val="18"/>
              </w:rPr>
              <w:t>13,749</w:t>
            </w:r>
          </w:p>
        </w:tc>
        <w:tc>
          <w:tcPr>
            <w:tcW w:w="746" w:type="pct"/>
            <w:tcMar>
              <w:top w:w="0" w:type="dxa"/>
              <w:left w:w="58" w:type="dxa"/>
              <w:bottom w:w="0" w:type="dxa"/>
              <w:right w:w="58" w:type="dxa"/>
            </w:tcMar>
            <w:vAlign w:val="center"/>
            <w:hideMark/>
          </w:tcPr>
          <w:p w:rsidR="00594BD5" w:rsidRPr="0056461F" w:rsidRDefault="00594BD5" w:rsidP="00C90014">
            <w:pPr>
              <w:spacing w:before="20" w:after="20"/>
              <w:contextualSpacing/>
              <w:jc w:val="center"/>
              <w:rPr>
                <w:sz w:val="18"/>
                <w:szCs w:val="18"/>
              </w:rPr>
            </w:pPr>
            <w:r>
              <w:rPr>
                <w:sz w:val="18"/>
                <w:szCs w:val="18"/>
              </w:rPr>
              <w:t>1</w:t>
            </w:r>
          </w:p>
        </w:tc>
        <w:tc>
          <w:tcPr>
            <w:tcW w:w="639" w:type="pct"/>
            <w:tcMar>
              <w:left w:w="58" w:type="dxa"/>
              <w:right w:w="58" w:type="dxa"/>
            </w:tcMar>
            <w:vAlign w:val="center"/>
          </w:tcPr>
          <w:p w:rsidR="00594BD5" w:rsidRPr="0056461F" w:rsidRDefault="00594BD5" w:rsidP="00C90014">
            <w:pPr>
              <w:spacing w:before="20" w:after="20"/>
              <w:contextualSpacing/>
              <w:jc w:val="center"/>
              <w:rPr>
                <w:sz w:val="18"/>
                <w:szCs w:val="18"/>
              </w:rPr>
            </w:pPr>
            <w:r>
              <w:rPr>
                <w:sz w:val="18"/>
                <w:szCs w:val="18"/>
              </w:rPr>
              <w:t>2/60</w:t>
            </w:r>
          </w:p>
        </w:tc>
        <w:tc>
          <w:tcPr>
            <w:tcW w:w="660" w:type="pct"/>
            <w:tcMar>
              <w:top w:w="0" w:type="dxa"/>
              <w:left w:w="58" w:type="dxa"/>
              <w:bottom w:w="0" w:type="dxa"/>
              <w:right w:w="58" w:type="dxa"/>
            </w:tcMar>
            <w:vAlign w:val="center"/>
            <w:hideMark/>
          </w:tcPr>
          <w:p w:rsidR="00594BD5" w:rsidRPr="0056461F" w:rsidRDefault="000A20E1" w:rsidP="00C90014">
            <w:pPr>
              <w:spacing w:before="20" w:after="20"/>
              <w:contextualSpacing/>
              <w:jc w:val="center"/>
              <w:rPr>
                <w:sz w:val="18"/>
                <w:szCs w:val="18"/>
              </w:rPr>
            </w:pPr>
            <w:r>
              <w:rPr>
                <w:sz w:val="18"/>
                <w:szCs w:val="18"/>
              </w:rPr>
              <w:t>458</w:t>
            </w:r>
          </w:p>
        </w:tc>
      </w:tr>
      <w:tr w:rsidR="00594BD5" w:rsidRPr="0056461F" w:rsidTr="000F1DA4">
        <w:trPr>
          <w:cantSplit/>
        </w:trPr>
        <w:tc>
          <w:tcPr>
            <w:tcW w:w="925" w:type="pct"/>
            <w:vMerge/>
            <w:tcMar>
              <w:left w:w="58" w:type="dxa"/>
              <w:right w:w="58" w:type="dxa"/>
            </w:tcMar>
            <w:vAlign w:val="center"/>
            <w:hideMark/>
          </w:tcPr>
          <w:p w:rsidR="00594BD5" w:rsidRPr="0056461F" w:rsidRDefault="00594BD5"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594BD5" w:rsidRPr="00372CCD" w:rsidRDefault="00594BD5" w:rsidP="009448CE">
            <w:pPr>
              <w:spacing w:before="20" w:after="20"/>
              <w:rPr>
                <w:sz w:val="18"/>
                <w:szCs w:val="18"/>
              </w:rPr>
            </w:pPr>
            <w:r w:rsidRPr="00372CCD">
              <w:rPr>
                <w:sz w:val="18"/>
                <w:szCs w:val="18"/>
              </w:rPr>
              <w:t>Adult Targeted Surveillance Survey</w:t>
            </w:r>
            <w:r w:rsidR="000A20E1">
              <w:rPr>
                <w:sz w:val="18"/>
                <w:szCs w:val="18"/>
              </w:rPr>
              <w:t>–</w:t>
            </w:r>
            <w:r w:rsidR="00AB0E5E">
              <w:rPr>
                <w:sz w:val="18"/>
                <w:szCs w:val="18"/>
              </w:rPr>
              <w:t xml:space="preserve">Telephone </w:t>
            </w:r>
            <w:r w:rsidR="00BF5DC2">
              <w:rPr>
                <w:sz w:val="18"/>
                <w:szCs w:val="18"/>
              </w:rPr>
              <w:t xml:space="preserve">Interview </w:t>
            </w:r>
            <w:r w:rsidR="00891F65">
              <w:rPr>
                <w:sz w:val="18"/>
                <w:szCs w:val="18"/>
              </w:rPr>
              <w:t xml:space="preserve">(pp. </w:t>
            </w:r>
            <w:r w:rsidR="00BB6418">
              <w:rPr>
                <w:sz w:val="18"/>
                <w:szCs w:val="18"/>
              </w:rPr>
              <w:t>2</w:t>
            </w:r>
            <w:r w:rsidR="009448CE">
              <w:rPr>
                <w:sz w:val="18"/>
                <w:szCs w:val="18"/>
              </w:rPr>
              <w:t>6</w:t>
            </w:r>
            <w:r w:rsidR="00330A28">
              <w:rPr>
                <w:sz w:val="18"/>
                <w:szCs w:val="18"/>
              </w:rPr>
              <w:t>–</w:t>
            </w:r>
            <w:r w:rsidR="00BB6418">
              <w:rPr>
                <w:sz w:val="18"/>
                <w:szCs w:val="18"/>
              </w:rPr>
              <w:t>6</w:t>
            </w:r>
            <w:r w:rsidR="009448CE">
              <w:rPr>
                <w:sz w:val="18"/>
                <w:szCs w:val="18"/>
              </w:rPr>
              <w:t>4</w:t>
            </w:r>
            <w:r w:rsidR="00891F65">
              <w:rPr>
                <w:sz w:val="18"/>
                <w:szCs w:val="18"/>
              </w:rPr>
              <w:t>)</w:t>
            </w:r>
          </w:p>
        </w:tc>
        <w:tc>
          <w:tcPr>
            <w:tcW w:w="745" w:type="pct"/>
            <w:tcMar>
              <w:left w:w="58" w:type="dxa"/>
              <w:right w:w="58" w:type="dxa"/>
            </w:tcMar>
            <w:vAlign w:val="center"/>
          </w:tcPr>
          <w:p w:rsidR="00594BD5" w:rsidRPr="0056461F" w:rsidRDefault="000A20E1" w:rsidP="00C90014">
            <w:pPr>
              <w:spacing w:before="20" w:after="20"/>
              <w:contextualSpacing/>
              <w:jc w:val="center"/>
              <w:rPr>
                <w:sz w:val="18"/>
                <w:szCs w:val="18"/>
              </w:rPr>
            </w:pPr>
            <w:r>
              <w:rPr>
                <w:sz w:val="18"/>
                <w:szCs w:val="18"/>
              </w:rPr>
              <w:t>7,311</w:t>
            </w:r>
          </w:p>
        </w:tc>
        <w:tc>
          <w:tcPr>
            <w:tcW w:w="746" w:type="pct"/>
            <w:tcMar>
              <w:top w:w="0" w:type="dxa"/>
              <w:left w:w="58" w:type="dxa"/>
              <w:bottom w:w="0" w:type="dxa"/>
              <w:right w:w="58" w:type="dxa"/>
            </w:tcMar>
            <w:vAlign w:val="center"/>
            <w:hideMark/>
          </w:tcPr>
          <w:p w:rsidR="00594BD5" w:rsidRPr="0056461F" w:rsidRDefault="00594BD5"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594BD5" w:rsidRPr="0056461F" w:rsidRDefault="00594BD5" w:rsidP="00C90014">
            <w:pPr>
              <w:spacing w:before="20" w:after="20"/>
              <w:contextualSpacing/>
              <w:jc w:val="center"/>
              <w:rPr>
                <w:sz w:val="18"/>
                <w:szCs w:val="18"/>
              </w:rPr>
            </w:pPr>
            <w:r>
              <w:rPr>
                <w:sz w:val="18"/>
                <w:szCs w:val="18"/>
              </w:rPr>
              <w:t>28</w:t>
            </w:r>
            <w:r w:rsidRPr="0056461F">
              <w:rPr>
                <w:sz w:val="18"/>
                <w:szCs w:val="18"/>
              </w:rPr>
              <w:t>/60</w:t>
            </w:r>
          </w:p>
        </w:tc>
        <w:tc>
          <w:tcPr>
            <w:tcW w:w="660" w:type="pct"/>
            <w:tcMar>
              <w:top w:w="0" w:type="dxa"/>
              <w:left w:w="58" w:type="dxa"/>
              <w:bottom w:w="0" w:type="dxa"/>
              <w:right w:w="58" w:type="dxa"/>
            </w:tcMar>
            <w:vAlign w:val="center"/>
            <w:hideMark/>
          </w:tcPr>
          <w:p w:rsidR="00594BD5" w:rsidRPr="0056461F" w:rsidRDefault="000A20E1" w:rsidP="000A20E1">
            <w:pPr>
              <w:spacing w:before="20" w:after="20"/>
              <w:contextualSpacing/>
              <w:jc w:val="center"/>
              <w:rPr>
                <w:sz w:val="18"/>
                <w:szCs w:val="18"/>
              </w:rPr>
            </w:pPr>
            <w:r>
              <w:rPr>
                <w:sz w:val="18"/>
                <w:szCs w:val="18"/>
              </w:rPr>
              <w:t>3,412</w:t>
            </w:r>
          </w:p>
        </w:tc>
      </w:tr>
      <w:tr w:rsidR="00594BD5" w:rsidRPr="0056461F" w:rsidTr="000F1DA4">
        <w:trPr>
          <w:cantSplit/>
        </w:trPr>
        <w:tc>
          <w:tcPr>
            <w:tcW w:w="925" w:type="pct"/>
            <w:vMerge/>
            <w:tcMar>
              <w:left w:w="58" w:type="dxa"/>
              <w:right w:w="58" w:type="dxa"/>
            </w:tcMar>
            <w:vAlign w:val="center"/>
            <w:hideMark/>
          </w:tcPr>
          <w:p w:rsidR="00594BD5" w:rsidRPr="0056461F" w:rsidRDefault="00594BD5"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594BD5" w:rsidRDefault="00594BD5" w:rsidP="00330A28">
            <w:pPr>
              <w:spacing w:before="20" w:after="20"/>
              <w:rPr>
                <w:sz w:val="18"/>
                <w:szCs w:val="18"/>
              </w:rPr>
            </w:pPr>
            <w:r>
              <w:rPr>
                <w:sz w:val="18"/>
                <w:szCs w:val="18"/>
              </w:rPr>
              <w:t xml:space="preserve">Adult Targeted Surveillance Survey–Paper </w:t>
            </w:r>
            <w:r w:rsidR="00BF5DC2">
              <w:rPr>
                <w:sz w:val="18"/>
                <w:szCs w:val="18"/>
              </w:rPr>
              <w:t>Booklet</w:t>
            </w:r>
          </w:p>
        </w:tc>
        <w:tc>
          <w:tcPr>
            <w:tcW w:w="745" w:type="pct"/>
            <w:tcMar>
              <w:left w:w="58" w:type="dxa"/>
              <w:right w:w="58" w:type="dxa"/>
            </w:tcMar>
            <w:vAlign w:val="center"/>
          </w:tcPr>
          <w:p w:rsidR="00594BD5" w:rsidRPr="0056461F" w:rsidRDefault="000A20E1" w:rsidP="00C90014">
            <w:pPr>
              <w:spacing w:before="20" w:after="20"/>
              <w:contextualSpacing/>
              <w:jc w:val="center"/>
              <w:rPr>
                <w:sz w:val="18"/>
                <w:szCs w:val="18"/>
              </w:rPr>
            </w:pPr>
            <w:r>
              <w:rPr>
                <w:sz w:val="18"/>
                <w:szCs w:val="18"/>
              </w:rPr>
              <w:t>8,485</w:t>
            </w:r>
          </w:p>
        </w:tc>
        <w:tc>
          <w:tcPr>
            <w:tcW w:w="746" w:type="pct"/>
            <w:tcMar>
              <w:top w:w="0" w:type="dxa"/>
              <w:left w:w="58" w:type="dxa"/>
              <w:bottom w:w="0" w:type="dxa"/>
              <w:right w:w="58" w:type="dxa"/>
            </w:tcMar>
            <w:vAlign w:val="center"/>
            <w:hideMark/>
          </w:tcPr>
          <w:p w:rsidR="00594BD5" w:rsidRPr="0056461F" w:rsidRDefault="000A20E1" w:rsidP="00C90014">
            <w:pPr>
              <w:spacing w:before="20" w:after="20"/>
              <w:contextualSpacing/>
              <w:jc w:val="center"/>
              <w:rPr>
                <w:sz w:val="18"/>
                <w:szCs w:val="18"/>
              </w:rPr>
            </w:pPr>
            <w:r>
              <w:rPr>
                <w:sz w:val="18"/>
                <w:szCs w:val="18"/>
              </w:rPr>
              <w:t>1</w:t>
            </w:r>
          </w:p>
        </w:tc>
        <w:tc>
          <w:tcPr>
            <w:tcW w:w="639" w:type="pct"/>
            <w:tcMar>
              <w:left w:w="58" w:type="dxa"/>
              <w:right w:w="58" w:type="dxa"/>
            </w:tcMar>
            <w:vAlign w:val="center"/>
          </w:tcPr>
          <w:p w:rsidR="00594BD5" w:rsidRDefault="000A20E1" w:rsidP="00C90014">
            <w:pPr>
              <w:spacing w:before="20" w:after="20"/>
              <w:contextualSpacing/>
              <w:jc w:val="center"/>
              <w:rPr>
                <w:sz w:val="18"/>
                <w:szCs w:val="18"/>
              </w:rPr>
            </w:pPr>
            <w:r>
              <w:rPr>
                <w:sz w:val="18"/>
                <w:szCs w:val="18"/>
              </w:rPr>
              <w:t>30/60</w:t>
            </w:r>
          </w:p>
        </w:tc>
        <w:tc>
          <w:tcPr>
            <w:tcW w:w="660" w:type="pct"/>
            <w:tcMar>
              <w:top w:w="0" w:type="dxa"/>
              <w:left w:w="58" w:type="dxa"/>
              <w:bottom w:w="0" w:type="dxa"/>
              <w:right w:w="58" w:type="dxa"/>
            </w:tcMar>
            <w:vAlign w:val="center"/>
            <w:hideMark/>
          </w:tcPr>
          <w:p w:rsidR="00594BD5" w:rsidRPr="0056461F" w:rsidRDefault="000A20E1" w:rsidP="00C90014">
            <w:pPr>
              <w:spacing w:before="20" w:after="20"/>
              <w:contextualSpacing/>
              <w:jc w:val="center"/>
              <w:rPr>
                <w:sz w:val="18"/>
                <w:szCs w:val="18"/>
              </w:rPr>
            </w:pPr>
            <w:r>
              <w:rPr>
                <w:sz w:val="18"/>
                <w:szCs w:val="18"/>
              </w:rPr>
              <w:t>4,243</w:t>
            </w:r>
          </w:p>
        </w:tc>
      </w:tr>
      <w:tr w:rsidR="001133D0" w:rsidRPr="0056461F" w:rsidTr="000F1DA4">
        <w:trPr>
          <w:cantSplit/>
        </w:trPr>
        <w:tc>
          <w:tcPr>
            <w:tcW w:w="925" w:type="pct"/>
            <w:vMerge w:val="restart"/>
            <w:tcMar>
              <w:left w:w="58" w:type="dxa"/>
              <w:right w:w="58" w:type="dxa"/>
            </w:tcMar>
            <w:hideMark/>
          </w:tcPr>
          <w:p w:rsidR="001133D0" w:rsidRPr="0056461F" w:rsidRDefault="001133D0" w:rsidP="00C90014">
            <w:pPr>
              <w:spacing w:before="20" w:after="20"/>
              <w:contextualSpacing/>
              <w:rPr>
                <w:sz w:val="18"/>
                <w:szCs w:val="18"/>
              </w:rPr>
            </w:pPr>
            <w:r w:rsidRPr="0056461F">
              <w:rPr>
                <w:sz w:val="18"/>
                <w:szCs w:val="18"/>
              </w:rPr>
              <w:t xml:space="preserve">Adults completing in-home visit in </w:t>
            </w:r>
            <w:r w:rsidRPr="000F1DA4">
              <w:rPr>
                <w:i/>
                <w:sz w:val="18"/>
                <w:szCs w:val="18"/>
              </w:rPr>
              <w:t>Enhanced Protocol</w:t>
            </w:r>
          </w:p>
        </w:tc>
        <w:tc>
          <w:tcPr>
            <w:tcW w:w="1285" w:type="pct"/>
            <w:tcMar>
              <w:top w:w="0" w:type="dxa"/>
              <w:left w:w="58" w:type="dxa"/>
              <w:bottom w:w="0" w:type="dxa"/>
              <w:right w:w="58" w:type="dxa"/>
            </w:tcMar>
            <w:vAlign w:val="center"/>
            <w:hideMark/>
          </w:tcPr>
          <w:p w:rsidR="001133D0" w:rsidRDefault="001133D0" w:rsidP="00330A28">
            <w:pPr>
              <w:spacing w:before="20" w:after="20"/>
              <w:rPr>
                <w:sz w:val="18"/>
                <w:szCs w:val="18"/>
              </w:rPr>
            </w:pPr>
            <w:r>
              <w:rPr>
                <w:sz w:val="18"/>
                <w:szCs w:val="18"/>
              </w:rPr>
              <w:t>Adult Biometric Measures– Recruitment Screener</w:t>
            </w:r>
          </w:p>
        </w:tc>
        <w:tc>
          <w:tcPr>
            <w:tcW w:w="745" w:type="pct"/>
            <w:tcMar>
              <w:left w:w="58" w:type="dxa"/>
              <w:right w:w="58" w:type="dxa"/>
            </w:tcMar>
            <w:vAlign w:val="center"/>
          </w:tcPr>
          <w:p w:rsidR="001133D0" w:rsidRPr="0056461F" w:rsidRDefault="000A20E1" w:rsidP="00C90014">
            <w:pPr>
              <w:spacing w:before="20" w:after="20"/>
              <w:contextualSpacing/>
              <w:jc w:val="center"/>
              <w:rPr>
                <w:sz w:val="18"/>
                <w:szCs w:val="18"/>
              </w:rPr>
            </w:pPr>
            <w:r>
              <w:rPr>
                <w:sz w:val="18"/>
                <w:szCs w:val="18"/>
              </w:rPr>
              <w:t>4,418</w:t>
            </w:r>
          </w:p>
        </w:tc>
        <w:tc>
          <w:tcPr>
            <w:tcW w:w="746" w:type="pct"/>
            <w:tcMar>
              <w:top w:w="0" w:type="dxa"/>
              <w:left w:w="58" w:type="dxa"/>
              <w:bottom w:w="0" w:type="dxa"/>
              <w:right w:w="58" w:type="dxa"/>
            </w:tcMar>
            <w:vAlign w:val="center"/>
            <w:hideMark/>
          </w:tcPr>
          <w:p w:rsidR="001133D0" w:rsidRPr="0056461F" w:rsidRDefault="001133D0" w:rsidP="00C90014">
            <w:pPr>
              <w:spacing w:before="20" w:after="20"/>
              <w:contextualSpacing/>
              <w:jc w:val="center"/>
              <w:rPr>
                <w:sz w:val="18"/>
                <w:szCs w:val="18"/>
              </w:rPr>
            </w:pPr>
            <w:r>
              <w:rPr>
                <w:sz w:val="18"/>
                <w:szCs w:val="18"/>
              </w:rPr>
              <w:t>1</w:t>
            </w:r>
          </w:p>
        </w:tc>
        <w:tc>
          <w:tcPr>
            <w:tcW w:w="639" w:type="pct"/>
            <w:tcMar>
              <w:left w:w="58" w:type="dxa"/>
              <w:right w:w="58" w:type="dxa"/>
            </w:tcMar>
            <w:vAlign w:val="center"/>
          </w:tcPr>
          <w:p w:rsidR="001133D0" w:rsidRPr="0056461F" w:rsidRDefault="001133D0" w:rsidP="00C90014">
            <w:pPr>
              <w:spacing w:before="20" w:after="20"/>
              <w:contextualSpacing/>
              <w:jc w:val="center"/>
              <w:rPr>
                <w:sz w:val="18"/>
                <w:szCs w:val="18"/>
              </w:rPr>
            </w:pPr>
            <w:r>
              <w:rPr>
                <w:sz w:val="18"/>
                <w:szCs w:val="18"/>
              </w:rPr>
              <w:t>10/60</w:t>
            </w:r>
          </w:p>
        </w:tc>
        <w:tc>
          <w:tcPr>
            <w:tcW w:w="660" w:type="pct"/>
            <w:tcMar>
              <w:top w:w="0" w:type="dxa"/>
              <w:left w:w="58" w:type="dxa"/>
              <w:bottom w:w="0" w:type="dxa"/>
              <w:right w:w="58" w:type="dxa"/>
            </w:tcMar>
            <w:vAlign w:val="center"/>
            <w:hideMark/>
          </w:tcPr>
          <w:p w:rsidR="001133D0" w:rsidRPr="0056461F" w:rsidRDefault="000A20E1" w:rsidP="00C90014">
            <w:pPr>
              <w:spacing w:before="20" w:after="20"/>
              <w:contextualSpacing/>
              <w:jc w:val="center"/>
              <w:rPr>
                <w:sz w:val="18"/>
                <w:szCs w:val="18"/>
              </w:rPr>
            </w:pPr>
            <w:r>
              <w:rPr>
                <w:sz w:val="18"/>
                <w:szCs w:val="18"/>
              </w:rPr>
              <w:t>736</w:t>
            </w:r>
          </w:p>
        </w:tc>
      </w:tr>
      <w:tr w:rsidR="001133D0" w:rsidRPr="0056461F" w:rsidTr="000F1DA4">
        <w:trPr>
          <w:cantSplit/>
        </w:trPr>
        <w:tc>
          <w:tcPr>
            <w:tcW w:w="925" w:type="pct"/>
            <w:vMerge/>
            <w:tcMar>
              <w:left w:w="58" w:type="dxa"/>
              <w:right w:w="58" w:type="dxa"/>
            </w:tcMar>
            <w:hideMark/>
          </w:tcPr>
          <w:p w:rsidR="001133D0" w:rsidRPr="0056461F" w:rsidRDefault="001133D0"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1133D0" w:rsidRPr="00372CCD" w:rsidRDefault="001133D0" w:rsidP="00372CCD">
            <w:pPr>
              <w:spacing w:before="20" w:after="20"/>
              <w:rPr>
                <w:sz w:val="18"/>
                <w:szCs w:val="18"/>
              </w:rPr>
            </w:pPr>
            <w:r w:rsidRPr="00372CCD">
              <w:rPr>
                <w:sz w:val="18"/>
                <w:szCs w:val="18"/>
              </w:rPr>
              <w:t>Adult Biometric Measures</w:t>
            </w:r>
          </w:p>
        </w:tc>
        <w:tc>
          <w:tcPr>
            <w:tcW w:w="745" w:type="pct"/>
            <w:tcMar>
              <w:left w:w="58" w:type="dxa"/>
              <w:right w:w="58" w:type="dxa"/>
            </w:tcMar>
            <w:vAlign w:val="center"/>
          </w:tcPr>
          <w:p w:rsidR="001133D0" w:rsidRPr="0056461F" w:rsidRDefault="001133D0" w:rsidP="00C90014">
            <w:pPr>
              <w:spacing w:before="20" w:after="20"/>
              <w:contextualSpacing/>
              <w:jc w:val="center"/>
              <w:rPr>
                <w:sz w:val="18"/>
                <w:szCs w:val="18"/>
              </w:rPr>
            </w:pPr>
            <w:r w:rsidRPr="0056461F">
              <w:rPr>
                <w:sz w:val="18"/>
                <w:szCs w:val="18"/>
              </w:rPr>
              <w:t>2,667</w:t>
            </w:r>
          </w:p>
        </w:tc>
        <w:tc>
          <w:tcPr>
            <w:tcW w:w="746" w:type="pct"/>
            <w:tcMar>
              <w:top w:w="0" w:type="dxa"/>
              <w:left w:w="58" w:type="dxa"/>
              <w:bottom w:w="0" w:type="dxa"/>
              <w:right w:w="58" w:type="dxa"/>
            </w:tcMar>
            <w:vAlign w:val="center"/>
            <w:hideMark/>
          </w:tcPr>
          <w:p w:rsidR="001133D0" w:rsidRPr="0056461F" w:rsidRDefault="001133D0"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1133D0" w:rsidRPr="0056461F" w:rsidRDefault="001133D0" w:rsidP="001133D0">
            <w:pPr>
              <w:spacing w:before="20" w:after="20"/>
              <w:contextualSpacing/>
              <w:jc w:val="center"/>
              <w:rPr>
                <w:sz w:val="18"/>
                <w:szCs w:val="18"/>
              </w:rPr>
            </w:pPr>
            <w:r>
              <w:rPr>
                <w:sz w:val="18"/>
                <w:szCs w:val="18"/>
              </w:rPr>
              <w:t>30</w:t>
            </w:r>
            <w:r w:rsidRPr="0056461F">
              <w:rPr>
                <w:sz w:val="18"/>
                <w:szCs w:val="18"/>
              </w:rPr>
              <w:t>/60</w:t>
            </w:r>
          </w:p>
        </w:tc>
        <w:tc>
          <w:tcPr>
            <w:tcW w:w="660" w:type="pct"/>
            <w:tcMar>
              <w:top w:w="0" w:type="dxa"/>
              <w:left w:w="58" w:type="dxa"/>
              <w:bottom w:w="0" w:type="dxa"/>
              <w:right w:w="58" w:type="dxa"/>
            </w:tcMar>
            <w:vAlign w:val="center"/>
            <w:hideMark/>
          </w:tcPr>
          <w:p w:rsidR="001133D0" w:rsidRPr="0056461F" w:rsidRDefault="000A20E1" w:rsidP="00C90014">
            <w:pPr>
              <w:spacing w:before="20" w:after="20"/>
              <w:contextualSpacing/>
              <w:jc w:val="center"/>
              <w:rPr>
                <w:sz w:val="18"/>
                <w:szCs w:val="18"/>
              </w:rPr>
            </w:pPr>
            <w:r>
              <w:rPr>
                <w:sz w:val="18"/>
                <w:szCs w:val="18"/>
              </w:rPr>
              <w:t>1,334</w:t>
            </w:r>
          </w:p>
        </w:tc>
      </w:tr>
      <w:tr w:rsidR="001133D0" w:rsidRPr="0056461F" w:rsidTr="000F1DA4">
        <w:trPr>
          <w:cantSplit/>
        </w:trPr>
        <w:tc>
          <w:tcPr>
            <w:tcW w:w="925" w:type="pct"/>
            <w:vMerge/>
            <w:tcMar>
              <w:left w:w="58" w:type="dxa"/>
              <w:right w:w="58" w:type="dxa"/>
            </w:tcMar>
            <w:hideMark/>
          </w:tcPr>
          <w:p w:rsidR="001133D0" w:rsidRPr="0056461F" w:rsidRDefault="001133D0"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1133D0" w:rsidRPr="00372CCD" w:rsidRDefault="001133D0" w:rsidP="00372CCD">
            <w:pPr>
              <w:spacing w:before="20" w:after="20"/>
              <w:rPr>
                <w:sz w:val="18"/>
                <w:szCs w:val="18"/>
              </w:rPr>
            </w:pPr>
            <w:r w:rsidRPr="00372CCD">
              <w:rPr>
                <w:sz w:val="18"/>
                <w:szCs w:val="18"/>
              </w:rPr>
              <w:t xml:space="preserve">Adult Activity Diary </w:t>
            </w:r>
          </w:p>
        </w:tc>
        <w:tc>
          <w:tcPr>
            <w:tcW w:w="745" w:type="pct"/>
            <w:tcMar>
              <w:left w:w="58" w:type="dxa"/>
              <w:right w:w="58" w:type="dxa"/>
            </w:tcMar>
            <w:vAlign w:val="center"/>
          </w:tcPr>
          <w:p w:rsidR="001133D0" w:rsidRPr="0056461F" w:rsidRDefault="001133D0" w:rsidP="00C90014">
            <w:pPr>
              <w:spacing w:before="20" w:after="20"/>
              <w:contextualSpacing/>
              <w:jc w:val="center"/>
              <w:rPr>
                <w:sz w:val="18"/>
                <w:szCs w:val="18"/>
              </w:rPr>
            </w:pPr>
            <w:r w:rsidRPr="0056461F">
              <w:rPr>
                <w:sz w:val="18"/>
                <w:szCs w:val="18"/>
              </w:rPr>
              <w:t>167</w:t>
            </w:r>
          </w:p>
        </w:tc>
        <w:tc>
          <w:tcPr>
            <w:tcW w:w="746" w:type="pct"/>
            <w:tcMar>
              <w:top w:w="0" w:type="dxa"/>
              <w:left w:w="58" w:type="dxa"/>
              <w:bottom w:w="0" w:type="dxa"/>
              <w:right w:w="58" w:type="dxa"/>
            </w:tcMar>
            <w:vAlign w:val="center"/>
            <w:hideMark/>
          </w:tcPr>
          <w:p w:rsidR="001133D0" w:rsidRPr="0056461F" w:rsidRDefault="001133D0"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1133D0" w:rsidRPr="0056461F" w:rsidRDefault="001133D0" w:rsidP="00C90014">
            <w:pPr>
              <w:spacing w:before="20" w:after="20"/>
              <w:contextualSpacing/>
              <w:jc w:val="center"/>
              <w:rPr>
                <w:sz w:val="18"/>
                <w:szCs w:val="18"/>
              </w:rPr>
            </w:pPr>
            <w:r w:rsidRPr="0056461F">
              <w:rPr>
                <w:sz w:val="18"/>
                <w:szCs w:val="18"/>
              </w:rPr>
              <w:t>20/60</w:t>
            </w:r>
          </w:p>
        </w:tc>
        <w:tc>
          <w:tcPr>
            <w:tcW w:w="660" w:type="pct"/>
            <w:tcMar>
              <w:top w:w="0" w:type="dxa"/>
              <w:left w:w="58" w:type="dxa"/>
              <w:bottom w:w="0" w:type="dxa"/>
              <w:right w:w="58" w:type="dxa"/>
            </w:tcMar>
            <w:vAlign w:val="center"/>
            <w:hideMark/>
          </w:tcPr>
          <w:p w:rsidR="001133D0" w:rsidRPr="0056461F" w:rsidRDefault="001133D0" w:rsidP="00C90014">
            <w:pPr>
              <w:spacing w:before="20" w:after="20"/>
              <w:contextualSpacing/>
              <w:jc w:val="center"/>
              <w:rPr>
                <w:sz w:val="18"/>
                <w:szCs w:val="18"/>
              </w:rPr>
            </w:pPr>
            <w:r>
              <w:rPr>
                <w:sz w:val="18"/>
                <w:szCs w:val="18"/>
              </w:rPr>
              <w:t>56</w:t>
            </w:r>
          </w:p>
        </w:tc>
      </w:tr>
      <w:tr w:rsidR="00AF257D" w:rsidRPr="0056461F" w:rsidTr="000F1DA4">
        <w:trPr>
          <w:cantSplit/>
        </w:trPr>
        <w:tc>
          <w:tcPr>
            <w:tcW w:w="925" w:type="pct"/>
            <w:vMerge/>
            <w:tcMar>
              <w:left w:w="58" w:type="dxa"/>
              <w:right w:w="58" w:type="dxa"/>
            </w:tcMar>
          </w:tcPr>
          <w:p w:rsidR="00AF257D" w:rsidRPr="0056461F" w:rsidRDefault="00AF257D" w:rsidP="00C90014">
            <w:pPr>
              <w:spacing w:before="20" w:after="20"/>
              <w:contextualSpacing/>
              <w:rPr>
                <w:sz w:val="18"/>
                <w:szCs w:val="18"/>
              </w:rPr>
            </w:pPr>
          </w:p>
        </w:tc>
        <w:tc>
          <w:tcPr>
            <w:tcW w:w="1285" w:type="pct"/>
            <w:tcMar>
              <w:top w:w="0" w:type="dxa"/>
              <w:left w:w="58" w:type="dxa"/>
              <w:bottom w:w="0" w:type="dxa"/>
              <w:right w:w="58" w:type="dxa"/>
            </w:tcMar>
            <w:vAlign w:val="center"/>
          </w:tcPr>
          <w:p w:rsidR="00AF257D" w:rsidRPr="00372CCD" w:rsidRDefault="00AF257D" w:rsidP="00372CCD">
            <w:pPr>
              <w:spacing w:before="20" w:after="20"/>
              <w:rPr>
                <w:sz w:val="18"/>
                <w:szCs w:val="18"/>
              </w:rPr>
            </w:pPr>
            <w:r w:rsidRPr="00372CCD">
              <w:rPr>
                <w:sz w:val="18"/>
                <w:szCs w:val="18"/>
              </w:rPr>
              <w:t xml:space="preserve">Youth Activity Diary </w:t>
            </w:r>
          </w:p>
        </w:tc>
        <w:tc>
          <w:tcPr>
            <w:tcW w:w="745"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100</w:t>
            </w:r>
          </w:p>
        </w:tc>
        <w:tc>
          <w:tcPr>
            <w:tcW w:w="746" w:type="pct"/>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20/60</w:t>
            </w:r>
          </w:p>
        </w:tc>
        <w:tc>
          <w:tcPr>
            <w:tcW w:w="660" w:type="pct"/>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Pr>
                <w:sz w:val="18"/>
                <w:szCs w:val="18"/>
              </w:rPr>
              <w:t>33</w:t>
            </w:r>
          </w:p>
        </w:tc>
      </w:tr>
      <w:tr w:rsidR="00AF257D" w:rsidRPr="0056461F" w:rsidTr="000F1DA4">
        <w:trPr>
          <w:cantSplit/>
        </w:trPr>
        <w:tc>
          <w:tcPr>
            <w:tcW w:w="925" w:type="pct"/>
            <w:vMerge/>
            <w:tcMar>
              <w:left w:w="58" w:type="dxa"/>
              <w:right w:w="58" w:type="dxa"/>
            </w:tcMar>
          </w:tcPr>
          <w:p w:rsidR="00AF257D" w:rsidRPr="0056461F" w:rsidRDefault="00AF257D" w:rsidP="00C90014">
            <w:pPr>
              <w:spacing w:before="20" w:after="20"/>
              <w:contextualSpacing/>
              <w:rPr>
                <w:sz w:val="18"/>
                <w:szCs w:val="18"/>
              </w:rPr>
            </w:pPr>
          </w:p>
        </w:tc>
        <w:tc>
          <w:tcPr>
            <w:tcW w:w="1285" w:type="pct"/>
            <w:tcMar>
              <w:top w:w="0" w:type="dxa"/>
              <w:left w:w="58" w:type="dxa"/>
              <w:bottom w:w="0" w:type="dxa"/>
              <w:right w:w="58" w:type="dxa"/>
            </w:tcMar>
            <w:vAlign w:val="center"/>
          </w:tcPr>
          <w:p w:rsidR="00AF257D" w:rsidRPr="00372CCD" w:rsidRDefault="00AF257D" w:rsidP="00372CCD">
            <w:pPr>
              <w:spacing w:before="20" w:after="20"/>
              <w:rPr>
                <w:sz w:val="18"/>
                <w:szCs w:val="18"/>
              </w:rPr>
            </w:pPr>
            <w:r w:rsidRPr="00372CCD">
              <w:rPr>
                <w:sz w:val="18"/>
                <w:szCs w:val="18"/>
              </w:rPr>
              <w:t xml:space="preserve">Caregiver Survey </w:t>
            </w:r>
          </w:p>
        </w:tc>
        <w:tc>
          <w:tcPr>
            <w:tcW w:w="745"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960</w:t>
            </w:r>
          </w:p>
        </w:tc>
        <w:tc>
          <w:tcPr>
            <w:tcW w:w="746" w:type="pct"/>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20/60</w:t>
            </w:r>
          </w:p>
        </w:tc>
        <w:tc>
          <w:tcPr>
            <w:tcW w:w="660" w:type="pct"/>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320</w:t>
            </w:r>
          </w:p>
        </w:tc>
      </w:tr>
      <w:tr w:rsidR="00AF257D" w:rsidRPr="0056461F" w:rsidTr="000F1DA4">
        <w:trPr>
          <w:cantSplit/>
        </w:trPr>
        <w:tc>
          <w:tcPr>
            <w:tcW w:w="925" w:type="pct"/>
            <w:vMerge w:val="restart"/>
            <w:tcMar>
              <w:top w:w="0" w:type="dxa"/>
              <w:left w:w="58" w:type="dxa"/>
              <w:bottom w:w="0" w:type="dxa"/>
              <w:right w:w="58" w:type="dxa"/>
            </w:tcMar>
          </w:tcPr>
          <w:p w:rsidR="00AF257D" w:rsidRPr="0056461F" w:rsidRDefault="00AF257D" w:rsidP="00C90014">
            <w:pPr>
              <w:spacing w:before="20" w:after="20"/>
              <w:contextualSpacing/>
              <w:rPr>
                <w:sz w:val="18"/>
                <w:szCs w:val="18"/>
              </w:rPr>
            </w:pPr>
            <w:r w:rsidRPr="0056461F">
              <w:rPr>
                <w:sz w:val="18"/>
                <w:szCs w:val="18"/>
              </w:rPr>
              <w:t xml:space="preserve">Children completing in-home visit in </w:t>
            </w:r>
            <w:r w:rsidRPr="000F1DA4">
              <w:rPr>
                <w:i/>
                <w:sz w:val="18"/>
                <w:szCs w:val="18"/>
              </w:rPr>
              <w:t>Enhanced Protocol</w:t>
            </w:r>
          </w:p>
        </w:tc>
        <w:tc>
          <w:tcPr>
            <w:tcW w:w="1285" w:type="pct"/>
            <w:tcMar>
              <w:top w:w="0" w:type="dxa"/>
              <w:left w:w="58" w:type="dxa"/>
              <w:bottom w:w="0" w:type="dxa"/>
              <w:right w:w="58" w:type="dxa"/>
            </w:tcMar>
            <w:vAlign w:val="center"/>
          </w:tcPr>
          <w:p w:rsidR="00AF257D" w:rsidRPr="0056461F" w:rsidRDefault="00AF257D" w:rsidP="009810BA">
            <w:pPr>
              <w:spacing w:before="20" w:after="20"/>
              <w:ind w:left="47"/>
              <w:contextualSpacing/>
              <w:rPr>
                <w:sz w:val="18"/>
                <w:szCs w:val="18"/>
              </w:rPr>
            </w:pPr>
            <w:r w:rsidRPr="0056461F">
              <w:rPr>
                <w:sz w:val="18"/>
                <w:szCs w:val="18"/>
              </w:rPr>
              <w:t xml:space="preserve">Youth Survey </w:t>
            </w:r>
          </w:p>
        </w:tc>
        <w:tc>
          <w:tcPr>
            <w:tcW w:w="745"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640</w:t>
            </w:r>
          </w:p>
        </w:tc>
        <w:tc>
          <w:tcPr>
            <w:tcW w:w="746" w:type="pct"/>
            <w:noWrap/>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20/60</w:t>
            </w:r>
          </w:p>
        </w:tc>
        <w:tc>
          <w:tcPr>
            <w:tcW w:w="660" w:type="pct"/>
            <w:noWrap/>
            <w:tcMar>
              <w:top w:w="0" w:type="dxa"/>
              <w:left w:w="58" w:type="dxa"/>
              <w:bottom w:w="0" w:type="dxa"/>
              <w:right w:w="58" w:type="dxa"/>
            </w:tcMar>
            <w:vAlign w:val="center"/>
          </w:tcPr>
          <w:p w:rsidR="00AF257D" w:rsidRPr="0056461F" w:rsidRDefault="00AF257D" w:rsidP="00C90014">
            <w:pPr>
              <w:spacing w:before="20" w:after="20"/>
              <w:contextualSpacing/>
              <w:jc w:val="center"/>
              <w:rPr>
                <w:sz w:val="18"/>
                <w:szCs w:val="18"/>
              </w:rPr>
            </w:pPr>
            <w:r>
              <w:rPr>
                <w:sz w:val="18"/>
                <w:szCs w:val="18"/>
              </w:rPr>
              <w:t>213</w:t>
            </w:r>
          </w:p>
        </w:tc>
      </w:tr>
      <w:tr w:rsidR="00AF257D" w:rsidRPr="0056461F" w:rsidTr="000F1DA4">
        <w:trPr>
          <w:cantSplit/>
        </w:trPr>
        <w:tc>
          <w:tcPr>
            <w:tcW w:w="925" w:type="pct"/>
            <w:vMerge/>
            <w:tcMar>
              <w:top w:w="0" w:type="dxa"/>
              <w:left w:w="58" w:type="dxa"/>
              <w:bottom w:w="0" w:type="dxa"/>
              <w:right w:w="58" w:type="dxa"/>
            </w:tcMar>
            <w:vAlign w:val="center"/>
          </w:tcPr>
          <w:p w:rsidR="00AF257D" w:rsidRPr="0056461F" w:rsidRDefault="00AF257D"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AF257D" w:rsidRPr="0056461F" w:rsidRDefault="00AF257D" w:rsidP="009810BA">
            <w:pPr>
              <w:spacing w:before="20" w:after="20"/>
              <w:ind w:left="47"/>
              <w:contextualSpacing/>
              <w:rPr>
                <w:sz w:val="18"/>
                <w:szCs w:val="18"/>
              </w:rPr>
            </w:pPr>
            <w:r w:rsidRPr="0056461F">
              <w:rPr>
                <w:sz w:val="18"/>
                <w:szCs w:val="18"/>
              </w:rPr>
              <w:t>Youth Biometric Measures</w:t>
            </w:r>
          </w:p>
        </w:tc>
        <w:tc>
          <w:tcPr>
            <w:tcW w:w="745"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1</w:t>
            </w:r>
            <w:r>
              <w:rPr>
                <w:sz w:val="18"/>
                <w:szCs w:val="18"/>
              </w:rPr>
              <w:t>,</w:t>
            </w:r>
            <w:r w:rsidRPr="0056461F">
              <w:rPr>
                <w:sz w:val="18"/>
                <w:szCs w:val="18"/>
              </w:rPr>
              <w:t>600</w:t>
            </w:r>
          </w:p>
        </w:tc>
        <w:tc>
          <w:tcPr>
            <w:tcW w:w="746" w:type="pct"/>
            <w:noWrap/>
            <w:tcMar>
              <w:top w:w="0" w:type="dxa"/>
              <w:left w:w="58" w:type="dxa"/>
              <w:bottom w:w="0" w:type="dxa"/>
              <w:right w:w="58" w:type="dxa"/>
            </w:tcMar>
            <w:vAlign w:val="center"/>
            <w:hideMark/>
          </w:tcPr>
          <w:p w:rsidR="00AF257D" w:rsidRPr="0056461F" w:rsidRDefault="00AF257D"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20/60</w:t>
            </w:r>
          </w:p>
        </w:tc>
        <w:tc>
          <w:tcPr>
            <w:tcW w:w="660" w:type="pct"/>
            <w:noWrap/>
            <w:tcMar>
              <w:top w:w="0" w:type="dxa"/>
              <w:left w:w="58" w:type="dxa"/>
              <w:bottom w:w="0" w:type="dxa"/>
              <w:right w:w="58" w:type="dxa"/>
            </w:tcMar>
            <w:vAlign w:val="center"/>
            <w:hideMark/>
          </w:tcPr>
          <w:p w:rsidR="00AF257D" w:rsidRPr="0056461F" w:rsidRDefault="00AF257D" w:rsidP="00C90014">
            <w:pPr>
              <w:spacing w:before="20" w:after="20"/>
              <w:contextualSpacing/>
              <w:jc w:val="center"/>
              <w:rPr>
                <w:sz w:val="18"/>
                <w:szCs w:val="18"/>
              </w:rPr>
            </w:pPr>
            <w:r w:rsidRPr="0056461F">
              <w:rPr>
                <w:sz w:val="18"/>
                <w:szCs w:val="18"/>
              </w:rPr>
              <w:t>533</w:t>
            </w:r>
          </w:p>
        </w:tc>
      </w:tr>
      <w:tr w:rsidR="00AF257D" w:rsidRPr="0056461F" w:rsidTr="000F1DA4">
        <w:trPr>
          <w:cantSplit/>
        </w:trPr>
        <w:tc>
          <w:tcPr>
            <w:tcW w:w="925" w:type="pct"/>
            <w:vMerge/>
            <w:tcMar>
              <w:left w:w="58" w:type="dxa"/>
              <w:right w:w="58" w:type="dxa"/>
            </w:tcMar>
            <w:vAlign w:val="center"/>
            <w:hideMark/>
          </w:tcPr>
          <w:p w:rsidR="00AF257D" w:rsidRPr="0056461F" w:rsidRDefault="00AF257D" w:rsidP="00C90014">
            <w:pPr>
              <w:spacing w:before="20" w:after="20"/>
              <w:contextualSpacing/>
              <w:rPr>
                <w:sz w:val="18"/>
                <w:szCs w:val="18"/>
              </w:rPr>
            </w:pPr>
          </w:p>
        </w:tc>
        <w:tc>
          <w:tcPr>
            <w:tcW w:w="1285" w:type="pct"/>
            <w:tcMar>
              <w:top w:w="0" w:type="dxa"/>
              <w:left w:w="58" w:type="dxa"/>
              <w:bottom w:w="0" w:type="dxa"/>
              <w:right w:w="58" w:type="dxa"/>
            </w:tcMar>
            <w:vAlign w:val="center"/>
            <w:hideMark/>
          </w:tcPr>
          <w:p w:rsidR="00AF257D" w:rsidRPr="0056461F" w:rsidRDefault="00AF257D" w:rsidP="009810BA">
            <w:pPr>
              <w:spacing w:before="20" w:after="20"/>
              <w:ind w:left="47"/>
              <w:contextualSpacing/>
              <w:rPr>
                <w:sz w:val="18"/>
                <w:szCs w:val="18"/>
              </w:rPr>
            </w:pPr>
            <w:r w:rsidRPr="0056461F">
              <w:rPr>
                <w:sz w:val="18"/>
                <w:szCs w:val="18"/>
              </w:rPr>
              <w:t xml:space="preserve">Youth Activity Diary </w:t>
            </w:r>
          </w:p>
        </w:tc>
        <w:tc>
          <w:tcPr>
            <w:tcW w:w="745"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67</w:t>
            </w:r>
          </w:p>
        </w:tc>
        <w:tc>
          <w:tcPr>
            <w:tcW w:w="746" w:type="pct"/>
            <w:noWrap/>
            <w:tcMar>
              <w:top w:w="0" w:type="dxa"/>
              <w:left w:w="58" w:type="dxa"/>
              <w:bottom w:w="0" w:type="dxa"/>
              <w:right w:w="58" w:type="dxa"/>
            </w:tcMar>
            <w:vAlign w:val="center"/>
            <w:hideMark/>
          </w:tcPr>
          <w:p w:rsidR="00AF257D" w:rsidRPr="0056461F" w:rsidRDefault="00AF257D" w:rsidP="00C90014">
            <w:pPr>
              <w:spacing w:before="20" w:after="20"/>
              <w:contextualSpacing/>
              <w:jc w:val="center"/>
              <w:rPr>
                <w:sz w:val="18"/>
                <w:szCs w:val="18"/>
              </w:rPr>
            </w:pPr>
            <w:r w:rsidRPr="0056461F">
              <w:rPr>
                <w:sz w:val="18"/>
                <w:szCs w:val="18"/>
              </w:rPr>
              <w:t>1</w:t>
            </w:r>
          </w:p>
        </w:tc>
        <w:tc>
          <w:tcPr>
            <w:tcW w:w="639" w:type="pct"/>
            <w:tcMar>
              <w:left w:w="58" w:type="dxa"/>
              <w:right w:w="58" w:type="dxa"/>
            </w:tcMar>
            <w:vAlign w:val="center"/>
          </w:tcPr>
          <w:p w:rsidR="00AF257D" w:rsidRPr="0056461F" w:rsidRDefault="00AF257D" w:rsidP="00C90014">
            <w:pPr>
              <w:spacing w:before="20" w:after="20"/>
              <w:contextualSpacing/>
              <w:jc w:val="center"/>
              <w:rPr>
                <w:sz w:val="18"/>
                <w:szCs w:val="18"/>
              </w:rPr>
            </w:pPr>
            <w:r w:rsidRPr="0056461F">
              <w:rPr>
                <w:sz w:val="18"/>
                <w:szCs w:val="18"/>
              </w:rPr>
              <w:t>20/60</w:t>
            </w:r>
          </w:p>
        </w:tc>
        <w:tc>
          <w:tcPr>
            <w:tcW w:w="660" w:type="pct"/>
            <w:noWrap/>
            <w:tcMar>
              <w:top w:w="0" w:type="dxa"/>
              <w:left w:w="58" w:type="dxa"/>
              <w:bottom w:w="0" w:type="dxa"/>
              <w:right w:w="58" w:type="dxa"/>
            </w:tcMar>
            <w:vAlign w:val="center"/>
            <w:hideMark/>
          </w:tcPr>
          <w:p w:rsidR="00AF257D" w:rsidRPr="0056461F" w:rsidRDefault="00AF257D" w:rsidP="00C90014">
            <w:pPr>
              <w:spacing w:before="20" w:after="20"/>
              <w:contextualSpacing/>
              <w:jc w:val="center"/>
              <w:rPr>
                <w:sz w:val="18"/>
                <w:szCs w:val="18"/>
              </w:rPr>
            </w:pPr>
            <w:r w:rsidRPr="0056461F">
              <w:rPr>
                <w:sz w:val="18"/>
                <w:szCs w:val="18"/>
              </w:rPr>
              <w:t>22</w:t>
            </w:r>
          </w:p>
        </w:tc>
      </w:tr>
      <w:tr w:rsidR="00AF257D" w:rsidRPr="0056461F" w:rsidTr="000F1DA4">
        <w:trPr>
          <w:cantSplit/>
        </w:trPr>
        <w:tc>
          <w:tcPr>
            <w:tcW w:w="925" w:type="pct"/>
            <w:tcMar>
              <w:left w:w="58" w:type="dxa"/>
              <w:right w:w="58" w:type="dxa"/>
            </w:tcMar>
            <w:vAlign w:val="center"/>
          </w:tcPr>
          <w:p w:rsidR="00AF257D" w:rsidRPr="0056461F" w:rsidRDefault="00AF257D" w:rsidP="00C90014">
            <w:pPr>
              <w:spacing w:before="20" w:after="20"/>
              <w:contextualSpacing/>
              <w:rPr>
                <w:b/>
                <w:bCs/>
                <w:sz w:val="18"/>
                <w:szCs w:val="18"/>
              </w:rPr>
            </w:pPr>
            <w:r w:rsidRPr="0056461F">
              <w:rPr>
                <w:b/>
                <w:bCs/>
                <w:sz w:val="18"/>
                <w:szCs w:val="18"/>
              </w:rPr>
              <w:t>Total burden hours</w:t>
            </w:r>
          </w:p>
        </w:tc>
        <w:tc>
          <w:tcPr>
            <w:tcW w:w="3415" w:type="pct"/>
            <w:gridSpan w:val="4"/>
            <w:tcMar>
              <w:left w:w="58" w:type="dxa"/>
              <w:right w:w="58" w:type="dxa"/>
            </w:tcMar>
          </w:tcPr>
          <w:p w:rsidR="00AF257D" w:rsidRPr="0056461F" w:rsidRDefault="00AF257D" w:rsidP="00C90014">
            <w:pPr>
              <w:spacing w:before="20" w:after="20"/>
              <w:contextualSpacing/>
              <w:jc w:val="right"/>
              <w:rPr>
                <w:sz w:val="18"/>
                <w:szCs w:val="18"/>
              </w:rPr>
            </w:pPr>
          </w:p>
        </w:tc>
        <w:tc>
          <w:tcPr>
            <w:tcW w:w="660" w:type="pct"/>
            <w:tcMar>
              <w:left w:w="58" w:type="dxa"/>
              <w:right w:w="58" w:type="dxa"/>
            </w:tcMar>
          </w:tcPr>
          <w:p w:rsidR="00AF257D" w:rsidRPr="0056461F" w:rsidRDefault="00AF257D" w:rsidP="00C90014">
            <w:pPr>
              <w:spacing w:before="20" w:after="20"/>
              <w:contextualSpacing/>
              <w:jc w:val="center"/>
              <w:rPr>
                <w:sz w:val="18"/>
                <w:szCs w:val="18"/>
              </w:rPr>
            </w:pPr>
            <w:r>
              <w:rPr>
                <w:b/>
                <w:bCs/>
                <w:sz w:val="18"/>
                <w:szCs w:val="18"/>
              </w:rPr>
              <w:t>11,360</w:t>
            </w:r>
          </w:p>
        </w:tc>
      </w:tr>
    </w:tbl>
    <w:p w:rsidR="00B466DC" w:rsidRPr="0056461F" w:rsidRDefault="00B466DC" w:rsidP="00C90014"/>
    <w:p w:rsidR="00C677F0" w:rsidRDefault="00995BDE" w:rsidP="0008017E">
      <w:pPr>
        <w:pStyle w:val="BodyText"/>
        <w:spacing w:line="240" w:lineRule="auto"/>
        <w:ind w:left="0"/>
        <w:rPr>
          <w:b/>
          <w:iCs/>
        </w:rPr>
      </w:pPr>
      <w:r w:rsidRPr="0056461F">
        <w:rPr>
          <w:rStyle w:val="Footer1"/>
        </w:rPr>
        <w:t>The cost for adult and child respondents can be calculated in terms of their time in responding to the ATSS</w:t>
      </w:r>
      <w:r w:rsidR="00923828" w:rsidRPr="0056461F">
        <w:rPr>
          <w:rStyle w:val="Footer1"/>
        </w:rPr>
        <w:t xml:space="preserve"> </w:t>
      </w:r>
      <w:r w:rsidRPr="0056461F">
        <w:rPr>
          <w:rStyle w:val="Footer1"/>
        </w:rPr>
        <w:t xml:space="preserve">and </w:t>
      </w:r>
      <w:r w:rsidR="000A5711" w:rsidRPr="0056461F">
        <w:rPr>
          <w:rStyle w:val="Footer1"/>
        </w:rPr>
        <w:t xml:space="preserve">to the </w:t>
      </w:r>
      <w:r w:rsidRPr="0056461F">
        <w:rPr>
          <w:rStyle w:val="Footer1"/>
        </w:rPr>
        <w:t xml:space="preserve">surveys and screeners and </w:t>
      </w:r>
      <w:r w:rsidR="00EC76F7">
        <w:rPr>
          <w:rStyle w:val="Footer1"/>
        </w:rPr>
        <w:t xml:space="preserve">the </w:t>
      </w:r>
      <w:r w:rsidRPr="0056461F">
        <w:rPr>
          <w:rStyle w:val="Footer1"/>
        </w:rPr>
        <w:t xml:space="preserve">time needed to collect the biometric measures. Exhibit </w:t>
      </w:r>
      <w:r w:rsidR="0085535A">
        <w:rPr>
          <w:rStyle w:val="Footer1"/>
        </w:rPr>
        <w:t>A.12.2</w:t>
      </w:r>
      <w:r w:rsidRPr="0056461F">
        <w:rPr>
          <w:rStyle w:val="Footer1"/>
        </w:rPr>
        <w:t xml:space="preserve"> provides an annualized cost to respondents, where the </w:t>
      </w:r>
      <w:r w:rsidRPr="0056461F">
        <w:t xml:space="preserve">estimated respondent burden hours have been multiplied by an estimated average hourly wage for the total </w:t>
      </w:r>
      <w:r w:rsidR="00C677F0">
        <w:t>United States</w:t>
      </w:r>
      <w:r w:rsidRPr="0056461F">
        <w:t xml:space="preserve">, </w:t>
      </w:r>
      <w:r w:rsidR="00EC76F7">
        <w:t>because</w:t>
      </w:r>
      <w:r w:rsidR="00EC76F7" w:rsidRPr="0056461F">
        <w:t xml:space="preserve"> </w:t>
      </w:r>
      <w:r w:rsidRPr="0056461F">
        <w:t>the respondents are expected to span the entire country. The average hourly wage was determined from U</w:t>
      </w:r>
      <w:r w:rsidR="00A207E5" w:rsidRPr="0056461F">
        <w:t>.</w:t>
      </w:r>
      <w:r w:rsidRPr="0056461F">
        <w:t>S</w:t>
      </w:r>
      <w:r w:rsidR="00A207E5" w:rsidRPr="0056461F">
        <w:t>.</w:t>
      </w:r>
      <w:r w:rsidRPr="0056461F">
        <w:t xml:space="preserve"> </w:t>
      </w:r>
      <w:r w:rsidR="00A207E5" w:rsidRPr="0056461F">
        <w:t>Department</w:t>
      </w:r>
      <w:r w:rsidRPr="0056461F">
        <w:t xml:space="preserve"> of Labor, Bureau of Labor Statistics</w:t>
      </w:r>
      <w:r w:rsidRPr="0056461F">
        <w:rPr>
          <w:rFonts w:cs="Arial"/>
        </w:rPr>
        <w:t xml:space="preserve"> </w:t>
      </w:r>
      <w:r w:rsidR="00A207E5" w:rsidRPr="0056461F">
        <w:rPr>
          <w:rFonts w:cs="Arial"/>
        </w:rPr>
        <w:t>(</w:t>
      </w:r>
      <w:r w:rsidRPr="0056461F">
        <w:rPr>
          <w:u w:val="single"/>
        </w:rPr>
        <w:t>www.bls.gov/cew/ew10table6.pdf</w:t>
      </w:r>
      <w:r w:rsidRPr="0056461F">
        <w:t xml:space="preserve">; </w:t>
      </w:r>
      <w:r w:rsidR="00EC76F7">
        <w:t>“</w:t>
      </w:r>
      <w:r w:rsidRPr="0056461F">
        <w:rPr>
          <w:rFonts w:cs="Arial"/>
        </w:rPr>
        <w:t xml:space="preserve">Table 6. </w:t>
      </w:r>
      <w:r w:rsidRPr="0056461F">
        <w:rPr>
          <w:rFonts w:cs="Arial"/>
          <w:bCs/>
        </w:rPr>
        <w:t>Private industry by State, 2010 annual averages: Establishments, employment, and wages</w:t>
      </w:r>
      <w:r w:rsidR="00EC76F7">
        <w:rPr>
          <w:rFonts w:cs="Arial"/>
          <w:bCs/>
        </w:rPr>
        <w:t>”</w:t>
      </w:r>
      <w:r w:rsidRPr="0056461F">
        <w:rPr>
          <w:rFonts w:cs="Arial"/>
          <w:bCs/>
        </w:rPr>
        <w:t>)</w:t>
      </w:r>
      <w:r w:rsidRPr="0056461F">
        <w:rPr>
          <w:rFonts w:cs="Arial"/>
          <w:b/>
          <w:bCs/>
        </w:rPr>
        <w:t xml:space="preserve"> </w:t>
      </w:r>
      <w:r w:rsidRPr="0056461F">
        <w:rPr>
          <w:rFonts w:cs="Arial"/>
          <w:bCs/>
        </w:rPr>
        <w:t xml:space="preserve">by dividing 2010 </w:t>
      </w:r>
      <w:r w:rsidR="00EC76F7">
        <w:rPr>
          <w:rFonts w:cs="Arial"/>
          <w:bCs/>
        </w:rPr>
        <w:t>t</w:t>
      </w:r>
      <w:r w:rsidR="00EC76F7" w:rsidRPr="0056461F">
        <w:rPr>
          <w:rFonts w:cs="Arial"/>
          <w:bCs/>
        </w:rPr>
        <w:t xml:space="preserve">otal </w:t>
      </w:r>
      <w:r w:rsidRPr="0056461F">
        <w:rPr>
          <w:rFonts w:cs="Arial"/>
          <w:bCs/>
        </w:rPr>
        <w:t>U.S. weekly wages by 40 hours</w:t>
      </w:r>
      <w:r w:rsidRPr="0056461F">
        <w:rPr>
          <w:rFonts w:cs="Arial"/>
          <w:bCs/>
          <w:sz w:val="22"/>
        </w:rPr>
        <w:t xml:space="preserve">. </w:t>
      </w:r>
      <w:r w:rsidRPr="0056461F">
        <w:t xml:space="preserve">The combined total estimated respondent burden cost for conducting the </w:t>
      </w:r>
      <w:r w:rsidR="009E5A2D" w:rsidRPr="0056461F">
        <w:rPr>
          <w:i/>
          <w:iCs/>
        </w:rPr>
        <w:t xml:space="preserve">Standard </w:t>
      </w:r>
      <w:r w:rsidR="009E5A2D" w:rsidRPr="000F1DA4">
        <w:rPr>
          <w:iCs/>
        </w:rPr>
        <w:t xml:space="preserve">and </w:t>
      </w:r>
      <w:r w:rsidR="000B3F4E" w:rsidRPr="0056461F">
        <w:rPr>
          <w:i/>
          <w:iCs/>
        </w:rPr>
        <w:t>Enhanced Protocol</w:t>
      </w:r>
      <w:r w:rsidR="009E5A2D" w:rsidRPr="0056461F">
        <w:rPr>
          <w:i/>
          <w:iCs/>
        </w:rPr>
        <w:t>s</w:t>
      </w:r>
      <w:r w:rsidR="009E5A2D" w:rsidRPr="0056461F">
        <w:t xml:space="preserve"> </w:t>
      </w:r>
      <w:r w:rsidRPr="0056461F">
        <w:t xml:space="preserve">annualized over the </w:t>
      </w:r>
      <w:r w:rsidR="00D82223">
        <w:t>three</w:t>
      </w:r>
      <w:r w:rsidR="00A207E5" w:rsidRPr="0056461F">
        <w:t>-</w:t>
      </w:r>
      <w:r w:rsidRPr="0056461F">
        <w:t xml:space="preserve">year study period is </w:t>
      </w:r>
      <w:r w:rsidR="00DA1C4F" w:rsidRPr="000F1DA4">
        <w:rPr>
          <w:b/>
        </w:rPr>
        <w:t>$</w:t>
      </w:r>
      <w:r w:rsidR="0013519F">
        <w:rPr>
          <w:b/>
          <w:bCs/>
        </w:rPr>
        <w:t>236,519</w:t>
      </w:r>
      <w:r w:rsidR="00DA1C4F" w:rsidRPr="0056461F">
        <w:t>.</w:t>
      </w:r>
    </w:p>
    <w:p w:rsidR="008B68AA" w:rsidRDefault="008B68AA" w:rsidP="00C90014">
      <w:pPr>
        <w:pStyle w:val="ExhibitTitle"/>
      </w:pPr>
      <w:r w:rsidRPr="0056461F">
        <w:lastRenderedPageBreak/>
        <w:t xml:space="preserve">Exhibit </w:t>
      </w:r>
      <w:r w:rsidR="0085535A">
        <w:t>A.12.2</w:t>
      </w:r>
      <w:r w:rsidRPr="0056461F">
        <w:t>. Estimated Annualized Cost to Respondents</w:t>
      </w:r>
    </w:p>
    <w:p w:rsidR="00A52642" w:rsidRDefault="00A52642" w:rsidP="00C90014">
      <w:pPr>
        <w:pStyle w:val="ExhibitTitle"/>
      </w:pPr>
    </w:p>
    <w:tbl>
      <w:tblPr>
        <w:tblW w:w="5047" w:type="pct"/>
        <w:tblBorders>
          <w:top w:val="single" w:sz="12" w:space="0" w:color="000000"/>
          <w:bottom w:val="single" w:sz="12" w:space="0" w:color="000000"/>
          <w:insideH w:val="single" w:sz="4" w:space="0" w:color="000000"/>
        </w:tblBorders>
        <w:tblCellMar>
          <w:left w:w="0" w:type="dxa"/>
          <w:right w:w="0" w:type="dxa"/>
        </w:tblCellMar>
        <w:tblLook w:val="04A0" w:firstRow="1" w:lastRow="0" w:firstColumn="1" w:lastColumn="0" w:noHBand="0" w:noVBand="1"/>
      </w:tblPr>
      <w:tblGrid>
        <w:gridCol w:w="1550"/>
        <w:gridCol w:w="2150"/>
        <w:gridCol w:w="1245"/>
        <w:gridCol w:w="1247"/>
        <w:gridCol w:w="1105"/>
        <w:gridCol w:w="1105"/>
        <w:gridCol w:w="1105"/>
      </w:tblGrid>
      <w:tr w:rsidR="00A52642" w:rsidRPr="0056461F" w:rsidTr="00AF257D">
        <w:trPr>
          <w:cantSplit/>
          <w:tblHeader/>
        </w:trPr>
        <w:tc>
          <w:tcPr>
            <w:tcW w:w="815" w:type="pct"/>
            <w:tcMar>
              <w:top w:w="0" w:type="dxa"/>
              <w:left w:w="58" w:type="dxa"/>
              <w:bottom w:w="0" w:type="dxa"/>
              <w:right w:w="58" w:type="dxa"/>
            </w:tcMar>
            <w:vAlign w:val="bottom"/>
            <w:hideMark/>
          </w:tcPr>
          <w:p w:rsidR="00A52642" w:rsidRPr="0056461F" w:rsidRDefault="00A52642" w:rsidP="00A52642">
            <w:pPr>
              <w:keepNext/>
              <w:spacing w:before="20" w:after="20"/>
              <w:contextualSpacing/>
              <w:jc w:val="center"/>
              <w:rPr>
                <w:b/>
                <w:sz w:val="18"/>
                <w:szCs w:val="18"/>
              </w:rPr>
            </w:pPr>
            <w:r w:rsidRPr="0056461F">
              <w:rPr>
                <w:b/>
                <w:sz w:val="18"/>
                <w:szCs w:val="18"/>
              </w:rPr>
              <w:t>Type of Respondent</w:t>
            </w:r>
          </w:p>
        </w:tc>
        <w:tc>
          <w:tcPr>
            <w:tcW w:w="1131" w:type="pct"/>
            <w:tcMar>
              <w:top w:w="0" w:type="dxa"/>
              <w:left w:w="58" w:type="dxa"/>
              <w:bottom w:w="0" w:type="dxa"/>
              <w:right w:w="58" w:type="dxa"/>
            </w:tcMar>
            <w:vAlign w:val="bottom"/>
            <w:hideMark/>
          </w:tcPr>
          <w:p w:rsidR="00A52642" w:rsidRPr="0056461F" w:rsidRDefault="00A52642" w:rsidP="00A52642">
            <w:pPr>
              <w:keepNext/>
              <w:spacing w:before="20" w:after="20"/>
              <w:contextualSpacing/>
              <w:jc w:val="center"/>
              <w:rPr>
                <w:b/>
                <w:sz w:val="18"/>
                <w:szCs w:val="18"/>
              </w:rPr>
            </w:pPr>
            <w:r w:rsidRPr="0056461F">
              <w:rPr>
                <w:b/>
                <w:sz w:val="18"/>
                <w:szCs w:val="18"/>
              </w:rPr>
              <w:t>Form Name</w:t>
            </w:r>
          </w:p>
        </w:tc>
        <w:tc>
          <w:tcPr>
            <w:tcW w:w="655" w:type="pct"/>
            <w:tcMar>
              <w:left w:w="58" w:type="dxa"/>
              <w:right w:w="58" w:type="dxa"/>
            </w:tcMar>
            <w:vAlign w:val="bottom"/>
          </w:tcPr>
          <w:p w:rsidR="00A52642" w:rsidRPr="0056461F" w:rsidRDefault="00A52642" w:rsidP="00A52642">
            <w:pPr>
              <w:keepNext/>
              <w:spacing w:before="20" w:after="20"/>
              <w:contextualSpacing/>
              <w:jc w:val="center"/>
              <w:rPr>
                <w:b/>
                <w:sz w:val="18"/>
                <w:szCs w:val="18"/>
              </w:rPr>
            </w:pPr>
            <w:r w:rsidRPr="0056461F">
              <w:rPr>
                <w:b/>
                <w:sz w:val="18"/>
                <w:szCs w:val="18"/>
              </w:rPr>
              <w:t>Number of Respondents</w:t>
            </w:r>
          </w:p>
        </w:tc>
        <w:tc>
          <w:tcPr>
            <w:tcW w:w="656" w:type="pct"/>
            <w:tcMar>
              <w:top w:w="0" w:type="dxa"/>
              <w:left w:w="58" w:type="dxa"/>
              <w:bottom w:w="0" w:type="dxa"/>
              <w:right w:w="58" w:type="dxa"/>
            </w:tcMar>
            <w:vAlign w:val="bottom"/>
            <w:hideMark/>
          </w:tcPr>
          <w:p w:rsidR="00A52642" w:rsidRPr="0056461F" w:rsidRDefault="00A52642" w:rsidP="00A52642">
            <w:pPr>
              <w:keepNext/>
              <w:spacing w:before="20" w:after="20"/>
              <w:contextualSpacing/>
              <w:jc w:val="center"/>
              <w:rPr>
                <w:b/>
                <w:sz w:val="18"/>
                <w:szCs w:val="18"/>
              </w:rPr>
            </w:pPr>
            <w:r w:rsidRPr="0056461F">
              <w:rPr>
                <w:b/>
                <w:sz w:val="18"/>
                <w:szCs w:val="18"/>
              </w:rPr>
              <w:t>Number of Responses per Respondent</w:t>
            </w:r>
          </w:p>
        </w:tc>
        <w:tc>
          <w:tcPr>
            <w:tcW w:w="581" w:type="pct"/>
            <w:tcMar>
              <w:top w:w="0" w:type="dxa"/>
              <w:left w:w="58" w:type="dxa"/>
              <w:bottom w:w="0" w:type="dxa"/>
              <w:right w:w="58" w:type="dxa"/>
            </w:tcMar>
            <w:vAlign w:val="bottom"/>
            <w:hideMark/>
          </w:tcPr>
          <w:p w:rsidR="00A52642" w:rsidRPr="0056461F" w:rsidRDefault="00A52642" w:rsidP="00A52642">
            <w:pPr>
              <w:keepNext/>
              <w:spacing w:before="20" w:after="20"/>
              <w:contextualSpacing/>
              <w:jc w:val="center"/>
              <w:rPr>
                <w:b/>
                <w:sz w:val="18"/>
                <w:szCs w:val="18"/>
              </w:rPr>
            </w:pPr>
            <w:r w:rsidRPr="0056461F">
              <w:rPr>
                <w:b/>
                <w:sz w:val="18"/>
                <w:szCs w:val="18"/>
              </w:rPr>
              <w:t xml:space="preserve">Total Burden (in </w:t>
            </w:r>
            <w:r>
              <w:rPr>
                <w:b/>
                <w:sz w:val="18"/>
                <w:szCs w:val="18"/>
              </w:rPr>
              <w:t>hours</w:t>
            </w:r>
            <w:r w:rsidRPr="0056461F">
              <w:rPr>
                <w:b/>
                <w:sz w:val="18"/>
                <w:szCs w:val="18"/>
              </w:rPr>
              <w:t>)</w:t>
            </w:r>
          </w:p>
        </w:tc>
        <w:tc>
          <w:tcPr>
            <w:tcW w:w="581" w:type="pct"/>
            <w:vAlign w:val="bottom"/>
          </w:tcPr>
          <w:p w:rsidR="00A52642" w:rsidRPr="0056461F" w:rsidRDefault="00A52642" w:rsidP="00A52642">
            <w:pPr>
              <w:keepNext/>
              <w:spacing w:before="40" w:after="40"/>
              <w:jc w:val="center"/>
              <w:rPr>
                <w:b/>
                <w:sz w:val="18"/>
                <w:szCs w:val="18"/>
              </w:rPr>
            </w:pPr>
            <w:r w:rsidRPr="0056461F">
              <w:rPr>
                <w:b/>
                <w:sz w:val="18"/>
                <w:szCs w:val="18"/>
              </w:rPr>
              <w:t>Average Hourly Wage</w:t>
            </w:r>
          </w:p>
        </w:tc>
        <w:tc>
          <w:tcPr>
            <w:tcW w:w="581" w:type="pct"/>
          </w:tcPr>
          <w:p w:rsidR="00A52642" w:rsidRPr="0056461F" w:rsidRDefault="00A52642" w:rsidP="00A52642">
            <w:pPr>
              <w:keepNext/>
              <w:spacing w:before="20" w:after="20"/>
              <w:contextualSpacing/>
              <w:jc w:val="center"/>
              <w:rPr>
                <w:b/>
                <w:sz w:val="18"/>
                <w:szCs w:val="18"/>
              </w:rPr>
            </w:pPr>
            <w:r w:rsidRPr="0056461F">
              <w:rPr>
                <w:b/>
                <w:sz w:val="18"/>
                <w:szCs w:val="18"/>
              </w:rPr>
              <w:t>Total Cost (per year)</w:t>
            </w:r>
          </w:p>
        </w:tc>
      </w:tr>
      <w:tr w:rsidR="00A52642" w:rsidRPr="0056461F" w:rsidTr="00AF257D">
        <w:trPr>
          <w:cantSplit/>
        </w:trPr>
        <w:tc>
          <w:tcPr>
            <w:tcW w:w="815" w:type="pct"/>
            <w:vMerge w:val="restart"/>
            <w:tcMar>
              <w:left w:w="58" w:type="dxa"/>
              <w:right w:w="58" w:type="dxa"/>
            </w:tcMar>
            <w:vAlign w:val="center"/>
            <w:hideMark/>
          </w:tcPr>
          <w:p w:rsidR="00A52642" w:rsidRPr="0056461F" w:rsidRDefault="00A52642" w:rsidP="00A52642">
            <w:pPr>
              <w:spacing w:before="20" w:after="20"/>
              <w:contextualSpacing/>
              <w:rPr>
                <w:sz w:val="18"/>
                <w:szCs w:val="18"/>
              </w:rPr>
            </w:pPr>
            <w:r w:rsidRPr="0056461F">
              <w:rPr>
                <w:sz w:val="18"/>
                <w:szCs w:val="18"/>
              </w:rPr>
              <w:t>Adults completing ATSS in</w:t>
            </w:r>
            <w:r w:rsidRPr="000F1DA4">
              <w:rPr>
                <w:i/>
                <w:sz w:val="18"/>
                <w:szCs w:val="18"/>
              </w:rPr>
              <w:t xml:space="preserve"> Standard</w:t>
            </w:r>
            <w:r w:rsidRPr="0056461F">
              <w:rPr>
                <w:sz w:val="18"/>
                <w:szCs w:val="18"/>
              </w:rPr>
              <w:t xml:space="preserve"> or </w:t>
            </w:r>
            <w:r w:rsidRPr="000F1DA4">
              <w:rPr>
                <w:i/>
                <w:sz w:val="18"/>
                <w:szCs w:val="18"/>
              </w:rPr>
              <w:t>Enhanced Protocol</w:t>
            </w:r>
          </w:p>
        </w:tc>
        <w:tc>
          <w:tcPr>
            <w:tcW w:w="1131" w:type="pct"/>
            <w:tcMar>
              <w:top w:w="0" w:type="dxa"/>
              <w:left w:w="58" w:type="dxa"/>
              <w:bottom w:w="0" w:type="dxa"/>
              <w:right w:w="58" w:type="dxa"/>
            </w:tcMar>
            <w:vAlign w:val="center"/>
            <w:hideMark/>
          </w:tcPr>
          <w:p w:rsidR="00A52642" w:rsidRDefault="00A52642" w:rsidP="009448CE">
            <w:pPr>
              <w:spacing w:before="20" w:after="20"/>
              <w:rPr>
                <w:sz w:val="18"/>
                <w:szCs w:val="18"/>
              </w:rPr>
            </w:pPr>
            <w:r>
              <w:rPr>
                <w:sz w:val="18"/>
                <w:szCs w:val="18"/>
              </w:rPr>
              <w:t xml:space="preserve">Adult Targeted Surveillance Survey– Telephone Screener (pp. </w:t>
            </w:r>
            <w:r w:rsidRPr="00BB6418">
              <w:rPr>
                <w:sz w:val="18"/>
                <w:szCs w:val="18"/>
              </w:rPr>
              <w:t>1</w:t>
            </w:r>
            <w:r w:rsidR="00330A28">
              <w:rPr>
                <w:sz w:val="18"/>
                <w:szCs w:val="18"/>
              </w:rPr>
              <w:t>–</w:t>
            </w:r>
            <w:r w:rsidR="009448CE">
              <w:rPr>
                <w:sz w:val="18"/>
                <w:szCs w:val="18"/>
              </w:rPr>
              <w:t>20</w:t>
            </w:r>
            <w:r w:rsidRPr="00BB6418">
              <w:rPr>
                <w:sz w:val="18"/>
                <w:szCs w:val="18"/>
              </w:rPr>
              <w:t>)</w:t>
            </w:r>
          </w:p>
        </w:tc>
        <w:tc>
          <w:tcPr>
            <w:tcW w:w="655" w:type="pct"/>
            <w:tcMar>
              <w:left w:w="58" w:type="dxa"/>
              <w:right w:w="58" w:type="dxa"/>
            </w:tcMar>
            <w:vAlign w:val="center"/>
          </w:tcPr>
          <w:p w:rsidR="00A52642" w:rsidRPr="0056461F" w:rsidRDefault="00FA215B" w:rsidP="00FA215B">
            <w:pPr>
              <w:spacing w:before="20" w:after="20"/>
              <w:contextualSpacing/>
              <w:jc w:val="center"/>
              <w:rPr>
                <w:sz w:val="18"/>
                <w:szCs w:val="18"/>
              </w:rPr>
            </w:pPr>
            <w:r>
              <w:rPr>
                <w:sz w:val="18"/>
                <w:szCs w:val="18"/>
              </w:rPr>
              <w:t>13,749</w:t>
            </w:r>
          </w:p>
        </w:tc>
        <w:tc>
          <w:tcPr>
            <w:tcW w:w="656"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1</w:t>
            </w:r>
          </w:p>
        </w:tc>
        <w:tc>
          <w:tcPr>
            <w:tcW w:w="581"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458</w:t>
            </w:r>
          </w:p>
        </w:tc>
        <w:tc>
          <w:tcPr>
            <w:tcW w:w="581" w:type="pct"/>
            <w:vAlign w:val="center"/>
          </w:tcPr>
          <w:p w:rsidR="00E00D7C" w:rsidRDefault="00A52642">
            <w:pPr>
              <w:spacing w:before="40" w:after="40"/>
              <w:jc w:val="center"/>
              <w:rPr>
                <w:sz w:val="18"/>
                <w:szCs w:val="18"/>
              </w:rPr>
            </w:pPr>
            <w:r w:rsidRPr="0056461F">
              <w:rPr>
                <w:sz w:val="18"/>
                <w:szCs w:val="18"/>
              </w:rPr>
              <w:t>$22.33</w:t>
            </w:r>
          </w:p>
        </w:tc>
        <w:tc>
          <w:tcPr>
            <w:tcW w:w="581" w:type="pct"/>
            <w:vAlign w:val="center"/>
          </w:tcPr>
          <w:p w:rsidR="00E00D7C" w:rsidRDefault="0013519F">
            <w:pPr>
              <w:spacing w:before="20" w:after="20"/>
              <w:contextualSpacing/>
              <w:jc w:val="center"/>
              <w:rPr>
                <w:sz w:val="18"/>
                <w:szCs w:val="18"/>
              </w:rPr>
            </w:pPr>
            <w:r>
              <w:rPr>
                <w:sz w:val="18"/>
                <w:szCs w:val="18"/>
              </w:rPr>
              <w:t>$10,227</w:t>
            </w:r>
          </w:p>
        </w:tc>
      </w:tr>
      <w:tr w:rsidR="00A52642" w:rsidRPr="0056461F" w:rsidTr="00AF257D">
        <w:trPr>
          <w:cantSplit/>
        </w:trPr>
        <w:tc>
          <w:tcPr>
            <w:tcW w:w="815" w:type="pct"/>
            <w:vMerge/>
            <w:tcMar>
              <w:left w:w="58" w:type="dxa"/>
              <w:right w:w="58" w:type="dxa"/>
            </w:tcMar>
            <w:vAlign w:val="center"/>
            <w:hideMark/>
          </w:tcPr>
          <w:p w:rsidR="00A52642" w:rsidRPr="0056461F" w:rsidRDefault="00A52642"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52642" w:rsidRPr="00372CCD" w:rsidRDefault="00A52642" w:rsidP="009448CE">
            <w:pPr>
              <w:spacing w:before="20" w:after="20"/>
              <w:rPr>
                <w:sz w:val="18"/>
                <w:szCs w:val="18"/>
              </w:rPr>
            </w:pPr>
            <w:r w:rsidRPr="00372CCD">
              <w:rPr>
                <w:sz w:val="18"/>
                <w:szCs w:val="18"/>
              </w:rPr>
              <w:t>Adult Targeted Surveillance Survey</w:t>
            </w:r>
            <w:r>
              <w:rPr>
                <w:sz w:val="18"/>
                <w:szCs w:val="18"/>
              </w:rPr>
              <w:t>– Telephone (pp. 2</w:t>
            </w:r>
            <w:r w:rsidR="009448CE">
              <w:rPr>
                <w:sz w:val="18"/>
                <w:szCs w:val="18"/>
              </w:rPr>
              <w:t>6</w:t>
            </w:r>
            <w:r w:rsidR="00330A28">
              <w:rPr>
                <w:sz w:val="18"/>
                <w:szCs w:val="18"/>
              </w:rPr>
              <w:t>–</w:t>
            </w:r>
            <w:r>
              <w:rPr>
                <w:sz w:val="18"/>
                <w:szCs w:val="18"/>
              </w:rPr>
              <w:t>6</w:t>
            </w:r>
            <w:r w:rsidR="009448CE">
              <w:rPr>
                <w:sz w:val="18"/>
                <w:szCs w:val="18"/>
              </w:rPr>
              <w:t>4</w:t>
            </w:r>
            <w:r>
              <w:rPr>
                <w:sz w:val="18"/>
                <w:szCs w:val="18"/>
              </w:rPr>
              <w:t>)</w:t>
            </w:r>
          </w:p>
        </w:tc>
        <w:tc>
          <w:tcPr>
            <w:tcW w:w="655" w:type="pct"/>
            <w:tcMar>
              <w:left w:w="58" w:type="dxa"/>
              <w:right w:w="58" w:type="dxa"/>
            </w:tcMar>
            <w:vAlign w:val="center"/>
          </w:tcPr>
          <w:p w:rsidR="00A52642" w:rsidRPr="0056461F" w:rsidRDefault="00A52642" w:rsidP="00444188">
            <w:pPr>
              <w:spacing w:before="20" w:after="20"/>
              <w:contextualSpacing/>
              <w:jc w:val="center"/>
              <w:rPr>
                <w:sz w:val="18"/>
                <w:szCs w:val="18"/>
              </w:rPr>
            </w:pPr>
            <w:r>
              <w:rPr>
                <w:sz w:val="18"/>
                <w:szCs w:val="18"/>
              </w:rPr>
              <w:t>7,311</w:t>
            </w:r>
          </w:p>
        </w:tc>
        <w:tc>
          <w:tcPr>
            <w:tcW w:w="656"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sidRPr="0056461F">
              <w:rPr>
                <w:sz w:val="18"/>
                <w:szCs w:val="18"/>
              </w:rPr>
              <w:t>1</w:t>
            </w:r>
          </w:p>
        </w:tc>
        <w:tc>
          <w:tcPr>
            <w:tcW w:w="581"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3,412</w:t>
            </w:r>
          </w:p>
        </w:tc>
        <w:tc>
          <w:tcPr>
            <w:tcW w:w="581" w:type="pct"/>
            <w:vAlign w:val="center"/>
          </w:tcPr>
          <w:p w:rsidR="00E00D7C" w:rsidRDefault="00A52642">
            <w:pPr>
              <w:spacing w:before="40" w:after="40"/>
              <w:jc w:val="center"/>
              <w:rPr>
                <w:sz w:val="18"/>
                <w:szCs w:val="18"/>
              </w:rPr>
            </w:pPr>
            <w:r w:rsidRPr="0056461F">
              <w:rPr>
                <w:sz w:val="18"/>
                <w:szCs w:val="18"/>
              </w:rPr>
              <w:t>$22.33</w:t>
            </w:r>
          </w:p>
        </w:tc>
        <w:tc>
          <w:tcPr>
            <w:tcW w:w="581" w:type="pct"/>
            <w:vAlign w:val="center"/>
          </w:tcPr>
          <w:p w:rsidR="00E00D7C" w:rsidRDefault="0013519F">
            <w:pPr>
              <w:spacing w:before="20" w:after="20"/>
              <w:contextualSpacing/>
              <w:jc w:val="center"/>
              <w:rPr>
                <w:sz w:val="18"/>
                <w:szCs w:val="18"/>
              </w:rPr>
            </w:pPr>
            <w:r>
              <w:rPr>
                <w:sz w:val="18"/>
                <w:szCs w:val="18"/>
              </w:rPr>
              <w:t>$76,190</w:t>
            </w:r>
          </w:p>
        </w:tc>
      </w:tr>
      <w:tr w:rsidR="00A52642" w:rsidRPr="0056461F" w:rsidTr="00AF257D">
        <w:trPr>
          <w:cantSplit/>
        </w:trPr>
        <w:tc>
          <w:tcPr>
            <w:tcW w:w="815" w:type="pct"/>
            <w:vMerge/>
            <w:tcMar>
              <w:left w:w="58" w:type="dxa"/>
              <w:right w:w="58" w:type="dxa"/>
            </w:tcMar>
            <w:vAlign w:val="center"/>
            <w:hideMark/>
          </w:tcPr>
          <w:p w:rsidR="00A52642" w:rsidRPr="0056461F" w:rsidRDefault="00A52642"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52642" w:rsidRDefault="00A52642" w:rsidP="00330A28">
            <w:pPr>
              <w:spacing w:before="20" w:after="20"/>
              <w:rPr>
                <w:sz w:val="18"/>
                <w:szCs w:val="18"/>
              </w:rPr>
            </w:pPr>
            <w:r>
              <w:rPr>
                <w:sz w:val="18"/>
                <w:szCs w:val="18"/>
              </w:rPr>
              <w:t xml:space="preserve">Adult Targeted Surveillance Survey–Paper </w:t>
            </w:r>
          </w:p>
        </w:tc>
        <w:tc>
          <w:tcPr>
            <w:tcW w:w="655" w:type="pct"/>
            <w:tcMar>
              <w:left w:w="58" w:type="dxa"/>
              <w:right w:w="58" w:type="dxa"/>
            </w:tcMar>
            <w:vAlign w:val="center"/>
          </w:tcPr>
          <w:p w:rsidR="00A52642" w:rsidRPr="0056461F" w:rsidRDefault="00A52642" w:rsidP="00444188">
            <w:pPr>
              <w:spacing w:before="20" w:after="20"/>
              <w:contextualSpacing/>
              <w:jc w:val="center"/>
              <w:rPr>
                <w:sz w:val="18"/>
                <w:szCs w:val="18"/>
              </w:rPr>
            </w:pPr>
            <w:r>
              <w:rPr>
                <w:sz w:val="18"/>
                <w:szCs w:val="18"/>
              </w:rPr>
              <w:t>8,485</w:t>
            </w:r>
          </w:p>
        </w:tc>
        <w:tc>
          <w:tcPr>
            <w:tcW w:w="656"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1</w:t>
            </w:r>
          </w:p>
        </w:tc>
        <w:tc>
          <w:tcPr>
            <w:tcW w:w="581"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4,243</w:t>
            </w:r>
          </w:p>
        </w:tc>
        <w:tc>
          <w:tcPr>
            <w:tcW w:w="581" w:type="pct"/>
            <w:vAlign w:val="center"/>
          </w:tcPr>
          <w:p w:rsidR="00E00D7C" w:rsidRDefault="00A52642">
            <w:pPr>
              <w:spacing w:before="40" w:after="40"/>
              <w:jc w:val="center"/>
              <w:rPr>
                <w:sz w:val="18"/>
                <w:szCs w:val="18"/>
              </w:rPr>
            </w:pPr>
            <w:r w:rsidRPr="0056461F">
              <w:rPr>
                <w:sz w:val="18"/>
                <w:szCs w:val="18"/>
              </w:rPr>
              <w:t>$22.33</w:t>
            </w:r>
          </w:p>
        </w:tc>
        <w:tc>
          <w:tcPr>
            <w:tcW w:w="581" w:type="pct"/>
            <w:vAlign w:val="center"/>
          </w:tcPr>
          <w:p w:rsidR="00E00D7C" w:rsidRDefault="0013519F">
            <w:pPr>
              <w:spacing w:before="20" w:after="20"/>
              <w:contextualSpacing/>
              <w:jc w:val="center"/>
              <w:rPr>
                <w:sz w:val="18"/>
                <w:szCs w:val="18"/>
              </w:rPr>
            </w:pPr>
            <w:r>
              <w:rPr>
                <w:sz w:val="18"/>
                <w:szCs w:val="18"/>
              </w:rPr>
              <w:t>$94,746</w:t>
            </w:r>
          </w:p>
        </w:tc>
      </w:tr>
      <w:tr w:rsidR="00A52642" w:rsidRPr="0056461F" w:rsidTr="00AF257D">
        <w:trPr>
          <w:cantSplit/>
        </w:trPr>
        <w:tc>
          <w:tcPr>
            <w:tcW w:w="815" w:type="pct"/>
            <w:vMerge w:val="restart"/>
            <w:tcMar>
              <w:left w:w="58" w:type="dxa"/>
              <w:right w:w="58" w:type="dxa"/>
            </w:tcMar>
            <w:hideMark/>
          </w:tcPr>
          <w:p w:rsidR="00A52642" w:rsidRPr="0056461F" w:rsidRDefault="00A52642" w:rsidP="00A52642">
            <w:pPr>
              <w:spacing w:before="20" w:after="20"/>
              <w:contextualSpacing/>
              <w:rPr>
                <w:sz w:val="18"/>
                <w:szCs w:val="18"/>
              </w:rPr>
            </w:pPr>
            <w:r w:rsidRPr="0056461F">
              <w:rPr>
                <w:sz w:val="18"/>
                <w:szCs w:val="18"/>
              </w:rPr>
              <w:t xml:space="preserve">Adults completing in-home visit in </w:t>
            </w:r>
            <w:r w:rsidRPr="000F1DA4">
              <w:rPr>
                <w:i/>
                <w:sz w:val="18"/>
                <w:szCs w:val="18"/>
              </w:rPr>
              <w:t>Enhanced Protocol</w:t>
            </w:r>
          </w:p>
        </w:tc>
        <w:tc>
          <w:tcPr>
            <w:tcW w:w="1131" w:type="pct"/>
            <w:tcMar>
              <w:top w:w="0" w:type="dxa"/>
              <w:left w:w="58" w:type="dxa"/>
              <w:bottom w:w="0" w:type="dxa"/>
              <w:right w:w="58" w:type="dxa"/>
            </w:tcMar>
            <w:vAlign w:val="center"/>
            <w:hideMark/>
          </w:tcPr>
          <w:p w:rsidR="00A52642" w:rsidRDefault="00A52642" w:rsidP="00A52642">
            <w:pPr>
              <w:spacing w:before="20" w:after="20"/>
              <w:rPr>
                <w:sz w:val="18"/>
                <w:szCs w:val="18"/>
              </w:rPr>
            </w:pPr>
            <w:r>
              <w:rPr>
                <w:sz w:val="18"/>
                <w:szCs w:val="18"/>
              </w:rPr>
              <w:t>Adult Biometric Measures –Recruitment Screener</w:t>
            </w:r>
          </w:p>
        </w:tc>
        <w:tc>
          <w:tcPr>
            <w:tcW w:w="655" w:type="pct"/>
            <w:tcMar>
              <w:left w:w="58" w:type="dxa"/>
              <w:right w:w="58" w:type="dxa"/>
            </w:tcMar>
            <w:vAlign w:val="center"/>
          </w:tcPr>
          <w:p w:rsidR="00A52642" w:rsidRPr="0056461F" w:rsidRDefault="00A52642" w:rsidP="00444188">
            <w:pPr>
              <w:spacing w:before="20" w:after="20"/>
              <w:contextualSpacing/>
              <w:jc w:val="center"/>
              <w:rPr>
                <w:sz w:val="18"/>
                <w:szCs w:val="18"/>
              </w:rPr>
            </w:pPr>
            <w:r>
              <w:rPr>
                <w:sz w:val="18"/>
                <w:szCs w:val="18"/>
              </w:rPr>
              <w:t>4,418</w:t>
            </w:r>
          </w:p>
        </w:tc>
        <w:tc>
          <w:tcPr>
            <w:tcW w:w="656"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1</w:t>
            </w:r>
          </w:p>
        </w:tc>
        <w:tc>
          <w:tcPr>
            <w:tcW w:w="581" w:type="pct"/>
            <w:tcMar>
              <w:top w:w="0" w:type="dxa"/>
              <w:left w:w="58" w:type="dxa"/>
              <w:bottom w:w="0" w:type="dxa"/>
              <w:right w:w="58" w:type="dxa"/>
            </w:tcMar>
            <w:vAlign w:val="center"/>
            <w:hideMark/>
          </w:tcPr>
          <w:p w:rsidR="00E00D7C" w:rsidRDefault="00A52642">
            <w:pPr>
              <w:spacing w:before="20" w:after="20"/>
              <w:contextualSpacing/>
              <w:jc w:val="center"/>
              <w:rPr>
                <w:sz w:val="18"/>
                <w:szCs w:val="18"/>
              </w:rPr>
            </w:pPr>
            <w:r>
              <w:rPr>
                <w:sz w:val="18"/>
                <w:szCs w:val="18"/>
              </w:rPr>
              <w:t>736</w:t>
            </w:r>
          </w:p>
        </w:tc>
        <w:tc>
          <w:tcPr>
            <w:tcW w:w="581" w:type="pct"/>
            <w:vAlign w:val="center"/>
          </w:tcPr>
          <w:p w:rsidR="00E00D7C" w:rsidRDefault="00A52642">
            <w:pPr>
              <w:spacing w:before="20" w:after="20"/>
              <w:contextualSpacing/>
              <w:jc w:val="center"/>
              <w:rPr>
                <w:sz w:val="18"/>
                <w:szCs w:val="18"/>
              </w:rPr>
            </w:pPr>
            <w:r w:rsidRPr="0056461F">
              <w:rPr>
                <w:sz w:val="18"/>
                <w:szCs w:val="18"/>
              </w:rPr>
              <w:t>$22.33</w:t>
            </w:r>
          </w:p>
        </w:tc>
        <w:tc>
          <w:tcPr>
            <w:tcW w:w="581" w:type="pct"/>
            <w:vAlign w:val="center"/>
          </w:tcPr>
          <w:p w:rsidR="00E00D7C" w:rsidRDefault="0013519F">
            <w:pPr>
              <w:spacing w:before="20" w:after="20"/>
              <w:contextualSpacing/>
              <w:jc w:val="center"/>
              <w:rPr>
                <w:sz w:val="18"/>
                <w:szCs w:val="18"/>
              </w:rPr>
            </w:pPr>
            <w:r>
              <w:rPr>
                <w:sz w:val="18"/>
                <w:szCs w:val="18"/>
              </w:rPr>
              <w:t>$16,435</w:t>
            </w:r>
          </w:p>
        </w:tc>
      </w:tr>
      <w:tr w:rsidR="00A52642" w:rsidRPr="0056461F" w:rsidTr="00AF257D">
        <w:trPr>
          <w:cantSplit/>
        </w:trPr>
        <w:tc>
          <w:tcPr>
            <w:tcW w:w="815" w:type="pct"/>
            <w:vMerge/>
            <w:tcMar>
              <w:left w:w="58" w:type="dxa"/>
              <w:right w:w="58" w:type="dxa"/>
            </w:tcMar>
            <w:hideMark/>
          </w:tcPr>
          <w:p w:rsidR="00A52642" w:rsidRPr="0056461F" w:rsidRDefault="00A52642"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52642" w:rsidRPr="00372CCD" w:rsidRDefault="00A52642" w:rsidP="00A52642">
            <w:pPr>
              <w:spacing w:before="20" w:after="20"/>
              <w:rPr>
                <w:sz w:val="18"/>
                <w:szCs w:val="18"/>
              </w:rPr>
            </w:pPr>
            <w:r w:rsidRPr="00372CCD">
              <w:rPr>
                <w:sz w:val="18"/>
                <w:szCs w:val="18"/>
              </w:rPr>
              <w:t>Adult Biometric Measures</w:t>
            </w:r>
          </w:p>
        </w:tc>
        <w:tc>
          <w:tcPr>
            <w:tcW w:w="655" w:type="pct"/>
            <w:tcMar>
              <w:left w:w="58" w:type="dxa"/>
              <w:right w:w="58" w:type="dxa"/>
            </w:tcMar>
            <w:vAlign w:val="center"/>
          </w:tcPr>
          <w:p w:rsidR="00A52642" w:rsidRPr="0056461F" w:rsidRDefault="00A52642" w:rsidP="00A52642">
            <w:pPr>
              <w:spacing w:before="20" w:after="20"/>
              <w:contextualSpacing/>
              <w:jc w:val="center"/>
              <w:rPr>
                <w:sz w:val="18"/>
                <w:szCs w:val="18"/>
              </w:rPr>
            </w:pPr>
            <w:r w:rsidRPr="0056461F">
              <w:rPr>
                <w:sz w:val="18"/>
                <w:szCs w:val="18"/>
              </w:rPr>
              <w:t>2,667</w:t>
            </w:r>
          </w:p>
        </w:tc>
        <w:tc>
          <w:tcPr>
            <w:tcW w:w="656" w:type="pct"/>
            <w:tcMar>
              <w:top w:w="0" w:type="dxa"/>
              <w:left w:w="58" w:type="dxa"/>
              <w:bottom w:w="0" w:type="dxa"/>
              <w:right w:w="58" w:type="dxa"/>
            </w:tcMar>
            <w:vAlign w:val="center"/>
            <w:hideMark/>
          </w:tcPr>
          <w:p w:rsidR="00A52642" w:rsidRPr="0056461F" w:rsidRDefault="00A52642" w:rsidP="00A52642">
            <w:pPr>
              <w:spacing w:before="20" w:after="20"/>
              <w:contextualSpacing/>
              <w:jc w:val="center"/>
              <w:rPr>
                <w:sz w:val="18"/>
                <w:szCs w:val="18"/>
              </w:rPr>
            </w:pPr>
            <w:r w:rsidRPr="0056461F">
              <w:rPr>
                <w:sz w:val="18"/>
                <w:szCs w:val="18"/>
              </w:rPr>
              <w:t>1</w:t>
            </w:r>
          </w:p>
        </w:tc>
        <w:tc>
          <w:tcPr>
            <w:tcW w:w="581" w:type="pct"/>
            <w:tcMar>
              <w:top w:w="0" w:type="dxa"/>
              <w:left w:w="58" w:type="dxa"/>
              <w:bottom w:w="0" w:type="dxa"/>
              <w:right w:w="58" w:type="dxa"/>
            </w:tcMar>
            <w:vAlign w:val="center"/>
            <w:hideMark/>
          </w:tcPr>
          <w:p w:rsidR="00A52642" w:rsidRPr="0056461F" w:rsidRDefault="00A52642" w:rsidP="00A52642">
            <w:pPr>
              <w:spacing w:before="20" w:after="20"/>
              <w:contextualSpacing/>
              <w:jc w:val="center"/>
              <w:rPr>
                <w:sz w:val="18"/>
                <w:szCs w:val="18"/>
              </w:rPr>
            </w:pPr>
            <w:r>
              <w:rPr>
                <w:sz w:val="18"/>
                <w:szCs w:val="18"/>
              </w:rPr>
              <w:t>1,334</w:t>
            </w:r>
          </w:p>
        </w:tc>
        <w:tc>
          <w:tcPr>
            <w:tcW w:w="581" w:type="pct"/>
          </w:tcPr>
          <w:p w:rsidR="00A52642" w:rsidRDefault="00A52642" w:rsidP="00A52642">
            <w:pPr>
              <w:spacing w:before="20" w:after="20"/>
              <w:contextualSpacing/>
              <w:jc w:val="center"/>
              <w:rPr>
                <w:sz w:val="18"/>
                <w:szCs w:val="18"/>
              </w:rPr>
            </w:pPr>
            <w:r w:rsidRPr="0056461F">
              <w:rPr>
                <w:sz w:val="18"/>
                <w:szCs w:val="18"/>
              </w:rPr>
              <w:t>$22.33</w:t>
            </w:r>
          </w:p>
        </w:tc>
        <w:tc>
          <w:tcPr>
            <w:tcW w:w="581" w:type="pct"/>
          </w:tcPr>
          <w:p w:rsidR="00A52642" w:rsidRDefault="0013519F" w:rsidP="00A52642">
            <w:pPr>
              <w:spacing w:before="20" w:after="20"/>
              <w:contextualSpacing/>
              <w:jc w:val="center"/>
              <w:rPr>
                <w:sz w:val="18"/>
                <w:szCs w:val="18"/>
              </w:rPr>
            </w:pPr>
            <w:r>
              <w:rPr>
                <w:sz w:val="18"/>
                <w:szCs w:val="18"/>
              </w:rPr>
              <w:t>$29,788</w:t>
            </w:r>
          </w:p>
        </w:tc>
      </w:tr>
      <w:tr w:rsidR="00A52642" w:rsidRPr="0056461F" w:rsidTr="00AF257D">
        <w:trPr>
          <w:cantSplit/>
        </w:trPr>
        <w:tc>
          <w:tcPr>
            <w:tcW w:w="815" w:type="pct"/>
            <w:vMerge/>
            <w:tcMar>
              <w:left w:w="58" w:type="dxa"/>
              <w:right w:w="58" w:type="dxa"/>
            </w:tcMar>
            <w:hideMark/>
          </w:tcPr>
          <w:p w:rsidR="00A52642" w:rsidRPr="0056461F" w:rsidRDefault="00A52642"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52642" w:rsidRPr="00372CCD" w:rsidRDefault="00A52642" w:rsidP="00A52642">
            <w:pPr>
              <w:spacing w:before="20" w:after="20"/>
              <w:rPr>
                <w:sz w:val="18"/>
                <w:szCs w:val="18"/>
              </w:rPr>
            </w:pPr>
            <w:r w:rsidRPr="00372CCD">
              <w:rPr>
                <w:sz w:val="18"/>
                <w:szCs w:val="18"/>
              </w:rPr>
              <w:t xml:space="preserve">Adult Activity Diary </w:t>
            </w:r>
          </w:p>
        </w:tc>
        <w:tc>
          <w:tcPr>
            <w:tcW w:w="655" w:type="pct"/>
            <w:tcMar>
              <w:left w:w="58" w:type="dxa"/>
              <w:right w:w="58" w:type="dxa"/>
            </w:tcMar>
            <w:vAlign w:val="center"/>
          </w:tcPr>
          <w:p w:rsidR="00A52642" w:rsidRPr="0056461F" w:rsidRDefault="00A52642" w:rsidP="00A52642">
            <w:pPr>
              <w:spacing w:before="20" w:after="20"/>
              <w:contextualSpacing/>
              <w:jc w:val="center"/>
              <w:rPr>
                <w:sz w:val="18"/>
                <w:szCs w:val="18"/>
              </w:rPr>
            </w:pPr>
            <w:r w:rsidRPr="0056461F">
              <w:rPr>
                <w:sz w:val="18"/>
                <w:szCs w:val="18"/>
              </w:rPr>
              <w:t>167</w:t>
            </w:r>
          </w:p>
        </w:tc>
        <w:tc>
          <w:tcPr>
            <w:tcW w:w="656" w:type="pct"/>
            <w:tcMar>
              <w:top w:w="0" w:type="dxa"/>
              <w:left w:w="58" w:type="dxa"/>
              <w:bottom w:w="0" w:type="dxa"/>
              <w:right w:w="58" w:type="dxa"/>
            </w:tcMar>
            <w:vAlign w:val="center"/>
            <w:hideMark/>
          </w:tcPr>
          <w:p w:rsidR="00A52642" w:rsidRPr="0056461F" w:rsidRDefault="00A52642" w:rsidP="00A52642">
            <w:pPr>
              <w:spacing w:before="20" w:after="20"/>
              <w:contextualSpacing/>
              <w:jc w:val="center"/>
              <w:rPr>
                <w:sz w:val="18"/>
                <w:szCs w:val="18"/>
              </w:rPr>
            </w:pPr>
            <w:r w:rsidRPr="0056461F">
              <w:rPr>
                <w:sz w:val="18"/>
                <w:szCs w:val="18"/>
              </w:rPr>
              <w:t>1</w:t>
            </w:r>
          </w:p>
        </w:tc>
        <w:tc>
          <w:tcPr>
            <w:tcW w:w="581" w:type="pct"/>
            <w:tcMar>
              <w:top w:w="0" w:type="dxa"/>
              <w:left w:w="58" w:type="dxa"/>
              <w:bottom w:w="0" w:type="dxa"/>
              <w:right w:w="58" w:type="dxa"/>
            </w:tcMar>
            <w:vAlign w:val="center"/>
            <w:hideMark/>
          </w:tcPr>
          <w:p w:rsidR="00A52642" w:rsidRPr="0056461F" w:rsidRDefault="00A52642" w:rsidP="00A52642">
            <w:pPr>
              <w:spacing w:before="20" w:after="20"/>
              <w:contextualSpacing/>
              <w:jc w:val="center"/>
              <w:rPr>
                <w:sz w:val="18"/>
                <w:szCs w:val="18"/>
              </w:rPr>
            </w:pPr>
            <w:r>
              <w:rPr>
                <w:sz w:val="18"/>
                <w:szCs w:val="18"/>
              </w:rPr>
              <w:t>56</w:t>
            </w:r>
          </w:p>
        </w:tc>
        <w:tc>
          <w:tcPr>
            <w:tcW w:w="581" w:type="pct"/>
          </w:tcPr>
          <w:p w:rsidR="00A52642" w:rsidRDefault="00A52642" w:rsidP="00A52642">
            <w:pPr>
              <w:spacing w:before="20" w:after="20"/>
              <w:contextualSpacing/>
              <w:jc w:val="center"/>
              <w:rPr>
                <w:sz w:val="18"/>
                <w:szCs w:val="18"/>
              </w:rPr>
            </w:pPr>
            <w:r w:rsidRPr="0056461F">
              <w:rPr>
                <w:sz w:val="18"/>
                <w:szCs w:val="18"/>
              </w:rPr>
              <w:t>$22.33</w:t>
            </w:r>
          </w:p>
        </w:tc>
        <w:tc>
          <w:tcPr>
            <w:tcW w:w="581" w:type="pct"/>
          </w:tcPr>
          <w:p w:rsidR="00A52642" w:rsidRDefault="0013519F" w:rsidP="00A52642">
            <w:pPr>
              <w:spacing w:before="20" w:after="20"/>
              <w:contextualSpacing/>
              <w:jc w:val="center"/>
              <w:rPr>
                <w:sz w:val="18"/>
                <w:szCs w:val="18"/>
              </w:rPr>
            </w:pPr>
            <w:r>
              <w:rPr>
                <w:sz w:val="18"/>
                <w:szCs w:val="18"/>
              </w:rPr>
              <w:t>$1,250</w:t>
            </w:r>
          </w:p>
        </w:tc>
      </w:tr>
      <w:tr w:rsidR="00AF257D" w:rsidRPr="0056461F" w:rsidTr="00AF257D">
        <w:trPr>
          <w:cantSplit/>
        </w:trPr>
        <w:tc>
          <w:tcPr>
            <w:tcW w:w="815" w:type="pct"/>
            <w:vMerge/>
            <w:tcMar>
              <w:left w:w="58" w:type="dxa"/>
              <w:right w:w="58" w:type="dxa"/>
            </w:tcMar>
          </w:tcPr>
          <w:p w:rsidR="00AF257D" w:rsidRPr="0056461F" w:rsidRDefault="00AF257D" w:rsidP="00A52642">
            <w:pPr>
              <w:spacing w:before="20" w:after="20"/>
              <w:contextualSpacing/>
              <w:rPr>
                <w:sz w:val="18"/>
                <w:szCs w:val="18"/>
              </w:rPr>
            </w:pPr>
          </w:p>
        </w:tc>
        <w:tc>
          <w:tcPr>
            <w:tcW w:w="1131" w:type="pct"/>
            <w:tcMar>
              <w:top w:w="0" w:type="dxa"/>
              <w:left w:w="58" w:type="dxa"/>
              <w:bottom w:w="0" w:type="dxa"/>
              <w:right w:w="58" w:type="dxa"/>
            </w:tcMar>
            <w:vAlign w:val="center"/>
          </w:tcPr>
          <w:p w:rsidR="00AF257D" w:rsidRPr="00372CCD" w:rsidRDefault="00AF257D" w:rsidP="00A52642">
            <w:pPr>
              <w:spacing w:before="20" w:after="20"/>
              <w:rPr>
                <w:sz w:val="18"/>
                <w:szCs w:val="18"/>
              </w:rPr>
            </w:pPr>
            <w:r w:rsidRPr="00372CCD">
              <w:rPr>
                <w:sz w:val="18"/>
                <w:szCs w:val="18"/>
              </w:rPr>
              <w:t xml:space="preserve">Youth Activity Diary </w:t>
            </w:r>
          </w:p>
        </w:tc>
        <w:tc>
          <w:tcPr>
            <w:tcW w:w="655" w:type="pct"/>
            <w:tcMar>
              <w:left w:w="58"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100</w:t>
            </w:r>
          </w:p>
        </w:tc>
        <w:tc>
          <w:tcPr>
            <w:tcW w:w="656" w:type="pct"/>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1</w:t>
            </w:r>
          </w:p>
        </w:tc>
        <w:tc>
          <w:tcPr>
            <w:tcW w:w="581" w:type="pct"/>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Pr>
                <w:sz w:val="18"/>
                <w:szCs w:val="18"/>
              </w:rPr>
              <w:t>33</w:t>
            </w:r>
          </w:p>
        </w:tc>
        <w:tc>
          <w:tcPr>
            <w:tcW w:w="581" w:type="pct"/>
          </w:tcPr>
          <w:p w:rsidR="00AF257D" w:rsidRPr="0056461F" w:rsidRDefault="00AF257D" w:rsidP="00A52642">
            <w:pPr>
              <w:spacing w:before="20" w:after="20"/>
              <w:contextualSpacing/>
              <w:jc w:val="center"/>
              <w:rPr>
                <w:sz w:val="18"/>
                <w:szCs w:val="18"/>
              </w:rPr>
            </w:pPr>
            <w:r w:rsidRPr="0056461F">
              <w:rPr>
                <w:sz w:val="18"/>
                <w:szCs w:val="18"/>
              </w:rPr>
              <w:t>$22.33</w:t>
            </w:r>
          </w:p>
        </w:tc>
        <w:tc>
          <w:tcPr>
            <w:tcW w:w="581" w:type="pct"/>
          </w:tcPr>
          <w:p w:rsidR="00AF257D" w:rsidRDefault="00AF257D" w:rsidP="00A52642">
            <w:pPr>
              <w:spacing w:before="20" w:after="20"/>
              <w:contextualSpacing/>
              <w:jc w:val="center"/>
              <w:rPr>
                <w:sz w:val="18"/>
                <w:szCs w:val="18"/>
              </w:rPr>
            </w:pPr>
            <w:r>
              <w:rPr>
                <w:sz w:val="18"/>
                <w:szCs w:val="18"/>
              </w:rPr>
              <w:t>$737</w:t>
            </w:r>
          </w:p>
        </w:tc>
      </w:tr>
      <w:tr w:rsidR="00AF257D" w:rsidRPr="0056461F" w:rsidTr="00AF257D">
        <w:trPr>
          <w:cantSplit/>
        </w:trPr>
        <w:tc>
          <w:tcPr>
            <w:tcW w:w="815" w:type="pct"/>
            <w:vMerge/>
            <w:tcMar>
              <w:left w:w="58" w:type="dxa"/>
              <w:right w:w="58" w:type="dxa"/>
            </w:tcMar>
          </w:tcPr>
          <w:p w:rsidR="00AF257D" w:rsidRPr="0056461F" w:rsidRDefault="00AF257D" w:rsidP="00A52642">
            <w:pPr>
              <w:spacing w:before="20" w:after="20"/>
              <w:contextualSpacing/>
              <w:rPr>
                <w:sz w:val="18"/>
                <w:szCs w:val="18"/>
              </w:rPr>
            </w:pPr>
          </w:p>
        </w:tc>
        <w:tc>
          <w:tcPr>
            <w:tcW w:w="1131" w:type="pct"/>
            <w:tcMar>
              <w:top w:w="0" w:type="dxa"/>
              <w:left w:w="58" w:type="dxa"/>
              <w:bottom w:w="0" w:type="dxa"/>
              <w:right w:w="58" w:type="dxa"/>
            </w:tcMar>
            <w:vAlign w:val="center"/>
          </w:tcPr>
          <w:p w:rsidR="00AF257D" w:rsidRPr="00372CCD" w:rsidRDefault="00AF257D" w:rsidP="00A52642">
            <w:pPr>
              <w:spacing w:before="20" w:after="20"/>
              <w:rPr>
                <w:sz w:val="18"/>
                <w:szCs w:val="18"/>
              </w:rPr>
            </w:pPr>
            <w:r w:rsidRPr="00372CCD">
              <w:rPr>
                <w:sz w:val="18"/>
                <w:szCs w:val="18"/>
              </w:rPr>
              <w:t xml:space="preserve">Caregiver Survey </w:t>
            </w:r>
          </w:p>
        </w:tc>
        <w:tc>
          <w:tcPr>
            <w:tcW w:w="655" w:type="pct"/>
            <w:tcMar>
              <w:left w:w="58"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960</w:t>
            </w:r>
          </w:p>
        </w:tc>
        <w:tc>
          <w:tcPr>
            <w:tcW w:w="656" w:type="pct"/>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1</w:t>
            </w:r>
          </w:p>
        </w:tc>
        <w:tc>
          <w:tcPr>
            <w:tcW w:w="581" w:type="pct"/>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320</w:t>
            </w:r>
          </w:p>
        </w:tc>
        <w:tc>
          <w:tcPr>
            <w:tcW w:w="581" w:type="pct"/>
          </w:tcPr>
          <w:p w:rsidR="00AF257D" w:rsidRPr="0056461F" w:rsidRDefault="00AF257D" w:rsidP="00A52642">
            <w:pPr>
              <w:spacing w:before="20" w:after="20"/>
              <w:contextualSpacing/>
              <w:jc w:val="center"/>
              <w:rPr>
                <w:sz w:val="18"/>
                <w:szCs w:val="18"/>
              </w:rPr>
            </w:pPr>
            <w:r w:rsidRPr="0056461F">
              <w:rPr>
                <w:sz w:val="18"/>
                <w:szCs w:val="18"/>
              </w:rPr>
              <w:t>$22.33</w:t>
            </w:r>
          </w:p>
        </w:tc>
        <w:tc>
          <w:tcPr>
            <w:tcW w:w="581" w:type="pct"/>
          </w:tcPr>
          <w:p w:rsidR="00AF257D" w:rsidRPr="0056461F" w:rsidRDefault="00AF257D" w:rsidP="00A52642">
            <w:pPr>
              <w:spacing w:before="20" w:after="20"/>
              <w:contextualSpacing/>
              <w:jc w:val="center"/>
              <w:rPr>
                <w:sz w:val="18"/>
                <w:szCs w:val="18"/>
              </w:rPr>
            </w:pPr>
            <w:r>
              <w:rPr>
                <w:sz w:val="18"/>
                <w:szCs w:val="18"/>
              </w:rPr>
              <w:t>$7,146</w:t>
            </w:r>
          </w:p>
        </w:tc>
      </w:tr>
      <w:tr w:rsidR="00AF257D" w:rsidRPr="0056461F" w:rsidTr="00AF257D">
        <w:trPr>
          <w:cantSplit/>
        </w:trPr>
        <w:tc>
          <w:tcPr>
            <w:tcW w:w="815" w:type="pct"/>
            <w:vMerge w:val="restart"/>
            <w:tcMar>
              <w:top w:w="0" w:type="dxa"/>
              <w:left w:w="58" w:type="dxa"/>
              <w:bottom w:w="0" w:type="dxa"/>
              <w:right w:w="58" w:type="dxa"/>
            </w:tcMar>
          </w:tcPr>
          <w:p w:rsidR="00AF257D" w:rsidRPr="0056461F" w:rsidRDefault="00AF257D" w:rsidP="00A52642">
            <w:pPr>
              <w:spacing w:before="20" w:after="20"/>
              <w:contextualSpacing/>
              <w:rPr>
                <w:sz w:val="18"/>
                <w:szCs w:val="18"/>
              </w:rPr>
            </w:pPr>
            <w:r w:rsidRPr="0056461F">
              <w:rPr>
                <w:sz w:val="18"/>
                <w:szCs w:val="18"/>
              </w:rPr>
              <w:t xml:space="preserve">Children completing in-home visit in </w:t>
            </w:r>
            <w:r w:rsidRPr="000F1DA4">
              <w:rPr>
                <w:i/>
                <w:sz w:val="18"/>
                <w:szCs w:val="18"/>
              </w:rPr>
              <w:t>Enhanced Protocol</w:t>
            </w:r>
          </w:p>
        </w:tc>
        <w:tc>
          <w:tcPr>
            <w:tcW w:w="1131" w:type="pct"/>
            <w:tcMar>
              <w:top w:w="0" w:type="dxa"/>
              <w:left w:w="58" w:type="dxa"/>
              <w:bottom w:w="0" w:type="dxa"/>
              <w:right w:w="58" w:type="dxa"/>
            </w:tcMar>
            <w:vAlign w:val="center"/>
          </w:tcPr>
          <w:p w:rsidR="00AF257D" w:rsidRPr="0056461F" w:rsidRDefault="00AF257D" w:rsidP="00A52642">
            <w:pPr>
              <w:spacing w:before="20" w:after="20"/>
              <w:ind w:left="47"/>
              <w:contextualSpacing/>
              <w:rPr>
                <w:sz w:val="18"/>
                <w:szCs w:val="18"/>
              </w:rPr>
            </w:pPr>
            <w:r w:rsidRPr="0056461F">
              <w:rPr>
                <w:sz w:val="18"/>
                <w:szCs w:val="18"/>
              </w:rPr>
              <w:t xml:space="preserve">Youth Survey </w:t>
            </w:r>
          </w:p>
        </w:tc>
        <w:tc>
          <w:tcPr>
            <w:tcW w:w="655" w:type="pct"/>
            <w:tcMar>
              <w:left w:w="58"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640</w:t>
            </w:r>
          </w:p>
        </w:tc>
        <w:tc>
          <w:tcPr>
            <w:tcW w:w="656" w:type="pct"/>
            <w:noWrap/>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1</w:t>
            </w:r>
          </w:p>
        </w:tc>
        <w:tc>
          <w:tcPr>
            <w:tcW w:w="581" w:type="pct"/>
            <w:noWrap/>
            <w:tcMar>
              <w:top w:w="0" w:type="dxa"/>
              <w:left w:w="58" w:type="dxa"/>
              <w:bottom w:w="0" w:type="dxa"/>
              <w:right w:w="58" w:type="dxa"/>
            </w:tcMar>
            <w:vAlign w:val="center"/>
          </w:tcPr>
          <w:p w:rsidR="00AF257D" w:rsidRPr="0056461F" w:rsidRDefault="00AF257D" w:rsidP="00A52642">
            <w:pPr>
              <w:spacing w:before="20" w:after="20"/>
              <w:contextualSpacing/>
              <w:jc w:val="center"/>
              <w:rPr>
                <w:sz w:val="18"/>
                <w:szCs w:val="18"/>
              </w:rPr>
            </w:pPr>
            <w:r>
              <w:rPr>
                <w:sz w:val="18"/>
                <w:szCs w:val="18"/>
              </w:rPr>
              <w:t>213</w:t>
            </w:r>
          </w:p>
        </w:tc>
        <w:tc>
          <w:tcPr>
            <w:tcW w:w="581" w:type="pct"/>
          </w:tcPr>
          <w:p w:rsidR="00AF257D" w:rsidRPr="0056461F" w:rsidRDefault="00AF257D" w:rsidP="00A52642">
            <w:pPr>
              <w:spacing w:before="40" w:after="40"/>
              <w:jc w:val="center"/>
              <w:rPr>
                <w:sz w:val="18"/>
                <w:szCs w:val="18"/>
              </w:rPr>
            </w:pPr>
            <w:r w:rsidRPr="0056461F">
              <w:rPr>
                <w:sz w:val="18"/>
                <w:szCs w:val="18"/>
              </w:rPr>
              <w:t>$0</w:t>
            </w:r>
          </w:p>
        </w:tc>
        <w:tc>
          <w:tcPr>
            <w:tcW w:w="581" w:type="pct"/>
          </w:tcPr>
          <w:p w:rsidR="00AF257D" w:rsidRDefault="00AF257D" w:rsidP="00A52642">
            <w:pPr>
              <w:spacing w:before="20" w:after="20"/>
              <w:contextualSpacing/>
              <w:jc w:val="center"/>
              <w:rPr>
                <w:sz w:val="18"/>
                <w:szCs w:val="18"/>
              </w:rPr>
            </w:pPr>
            <w:r>
              <w:rPr>
                <w:sz w:val="18"/>
                <w:szCs w:val="18"/>
              </w:rPr>
              <w:t>$0</w:t>
            </w:r>
          </w:p>
        </w:tc>
      </w:tr>
      <w:tr w:rsidR="00AF257D" w:rsidRPr="0056461F" w:rsidTr="00AF257D">
        <w:trPr>
          <w:cantSplit/>
        </w:trPr>
        <w:tc>
          <w:tcPr>
            <w:tcW w:w="815" w:type="pct"/>
            <w:vMerge/>
            <w:tcMar>
              <w:top w:w="0" w:type="dxa"/>
              <w:left w:w="58" w:type="dxa"/>
              <w:bottom w:w="0" w:type="dxa"/>
              <w:right w:w="58" w:type="dxa"/>
            </w:tcMar>
            <w:vAlign w:val="center"/>
          </w:tcPr>
          <w:p w:rsidR="00AF257D" w:rsidRPr="0056461F" w:rsidRDefault="00AF257D"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F257D" w:rsidRPr="0056461F" w:rsidRDefault="00AF257D" w:rsidP="00A52642">
            <w:pPr>
              <w:spacing w:before="20" w:after="20"/>
              <w:ind w:left="47"/>
              <w:contextualSpacing/>
              <w:rPr>
                <w:sz w:val="18"/>
                <w:szCs w:val="18"/>
              </w:rPr>
            </w:pPr>
            <w:r w:rsidRPr="0056461F">
              <w:rPr>
                <w:sz w:val="18"/>
                <w:szCs w:val="18"/>
              </w:rPr>
              <w:t>Youth Biometric Measures</w:t>
            </w:r>
          </w:p>
        </w:tc>
        <w:tc>
          <w:tcPr>
            <w:tcW w:w="655" w:type="pct"/>
            <w:tcMar>
              <w:left w:w="58"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1</w:t>
            </w:r>
            <w:r>
              <w:rPr>
                <w:sz w:val="18"/>
                <w:szCs w:val="18"/>
              </w:rPr>
              <w:t>,</w:t>
            </w:r>
            <w:r w:rsidRPr="0056461F">
              <w:rPr>
                <w:sz w:val="18"/>
                <w:szCs w:val="18"/>
              </w:rPr>
              <w:t>600</w:t>
            </w:r>
          </w:p>
        </w:tc>
        <w:tc>
          <w:tcPr>
            <w:tcW w:w="656"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r w:rsidRPr="0056461F">
              <w:rPr>
                <w:sz w:val="18"/>
                <w:szCs w:val="18"/>
              </w:rPr>
              <w:t>1</w:t>
            </w:r>
          </w:p>
        </w:tc>
        <w:tc>
          <w:tcPr>
            <w:tcW w:w="581"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r w:rsidRPr="0056461F">
              <w:rPr>
                <w:sz w:val="18"/>
                <w:szCs w:val="18"/>
              </w:rPr>
              <w:t>533</w:t>
            </w:r>
          </w:p>
        </w:tc>
        <w:tc>
          <w:tcPr>
            <w:tcW w:w="581" w:type="pct"/>
          </w:tcPr>
          <w:p w:rsidR="00AF257D" w:rsidRPr="0056461F" w:rsidRDefault="00AF257D" w:rsidP="00A52642">
            <w:pPr>
              <w:spacing w:before="40" w:after="40"/>
              <w:jc w:val="center"/>
              <w:rPr>
                <w:sz w:val="18"/>
                <w:szCs w:val="18"/>
              </w:rPr>
            </w:pPr>
            <w:r w:rsidRPr="0056461F">
              <w:rPr>
                <w:sz w:val="18"/>
                <w:szCs w:val="18"/>
              </w:rPr>
              <w:t>$0</w:t>
            </w:r>
          </w:p>
        </w:tc>
        <w:tc>
          <w:tcPr>
            <w:tcW w:w="581" w:type="pct"/>
          </w:tcPr>
          <w:p w:rsidR="00AF257D" w:rsidRPr="0056461F" w:rsidRDefault="00AF257D" w:rsidP="00A52642">
            <w:pPr>
              <w:spacing w:before="20" w:after="20"/>
              <w:contextualSpacing/>
              <w:jc w:val="center"/>
              <w:rPr>
                <w:sz w:val="18"/>
                <w:szCs w:val="18"/>
              </w:rPr>
            </w:pPr>
            <w:r>
              <w:rPr>
                <w:sz w:val="18"/>
                <w:szCs w:val="18"/>
              </w:rPr>
              <w:t>$0</w:t>
            </w:r>
          </w:p>
        </w:tc>
      </w:tr>
      <w:tr w:rsidR="00AF257D" w:rsidRPr="0056461F" w:rsidTr="00AF257D">
        <w:trPr>
          <w:cantSplit/>
        </w:trPr>
        <w:tc>
          <w:tcPr>
            <w:tcW w:w="815" w:type="pct"/>
            <w:vMerge/>
            <w:tcMar>
              <w:left w:w="58" w:type="dxa"/>
              <w:right w:w="58" w:type="dxa"/>
            </w:tcMar>
            <w:vAlign w:val="center"/>
            <w:hideMark/>
          </w:tcPr>
          <w:p w:rsidR="00AF257D" w:rsidRPr="0056461F" w:rsidRDefault="00AF257D" w:rsidP="00A52642">
            <w:pPr>
              <w:spacing w:before="20" w:after="20"/>
              <w:contextualSpacing/>
              <w:rPr>
                <w:sz w:val="18"/>
                <w:szCs w:val="18"/>
              </w:rPr>
            </w:pPr>
          </w:p>
        </w:tc>
        <w:tc>
          <w:tcPr>
            <w:tcW w:w="1131" w:type="pct"/>
            <w:tcMar>
              <w:top w:w="0" w:type="dxa"/>
              <w:left w:w="58" w:type="dxa"/>
              <w:bottom w:w="0" w:type="dxa"/>
              <w:right w:w="58" w:type="dxa"/>
            </w:tcMar>
            <w:vAlign w:val="center"/>
            <w:hideMark/>
          </w:tcPr>
          <w:p w:rsidR="00AF257D" w:rsidRPr="0056461F" w:rsidRDefault="00AF257D" w:rsidP="00A52642">
            <w:pPr>
              <w:spacing w:before="20" w:after="20"/>
              <w:ind w:left="47"/>
              <w:contextualSpacing/>
              <w:rPr>
                <w:sz w:val="18"/>
                <w:szCs w:val="18"/>
              </w:rPr>
            </w:pPr>
            <w:r w:rsidRPr="0056461F">
              <w:rPr>
                <w:sz w:val="18"/>
                <w:szCs w:val="18"/>
              </w:rPr>
              <w:t xml:space="preserve">Youth Activity Diary </w:t>
            </w:r>
          </w:p>
        </w:tc>
        <w:tc>
          <w:tcPr>
            <w:tcW w:w="655" w:type="pct"/>
            <w:tcMar>
              <w:left w:w="58" w:type="dxa"/>
              <w:right w:w="58" w:type="dxa"/>
            </w:tcMar>
            <w:vAlign w:val="center"/>
          </w:tcPr>
          <w:p w:rsidR="00AF257D" w:rsidRPr="0056461F" w:rsidRDefault="00AF257D" w:rsidP="00A52642">
            <w:pPr>
              <w:spacing w:before="20" w:after="20"/>
              <w:contextualSpacing/>
              <w:jc w:val="center"/>
              <w:rPr>
                <w:sz w:val="18"/>
                <w:szCs w:val="18"/>
              </w:rPr>
            </w:pPr>
            <w:r w:rsidRPr="0056461F">
              <w:rPr>
                <w:sz w:val="18"/>
                <w:szCs w:val="18"/>
              </w:rPr>
              <w:t>67</w:t>
            </w:r>
          </w:p>
        </w:tc>
        <w:tc>
          <w:tcPr>
            <w:tcW w:w="656"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r w:rsidRPr="0056461F">
              <w:rPr>
                <w:sz w:val="18"/>
                <w:szCs w:val="18"/>
              </w:rPr>
              <w:t>1</w:t>
            </w:r>
          </w:p>
        </w:tc>
        <w:tc>
          <w:tcPr>
            <w:tcW w:w="581"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r w:rsidRPr="0056461F">
              <w:rPr>
                <w:sz w:val="18"/>
                <w:szCs w:val="18"/>
              </w:rPr>
              <w:t>22</w:t>
            </w:r>
          </w:p>
        </w:tc>
        <w:tc>
          <w:tcPr>
            <w:tcW w:w="581" w:type="pct"/>
          </w:tcPr>
          <w:p w:rsidR="00AF257D" w:rsidRPr="0056461F" w:rsidRDefault="00AF257D" w:rsidP="00A52642">
            <w:pPr>
              <w:spacing w:before="20" w:after="20"/>
              <w:contextualSpacing/>
              <w:jc w:val="center"/>
              <w:rPr>
                <w:sz w:val="18"/>
                <w:szCs w:val="18"/>
              </w:rPr>
            </w:pPr>
            <w:r w:rsidRPr="0056461F">
              <w:rPr>
                <w:sz w:val="18"/>
                <w:szCs w:val="18"/>
              </w:rPr>
              <w:t>$0</w:t>
            </w:r>
          </w:p>
        </w:tc>
        <w:tc>
          <w:tcPr>
            <w:tcW w:w="581" w:type="pct"/>
          </w:tcPr>
          <w:p w:rsidR="00AF257D" w:rsidRPr="0056461F" w:rsidRDefault="00AF257D" w:rsidP="00A52642">
            <w:pPr>
              <w:spacing w:before="20" w:after="20"/>
              <w:contextualSpacing/>
              <w:jc w:val="center"/>
              <w:rPr>
                <w:sz w:val="18"/>
                <w:szCs w:val="18"/>
              </w:rPr>
            </w:pPr>
            <w:r>
              <w:rPr>
                <w:sz w:val="18"/>
                <w:szCs w:val="18"/>
              </w:rPr>
              <w:t>$0</w:t>
            </w:r>
          </w:p>
        </w:tc>
      </w:tr>
      <w:tr w:rsidR="00AF257D" w:rsidRPr="0056461F" w:rsidTr="00AF257D">
        <w:trPr>
          <w:cantSplit/>
        </w:trPr>
        <w:tc>
          <w:tcPr>
            <w:tcW w:w="815" w:type="pct"/>
            <w:tcMar>
              <w:left w:w="58" w:type="dxa"/>
              <w:right w:w="58" w:type="dxa"/>
            </w:tcMar>
            <w:vAlign w:val="center"/>
            <w:hideMark/>
          </w:tcPr>
          <w:p w:rsidR="00AF257D" w:rsidRPr="0056461F" w:rsidRDefault="00AF257D" w:rsidP="0013519F">
            <w:pPr>
              <w:spacing w:before="40" w:after="40"/>
              <w:rPr>
                <w:b/>
                <w:bCs/>
                <w:sz w:val="18"/>
                <w:szCs w:val="18"/>
              </w:rPr>
            </w:pPr>
            <w:r w:rsidRPr="0056461F">
              <w:rPr>
                <w:b/>
                <w:bCs/>
                <w:sz w:val="18"/>
                <w:szCs w:val="18"/>
              </w:rPr>
              <w:t>Total Annualized Cost</w:t>
            </w:r>
          </w:p>
        </w:tc>
        <w:tc>
          <w:tcPr>
            <w:tcW w:w="1131" w:type="pct"/>
            <w:tcMar>
              <w:top w:w="0" w:type="dxa"/>
              <w:left w:w="58" w:type="dxa"/>
              <w:bottom w:w="0" w:type="dxa"/>
              <w:right w:w="58" w:type="dxa"/>
            </w:tcMar>
            <w:hideMark/>
          </w:tcPr>
          <w:p w:rsidR="00AF257D" w:rsidRPr="0056461F" w:rsidRDefault="00AF257D" w:rsidP="0013519F">
            <w:pPr>
              <w:spacing w:before="40" w:after="40"/>
              <w:jc w:val="center"/>
              <w:rPr>
                <w:b/>
                <w:bCs/>
                <w:sz w:val="18"/>
                <w:szCs w:val="18"/>
              </w:rPr>
            </w:pPr>
          </w:p>
        </w:tc>
        <w:tc>
          <w:tcPr>
            <w:tcW w:w="655" w:type="pct"/>
            <w:tcMar>
              <w:left w:w="58" w:type="dxa"/>
              <w:right w:w="58" w:type="dxa"/>
            </w:tcMar>
          </w:tcPr>
          <w:p w:rsidR="00AF257D" w:rsidRPr="0056461F" w:rsidRDefault="00AF257D" w:rsidP="0013519F">
            <w:pPr>
              <w:spacing w:before="40" w:after="40"/>
              <w:jc w:val="center"/>
              <w:rPr>
                <w:b/>
                <w:bCs/>
                <w:sz w:val="18"/>
                <w:szCs w:val="18"/>
              </w:rPr>
            </w:pPr>
          </w:p>
        </w:tc>
        <w:tc>
          <w:tcPr>
            <w:tcW w:w="656"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p>
        </w:tc>
        <w:tc>
          <w:tcPr>
            <w:tcW w:w="581" w:type="pct"/>
            <w:noWrap/>
            <w:tcMar>
              <w:top w:w="0" w:type="dxa"/>
              <w:left w:w="58" w:type="dxa"/>
              <w:bottom w:w="0" w:type="dxa"/>
              <w:right w:w="58" w:type="dxa"/>
            </w:tcMar>
            <w:vAlign w:val="center"/>
            <w:hideMark/>
          </w:tcPr>
          <w:p w:rsidR="00AF257D" w:rsidRPr="0056461F" w:rsidRDefault="00AF257D" w:rsidP="00A52642">
            <w:pPr>
              <w:spacing w:before="20" w:after="20"/>
              <w:contextualSpacing/>
              <w:jc w:val="center"/>
              <w:rPr>
                <w:sz w:val="18"/>
                <w:szCs w:val="18"/>
              </w:rPr>
            </w:pPr>
          </w:p>
        </w:tc>
        <w:tc>
          <w:tcPr>
            <w:tcW w:w="581" w:type="pct"/>
          </w:tcPr>
          <w:p w:rsidR="00AF257D" w:rsidRPr="0056461F" w:rsidRDefault="00AF257D" w:rsidP="00A52642">
            <w:pPr>
              <w:spacing w:before="20" w:after="20"/>
              <w:contextualSpacing/>
              <w:jc w:val="center"/>
              <w:rPr>
                <w:sz w:val="18"/>
                <w:szCs w:val="18"/>
              </w:rPr>
            </w:pPr>
          </w:p>
        </w:tc>
        <w:tc>
          <w:tcPr>
            <w:tcW w:w="581" w:type="pct"/>
          </w:tcPr>
          <w:p w:rsidR="00AF257D" w:rsidRPr="0056461F" w:rsidRDefault="00AF257D" w:rsidP="00A52642">
            <w:pPr>
              <w:spacing w:before="20" w:after="20"/>
              <w:contextualSpacing/>
              <w:jc w:val="center"/>
              <w:rPr>
                <w:sz w:val="18"/>
                <w:szCs w:val="18"/>
              </w:rPr>
            </w:pPr>
            <w:r>
              <w:rPr>
                <w:b/>
                <w:bCs/>
                <w:sz w:val="18"/>
                <w:szCs w:val="18"/>
              </w:rPr>
              <w:t>$236,519</w:t>
            </w:r>
          </w:p>
        </w:tc>
      </w:tr>
    </w:tbl>
    <w:p w:rsidR="00A52642" w:rsidRPr="0056461F" w:rsidRDefault="00A52642" w:rsidP="00C90014">
      <w:pPr>
        <w:pStyle w:val="ExhibitTitle"/>
      </w:pPr>
    </w:p>
    <w:p w:rsidR="008B68AA" w:rsidRPr="0056461F" w:rsidRDefault="008B68AA" w:rsidP="00C90014">
      <w:pPr>
        <w:pStyle w:val="BodyText"/>
        <w:spacing w:line="240" w:lineRule="auto"/>
      </w:pPr>
    </w:p>
    <w:p w:rsidR="00864B32" w:rsidRPr="0056461F" w:rsidRDefault="006A5713" w:rsidP="002C1227">
      <w:pPr>
        <w:pStyle w:val="Heading2"/>
        <w:spacing w:after="0"/>
      </w:pPr>
      <w:bookmarkStart w:id="34" w:name="_Toc348428807"/>
      <w:r w:rsidRPr="0056461F">
        <w:t>A</w:t>
      </w:r>
      <w:r w:rsidR="0085535A">
        <w:t>.</w:t>
      </w:r>
      <w:r w:rsidRPr="0056461F">
        <w:t>13</w:t>
      </w:r>
      <w:r w:rsidR="00347A06" w:rsidRPr="0056461F">
        <w:tab/>
      </w:r>
      <w:r w:rsidR="00864B32" w:rsidRPr="0056461F">
        <w:t>Estimates of Other Total Annual Cost Burden to Respondents or Record Keepers</w:t>
      </w:r>
      <w:bookmarkEnd w:id="34"/>
    </w:p>
    <w:p w:rsidR="00B77E2F" w:rsidRPr="0056461F" w:rsidRDefault="00B77E2F" w:rsidP="00C90014">
      <w:pPr>
        <w:pStyle w:val="BodyText"/>
        <w:spacing w:line="240" w:lineRule="auto"/>
        <w:ind w:left="0"/>
      </w:pPr>
      <w:r w:rsidRPr="0056461F">
        <w:t xml:space="preserve">No </w:t>
      </w:r>
      <w:r w:rsidR="002C6FBE" w:rsidRPr="0056461F">
        <w:t xml:space="preserve">additional </w:t>
      </w:r>
      <w:r w:rsidRPr="0056461F">
        <w:t>costs will be incurred by the respondents.</w:t>
      </w:r>
    </w:p>
    <w:p w:rsidR="00864B32" w:rsidRPr="0056461F" w:rsidRDefault="00864B32" w:rsidP="002C1227">
      <w:pPr>
        <w:pStyle w:val="Heading2"/>
        <w:spacing w:after="0"/>
      </w:pPr>
      <w:bookmarkStart w:id="35" w:name="_Toc348428808"/>
      <w:r w:rsidRPr="0056461F">
        <w:t>A</w:t>
      </w:r>
      <w:r w:rsidR="0085535A">
        <w:t>.</w:t>
      </w:r>
      <w:r w:rsidR="006A5713" w:rsidRPr="0056461F">
        <w:t>14</w:t>
      </w:r>
      <w:r w:rsidR="00347A06" w:rsidRPr="0056461F">
        <w:tab/>
      </w:r>
      <w:r w:rsidRPr="0056461F">
        <w:t>Annualized Cost to Federal Government</w:t>
      </w:r>
      <w:bookmarkEnd w:id="35"/>
    </w:p>
    <w:p w:rsidR="0042449C" w:rsidRPr="0056461F" w:rsidRDefault="001A205B" w:rsidP="00C90014">
      <w:pPr>
        <w:pStyle w:val="BodyText"/>
        <w:spacing w:line="240" w:lineRule="auto"/>
        <w:ind w:left="0"/>
      </w:pPr>
      <w:r w:rsidRPr="0056461F">
        <w:t>T</w:t>
      </w:r>
      <w:r w:rsidR="00AB000A" w:rsidRPr="0056461F">
        <w:t>wo</w:t>
      </w:r>
      <w:r w:rsidR="0042449C" w:rsidRPr="0056461F">
        <w:t xml:space="preserve"> types of costs to the Government will be incurred: (1)</w:t>
      </w:r>
      <w:r w:rsidR="009561F9" w:rsidRPr="0056461F">
        <w:t> </w:t>
      </w:r>
      <w:r w:rsidR="00EC76F7">
        <w:t>e</w:t>
      </w:r>
      <w:r w:rsidR="00EC76F7" w:rsidRPr="0056461F">
        <w:t xml:space="preserve">xternal </w:t>
      </w:r>
      <w:r w:rsidR="0042449C" w:rsidRPr="0056461F">
        <w:t xml:space="preserve">contracted data collection and analyses and (2) </w:t>
      </w:r>
      <w:r w:rsidR="00EC76F7">
        <w:t>g</w:t>
      </w:r>
      <w:r w:rsidR="00EC76F7" w:rsidRPr="0056461F">
        <w:t xml:space="preserve">overnment </w:t>
      </w:r>
      <w:r w:rsidR="0042449C" w:rsidRPr="0056461F">
        <w:t xml:space="preserve">personnel. </w:t>
      </w:r>
      <w:r w:rsidR="00763E26" w:rsidRPr="0056461F">
        <w:t>RTI is the data collection and management contractor.</w:t>
      </w:r>
      <w:r w:rsidR="00F41472" w:rsidRPr="0056461F">
        <w:t xml:space="preserve"> </w:t>
      </w:r>
      <w:r w:rsidR="0042449C" w:rsidRPr="0056461F">
        <w:t xml:space="preserve">Total </w:t>
      </w:r>
      <w:r w:rsidR="00EC76F7">
        <w:t>e</w:t>
      </w:r>
      <w:r w:rsidR="00EC76F7" w:rsidRPr="0056461F">
        <w:t xml:space="preserve">xternal </w:t>
      </w:r>
      <w:r w:rsidR="0042449C" w:rsidRPr="0056461F">
        <w:t>(</w:t>
      </w:r>
      <w:r w:rsidR="00EC76F7">
        <w:t>c</w:t>
      </w:r>
      <w:r w:rsidR="00EC76F7" w:rsidRPr="0056461F">
        <w:t>ontractor</w:t>
      </w:r>
      <w:r w:rsidR="0042449C" w:rsidRPr="0056461F">
        <w:t xml:space="preserve">) cost to the federal government for conducting this </w:t>
      </w:r>
      <w:r w:rsidR="001657F9" w:rsidRPr="0056461F">
        <w:t xml:space="preserve">program </w:t>
      </w:r>
      <w:r w:rsidR="0042449C" w:rsidRPr="0056461F">
        <w:t>evaluation</w:t>
      </w:r>
      <w:r w:rsidR="00763E26" w:rsidRPr="0056461F">
        <w:t xml:space="preserve"> </w:t>
      </w:r>
      <w:r w:rsidR="0042449C" w:rsidRPr="0056461F">
        <w:t xml:space="preserve">is $14,993,597 for the </w:t>
      </w:r>
      <w:r w:rsidR="00D82223">
        <w:t>three</w:t>
      </w:r>
      <w:r w:rsidR="00D82223" w:rsidRPr="0056461F">
        <w:t xml:space="preserve"> </w:t>
      </w:r>
      <w:r w:rsidR="0042449C" w:rsidRPr="0056461F">
        <w:t>years of the project. The annual</w:t>
      </w:r>
      <w:r w:rsidR="00763E26" w:rsidRPr="0056461F">
        <w:t>ized</w:t>
      </w:r>
      <w:r w:rsidR="0042449C" w:rsidRPr="0056461F">
        <w:t xml:space="preserve"> </w:t>
      </w:r>
      <w:r w:rsidR="00E25AEE">
        <w:t xml:space="preserve">external (contractor) </w:t>
      </w:r>
      <w:r w:rsidR="0042449C" w:rsidRPr="0056461F">
        <w:t xml:space="preserve">cost </w:t>
      </w:r>
      <w:r w:rsidR="002038E7" w:rsidRPr="0056461F">
        <w:t>of the Targeted Surveillance and Biometric Study</w:t>
      </w:r>
      <w:r w:rsidR="00763E26" w:rsidRPr="0056461F">
        <w:t xml:space="preserve"> </w:t>
      </w:r>
      <w:r w:rsidR="0042449C" w:rsidRPr="0056461F">
        <w:t>is $4,</w:t>
      </w:r>
      <w:r w:rsidR="00763E26" w:rsidRPr="0056461F">
        <w:t>997,866</w:t>
      </w:r>
      <w:r w:rsidR="00AF7DA5">
        <w:t xml:space="preserve"> (see Exhibit A.14.1)</w:t>
      </w:r>
      <w:r w:rsidR="0042449C" w:rsidRPr="0056461F">
        <w:t>.</w:t>
      </w:r>
      <w:r w:rsidR="00763E26" w:rsidRPr="0056461F">
        <w:t xml:space="preserve"> </w:t>
      </w:r>
    </w:p>
    <w:p w:rsidR="00763E26" w:rsidRPr="0056461F" w:rsidRDefault="00DE5FB9" w:rsidP="00AF7DA5">
      <w:pPr>
        <w:pStyle w:val="BodyText"/>
        <w:spacing w:line="240" w:lineRule="auto"/>
        <w:ind w:left="0"/>
      </w:pPr>
      <w:r w:rsidRPr="0056461F">
        <w:rPr>
          <w:bCs/>
        </w:rPr>
        <w:t>The government costs include personnel costs for federal staff involved in project oversight and</w:t>
      </w:r>
      <w:r w:rsidRPr="0056461F">
        <w:t xml:space="preserve"> development of this </w:t>
      </w:r>
      <w:r w:rsidR="005A3BA0" w:rsidRPr="0056461F">
        <w:t>ICR</w:t>
      </w:r>
      <w:r w:rsidRPr="0056461F">
        <w:t>; these efforts involve approximately 10% of a GS-13 public health analyst</w:t>
      </w:r>
      <w:r w:rsidR="001860A6" w:rsidRPr="0056461F">
        <w:t xml:space="preserve"> @$</w:t>
      </w:r>
      <w:r w:rsidR="00AF7DA5" w:rsidRPr="0056461F">
        <w:t>9</w:t>
      </w:r>
      <w:r w:rsidR="00AF7DA5">
        <w:t>7</w:t>
      </w:r>
      <w:r w:rsidR="001860A6" w:rsidRPr="0056461F">
        <w:t>,000/year ($</w:t>
      </w:r>
      <w:r w:rsidR="00E25AEE">
        <w:t>9,700</w:t>
      </w:r>
      <w:r w:rsidR="001860A6" w:rsidRPr="0056461F">
        <w:t>);</w:t>
      </w:r>
      <w:r w:rsidRPr="0056461F">
        <w:t xml:space="preserve"> 20% of a GS-13 scientist</w:t>
      </w:r>
      <w:r w:rsidR="001860A6" w:rsidRPr="0056461F">
        <w:t xml:space="preserve"> @$</w:t>
      </w:r>
      <w:r w:rsidR="00AF7DA5" w:rsidRPr="0056461F">
        <w:t>9</w:t>
      </w:r>
      <w:r w:rsidR="00AF7DA5">
        <w:t>7</w:t>
      </w:r>
      <w:r w:rsidR="001860A6" w:rsidRPr="0056461F">
        <w:t>,000/year ($</w:t>
      </w:r>
      <w:r w:rsidR="00E25AEE">
        <w:t>19,400</w:t>
      </w:r>
      <w:r w:rsidR="001860A6" w:rsidRPr="0056461F">
        <w:t>)</w:t>
      </w:r>
      <w:r w:rsidRPr="0056461F">
        <w:t>, and 1</w:t>
      </w:r>
      <w:r w:rsidR="006D222A" w:rsidRPr="0056461F">
        <w:t>5</w:t>
      </w:r>
      <w:r w:rsidRPr="0056461F">
        <w:t>% of a GS-14 scientist</w:t>
      </w:r>
      <w:r w:rsidR="001860A6" w:rsidRPr="0056461F">
        <w:t xml:space="preserve"> @</w:t>
      </w:r>
      <w:r w:rsidR="006D222A" w:rsidRPr="0056461F">
        <w:t>$</w:t>
      </w:r>
      <w:r w:rsidR="00AF7DA5" w:rsidRPr="0056461F">
        <w:t>11</w:t>
      </w:r>
      <w:r w:rsidR="00AF7DA5">
        <w:t>5</w:t>
      </w:r>
      <w:r w:rsidR="001860A6" w:rsidRPr="0056461F">
        <w:t>,000 ($</w:t>
      </w:r>
      <w:r w:rsidR="00E25AEE">
        <w:t>17,250</w:t>
      </w:r>
      <w:r w:rsidR="001860A6" w:rsidRPr="0056461F">
        <w:t>)</w:t>
      </w:r>
      <w:r w:rsidRPr="0056461F">
        <w:t>.</w:t>
      </w:r>
      <w:r w:rsidR="00F41472" w:rsidRPr="0056461F">
        <w:t xml:space="preserve"> </w:t>
      </w:r>
      <w:r w:rsidR="001860A6" w:rsidRPr="0056461F">
        <w:t>The estimated annualized cost of federal personnel is $</w:t>
      </w:r>
      <w:r w:rsidR="00AF7DA5">
        <w:t>46,350</w:t>
      </w:r>
      <w:r w:rsidR="001860A6" w:rsidRPr="0056461F">
        <w:t>.</w:t>
      </w:r>
    </w:p>
    <w:p w:rsidR="00DE5FB9" w:rsidRDefault="00DE5FB9" w:rsidP="00E25AEE">
      <w:pPr>
        <w:pStyle w:val="BodyText"/>
        <w:spacing w:line="240" w:lineRule="auto"/>
        <w:ind w:left="0"/>
      </w:pPr>
      <w:r w:rsidRPr="0056461F">
        <w:t xml:space="preserve">The total </w:t>
      </w:r>
      <w:r w:rsidR="007C0BFB" w:rsidRPr="0056461F">
        <w:t>annualized</w:t>
      </w:r>
      <w:r w:rsidR="00763E26" w:rsidRPr="0056461F">
        <w:t xml:space="preserve"> </w:t>
      </w:r>
      <w:r w:rsidRPr="0056461F">
        <w:t xml:space="preserve">cost to the </w:t>
      </w:r>
      <w:r w:rsidR="005A3BA0" w:rsidRPr="0056461F">
        <w:t xml:space="preserve">federal </w:t>
      </w:r>
      <w:r w:rsidRPr="0056461F">
        <w:t>government is $</w:t>
      </w:r>
      <w:r w:rsidR="00E25AEE">
        <w:t>5,044,216</w:t>
      </w:r>
      <w:r w:rsidRPr="0056461F">
        <w:t xml:space="preserve">. </w:t>
      </w:r>
    </w:p>
    <w:p w:rsidR="00AF7DA5" w:rsidRDefault="00AF7DA5" w:rsidP="00AF7DA5">
      <w:pPr>
        <w:pStyle w:val="ExhibitTitle"/>
      </w:pPr>
      <w:r>
        <w:lastRenderedPageBreak/>
        <w:t>Exhibit A.14.1</w:t>
      </w:r>
      <w:r>
        <w:tab/>
        <w:t>Itemized Annual 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3246"/>
        <w:gridCol w:w="2151"/>
        <w:gridCol w:w="2347"/>
        <w:gridCol w:w="1760"/>
      </w:tblGrid>
      <w:tr w:rsidR="00AF7DA5" w:rsidTr="00E25AEE">
        <w:trPr>
          <w:cantSplit/>
          <w:tblHeader/>
        </w:trPr>
        <w:tc>
          <w:tcPr>
            <w:tcW w:w="3246" w:type="dxa"/>
            <w:tcBorders>
              <w:top w:val="single" w:sz="4" w:space="0" w:color="auto"/>
              <w:left w:val="single" w:sz="4" w:space="0" w:color="auto"/>
              <w:bottom w:val="single" w:sz="4" w:space="0" w:color="auto"/>
              <w:right w:val="single" w:sz="4" w:space="0" w:color="auto"/>
            </w:tcBorders>
            <w:vAlign w:val="bottom"/>
            <w:hideMark/>
          </w:tcPr>
          <w:p w:rsidR="00AF7DA5" w:rsidRPr="00AF257D" w:rsidRDefault="00AF7DA5" w:rsidP="00AF7DA5">
            <w:pPr>
              <w:pStyle w:val="TableHeaders"/>
              <w:rPr>
                <w:rFonts w:asciiTheme="majorBidi" w:hAnsiTheme="majorBidi" w:cstheme="majorBidi"/>
              </w:rPr>
            </w:pPr>
            <w:r w:rsidRPr="00AF257D">
              <w:rPr>
                <w:rFonts w:asciiTheme="majorBidi" w:hAnsiTheme="majorBidi" w:cstheme="majorBidi"/>
              </w:rPr>
              <w:t>CDC Staff Member</w:t>
            </w:r>
          </w:p>
        </w:tc>
        <w:tc>
          <w:tcPr>
            <w:tcW w:w="2151" w:type="dxa"/>
            <w:tcBorders>
              <w:top w:val="single" w:sz="4" w:space="0" w:color="auto"/>
              <w:left w:val="single" w:sz="4" w:space="0" w:color="auto"/>
              <w:bottom w:val="single" w:sz="4" w:space="0" w:color="auto"/>
              <w:right w:val="single" w:sz="4" w:space="0" w:color="auto"/>
            </w:tcBorders>
            <w:vAlign w:val="bottom"/>
            <w:hideMark/>
          </w:tcPr>
          <w:p w:rsidR="00AF7DA5" w:rsidRPr="00AF257D" w:rsidRDefault="00AF7DA5" w:rsidP="00AF7DA5">
            <w:pPr>
              <w:pStyle w:val="TableHeaders"/>
              <w:rPr>
                <w:rFonts w:asciiTheme="majorBidi" w:hAnsiTheme="majorBidi" w:cstheme="majorBidi"/>
              </w:rPr>
            </w:pPr>
            <w:r w:rsidRPr="00AF257D">
              <w:rPr>
                <w:rFonts w:asciiTheme="majorBidi" w:hAnsiTheme="majorBidi" w:cstheme="majorBidi"/>
              </w:rPr>
              <w:t>Annual Salary</w:t>
            </w:r>
          </w:p>
        </w:tc>
        <w:tc>
          <w:tcPr>
            <w:tcW w:w="2347" w:type="dxa"/>
            <w:tcBorders>
              <w:top w:val="single" w:sz="4" w:space="0" w:color="auto"/>
              <w:left w:val="single" w:sz="4" w:space="0" w:color="auto"/>
              <w:bottom w:val="single" w:sz="4" w:space="0" w:color="auto"/>
              <w:right w:val="single" w:sz="4" w:space="0" w:color="auto"/>
            </w:tcBorders>
            <w:vAlign w:val="bottom"/>
            <w:hideMark/>
          </w:tcPr>
          <w:p w:rsidR="00AF7DA5" w:rsidRPr="00AF257D" w:rsidRDefault="00AF7DA5" w:rsidP="00AF7DA5">
            <w:pPr>
              <w:pStyle w:val="TableHeaders"/>
              <w:rPr>
                <w:rFonts w:asciiTheme="majorBidi" w:hAnsiTheme="majorBidi" w:cstheme="majorBidi"/>
              </w:rPr>
            </w:pPr>
            <w:r w:rsidRPr="00AF257D">
              <w:rPr>
                <w:rFonts w:asciiTheme="majorBidi" w:hAnsiTheme="majorBidi" w:cstheme="majorBidi"/>
              </w:rPr>
              <w:t>% Allocation (Annualized</w:t>
            </w:r>
          </w:p>
        </w:tc>
        <w:tc>
          <w:tcPr>
            <w:tcW w:w="1760" w:type="dxa"/>
            <w:tcBorders>
              <w:top w:val="single" w:sz="4" w:space="0" w:color="auto"/>
              <w:left w:val="single" w:sz="4" w:space="0" w:color="auto"/>
              <w:bottom w:val="single" w:sz="4" w:space="0" w:color="auto"/>
              <w:right w:val="single" w:sz="4" w:space="0" w:color="auto"/>
            </w:tcBorders>
            <w:vAlign w:val="bottom"/>
            <w:hideMark/>
          </w:tcPr>
          <w:p w:rsidR="00AF7DA5" w:rsidRPr="00AF257D" w:rsidRDefault="00AF7DA5" w:rsidP="00AF7DA5">
            <w:pPr>
              <w:pStyle w:val="TableHeaders"/>
              <w:rPr>
                <w:rFonts w:asciiTheme="majorBidi" w:hAnsiTheme="majorBidi" w:cstheme="majorBidi"/>
              </w:rPr>
            </w:pPr>
            <w:r w:rsidRPr="00AF257D">
              <w:rPr>
                <w:rFonts w:asciiTheme="majorBidi" w:hAnsiTheme="majorBidi" w:cstheme="majorBidi"/>
              </w:rPr>
              <w:t>Cost</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sz w:val="22"/>
                <w:szCs w:val="24"/>
              </w:rPr>
            </w:pPr>
            <w:r w:rsidRPr="00F927ED">
              <w:rPr>
                <w:rFonts w:asciiTheme="majorBidi" w:hAnsiTheme="majorBidi" w:cstheme="majorBidi"/>
                <w:sz w:val="22"/>
                <w:szCs w:val="24"/>
              </w:rPr>
              <w:t xml:space="preserve">GS-13 </w:t>
            </w:r>
          </w:p>
        </w:tc>
        <w:tc>
          <w:tcPr>
            <w:tcW w:w="2151"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$97,000</w:t>
            </w: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tabs>
                <w:tab w:val="left" w:pos="1080"/>
              </w:tabs>
              <w:ind w:left="1080" w:hanging="360"/>
              <w:jc w:val="right"/>
              <w:rPr>
                <w:rFonts w:asciiTheme="majorBidi" w:hAnsiTheme="majorBidi" w:cstheme="majorBidi"/>
                <w:sz w:val="22"/>
                <w:szCs w:val="24"/>
                <w:highlight w:val="green"/>
              </w:rPr>
            </w:pPr>
            <w:r w:rsidRPr="00F927ED">
              <w:rPr>
                <w:rFonts w:asciiTheme="majorBidi" w:hAnsiTheme="majorBidi" w:cstheme="majorBidi"/>
                <w:sz w:val="22"/>
                <w:szCs w:val="24"/>
              </w:rPr>
              <w:t>10%</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AF257D"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$9,700</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sz w:val="22"/>
                <w:szCs w:val="24"/>
              </w:rPr>
            </w:pPr>
            <w:r w:rsidRPr="00F927ED">
              <w:rPr>
                <w:rFonts w:asciiTheme="majorBidi" w:hAnsiTheme="majorBidi" w:cstheme="majorBidi"/>
                <w:sz w:val="22"/>
                <w:szCs w:val="24"/>
              </w:rPr>
              <w:t>GS-13</w:t>
            </w:r>
          </w:p>
        </w:tc>
        <w:tc>
          <w:tcPr>
            <w:tcW w:w="2151"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$97,000</w:t>
            </w: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20%</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AF257D"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$19,400</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sz w:val="22"/>
                <w:szCs w:val="24"/>
              </w:rPr>
            </w:pPr>
            <w:r w:rsidRPr="00F927ED">
              <w:rPr>
                <w:rFonts w:asciiTheme="majorBidi" w:hAnsiTheme="majorBidi" w:cstheme="majorBidi"/>
                <w:sz w:val="22"/>
                <w:szCs w:val="24"/>
              </w:rPr>
              <w:t xml:space="preserve">GS-14 </w:t>
            </w:r>
          </w:p>
        </w:tc>
        <w:tc>
          <w:tcPr>
            <w:tcW w:w="2151"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$115,000</w:t>
            </w: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15%</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AF257D"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$17,250</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tcPr>
          <w:p w:rsidR="00AF7DA5" w:rsidRPr="00F927ED" w:rsidRDefault="00AF7DA5" w:rsidP="00AF7DA5">
            <w:pPr>
              <w:pStyle w:val="TableText"/>
              <w:rPr>
                <w:rFonts w:asciiTheme="majorBidi" w:hAnsiTheme="majorBidi" w:cstheme="majorBidi"/>
                <w:b/>
                <w:sz w:val="22"/>
                <w:szCs w:val="24"/>
              </w:rPr>
            </w:pPr>
          </w:p>
        </w:tc>
        <w:tc>
          <w:tcPr>
            <w:tcW w:w="2151" w:type="dxa"/>
            <w:tcBorders>
              <w:top w:val="single" w:sz="4" w:space="0" w:color="auto"/>
              <w:left w:val="single" w:sz="4" w:space="0" w:color="auto"/>
              <w:bottom w:val="single" w:sz="4" w:space="0" w:color="auto"/>
              <w:right w:val="single" w:sz="4" w:space="0" w:color="auto"/>
            </w:tcBorders>
          </w:tcPr>
          <w:p w:rsidR="00AF7DA5" w:rsidRPr="00F927ED" w:rsidRDefault="00AF7DA5" w:rsidP="00AF7DA5">
            <w:pPr>
              <w:pStyle w:val="TableText"/>
              <w:jc w:val="center"/>
              <w:rPr>
                <w:rFonts w:asciiTheme="majorBidi" w:hAnsiTheme="majorBidi" w:cstheme="majorBidi"/>
                <w:sz w:val="22"/>
                <w:szCs w:val="24"/>
              </w:rPr>
            </w:pP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b/>
                <w:sz w:val="22"/>
                <w:szCs w:val="24"/>
              </w:rPr>
            </w:pPr>
            <w:r w:rsidRPr="00F927ED">
              <w:rPr>
                <w:rFonts w:asciiTheme="majorBidi" w:hAnsiTheme="majorBidi" w:cstheme="majorBidi"/>
                <w:b/>
                <w:sz w:val="22"/>
                <w:szCs w:val="24"/>
              </w:rPr>
              <w:t>Subtotal, CDC Personnel</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E25AEE"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$46,350</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b/>
                <w:sz w:val="22"/>
                <w:szCs w:val="24"/>
              </w:rPr>
            </w:pPr>
            <w:r w:rsidRPr="00F927ED">
              <w:rPr>
                <w:rFonts w:asciiTheme="majorBidi" w:hAnsiTheme="majorBidi" w:cstheme="majorBidi"/>
                <w:b/>
                <w:sz w:val="22"/>
                <w:szCs w:val="24"/>
              </w:rPr>
              <w:t>Contractual Costs for Data Collection and Management (RTI)</w:t>
            </w:r>
          </w:p>
        </w:tc>
        <w:tc>
          <w:tcPr>
            <w:tcW w:w="2151" w:type="dxa"/>
            <w:tcBorders>
              <w:top w:val="single" w:sz="4" w:space="0" w:color="auto"/>
              <w:left w:val="single" w:sz="4" w:space="0" w:color="auto"/>
              <w:bottom w:val="single" w:sz="4" w:space="0" w:color="auto"/>
              <w:right w:val="single" w:sz="4" w:space="0" w:color="auto"/>
            </w:tcBorders>
          </w:tcPr>
          <w:p w:rsidR="00AF7DA5" w:rsidRPr="00F927ED" w:rsidRDefault="00AF7DA5" w:rsidP="00AF7DA5">
            <w:pPr>
              <w:pStyle w:val="TableText"/>
              <w:jc w:val="center"/>
              <w:rPr>
                <w:rFonts w:asciiTheme="majorBidi" w:hAnsiTheme="majorBidi" w:cstheme="majorBidi"/>
                <w:b/>
                <w:sz w:val="22"/>
                <w:szCs w:val="24"/>
              </w:rPr>
            </w:pP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b/>
                <w:sz w:val="22"/>
                <w:szCs w:val="24"/>
              </w:rPr>
            </w:pPr>
            <w:r w:rsidRPr="00F927ED">
              <w:rPr>
                <w:rFonts w:asciiTheme="majorBidi" w:hAnsiTheme="majorBidi" w:cstheme="majorBidi"/>
                <w:b/>
                <w:sz w:val="22"/>
                <w:szCs w:val="24"/>
              </w:rPr>
              <w:t>Subtotal, Contractual Costs</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jc w:val="right"/>
              <w:rPr>
                <w:rFonts w:asciiTheme="majorBidi" w:hAnsiTheme="majorBidi" w:cstheme="majorBidi"/>
                <w:sz w:val="22"/>
                <w:szCs w:val="24"/>
              </w:rPr>
            </w:pPr>
            <w:r w:rsidRPr="00F927ED">
              <w:rPr>
                <w:rFonts w:asciiTheme="majorBidi" w:hAnsiTheme="majorBidi" w:cstheme="majorBidi"/>
                <w:sz w:val="22"/>
                <w:szCs w:val="24"/>
              </w:rPr>
              <w:t>$4,997,866</w:t>
            </w:r>
          </w:p>
        </w:tc>
      </w:tr>
      <w:tr w:rsidR="00AF7DA5" w:rsidTr="00E25AEE">
        <w:trPr>
          <w:cantSplit/>
        </w:trPr>
        <w:tc>
          <w:tcPr>
            <w:tcW w:w="3246" w:type="dxa"/>
            <w:tcBorders>
              <w:top w:val="single" w:sz="4" w:space="0" w:color="auto"/>
              <w:left w:val="single" w:sz="4" w:space="0" w:color="auto"/>
              <w:bottom w:val="single" w:sz="4" w:space="0" w:color="auto"/>
              <w:right w:val="single" w:sz="4" w:space="0" w:color="auto"/>
            </w:tcBorders>
          </w:tcPr>
          <w:p w:rsidR="00AF7DA5" w:rsidRPr="00F927ED" w:rsidRDefault="00AF7DA5" w:rsidP="00AF7DA5">
            <w:pPr>
              <w:pStyle w:val="TableText"/>
              <w:rPr>
                <w:rFonts w:asciiTheme="majorBidi" w:hAnsiTheme="majorBidi" w:cstheme="majorBidi"/>
                <w:b/>
                <w:sz w:val="22"/>
                <w:szCs w:val="24"/>
              </w:rPr>
            </w:pPr>
          </w:p>
        </w:tc>
        <w:tc>
          <w:tcPr>
            <w:tcW w:w="2151" w:type="dxa"/>
            <w:tcBorders>
              <w:top w:val="single" w:sz="4" w:space="0" w:color="auto"/>
              <w:left w:val="single" w:sz="4" w:space="0" w:color="auto"/>
              <w:bottom w:val="single" w:sz="4" w:space="0" w:color="auto"/>
              <w:right w:val="single" w:sz="4" w:space="0" w:color="auto"/>
            </w:tcBorders>
          </w:tcPr>
          <w:p w:rsidR="00AF7DA5" w:rsidRPr="00F927ED" w:rsidRDefault="00AF7DA5" w:rsidP="00AF7DA5">
            <w:pPr>
              <w:pStyle w:val="TableText"/>
              <w:jc w:val="center"/>
              <w:rPr>
                <w:rFonts w:asciiTheme="majorBidi" w:hAnsiTheme="majorBidi" w:cstheme="majorBidi"/>
                <w:sz w:val="22"/>
                <w:szCs w:val="24"/>
              </w:rPr>
            </w:pPr>
          </w:p>
        </w:tc>
        <w:tc>
          <w:tcPr>
            <w:tcW w:w="2347" w:type="dxa"/>
            <w:tcBorders>
              <w:top w:val="single" w:sz="4" w:space="0" w:color="auto"/>
              <w:left w:val="single" w:sz="4" w:space="0" w:color="auto"/>
              <w:bottom w:val="single" w:sz="4" w:space="0" w:color="auto"/>
              <w:right w:val="single" w:sz="4" w:space="0" w:color="auto"/>
            </w:tcBorders>
            <w:hideMark/>
          </w:tcPr>
          <w:p w:rsidR="00AF7DA5" w:rsidRPr="00F927ED" w:rsidRDefault="00AF7DA5" w:rsidP="00AF7DA5">
            <w:pPr>
              <w:pStyle w:val="TableText"/>
              <w:rPr>
                <w:rFonts w:asciiTheme="majorBidi" w:hAnsiTheme="majorBidi" w:cstheme="majorBidi"/>
                <w:sz w:val="22"/>
                <w:szCs w:val="24"/>
              </w:rPr>
            </w:pPr>
            <w:r w:rsidRPr="00F927ED">
              <w:rPr>
                <w:rFonts w:asciiTheme="majorBidi" w:hAnsiTheme="majorBidi" w:cstheme="majorBidi"/>
                <w:sz w:val="22"/>
                <w:szCs w:val="24"/>
              </w:rPr>
              <w:t>Total</w:t>
            </w:r>
          </w:p>
        </w:tc>
        <w:tc>
          <w:tcPr>
            <w:tcW w:w="1760" w:type="dxa"/>
            <w:tcBorders>
              <w:top w:val="single" w:sz="4" w:space="0" w:color="auto"/>
              <w:left w:val="single" w:sz="4" w:space="0" w:color="auto"/>
              <w:bottom w:val="single" w:sz="4" w:space="0" w:color="auto"/>
              <w:right w:val="single" w:sz="4" w:space="0" w:color="auto"/>
            </w:tcBorders>
            <w:hideMark/>
          </w:tcPr>
          <w:p w:rsidR="00AF7DA5" w:rsidRPr="00F927ED" w:rsidRDefault="00AF7DA5" w:rsidP="00E25AEE">
            <w:pPr>
              <w:pStyle w:val="TableText"/>
              <w:jc w:val="right"/>
              <w:rPr>
                <w:rFonts w:asciiTheme="majorBidi" w:hAnsiTheme="majorBidi" w:cstheme="majorBidi"/>
                <w:sz w:val="22"/>
                <w:szCs w:val="24"/>
              </w:rPr>
            </w:pPr>
            <w:r w:rsidRPr="00F927ED">
              <w:rPr>
                <w:rFonts w:asciiTheme="majorBidi" w:hAnsiTheme="majorBidi" w:cstheme="majorBidi"/>
                <w:sz w:val="22"/>
                <w:szCs w:val="24"/>
              </w:rPr>
              <w:t>$5,04</w:t>
            </w:r>
            <w:r w:rsidR="00E25AEE" w:rsidRPr="00F927ED">
              <w:rPr>
                <w:rFonts w:asciiTheme="majorBidi" w:hAnsiTheme="majorBidi" w:cstheme="majorBidi"/>
                <w:sz w:val="22"/>
                <w:szCs w:val="24"/>
              </w:rPr>
              <w:t>4,216</w:t>
            </w:r>
          </w:p>
        </w:tc>
      </w:tr>
    </w:tbl>
    <w:p w:rsidR="00AF7DA5" w:rsidRPr="00AF7DA5" w:rsidRDefault="00AF7DA5" w:rsidP="00C90014">
      <w:pPr>
        <w:pStyle w:val="BodyText"/>
        <w:spacing w:line="240" w:lineRule="auto"/>
        <w:ind w:left="0"/>
      </w:pPr>
    </w:p>
    <w:p w:rsidR="00864B32" w:rsidRPr="0056461F" w:rsidRDefault="00864B32" w:rsidP="002C1227">
      <w:pPr>
        <w:pStyle w:val="Heading2"/>
        <w:spacing w:after="0"/>
      </w:pPr>
      <w:bookmarkStart w:id="36" w:name="_Toc348428809"/>
      <w:r w:rsidRPr="0056461F">
        <w:t>A</w:t>
      </w:r>
      <w:r w:rsidR="0085535A">
        <w:t>.</w:t>
      </w:r>
      <w:r w:rsidRPr="0056461F">
        <w:t>15</w:t>
      </w:r>
      <w:r w:rsidR="00347A06" w:rsidRPr="0056461F">
        <w:tab/>
      </w:r>
      <w:r w:rsidRPr="0056461F">
        <w:t xml:space="preserve">Explanation for </w:t>
      </w:r>
      <w:r w:rsidR="00D41DCB" w:rsidRPr="0056461F">
        <w:t>Program</w:t>
      </w:r>
      <w:r w:rsidRPr="0056461F">
        <w:t xml:space="preserve"> Changes or Adjustments</w:t>
      </w:r>
      <w:bookmarkEnd w:id="36"/>
    </w:p>
    <w:p w:rsidR="00B77E2F" w:rsidRPr="0056461F" w:rsidRDefault="00B77E2F" w:rsidP="00C90014">
      <w:pPr>
        <w:pStyle w:val="BodyText"/>
        <w:spacing w:line="240" w:lineRule="auto"/>
        <w:ind w:left="0"/>
      </w:pPr>
      <w:r w:rsidRPr="0056461F">
        <w:t xml:space="preserve">This is a </w:t>
      </w:r>
      <w:r w:rsidR="00E13421" w:rsidRPr="0056461F">
        <w:t xml:space="preserve">new </w:t>
      </w:r>
      <w:r w:rsidR="009F59F7" w:rsidRPr="0056461F">
        <w:t>ICR</w:t>
      </w:r>
      <w:r w:rsidR="00E13421" w:rsidRPr="0056461F">
        <w:t xml:space="preserve"> supporting </w:t>
      </w:r>
      <w:r w:rsidR="007C0BFB" w:rsidRPr="0056461F">
        <w:t>evaluation</w:t>
      </w:r>
      <w:r w:rsidR="00E13421" w:rsidRPr="0056461F">
        <w:t xml:space="preserve"> of a </w:t>
      </w:r>
      <w:r w:rsidRPr="0056461F">
        <w:t xml:space="preserve">new </w:t>
      </w:r>
      <w:r w:rsidR="001657F9" w:rsidRPr="0056461F">
        <w:t xml:space="preserve">programmatic </w:t>
      </w:r>
      <w:r w:rsidR="00E13421" w:rsidRPr="0056461F">
        <w:t>initiative</w:t>
      </w:r>
      <w:r w:rsidR="00B10CBE" w:rsidRPr="0056461F">
        <w:t>.</w:t>
      </w:r>
    </w:p>
    <w:p w:rsidR="00CD1654" w:rsidRPr="0056461F" w:rsidRDefault="006A5713" w:rsidP="002C1227">
      <w:pPr>
        <w:pStyle w:val="Heading2"/>
        <w:spacing w:after="0"/>
      </w:pPr>
      <w:bookmarkStart w:id="37" w:name="_Toc348428810"/>
      <w:r w:rsidRPr="0056461F">
        <w:t>A</w:t>
      </w:r>
      <w:r w:rsidR="0085535A">
        <w:t>.</w:t>
      </w:r>
      <w:r w:rsidRPr="0056461F">
        <w:t>16</w:t>
      </w:r>
      <w:r w:rsidR="00347A06" w:rsidRPr="0056461F">
        <w:tab/>
      </w:r>
      <w:r w:rsidR="00864B32" w:rsidRPr="0056461F">
        <w:t>Plans for Tabulation and Publication and Project Time Schedule</w:t>
      </w:r>
      <w:bookmarkEnd w:id="37"/>
    </w:p>
    <w:p w:rsidR="007A58BA" w:rsidRPr="0056461F" w:rsidRDefault="007A58BA" w:rsidP="00C90014">
      <w:pPr>
        <w:pStyle w:val="BodyText"/>
        <w:spacing w:line="240" w:lineRule="auto"/>
        <w:ind w:left="0"/>
      </w:pPr>
      <w:r w:rsidRPr="0056461F">
        <w:t xml:space="preserve">The Targeted Surveillance and Biometric Study consists of three repeated cross-sectional samples collected biennially in each of 20 awardees. RTI staff will create data sets that can be used in analyses within </w:t>
      </w:r>
      <w:r w:rsidR="00D77EF3">
        <w:t>three</w:t>
      </w:r>
      <w:r w:rsidR="00D77EF3" w:rsidRPr="0056461F">
        <w:t xml:space="preserve"> </w:t>
      </w:r>
      <w:r w:rsidRPr="0056461F">
        <w:t>months of completion of data collection for each measurement occasion.</w:t>
      </w:r>
      <w:r w:rsidR="005D0AC4" w:rsidRPr="0056461F">
        <w:t xml:space="preserve"> </w:t>
      </w:r>
      <w:r w:rsidRPr="0056461F">
        <w:t>The process for preparing the data for analysis involves completing:</w:t>
      </w:r>
    </w:p>
    <w:p w:rsidR="007A58BA" w:rsidRPr="0056461F" w:rsidRDefault="007A58BA" w:rsidP="00C90014">
      <w:pPr>
        <w:pStyle w:val="Bullet"/>
        <w:spacing w:line="240" w:lineRule="auto"/>
      </w:pPr>
      <w:r w:rsidRPr="0056461F">
        <w:t xml:space="preserve">an assessment of nonresponse bias (i.e., which determines the ability of results to be generalized to the target population); </w:t>
      </w:r>
    </w:p>
    <w:p w:rsidR="007A58BA" w:rsidRPr="0056461F" w:rsidRDefault="007A58BA" w:rsidP="00C90014">
      <w:pPr>
        <w:pStyle w:val="Bullet"/>
        <w:spacing w:line="240" w:lineRule="auto"/>
      </w:pPr>
      <w:r w:rsidRPr="0056461F">
        <w:t xml:space="preserve">a final assessment of data quality including checking for item completeness, accuracy, </w:t>
      </w:r>
      <w:r w:rsidR="00EC76F7">
        <w:t xml:space="preserve">and </w:t>
      </w:r>
      <w:r w:rsidRPr="0056461F">
        <w:t>plausibility (with respect to compatibility with other data collected for the individual, validity checks, and comparison of summary statistics with expected distributions)</w:t>
      </w:r>
      <w:r w:rsidR="00EC76F7">
        <w:t>,</w:t>
      </w:r>
      <w:r w:rsidRPr="0056461F">
        <w:t xml:space="preserve"> </w:t>
      </w:r>
      <w:r w:rsidR="00EC76F7">
        <w:t>as well as</w:t>
      </w:r>
      <w:r w:rsidR="00EC76F7" w:rsidRPr="0056461F">
        <w:t xml:space="preserve"> </w:t>
      </w:r>
      <w:r w:rsidRPr="0056461F">
        <w:t xml:space="preserve">instituting corrective action (e.g., </w:t>
      </w:r>
      <w:r w:rsidR="00EC76F7" w:rsidRPr="0056461F">
        <w:t>imput</w:t>
      </w:r>
      <w:r w:rsidR="00EC76F7">
        <w:t>ing</w:t>
      </w:r>
      <w:r w:rsidR="00EC76F7" w:rsidRPr="0056461F">
        <w:t xml:space="preserve"> </w:t>
      </w:r>
      <w:r w:rsidRPr="0056461F">
        <w:t>for missing data, setting impossible values to missing);</w:t>
      </w:r>
    </w:p>
    <w:p w:rsidR="007A58BA" w:rsidRPr="0056461F" w:rsidRDefault="007A58BA" w:rsidP="00C90014">
      <w:pPr>
        <w:pStyle w:val="Bullet"/>
        <w:spacing w:line="240" w:lineRule="auto"/>
      </w:pPr>
      <w:r w:rsidRPr="0056461F">
        <w:t xml:space="preserve">an assessment of the appropriateness of post-survey adjustment for sampling bias (see Section </w:t>
      </w:r>
      <w:r w:rsidR="00995CDA" w:rsidRPr="0056461F">
        <w:t>B</w:t>
      </w:r>
      <w:r w:rsidR="00B466DC" w:rsidRPr="0056461F">
        <w:t>.1</w:t>
      </w:r>
      <w:r w:rsidR="00995CDA" w:rsidRPr="0056461F">
        <w:t>);</w:t>
      </w:r>
      <w:r w:rsidRPr="0056461F">
        <w:t xml:space="preserve"> and</w:t>
      </w:r>
    </w:p>
    <w:p w:rsidR="007A58BA" w:rsidRPr="0056461F" w:rsidRDefault="007A58BA" w:rsidP="00C90014">
      <w:pPr>
        <w:pStyle w:val="Bullet"/>
        <w:spacing w:line="240" w:lineRule="auto"/>
      </w:pPr>
      <w:r w:rsidRPr="0056461F">
        <w:t>calculation of sampling weights.</w:t>
      </w:r>
    </w:p>
    <w:p w:rsidR="007A58BA" w:rsidRPr="0056461F" w:rsidRDefault="007A58BA" w:rsidP="00C13B8B">
      <w:pPr>
        <w:pStyle w:val="BodyText"/>
        <w:spacing w:line="240" w:lineRule="auto"/>
        <w:ind w:left="0"/>
      </w:pPr>
      <w:r w:rsidRPr="0056461F">
        <w:t xml:space="preserve">Prior to producing analyses for tabulations or publication, two </w:t>
      </w:r>
      <w:r w:rsidR="0056461F" w:rsidRPr="0056461F">
        <w:t xml:space="preserve">teams of senior staff </w:t>
      </w:r>
      <w:r w:rsidRPr="0056461F">
        <w:t xml:space="preserve">within RTI (Integrated Analysis and Cross-Evaluation Team, Dissemination </w:t>
      </w:r>
      <w:r w:rsidR="0056461F" w:rsidRPr="0056461F">
        <w:t>Team</w:t>
      </w:r>
      <w:r w:rsidR="001C6265" w:rsidRPr="0056461F">
        <w:t>)</w:t>
      </w:r>
      <w:r w:rsidRPr="0056461F">
        <w:t xml:space="preserve"> will review a standardized concept proposal that outlines the purpose and analysis plans for the tabulation or publication (including specification of key variables/outcomes, analytic methods, and proposed table shells/graphics).</w:t>
      </w:r>
      <w:r w:rsidR="005D0AC4" w:rsidRPr="0056461F">
        <w:t xml:space="preserve"> </w:t>
      </w:r>
      <w:r w:rsidRPr="0056461F">
        <w:t xml:space="preserve">Assigned statistical and scientific reviewers will ensure </w:t>
      </w:r>
      <w:r w:rsidR="001657F9" w:rsidRPr="0056461F">
        <w:t xml:space="preserve">that </w:t>
      </w:r>
      <w:r w:rsidRPr="0056461F">
        <w:t xml:space="preserve">the purpose of the tabulation or publication are clearly stated and align with overall goals of the </w:t>
      </w:r>
      <w:r w:rsidR="008579F2" w:rsidRPr="0056461F">
        <w:t>CTG</w:t>
      </w:r>
      <w:r w:rsidR="00D41DCB" w:rsidRPr="0056461F">
        <w:t xml:space="preserve"> Program</w:t>
      </w:r>
      <w:r w:rsidRPr="0056461F">
        <w:t xml:space="preserve"> evaluation and make sure that outcomes are consistently defined, and analysis guidelines applied (e.g., ensuring minimum sample size for subgroup analyses, consistent methods for handling </w:t>
      </w:r>
      <w:r w:rsidRPr="0056461F">
        <w:lastRenderedPageBreak/>
        <w:t>missing data are used).</w:t>
      </w:r>
      <w:r w:rsidR="005D0AC4" w:rsidRPr="0056461F">
        <w:t xml:space="preserve"> </w:t>
      </w:r>
      <w:r w:rsidRPr="0056461F">
        <w:t>Draft tabulations, graphs</w:t>
      </w:r>
      <w:r w:rsidR="00C677F0">
        <w:t>,</w:t>
      </w:r>
      <w:r w:rsidRPr="0056461F">
        <w:t xml:space="preserve"> and accompanied text will be provided to the CDC</w:t>
      </w:r>
      <w:r w:rsidR="006D222A" w:rsidRPr="0056461F">
        <w:t xml:space="preserve"> </w:t>
      </w:r>
      <w:r w:rsidR="00C677F0">
        <w:t>Division of Community Health</w:t>
      </w:r>
      <w:r w:rsidR="00C677F0" w:rsidRPr="0056461F">
        <w:t xml:space="preserve"> </w:t>
      </w:r>
      <w:r w:rsidRPr="0056461F">
        <w:t xml:space="preserve">Evaluation Lead for review. Following approval </w:t>
      </w:r>
      <w:r w:rsidR="006D222A" w:rsidRPr="0056461F">
        <w:t xml:space="preserve">or clearance </w:t>
      </w:r>
      <w:r w:rsidRPr="0056461F">
        <w:t>of tabulations or publications, they will be shared with stakeholders, presented at lay or scientific meetings, or submitted for publication in peer-reviewed journals.</w:t>
      </w:r>
    </w:p>
    <w:p w:rsidR="007A58BA" w:rsidRPr="0056461F" w:rsidRDefault="007A58BA" w:rsidP="00C90014">
      <w:pPr>
        <w:pStyle w:val="BodyText"/>
        <w:spacing w:line="240" w:lineRule="auto"/>
        <w:ind w:left="0"/>
      </w:pPr>
      <w:r w:rsidRPr="0056461F">
        <w:t xml:space="preserve">Publications will fall into </w:t>
      </w:r>
      <w:r w:rsidR="006D222A" w:rsidRPr="0056461F">
        <w:t>three</w:t>
      </w:r>
      <w:r w:rsidRPr="0056461F">
        <w:t xml:space="preserve"> broad categories: (1) papers documenting the key design elements of the study; (2) </w:t>
      </w:r>
      <w:r w:rsidR="001657F9" w:rsidRPr="0056461F">
        <w:t>data-</w:t>
      </w:r>
      <w:r w:rsidRPr="0056461F">
        <w:t xml:space="preserve">driven papers from Year 1 data collection that provide </w:t>
      </w:r>
      <w:r w:rsidR="008579F2" w:rsidRPr="0056461F">
        <w:t>CTG</w:t>
      </w:r>
      <w:r w:rsidR="00D41DCB" w:rsidRPr="0056461F">
        <w:t xml:space="preserve"> Program</w:t>
      </w:r>
      <w:r w:rsidRPr="0056461F">
        <w:t xml:space="preserve"> planners and stakeholders with baseline information to improve </w:t>
      </w:r>
      <w:r w:rsidR="001657F9" w:rsidRPr="0056461F">
        <w:t xml:space="preserve">program </w:t>
      </w:r>
      <w:r w:rsidRPr="0056461F">
        <w:t xml:space="preserve">planning and implementation of community preventive health activities; (3) </w:t>
      </w:r>
      <w:r w:rsidR="001657F9" w:rsidRPr="0056461F">
        <w:t>data-</w:t>
      </w:r>
      <w:r w:rsidRPr="0056461F">
        <w:t xml:space="preserve">driven papers </w:t>
      </w:r>
      <w:r w:rsidR="00787417" w:rsidRPr="0056461F">
        <w:t xml:space="preserve">from </w:t>
      </w:r>
      <w:r w:rsidRPr="0056461F">
        <w:t>multiple data collection periods to present findings addressing primary evaluation questions (see Section A</w:t>
      </w:r>
      <w:r w:rsidR="00156703">
        <w:t>.</w:t>
      </w:r>
      <w:r w:rsidRPr="0056461F">
        <w:t>1).</w:t>
      </w:r>
    </w:p>
    <w:p w:rsidR="007A58BA" w:rsidRPr="0056461F" w:rsidRDefault="007A58BA" w:rsidP="00B9215E">
      <w:pPr>
        <w:pStyle w:val="BodyText"/>
        <w:spacing w:line="240" w:lineRule="auto"/>
        <w:ind w:left="0"/>
      </w:pPr>
      <w:r w:rsidRPr="0056461F">
        <w:t xml:space="preserve">The general analysis approach will include summary tabulations of characteristics associated with the </w:t>
      </w:r>
      <w:r w:rsidR="00EC76F7">
        <w:t>five</w:t>
      </w:r>
      <w:r w:rsidR="00EC76F7" w:rsidRPr="0056461F">
        <w:t xml:space="preserve"> </w:t>
      </w:r>
      <w:r w:rsidRPr="0056461F">
        <w:t>strategic directions for each awardee, or aggregated across subgroups or all 20 awardees.</w:t>
      </w:r>
      <w:r w:rsidR="005D0AC4" w:rsidRPr="0056461F">
        <w:t xml:space="preserve"> </w:t>
      </w:r>
      <w:r w:rsidRPr="0056461F">
        <w:t xml:space="preserve">Cross-tabulations will also summarize data by a number of individual or community attributes such as race, ethnicity, age, </w:t>
      </w:r>
      <w:r w:rsidR="002F5655" w:rsidRPr="0056461F">
        <w:t>sex</w:t>
      </w:r>
      <w:r w:rsidRPr="0056461F">
        <w:t xml:space="preserve">, </w:t>
      </w:r>
      <w:r w:rsidR="00EC76F7">
        <w:t xml:space="preserve">or </w:t>
      </w:r>
      <w:r w:rsidRPr="0056461F">
        <w:t xml:space="preserve">income or by level of funding, geographic location, </w:t>
      </w:r>
      <w:r w:rsidR="001657F9" w:rsidRPr="0056461F">
        <w:t xml:space="preserve">or </w:t>
      </w:r>
      <w:r w:rsidRPr="0056461F">
        <w:t xml:space="preserve">average household income. We will monitor changes in </w:t>
      </w:r>
      <w:r w:rsidR="00B9215E">
        <w:t xml:space="preserve">indicators for </w:t>
      </w:r>
      <w:r w:rsidRPr="0056461F">
        <w:t xml:space="preserve">the five </w:t>
      </w:r>
      <w:r w:rsidR="00B9215E" w:rsidRPr="0056461F">
        <w:t xml:space="preserve">strategic directives </w:t>
      </w:r>
      <w:r w:rsidRPr="0056461F">
        <w:t xml:space="preserve">specified </w:t>
      </w:r>
      <w:r w:rsidR="00C634D2" w:rsidRPr="0056461F">
        <w:t xml:space="preserve">in the ACA legislation </w:t>
      </w:r>
      <w:r w:rsidRPr="0056461F">
        <w:t xml:space="preserve">(i.e., weight, proper nutrition, physical activity, tobacco use </w:t>
      </w:r>
      <w:r w:rsidR="00E5404E" w:rsidRPr="0056461F">
        <w:t>prevalence</w:t>
      </w:r>
      <w:r w:rsidRPr="0056461F">
        <w:t xml:space="preserve">, and emotional well-being and mental health) by tabulating the estimated change from baseline and 95% confidence interval for the change in the average level (or prevalence) of a key outcome (e.g., Year 1 to 3 change, Year 1 to 5 change). Once data for all three data collection periods </w:t>
      </w:r>
      <w:r w:rsidR="001657F9" w:rsidRPr="0056461F">
        <w:t xml:space="preserve">are </w:t>
      </w:r>
      <w:r w:rsidRPr="0056461F">
        <w:t>collected, statistical models can be used to estimate the average annual change or trend in outcomes and to evaluate whether the estimated trend over time is significantly increasing or decreasing for each awardee.</w:t>
      </w:r>
      <w:r w:rsidR="005D0AC4" w:rsidRPr="0056461F">
        <w:t xml:space="preserve"> </w:t>
      </w:r>
      <w:r w:rsidRPr="0056461F">
        <w:t xml:space="preserve">The trends across subgroups of awardees or all awardees will also be modeled as a function of awardee characteristics (contextual or implementation/process) including the level of intensity of the </w:t>
      </w:r>
      <w:r w:rsidR="008579F2" w:rsidRPr="0056461F">
        <w:t>CTG</w:t>
      </w:r>
      <w:r w:rsidR="00D41DCB" w:rsidRPr="0056461F">
        <w:t xml:space="preserve"> Program</w:t>
      </w:r>
      <w:r w:rsidRPr="0056461F">
        <w:t xml:space="preserve"> (“dose” of activities) to identify characteristics most associated with improvements in outcomes. Statistical analysis plans will specify the statistical models to be employed, assumptions made, and exploratory analyses that will be conducted.</w:t>
      </w:r>
      <w:r w:rsidR="005D0AC4" w:rsidRPr="0056461F">
        <w:t xml:space="preserve"> </w:t>
      </w:r>
      <w:r w:rsidRPr="0056461F">
        <w:t>In all analyses, data will be weighted to account for the unequal probability of selection and response (see Section B</w:t>
      </w:r>
      <w:r w:rsidR="00156703">
        <w:t>.</w:t>
      </w:r>
      <w:r w:rsidRPr="0056461F">
        <w:t>3).</w:t>
      </w:r>
      <w:r w:rsidR="005D0AC4" w:rsidRPr="0056461F">
        <w:t xml:space="preserve"> </w:t>
      </w:r>
    </w:p>
    <w:p w:rsidR="00864B32" w:rsidRPr="0056461F" w:rsidRDefault="00864B32" w:rsidP="00C90014">
      <w:pPr>
        <w:pStyle w:val="Heading3"/>
      </w:pPr>
      <w:bookmarkStart w:id="38" w:name="_Toc348428811"/>
      <w:r w:rsidRPr="0056461F">
        <w:t>Project Timeline</w:t>
      </w:r>
      <w:bookmarkEnd w:id="38"/>
    </w:p>
    <w:p w:rsidR="002D777E" w:rsidRPr="0056461F" w:rsidRDefault="002D777E" w:rsidP="00C90014">
      <w:pPr>
        <w:pStyle w:val="BodyText"/>
        <w:spacing w:line="240" w:lineRule="auto"/>
        <w:ind w:left="0"/>
      </w:pPr>
      <w:r w:rsidRPr="0056461F">
        <w:t xml:space="preserve">Exhibit </w:t>
      </w:r>
      <w:r w:rsidR="0085535A">
        <w:t>A.16.1</w:t>
      </w:r>
      <w:r w:rsidRPr="0056461F">
        <w:t xml:space="preserve"> provides a detailed </w:t>
      </w:r>
      <w:r w:rsidR="00B7760A" w:rsidRPr="0056461F">
        <w:t>time</w:t>
      </w:r>
      <w:r w:rsidRPr="0056461F">
        <w:t xml:space="preserve">line for </w:t>
      </w:r>
      <w:r w:rsidR="00D7388A" w:rsidRPr="0056461F">
        <w:t xml:space="preserve">all </w:t>
      </w:r>
      <w:r w:rsidRPr="0056461F">
        <w:t xml:space="preserve">data collection described in this </w:t>
      </w:r>
      <w:r w:rsidR="00ED78A6" w:rsidRPr="0056461F">
        <w:t>I</w:t>
      </w:r>
      <w:r w:rsidR="00D7388A" w:rsidRPr="0056461F">
        <w:t>CR</w:t>
      </w:r>
      <w:r w:rsidRPr="0056461F">
        <w:t>.</w:t>
      </w:r>
    </w:p>
    <w:p w:rsidR="00B7760A" w:rsidRPr="0056461F" w:rsidRDefault="00B7760A" w:rsidP="00C90014">
      <w:pPr>
        <w:pStyle w:val="ExhibitTitle"/>
      </w:pPr>
      <w:bookmarkStart w:id="39" w:name="_Toc346540070"/>
      <w:r w:rsidRPr="0056461F">
        <w:t xml:space="preserve">Exhibit </w:t>
      </w:r>
      <w:r w:rsidR="0085535A">
        <w:t>A.16.1</w:t>
      </w:r>
      <w:r w:rsidRPr="0056461F">
        <w:t>. Project Timeline</w:t>
      </w:r>
      <w:bookmarkEnd w:id="39"/>
    </w:p>
    <w:tbl>
      <w:tblPr>
        <w:tblW w:w="5000" w:type="pct"/>
        <w:tblBorders>
          <w:top w:val="single" w:sz="12" w:space="0" w:color="auto"/>
          <w:bottom w:val="single" w:sz="12" w:space="0" w:color="auto"/>
          <w:insideH w:val="single" w:sz="4" w:space="0" w:color="auto"/>
        </w:tblBorders>
        <w:tblLayout w:type="fixed"/>
        <w:tblCellMar>
          <w:left w:w="0" w:type="dxa"/>
          <w:right w:w="0" w:type="dxa"/>
        </w:tblCellMar>
        <w:tblLook w:val="04A0" w:firstRow="1" w:lastRow="0" w:firstColumn="1" w:lastColumn="0" w:noHBand="0" w:noVBand="1"/>
      </w:tblPr>
      <w:tblGrid>
        <w:gridCol w:w="6026"/>
        <w:gridCol w:w="3506"/>
      </w:tblGrid>
      <w:tr w:rsidR="00B7760A" w:rsidRPr="0056461F" w:rsidTr="000F1DA4">
        <w:trPr>
          <w:cantSplit/>
          <w:tblHeader/>
        </w:trPr>
        <w:tc>
          <w:tcPr>
            <w:tcW w:w="6026" w:type="dxa"/>
            <w:shd w:val="clear" w:color="auto" w:fill="F2F2F2"/>
            <w:tcMar>
              <w:top w:w="0" w:type="dxa"/>
              <w:left w:w="86" w:type="dxa"/>
              <w:bottom w:w="0" w:type="dxa"/>
              <w:right w:w="86" w:type="dxa"/>
            </w:tcMar>
            <w:vAlign w:val="bottom"/>
            <w:hideMark/>
          </w:tcPr>
          <w:p w:rsidR="00B7760A" w:rsidRPr="0056461F" w:rsidRDefault="00B7760A" w:rsidP="00C90014">
            <w:pPr>
              <w:keepNext/>
              <w:jc w:val="center"/>
              <w:rPr>
                <w:rFonts w:eastAsia="Calibri"/>
                <w:b/>
                <w:bCs/>
                <w:szCs w:val="24"/>
              </w:rPr>
            </w:pPr>
            <w:r w:rsidRPr="0056461F">
              <w:rPr>
                <w:b/>
                <w:bCs/>
              </w:rPr>
              <w:t>Activity</w:t>
            </w:r>
          </w:p>
        </w:tc>
        <w:tc>
          <w:tcPr>
            <w:tcW w:w="3506" w:type="dxa"/>
            <w:shd w:val="clear" w:color="auto" w:fill="F2F2F2"/>
            <w:tcMar>
              <w:top w:w="0" w:type="dxa"/>
              <w:left w:w="86" w:type="dxa"/>
              <w:bottom w:w="0" w:type="dxa"/>
              <w:right w:w="86" w:type="dxa"/>
            </w:tcMar>
            <w:vAlign w:val="bottom"/>
            <w:hideMark/>
          </w:tcPr>
          <w:p w:rsidR="00B7760A" w:rsidRPr="0056461F" w:rsidRDefault="00B7760A" w:rsidP="00C90014">
            <w:pPr>
              <w:keepNext/>
              <w:jc w:val="center"/>
              <w:rPr>
                <w:rFonts w:eastAsia="Calibri"/>
                <w:b/>
                <w:bCs/>
                <w:szCs w:val="24"/>
              </w:rPr>
            </w:pPr>
            <w:r w:rsidRPr="0056461F">
              <w:rPr>
                <w:b/>
                <w:bCs/>
              </w:rPr>
              <w:t>Expected Timeline</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B7760A" w:rsidP="00C90014">
            <w:pPr>
              <w:rPr>
                <w:rFonts w:eastAsia="Calibri"/>
                <w:szCs w:val="24"/>
              </w:rPr>
            </w:pPr>
            <w:r w:rsidRPr="0056461F">
              <w:t xml:space="preserve">Internal pilot testing of data collection instruments for </w:t>
            </w:r>
            <w:r w:rsidRPr="000F1DA4">
              <w:rPr>
                <w:i/>
              </w:rPr>
              <w:t>Standard</w:t>
            </w:r>
            <w:r w:rsidRPr="0056461F">
              <w:t xml:space="preserve"> and </w:t>
            </w:r>
            <w:r w:rsidR="000B3F4E" w:rsidRPr="0056461F">
              <w:rPr>
                <w:i/>
              </w:rPr>
              <w:t>Enhanced Protocol</w:t>
            </w:r>
            <w:r w:rsidRPr="0056461F">
              <w:t>s</w:t>
            </w:r>
          </w:p>
        </w:tc>
        <w:tc>
          <w:tcPr>
            <w:tcW w:w="3506" w:type="dxa"/>
            <w:tcMar>
              <w:top w:w="0" w:type="dxa"/>
              <w:left w:w="86" w:type="dxa"/>
              <w:bottom w:w="0" w:type="dxa"/>
              <w:right w:w="86" w:type="dxa"/>
            </w:tcMar>
            <w:hideMark/>
          </w:tcPr>
          <w:p w:rsidR="00B7760A" w:rsidRPr="0056461F" w:rsidRDefault="00B7760A" w:rsidP="00C90014">
            <w:pPr>
              <w:rPr>
                <w:rFonts w:eastAsia="Calibri"/>
                <w:szCs w:val="24"/>
              </w:rPr>
            </w:pPr>
            <w:r w:rsidRPr="0056461F">
              <w:t>March</w:t>
            </w:r>
            <w:r w:rsidR="008935F0">
              <w:t xml:space="preserve"> 2012</w:t>
            </w:r>
            <w:r w:rsidRPr="0056461F">
              <w:t>–</w:t>
            </w:r>
            <w:r w:rsidR="0057754F" w:rsidRPr="0056461F">
              <w:t>October</w:t>
            </w:r>
            <w:r w:rsidRPr="0056461F">
              <w:t xml:space="preserve"> 2012</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B7760A" w:rsidP="00C90014">
            <w:pPr>
              <w:rPr>
                <w:rFonts w:eastAsia="Calibri"/>
                <w:szCs w:val="24"/>
              </w:rPr>
            </w:pPr>
            <w:r w:rsidRPr="0056461F">
              <w:t>OMB Approval</w:t>
            </w:r>
          </w:p>
        </w:tc>
        <w:tc>
          <w:tcPr>
            <w:tcW w:w="3506" w:type="dxa"/>
            <w:tcMar>
              <w:top w:w="0" w:type="dxa"/>
              <w:left w:w="86" w:type="dxa"/>
              <w:bottom w:w="0" w:type="dxa"/>
              <w:right w:w="86" w:type="dxa"/>
            </w:tcMar>
            <w:hideMark/>
          </w:tcPr>
          <w:p w:rsidR="00B7760A" w:rsidRPr="0056461F" w:rsidRDefault="008935F0" w:rsidP="00C90014">
            <w:pPr>
              <w:rPr>
                <w:rFonts w:eastAsia="Calibri"/>
                <w:szCs w:val="24"/>
              </w:rPr>
            </w:pPr>
            <w:r>
              <w:t xml:space="preserve">May </w:t>
            </w:r>
            <w:r w:rsidR="00B7760A" w:rsidRPr="0056461F">
              <w:t>2013</w:t>
            </w:r>
          </w:p>
        </w:tc>
      </w:tr>
      <w:tr w:rsidR="00B7760A" w:rsidRPr="0056461F" w:rsidTr="000F1DA4">
        <w:trPr>
          <w:cantSplit/>
        </w:trPr>
        <w:tc>
          <w:tcPr>
            <w:tcW w:w="6026" w:type="dxa"/>
            <w:shd w:val="clear" w:color="auto" w:fill="E5E5E5"/>
            <w:tcMar>
              <w:top w:w="0" w:type="dxa"/>
              <w:left w:w="86" w:type="dxa"/>
              <w:bottom w:w="0" w:type="dxa"/>
              <w:right w:w="86" w:type="dxa"/>
            </w:tcMar>
            <w:hideMark/>
          </w:tcPr>
          <w:p w:rsidR="00B7760A" w:rsidRPr="0056461F" w:rsidRDefault="00B7760A" w:rsidP="00C15BED">
            <w:pPr>
              <w:rPr>
                <w:rFonts w:eastAsia="Calibri"/>
                <w:b/>
                <w:bCs/>
                <w:szCs w:val="24"/>
              </w:rPr>
            </w:pPr>
            <w:r w:rsidRPr="0056461F">
              <w:rPr>
                <w:b/>
                <w:bCs/>
              </w:rPr>
              <w:t xml:space="preserve">Measurement </w:t>
            </w:r>
            <w:r w:rsidR="00C15BED">
              <w:rPr>
                <w:b/>
                <w:bCs/>
              </w:rPr>
              <w:t>Period</w:t>
            </w:r>
            <w:r w:rsidRPr="0056461F">
              <w:rPr>
                <w:b/>
                <w:bCs/>
              </w:rPr>
              <w:t xml:space="preserve"> #1 </w:t>
            </w:r>
          </w:p>
        </w:tc>
        <w:tc>
          <w:tcPr>
            <w:tcW w:w="3506" w:type="dxa"/>
            <w:shd w:val="clear" w:color="auto" w:fill="E5E5E5"/>
            <w:tcMar>
              <w:top w:w="0" w:type="dxa"/>
              <w:left w:w="86" w:type="dxa"/>
              <w:bottom w:w="0" w:type="dxa"/>
              <w:right w:w="86" w:type="dxa"/>
            </w:tcMar>
          </w:tcPr>
          <w:p w:rsidR="00B7760A" w:rsidRPr="0056461F" w:rsidRDefault="00B7760A" w:rsidP="00C90014">
            <w:pPr>
              <w:rPr>
                <w:rFonts w:eastAsia="Calibri"/>
                <w:szCs w:val="24"/>
              </w:rPr>
            </w:pP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t>Standard Protocol</w:t>
            </w:r>
            <w:r w:rsidR="00B7760A" w:rsidRPr="0056461F">
              <w:t xml:space="preserve"> data collection </w:t>
            </w:r>
            <w:r w:rsidR="00B15E63" w:rsidRPr="0056461F">
              <w:t xml:space="preserve">in 12 </w:t>
            </w:r>
            <w:r w:rsidR="00C677F0" w:rsidRPr="0056461F">
              <w:t xml:space="preserve">awardees </w:t>
            </w:r>
            <w:r w:rsidR="00B7760A" w:rsidRPr="0056461F">
              <w:t>(ATSS only)</w:t>
            </w:r>
            <w:r w:rsidR="00B15E63" w:rsidRPr="0056461F">
              <w:t xml:space="preserve"> </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May</w:t>
            </w:r>
            <w:r w:rsidRPr="0056461F">
              <w:t xml:space="preserve"> </w:t>
            </w:r>
            <w:r w:rsidR="00B7760A" w:rsidRPr="0056461F">
              <w:t>2013–</w:t>
            </w:r>
            <w:r>
              <w:t>April</w:t>
            </w:r>
            <w:r w:rsidRPr="0056461F">
              <w:t xml:space="preserve"> </w:t>
            </w:r>
            <w:r w:rsidR="00B7760A" w:rsidRPr="0056461F">
              <w:t>2014</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t>Enhanced Protocol</w:t>
            </w:r>
            <w:r w:rsidR="00B7760A" w:rsidRPr="0056461F">
              <w:t xml:space="preserve"> </w:t>
            </w:r>
            <w:r w:rsidR="00A60BF9" w:rsidRPr="0056461F">
              <w:t xml:space="preserve">and </w:t>
            </w:r>
            <w:r w:rsidR="00A60BF9" w:rsidRPr="0056461F">
              <w:rPr>
                <w:i/>
              </w:rPr>
              <w:t>Standard Protocol</w:t>
            </w:r>
            <w:r w:rsidR="00A60BF9" w:rsidRPr="0056461F">
              <w:t xml:space="preserve"> </w:t>
            </w:r>
            <w:r w:rsidR="00B7760A" w:rsidRPr="0056461F">
              <w:t xml:space="preserve">data collection </w:t>
            </w:r>
            <w:r w:rsidR="00B15E63" w:rsidRPr="0056461F">
              <w:t xml:space="preserve">in 8 </w:t>
            </w:r>
            <w:r w:rsidR="00C677F0" w:rsidRPr="0056461F">
              <w:t xml:space="preserve">awardees </w:t>
            </w:r>
            <w:r w:rsidR="00B7760A" w:rsidRPr="0056461F">
              <w:t>(ATSS and Adult and Youth Biometric Measures)</w:t>
            </w:r>
          </w:p>
        </w:tc>
        <w:tc>
          <w:tcPr>
            <w:tcW w:w="3506" w:type="dxa"/>
            <w:tcMar>
              <w:top w:w="0" w:type="dxa"/>
              <w:left w:w="86" w:type="dxa"/>
              <w:bottom w:w="0" w:type="dxa"/>
              <w:right w:w="86" w:type="dxa"/>
            </w:tcMar>
            <w:hideMark/>
          </w:tcPr>
          <w:p w:rsidR="00B7760A" w:rsidRPr="0056461F" w:rsidRDefault="008935F0" w:rsidP="00C90014">
            <w:pPr>
              <w:rPr>
                <w:rFonts w:eastAsia="Calibri"/>
                <w:szCs w:val="24"/>
              </w:rPr>
            </w:pPr>
            <w:r>
              <w:t>July</w:t>
            </w:r>
            <w:r w:rsidR="00A65A21" w:rsidRPr="0056461F">
              <w:t xml:space="preserve"> </w:t>
            </w:r>
            <w:r w:rsidR="00B7760A" w:rsidRPr="0056461F">
              <w:t>2013–</w:t>
            </w:r>
            <w:r>
              <w:t>June</w:t>
            </w:r>
            <w:r w:rsidR="00A65A21" w:rsidRPr="0056461F">
              <w:t xml:space="preserve"> </w:t>
            </w:r>
            <w:r w:rsidR="00B7760A" w:rsidRPr="0056461F">
              <w:t>2014</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B7760A" w:rsidP="00C90014">
            <w:pPr>
              <w:rPr>
                <w:rFonts w:eastAsia="Calibri"/>
                <w:szCs w:val="24"/>
              </w:rPr>
            </w:pPr>
            <w:r w:rsidRPr="0056461F">
              <w:t xml:space="preserve">Data Processing and Analysis </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 xml:space="preserve">May </w:t>
            </w:r>
            <w:r w:rsidR="00A65A21" w:rsidRPr="0056461F">
              <w:t>2014</w:t>
            </w:r>
            <w:r w:rsidR="00B7760A" w:rsidRPr="0056461F">
              <w:t>–</w:t>
            </w:r>
            <w:r>
              <w:t>March</w:t>
            </w:r>
            <w:r w:rsidRPr="0056461F">
              <w:t xml:space="preserve"> </w:t>
            </w:r>
            <w:r w:rsidR="00A65A21" w:rsidRPr="0056461F">
              <w:t xml:space="preserve">2015 </w:t>
            </w:r>
          </w:p>
        </w:tc>
      </w:tr>
      <w:tr w:rsidR="00B7760A" w:rsidRPr="0056461F" w:rsidTr="000F1DA4">
        <w:trPr>
          <w:cantSplit/>
        </w:trPr>
        <w:tc>
          <w:tcPr>
            <w:tcW w:w="6026" w:type="dxa"/>
            <w:shd w:val="clear" w:color="auto" w:fill="E5E5E5"/>
            <w:tcMar>
              <w:top w:w="0" w:type="dxa"/>
              <w:left w:w="86" w:type="dxa"/>
              <w:bottom w:w="0" w:type="dxa"/>
              <w:right w:w="86" w:type="dxa"/>
            </w:tcMar>
            <w:hideMark/>
          </w:tcPr>
          <w:p w:rsidR="00B7760A" w:rsidRPr="0056461F" w:rsidRDefault="00B7760A" w:rsidP="00C15BED">
            <w:pPr>
              <w:rPr>
                <w:rFonts w:eastAsia="Calibri"/>
                <w:szCs w:val="24"/>
              </w:rPr>
            </w:pPr>
            <w:r w:rsidRPr="0056461F">
              <w:rPr>
                <w:b/>
                <w:bCs/>
              </w:rPr>
              <w:t xml:space="preserve">Measurement </w:t>
            </w:r>
            <w:r w:rsidR="00C15BED">
              <w:rPr>
                <w:b/>
                <w:bCs/>
              </w:rPr>
              <w:t>Period</w:t>
            </w:r>
            <w:r w:rsidRPr="0056461F">
              <w:rPr>
                <w:b/>
                <w:bCs/>
              </w:rPr>
              <w:t xml:space="preserve"> #2 </w:t>
            </w:r>
          </w:p>
        </w:tc>
        <w:tc>
          <w:tcPr>
            <w:tcW w:w="3506" w:type="dxa"/>
            <w:shd w:val="clear" w:color="auto" w:fill="E5E5E5"/>
            <w:tcMar>
              <w:top w:w="0" w:type="dxa"/>
              <w:left w:w="86" w:type="dxa"/>
              <w:bottom w:w="0" w:type="dxa"/>
              <w:right w:w="86" w:type="dxa"/>
            </w:tcMar>
          </w:tcPr>
          <w:p w:rsidR="00B7760A" w:rsidRPr="0056461F" w:rsidRDefault="00B7760A" w:rsidP="00C90014">
            <w:pPr>
              <w:rPr>
                <w:rFonts w:eastAsia="Calibri"/>
                <w:szCs w:val="24"/>
              </w:rPr>
            </w:pP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lastRenderedPageBreak/>
              <w:t>Standard Protocol</w:t>
            </w:r>
            <w:r w:rsidR="00B7760A" w:rsidRPr="0056461F">
              <w:t xml:space="preserve"> data collection </w:t>
            </w:r>
            <w:r w:rsidR="00B15E63" w:rsidRPr="0056461F">
              <w:t xml:space="preserve">in 12 </w:t>
            </w:r>
            <w:r w:rsidR="00C677F0" w:rsidRPr="0056461F">
              <w:t xml:space="preserve">awardees </w:t>
            </w:r>
            <w:r w:rsidR="00B7760A" w:rsidRPr="0056461F">
              <w:t>(ATSS only)</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May</w:t>
            </w:r>
            <w:r w:rsidRPr="0056461F">
              <w:t xml:space="preserve"> </w:t>
            </w:r>
            <w:r w:rsidR="00B7760A" w:rsidRPr="0056461F">
              <w:t>2015–</w:t>
            </w:r>
            <w:r>
              <w:t>April</w:t>
            </w:r>
            <w:r w:rsidRPr="0056461F">
              <w:t xml:space="preserve"> </w:t>
            </w:r>
            <w:r w:rsidR="00B7760A" w:rsidRPr="0056461F">
              <w:t>2016</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t>Enhanced Protocol</w:t>
            </w:r>
            <w:r w:rsidR="00B7760A" w:rsidRPr="0056461F">
              <w:t xml:space="preserve"> </w:t>
            </w:r>
            <w:r w:rsidR="00A60BF9" w:rsidRPr="0056461F">
              <w:t xml:space="preserve">and </w:t>
            </w:r>
            <w:r w:rsidR="00A60BF9" w:rsidRPr="0056461F">
              <w:rPr>
                <w:i/>
              </w:rPr>
              <w:t>Standard Protocol</w:t>
            </w:r>
            <w:r w:rsidR="00A60BF9" w:rsidRPr="0056461F">
              <w:t xml:space="preserve"> </w:t>
            </w:r>
            <w:r w:rsidR="00B7760A" w:rsidRPr="0056461F">
              <w:t xml:space="preserve">data collection </w:t>
            </w:r>
            <w:r w:rsidR="00B15E63" w:rsidRPr="0056461F">
              <w:t xml:space="preserve">in 8 </w:t>
            </w:r>
            <w:r w:rsidR="00C677F0" w:rsidRPr="0056461F">
              <w:t xml:space="preserve">awardees </w:t>
            </w:r>
            <w:r w:rsidR="00B7760A" w:rsidRPr="0056461F">
              <w:t xml:space="preserve">(ATSS and Adult and Youth Biometric Measures) </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July</w:t>
            </w:r>
            <w:r w:rsidRPr="0056461F">
              <w:t xml:space="preserve"> </w:t>
            </w:r>
            <w:r w:rsidR="00B7760A" w:rsidRPr="0056461F">
              <w:t>2015–</w:t>
            </w:r>
            <w:r>
              <w:t>June</w:t>
            </w:r>
            <w:r w:rsidRPr="0056461F">
              <w:t xml:space="preserve"> </w:t>
            </w:r>
            <w:r w:rsidR="00B7760A" w:rsidRPr="0056461F">
              <w:t>2016</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B7760A" w:rsidP="00C90014">
            <w:pPr>
              <w:rPr>
                <w:rFonts w:eastAsia="Calibri"/>
                <w:szCs w:val="24"/>
              </w:rPr>
            </w:pPr>
            <w:r w:rsidRPr="0056461F">
              <w:t>Data Processing and Analysis</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May</w:t>
            </w:r>
            <w:r w:rsidRPr="0056461F">
              <w:t xml:space="preserve"> </w:t>
            </w:r>
            <w:r w:rsidR="00A65A21" w:rsidRPr="0056461F">
              <w:t>2016</w:t>
            </w:r>
            <w:r w:rsidR="00B7760A" w:rsidRPr="0056461F">
              <w:t>–</w:t>
            </w:r>
            <w:r>
              <w:t>February</w:t>
            </w:r>
            <w:r w:rsidRPr="0056461F">
              <w:t xml:space="preserve"> </w:t>
            </w:r>
            <w:r w:rsidR="00B7760A" w:rsidRPr="0056461F">
              <w:t>201</w:t>
            </w:r>
            <w:r w:rsidR="00C15BED">
              <w:t>7</w:t>
            </w:r>
          </w:p>
        </w:tc>
      </w:tr>
      <w:tr w:rsidR="00B7760A" w:rsidRPr="0056461F" w:rsidTr="000F1DA4">
        <w:trPr>
          <w:cantSplit/>
        </w:trPr>
        <w:tc>
          <w:tcPr>
            <w:tcW w:w="6026" w:type="dxa"/>
            <w:shd w:val="clear" w:color="auto" w:fill="E5E5E5"/>
            <w:tcMar>
              <w:top w:w="0" w:type="dxa"/>
              <w:left w:w="86" w:type="dxa"/>
              <w:bottom w:w="0" w:type="dxa"/>
              <w:right w:w="86" w:type="dxa"/>
            </w:tcMar>
            <w:hideMark/>
          </w:tcPr>
          <w:p w:rsidR="00B7760A" w:rsidRPr="0056461F" w:rsidRDefault="00B7760A" w:rsidP="00C15BED">
            <w:pPr>
              <w:rPr>
                <w:rFonts w:eastAsia="Calibri"/>
                <w:szCs w:val="24"/>
              </w:rPr>
            </w:pPr>
            <w:r w:rsidRPr="0056461F">
              <w:rPr>
                <w:b/>
                <w:bCs/>
              </w:rPr>
              <w:t xml:space="preserve">Measurement </w:t>
            </w:r>
            <w:r w:rsidR="00C15BED">
              <w:rPr>
                <w:b/>
                <w:bCs/>
              </w:rPr>
              <w:t>Period</w:t>
            </w:r>
            <w:r w:rsidRPr="0056461F">
              <w:rPr>
                <w:b/>
                <w:bCs/>
              </w:rPr>
              <w:t xml:space="preserve"> #3 </w:t>
            </w:r>
          </w:p>
        </w:tc>
        <w:tc>
          <w:tcPr>
            <w:tcW w:w="3506" w:type="dxa"/>
            <w:shd w:val="clear" w:color="auto" w:fill="E5E5E5"/>
            <w:tcMar>
              <w:top w:w="0" w:type="dxa"/>
              <w:left w:w="86" w:type="dxa"/>
              <w:bottom w:w="0" w:type="dxa"/>
              <w:right w:w="86" w:type="dxa"/>
            </w:tcMar>
          </w:tcPr>
          <w:p w:rsidR="00B7760A" w:rsidRPr="0056461F" w:rsidRDefault="00B7760A" w:rsidP="00C90014">
            <w:pPr>
              <w:rPr>
                <w:rFonts w:eastAsia="Calibri"/>
                <w:szCs w:val="24"/>
              </w:rPr>
            </w:pP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t>Standard Protocol</w:t>
            </w:r>
            <w:r w:rsidR="00B7760A" w:rsidRPr="0056461F">
              <w:t xml:space="preserve"> data collection </w:t>
            </w:r>
            <w:r w:rsidR="00B15E63" w:rsidRPr="0056461F">
              <w:t xml:space="preserve">in 12 </w:t>
            </w:r>
            <w:r w:rsidR="00C677F0" w:rsidRPr="0056461F">
              <w:t xml:space="preserve">awardees </w:t>
            </w:r>
            <w:r w:rsidR="00B7760A" w:rsidRPr="0056461F">
              <w:t>(ATSS only)</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May</w:t>
            </w:r>
            <w:r w:rsidRPr="0056461F">
              <w:t xml:space="preserve"> </w:t>
            </w:r>
            <w:r w:rsidR="00B7760A" w:rsidRPr="0056461F">
              <w:t>2017–</w:t>
            </w:r>
            <w:r>
              <w:t>April</w:t>
            </w:r>
            <w:r w:rsidRPr="0056461F">
              <w:t xml:space="preserve"> </w:t>
            </w:r>
            <w:r w:rsidR="00B7760A" w:rsidRPr="0056461F">
              <w:t>2018</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0B3F4E" w:rsidP="00C90014">
            <w:pPr>
              <w:rPr>
                <w:rFonts w:eastAsia="Calibri"/>
                <w:szCs w:val="24"/>
              </w:rPr>
            </w:pPr>
            <w:r w:rsidRPr="0056461F">
              <w:rPr>
                <w:i/>
              </w:rPr>
              <w:t>Enhanced Protocol</w:t>
            </w:r>
            <w:r w:rsidR="00B7760A" w:rsidRPr="0056461F">
              <w:t xml:space="preserve"> </w:t>
            </w:r>
            <w:r w:rsidR="00A60BF9" w:rsidRPr="0056461F">
              <w:t xml:space="preserve">and </w:t>
            </w:r>
            <w:r w:rsidR="00A60BF9" w:rsidRPr="0056461F">
              <w:rPr>
                <w:i/>
              </w:rPr>
              <w:t>Standard Protocol</w:t>
            </w:r>
            <w:r w:rsidR="00A60BF9" w:rsidRPr="0056461F">
              <w:t xml:space="preserve"> </w:t>
            </w:r>
            <w:r w:rsidR="00B7760A" w:rsidRPr="0056461F">
              <w:t xml:space="preserve">data collection </w:t>
            </w:r>
            <w:r w:rsidR="00B15E63" w:rsidRPr="0056461F">
              <w:t xml:space="preserve">in 8 </w:t>
            </w:r>
            <w:r w:rsidR="00C677F0" w:rsidRPr="0056461F">
              <w:t xml:space="preserve">awardees </w:t>
            </w:r>
            <w:r w:rsidR="00B7760A" w:rsidRPr="0056461F">
              <w:t>(ATSS and Adult and Youth Biometric Measures)</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July</w:t>
            </w:r>
            <w:r w:rsidRPr="0056461F">
              <w:t xml:space="preserve"> </w:t>
            </w:r>
            <w:r w:rsidR="00B7760A" w:rsidRPr="0056461F">
              <w:t>2017–</w:t>
            </w:r>
            <w:r>
              <w:t>June</w:t>
            </w:r>
            <w:r w:rsidRPr="0056461F">
              <w:t xml:space="preserve"> </w:t>
            </w:r>
            <w:r w:rsidR="00B7760A" w:rsidRPr="0056461F">
              <w:t>2018</w:t>
            </w:r>
          </w:p>
        </w:tc>
      </w:tr>
      <w:tr w:rsidR="00B7760A" w:rsidRPr="0056461F" w:rsidTr="000F1DA4">
        <w:trPr>
          <w:cantSplit/>
        </w:trPr>
        <w:tc>
          <w:tcPr>
            <w:tcW w:w="6026" w:type="dxa"/>
            <w:tcMar>
              <w:top w:w="0" w:type="dxa"/>
              <w:left w:w="86" w:type="dxa"/>
              <w:bottom w:w="0" w:type="dxa"/>
              <w:right w:w="86" w:type="dxa"/>
            </w:tcMar>
            <w:hideMark/>
          </w:tcPr>
          <w:p w:rsidR="00B7760A" w:rsidRPr="0056461F" w:rsidRDefault="00B7760A" w:rsidP="00C90014">
            <w:pPr>
              <w:rPr>
                <w:rFonts w:eastAsia="Calibri"/>
                <w:szCs w:val="24"/>
              </w:rPr>
            </w:pPr>
            <w:r w:rsidRPr="0056461F">
              <w:t xml:space="preserve">Data Processing and Analysis </w:t>
            </w:r>
          </w:p>
        </w:tc>
        <w:tc>
          <w:tcPr>
            <w:tcW w:w="3506" w:type="dxa"/>
            <w:tcMar>
              <w:top w:w="0" w:type="dxa"/>
              <w:left w:w="86" w:type="dxa"/>
              <w:bottom w:w="0" w:type="dxa"/>
              <w:right w:w="86" w:type="dxa"/>
            </w:tcMar>
            <w:hideMark/>
          </w:tcPr>
          <w:p w:rsidR="00B7760A" w:rsidRPr="0056461F" w:rsidRDefault="008935F0" w:rsidP="008935F0">
            <w:pPr>
              <w:rPr>
                <w:rFonts w:eastAsia="Calibri"/>
                <w:szCs w:val="24"/>
              </w:rPr>
            </w:pPr>
            <w:r>
              <w:t>May</w:t>
            </w:r>
            <w:r w:rsidRPr="0056461F">
              <w:t xml:space="preserve"> </w:t>
            </w:r>
            <w:r w:rsidR="009D64B9" w:rsidRPr="0056461F">
              <w:t>2018</w:t>
            </w:r>
            <w:r w:rsidR="00B7760A" w:rsidRPr="0056461F">
              <w:t>–</w:t>
            </w:r>
            <w:r>
              <w:t>March</w:t>
            </w:r>
            <w:r w:rsidR="00B7760A" w:rsidRPr="0056461F">
              <w:t xml:space="preserve"> 201</w:t>
            </w:r>
            <w:r w:rsidR="00C15BED">
              <w:t>9</w:t>
            </w:r>
          </w:p>
        </w:tc>
      </w:tr>
    </w:tbl>
    <w:p w:rsidR="00E61446" w:rsidRDefault="00E61446" w:rsidP="00C90014"/>
    <w:p w:rsidR="00864B32" w:rsidRPr="0056461F" w:rsidRDefault="00864B32" w:rsidP="002C1227">
      <w:pPr>
        <w:pStyle w:val="Heading2"/>
        <w:spacing w:after="0"/>
      </w:pPr>
      <w:bookmarkStart w:id="40" w:name="_Toc348428812"/>
      <w:r w:rsidRPr="0056461F">
        <w:t>A</w:t>
      </w:r>
      <w:r w:rsidR="0085535A">
        <w:t>.</w:t>
      </w:r>
      <w:r w:rsidRPr="0056461F">
        <w:t>17</w:t>
      </w:r>
      <w:r w:rsidR="00347A06" w:rsidRPr="0056461F">
        <w:tab/>
      </w:r>
      <w:r w:rsidRPr="0056461F">
        <w:t>Reason(s) Display of OMB Expiration D</w:t>
      </w:r>
      <w:r w:rsidR="008302A3">
        <w:t>ate</w:t>
      </w:r>
      <w:r w:rsidRPr="0056461F">
        <w:t xml:space="preserve"> </w:t>
      </w:r>
      <w:r w:rsidR="008302A3">
        <w:t>I</w:t>
      </w:r>
      <w:r w:rsidR="00FA6765" w:rsidRPr="0056461F">
        <w:t xml:space="preserve">s </w:t>
      </w:r>
      <w:r w:rsidRPr="0056461F">
        <w:t>Inappropriate</w:t>
      </w:r>
      <w:bookmarkEnd w:id="40"/>
    </w:p>
    <w:p w:rsidR="00B77E2F" w:rsidRPr="0056461F" w:rsidRDefault="00B77E2F" w:rsidP="00C90014">
      <w:pPr>
        <w:pStyle w:val="BodyText"/>
        <w:spacing w:line="240" w:lineRule="auto"/>
        <w:ind w:left="0"/>
      </w:pPr>
      <w:r w:rsidRPr="0056461F">
        <w:t>No request for an exemption from displaying the expiration date for OMB approval is being sought.</w:t>
      </w:r>
    </w:p>
    <w:p w:rsidR="00864B32" w:rsidRPr="0056461F" w:rsidRDefault="00864B32" w:rsidP="002C1227">
      <w:pPr>
        <w:pStyle w:val="Heading2"/>
        <w:spacing w:after="0"/>
      </w:pPr>
      <w:bookmarkStart w:id="41" w:name="_Toc348428813"/>
      <w:r w:rsidRPr="0056461F">
        <w:t>A</w:t>
      </w:r>
      <w:r w:rsidR="0085535A">
        <w:t>.</w:t>
      </w:r>
      <w:r w:rsidRPr="0056461F">
        <w:t>18</w:t>
      </w:r>
      <w:r w:rsidR="00347A06" w:rsidRPr="0056461F">
        <w:tab/>
      </w:r>
      <w:r w:rsidRPr="0056461F">
        <w:t>Exceptions to Certification for Paperwork Reduction Act Submission</w:t>
      </w:r>
      <w:bookmarkEnd w:id="41"/>
    </w:p>
    <w:p w:rsidR="00E323D2" w:rsidRPr="0056461F" w:rsidRDefault="00915CE8" w:rsidP="00C90014">
      <w:pPr>
        <w:pStyle w:val="BodyText"/>
        <w:spacing w:line="240" w:lineRule="auto"/>
        <w:ind w:left="0"/>
      </w:pPr>
      <w:r w:rsidRPr="0056461F">
        <w:t>These data will be collected in a manner consistent with the certification statement identified in Item 19</w:t>
      </w:r>
      <w:r w:rsidR="00EC76F7">
        <w:t>,</w:t>
      </w:r>
      <w:r w:rsidRPr="0056461F">
        <w:t xml:space="preserve"> Certification for Paperwork Reduction Act Submissions</w:t>
      </w:r>
      <w:r w:rsidR="00EC76F7">
        <w:t>,</w:t>
      </w:r>
      <w:r w:rsidRPr="0056461F">
        <w:t xml:space="preserve"> of OMB Form 83</w:t>
      </w:r>
      <w:r w:rsidRPr="0056461F">
        <w:noBreakHyphen/>
        <w:t>I. No exceptions are requested.</w:t>
      </w:r>
    </w:p>
    <w:p w:rsidR="00B81D89" w:rsidRPr="0056461F" w:rsidRDefault="00CE4AC8" w:rsidP="00B81D89">
      <w:pPr>
        <w:pStyle w:val="Heading2"/>
        <w:spacing w:after="0"/>
      </w:pPr>
      <w:r w:rsidRPr="0056461F">
        <w:br w:type="page"/>
      </w:r>
      <w:bookmarkStart w:id="42" w:name="_Toc318205205"/>
      <w:bookmarkStart w:id="43" w:name="_Toc319417467"/>
      <w:bookmarkStart w:id="44" w:name="_Toc348428814"/>
      <w:r w:rsidR="00B81D89" w:rsidRPr="0056461F">
        <w:lastRenderedPageBreak/>
        <w:t>A</w:t>
      </w:r>
      <w:r w:rsidR="00B81D89">
        <w:t>.</w:t>
      </w:r>
      <w:r w:rsidR="00B81D89" w:rsidRPr="0056461F">
        <w:t>1</w:t>
      </w:r>
      <w:r w:rsidR="00B81D89">
        <w:t>9</w:t>
      </w:r>
      <w:r w:rsidR="00B81D89" w:rsidRPr="0056461F">
        <w:tab/>
      </w:r>
      <w:r w:rsidR="00B81D89">
        <w:t>References</w:t>
      </w:r>
    </w:p>
    <w:p w:rsidR="00990D2A" w:rsidRPr="0056461F" w:rsidRDefault="00990D2A" w:rsidP="00C90014">
      <w:pPr>
        <w:pStyle w:val="biblio"/>
        <w:ind w:left="360"/>
      </w:pPr>
      <w:bookmarkStart w:id="45" w:name="_Ref319309135"/>
      <w:bookmarkEnd w:id="42"/>
      <w:bookmarkEnd w:id="43"/>
      <w:bookmarkEnd w:id="44"/>
      <w:r w:rsidRPr="0056461F">
        <w:t xml:space="preserve">Centers for Disease Control and Prevention (CDC). (2008). Smoking-attributable mortality, years of potential life lost, and productivity losses—United States, 2000–2004. </w:t>
      </w:r>
      <w:r w:rsidRPr="0056461F">
        <w:rPr>
          <w:i/>
        </w:rPr>
        <w:t>Morbidity and Mortality Weekly Report, 57</w:t>
      </w:r>
      <w:r w:rsidRPr="0056461F">
        <w:t>(45), 1226–1228.</w:t>
      </w:r>
      <w:bookmarkEnd w:id="45"/>
    </w:p>
    <w:p w:rsidR="00990D2A" w:rsidRPr="0056461F" w:rsidRDefault="00990D2A" w:rsidP="00C90014">
      <w:pPr>
        <w:pStyle w:val="biblio"/>
        <w:ind w:left="360"/>
      </w:pPr>
      <w:bookmarkStart w:id="46" w:name="_Ref319309141"/>
      <w:r w:rsidRPr="0056461F">
        <w:t xml:space="preserve">Centers for Disease Control and Prevention (CDC). (2011). Vital signs: Current cigarette smoking among adults aged ≥ 18 years—United States, 2005–2010. </w:t>
      </w:r>
      <w:r w:rsidRPr="0056461F">
        <w:rPr>
          <w:i/>
          <w:iCs/>
        </w:rPr>
        <w:t>Morbidity and Mortality Weekly Report</w:t>
      </w:r>
      <w:r w:rsidRPr="0056461F">
        <w:t xml:space="preserve">, </w:t>
      </w:r>
      <w:r w:rsidRPr="0056461F">
        <w:rPr>
          <w:i/>
        </w:rPr>
        <w:t>60</w:t>
      </w:r>
      <w:r w:rsidRPr="0056461F">
        <w:t>(35), 1207–1212.</w:t>
      </w:r>
      <w:bookmarkEnd w:id="46"/>
    </w:p>
    <w:p w:rsidR="00990D2A" w:rsidRPr="0056461F" w:rsidRDefault="00990D2A" w:rsidP="00C90014">
      <w:pPr>
        <w:pStyle w:val="biblio"/>
        <w:ind w:left="360"/>
      </w:pPr>
      <w:bookmarkStart w:id="47" w:name="_Ref319309147"/>
      <w:r w:rsidRPr="0056461F">
        <w:t xml:space="preserve">Centers for Disease Control and Prevention (CDC). (2010). Vital signs: Nonsmokers’ exposure to secondhand smoke—United States, 1999–2008. </w:t>
      </w:r>
      <w:r w:rsidRPr="0056461F">
        <w:rPr>
          <w:i/>
          <w:iCs/>
        </w:rPr>
        <w:t>Morbidity and Mortality Weekly Report</w:t>
      </w:r>
      <w:r w:rsidRPr="0056461F">
        <w:t xml:space="preserve">, </w:t>
      </w:r>
      <w:r w:rsidRPr="0056461F">
        <w:rPr>
          <w:i/>
        </w:rPr>
        <w:t>59</w:t>
      </w:r>
      <w:r w:rsidRPr="0056461F">
        <w:t>(35), 1141–1146.</w:t>
      </w:r>
      <w:bookmarkEnd w:id="47"/>
      <w:r w:rsidRPr="0056461F">
        <w:t xml:space="preserve"> </w:t>
      </w:r>
    </w:p>
    <w:p w:rsidR="00990D2A" w:rsidRPr="0056461F" w:rsidRDefault="00990D2A" w:rsidP="00C90014">
      <w:pPr>
        <w:pStyle w:val="biblio"/>
        <w:ind w:left="360"/>
      </w:pPr>
      <w:bookmarkStart w:id="48" w:name="_Ref319309157"/>
      <w:r w:rsidRPr="0056461F">
        <w:t xml:space="preserve">Centers for Disease Control and Prevention (CDC). (2012). </w:t>
      </w:r>
      <w:r w:rsidRPr="00771ACC">
        <w:rPr>
          <w:i/>
        </w:rPr>
        <w:t>Guide to community preventive services: Tobacco use</w:t>
      </w:r>
      <w:r w:rsidRPr="0056461F">
        <w:t xml:space="preserve">. </w:t>
      </w:r>
      <w:r w:rsidR="00425EA3" w:rsidRPr="0056461F">
        <w:t>Retrieved</w:t>
      </w:r>
      <w:r w:rsidRPr="0056461F">
        <w:t xml:space="preserve"> February 9, 2012</w:t>
      </w:r>
      <w:r w:rsidR="00425EA3" w:rsidRPr="0056461F">
        <w:t>, from</w:t>
      </w:r>
      <w:r w:rsidRPr="0056461F">
        <w:t xml:space="preserve"> http://www.thecommunityguide.org/tobacco/index.html</w:t>
      </w:r>
      <w:bookmarkEnd w:id="48"/>
      <w:r w:rsidRPr="0056461F">
        <w:t xml:space="preserve"> </w:t>
      </w:r>
    </w:p>
    <w:p w:rsidR="00425EA3" w:rsidRPr="0056461F" w:rsidRDefault="00425EA3" w:rsidP="00C90014">
      <w:pPr>
        <w:pStyle w:val="biblio"/>
        <w:ind w:left="360"/>
      </w:pPr>
      <w:bookmarkStart w:id="49" w:name="_Ref319312328"/>
      <w:r w:rsidRPr="0056461F">
        <w:t xml:space="preserve">Centers for Disease Control and Prevention (CDC). (2010). </w:t>
      </w:r>
      <w:r w:rsidRPr="00771ACC">
        <w:rPr>
          <w:i/>
        </w:rPr>
        <w:t>The community guide: What works to promote health</w:t>
      </w:r>
      <w:r w:rsidRPr="0056461F">
        <w:t>. Retrieved March 12, 2012, from http://www.thecommunityguide.org/tobacco/index.html</w:t>
      </w:r>
      <w:bookmarkEnd w:id="49"/>
      <w:r w:rsidRPr="0056461F">
        <w:t xml:space="preserve"> </w:t>
      </w:r>
    </w:p>
    <w:p w:rsidR="00425EA3" w:rsidRPr="0056461F" w:rsidRDefault="00425EA3" w:rsidP="00C90014">
      <w:pPr>
        <w:pStyle w:val="biblio"/>
        <w:ind w:left="360"/>
      </w:pPr>
      <w:bookmarkStart w:id="50" w:name="_Ref319312333"/>
      <w:r w:rsidRPr="0056461F">
        <w:t xml:space="preserve">Hopkins, D. P., Razi, S., Leeks, K. D., Kalra, G. P., Chattopadhyay, S. K., Soler, R. E., &amp; Task Force on Community Preventive Services. (2010, February). Smokefree policies to reduce tobacco use: A systematic review. </w:t>
      </w:r>
      <w:r w:rsidRPr="0056461F">
        <w:rPr>
          <w:i/>
        </w:rPr>
        <w:t>American Journal of Preventive Medicine, 38</w:t>
      </w:r>
      <w:r w:rsidRPr="0056461F">
        <w:t>(2, Suppl.), S275–S289.</w:t>
      </w:r>
      <w:bookmarkEnd w:id="50"/>
    </w:p>
    <w:p w:rsidR="00990D2A" w:rsidRPr="0056461F" w:rsidRDefault="00990D2A" w:rsidP="00C90014">
      <w:pPr>
        <w:pStyle w:val="biblio"/>
        <w:ind w:left="360"/>
      </w:pPr>
      <w:bookmarkStart w:id="51" w:name="_Ref319309163"/>
      <w:r w:rsidRPr="0056461F">
        <w:t xml:space="preserve">Dhar, P. (2004). Measuring tobacco smoke exposure: Quantifying nicotine/cotinine concentration in biological samples by colorimetry, chromatography and immunoassay methods. </w:t>
      </w:r>
      <w:r w:rsidRPr="0056461F">
        <w:rPr>
          <w:i/>
          <w:iCs/>
        </w:rPr>
        <w:t>Journal of Pharmaceutical and Biomedical Analysis</w:t>
      </w:r>
      <w:r w:rsidRPr="0056461F">
        <w:rPr>
          <w:i/>
        </w:rPr>
        <w:t>, 35,</w:t>
      </w:r>
      <w:r w:rsidRPr="0056461F">
        <w:t xml:space="preserve"> 155–168.</w:t>
      </w:r>
      <w:bookmarkEnd w:id="51"/>
    </w:p>
    <w:p w:rsidR="00990D2A" w:rsidRPr="0056461F" w:rsidRDefault="00990D2A" w:rsidP="00C90014">
      <w:pPr>
        <w:pStyle w:val="biblio"/>
        <w:ind w:left="360"/>
      </w:pPr>
      <w:bookmarkStart w:id="52" w:name="_Ref319309170"/>
      <w:r w:rsidRPr="0056461F">
        <w:t xml:space="preserve">Farrelly, M. C., Nonnemaker, J. M., Chou, R., Hyland, A., Peterson, K. K., &amp; Bauer, U. E. (2005). Changes in hospitality workers’ exposure to secondhand smoke following the implementation of New York’s smoke-free law. </w:t>
      </w:r>
      <w:r w:rsidRPr="0056461F">
        <w:rPr>
          <w:i/>
          <w:iCs/>
        </w:rPr>
        <w:t>Tobacco Control</w:t>
      </w:r>
      <w:r w:rsidRPr="0056461F">
        <w:rPr>
          <w:i/>
        </w:rPr>
        <w:t xml:space="preserve">, 14, </w:t>
      </w:r>
      <w:r w:rsidRPr="0056461F">
        <w:t>236–241.</w:t>
      </w:r>
      <w:bookmarkEnd w:id="52"/>
      <w:r w:rsidRPr="0056461F">
        <w:t xml:space="preserve"> </w:t>
      </w:r>
    </w:p>
    <w:p w:rsidR="00990D2A" w:rsidRPr="0056461F" w:rsidRDefault="00990D2A" w:rsidP="00C90014">
      <w:pPr>
        <w:pStyle w:val="biblio"/>
        <w:ind w:left="360"/>
      </w:pPr>
      <w:bookmarkStart w:id="53" w:name="_Ref319309175"/>
      <w:r w:rsidRPr="0056461F">
        <w:t>Flegal, K. M., Carroll, M. D., Ogden, C. L., &amp; Curtin, L. R. (2010). Prevalence and trends in obesity among us adults, 1999</w:t>
      </w:r>
      <w:r w:rsidR="00CE4063" w:rsidRPr="0056461F">
        <w:t>–</w:t>
      </w:r>
      <w:r w:rsidRPr="0056461F">
        <w:t xml:space="preserve">2008. </w:t>
      </w:r>
      <w:r w:rsidRPr="0056461F">
        <w:rPr>
          <w:i/>
          <w:iCs/>
        </w:rPr>
        <w:t>Journal of the American Medical Association</w:t>
      </w:r>
      <w:r w:rsidRPr="0056461F">
        <w:t xml:space="preserve">, </w:t>
      </w:r>
      <w:r w:rsidRPr="0056461F">
        <w:rPr>
          <w:i/>
          <w:iCs/>
        </w:rPr>
        <w:t>303</w:t>
      </w:r>
      <w:r w:rsidRPr="0056461F">
        <w:t>(3), 235</w:t>
      </w:r>
      <w:r w:rsidR="00434BE3" w:rsidRPr="0056461F">
        <w:t>–</w:t>
      </w:r>
      <w:r w:rsidRPr="0056461F">
        <w:t>241.</w:t>
      </w:r>
      <w:bookmarkEnd w:id="53"/>
    </w:p>
    <w:p w:rsidR="00990D2A" w:rsidRPr="0056461F" w:rsidRDefault="00990D2A" w:rsidP="00C90014">
      <w:pPr>
        <w:pStyle w:val="biblio"/>
        <w:ind w:left="360"/>
      </w:pPr>
      <w:bookmarkStart w:id="54" w:name="_Ref319309177"/>
      <w:r w:rsidRPr="0056461F">
        <w:t xml:space="preserve">Ogden, C. L., Carroll, M. D., &amp; Curtin, L. R. (2010). Prevalence of high body mass index in </w:t>
      </w:r>
      <w:r w:rsidR="00CE4063" w:rsidRPr="0056461F">
        <w:t xml:space="preserve">U.S. </w:t>
      </w:r>
      <w:r w:rsidRPr="0056461F">
        <w:t>children and adolescents, 2007</w:t>
      </w:r>
      <w:r w:rsidR="00CE4063" w:rsidRPr="0056461F">
        <w:t>–</w:t>
      </w:r>
      <w:r w:rsidRPr="0056461F">
        <w:t xml:space="preserve">2008. </w:t>
      </w:r>
      <w:r w:rsidRPr="0056461F">
        <w:rPr>
          <w:i/>
          <w:iCs/>
        </w:rPr>
        <w:t>Journal of the American Medical Association</w:t>
      </w:r>
      <w:r w:rsidRPr="0056461F">
        <w:t xml:space="preserve">, </w:t>
      </w:r>
      <w:r w:rsidRPr="0056461F">
        <w:rPr>
          <w:i/>
          <w:iCs/>
        </w:rPr>
        <w:t>303</w:t>
      </w:r>
      <w:r w:rsidRPr="0056461F">
        <w:t>(3), 242</w:t>
      </w:r>
      <w:r w:rsidR="00434BE3" w:rsidRPr="0056461F">
        <w:t>–</w:t>
      </w:r>
      <w:r w:rsidRPr="0056461F">
        <w:t>249.</w:t>
      </w:r>
      <w:bookmarkEnd w:id="54"/>
      <w:r w:rsidRPr="0056461F">
        <w:t xml:space="preserve"> </w:t>
      </w:r>
    </w:p>
    <w:p w:rsidR="00990D2A" w:rsidRPr="0056461F" w:rsidRDefault="00990D2A" w:rsidP="00C90014">
      <w:pPr>
        <w:pStyle w:val="biblio"/>
        <w:ind w:left="360"/>
      </w:pPr>
      <w:bookmarkStart w:id="55" w:name="_Ref319309206"/>
      <w:r w:rsidRPr="0056461F">
        <w:t>Ogden C.</w:t>
      </w:r>
      <w:r w:rsidR="00CE4063" w:rsidRPr="0056461F">
        <w:t xml:space="preserve"> </w:t>
      </w:r>
      <w:r w:rsidRPr="0056461F">
        <w:t xml:space="preserve">L., </w:t>
      </w:r>
      <w:r w:rsidR="00CE4063" w:rsidRPr="0056461F">
        <w:t xml:space="preserve">&amp; </w:t>
      </w:r>
      <w:r w:rsidRPr="0056461F">
        <w:t xml:space="preserve">Carroll M. D. (2010). </w:t>
      </w:r>
      <w:r w:rsidRPr="00771ACC">
        <w:rPr>
          <w:i/>
        </w:rPr>
        <w:t xml:space="preserve">Prevalence of </w:t>
      </w:r>
      <w:r w:rsidR="00CE4063" w:rsidRPr="00771ACC">
        <w:rPr>
          <w:i/>
        </w:rPr>
        <w:t>overweight, obesity, and extreme obesity among adults:</w:t>
      </w:r>
      <w:r w:rsidRPr="00771ACC">
        <w:rPr>
          <w:i/>
        </w:rPr>
        <w:t xml:space="preserve"> United States, </w:t>
      </w:r>
      <w:r w:rsidR="00CE4063" w:rsidRPr="00771ACC">
        <w:rPr>
          <w:i/>
        </w:rPr>
        <w:t xml:space="preserve">trends </w:t>
      </w:r>
      <w:r w:rsidRPr="00771ACC">
        <w:rPr>
          <w:i/>
        </w:rPr>
        <w:t>1960</w:t>
      </w:r>
      <w:r w:rsidR="00CE4063" w:rsidRPr="00771ACC">
        <w:rPr>
          <w:i/>
        </w:rPr>
        <w:t>–</w:t>
      </w:r>
      <w:r w:rsidRPr="00771ACC">
        <w:rPr>
          <w:i/>
        </w:rPr>
        <w:t xml:space="preserve">1962 </w:t>
      </w:r>
      <w:r w:rsidR="00CE4063" w:rsidRPr="00771ACC">
        <w:rPr>
          <w:i/>
        </w:rPr>
        <w:t xml:space="preserve">through </w:t>
      </w:r>
      <w:r w:rsidRPr="00771ACC">
        <w:rPr>
          <w:i/>
        </w:rPr>
        <w:t>2007</w:t>
      </w:r>
      <w:r w:rsidR="00CE4063" w:rsidRPr="00771ACC">
        <w:rPr>
          <w:i/>
        </w:rPr>
        <w:t>–</w:t>
      </w:r>
      <w:r w:rsidRPr="00771ACC">
        <w:rPr>
          <w:i/>
        </w:rPr>
        <w:t>2008</w:t>
      </w:r>
      <w:r w:rsidRPr="0056461F">
        <w:t xml:space="preserve"> </w:t>
      </w:r>
      <w:r w:rsidR="00EC76F7">
        <w:t>(</w:t>
      </w:r>
      <w:r w:rsidRPr="0056461F">
        <w:t xml:space="preserve">National Center for Health Statistics </w:t>
      </w:r>
      <w:r w:rsidR="00EC76F7">
        <w:t>[</w:t>
      </w:r>
      <w:r w:rsidRPr="0056461F">
        <w:t>NCHS</w:t>
      </w:r>
      <w:r w:rsidR="00EC76F7">
        <w:t>]</w:t>
      </w:r>
      <w:r w:rsidR="00EC76F7" w:rsidRPr="0056461F">
        <w:t xml:space="preserve"> </w:t>
      </w:r>
      <w:r w:rsidRPr="0056461F">
        <w:t>Health E-Stat</w:t>
      </w:r>
      <w:r w:rsidR="00EC76F7">
        <w:t>)</w:t>
      </w:r>
      <w:r w:rsidRPr="0056461F">
        <w:t>. Retrieved from http://www.cdc.gov/nchs/data/hestat/obesity_adult_07_08/obesity_adult_07_08.pdf</w:t>
      </w:r>
      <w:bookmarkEnd w:id="55"/>
      <w:r w:rsidRPr="0056461F">
        <w:t xml:space="preserve"> </w:t>
      </w:r>
    </w:p>
    <w:p w:rsidR="00990D2A" w:rsidRPr="0056461F" w:rsidRDefault="00990D2A" w:rsidP="00C90014">
      <w:pPr>
        <w:pStyle w:val="biblio"/>
        <w:ind w:left="360"/>
      </w:pPr>
      <w:bookmarkStart w:id="56" w:name="_Ref319309211"/>
      <w:r w:rsidRPr="0056461F">
        <w:lastRenderedPageBreak/>
        <w:t xml:space="preserve">Li, F., Harmer, P., Cardinal, B., Bosworth, M., &amp; Johnson-Shelton, D. (2009). Obesity and the built environment: Does the density of neighborhood. </w:t>
      </w:r>
      <w:r w:rsidRPr="0056461F">
        <w:rPr>
          <w:i/>
          <w:iCs/>
        </w:rPr>
        <w:t>American Journal of Health Promotion</w:t>
      </w:r>
      <w:r w:rsidRPr="0056461F">
        <w:t xml:space="preserve">, </w:t>
      </w:r>
      <w:r w:rsidRPr="0056461F">
        <w:rPr>
          <w:i/>
          <w:iCs/>
        </w:rPr>
        <w:t>23</w:t>
      </w:r>
      <w:r w:rsidRPr="0056461F">
        <w:t>(3), 203</w:t>
      </w:r>
      <w:r w:rsidR="00434BE3" w:rsidRPr="0056461F">
        <w:t>–</w:t>
      </w:r>
      <w:r w:rsidRPr="0056461F">
        <w:t>209.</w:t>
      </w:r>
      <w:bookmarkEnd w:id="56"/>
      <w:r w:rsidRPr="0056461F">
        <w:t xml:space="preserve"> </w:t>
      </w:r>
    </w:p>
    <w:p w:rsidR="00AE22D8" w:rsidRPr="0056461F" w:rsidRDefault="00AE22D8" w:rsidP="00C90014">
      <w:pPr>
        <w:pStyle w:val="biblio"/>
        <w:ind w:left="360"/>
      </w:pPr>
      <w:bookmarkStart w:id="57" w:name="_Ref319416763"/>
      <w:r w:rsidRPr="0056461F">
        <w:t xml:space="preserve">U.S. Department of Health and Human Services. (2008). </w:t>
      </w:r>
      <w:r w:rsidRPr="0056461F">
        <w:rPr>
          <w:i/>
        </w:rPr>
        <w:t>2008 Physical Activity Guidelines for Americans.</w:t>
      </w:r>
      <w:r w:rsidRPr="0056461F">
        <w:t xml:space="preserve"> Washington, DC</w:t>
      </w:r>
      <w:r w:rsidR="00EC76F7">
        <w:t>: Author</w:t>
      </w:r>
      <w:r w:rsidRPr="0056461F">
        <w:t>.</w:t>
      </w:r>
      <w:bookmarkEnd w:id="57"/>
    </w:p>
    <w:p w:rsidR="00AE22D8" w:rsidRPr="0056461F" w:rsidRDefault="00AE22D8" w:rsidP="00C90014">
      <w:pPr>
        <w:pStyle w:val="biblio"/>
        <w:ind w:left="360"/>
      </w:pPr>
      <w:bookmarkStart w:id="58" w:name="_Ref319416887"/>
      <w:r w:rsidRPr="0056461F">
        <w:t xml:space="preserve">Blair, S. N. (2009, January). Physical inactivity: The biggest public health problem of the 21st century. </w:t>
      </w:r>
      <w:r w:rsidRPr="0056461F">
        <w:rPr>
          <w:i/>
        </w:rPr>
        <w:t>British Journal of Sports Medicine, 43</w:t>
      </w:r>
      <w:r w:rsidRPr="0056461F">
        <w:t>(1), 1–2.</w:t>
      </w:r>
      <w:bookmarkEnd w:id="58"/>
    </w:p>
    <w:p w:rsidR="00432C86" w:rsidRDefault="0036168B" w:rsidP="00C90014">
      <w:pPr>
        <w:pStyle w:val="biblio"/>
        <w:ind w:left="360"/>
      </w:pPr>
      <w:bookmarkStart w:id="59" w:name="_Ref319417007"/>
      <w:bookmarkStart w:id="60" w:name="_Ref319309264"/>
      <w:bookmarkStart w:id="61" w:name="_Ref319417638"/>
      <w:r w:rsidRPr="0056461F">
        <w:t>Healy, G. N., Clark, B. K., Winkler, E. A., Gardiner, P. A., Brown, W. J., &amp; Matthews, C. E. (2011, August). Measurement of adults</w:t>
      </w:r>
      <w:r w:rsidR="00771ACC">
        <w:t>’</w:t>
      </w:r>
      <w:r w:rsidRPr="0056461F">
        <w:t xml:space="preserve"> sedentary time in population-based studies. </w:t>
      </w:r>
      <w:r w:rsidRPr="0056461F">
        <w:rPr>
          <w:i/>
        </w:rPr>
        <w:t>American Journal of Preventive Medicine, 41</w:t>
      </w:r>
      <w:r w:rsidRPr="0056461F">
        <w:t>(2), 216–227.</w:t>
      </w:r>
      <w:bookmarkStart w:id="62" w:name="_Ref319417713"/>
      <w:bookmarkEnd w:id="59"/>
    </w:p>
    <w:p w:rsidR="00382810" w:rsidRPr="0056461F" w:rsidRDefault="00382810" w:rsidP="00C90014">
      <w:pPr>
        <w:pStyle w:val="biblio"/>
        <w:ind w:left="360"/>
      </w:pPr>
      <w:r w:rsidRPr="0056461F">
        <w:t xml:space="preserve">Centers for Disease Control and Prevention (CDC), AARP, </w:t>
      </w:r>
      <w:r w:rsidR="00CE4063" w:rsidRPr="0056461F">
        <w:t xml:space="preserve">&amp; </w:t>
      </w:r>
      <w:r w:rsidRPr="0056461F">
        <w:t>American Medical Association. (2009).</w:t>
      </w:r>
      <w:r w:rsidRPr="0056461F">
        <w:rPr>
          <w:i/>
        </w:rPr>
        <w:t xml:space="preserve"> Promoting </w:t>
      </w:r>
      <w:r w:rsidR="00CE4063" w:rsidRPr="0056461F">
        <w:rPr>
          <w:i/>
        </w:rPr>
        <w:t>preventive services for adults</w:t>
      </w:r>
      <w:r w:rsidRPr="0056461F">
        <w:rPr>
          <w:i/>
        </w:rPr>
        <w:t xml:space="preserve"> 50</w:t>
      </w:r>
      <w:r w:rsidR="00296C07" w:rsidRPr="0056461F">
        <w:rPr>
          <w:i/>
        </w:rPr>
        <w:t>–</w:t>
      </w:r>
      <w:r w:rsidRPr="0056461F">
        <w:rPr>
          <w:i/>
        </w:rPr>
        <w:t xml:space="preserve">64: Community and </w:t>
      </w:r>
      <w:r w:rsidR="00CE4063" w:rsidRPr="0056461F">
        <w:rPr>
          <w:i/>
        </w:rPr>
        <w:t>clinical partnerships</w:t>
      </w:r>
      <w:r w:rsidRPr="0056461F">
        <w:t xml:space="preserve">. </w:t>
      </w:r>
      <w:r w:rsidR="00CE4063" w:rsidRPr="0056461F">
        <w:t>Retrieved</w:t>
      </w:r>
      <w:r w:rsidRPr="0056461F">
        <w:t xml:space="preserve"> February 13, 2012</w:t>
      </w:r>
      <w:r w:rsidR="00CE4063" w:rsidRPr="0056461F">
        <w:t>, from</w:t>
      </w:r>
      <w:r w:rsidRPr="0056461F">
        <w:t xml:space="preserve"> </w:t>
      </w:r>
      <w:r w:rsidRPr="0056461F">
        <w:rPr>
          <w:rFonts w:cs="Calibri"/>
        </w:rPr>
        <w:t>http://www.cdc.gov/aging/pdf/promoting-preventive-services.pdf</w:t>
      </w:r>
      <w:bookmarkEnd w:id="60"/>
      <w:r w:rsidR="00CE4063" w:rsidRPr="0056461F">
        <w:rPr>
          <w:rFonts w:cs="Calibri"/>
        </w:rPr>
        <w:t>.</w:t>
      </w:r>
      <w:bookmarkEnd w:id="61"/>
      <w:bookmarkEnd w:id="62"/>
    </w:p>
    <w:p w:rsidR="00382810" w:rsidRPr="0056461F" w:rsidRDefault="00A2056D" w:rsidP="00C90014">
      <w:pPr>
        <w:pStyle w:val="biblio"/>
        <w:ind w:left="360"/>
        <w:rPr>
          <w:shd w:val="clear" w:color="auto" w:fill="FFFFFF"/>
        </w:rPr>
      </w:pPr>
      <w:bookmarkStart w:id="63" w:name="_Ref319309294"/>
      <w:bookmarkStart w:id="64" w:name="_Ref346536616"/>
      <w:r>
        <w:rPr>
          <w:shd w:val="clear" w:color="auto" w:fill="FFFFFF"/>
        </w:rPr>
        <w:t xml:space="preserve">Centers for Disease Control and Prevention (CDC). (2012). Chapter 18: </w:t>
      </w:r>
      <w:r w:rsidRPr="000F1DA4">
        <w:rPr>
          <w:shd w:val="clear" w:color="auto" w:fill="FFFFFF"/>
        </w:rPr>
        <w:t>Mental health and mental disorders.</w:t>
      </w:r>
      <w:r w:rsidRPr="00A2056D">
        <w:rPr>
          <w:shd w:val="clear" w:color="auto" w:fill="FFFFFF"/>
        </w:rPr>
        <w:t xml:space="preserve"> </w:t>
      </w:r>
      <w:r>
        <w:rPr>
          <w:shd w:val="clear" w:color="auto" w:fill="FFFFFF"/>
        </w:rPr>
        <w:t xml:space="preserve">In </w:t>
      </w:r>
      <w:r w:rsidR="00382810" w:rsidRPr="000F1DA4">
        <w:rPr>
          <w:i/>
          <w:shd w:val="clear" w:color="auto" w:fill="FFFFFF"/>
        </w:rPr>
        <w:t xml:space="preserve">Healthy </w:t>
      </w:r>
      <w:r w:rsidRPr="00A2056D">
        <w:rPr>
          <w:i/>
          <w:shd w:val="clear" w:color="auto" w:fill="FFFFFF"/>
        </w:rPr>
        <w:t>people</w:t>
      </w:r>
      <w:r w:rsidR="00382810" w:rsidRPr="000F1DA4">
        <w:rPr>
          <w:i/>
          <w:shd w:val="clear" w:color="auto" w:fill="FFFFFF"/>
        </w:rPr>
        <w:t>, 2010 (</w:t>
      </w:r>
      <w:r w:rsidRPr="00A2056D">
        <w:rPr>
          <w:i/>
          <w:shd w:val="clear" w:color="auto" w:fill="FFFFFF"/>
        </w:rPr>
        <w:t>final review</w:t>
      </w:r>
      <w:r w:rsidR="00382810" w:rsidRPr="000F1DA4">
        <w:rPr>
          <w:i/>
          <w:shd w:val="clear" w:color="auto" w:fill="FFFFFF"/>
        </w:rPr>
        <w:t>)</w:t>
      </w:r>
      <w:r>
        <w:rPr>
          <w:shd w:val="clear" w:color="auto" w:fill="FFFFFF"/>
        </w:rPr>
        <w:t xml:space="preserve"> (pp. 18-1–18-2)</w:t>
      </w:r>
      <w:r w:rsidR="00CE4063" w:rsidRPr="0056461F">
        <w:rPr>
          <w:shd w:val="clear" w:color="auto" w:fill="FFFFFF"/>
        </w:rPr>
        <w:t>.</w:t>
      </w:r>
      <w:r w:rsidR="00382810" w:rsidRPr="0056461F">
        <w:rPr>
          <w:shd w:val="clear" w:color="auto" w:fill="FFFFFF"/>
        </w:rPr>
        <w:t xml:space="preserve"> </w:t>
      </w:r>
      <w:r w:rsidR="00771ACC">
        <w:rPr>
          <w:shd w:val="clear" w:color="auto" w:fill="FFFFFF"/>
        </w:rPr>
        <w:t xml:space="preserve">Retrieved </w:t>
      </w:r>
      <w:r w:rsidR="00382810" w:rsidRPr="0056461F">
        <w:rPr>
          <w:shd w:val="clear" w:color="auto" w:fill="FFFFFF"/>
        </w:rPr>
        <w:t xml:space="preserve">February 13, 2012 </w:t>
      </w:r>
      <w:r w:rsidR="00771ACC">
        <w:rPr>
          <w:shd w:val="clear" w:color="auto" w:fill="FFFFFF"/>
        </w:rPr>
        <w:t>from</w:t>
      </w:r>
      <w:r w:rsidR="00382810" w:rsidRPr="0056461F">
        <w:rPr>
          <w:shd w:val="clear" w:color="auto" w:fill="FFFFFF"/>
        </w:rPr>
        <w:t xml:space="preserve"> http://www.cdc.gov/nchs/healthy_people/hp2010/hp2010_final_</w:t>
      </w:r>
      <w:r w:rsidR="0045024C" w:rsidRPr="0056461F">
        <w:rPr>
          <w:shd w:val="clear" w:color="auto" w:fill="FFFFFF"/>
        </w:rPr>
        <w:br/>
      </w:r>
      <w:r w:rsidR="00382810" w:rsidRPr="0056461F">
        <w:rPr>
          <w:shd w:val="clear" w:color="auto" w:fill="FFFFFF"/>
        </w:rPr>
        <w:t>review.htm</w:t>
      </w:r>
      <w:bookmarkEnd w:id="63"/>
      <w:bookmarkEnd w:id="64"/>
    </w:p>
    <w:p w:rsidR="00382810" w:rsidRPr="0056461F" w:rsidRDefault="00382810" w:rsidP="00C90014">
      <w:pPr>
        <w:pStyle w:val="biblio"/>
        <w:ind w:left="360"/>
      </w:pPr>
      <w:bookmarkStart w:id="65" w:name="_Ref319309321"/>
      <w:r w:rsidRPr="0056461F">
        <w:t xml:space="preserve">Centers for Disease Control and Prevention (CDC). (2001). Increasing </w:t>
      </w:r>
      <w:r w:rsidR="0045024C" w:rsidRPr="0056461F">
        <w:t>physical activity</w:t>
      </w:r>
      <w:r w:rsidRPr="0056461F">
        <w:t xml:space="preserve">: A </w:t>
      </w:r>
      <w:r w:rsidR="0045024C" w:rsidRPr="0056461F">
        <w:t>report on recommendations of the</w:t>
      </w:r>
      <w:r w:rsidRPr="0056461F">
        <w:t xml:space="preserve"> Task Force on Community Preventive Services. </w:t>
      </w:r>
      <w:r w:rsidRPr="0056461F">
        <w:rPr>
          <w:i/>
        </w:rPr>
        <w:t>Morbidity and Mortality Weekly Report, 50</w:t>
      </w:r>
      <w:r w:rsidRPr="0056461F">
        <w:t>(18), 1</w:t>
      </w:r>
      <w:r w:rsidR="00434BE3" w:rsidRPr="0056461F">
        <w:t>–</w:t>
      </w:r>
      <w:r w:rsidRPr="0056461F">
        <w:t>16.</w:t>
      </w:r>
      <w:bookmarkEnd w:id="65"/>
      <w:r w:rsidRPr="0056461F">
        <w:t xml:space="preserve"> </w:t>
      </w:r>
    </w:p>
    <w:p w:rsidR="00382810" w:rsidRPr="0056461F" w:rsidRDefault="00382810" w:rsidP="00C90014">
      <w:pPr>
        <w:pStyle w:val="biblio"/>
        <w:ind w:left="360"/>
      </w:pPr>
      <w:bookmarkStart w:id="66" w:name="_Ref319309329"/>
      <w:bookmarkStart w:id="67" w:name="_Ref346536676"/>
      <w:r w:rsidRPr="0056461F">
        <w:t>Centers for Disease Control and Prevention (CDC)</w:t>
      </w:r>
      <w:r w:rsidR="0045024C" w:rsidRPr="0056461F">
        <w:t>.</w:t>
      </w:r>
      <w:r w:rsidRPr="0056461F">
        <w:t xml:space="preserve"> (2012). </w:t>
      </w:r>
      <w:r w:rsidRPr="0056461F">
        <w:rPr>
          <w:i/>
        </w:rPr>
        <w:t xml:space="preserve">Guide to </w:t>
      </w:r>
      <w:r w:rsidR="0045024C" w:rsidRPr="0056461F">
        <w:rPr>
          <w:i/>
        </w:rPr>
        <w:t xml:space="preserve">community preventive services: </w:t>
      </w:r>
      <w:r w:rsidRPr="0056461F">
        <w:rPr>
          <w:i/>
        </w:rPr>
        <w:t xml:space="preserve">Promoting </w:t>
      </w:r>
      <w:r w:rsidR="0045024C" w:rsidRPr="0056461F">
        <w:rPr>
          <w:i/>
        </w:rPr>
        <w:t xml:space="preserve">physical activity. </w:t>
      </w:r>
      <w:r w:rsidR="0045024C" w:rsidRPr="0056461F">
        <w:t>Retrieved</w:t>
      </w:r>
      <w:r w:rsidRPr="0056461F">
        <w:t xml:space="preserve"> February 13, 2012</w:t>
      </w:r>
      <w:r w:rsidR="0045024C" w:rsidRPr="0056461F">
        <w:t>, from</w:t>
      </w:r>
      <w:r w:rsidRPr="0056461F">
        <w:t xml:space="preserve"> http://www.thecommunityguide.org/pa/index.html</w:t>
      </w:r>
      <w:bookmarkEnd w:id="66"/>
      <w:r w:rsidR="0045024C" w:rsidRPr="0056461F">
        <w:t>.</w:t>
      </w:r>
      <w:bookmarkEnd w:id="67"/>
    </w:p>
    <w:p w:rsidR="00D47BAC" w:rsidRPr="0056461F" w:rsidRDefault="00D47BAC" w:rsidP="00C90014">
      <w:pPr>
        <w:pStyle w:val="biblio"/>
        <w:ind w:left="360"/>
      </w:pPr>
      <w:bookmarkStart w:id="68" w:name="_Ref319309349"/>
      <w:r w:rsidRPr="0056461F">
        <w:t xml:space="preserve">August, K. J., &amp; Sorkin, D. H. (2011). Support and influence in the context of diabetes management: Do ethnic differences exist? </w:t>
      </w:r>
      <w:r w:rsidRPr="0056461F">
        <w:rPr>
          <w:i/>
        </w:rPr>
        <w:t>Journal of Health Psychology, 16</w:t>
      </w:r>
      <w:r w:rsidRPr="0056461F">
        <w:t>(5), 711</w:t>
      </w:r>
      <w:r w:rsidR="00434BE3" w:rsidRPr="0056461F">
        <w:t>–</w:t>
      </w:r>
      <w:r w:rsidR="0045024C" w:rsidRPr="0056461F">
        <w:t>7</w:t>
      </w:r>
      <w:r w:rsidRPr="0056461F">
        <w:t>21.</w:t>
      </w:r>
      <w:bookmarkEnd w:id="68"/>
    </w:p>
    <w:p w:rsidR="00382810" w:rsidRPr="0056461F" w:rsidRDefault="00382810" w:rsidP="00C90014">
      <w:pPr>
        <w:pStyle w:val="biblio"/>
        <w:ind w:left="360"/>
      </w:pPr>
      <w:bookmarkStart w:id="69" w:name="_Ref319309352"/>
      <w:r w:rsidRPr="0056461F">
        <w:t>Thompson, W.</w:t>
      </w:r>
      <w:r w:rsidR="00DC19C5" w:rsidRPr="0056461F">
        <w:t xml:space="preserve"> </w:t>
      </w:r>
      <w:r w:rsidRPr="0056461F">
        <w:t>M.</w:t>
      </w:r>
      <w:r w:rsidR="00DC19C5" w:rsidRPr="0056461F">
        <w:t>,</w:t>
      </w:r>
      <w:r w:rsidRPr="0056461F">
        <w:t xml:space="preserve"> &amp; Barksdale, D.</w:t>
      </w:r>
      <w:r w:rsidR="00DC19C5" w:rsidRPr="0056461F">
        <w:t xml:space="preserve"> </w:t>
      </w:r>
      <w:r w:rsidRPr="0056461F">
        <w:t xml:space="preserve">J. (2010). Physical inactivity in female African-American adolescents: </w:t>
      </w:r>
      <w:r w:rsidR="0045024C" w:rsidRPr="0056461F">
        <w:t>Consequences</w:t>
      </w:r>
      <w:r w:rsidRPr="0056461F">
        <w:t xml:space="preserve">, costs, &amp; care. </w:t>
      </w:r>
      <w:r w:rsidRPr="0056461F">
        <w:rPr>
          <w:i/>
          <w:iCs/>
        </w:rPr>
        <w:t>Journal of the National Black Nurses Association</w:t>
      </w:r>
      <w:r w:rsidRPr="0056461F">
        <w:t xml:space="preserve">, </w:t>
      </w:r>
      <w:r w:rsidRPr="0056461F">
        <w:rPr>
          <w:i/>
        </w:rPr>
        <w:t>21</w:t>
      </w:r>
      <w:r w:rsidRPr="0056461F">
        <w:t>(1), 39</w:t>
      </w:r>
      <w:r w:rsidR="00434BE3" w:rsidRPr="0056461F">
        <w:t>–</w:t>
      </w:r>
      <w:r w:rsidRPr="0056461F">
        <w:t>45.</w:t>
      </w:r>
      <w:bookmarkEnd w:id="69"/>
      <w:r w:rsidRPr="0056461F">
        <w:t xml:space="preserve"> </w:t>
      </w:r>
    </w:p>
    <w:p w:rsidR="00382810" w:rsidRPr="0056461F" w:rsidRDefault="00382810" w:rsidP="00C90014">
      <w:pPr>
        <w:pStyle w:val="biblio"/>
        <w:ind w:left="360"/>
      </w:pPr>
      <w:bookmarkStart w:id="70" w:name="_Ref319309385"/>
      <w:bookmarkStart w:id="71" w:name="_Ref346536964"/>
      <w:r w:rsidRPr="0056461F">
        <w:t>Centers for Disease Control and Prevention (CDC)</w:t>
      </w:r>
      <w:r w:rsidR="0045024C" w:rsidRPr="0056461F">
        <w:t>.</w:t>
      </w:r>
      <w:r w:rsidRPr="0056461F">
        <w:t xml:space="preserve"> (2012). </w:t>
      </w:r>
      <w:r w:rsidRPr="0056461F">
        <w:rPr>
          <w:i/>
        </w:rPr>
        <w:t xml:space="preserve">Guide to </w:t>
      </w:r>
      <w:r w:rsidR="0045024C" w:rsidRPr="0056461F">
        <w:rPr>
          <w:i/>
        </w:rPr>
        <w:t xml:space="preserve">community preventive services. </w:t>
      </w:r>
      <w:r w:rsidRPr="0056461F">
        <w:rPr>
          <w:i/>
        </w:rPr>
        <w:t xml:space="preserve">Promoting </w:t>
      </w:r>
      <w:r w:rsidR="0045024C" w:rsidRPr="0056461F">
        <w:rPr>
          <w:i/>
        </w:rPr>
        <w:t>physical activity</w:t>
      </w:r>
      <w:r w:rsidRPr="0056461F">
        <w:rPr>
          <w:i/>
        </w:rPr>
        <w:t xml:space="preserve">: Environmental and </w:t>
      </w:r>
      <w:r w:rsidR="0045024C" w:rsidRPr="0056461F">
        <w:rPr>
          <w:i/>
        </w:rPr>
        <w:t>policy approaches.</w:t>
      </w:r>
      <w:r w:rsidR="0045024C" w:rsidRPr="0056461F">
        <w:t xml:space="preserve"> Retrieved</w:t>
      </w:r>
      <w:r w:rsidRPr="0056461F">
        <w:t xml:space="preserve"> February 13, 2012</w:t>
      </w:r>
      <w:r w:rsidR="0045024C" w:rsidRPr="0056461F">
        <w:t>, from</w:t>
      </w:r>
      <w:r w:rsidRPr="0056461F">
        <w:t xml:space="preserve"> http://www.thecommunityguide.org/pa/environmental-policy/</w:t>
      </w:r>
      <w:r w:rsidR="0045024C" w:rsidRPr="0056461F">
        <w:br/>
      </w:r>
      <w:r w:rsidRPr="0056461F">
        <w:t>index.html</w:t>
      </w:r>
      <w:bookmarkEnd w:id="70"/>
      <w:bookmarkEnd w:id="71"/>
    </w:p>
    <w:p w:rsidR="00382810" w:rsidRPr="0056461F" w:rsidRDefault="00382810" w:rsidP="00C90014">
      <w:pPr>
        <w:pStyle w:val="biblio"/>
        <w:ind w:left="360"/>
      </w:pPr>
      <w:bookmarkStart w:id="72" w:name="_Ref319309391"/>
      <w:bookmarkStart w:id="73" w:name="_Ref346536949"/>
      <w:r w:rsidRPr="0056461F">
        <w:t>Centers for Disease Control and Prevention (CDC)</w:t>
      </w:r>
      <w:r w:rsidR="0045024C" w:rsidRPr="0056461F">
        <w:t>.</w:t>
      </w:r>
      <w:r w:rsidRPr="0056461F">
        <w:t xml:space="preserve"> (2012). </w:t>
      </w:r>
      <w:r w:rsidRPr="0056461F">
        <w:rPr>
          <w:i/>
        </w:rPr>
        <w:t xml:space="preserve">Physical </w:t>
      </w:r>
      <w:r w:rsidR="0045024C" w:rsidRPr="0056461F">
        <w:rPr>
          <w:i/>
        </w:rPr>
        <w:t xml:space="preserve">activity resources </w:t>
      </w:r>
      <w:r w:rsidRPr="0056461F">
        <w:rPr>
          <w:i/>
        </w:rPr>
        <w:t xml:space="preserve">for </w:t>
      </w:r>
      <w:r w:rsidR="0045024C" w:rsidRPr="0056461F">
        <w:rPr>
          <w:i/>
        </w:rPr>
        <w:t>health professionals</w:t>
      </w:r>
      <w:r w:rsidRPr="0056461F">
        <w:rPr>
          <w:i/>
        </w:rPr>
        <w:t>:</w:t>
      </w:r>
      <w:r w:rsidR="004350F7">
        <w:rPr>
          <w:i/>
        </w:rPr>
        <w:t xml:space="preserve"> </w:t>
      </w:r>
      <w:r w:rsidRPr="0056461F">
        <w:rPr>
          <w:i/>
        </w:rPr>
        <w:t xml:space="preserve">Active </w:t>
      </w:r>
      <w:r w:rsidR="0045024C" w:rsidRPr="0056461F">
        <w:rPr>
          <w:i/>
        </w:rPr>
        <w:t>environments.</w:t>
      </w:r>
      <w:r w:rsidRPr="0056461F">
        <w:rPr>
          <w:i/>
        </w:rPr>
        <w:t xml:space="preserve"> </w:t>
      </w:r>
      <w:r w:rsidR="007C0BFB" w:rsidRPr="0056461F">
        <w:t>Retrieved</w:t>
      </w:r>
      <w:r w:rsidRPr="0056461F">
        <w:t xml:space="preserve"> February 13, 2012</w:t>
      </w:r>
      <w:r w:rsidR="0045024C" w:rsidRPr="0056461F">
        <w:t>, from</w:t>
      </w:r>
      <w:r w:rsidRPr="0056461F">
        <w:t xml:space="preserve"> http://www.cdc.gov/physicalactivity/professionals/environment/index.html</w:t>
      </w:r>
      <w:bookmarkEnd w:id="72"/>
      <w:bookmarkEnd w:id="73"/>
    </w:p>
    <w:p w:rsidR="00DC19C5" w:rsidRPr="0056461F" w:rsidRDefault="00DC19C5" w:rsidP="00C90014">
      <w:pPr>
        <w:pStyle w:val="biblio"/>
        <w:ind w:left="360"/>
      </w:pPr>
      <w:bookmarkStart w:id="74" w:name="_Ref319312393"/>
      <w:r w:rsidRPr="0056461F">
        <w:lastRenderedPageBreak/>
        <w:t xml:space="preserve">Soler, R. E., Leeks, K. D., Buchanan, L. R., Brownson, R. C., Heath, G. W., Hopkins, D. H., &amp; Task Force on Community Preventive Services. (2010). Point-of-decision prompts to increase stair use: A systematic review update. </w:t>
      </w:r>
      <w:r w:rsidRPr="0056461F">
        <w:rPr>
          <w:i/>
        </w:rPr>
        <w:t>American Journal of Preventive Medicine,</w:t>
      </w:r>
      <w:r w:rsidRPr="0056461F">
        <w:t xml:space="preserve"> </w:t>
      </w:r>
      <w:r w:rsidRPr="0056461F">
        <w:rPr>
          <w:i/>
        </w:rPr>
        <w:t>38</w:t>
      </w:r>
      <w:r w:rsidRPr="0056461F">
        <w:t>(2 Suppl.), S292</w:t>
      </w:r>
      <w:r w:rsidR="00434BE3" w:rsidRPr="0056461F">
        <w:t>–</w:t>
      </w:r>
      <w:r w:rsidRPr="0056461F">
        <w:t>S300.</w:t>
      </w:r>
      <w:bookmarkEnd w:id="74"/>
    </w:p>
    <w:p w:rsidR="00FA6765" w:rsidRPr="0056461F" w:rsidRDefault="00FA6765" w:rsidP="00FA6765">
      <w:pPr>
        <w:pStyle w:val="biblio"/>
        <w:ind w:left="360"/>
      </w:pPr>
      <w:bookmarkStart w:id="75" w:name="_Ref319313278"/>
      <w:r w:rsidRPr="0056461F">
        <w:t xml:space="preserve">Centers for Disease Control and Prevention (CDC). (2011). </w:t>
      </w:r>
      <w:r w:rsidRPr="004350F7">
        <w:rPr>
          <w:i/>
        </w:rPr>
        <w:t>About the BRFSS</w:t>
      </w:r>
      <w:r w:rsidRPr="0056461F">
        <w:t>. Retrieved March 13, 2012, from http://www.cdc.gov/brfss/about.htm</w:t>
      </w:r>
    </w:p>
    <w:p w:rsidR="000F6440" w:rsidRPr="0056461F" w:rsidRDefault="000F6440" w:rsidP="00C90014">
      <w:pPr>
        <w:pStyle w:val="biblio"/>
        <w:ind w:left="360"/>
      </w:pPr>
      <w:r w:rsidRPr="0056461F">
        <w:rPr>
          <w:shd w:val="clear" w:color="auto" w:fill="FFFFFF"/>
        </w:rPr>
        <w:t>Centers for Disease Control and Prevention (CDC).</w:t>
      </w:r>
      <w:r w:rsidR="00DC19C5" w:rsidRPr="0056461F">
        <w:rPr>
          <w:rStyle w:val="apple-converted-space"/>
          <w:shd w:val="clear" w:color="auto" w:fill="FFFFFF"/>
        </w:rPr>
        <w:t xml:space="preserve"> </w:t>
      </w:r>
      <w:r w:rsidRPr="0056461F">
        <w:rPr>
          <w:rStyle w:val="apple-converted-space"/>
          <w:shd w:val="clear" w:color="auto" w:fill="FFFFFF"/>
        </w:rPr>
        <w:t xml:space="preserve">(2011). </w:t>
      </w:r>
      <w:r w:rsidRPr="0056461F">
        <w:rPr>
          <w:i/>
          <w:iCs/>
          <w:shd w:val="clear" w:color="auto" w:fill="FFFFFF"/>
        </w:rPr>
        <w:t xml:space="preserve">Behavioral Risk Factor Surveillance System Survey </w:t>
      </w:r>
      <w:r w:rsidR="0045024C" w:rsidRPr="0056461F">
        <w:rPr>
          <w:i/>
          <w:iCs/>
          <w:shd w:val="clear" w:color="auto" w:fill="FFFFFF"/>
        </w:rPr>
        <w:t>questionnaire</w:t>
      </w:r>
      <w:r w:rsidRPr="0056461F">
        <w:rPr>
          <w:shd w:val="clear" w:color="auto" w:fill="FFFFFF"/>
        </w:rPr>
        <w:t xml:space="preserve">. Atlanta, </w:t>
      </w:r>
      <w:r w:rsidR="004350F7">
        <w:rPr>
          <w:shd w:val="clear" w:color="auto" w:fill="FFFFFF"/>
        </w:rPr>
        <w:t>GA</w:t>
      </w:r>
      <w:r w:rsidRPr="0056461F">
        <w:rPr>
          <w:shd w:val="clear" w:color="auto" w:fill="FFFFFF"/>
        </w:rPr>
        <w:t>: U.S. Department of Health and Human Services, Centers for Disease Control and Prevention,</w:t>
      </w:r>
      <w:r w:rsidR="00434BE3" w:rsidRPr="0056461F">
        <w:rPr>
          <w:rStyle w:val="apple-converted-space"/>
          <w:shd w:val="clear" w:color="auto" w:fill="FFFFFF"/>
        </w:rPr>
        <w:t xml:space="preserve"> </w:t>
      </w:r>
      <w:r w:rsidRPr="0056461F">
        <w:rPr>
          <w:shd w:val="clear" w:color="auto" w:fill="FFFFFF"/>
        </w:rPr>
        <w:t>2011.</w:t>
      </w:r>
      <w:bookmarkEnd w:id="75"/>
    </w:p>
    <w:p w:rsidR="000F6440" w:rsidRPr="0056461F" w:rsidRDefault="000F6440" w:rsidP="00C90014">
      <w:pPr>
        <w:pStyle w:val="biblio"/>
        <w:ind w:left="360"/>
      </w:pPr>
      <w:bookmarkStart w:id="76" w:name="_Ref319312970"/>
      <w:r w:rsidRPr="0056461F">
        <w:rPr>
          <w:shd w:val="clear" w:color="auto" w:fill="FFFFFF"/>
        </w:rPr>
        <w:t>Centers for Disease Control and Prevention (CDC)</w:t>
      </w:r>
      <w:r w:rsidR="0045024C" w:rsidRPr="0056461F">
        <w:rPr>
          <w:shd w:val="clear" w:color="auto" w:fill="FFFFFF"/>
        </w:rPr>
        <w:t>,</w:t>
      </w:r>
      <w:r w:rsidRPr="0056461F">
        <w:rPr>
          <w:shd w:val="clear" w:color="auto" w:fill="FFFFFF"/>
        </w:rPr>
        <w:t xml:space="preserve"> National Center for Health Statistics (NCHS). (2008). </w:t>
      </w:r>
      <w:r w:rsidRPr="0056461F">
        <w:rPr>
          <w:i/>
          <w:iCs/>
          <w:shd w:val="clear" w:color="auto" w:fill="FFFFFF"/>
        </w:rPr>
        <w:t xml:space="preserve">National Health and Nutrition </w:t>
      </w:r>
      <w:r w:rsidR="00DF6437" w:rsidRPr="004350F7">
        <w:rPr>
          <w:i/>
          <w:iCs/>
          <w:shd w:val="clear" w:color="auto" w:fill="FFFFFF"/>
        </w:rPr>
        <w:t>Visit</w:t>
      </w:r>
      <w:r w:rsidRPr="0056461F">
        <w:rPr>
          <w:i/>
          <w:iCs/>
          <w:shd w:val="clear" w:color="auto" w:fill="FFFFFF"/>
        </w:rPr>
        <w:t xml:space="preserve"> Survey (NHANES) </w:t>
      </w:r>
      <w:r w:rsidR="0045024C" w:rsidRPr="0056461F">
        <w:rPr>
          <w:i/>
          <w:iCs/>
          <w:shd w:val="clear" w:color="auto" w:fill="FFFFFF"/>
        </w:rPr>
        <w:t>questionnaire—</w:t>
      </w:r>
      <w:r w:rsidRPr="0056461F">
        <w:rPr>
          <w:i/>
          <w:iCs/>
          <w:shd w:val="clear" w:color="auto" w:fill="FFFFFF"/>
        </w:rPr>
        <w:t xml:space="preserve">Weigh </w:t>
      </w:r>
      <w:r w:rsidR="0045024C" w:rsidRPr="0056461F">
        <w:rPr>
          <w:i/>
          <w:iCs/>
          <w:shd w:val="clear" w:color="auto" w:fill="FFFFFF"/>
        </w:rPr>
        <w:t>history questionnaire module.</w:t>
      </w:r>
      <w:r w:rsidR="0045024C" w:rsidRPr="0056461F">
        <w:rPr>
          <w:shd w:val="clear" w:color="auto" w:fill="FFFFFF"/>
        </w:rPr>
        <w:t xml:space="preserve"> </w:t>
      </w:r>
      <w:r w:rsidRPr="0056461F">
        <w:rPr>
          <w:shd w:val="clear" w:color="auto" w:fill="FFFFFF"/>
        </w:rPr>
        <w:t>Hyattsville, MD: U.S. Department of Health and Human Services, Centers for Disease Control and Prevention.</w:t>
      </w:r>
      <w:bookmarkEnd w:id="76"/>
    </w:p>
    <w:p w:rsidR="00CA5866" w:rsidRPr="0056461F" w:rsidRDefault="00CA5866" w:rsidP="00C90014">
      <w:pPr>
        <w:pStyle w:val="biblio"/>
        <w:ind w:left="360"/>
      </w:pPr>
      <w:bookmarkStart w:id="77" w:name="_Ref346538026"/>
      <w:r w:rsidRPr="0056461F">
        <w:t xml:space="preserve">Bradburn, N. M., Sudman, S., &amp; Wansink, B. (2004). </w:t>
      </w:r>
      <w:r w:rsidRPr="0056461F">
        <w:rPr>
          <w:i/>
        </w:rPr>
        <w:t>Asking questions: The definitive guide to questionnaire design—or market research, political polls, and social and health questionnaires.</w:t>
      </w:r>
      <w:r w:rsidRPr="0056461F">
        <w:t xml:space="preserve"> </w:t>
      </w:r>
      <w:r w:rsidR="00A2056D">
        <w:t xml:space="preserve">San Francisco, CA: </w:t>
      </w:r>
      <w:r w:rsidRPr="0056461F">
        <w:t>Jossey-Bass.</w:t>
      </w:r>
      <w:bookmarkEnd w:id="77"/>
      <w:r w:rsidRPr="0056461F">
        <w:t xml:space="preserve"> </w:t>
      </w:r>
    </w:p>
    <w:p w:rsidR="00432C86" w:rsidRPr="00432C86" w:rsidRDefault="000F6440" w:rsidP="00C90014">
      <w:pPr>
        <w:pStyle w:val="biblio"/>
        <w:ind w:left="360"/>
      </w:pPr>
      <w:bookmarkStart w:id="78" w:name="_Ref346538102"/>
      <w:bookmarkStart w:id="79" w:name="_Ref319313404"/>
      <w:r w:rsidRPr="0056461F">
        <w:rPr>
          <w:shd w:val="clear" w:color="auto" w:fill="FFFFFF"/>
        </w:rPr>
        <w:t>Centers for Disease Control and Prevention</w:t>
      </w:r>
      <w:r w:rsidR="0045024C" w:rsidRPr="0056461F">
        <w:rPr>
          <w:shd w:val="clear" w:color="auto" w:fill="FFFFFF"/>
        </w:rPr>
        <w:t xml:space="preserve"> (CDC)</w:t>
      </w:r>
      <w:r w:rsidRPr="0056461F">
        <w:rPr>
          <w:shd w:val="clear" w:color="auto" w:fill="FFFFFF"/>
        </w:rPr>
        <w:t xml:space="preserve">. (2011). </w:t>
      </w:r>
      <w:r w:rsidRPr="0056461F">
        <w:rPr>
          <w:i/>
          <w:iCs/>
          <w:shd w:val="clear" w:color="auto" w:fill="FFFFFF"/>
        </w:rPr>
        <w:t>Youth Risk Behavior Survey.</w:t>
      </w:r>
      <w:r w:rsidRPr="0056461F">
        <w:rPr>
          <w:shd w:val="clear" w:color="auto" w:fill="FFFFFF"/>
        </w:rPr>
        <w:t xml:space="preserve"> Retrieved </w:t>
      </w:r>
      <w:r w:rsidR="0045024C" w:rsidRPr="0056461F">
        <w:rPr>
          <w:shd w:val="clear" w:color="auto" w:fill="FFFFFF"/>
        </w:rPr>
        <w:t xml:space="preserve">January 5, 2011, </w:t>
      </w:r>
      <w:r w:rsidRPr="0056461F">
        <w:rPr>
          <w:shd w:val="clear" w:color="auto" w:fill="FFFFFF"/>
        </w:rPr>
        <w:t xml:space="preserve">from </w:t>
      </w:r>
      <w:bookmarkEnd w:id="78"/>
      <w:r w:rsidR="00EF14CE" w:rsidRPr="00EF14CE">
        <w:rPr>
          <w:shd w:val="clear" w:color="auto" w:fill="FFFFFF"/>
        </w:rPr>
        <w:t>http://www.cdc.gov/yrbs</w:t>
      </w:r>
      <w:r w:rsidRPr="0056461F">
        <w:rPr>
          <w:shd w:val="clear" w:color="auto" w:fill="FFFFFF"/>
        </w:rPr>
        <w:t xml:space="preserve"> </w:t>
      </w:r>
      <w:bookmarkStart w:id="80" w:name="_Ref319313700"/>
      <w:bookmarkEnd w:id="79"/>
    </w:p>
    <w:p w:rsidR="002762F9" w:rsidRPr="0056461F" w:rsidRDefault="000F6440" w:rsidP="00C90014">
      <w:pPr>
        <w:pStyle w:val="biblio"/>
        <w:ind w:left="360"/>
      </w:pPr>
      <w:r w:rsidRPr="0056461F">
        <w:t xml:space="preserve">Teisl, M. F., Roe, B., </w:t>
      </w:r>
      <w:r w:rsidR="005F6BD5" w:rsidRPr="0056461F">
        <w:t xml:space="preserve">&amp; </w:t>
      </w:r>
      <w:r w:rsidRPr="0056461F">
        <w:t>Vayda, M. E. (2006). Incentive effects on response rates, data quality, and survey administration costs.</w:t>
      </w:r>
      <w:r w:rsidRPr="0056461F">
        <w:rPr>
          <w:i/>
        </w:rPr>
        <w:t xml:space="preserve"> International Journal of Public Opinion Research, 18,</w:t>
      </w:r>
      <w:r w:rsidRPr="0056461F">
        <w:t xml:space="preserve"> 364–373.</w:t>
      </w:r>
      <w:bookmarkEnd w:id="80"/>
    </w:p>
    <w:p w:rsidR="00CA5866" w:rsidRPr="0056461F" w:rsidRDefault="00CA5866" w:rsidP="00C90014">
      <w:pPr>
        <w:pStyle w:val="biblio"/>
        <w:ind w:left="360"/>
      </w:pPr>
      <w:bookmarkStart w:id="81" w:name="_Ref346538535"/>
      <w:r w:rsidRPr="0056461F">
        <w:t>Healy, G. N., Matthew, C. E., Dunstan, D. W., Winkler, E. A. H., &amp; Owen, N. (2011). Sedentary time and cardio-metabolic biomarkers in U.S. adults: NHANES 2003</w:t>
      </w:r>
      <w:r w:rsidRPr="0056461F">
        <w:rPr>
          <w:rFonts w:ascii="Arial Narrow" w:hAnsi="Arial Narrow"/>
        </w:rPr>
        <w:t>–</w:t>
      </w:r>
      <w:r w:rsidRPr="0056461F">
        <w:t xml:space="preserve">2006. </w:t>
      </w:r>
      <w:r w:rsidRPr="0056461F">
        <w:rPr>
          <w:i/>
          <w:iCs/>
        </w:rPr>
        <w:t>European Heart Journal,</w:t>
      </w:r>
      <w:r w:rsidRPr="0056461F">
        <w:t xml:space="preserve"> </w:t>
      </w:r>
      <w:r w:rsidRPr="0056461F">
        <w:rPr>
          <w:i/>
        </w:rPr>
        <w:t>32</w:t>
      </w:r>
      <w:r w:rsidRPr="0056461F">
        <w:t>(5), 590</w:t>
      </w:r>
      <w:r w:rsidRPr="0056461F">
        <w:rPr>
          <w:rFonts w:ascii="Arial Narrow" w:hAnsi="Arial Narrow"/>
        </w:rPr>
        <w:t>–</w:t>
      </w:r>
      <w:r w:rsidRPr="0056461F">
        <w:t>597.</w:t>
      </w:r>
      <w:bookmarkEnd w:id="81"/>
    </w:p>
    <w:p w:rsidR="005F6BD5" w:rsidRDefault="005F6BD5" w:rsidP="00C90014">
      <w:pPr>
        <w:pStyle w:val="biblio"/>
        <w:ind w:left="360"/>
      </w:pPr>
      <w:bookmarkStart w:id="82" w:name="_Ref346538551"/>
      <w:r w:rsidRPr="0056461F">
        <w:t xml:space="preserve">Troiano, R. P., Berrigan, D., Dodd, K. W., Mâsse, L. C., Tilert, T., &amp; McDowell, M. (2008). Physical activity in the United States measured by accelerometer. </w:t>
      </w:r>
      <w:r w:rsidRPr="0056461F">
        <w:rPr>
          <w:i/>
        </w:rPr>
        <w:t>Medical Science Sports and Exercise, 40,</w:t>
      </w:r>
      <w:r w:rsidRPr="0056461F">
        <w:t xml:space="preserve"> 181–188.</w:t>
      </w:r>
      <w:bookmarkEnd w:id="82"/>
    </w:p>
    <w:p w:rsidR="00FA6765" w:rsidRPr="0056461F" w:rsidRDefault="00FA6765" w:rsidP="00FA6765">
      <w:pPr>
        <w:pStyle w:val="biblio"/>
        <w:ind w:left="360"/>
      </w:pPr>
      <w:r w:rsidRPr="0056461F">
        <w:t xml:space="preserve">Centers for Disease Control and Prevention (CDC). (2011). </w:t>
      </w:r>
      <w:r w:rsidRPr="00FA6765">
        <w:rPr>
          <w:i/>
        </w:rPr>
        <w:t>About the National Health and Nutrition Visit Survey</w:t>
      </w:r>
      <w:r w:rsidRPr="0056461F">
        <w:t>. Retrieved March 13, 2012, from http://www.cdc.gov/nchs/nhanes/about_nhanes.htm</w:t>
      </w:r>
    </w:p>
    <w:sectPr w:rsidR="00FA6765" w:rsidRPr="0056461F" w:rsidSect="00FC6200">
      <w:footerReference w:type="default" r:id="rId16"/>
      <w:footerReference w:type="first" r:id="rId17"/>
      <w:footnotePr>
        <w:numFmt w:val="lowerLetter"/>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A8" w:rsidRDefault="00B040A8" w:rsidP="0051551A">
      <w:r>
        <w:separator/>
      </w:r>
    </w:p>
  </w:endnote>
  <w:endnote w:type="continuationSeparator" w:id="0">
    <w:p w:rsidR="00B040A8" w:rsidRDefault="00B040A8" w:rsidP="0051551A">
      <w:r>
        <w:continuationSeparator/>
      </w:r>
    </w:p>
  </w:endnote>
  <w:endnote w:type="continuationNotice" w:id="1">
    <w:p w:rsidR="00B040A8" w:rsidRDefault="00B0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skvll B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DeVinne">
    <w:altName w:val="MS Mincho"/>
    <w:panose1 w:val="00000000000000000000"/>
    <w:charset w:val="80"/>
    <w:family w:val="auto"/>
    <w:notTrueType/>
    <w:pitch w:val="default"/>
    <w:sig w:usb0="00000001" w:usb1="08070000" w:usb2="00000010" w:usb3="00000000" w:csb0="00020000" w:csb1="00000000"/>
  </w:font>
  <w:font w:name="NewCenturySchlbk-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A8" w:rsidRPr="00CE4AC8" w:rsidRDefault="00F0104A" w:rsidP="00CE4AC8">
    <w:pPr>
      <w:pStyle w:val="Footer"/>
      <w:jc w:val="center"/>
      <w:rPr>
        <w:sz w:val="22"/>
        <w:szCs w:val="22"/>
      </w:rPr>
    </w:pPr>
    <w:r w:rsidRPr="00CE4AC8">
      <w:rPr>
        <w:sz w:val="22"/>
        <w:szCs w:val="22"/>
      </w:rPr>
      <w:fldChar w:fldCharType="begin"/>
    </w:r>
    <w:r w:rsidR="00B040A8" w:rsidRPr="00CE4AC8">
      <w:rPr>
        <w:sz w:val="22"/>
        <w:szCs w:val="22"/>
      </w:rPr>
      <w:instrText xml:space="preserve"> PAGE   \* MERGEFORMAT </w:instrText>
    </w:r>
    <w:r w:rsidRPr="00CE4AC8">
      <w:rPr>
        <w:sz w:val="22"/>
        <w:szCs w:val="22"/>
      </w:rPr>
      <w:fldChar w:fldCharType="separate"/>
    </w:r>
    <w:r w:rsidR="005449A6">
      <w:rPr>
        <w:noProof/>
        <w:sz w:val="22"/>
        <w:szCs w:val="22"/>
      </w:rPr>
      <w:t>v</w:t>
    </w:r>
    <w:r w:rsidRPr="00CE4AC8">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A8" w:rsidRPr="00FC6200" w:rsidRDefault="001101FA" w:rsidP="00FC6200">
    <w:pPr>
      <w:pStyle w:val="Footer"/>
      <w:jc w:val="center"/>
    </w:pPr>
    <w:r>
      <w:fldChar w:fldCharType="begin"/>
    </w:r>
    <w:r>
      <w:instrText xml:space="preserve"> PAGE   \* MERGEFORMAT </w:instrText>
    </w:r>
    <w:r>
      <w:fldChar w:fldCharType="separate"/>
    </w:r>
    <w:r w:rsidR="005449A6">
      <w:rPr>
        <w:noProof/>
      </w:rPr>
      <w:t>31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A8" w:rsidRDefault="001101FA" w:rsidP="00FC6200">
    <w:pPr>
      <w:pStyle w:val="Footer"/>
      <w:tabs>
        <w:tab w:val="clear" w:pos="4320"/>
        <w:tab w:val="clear" w:pos="8640"/>
        <w:tab w:val="right" w:pos="9360"/>
      </w:tabs>
      <w:jc w:val="center"/>
    </w:pPr>
    <w:r>
      <w:fldChar w:fldCharType="begin"/>
    </w:r>
    <w:r>
      <w:instrText xml:space="preserve"> PAGE   \* MERGEFORMAT </w:instrText>
    </w:r>
    <w:r>
      <w:fldChar w:fldCharType="separate"/>
    </w:r>
    <w:r w:rsidR="005449A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A8" w:rsidRDefault="00B040A8" w:rsidP="0051551A">
      <w:r>
        <w:separator/>
      </w:r>
    </w:p>
  </w:footnote>
  <w:footnote w:type="continuationSeparator" w:id="0">
    <w:p w:rsidR="00B040A8" w:rsidRDefault="00B040A8" w:rsidP="0051551A">
      <w:r>
        <w:continuationSeparator/>
      </w:r>
    </w:p>
  </w:footnote>
  <w:footnote w:type="continuationNotice" w:id="1">
    <w:p w:rsidR="00B040A8" w:rsidRDefault="00B040A8"/>
  </w:footnote>
  <w:footnote w:id="2">
    <w:p w:rsidR="00B040A8" w:rsidRDefault="00B040A8">
      <w:pPr>
        <w:pStyle w:val="FootnoteText"/>
      </w:pPr>
      <w:r>
        <w:rPr>
          <w:rStyle w:val="FootnoteReference"/>
        </w:rPr>
        <w:footnoteRef/>
      </w:r>
      <w:r>
        <w:t xml:space="preserve"> The Gulf Coast’s Children’s Study, part of CHATS</w:t>
      </w:r>
      <w:proofErr w:type="gramStart"/>
      <w:r>
        <w:t>,  includes</w:t>
      </w:r>
      <w:proofErr w:type="gramEnd"/>
      <w:r>
        <w:t xml:space="preserve"> gifts for children &lt;8 years of age (an activity or coloring book was provided), for children aged 8–12 years ($20 cash was given to the parent on behalf of their child), and for children aged 13–17 ($30 was given to the participating child)</w:t>
      </w:r>
      <w:r w:rsidRPr="009561F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A8" w:rsidRPr="004D496E" w:rsidRDefault="00B040A8" w:rsidP="003651E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A8" w:rsidRPr="004D496E" w:rsidRDefault="00B040A8" w:rsidP="004D496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B441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9D40680"/>
    <w:lvl w:ilvl="0">
      <w:start w:val="1"/>
      <w:numFmt w:val="decimal"/>
      <w:pStyle w:val="ListNumber"/>
      <w:lvlText w:val="%1."/>
      <w:lvlJc w:val="left"/>
      <w:pPr>
        <w:tabs>
          <w:tab w:val="num" w:pos="360"/>
        </w:tabs>
        <w:ind w:left="360" w:hanging="360"/>
      </w:pPr>
    </w:lvl>
  </w:abstractNum>
  <w:abstractNum w:abstractNumId="2">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493069"/>
    <w:multiLevelType w:val="hybridMultilevel"/>
    <w:tmpl w:val="34586D82"/>
    <w:lvl w:ilvl="0" w:tplc="7876A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936D4"/>
    <w:multiLevelType w:val="hybridMultilevel"/>
    <w:tmpl w:val="FDB6D69E"/>
    <w:lvl w:ilvl="0" w:tplc="3D10E1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90567"/>
    <w:multiLevelType w:val="hybridMultilevel"/>
    <w:tmpl w:val="2D4C3502"/>
    <w:lvl w:ilvl="0" w:tplc="D9ECAB26">
      <w:start w:val="1"/>
      <w:numFmt w:val="bullet"/>
      <w:pStyle w:val="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C232D"/>
    <w:multiLevelType w:val="hybridMultilevel"/>
    <w:tmpl w:val="BEE6FAE2"/>
    <w:lvl w:ilvl="0" w:tplc="0764EE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4AC47B5"/>
    <w:multiLevelType w:val="hybridMultilevel"/>
    <w:tmpl w:val="9C5CF2E2"/>
    <w:lvl w:ilvl="0" w:tplc="B9EAD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4D23BE"/>
    <w:multiLevelType w:val="hybridMultilevel"/>
    <w:tmpl w:val="D858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A0A44"/>
    <w:multiLevelType w:val="hybridMultilevel"/>
    <w:tmpl w:val="DD6E6E54"/>
    <w:lvl w:ilvl="0" w:tplc="4A02B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B7561"/>
    <w:multiLevelType w:val="hybridMultilevel"/>
    <w:tmpl w:val="7C1CDF42"/>
    <w:lvl w:ilvl="0" w:tplc="7ADCE774">
      <w:start w:val="1"/>
      <w:numFmt w:val="decimal"/>
      <w:pStyle w:val="Bulle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210427"/>
    <w:multiLevelType w:val="hybridMultilevel"/>
    <w:tmpl w:val="D90AF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4A514F"/>
    <w:multiLevelType w:val="hybridMultilevel"/>
    <w:tmpl w:val="1B34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31159"/>
    <w:multiLevelType w:val="hybridMultilevel"/>
    <w:tmpl w:val="FDB6D69E"/>
    <w:lvl w:ilvl="0" w:tplc="3D10E1EE">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7EC7B0F"/>
    <w:multiLevelType w:val="hybridMultilevel"/>
    <w:tmpl w:val="65B2E3D6"/>
    <w:lvl w:ilvl="0" w:tplc="0764EE5C">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15150"/>
    <w:multiLevelType w:val="hybridMultilevel"/>
    <w:tmpl w:val="E9B20488"/>
    <w:lvl w:ilvl="0" w:tplc="2D1AA192">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D62A0A"/>
    <w:multiLevelType w:val="hybridMultilevel"/>
    <w:tmpl w:val="122C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80428"/>
    <w:multiLevelType w:val="hybridMultilevel"/>
    <w:tmpl w:val="870650E4"/>
    <w:lvl w:ilvl="0" w:tplc="0409000F">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nsid w:val="58D93AD8"/>
    <w:multiLevelType w:val="hybridMultilevel"/>
    <w:tmpl w:val="DDBC24E6"/>
    <w:lvl w:ilvl="0" w:tplc="CE3A024E">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C9D4F12"/>
    <w:multiLevelType w:val="hybridMultilevel"/>
    <w:tmpl w:val="174297FA"/>
    <w:lvl w:ilvl="0" w:tplc="F9DE4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828B4"/>
    <w:multiLevelType w:val="hybridMultilevel"/>
    <w:tmpl w:val="9B80F3E0"/>
    <w:lvl w:ilvl="0" w:tplc="0764EE5C">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34DF7"/>
    <w:multiLevelType w:val="hybridMultilevel"/>
    <w:tmpl w:val="D7EA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CD3019"/>
    <w:multiLevelType w:val="hybridMultilevel"/>
    <w:tmpl w:val="EB5CD648"/>
    <w:lvl w:ilvl="0" w:tplc="908CF46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56462A"/>
    <w:multiLevelType w:val="hybridMultilevel"/>
    <w:tmpl w:val="F5205A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82BCB"/>
    <w:multiLevelType w:val="hybridMultilevel"/>
    <w:tmpl w:val="37D8CD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72533"/>
    <w:multiLevelType w:val="multilevel"/>
    <w:tmpl w:val="9B80F3E0"/>
    <w:lvl w:ilvl="0">
      <w:start w:val="1"/>
      <w:numFmt w:val="lowerLetter"/>
      <w:lvlText w:val="(%1)"/>
      <w:lvlJc w:val="left"/>
      <w:pPr>
        <w:ind w:left="720" w:hanging="360"/>
      </w:pPr>
      <w:rPr>
        <w:rFonts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512718"/>
    <w:multiLevelType w:val="hybridMultilevel"/>
    <w:tmpl w:val="5B265C68"/>
    <w:lvl w:ilvl="0" w:tplc="39CA4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40970"/>
    <w:multiLevelType w:val="hybridMultilevel"/>
    <w:tmpl w:val="95CC32F8"/>
    <w:lvl w:ilvl="0" w:tplc="0764EE5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D65FDA"/>
    <w:multiLevelType w:val="hybridMultilevel"/>
    <w:tmpl w:val="FD101B50"/>
    <w:lvl w:ilvl="0" w:tplc="8722BAD4">
      <w:start w:val="1"/>
      <w:numFmt w:val="decimal"/>
      <w:pStyle w:val="bibli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19"/>
  </w:num>
  <w:num w:numId="4">
    <w:abstractNumId w:val="2"/>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0"/>
  </w:num>
  <w:num w:numId="6">
    <w:abstractNumId w:val="29"/>
  </w:num>
  <w:num w:numId="7">
    <w:abstractNumId w:val="5"/>
  </w:num>
  <w:num w:numId="8">
    <w:abstractNumId w:val="22"/>
  </w:num>
  <w:num w:numId="9">
    <w:abstractNumId w:val="12"/>
  </w:num>
  <w:num w:numId="10">
    <w:abstractNumId w:val="6"/>
  </w:num>
  <w:num w:numId="11">
    <w:abstractNumId w:val="7"/>
  </w:num>
  <w:num w:numId="12">
    <w:abstractNumId w:val="0"/>
  </w:num>
  <w:num w:numId="13">
    <w:abstractNumId w:val="28"/>
  </w:num>
  <w:num w:numId="14">
    <w:abstractNumId w:val="25"/>
  </w:num>
  <w:num w:numId="15">
    <w:abstractNumId w:val="21"/>
  </w:num>
  <w:num w:numId="16">
    <w:abstractNumId w:val="26"/>
  </w:num>
  <w:num w:numId="17">
    <w:abstractNumId w:val="15"/>
  </w:num>
  <w:num w:numId="18">
    <w:abstractNumId w:val="17"/>
  </w:num>
  <w:num w:numId="19">
    <w:abstractNumId w:val="11"/>
  </w:num>
  <w:num w:numId="20">
    <w:abstractNumId w:val="9"/>
  </w:num>
  <w:num w:numId="21">
    <w:abstractNumId w:val="23"/>
  </w:num>
  <w:num w:numId="22">
    <w:abstractNumId w:val="8"/>
  </w:num>
  <w:num w:numId="23">
    <w:abstractNumId w:val="13"/>
  </w:num>
  <w:num w:numId="24">
    <w:abstractNumId w:val="18"/>
  </w:num>
  <w:num w:numId="25">
    <w:abstractNumId w:val="4"/>
  </w:num>
  <w:num w:numId="26">
    <w:abstractNumId w:val="24"/>
  </w:num>
  <w:num w:numId="27">
    <w:abstractNumId w:val="16"/>
  </w:num>
  <w:num w:numId="28">
    <w:abstractNumId w:val="16"/>
  </w:num>
  <w:num w:numId="29">
    <w:abstractNumId w:val="16"/>
  </w:num>
  <w:num w:numId="30">
    <w:abstractNumId w:val="16"/>
  </w:num>
  <w:num w:numId="31">
    <w:abstractNumId w:val="16"/>
  </w:num>
  <w:num w:numId="32">
    <w:abstractNumId w:val="20"/>
  </w:num>
  <w:num w:numId="33">
    <w:abstractNumId w:val="14"/>
  </w:num>
  <w:num w:numId="34">
    <w:abstractNumId w:val="3"/>
  </w:num>
  <w:num w:numId="3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26020B"/>
    <w:rsid w:val="00000148"/>
    <w:rsid w:val="00000223"/>
    <w:rsid w:val="0000050C"/>
    <w:rsid w:val="00000C73"/>
    <w:rsid w:val="00003FA0"/>
    <w:rsid w:val="00006752"/>
    <w:rsid w:val="0000733B"/>
    <w:rsid w:val="00007905"/>
    <w:rsid w:val="00010758"/>
    <w:rsid w:val="0001198E"/>
    <w:rsid w:val="00012B4B"/>
    <w:rsid w:val="00012D96"/>
    <w:rsid w:val="00013596"/>
    <w:rsid w:val="0001394D"/>
    <w:rsid w:val="00013F25"/>
    <w:rsid w:val="00013F56"/>
    <w:rsid w:val="00014266"/>
    <w:rsid w:val="000151A3"/>
    <w:rsid w:val="00015CAD"/>
    <w:rsid w:val="00016E86"/>
    <w:rsid w:val="00021D5F"/>
    <w:rsid w:val="00025697"/>
    <w:rsid w:val="00027927"/>
    <w:rsid w:val="0003157A"/>
    <w:rsid w:val="0003269F"/>
    <w:rsid w:val="00033D9B"/>
    <w:rsid w:val="00034133"/>
    <w:rsid w:val="000354FF"/>
    <w:rsid w:val="00035B09"/>
    <w:rsid w:val="00036355"/>
    <w:rsid w:val="0003755C"/>
    <w:rsid w:val="00040B1B"/>
    <w:rsid w:val="0004185D"/>
    <w:rsid w:val="00043D0A"/>
    <w:rsid w:val="00044764"/>
    <w:rsid w:val="00046971"/>
    <w:rsid w:val="000470F9"/>
    <w:rsid w:val="000516FE"/>
    <w:rsid w:val="000519D8"/>
    <w:rsid w:val="000541CE"/>
    <w:rsid w:val="0005517A"/>
    <w:rsid w:val="000570B8"/>
    <w:rsid w:val="00057280"/>
    <w:rsid w:val="00057FE2"/>
    <w:rsid w:val="00060086"/>
    <w:rsid w:val="000610C0"/>
    <w:rsid w:val="000614C7"/>
    <w:rsid w:val="000618B1"/>
    <w:rsid w:val="0006291F"/>
    <w:rsid w:val="00063EE2"/>
    <w:rsid w:val="0006685B"/>
    <w:rsid w:val="00067F75"/>
    <w:rsid w:val="00071A69"/>
    <w:rsid w:val="000724C4"/>
    <w:rsid w:val="00075639"/>
    <w:rsid w:val="000758C4"/>
    <w:rsid w:val="00076654"/>
    <w:rsid w:val="0008017E"/>
    <w:rsid w:val="00081AC5"/>
    <w:rsid w:val="00081EBB"/>
    <w:rsid w:val="0008420F"/>
    <w:rsid w:val="00084816"/>
    <w:rsid w:val="000871D1"/>
    <w:rsid w:val="00090515"/>
    <w:rsid w:val="00090589"/>
    <w:rsid w:val="00090DB1"/>
    <w:rsid w:val="00090E60"/>
    <w:rsid w:val="00091DB7"/>
    <w:rsid w:val="00092F5A"/>
    <w:rsid w:val="00093125"/>
    <w:rsid w:val="00093788"/>
    <w:rsid w:val="00094043"/>
    <w:rsid w:val="00094A31"/>
    <w:rsid w:val="00095A74"/>
    <w:rsid w:val="000A20E1"/>
    <w:rsid w:val="000A27D5"/>
    <w:rsid w:val="000A29C8"/>
    <w:rsid w:val="000A3065"/>
    <w:rsid w:val="000A556A"/>
    <w:rsid w:val="000A56BD"/>
    <w:rsid w:val="000A5711"/>
    <w:rsid w:val="000A675E"/>
    <w:rsid w:val="000A7BE5"/>
    <w:rsid w:val="000B0CCB"/>
    <w:rsid w:val="000B0F67"/>
    <w:rsid w:val="000B10C9"/>
    <w:rsid w:val="000B15BF"/>
    <w:rsid w:val="000B179A"/>
    <w:rsid w:val="000B2BED"/>
    <w:rsid w:val="000B2E63"/>
    <w:rsid w:val="000B3A26"/>
    <w:rsid w:val="000B3F4E"/>
    <w:rsid w:val="000B59D3"/>
    <w:rsid w:val="000C0AE5"/>
    <w:rsid w:val="000C5268"/>
    <w:rsid w:val="000C618F"/>
    <w:rsid w:val="000C630A"/>
    <w:rsid w:val="000C6EE8"/>
    <w:rsid w:val="000C71FC"/>
    <w:rsid w:val="000C7912"/>
    <w:rsid w:val="000D01BF"/>
    <w:rsid w:val="000D2BA0"/>
    <w:rsid w:val="000D438E"/>
    <w:rsid w:val="000D61C0"/>
    <w:rsid w:val="000D625E"/>
    <w:rsid w:val="000D7D35"/>
    <w:rsid w:val="000E02BE"/>
    <w:rsid w:val="000E17E7"/>
    <w:rsid w:val="000E1937"/>
    <w:rsid w:val="000E218D"/>
    <w:rsid w:val="000E53F6"/>
    <w:rsid w:val="000E5B19"/>
    <w:rsid w:val="000E663F"/>
    <w:rsid w:val="000E6F37"/>
    <w:rsid w:val="000E7CC6"/>
    <w:rsid w:val="000F0283"/>
    <w:rsid w:val="000F0618"/>
    <w:rsid w:val="000F1DA4"/>
    <w:rsid w:val="000F21C9"/>
    <w:rsid w:val="000F2BCE"/>
    <w:rsid w:val="000F2BD2"/>
    <w:rsid w:val="000F2EA5"/>
    <w:rsid w:val="000F5304"/>
    <w:rsid w:val="000F6440"/>
    <w:rsid w:val="000F66C4"/>
    <w:rsid w:val="00100194"/>
    <w:rsid w:val="00101B8F"/>
    <w:rsid w:val="00101F02"/>
    <w:rsid w:val="001028FC"/>
    <w:rsid w:val="00103745"/>
    <w:rsid w:val="0010431A"/>
    <w:rsid w:val="00104C6D"/>
    <w:rsid w:val="00105360"/>
    <w:rsid w:val="00107DB1"/>
    <w:rsid w:val="001100A6"/>
    <w:rsid w:val="001101FA"/>
    <w:rsid w:val="00111919"/>
    <w:rsid w:val="001133D0"/>
    <w:rsid w:val="001144ED"/>
    <w:rsid w:val="001153D3"/>
    <w:rsid w:val="0011615B"/>
    <w:rsid w:val="001176BC"/>
    <w:rsid w:val="00120277"/>
    <w:rsid w:val="00122B00"/>
    <w:rsid w:val="001239F5"/>
    <w:rsid w:val="00124AA5"/>
    <w:rsid w:val="00126F5D"/>
    <w:rsid w:val="00127E1D"/>
    <w:rsid w:val="00131302"/>
    <w:rsid w:val="00131FB6"/>
    <w:rsid w:val="001323F3"/>
    <w:rsid w:val="001335B4"/>
    <w:rsid w:val="00134A56"/>
    <w:rsid w:val="00134E5A"/>
    <w:rsid w:val="0013519F"/>
    <w:rsid w:val="001356C8"/>
    <w:rsid w:val="00136552"/>
    <w:rsid w:val="001375F5"/>
    <w:rsid w:val="00140788"/>
    <w:rsid w:val="001425F8"/>
    <w:rsid w:val="001428F8"/>
    <w:rsid w:val="00143183"/>
    <w:rsid w:val="0014409B"/>
    <w:rsid w:val="00144B6D"/>
    <w:rsid w:val="00145C6B"/>
    <w:rsid w:val="00146FA4"/>
    <w:rsid w:val="001506DB"/>
    <w:rsid w:val="00150A2A"/>
    <w:rsid w:val="00150C08"/>
    <w:rsid w:val="00153197"/>
    <w:rsid w:val="001538D6"/>
    <w:rsid w:val="00154150"/>
    <w:rsid w:val="001544BB"/>
    <w:rsid w:val="00154DFE"/>
    <w:rsid w:val="00155BCB"/>
    <w:rsid w:val="00156703"/>
    <w:rsid w:val="00156D8F"/>
    <w:rsid w:val="00157B66"/>
    <w:rsid w:val="00164B37"/>
    <w:rsid w:val="00164B75"/>
    <w:rsid w:val="00164EA4"/>
    <w:rsid w:val="001655AF"/>
    <w:rsid w:val="001657F9"/>
    <w:rsid w:val="0016688B"/>
    <w:rsid w:val="00166E6C"/>
    <w:rsid w:val="0016748D"/>
    <w:rsid w:val="00170C82"/>
    <w:rsid w:val="0017133A"/>
    <w:rsid w:val="00172BC1"/>
    <w:rsid w:val="001743C5"/>
    <w:rsid w:val="00174987"/>
    <w:rsid w:val="001749BA"/>
    <w:rsid w:val="00174E8C"/>
    <w:rsid w:val="00175ACA"/>
    <w:rsid w:val="00175BD2"/>
    <w:rsid w:val="00176CD2"/>
    <w:rsid w:val="0017745D"/>
    <w:rsid w:val="00180F10"/>
    <w:rsid w:val="0018288F"/>
    <w:rsid w:val="001828F1"/>
    <w:rsid w:val="00182EC7"/>
    <w:rsid w:val="0018378E"/>
    <w:rsid w:val="00183A6F"/>
    <w:rsid w:val="001860A6"/>
    <w:rsid w:val="00187861"/>
    <w:rsid w:val="0019072E"/>
    <w:rsid w:val="0019168A"/>
    <w:rsid w:val="00192516"/>
    <w:rsid w:val="00194247"/>
    <w:rsid w:val="00195F37"/>
    <w:rsid w:val="00196307"/>
    <w:rsid w:val="001965FB"/>
    <w:rsid w:val="001A06A1"/>
    <w:rsid w:val="001A205B"/>
    <w:rsid w:val="001A22EB"/>
    <w:rsid w:val="001A26D3"/>
    <w:rsid w:val="001A2A69"/>
    <w:rsid w:val="001A2C2B"/>
    <w:rsid w:val="001A4E8D"/>
    <w:rsid w:val="001A51A9"/>
    <w:rsid w:val="001A5B77"/>
    <w:rsid w:val="001A5DDF"/>
    <w:rsid w:val="001A73ED"/>
    <w:rsid w:val="001B2650"/>
    <w:rsid w:val="001B2A9D"/>
    <w:rsid w:val="001B32D6"/>
    <w:rsid w:val="001B453E"/>
    <w:rsid w:val="001C55A7"/>
    <w:rsid w:val="001C6265"/>
    <w:rsid w:val="001D02B5"/>
    <w:rsid w:val="001D0412"/>
    <w:rsid w:val="001D1161"/>
    <w:rsid w:val="001D26E3"/>
    <w:rsid w:val="001D54C7"/>
    <w:rsid w:val="001D7EEA"/>
    <w:rsid w:val="001E165B"/>
    <w:rsid w:val="001E1FE4"/>
    <w:rsid w:val="001E30E2"/>
    <w:rsid w:val="001E4FBD"/>
    <w:rsid w:val="001E5305"/>
    <w:rsid w:val="001E6A09"/>
    <w:rsid w:val="001F0A97"/>
    <w:rsid w:val="001F137B"/>
    <w:rsid w:val="001F1A84"/>
    <w:rsid w:val="001F2418"/>
    <w:rsid w:val="001F24D0"/>
    <w:rsid w:val="001F342A"/>
    <w:rsid w:val="001F3EC8"/>
    <w:rsid w:val="001F43A5"/>
    <w:rsid w:val="001F50A3"/>
    <w:rsid w:val="001F6AE1"/>
    <w:rsid w:val="002005B5"/>
    <w:rsid w:val="00201213"/>
    <w:rsid w:val="00201B24"/>
    <w:rsid w:val="0020240D"/>
    <w:rsid w:val="002026C0"/>
    <w:rsid w:val="0020278E"/>
    <w:rsid w:val="002038E7"/>
    <w:rsid w:val="002041BA"/>
    <w:rsid w:val="002042B9"/>
    <w:rsid w:val="002044B8"/>
    <w:rsid w:val="002057DB"/>
    <w:rsid w:val="00206528"/>
    <w:rsid w:val="0020715F"/>
    <w:rsid w:val="00213342"/>
    <w:rsid w:val="002157E5"/>
    <w:rsid w:val="00215B6C"/>
    <w:rsid w:val="0022016C"/>
    <w:rsid w:val="00220827"/>
    <w:rsid w:val="00221F37"/>
    <w:rsid w:val="00222314"/>
    <w:rsid w:val="002236DC"/>
    <w:rsid w:val="002249EA"/>
    <w:rsid w:val="002275AD"/>
    <w:rsid w:val="00230401"/>
    <w:rsid w:val="002306FC"/>
    <w:rsid w:val="00231462"/>
    <w:rsid w:val="0023390B"/>
    <w:rsid w:val="00235352"/>
    <w:rsid w:val="0023680F"/>
    <w:rsid w:val="00236B44"/>
    <w:rsid w:val="0023709E"/>
    <w:rsid w:val="002420F9"/>
    <w:rsid w:val="002423C4"/>
    <w:rsid w:val="002439BE"/>
    <w:rsid w:val="00244A31"/>
    <w:rsid w:val="00244A35"/>
    <w:rsid w:val="00245865"/>
    <w:rsid w:val="00245CF6"/>
    <w:rsid w:val="00246DC4"/>
    <w:rsid w:val="002474EB"/>
    <w:rsid w:val="00250FD3"/>
    <w:rsid w:val="002521D6"/>
    <w:rsid w:val="00252866"/>
    <w:rsid w:val="00254548"/>
    <w:rsid w:val="00255E9A"/>
    <w:rsid w:val="00256428"/>
    <w:rsid w:val="002577C4"/>
    <w:rsid w:val="0026020B"/>
    <w:rsid w:val="00260723"/>
    <w:rsid w:val="00263084"/>
    <w:rsid w:val="00264B04"/>
    <w:rsid w:val="00266553"/>
    <w:rsid w:val="00266FE8"/>
    <w:rsid w:val="002670E9"/>
    <w:rsid w:val="00267FAE"/>
    <w:rsid w:val="00270390"/>
    <w:rsid w:val="00270EA5"/>
    <w:rsid w:val="00270EC2"/>
    <w:rsid w:val="00271935"/>
    <w:rsid w:val="0027499D"/>
    <w:rsid w:val="00274D9B"/>
    <w:rsid w:val="002762F9"/>
    <w:rsid w:val="002816CE"/>
    <w:rsid w:val="00282045"/>
    <w:rsid w:val="0028285A"/>
    <w:rsid w:val="00283572"/>
    <w:rsid w:val="002839BA"/>
    <w:rsid w:val="00283E5B"/>
    <w:rsid w:val="002857A1"/>
    <w:rsid w:val="00291D8E"/>
    <w:rsid w:val="002957DF"/>
    <w:rsid w:val="0029621A"/>
    <w:rsid w:val="00296C07"/>
    <w:rsid w:val="00296C2B"/>
    <w:rsid w:val="002A1202"/>
    <w:rsid w:val="002A128A"/>
    <w:rsid w:val="002A3311"/>
    <w:rsid w:val="002A3FBC"/>
    <w:rsid w:val="002A5B92"/>
    <w:rsid w:val="002A67E3"/>
    <w:rsid w:val="002A6939"/>
    <w:rsid w:val="002A7526"/>
    <w:rsid w:val="002B3383"/>
    <w:rsid w:val="002B3F88"/>
    <w:rsid w:val="002B5499"/>
    <w:rsid w:val="002B5A03"/>
    <w:rsid w:val="002B7849"/>
    <w:rsid w:val="002C0862"/>
    <w:rsid w:val="002C1227"/>
    <w:rsid w:val="002C1BDD"/>
    <w:rsid w:val="002C1F9A"/>
    <w:rsid w:val="002C3052"/>
    <w:rsid w:val="002C3E5B"/>
    <w:rsid w:val="002C4DDD"/>
    <w:rsid w:val="002C59F9"/>
    <w:rsid w:val="002C5B17"/>
    <w:rsid w:val="002C63BA"/>
    <w:rsid w:val="002C6FBE"/>
    <w:rsid w:val="002C7FB5"/>
    <w:rsid w:val="002D1884"/>
    <w:rsid w:val="002D2327"/>
    <w:rsid w:val="002D52A1"/>
    <w:rsid w:val="002D565C"/>
    <w:rsid w:val="002D663D"/>
    <w:rsid w:val="002D671E"/>
    <w:rsid w:val="002D6E6F"/>
    <w:rsid w:val="002D74D1"/>
    <w:rsid w:val="002D777E"/>
    <w:rsid w:val="002E2154"/>
    <w:rsid w:val="002E2695"/>
    <w:rsid w:val="002E3C27"/>
    <w:rsid w:val="002E3E5E"/>
    <w:rsid w:val="002E3EA3"/>
    <w:rsid w:val="002F0429"/>
    <w:rsid w:val="002F09C9"/>
    <w:rsid w:val="002F1861"/>
    <w:rsid w:val="002F2B87"/>
    <w:rsid w:val="002F359D"/>
    <w:rsid w:val="002F4035"/>
    <w:rsid w:val="002F4A95"/>
    <w:rsid w:val="002F5655"/>
    <w:rsid w:val="002F6169"/>
    <w:rsid w:val="002F61F6"/>
    <w:rsid w:val="003006AE"/>
    <w:rsid w:val="00300C09"/>
    <w:rsid w:val="00300EBC"/>
    <w:rsid w:val="00301815"/>
    <w:rsid w:val="00302321"/>
    <w:rsid w:val="00303472"/>
    <w:rsid w:val="00303AEC"/>
    <w:rsid w:val="003049D9"/>
    <w:rsid w:val="00305089"/>
    <w:rsid w:val="00306125"/>
    <w:rsid w:val="00312257"/>
    <w:rsid w:val="00313972"/>
    <w:rsid w:val="00313DFB"/>
    <w:rsid w:val="00314311"/>
    <w:rsid w:val="00314314"/>
    <w:rsid w:val="00315A17"/>
    <w:rsid w:val="00316B57"/>
    <w:rsid w:val="0032158F"/>
    <w:rsid w:val="00321D6A"/>
    <w:rsid w:val="00323D7E"/>
    <w:rsid w:val="00324AF9"/>
    <w:rsid w:val="003275E6"/>
    <w:rsid w:val="00327AA3"/>
    <w:rsid w:val="00330A28"/>
    <w:rsid w:val="00336B71"/>
    <w:rsid w:val="00336F17"/>
    <w:rsid w:val="003374C0"/>
    <w:rsid w:val="00340A4E"/>
    <w:rsid w:val="003424C4"/>
    <w:rsid w:val="00345997"/>
    <w:rsid w:val="0034615F"/>
    <w:rsid w:val="00346529"/>
    <w:rsid w:val="00347A06"/>
    <w:rsid w:val="003517E7"/>
    <w:rsid w:val="00353970"/>
    <w:rsid w:val="00353F90"/>
    <w:rsid w:val="00355132"/>
    <w:rsid w:val="003572F4"/>
    <w:rsid w:val="0036168B"/>
    <w:rsid w:val="00361BBD"/>
    <w:rsid w:val="00362487"/>
    <w:rsid w:val="00362D58"/>
    <w:rsid w:val="00362FDD"/>
    <w:rsid w:val="00363A7C"/>
    <w:rsid w:val="00364FC5"/>
    <w:rsid w:val="003651E3"/>
    <w:rsid w:val="0036645D"/>
    <w:rsid w:val="0036738A"/>
    <w:rsid w:val="00371C00"/>
    <w:rsid w:val="00371C6E"/>
    <w:rsid w:val="00371CBD"/>
    <w:rsid w:val="00372CCD"/>
    <w:rsid w:val="00373311"/>
    <w:rsid w:val="0037473C"/>
    <w:rsid w:val="003748BA"/>
    <w:rsid w:val="00377742"/>
    <w:rsid w:val="00377AEA"/>
    <w:rsid w:val="003814DF"/>
    <w:rsid w:val="00382810"/>
    <w:rsid w:val="00383F20"/>
    <w:rsid w:val="00394417"/>
    <w:rsid w:val="003945A7"/>
    <w:rsid w:val="00395DD6"/>
    <w:rsid w:val="00396F7F"/>
    <w:rsid w:val="003A1899"/>
    <w:rsid w:val="003A189B"/>
    <w:rsid w:val="003A31D2"/>
    <w:rsid w:val="003A38F9"/>
    <w:rsid w:val="003A4D21"/>
    <w:rsid w:val="003A57BF"/>
    <w:rsid w:val="003A5826"/>
    <w:rsid w:val="003A599E"/>
    <w:rsid w:val="003B0DCB"/>
    <w:rsid w:val="003B1099"/>
    <w:rsid w:val="003B14D3"/>
    <w:rsid w:val="003B1766"/>
    <w:rsid w:val="003B1871"/>
    <w:rsid w:val="003B1DC9"/>
    <w:rsid w:val="003B328B"/>
    <w:rsid w:val="003B3D97"/>
    <w:rsid w:val="003B591D"/>
    <w:rsid w:val="003B5AB1"/>
    <w:rsid w:val="003B7600"/>
    <w:rsid w:val="003B7F64"/>
    <w:rsid w:val="003C25D7"/>
    <w:rsid w:val="003C57D5"/>
    <w:rsid w:val="003C5813"/>
    <w:rsid w:val="003C5D6D"/>
    <w:rsid w:val="003C7EA0"/>
    <w:rsid w:val="003D049F"/>
    <w:rsid w:val="003D0C47"/>
    <w:rsid w:val="003D0E41"/>
    <w:rsid w:val="003D20CD"/>
    <w:rsid w:val="003D524B"/>
    <w:rsid w:val="003D74A2"/>
    <w:rsid w:val="003E0822"/>
    <w:rsid w:val="003E0F85"/>
    <w:rsid w:val="003E164B"/>
    <w:rsid w:val="003E1989"/>
    <w:rsid w:val="003E23CD"/>
    <w:rsid w:val="003E30DE"/>
    <w:rsid w:val="003E3A68"/>
    <w:rsid w:val="003E525B"/>
    <w:rsid w:val="003E5717"/>
    <w:rsid w:val="003E5E8B"/>
    <w:rsid w:val="003E654A"/>
    <w:rsid w:val="003E6A66"/>
    <w:rsid w:val="003E7CE0"/>
    <w:rsid w:val="003E7D83"/>
    <w:rsid w:val="003F17AD"/>
    <w:rsid w:val="003F1D50"/>
    <w:rsid w:val="003F21D2"/>
    <w:rsid w:val="003F27C9"/>
    <w:rsid w:val="003F2BE7"/>
    <w:rsid w:val="003F3580"/>
    <w:rsid w:val="003F4AA3"/>
    <w:rsid w:val="003F4F0D"/>
    <w:rsid w:val="003F5119"/>
    <w:rsid w:val="003F6DEC"/>
    <w:rsid w:val="00401181"/>
    <w:rsid w:val="00403311"/>
    <w:rsid w:val="00403B5C"/>
    <w:rsid w:val="00403B93"/>
    <w:rsid w:val="00406269"/>
    <w:rsid w:val="00407FBA"/>
    <w:rsid w:val="004126B6"/>
    <w:rsid w:val="00412F67"/>
    <w:rsid w:val="004138BA"/>
    <w:rsid w:val="0041410B"/>
    <w:rsid w:val="00414354"/>
    <w:rsid w:val="00414F9E"/>
    <w:rsid w:val="0042067D"/>
    <w:rsid w:val="00420B92"/>
    <w:rsid w:val="0042182F"/>
    <w:rsid w:val="004222D2"/>
    <w:rsid w:val="004222F6"/>
    <w:rsid w:val="0042449C"/>
    <w:rsid w:val="004247E2"/>
    <w:rsid w:val="00424E95"/>
    <w:rsid w:val="00425967"/>
    <w:rsid w:val="00425EA3"/>
    <w:rsid w:val="0043177B"/>
    <w:rsid w:val="00432C86"/>
    <w:rsid w:val="00434037"/>
    <w:rsid w:val="00434BE3"/>
    <w:rsid w:val="004350F7"/>
    <w:rsid w:val="004353F7"/>
    <w:rsid w:val="00435F94"/>
    <w:rsid w:val="004362ED"/>
    <w:rsid w:val="00437098"/>
    <w:rsid w:val="004400ED"/>
    <w:rsid w:val="004415E7"/>
    <w:rsid w:val="004438B3"/>
    <w:rsid w:val="00443D8F"/>
    <w:rsid w:val="00443DB6"/>
    <w:rsid w:val="00444188"/>
    <w:rsid w:val="00445268"/>
    <w:rsid w:val="00445D7A"/>
    <w:rsid w:val="00445F1A"/>
    <w:rsid w:val="00446A36"/>
    <w:rsid w:val="00446F60"/>
    <w:rsid w:val="00447061"/>
    <w:rsid w:val="00447F8A"/>
    <w:rsid w:val="0045024C"/>
    <w:rsid w:val="00450858"/>
    <w:rsid w:val="0045202E"/>
    <w:rsid w:val="0045352B"/>
    <w:rsid w:val="00453F76"/>
    <w:rsid w:val="004542AD"/>
    <w:rsid w:val="00455A90"/>
    <w:rsid w:val="0045674B"/>
    <w:rsid w:val="0045694E"/>
    <w:rsid w:val="00462104"/>
    <w:rsid w:val="00462F38"/>
    <w:rsid w:val="00463D57"/>
    <w:rsid w:val="00464C11"/>
    <w:rsid w:val="00467DFE"/>
    <w:rsid w:val="00470221"/>
    <w:rsid w:val="00471A05"/>
    <w:rsid w:val="004740DA"/>
    <w:rsid w:val="00475657"/>
    <w:rsid w:val="00476D7D"/>
    <w:rsid w:val="0048233D"/>
    <w:rsid w:val="00490CC6"/>
    <w:rsid w:val="0049349E"/>
    <w:rsid w:val="004937BC"/>
    <w:rsid w:val="00495449"/>
    <w:rsid w:val="0049671E"/>
    <w:rsid w:val="00496D44"/>
    <w:rsid w:val="00497830"/>
    <w:rsid w:val="004A0576"/>
    <w:rsid w:val="004A0875"/>
    <w:rsid w:val="004A1094"/>
    <w:rsid w:val="004A1211"/>
    <w:rsid w:val="004A1516"/>
    <w:rsid w:val="004A40DD"/>
    <w:rsid w:val="004A41FE"/>
    <w:rsid w:val="004A42AE"/>
    <w:rsid w:val="004A763C"/>
    <w:rsid w:val="004A7E36"/>
    <w:rsid w:val="004B03AA"/>
    <w:rsid w:val="004B105A"/>
    <w:rsid w:val="004B15D2"/>
    <w:rsid w:val="004C068F"/>
    <w:rsid w:val="004C2283"/>
    <w:rsid w:val="004C23AD"/>
    <w:rsid w:val="004C2F95"/>
    <w:rsid w:val="004C4999"/>
    <w:rsid w:val="004C4F62"/>
    <w:rsid w:val="004C5CBE"/>
    <w:rsid w:val="004C7F12"/>
    <w:rsid w:val="004D03D1"/>
    <w:rsid w:val="004D0B1B"/>
    <w:rsid w:val="004D15DC"/>
    <w:rsid w:val="004D2B8F"/>
    <w:rsid w:val="004D2C22"/>
    <w:rsid w:val="004D3AC5"/>
    <w:rsid w:val="004D4272"/>
    <w:rsid w:val="004D496E"/>
    <w:rsid w:val="004D605D"/>
    <w:rsid w:val="004E2314"/>
    <w:rsid w:val="004E27D3"/>
    <w:rsid w:val="004E2D04"/>
    <w:rsid w:val="004E354A"/>
    <w:rsid w:val="004E41B1"/>
    <w:rsid w:val="004E4882"/>
    <w:rsid w:val="004E5310"/>
    <w:rsid w:val="004F0ACD"/>
    <w:rsid w:val="004F0C1F"/>
    <w:rsid w:val="004F1520"/>
    <w:rsid w:val="004F1FC1"/>
    <w:rsid w:val="004F2553"/>
    <w:rsid w:val="004F2958"/>
    <w:rsid w:val="004F3194"/>
    <w:rsid w:val="004F459B"/>
    <w:rsid w:val="0050099A"/>
    <w:rsid w:val="005019DD"/>
    <w:rsid w:val="00504559"/>
    <w:rsid w:val="00504879"/>
    <w:rsid w:val="00504E27"/>
    <w:rsid w:val="00505B95"/>
    <w:rsid w:val="005062CB"/>
    <w:rsid w:val="005065AE"/>
    <w:rsid w:val="00506A9E"/>
    <w:rsid w:val="00506AA4"/>
    <w:rsid w:val="00507A1E"/>
    <w:rsid w:val="00510239"/>
    <w:rsid w:val="005106C9"/>
    <w:rsid w:val="005108F8"/>
    <w:rsid w:val="00510A6F"/>
    <w:rsid w:val="00512764"/>
    <w:rsid w:val="0051421A"/>
    <w:rsid w:val="00514922"/>
    <w:rsid w:val="00514C5F"/>
    <w:rsid w:val="0051551A"/>
    <w:rsid w:val="00517801"/>
    <w:rsid w:val="00517E2C"/>
    <w:rsid w:val="00522F76"/>
    <w:rsid w:val="00523641"/>
    <w:rsid w:val="00524CB0"/>
    <w:rsid w:val="00525502"/>
    <w:rsid w:val="005259D1"/>
    <w:rsid w:val="00527FDB"/>
    <w:rsid w:val="005300C1"/>
    <w:rsid w:val="00532624"/>
    <w:rsid w:val="00533331"/>
    <w:rsid w:val="00533364"/>
    <w:rsid w:val="00533967"/>
    <w:rsid w:val="0054272B"/>
    <w:rsid w:val="005445F3"/>
    <w:rsid w:val="005449A6"/>
    <w:rsid w:val="005467DD"/>
    <w:rsid w:val="005471E2"/>
    <w:rsid w:val="00550C02"/>
    <w:rsid w:val="00550C15"/>
    <w:rsid w:val="0055188A"/>
    <w:rsid w:val="00553ECF"/>
    <w:rsid w:val="0055649C"/>
    <w:rsid w:val="00556A11"/>
    <w:rsid w:val="00557D80"/>
    <w:rsid w:val="005614C2"/>
    <w:rsid w:val="00562E83"/>
    <w:rsid w:val="0056364C"/>
    <w:rsid w:val="0056461F"/>
    <w:rsid w:val="0056686A"/>
    <w:rsid w:val="00567AE4"/>
    <w:rsid w:val="0057141A"/>
    <w:rsid w:val="005715AC"/>
    <w:rsid w:val="00571EA2"/>
    <w:rsid w:val="00575582"/>
    <w:rsid w:val="00576B49"/>
    <w:rsid w:val="0057721C"/>
    <w:rsid w:val="0057754F"/>
    <w:rsid w:val="00577A58"/>
    <w:rsid w:val="00577D62"/>
    <w:rsid w:val="00582065"/>
    <w:rsid w:val="00584345"/>
    <w:rsid w:val="0058474C"/>
    <w:rsid w:val="00584825"/>
    <w:rsid w:val="00584CEE"/>
    <w:rsid w:val="00586CD1"/>
    <w:rsid w:val="00587179"/>
    <w:rsid w:val="005913C6"/>
    <w:rsid w:val="00591713"/>
    <w:rsid w:val="00593BC6"/>
    <w:rsid w:val="00594BD5"/>
    <w:rsid w:val="00594F49"/>
    <w:rsid w:val="00596A1F"/>
    <w:rsid w:val="00596A81"/>
    <w:rsid w:val="00597BFB"/>
    <w:rsid w:val="005A07C3"/>
    <w:rsid w:val="005A0AF2"/>
    <w:rsid w:val="005A22C8"/>
    <w:rsid w:val="005A37BC"/>
    <w:rsid w:val="005A3BA0"/>
    <w:rsid w:val="005A4CA5"/>
    <w:rsid w:val="005A65CC"/>
    <w:rsid w:val="005B0F3C"/>
    <w:rsid w:val="005B3B05"/>
    <w:rsid w:val="005B4031"/>
    <w:rsid w:val="005B4763"/>
    <w:rsid w:val="005B58CC"/>
    <w:rsid w:val="005B6733"/>
    <w:rsid w:val="005B6C63"/>
    <w:rsid w:val="005B70D6"/>
    <w:rsid w:val="005B712C"/>
    <w:rsid w:val="005B74E2"/>
    <w:rsid w:val="005C322E"/>
    <w:rsid w:val="005C3B84"/>
    <w:rsid w:val="005C3F8A"/>
    <w:rsid w:val="005C401D"/>
    <w:rsid w:val="005C4837"/>
    <w:rsid w:val="005C4EC6"/>
    <w:rsid w:val="005C5C76"/>
    <w:rsid w:val="005C6017"/>
    <w:rsid w:val="005C7BA0"/>
    <w:rsid w:val="005D0AC4"/>
    <w:rsid w:val="005D0C5A"/>
    <w:rsid w:val="005D0C9C"/>
    <w:rsid w:val="005D1B15"/>
    <w:rsid w:val="005D3556"/>
    <w:rsid w:val="005D3855"/>
    <w:rsid w:val="005D456E"/>
    <w:rsid w:val="005D6CED"/>
    <w:rsid w:val="005E11C2"/>
    <w:rsid w:val="005E3E90"/>
    <w:rsid w:val="005E4708"/>
    <w:rsid w:val="005E5E0C"/>
    <w:rsid w:val="005E765F"/>
    <w:rsid w:val="005E787C"/>
    <w:rsid w:val="005F21AD"/>
    <w:rsid w:val="005F288F"/>
    <w:rsid w:val="005F44F5"/>
    <w:rsid w:val="005F5323"/>
    <w:rsid w:val="005F5372"/>
    <w:rsid w:val="005F55BA"/>
    <w:rsid w:val="005F5F3F"/>
    <w:rsid w:val="005F607B"/>
    <w:rsid w:val="005F6BD5"/>
    <w:rsid w:val="005F707E"/>
    <w:rsid w:val="005F7663"/>
    <w:rsid w:val="00600636"/>
    <w:rsid w:val="00600808"/>
    <w:rsid w:val="006012C9"/>
    <w:rsid w:val="00601D50"/>
    <w:rsid w:val="00603BA7"/>
    <w:rsid w:val="006057AB"/>
    <w:rsid w:val="00607699"/>
    <w:rsid w:val="00607DC9"/>
    <w:rsid w:val="00613332"/>
    <w:rsid w:val="0061447C"/>
    <w:rsid w:val="00616AF6"/>
    <w:rsid w:val="00617E71"/>
    <w:rsid w:val="0062186A"/>
    <w:rsid w:val="00622268"/>
    <w:rsid w:val="0062294E"/>
    <w:rsid w:val="006279D7"/>
    <w:rsid w:val="006314E7"/>
    <w:rsid w:val="006316C5"/>
    <w:rsid w:val="00632430"/>
    <w:rsid w:val="006366AF"/>
    <w:rsid w:val="00640F68"/>
    <w:rsid w:val="0064167E"/>
    <w:rsid w:val="00642CFD"/>
    <w:rsid w:val="00642F43"/>
    <w:rsid w:val="00643AC1"/>
    <w:rsid w:val="00644DBD"/>
    <w:rsid w:val="00644EF3"/>
    <w:rsid w:val="0064531C"/>
    <w:rsid w:val="006454E3"/>
    <w:rsid w:val="00646839"/>
    <w:rsid w:val="0064714C"/>
    <w:rsid w:val="006513C8"/>
    <w:rsid w:val="00654971"/>
    <w:rsid w:val="00655767"/>
    <w:rsid w:val="006559DA"/>
    <w:rsid w:val="00657F0A"/>
    <w:rsid w:val="00661D6B"/>
    <w:rsid w:val="00662B2C"/>
    <w:rsid w:val="00663BDC"/>
    <w:rsid w:val="00664E26"/>
    <w:rsid w:val="00666B47"/>
    <w:rsid w:val="006676F2"/>
    <w:rsid w:val="00667B41"/>
    <w:rsid w:val="00670682"/>
    <w:rsid w:val="0067323D"/>
    <w:rsid w:val="00674159"/>
    <w:rsid w:val="00674E84"/>
    <w:rsid w:val="00676B9C"/>
    <w:rsid w:val="00676EF6"/>
    <w:rsid w:val="006801F9"/>
    <w:rsid w:val="0068177F"/>
    <w:rsid w:val="00682EF4"/>
    <w:rsid w:val="006838F5"/>
    <w:rsid w:val="006840CF"/>
    <w:rsid w:val="00684B6A"/>
    <w:rsid w:val="00684DD8"/>
    <w:rsid w:val="00685688"/>
    <w:rsid w:val="00687D93"/>
    <w:rsid w:val="00690369"/>
    <w:rsid w:val="00690A4D"/>
    <w:rsid w:val="00693612"/>
    <w:rsid w:val="00694F38"/>
    <w:rsid w:val="0069518B"/>
    <w:rsid w:val="006A0C8F"/>
    <w:rsid w:val="006A0CE2"/>
    <w:rsid w:val="006A2268"/>
    <w:rsid w:val="006A3843"/>
    <w:rsid w:val="006A3A92"/>
    <w:rsid w:val="006A499C"/>
    <w:rsid w:val="006A5713"/>
    <w:rsid w:val="006A6168"/>
    <w:rsid w:val="006A7F08"/>
    <w:rsid w:val="006B020C"/>
    <w:rsid w:val="006B05EA"/>
    <w:rsid w:val="006B0632"/>
    <w:rsid w:val="006B0E97"/>
    <w:rsid w:val="006B111F"/>
    <w:rsid w:val="006B1136"/>
    <w:rsid w:val="006B2706"/>
    <w:rsid w:val="006B476C"/>
    <w:rsid w:val="006B65AD"/>
    <w:rsid w:val="006B6CA1"/>
    <w:rsid w:val="006B6E5E"/>
    <w:rsid w:val="006C00A8"/>
    <w:rsid w:val="006C14EE"/>
    <w:rsid w:val="006C62B5"/>
    <w:rsid w:val="006C64CE"/>
    <w:rsid w:val="006D158C"/>
    <w:rsid w:val="006D222A"/>
    <w:rsid w:val="006D29E4"/>
    <w:rsid w:val="006D5C71"/>
    <w:rsid w:val="006D5F7F"/>
    <w:rsid w:val="006D5FFA"/>
    <w:rsid w:val="006D60B5"/>
    <w:rsid w:val="006D7354"/>
    <w:rsid w:val="006D7FA7"/>
    <w:rsid w:val="006E04E8"/>
    <w:rsid w:val="006E1BEB"/>
    <w:rsid w:val="006E3156"/>
    <w:rsid w:val="006E4DCD"/>
    <w:rsid w:val="006E4DFE"/>
    <w:rsid w:val="006E5597"/>
    <w:rsid w:val="006E69D7"/>
    <w:rsid w:val="006E72CB"/>
    <w:rsid w:val="006E7885"/>
    <w:rsid w:val="006F1915"/>
    <w:rsid w:val="006F33CD"/>
    <w:rsid w:val="006F342A"/>
    <w:rsid w:val="006F373A"/>
    <w:rsid w:val="006F47BF"/>
    <w:rsid w:val="006F4C71"/>
    <w:rsid w:val="006F5842"/>
    <w:rsid w:val="006F7530"/>
    <w:rsid w:val="00700FD5"/>
    <w:rsid w:val="00705EF3"/>
    <w:rsid w:val="0070662A"/>
    <w:rsid w:val="00707823"/>
    <w:rsid w:val="00713C47"/>
    <w:rsid w:val="00713D14"/>
    <w:rsid w:val="007145C2"/>
    <w:rsid w:val="00715046"/>
    <w:rsid w:val="00716B77"/>
    <w:rsid w:val="0071737F"/>
    <w:rsid w:val="007212B8"/>
    <w:rsid w:val="007212F9"/>
    <w:rsid w:val="00721838"/>
    <w:rsid w:val="00722C93"/>
    <w:rsid w:val="00724F7A"/>
    <w:rsid w:val="007308C0"/>
    <w:rsid w:val="007310F3"/>
    <w:rsid w:val="00732373"/>
    <w:rsid w:val="0073306E"/>
    <w:rsid w:val="007331B2"/>
    <w:rsid w:val="00733A92"/>
    <w:rsid w:val="0073557A"/>
    <w:rsid w:val="00735EFC"/>
    <w:rsid w:val="00736066"/>
    <w:rsid w:val="0073662F"/>
    <w:rsid w:val="00737716"/>
    <w:rsid w:val="0074108D"/>
    <w:rsid w:val="00742CB8"/>
    <w:rsid w:val="00743762"/>
    <w:rsid w:val="00743780"/>
    <w:rsid w:val="0074378F"/>
    <w:rsid w:val="00744F1B"/>
    <w:rsid w:val="00745718"/>
    <w:rsid w:val="00745B9C"/>
    <w:rsid w:val="00745C00"/>
    <w:rsid w:val="0075228A"/>
    <w:rsid w:val="00752C34"/>
    <w:rsid w:val="00754333"/>
    <w:rsid w:val="007565C0"/>
    <w:rsid w:val="007575CC"/>
    <w:rsid w:val="00757795"/>
    <w:rsid w:val="0076079E"/>
    <w:rsid w:val="00760880"/>
    <w:rsid w:val="00762DCE"/>
    <w:rsid w:val="00763E26"/>
    <w:rsid w:val="007651B9"/>
    <w:rsid w:val="00771ACC"/>
    <w:rsid w:val="00771E41"/>
    <w:rsid w:val="00774C86"/>
    <w:rsid w:val="00780C7F"/>
    <w:rsid w:val="0078113E"/>
    <w:rsid w:val="00782F56"/>
    <w:rsid w:val="007841FA"/>
    <w:rsid w:val="00784E34"/>
    <w:rsid w:val="00785953"/>
    <w:rsid w:val="007859E4"/>
    <w:rsid w:val="00786AA1"/>
    <w:rsid w:val="00786C2F"/>
    <w:rsid w:val="00787417"/>
    <w:rsid w:val="00787A8D"/>
    <w:rsid w:val="0079194F"/>
    <w:rsid w:val="0079381F"/>
    <w:rsid w:val="00794507"/>
    <w:rsid w:val="00796DF9"/>
    <w:rsid w:val="00797D12"/>
    <w:rsid w:val="007A13FC"/>
    <w:rsid w:val="007A2294"/>
    <w:rsid w:val="007A2556"/>
    <w:rsid w:val="007A26C8"/>
    <w:rsid w:val="007A2EA7"/>
    <w:rsid w:val="007A3B4F"/>
    <w:rsid w:val="007A3EB4"/>
    <w:rsid w:val="007A4166"/>
    <w:rsid w:val="007A43D2"/>
    <w:rsid w:val="007A4D5F"/>
    <w:rsid w:val="007A4DD8"/>
    <w:rsid w:val="007A5489"/>
    <w:rsid w:val="007A58BA"/>
    <w:rsid w:val="007A5A14"/>
    <w:rsid w:val="007A754D"/>
    <w:rsid w:val="007B14A3"/>
    <w:rsid w:val="007B14A5"/>
    <w:rsid w:val="007B3059"/>
    <w:rsid w:val="007B35A7"/>
    <w:rsid w:val="007B4B71"/>
    <w:rsid w:val="007B67C1"/>
    <w:rsid w:val="007B6BA6"/>
    <w:rsid w:val="007B7C5B"/>
    <w:rsid w:val="007C0A41"/>
    <w:rsid w:val="007C0BEB"/>
    <w:rsid w:val="007C0BFB"/>
    <w:rsid w:val="007C0C9E"/>
    <w:rsid w:val="007C0CB3"/>
    <w:rsid w:val="007C1034"/>
    <w:rsid w:val="007C1361"/>
    <w:rsid w:val="007C14C9"/>
    <w:rsid w:val="007C1A7E"/>
    <w:rsid w:val="007C2034"/>
    <w:rsid w:val="007C4EBA"/>
    <w:rsid w:val="007C64E4"/>
    <w:rsid w:val="007D3743"/>
    <w:rsid w:val="007D3D65"/>
    <w:rsid w:val="007D428A"/>
    <w:rsid w:val="007D44DA"/>
    <w:rsid w:val="007D47E0"/>
    <w:rsid w:val="007D50FC"/>
    <w:rsid w:val="007D69C1"/>
    <w:rsid w:val="007D6DEB"/>
    <w:rsid w:val="007D71E4"/>
    <w:rsid w:val="007E0A75"/>
    <w:rsid w:val="007E14D2"/>
    <w:rsid w:val="007E5685"/>
    <w:rsid w:val="007E64EA"/>
    <w:rsid w:val="007E780F"/>
    <w:rsid w:val="007F0516"/>
    <w:rsid w:val="007F07EA"/>
    <w:rsid w:val="007F15CD"/>
    <w:rsid w:val="007F1708"/>
    <w:rsid w:val="007F27DC"/>
    <w:rsid w:val="007F3C22"/>
    <w:rsid w:val="007F5898"/>
    <w:rsid w:val="007F6936"/>
    <w:rsid w:val="007F6A4B"/>
    <w:rsid w:val="0080030D"/>
    <w:rsid w:val="0080222C"/>
    <w:rsid w:val="00804309"/>
    <w:rsid w:val="008046C2"/>
    <w:rsid w:val="00804892"/>
    <w:rsid w:val="00806730"/>
    <w:rsid w:val="00806B76"/>
    <w:rsid w:val="0081389B"/>
    <w:rsid w:val="00817EFE"/>
    <w:rsid w:val="0082046D"/>
    <w:rsid w:val="00820B57"/>
    <w:rsid w:val="0082152A"/>
    <w:rsid w:val="008302A3"/>
    <w:rsid w:val="00830347"/>
    <w:rsid w:val="00831DEC"/>
    <w:rsid w:val="00833C3D"/>
    <w:rsid w:val="00834B9A"/>
    <w:rsid w:val="00835A89"/>
    <w:rsid w:val="00835E6E"/>
    <w:rsid w:val="00841FDE"/>
    <w:rsid w:val="00844194"/>
    <w:rsid w:val="00844B3E"/>
    <w:rsid w:val="00844B86"/>
    <w:rsid w:val="0084686F"/>
    <w:rsid w:val="00851097"/>
    <w:rsid w:val="0085148C"/>
    <w:rsid w:val="0085149D"/>
    <w:rsid w:val="008547CF"/>
    <w:rsid w:val="0085535A"/>
    <w:rsid w:val="008558A4"/>
    <w:rsid w:val="00856803"/>
    <w:rsid w:val="008579F2"/>
    <w:rsid w:val="00860131"/>
    <w:rsid w:val="008601BA"/>
    <w:rsid w:val="008604FD"/>
    <w:rsid w:val="00860CF1"/>
    <w:rsid w:val="00861533"/>
    <w:rsid w:val="008622A7"/>
    <w:rsid w:val="00863F3E"/>
    <w:rsid w:val="008648CC"/>
    <w:rsid w:val="00864B32"/>
    <w:rsid w:val="008665C4"/>
    <w:rsid w:val="00867744"/>
    <w:rsid w:val="00867CFB"/>
    <w:rsid w:val="00870647"/>
    <w:rsid w:val="0087292B"/>
    <w:rsid w:val="00872A51"/>
    <w:rsid w:val="00875BCD"/>
    <w:rsid w:val="00876178"/>
    <w:rsid w:val="00876263"/>
    <w:rsid w:val="008808AD"/>
    <w:rsid w:val="0088121C"/>
    <w:rsid w:val="008817E2"/>
    <w:rsid w:val="00882B2A"/>
    <w:rsid w:val="00883520"/>
    <w:rsid w:val="008842C0"/>
    <w:rsid w:val="00884614"/>
    <w:rsid w:val="0089165E"/>
    <w:rsid w:val="00891ACE"/>
    <w:rsid w:val="00891CC4"/>
    <w:rsid w:val="00891F65"/>
    <w:rsid w:val="008923AB"/>
    <w:rsid w:val="008935F0"/>
    <w:rsid w:val="00893653"/>
    <w:rsid w:val="00894080"/>
    <w:rsid w:val="008958D8"/>
    <w:rsid w:val="00895A0F"/>
    <w:rsid w:val="00896DD4"/>
    <w:rsid w:val="00897B72"/>
    <w:rsid w:val="008A05D0"/>
    <w:rsid w:val="008A149D"/>
    <w:rsid w:val="008A16C7"/>
    <w:rsid w:val="008A1C94"/>
    <w:rsid w:val="008A2A84"/>
    <w:rsid w:val="008A2B07"/>
    <w:rsid w:val="008A61A7"/>
    <w:rsid w:val="008B10D7"/>
    <w:rsid w:val="008B3EB2"/>
    <w:rsid w:val="008B4558"/>
    <w:rsid w:val="008B4CF1"/>
    <w:rsid w:val="008B4F0B"/>
    <w:rsid w:val="008B68AA"/>
    <w:rsid w:val="008B7256"/>
    <w:rsid w:val="008C2447"/>
    <w:rsid w:val="008C2A2E"/>
    <w:rsid w:val="008C3F07"/>
    <w:rsid w:val="008C49A6"/>
    <w:rsid w:val="008C5847"/>
    <w:rsid w:val="008C5A0E"/>
    <w:rsid w:val="008C6B34"/>
    <w:rsid w:val="008C6F7A"/>
    <w:rsid w:val="008D0C4C"/>
    <w:rsid w:val="008D0F77"/>
    <w:rsid w:val="008D10EE"/>
    <w:rsid w:val="008D1D69"/>
    <w:rsid w:val="008D45F4"/>
    <w:rsid w:val="008D55EE"/>
    <w:rsid w:val="008E0B43"/>
    <w:rsid w:val="008E33FE"/>
    <w:rsid w:val="008E47E0"/>
    <w:rsid w:val="008E5A5D"/>
    <w:rsid w:val="008E6C5A"/>
    <w:rsid w:val="008E7048"/>
    <w:rsid w:val="008F0615"/>
    <w:rsid w:val="008F261D"/>
    <w:rsid w:val="008F42C2"/>
    <w:rsid w:val="008F4DD5"/>
    <w:rsid w:val="008F58A2"/>
    <w:rsid w:val="008F5B63"/>
    <w:rsid w:val="008F65AD"/>
    <w:rsid w:val="009012EE"/>
    <w:rsid w:val="00903B3A"/>
    <w:rsid w:val="00903F58"/>
    <w:rsid w:val="00904358"/>
    <w:rsid w:val="00907876"/>
    <w:rsid w:val="009112E4"/>
    <w:rsid w:val="009114B1"/>
    <w:rsid w:val="00911EC5"/>
    <w:rsid w:val="009122AA"/>
    <w:rsid w:val="00912C5B"/>
    <w:rsid w:val="009133CC"/>
    <w:rsid w:val="0091546B"/>
    <w:rsid w:val="00915C65"/>
    <w:rsid w:val="00915CE8"/>
    <w:rsid w:val="009208B2"/>
    <w:rsid w:val="0092120B"/>
    <w:rsid w:val="00921219"/>
    <w:rsid w:val="0092328F"/>
    <w:rsid w:val="00923828"/>
    <w:rsid w:val="00923D84"/>
    <w:rsid w:val="009245AF"/>
    <w:rsid w:val="009256ED"/>
    <w:rsid w:val="009257E3"/>
    <w:rsid w:val="00925BFB"/>
    <w:rsid w:val="00925ED3"/>
    <w:rsid w:val="0092681C"/>
    <w:rsid w:val="00926AD7"/>
    <w:rsid w:val="00926C4D"/>
    <w:rsid w:val="00926CFB"/>
    <w:rsid w:val="009276EB"/>
    <w:rsid w:val="00927DE9"/>
    <w:rsid w:val="00930563"/>
    <w:rsid w:val="00932C52"/>
    <w:rsid w:val="009331A3"/>
    <w:rsid w:val="0093672A"/>
    <w:rsid w:val="009375A0"/>
    <w:rsid w:val="009375E4"/>
    <w:rsid w:val="00941923"/>
    <w:rsid w:val="0094420C"/>
    <w:rsid w:val="009448CE"/>
    <w:rsid w:val="00947A81"/>
    <w:rsid w:val="0095017F"/>
    <w:rsid w:val="00950A6F"/>
    <w:rsid w:val="00950D30"/>
    <w:rsid w:val="00950DA9"/>
    <w:rsid w:val="00952216"/>
    <w:rsid w:val="0095345F"/>
    <w:rsid w:val="0095358B"/>
    <w:rsid w:val="00953C98"/>
    <w:rsid w:val="00953E68"/>
    <w:rsid w:val="009540BD"/>
    <w:rsid w:val="00954FD9"/>
    <w:rsid w:val="00955B8B"/>
    <w:rsid w:val="009561F9"/>
    <w:rsid w:val="009568D2"/>
    <w:rsid w:val="0096057A"/>
    <w:rsid w:val="00960E74"/>
    <w:rsid w:val="0096173C"/>
    <w:rsid w:val="009647DE"/>
    <w:rsid w:val="00965879"/>
    <w:rsid w:val="00966736"/>
    <w:rsid w:val="00966A02"/>
    <w:rsid w:val="00970B52"/>
    <w:rsid w:val="00970CD0"/>
    <w:rsid w:val="00971749"/>
    <w:rsid w:val="009739C8"/>
    <w:rsid w:val="009744AE"/>
    <w:rsid w:val="0097580D"/>
    <w:rsid w:val="00976B45"/>
    <w:rsid w:val="00976E7F"/>
    <w:rsid w:val="00977101"/>
    <w:rsid w:val="009772C9"/>
    <w:rsid w:val="00977D6C"/>
    <w:rsid w:val="00977F35"/>
    <w:rsid w:val="009810BA"/>
    <w:rsid w:val="009828A4"/>
    <w:rsid w:val="009845A5"/>
    <w:rsid w:val="00986754"/>
    <w:rsid w:val="0098765E"/>
    <w:rsid w:val="00990B43"/>
    <w:rsid w:val="00990D2A"/>
    <w:rsid w:val="00992B8A"/>
    <w:rsid w:val="00992DF5"/>
    <w:rsid w:val="00992ECE"/>
    <w:rsid w:val="00993020"/>
    <w:rsid w:val="0099304E"/>
    <w:rsid w:val="00995BDE"/>
    <w:rsid w:val="00995C99"/>
    <w:rsid w:val="00995CDA"/>
    <w:rsid w:val="00996272"/>
    <w:rsid w:val="00996290"/>
    <w:rsid w:val="009A1DCF"/>
    <w:rsid w:val="009A218A"/>
    <w:rsid w:val="009A240E"/>
    <w:rsid w:val="009A394D"/>
    <w:rsid w:val="009A478E"/>
    <w:rsid w:val="009A4999"/>
    <w:rsid w:val="009A5C0C"/>
    <w:rsid w:val="009A6FB2"/>
    <w:rsid w:val="009A738E"/>
    <w:rsid w:val="009B25B1"/>
    <w:rsid w:val="009B31E6"/>
    <w:rsid w:val="009B4473"/>
    <w:rsid w:val="009B4EB1"/>
    <w:rsid w:val="009B53F0"/>
    <w:rsid w:val="009B775F"/>
    <w:rsid w:val="009C016D"/>
    <w:rsid w:val="009C2481"/>
    <w:rsid w:val="009C5063"/>
    <w:rsid w:val="009C52DA"/>
    <w:rsid w:val="009C5714"/>
    <w:rsid w:val="009C7BC9"/>
    <w:rsid w:val="009D0B1D"/>
    <w:rsid w:val="009D0E9E"/>
    <w:rsid w:val="009D1250"/>
    <w:rsid w:val="009D260E"/>
    <w:rsid w:val="009D2BDA"/>
    <w:rsid w:val="009D320D"/>
    <w:rsid w:val="009D3942"/>
    <w:rsid w:val="009D5004"/>
    <w:rsid w:val="009D64B9"/>
    <w:rsid w:val="009D66EA"/>
    <w:rsid w:val="009D700D"/>
    <w:rsid w:val="009D7E8A"/>
    <w:rsid w:val="009E0E8E"/>
    <w:rsid w:val="009E24A8"/>
    <w:rsid w:val="009E2613"/>
    <w:rsid w:val="009E288A"/>
    <w:rsid w:val="009E295F"/>
    <w:rsid w:val="009E30B8"/>
    <w:rsid w:val="009E4BAD"/>
    <w:rsid w:val="009E5A2D"/>
    <w:rsid w:val="009E7A9D"/>
    <w:rsid w:val="009F2BBD"/>
    <w:rsid w:val="009F2F92"/>
    <w:rsid w:val="009F59F7"/>
    <w:rsid w:val="009F68D9"/>
    <w:rsid w:val="00A02142"/>
    <w:rsid w:val="00A02E58"/>
    <w:rsid w:val="00A041B8"/>
    <w:rsid w:val="00A057FA"/>
    <w:rsid w:val="00A07BD5"/>
    <w:rsid w:val="00A07EA0"/>
    <w:rsid w:val="00A10DCE"/>
    <w:rsid w:val="00A1185C"/>
    <w:rsid w:val="00A12A4D"/>
    <w:rsid w:val="00A148BE"/>
    <w:rsid w:val="00A15FE5"/>
    <w:rsid w:val="00A16E6B"/>
    <w:rsid w:val="00A2056D"/>
    <w:rsid w:val="00A207E5"/>
    <w:rsid w:val="00A20B0C"/>
    <w:rsid w:val="00A215F0"/>
    <w:rsid w:val="00A27289"/>
    <w:rsid w:val="00A33F24"/>
    <w:rsid w:val="00A352AD"/>
    <w:rsid w:val="00A36DD4"/>
    <w:rsid w:val="00A401FF"/>
    <w:rsid w:val="00A41B97"/>
    <w:rsid w:val="00A41E46"/>
    <w:rsid w:val="00A427B0"/>
    <w:rsid w:val="00A4319B"/>
    <w:rsid w:val="00A43562"/>
    <w:rsid w:val="00A453DD"/>
    <w:rsid w:val="00A455F6"/>
    <w:rsid w:val="00A4719C"/>
    <w:rsid w:val="00A51001"/>
    <w:rsid w:val="00A51F4A"/>
    <w:rsid w:val="00A52642"/>
    <w:rsid w:val="00A527B4"/>
    <w:rsid w:val="00A54564"/>
    <w:rsid w:val="00A57098"/>
    <w:rsid w:val="00A60BF9"/>
    <w:rsid w:val="00A620EA"/>
    <w:rsid w:val="00A623A1"/>
    <w:rsid w:val="00A62895"/>
    <w:rsid w:val="00A6390B"/>
    <w:rsid w:val="00A640A4"/>
    <w:rsid w:val="00A641E3"/>
    <w:rsid w:val="00A64F59"/>
    <w:rsid w:val="00A64FE4"/>
    <w:rsid w:val="00A65A21"/>
    <w:rsid w:val="00A66A59"/>
    <w:rsid w:val="00A70042"/>
    <w:rsid w:val="00A729A4"/>
    <w:rsid w:val="00A740C4"/>
    <w:rsid w:val="00A74960"/>
    <w:rsid w:val="00A74AF9"/>
    <w:rsid w:val="00A74B16"/>
    <w:rsid w:val="00A76169"/>
    <w:rsid w:val="00A77BB2"/>
    <w:rsid w:val="00A813A1"/>
    <w:rsid w:val="00A82104"/>
    <w:rsid w:val="00A8317F"/>
    <w:rsid w:val="00A83983"/>
    <w:rsid w:val="00A845F7"/>
    <w:rsid w:val="00A84C46"/>
    <w:rsid w:val="00A8639F"/>
    <w:rsid w:val="00A87E76"/>
    <w:rsid w:val="00A903EB"/>
    <w:rsid w:val="00A905FC"/>
    <w:rsid w:val="00A90927"/>
    <w:rsid w:val="00A90F77"/>
    <w:rsid w:val="00A93D90"/>
    <w:rsid w:val="00A93FC4"/>
    <w:rsid w:val="00A94344"/>
    <w:rsid w:val="00A957D8"/>
    <w:rsid w:val="00A970FC"/>
    <w:rsid w:val="00A973EE"/>
    <w:rsid w:val="00AA0598"/>
    <w:rsid w:val="00AA071A"/>
    <w:rsid w:val="00AA1235"/>
    <w:rsid w:val="00AA28CA"/>
    <w:rsid w:val="00AA28E7"/>
    <w:rsid w:val="00AA3CA1"/>
    <w:rsid w:val="00AA4BF9"/>
    <w:rsid w:val="00AA5E61"/>
    <w:rsid w:val="00AA7247"/>
    <w:rsid w:val="00AA7E90"/>
    <w:rsid w:val="00AB000A"/>
    <w:rsid w:val="00AB0E5E"/>
    <w:rsid w:val="00AB177F"/>
    <w:rsid w:val="00AB20AD"/>
    <w:rsid w:val="00AB2112"/>
    <w:rsid w:val="00AB2942"/>
    <w:rsid w:val="00AB3C9C"/>
    <w:rsid w:val="00AB41FC"/>
    <w:rsid w:val="00AB4303"/>
    <w:rsid w:val="00AB47EE"/>
    <w:rsid w:val="00AB542A"/>
    <w:rsid w:val="00AB6046"/>
    <w:rsid w:val="00AB7E5D"/>
    <w:rsid w:val="00AC07B4"/>
    <w:rsid w:val="00AC16A7"/>
    <w:rsid w:val="00AC1F1D"/>
    <w:rsid w:val="00AC20D7"/>
    <w:rsid w:val="00AC6BDE"/>
    <w:rsid w:val="00AC7C52"/>
    <w:rsid w:val="00AD12A6"/>
    <w:rsid w:val="00AD1C80"/>
    <w:rsid w:val="00AD3E40"/>
    <w:rsid w:val="00AD44D9"/>
    <w:rsid w:val="00AD47EF"/>
    <w:rsid w:val="00AD497B"/>
    <w:rsid w:val="00AD5F81"/>
    <w:rsid w:val="00AD5FC8"/>
    <w:rsid w:val="00AE00C5"/>
    <w:rsid w:val="00AE03EE"/>
    <w:rsid w:val="00AE0D77"/>
    <w:rsid w:val="00AE1E49"/>
    <w:rsid w:val="00AE1EE5"/>
    <w:rsid w:val="00AE22D8"/>
    <w:rsid w:val="00AE48E5"/>
    <w:rsid w:val="00AE5996"/>
    <w:rsid w:val="00AE7666"/>
    <w:rsid w:val="00AE774B"/>
    <w:rsid w:val="00AE7D05"/>
    <w:rsid w:val="00AF023B"/>
    <w:rsid w:val="00AF11F1"/>
    <w:rsid w:val="00AF1941"/>
    <w:rsid w:val="00AF257D"/>
    <w:rsid w:val="00AF3334"/>
    <w:rsid w:val="00AF57B0"/>
    <w:rsid w:val="00AF60C8"/>
    <w:rsid w:val="00AF6BD9"/>
    <w:rsid w:val="00AF72FF"/>
    <w:rsid w:val="00AF7BA0"/>
    <w:rsid w:val="00AF7DA5"/>
    <w:rsid w:val="00B00280"/>
    <w:rsid w:val="00B00C50"/>
    <w:rsid w:val="00B02290"/>
    <w:rsid w:val="00B02AD6"/>
    <w:rsid w:val="00B0301F"/>
    <w:rsid w:val="00B040A8"/>
    <w:rsid w:val="00B07F9A"/>
    <w:rsid w:val="00B10CBE"/>
    <w:rsid w:val="00B11261"/>
    <w:rsid w:val="00B116A7"/>
    <w:rsid w:val="00B12C74"/>
    <w:rsid w:val="00B1326E"/>
    <w:rsid w:val="00B1459D"/>
    <w:rsid w:val="00B1527A"/>
    <w:rsid w:val="00B15E63"/>
    <w:rsid w:val="00B17436"/>
    <w:rsid w:val="00B17E48"/>
    <w:rsid w:val="00B2018B"/>
    <w:rsid w:val="00B205BB"/>
    <w:rsid w:val="00B208D3"/>
    <w:rsid w:val="00B24386"/>
    <w:rsid w:val="00B24867"/>
    <w:rsid w:val="00B2547A"/>
    <w:rsid w:val="00B26134"/>
    <w:rsid w:val="00B300E3"/>
    <w:rsid w:val="00B30B2D"/>
    <w:rsid w:val="00B4073F"/>
    <w:rsid w:val="00B40992"/>
    <w:rsid w:val="00B41AE0"/>
    <w:rsid w:val="00B42423"/>
    <w:rsid w:val="00B43D22"/>
    <w:rsid w:val="00B466DC"/>
    <w:rsid w:val="00B46783"/>
    <w:rsid w:val="00B46E5B"/>
    <w:rsid w:val="00B4750A"/>
    <w:rsid w:val="00B51998"/>
    <w:rsid w:val="00B5204A"/>
    <w:rsid w:val="00B52635"/>
    <w:rsid w:val="00B536AE"/>
    <w:rsid w:val="00B53F02"/>
    <w:rsid w:val="00B543DF"/>
    <w:rsid w:val="00B54B30"/>
    <w:rsid w:val="00B55B2F"/>
    <w:rsid w:val="00B55C16"/>
    <w:rsid w:val="00B56543"/>
    <w:rsid w:val="00B625FA"/>
    <w:rsid w:val="00B64BDF"/>
    <w:rsid w:val="00B65E76"/>
    <w:rsid w:val="00B66460"/>
    <w:rsid w:val="00B6703F"/>
    <w:rsid w:val="00B678AF"/>
    <w:rsid w:val="00B67D2A"/>
    <w:rsid w:val="00B71FCE"/>
    <w:rsid w:val="00B7222D"/>
    <w:rsid w:val="00B72708"/>
    <w:rsid w:val="00B73380"/>
    <w:rsid w:val="00B73FFB"/>
    <w:rsid w:val="00B7432D"/>
    <w:rsid w:val="00B749C2"/>
    <w:rsid w:val="00B75293"/>
    <w:rsid w:val="00B75FB4"/>
    <w:rsid w:val="00B7746C"/>
    <w:rsid w:val="00B7760A"/>
    <w:rsid w:val="00B77E2F"/>
    <w:rsid w:val="00B804A6"/>
    <w:rsid w:val="00B80FDC"/>
    <w:rsid w:val="00B81D89"/>
    <w:rsid w:val="00B82288"/>
    <w:rsid w:val="00B8413D"/>
    <w:rsid w:val="00B8504B"/>
    <w:rsid w:val="00B861DB"/>
    <w:rsid w:val="00B879ED"/>
    <w:rsid w:val="00B9215E"/>
    <w:rsid w:val="00B9342E"/>
    <w:rsid w:val="00B94083"/>
    <w:rsid w:val="00B940B9"/>
    <w:rsid w:val="00B9550A"/>
    <w:rsid w:val="00B95E76"/>
    <w:rsid w:val="00B95F95"/>
    <w:rsid w:val="00B961B1"/>
    <w:rsid w:val="00BA019F"/>
    <w:rsid w:val="00BA19A0"/>
    <w:rsid w:val="00BB18EE"/>
    <w:rsid w:val="00BB263E"/>
    <w:rsid w:val="00BB27A5"/>
    <w:rsid w:val="00BB3F26"/>
    <w:rsid w:val="00BB48A4"/>
    <w:rsid w:val="00BB4933"/>
    <w:rsid w:val="00BB49B4"/>
    <w:rsid w:val="00BB53C1"/>
    <w:rsid w:val="00BB622B"/>
    <w:rsid w:val="00BB6418"/>
    <w:rsid w:val="00BB7073"/>
    <w:rsid w:val="00BC0E92"/>
    <w:rsid w:val="00BC1DC9"/>
    <w:rsid w:val="00BC2095"/>
    <w:rsid w:val="00BC2176"/>
    <w:rsid w:val="00BC3C8C"/>
    <w:rsid w:val="00BC3DEB"/>
    <w:rsid w:val="00BC4D41"/>
    <w:rsid w:val="00BC63C5"/>
    <w:rsid w:val="00BC6A33"/>
    <w:rsid w:val="00BC6BA2"/>
    <w:rsid w:val="00BC6F95"/>
    <w:rsid w:val="00BD12D6"/>
    <w:rsid w:val="00BD2501"/>
    <w:rsid w:val="00BD32B4"/>
    <w:rsid w:val="00BD34BA"/>
    <w:rsid w:val="00BD4390"/>
    <w:rsid w:val="00BD6B08"/>
    <w:rsid w:val="00BD72EA"/>
    <w:rsid w:val="00BE01CC"/>
    <w:rsid w:val="00BE0912"/>
    <w:rsid w:val="00BE1436"/>
    <w:rsid w:val="00BE18E6"/>
    <w:rsid w:val="00BE2BE7"/>
    <w:rsid w:val="00BE5376"/>
    <w:rsid w:val="00BE6E60"/>
    <w:rsid w:val="00BE7212"/>
    <w:rsid w:val="00BE78B1"/>
    <w:rsid w:val="00BF04DD"/>
    <w:rsid w:val="00BF18BB"/>
    <w:rsid w:val="00BF4CEF"/>
    <w:rsid w:val="00BF5904"/>
    <w:rsid w:val="00BF5DC2"/>
    <w:rsid w:val="00BF7744"/>
    <w:rsid w:val="00C0123E"/>
    <w:rsid w:val="00C024A8"/>
    <w:rsid w:val="00C02580"/>
    <w:rsid w:val="00C02C55"/>
    <w:rsid w:val="00C0427B"/>
    <w:rsid w:val="00C109BE"/>
    <w:rsid w:val="00C10A9C"/>
    <w:rsid w:val="00C13B8B"/>
    <w:rsid w:val="00C1400F"/>
    <w:rsid w:val="00C151A9"/>
    <w:rsid w:val="00C15BED"/>
    <w:rsid w:val="00C17DB5"/>
    <w:rsid w:val="00C21166"/>
    <w:rsid w:val="00C215BF"/>
    <w:rsid w:val="00C2247E"/>
    <w:rsid w:val="00C2259A"/>
    <w:rsid w:val="00C23D4F"/>
    <w:rsid w:val="00C23E57"/>
    <w:rsid w:val="00C23F6A"/>
    <w:rsid w:val="00C24710"/>
    <w:rsid w:val="00C24CF7"/>
    <w:rsid w:val="00C24D3A"/>
    <w:rsid w:val="00C259D2"/>
    <w:rsid w:val="00C25E1A"/>
    <w:rsid w:val="00C26AB5"/>
    <w:rsid w:val="00C2705B"/>
    <w:rsid w:val="00C2763F"/>
    <w:rsid w:val="00C30CF3"/>
    <w:rsid w:val="00C32D22"/>
    <w:rsid w:val="00C334F8"/>
    <w:rsid w:val="00C34AEB"/>
    <w:rsid w:val="00C34FD7"/>
    <w:rsid w:val="00C36E98"/>
    <w:rsid w:val="00C42063"/>
    <w:rsid w:val="00C42FE9"/>
    <w:rsid w:val="00C4424D"/>
    <w:rsid w:val="00C4540E"/>
    <w:rsid w:val="00C4577C"/>
    <w:rsid w:val="00C45871"/>
    <w:rsid w:val="00C45D26"/>
    <w:rsid w:val="00C46B74"/>
    <w:rsid w:val="00C46EAE"/>
    <w:rsid w:val="00C50AD0"/>
    <w:rsid w:val="00C51675"/>
    <w:rsid w:val="00C51915"/>
    <w:rsid w:val="00C52F1D"/>
    <w:rsid w:val="00C53AA8"/>
    <w:rsid w:val="00C5424C"/>
    <w:rsid w:val="00C5500A"/>
    <w:rsid w:val="00C574B3"/>
    <w:rsid w:val="00C6012C"/>
    <w:rsid w:val="00C6142F"/>
    <w:rsid w:val="00C61D36"/>
    <w:rsid w:val="00C61FDA"/>
    <w:rsid w:val="00C634D2"/>
    <w:rsid w:val="00C63803"/>
    <w:rsid w:val="00C639AF"/>
    <w:rsid w:val="00C641DC"/>
    <w:rsid w:val="00C64C67"/>
    <w:rsid w:val="00C6513B"/>
    <w:rsid w:val="00C65C02"/>
    <w:rsid w:val="00C664B3"/>
    <w:rsid w:val="00C677F0"/>
    <w:rsid w:val="00C6799A"/>
    <w:rsid w:val="00C67DDA"/>
    <w:rsid w:val="00C71F76"/>
    <w:rsid w:val="00C74B51"/>
    <w:rsid w:val="00C76003"/>
    <w:rsid w:val="00C778AE"/>
    <w:rsid w:val="00C820C9"/>
    <w:rsid w:val="00C82C1E"/>
    <w:rsid w:val="00C82F61"/>
    <w:rsid w:val="00C8338A"/>
    <w:rsid w:val="00C85638"/>
    <w:rsid w:val="00C85947"/>
    <w:rsid w:val="00C85DED"/>
    <w:rsid w:val="00C862F2"/>
    <w:rsid w:val="00C86D99"/>
    <w:rsid w:val="00C8762A"/>
    <w:rsid w:val="00C90014"/>
    <w:rsid w:val="00C9020B"/>
    <w:rsid w:val="00C909DB"/>
    <w:rsid w:val="00C92B43"/>
    <w:rsid w:val="00C92DC1"/>
    <w:rsid w:val="00C93CB1"/>
    <w:rsid w:val="00C94E7B"/>
    <w:rsid w:val="00C95A2B"/>
    <w:rsid w:val="00C95CB7"/>
    <w:rsid w:val="00CA0EF5"/>
    <w:rsid w:val="00CA1EB2"/>
    <w:rsid w:val="00CA34D8"/>
    <w:rsid w:val="00CA3506"/>
    <w:rsid w:val="00CA4BEB"/>
    <w:rsid w:val="00CA5866"/>
    <w:rsid w:val="00CA64DF"/>
    <w:rsid w:val="00CA7416"/>
    <w:rsid w:val="00CB0B61"/>
    <w:rsid w:val="00CB1C63"/>
    <w:rsid w:val="00CB2F18"/>
    <w:rsid w:val="00CB38BF"/>
    <w:rsid w:val="00CB5051"/>
    <w:rsid w:val="00CB596B"/>
    <w:rsid w:val="00CB5F36"/>
    <w:rsid w:val="00CB6188"/>
    <w:rsid w:val="00CC2BB9"/>
    <w:rsid w:val="00CC470F"/>
    <w:rsid w:val="00CC5876"/>
    <w:rsid w:val="00CC644A"/>
    <w:rsid w:val="00CD02EF"/>
    <w:rsid w:val="00CD1654"/>
    <w:rsid w:val="00CD2358"/>
    <w:rsid w:val="00CD35AA"/>
    <w:rsid w:val="00CD4C0E"/>
    <w:rsid w:val="00CD6269"/>
    <w:rsid w:val="00CE00EF"/>
    <w:rsid w:val="00CE0573"/>
    <w:rsid w:val="00CE057D"/>
    <w:rsid w:val="00CE2860"/>
    <w:rsid w:val="00CE4063"/>
    <w:rsid w:val="00CE4822"/>
    <w:rsid w:val="00CE4AC8"/>
    <w:rsid w:val="00CE775D"/>
    <w:rsid w:val="00CF231F"/>
    <w:rsid w:val="00CF3A4D"/>
    <w:rsid w:val="00CF3BC9"/>
    <w:rsid w:val="00CF5DB7"/>
    <w:rsid w:val="00CF7774"/>
    <w:rsid w:val="00CF794B"/>
    <w:rsid w:val="00D01BFF"/>
    <w:rsid w:val="00D02140"/>
    <w:rsid w:val="00D0591C"/>
    <w:rsid w:val="00D05E81"/>
    <w:rsid w:val="00D10B32"/>
    <w:rsid w:val="00D11988"/>
    <w:rsid w:val="00D13B90"/>
    <w:rsid w:val="00D166F6"/>
    <w:rsid w:val="00D169D9"/>
    <w:rsid w:val="00D16DA8"/>
    <w:rsid w:val="00D16E96"/>
    <w:rsid w:val="00D21793"/>
    <w:rsid w:val="00D21F55"/>
    <w:rsid w:val="00D23BF9"/>
    <w:rsid w:val="00D24B8B"/>
    <w:rsid w:val="00D24E16"/>
    <w:rsid w:val="00D26249"/>
    <w:rsid w:val="00D27350"/>
    <w:rsid w:val="00D30AAB"/>
    <w:rsid w:val="00D32942"/>
    <w:rsid w:val="00D34033"/>
    <w:rsid w:val="00D35418"/>
    <w:rsid w:val="00D365AA"/>
    <w:rsid w:val="00D37ECB"/>
    <w:rsid w:val="00D4123B"/>
    <w:rsid w:val="00D41BFD"/>
    <w:rsid w:val="00D41DCB"/>
    <w:rsid w:val="00D42CEF"/>
    <w:rsid w:val="00D43D45"/>
    <w:rsid w:val="00D47BAC"/>
    <w:rsid w:val="00D50D02"/>
    <w:rsid w:val="00D61F1A"/>
    <w:rsid w:val="00D665AA"/>
    <w:rsid w:val="00D67DEC"/>
    <w:rsid w:val="00D709A4"/>
    <w:rsid w:val="00D71762"/>
    <w:rsid w:val="00D726BE"/>
    <w:rsid w:val="00D7388A"/>
    <w:rsid w:val="00D747CD"/>
    <w:rsid w:val="00D765B0"/>
    <w:rsid w:val="00D77A85"/>
    <w:rsid w:val="00D77EF3"/>
    <w:rsid w:val="00D80BCD"/>
    <w:rsid w:val="00D810DF"/>
    <w:rsid w:val="00D81CA4"/>
    <w:rsid w:val="00D82223"/>
    <w:rsid w:val="00D828E3"/>
    <w:rsid w:val="00D82C23"/>
    <w:rsid w:val="00D842E2"/>
    <w:rsid w:val="00D85966"/>
    <w:rsid w:val="00D87145"/>
    <w:rsid w:val="00D874E1"/>
    <w:rsid w:val="00D9035E"/>
    <w:rsid w:val="00D917DF"/>
    <w:rsid w:val="00D918B8"/>
    <w:rsid w:val="00D92948"/>
    <w:rsid w:val="00D94493"/>
    <w:rsid w:val="00D9498E"/>
    <w:rsid w:val="00D95EE2"/>
    <w:rsid w:val="00D9616D"/>
    <w:rsid w:val="00DA0FF6"/>
    <w:rsid w:val="00DA1641"/>
    <w:rsid w:val="00DA1C4F"/>
    <w:rsid w:val="00DA2CF2"/>
    <w:rsid w:val="00DA31D9"/>
    <w:rsid w:val="00DA3619"/>
    <w:rsid w:val="00DA3621"/>
    <w:rsid w:val="00DA39E2"/>
    <w:rsid w:val="00DA4B24"/>
    <w:rsid w:val="00DA609C"/>
    <w:rsid w:val="00DA62F5"/>
    <w:rsid w:val="00DB17B0"/>
    <w:rsid w:val="00DB3566"/>
    <w:rsid w:val="00DB5820"/>
    <w:rsid w:val="00DB5B48"/>
    <w:rsid w:val="00DB667A"/>
    <w:rsid w:val="00DB68ED"/>
    <w:rsid w:val="00DB6C9E"/>
    <w:rsid w:val="00DC0D02"/>
    <w:rsid w:val="00DC19C5"/>
    <w:rsid w:val="00DC5C1E"/>
    <w:rsid w:val="00DC7921"/>
    <w:rsid w:val="00DC7B41"/>
    <w:rsid w:val="00DD01BA"/>
    <w:rsid w:val="00DD0A53"/>
    <w:rsid w:val="00DD0F2F"/>
    <w:rsid w:val="00DD1520"/>
    <w:rsid w:val="00DD2E01"/>
    <w:rsid w:val="00DD3773"/>
    <w:rsid w:val="00DD5B0C"/>
    <w:rsid w:val="00DD69AA"/>
    <w:rsid w:val="00DE2322"/>
    <w:rsid w:val="00DE281F"/>
    <w:rsid w:val="00DE3555"/>
    <w:rsid w:val="00DE47F5"/>
    <w:rsid w:val="00DE4E30"/>
    <w:rsid w:val="00DE59B7"/>
    <w:rsid w:val="00DE5D38"/>
    <w:rsid w:val="00DE5FB9"/>
    <w:rsid w:val="00DE6023"/>
    <w:rsid w:val="00DF003B"/>
    <w:rsid w:val="00DF0C81"/>
    <w:rsid w:val="00DF24CD"/>
    <w:rsid w:val="00DF2F8A"/>
    <w:rsid w:val="00DF3538"/>
    <w:rsid w:val="00DF4B28"/>
    <w:rsid w:val="00DF4BBB"/>
    <w:rsid w:val="00DF62CA"/>
    <w:rsid w:val="00DF6437"/>
    <w:rsid w:val="00E00805"/>
    <w:rsid w:val="00E00D7C"/>
    <w:rsid w:val="00E010D4"/>
    <w:rsid w:val="00E0145E"/>
    <w:rsid w:val="00E015A9"/>
    <w:rsid w:val="00E04486"/>
    <w:rsid w:val="00E05D43"/>
    <w:rsid w:val="00E068A7"/>
    <w:rsid w:val="00E07070"/>
    <w:rsid w:val="00E10789"/>
    <w:rsid w:val="00E13421"/>
    <w:rsid w:val="00E1464D"/>
    <w:rsid w:val="00E171E4"/>
    <w:rsid w:val="00E1738A"/>
    <w:rsid w:val="00E1760C"/>
    <w:rsid w:val="00E17A90"/>
    <w:rsid w:val="00E209A5"/>
    <w:rsid w:val="00E21058"/>
    <w:rsid w:val="00E22531"/>
    <w:rsid w:val="00E225D7"/>
    <w:rsid w:val="00E233B9"/>
    <w:rsid w:val="00E239EB"/>
    <w:rsid w:val="00E24E79"/>
    <w:rsid w:val="00E2549B"/>
    <w:rsid w:val="00E258B2"/>
    <w:rsid w:val="00E25AEE"/>
    <w:rsid w:val="00E323D2"/>
    <w:rsid w:val="00E32CEE"/>
    <w:rsid w:val="00E33B6A"/>
    <w:rsid w:val="00E341CB"/>
    <w:rsid w:val="00E37A45"/>
    <w:rsid w:val="00E41DE8"/>
    <w:rsid w:val="00E42185"/>
    <w:rsid w:val="00E45FBA"/>
    <w:rsid w:val="00E46085"/>
    <w:rsid w:val="00E46EB7"/>
    <w:rsid w:val="00E50E04"/>
    <w:rsid w:val="00E5404E"/>
    <w:rsid w:val="00E569EF"/>
    <w:rsid w:val="00E573FE"/>
    <w:rsid w:val="00E60312"/>
    <w:rsid w:val="00E607A5"/>
    <w:rsid w:val="00E6102B"/>
    <w:rsid w:val="00E611A2"/>
    <w:rsid w:val="00E61446"/>
    <w:rsid w:val="00E61BCB"/>
    <w:rsid w:val="00E621FA"/>
    <w:rsid w:val="00E63B1F"/>
    <w:rsid w:val="00E63F78"/>
    <w:rsid w:val="00E669BF"/>
    <w:rsid w:val="00E704A8"/>
    <w:rsid w:val="00E70B8C"/>
    <w:rsid w:val="00E70C63"/>
    <w:rsid w:val="00E716EC"/>
    <w:rsid w:val="00E71BCD"/>
    <w:rsid w:val="00E73AD1"/>
    <w:rsid w:val="00E73FBD"/>
    <w:rsid w:val="00E75C04"/>
    <w:rsid w:val="00E7652A"/>
    <w:rsid w:val="00E7778A"/>
    <w:rsid w:val="00E80393"/>
    <w:rsid w:val="00E816F4"/>
    <w:rsid w:val="00E82D47"/>
    <w:rsid w:val="00E8392E"/>
    <w:rsid w:val="00E85331"/>
    <w:rsid w:val="00E9050B"/>
    <w:rsid w:val="00E93196"/>
    <w:rsid w:val="00E95409"/>
    <w:rsid w:val="00E96C59"/>
    <w:rsid w:val="00EA0D1D"/>
    <w:rsid w:val="00EA14F2"/>
    <w:rsid w:val="00EA1E78"/>
    <w:rsid w:val="00EA2E2E"/>
    <w:rsid w:val="00EA3D89"/>
    <w:rsid w:val="00EA4D35"/>
    <w:rsid w:val="00EB0A4C"/>
    <w:rsid w:val="00EB100F"/>
    <w:rsid w:val="00EB159E"/>
    <w:rsid w:val="00EB15B8"/>
    <w:rsid w:val="00EB1C2E"/>
    <w:rsid w:val="00EB1EC1"/>
    <w:rsid w:val="00EB2731"/>
    <w:rsid w:val="00EB3038"/>
    <w:rsid w:val="00EB30F8"/>
    <w:rsid w:val="00EB3274"/>
    <w:rsid w:val="00EB3C33"/>
    <w:rsid w:val="00EB5775"/>
    <w:rsid w:val="00EB71CE"/>
    <w:rsid w:val="00EC2E9A"/>
    <w:rsid w:val="00EC3EED"/>
    <w:rsid w:val="00EC5C61"/>
    <w:rsid w:val="00EC6023"/>
    <w:rsid w:val="00EC76F7"/>
    <w:rsid w:val="00ED037F"/>
    <w:rsid w:val="00ED06A4"/>
    <w:rsid w:val="00ED1E39"/>
    <w:rsid w:val="00ED5172"/>
    <w:rsid w:val="00ED58E4"/>
    <w:rsid w:val="00ED5EB9"/>
    <w:rsid w:val="00ED624B"/>
    <w:rsid w:val="00ED6D1D"/>
    <w:rsid w:val="00ED6FE9"/>
    <w:rsid w:val="00ED71C0"/>
    <w:rsid w:val="00ED78A6"/>
    <w:rsid w:val="00EE0926"/>
    <w:rsid w:val="00EE49D4"/>
    <w:rsid w:val="00EE5D57"/>
    <w:rsid w:val="00EE6B34"/>
    <w:rsid w:val="00EF14CE"/>
    <w:rsid w:val="00EF1A07"/>
    <w:rsid w:val="00EF2952"/>
    <w:rsid w:val="00F00089"/>
    <w:rsid w:val="00F0104A"/>
    <w:rsid w:val="00F01EE1"/>
    <w:rsid w:val="00F02016"/>
    <w:rsid w:val="00F023B8"/>
    <w:rsid w:val="00F027B8"/>
    <w:rsid w:val="00F02A7D"/>
    <w:rsid w:val="00F03210"/>
    <w:rsid w:val="00F03A4D"/>
    <w:rsid w:val="00F053F0"/>
    <w:rsid w:val="00F05CA7"/>
    <w:rsid w:val="00F117D6"/>
    <w:rsid w:val="00F11A17"/>
    <w:rsid w:val="00F11A70"/>
    <w:rsid w:val="00F1238A"/>
    <w:rsid w:val="00F1319E"/>
    <w:rsid w:val="00F13456"/>
    <w:rsid w:val="00F158EF"/>
    <w:rsid w:val="00F15E9F"/>
    <w:rsid w:val="00F16408"/>
    <w:rsid w:val="00F1672F"/>
    <w:rsid w:val="00F20502"/>
    <w:rsid w:val="00F20F66"/>
    <w:rsid w:val="00F210DD"/>
    <w:rsid w:val="00F218A4"/>
    <w:rsid w:val="00F21EE7"/>
    <w:rsid w:val="00F21F82"/>
    <w:rsid w:val="00F23A52"/>
    <w:rsid w:val="00F2477F"/>
    <w:rsid w:val="00F2776D"/>
    <w:rsid w:val="00F3018B"/>
    <w:rsid w:val="00F30A07"/>
    <w:rsid w:val="00F31084"/>
    <w:rsid w:val="00F31AF9"/>
    <w:rsid w:val="00F32F4F"/>
    <w:rsid w:val="00F331D1"/>
    <w:rsid w:val="00F34E7B"/>
    <w:rsid w:val="00F36B48"/>
    <w:rsid w:val="00F400D2"/>
    <w:rsid w:val="00F41472"/>
    <w:rsid w:val="00F42259"/>
    <w:rsid w:val="00F44599"/>
    <w:rsid w:val="00F4610C"/>
    <w:rsid w:val="00F462A3"/>
    <w:rsid w:val="00F46FA8"/>
    <w:rsid w:val="00F50098"/>
    <w:rsid w:val="00F50647"/>
    <w:rsid w:val="00F508E8"/>
    <w:rsid w:val="00F512C8"/>
    <w:rsid w:val="00F51A2F"/>
    <w:rsid w:val="00F53E91"/>
    <w:rsid w:val="00F5409A"/>
    <w:rsid w:val="00F6010B"/>
    <w:rsid w:val="00F60289"/>
    <w:rsid w:val="00F603A6"/>
    <w:rsid w:val="00F61305"/>
    <w:rsid w:val="00F6360E"/>
    <w:rsid w:val="00F63E9B"/>
    <w:rsid w:val="00F64672"/>
    <w:rsid w:val="00F65E07"/>
    <w:rsid w:val="00F72296"/>
    <w:rsid w:val="00F7384E"/>
    <w:rsid w:val="00F748B4"/>
    <w:rsid w:val="00F7529D"/>
    <w:rsid w:val="00F757EF"/>
    <w:rsid w:val="00F758C1"/>
    <w:rsid w:val="00F76805"/>
    <w:rsid w:val="00F76C23"/>
    <w:rsid w:val="00F77738"/>
    <w:rsid w:val="00F77D80"/>
    <w:rsid w:val="00F77F97"/>
    <w:rsid w:val="00F80ABC"/>
    <w:rsid w:val="00F80B94"/>
    <w:rsid w:val="00F843F3"/>
    <w:rsid w:val="00F86BE6"/>
    <w:rsid w:val="00F87D92"/>
    <w:rsid w:val="00F9048F"/>
    <w:rsid w:val="00F90DD1"/>
    <w:rsid w:val="00F927ED"/>
    <w:rsid w:val="00F94D12"/>
    <w:rsid w:val="00F95414"/>
    <w:rsid w:val="00FA09D3"/>
    <w:rsid w:val="00FA215B"/>
    <w:rsid w:val="00FA5C48"/>
    <w:rsid w:val="00FA6765"/>
    <w:rsid w:val="00FB0497"/>
    <w:rsid w:val="00FB1619"/>
    <w:rsid w:val="00FB174A"/>
    <w:rsid w:val="00FB3FDD"/>
    <w:rsid w:val="00FB4B6A"/>
    <w:rsid w:val="00FB6BBB"/>
    <w:rsid w:val="00FC0192"/>
    <w:rsid w:val="00FC084D"/>
    <w:rsid w:val="00FC2564"/>
    <w:rsid w:val="00FC2C6F"/>
    <w:rsid w:val="00FC3699"/>
    <w:rsid w:val="00FC42B6"/>
    <w:rsid w:val="00FC5506"/>
    <w:rsid w:val="00FC6200"/>
    <w:rsid w:val="00FC7562"/>
    <w:rsid w:val="00FC7739"/>
    <w:rsid w:val="00FD2998"/>
    <w:rsid w:val="00FD40C0"/>
    <w:rsid w:val="00FD4B36"/>
    <w:rsid w:val="00FD6B02"/>
    <w:rsid w:val="00FD7E01"/>
    <w:rsid w:val="00FE0912"/>
    <w:rsid w:val="00FE27BB"/>
    <w:rsid w:val="00FE72C2"/>
    <w:rsid w:val="00FE784F"/>
    <w:rsid w:val="00FE7D93"/>
    <w:rsid w:val="00FF0839"/>
    <w:rsid w:val="00FF54FF"/>
    <w:rsid w:val="00FF7CFE"/>
    <w:rsid w:val="00FF7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D"/>
    <w:rPr>
      <w:rFonts w:eastAsia="Times New Roman"/>
      <w:sz w:val="24"/>
    </w:rPr>
  </w:style>
  <w:style w:type="paragraph" w:styleId="Heading1">
    <w:name w:val="heading 1"/>
    <w:basedOn w:val="Normal"/>
    <w:next w:val="Normal"/>
    <w:link w:val="Heading1Char"/>
    <w:uiPriority w:val="99"/>
    <w:qFormat/>
    <w:rsid w:val="005B6733"/>
    <w:pPr>
      <w:tabs>
        <w:tab w:val="left" w:pos="0"/>
      </w:tabs>
      <w:spacing w:after="240"/>
      <w:ind w:left="720" w:hanging="720"/>
      <w:jc w:val="center"/>
      <w:outlineLvl w:val="0"/>
    </w:pPr>
    <w:rPr>
      <w:b/>
      <w:caps/>
      <w:sz w:val="32"/>
      <w:szCs w:val="32"/>
    </w:rPr>
  </w:style>
  <w:style w:type="paragraph" w:styleId="Heading2">
    <w:name w:val="heading 2"/>
    <w:basedOn w:val="Normal"/>
    <w:next w:val="Normal"/>
    <w:link w:val="Heading2Char"/>
    <w:uiPriority w:val="99"/>
    <w:qFormat/>
    <w:rsid w:val="005B6733"/>
    <w:pPr>
      <w:keepNext/>
      <w:tabs>
        <w:tab w:val="left" w:pos="720"/>
      </w:tabs>
      <w:spacing w:after="240"/>
      <w:ind w:left="720" w:hanging="720"/>
      <w:outlineLvl w:val="1"/>
    </w:pPr>
    <w:rPr>
      <w:b/>
      <w:sz w:val="28"/>
      <w:szCs w:val="28"/>
    </w:rPr>
  </w:style>
  <w:style w:type="paragraph" w:styleId="Heading3">
    <w:name w:val="heading 3"/>
    <w:basedOn w:val="Heading2"/>
    <w:next w:val="Normal"/>
    <w:link w:val="Heading3Char"/>
    <w:uiPriority w:val="99"/>
    <w:qFormat/>
    <w:rsid w:val="009561F9"/>
    <w:pPr>
      <w:tabs>
        <w:tab w:val="clear" w:pos="720"/>
        <w:tab w:val="left" w:pos="900"/>
      </w:tabs>
      <w:spacing w:after="0"/>
      <w:ind w:left="907" w:hanging="907"/>
      <w:outlineLvl w:val="2"/>
    </w:pPr>
    <w:rPr>
      <w:sz w:val="24"/>
      <w:szCs w:val="24"/>
    </w:rPr>
  </w:style>
  <w:style w:type="paragraph" w:styleId="Heading4">
    <w:name w:val="heading 4"/>
    <w:basedOn w:val="Normal"/>
    <w:next w:val="Normal"/>
    <w:link w:val="Heading4Char"/>
    <w:uiPriority w:val="99"/>
    <w:qFormat/>
    <w:rsid w:val="005B6733"/>
    <w:pPr>
      <w:keepNext/>
      <w:spacing w:line="276" w:lineRule="auto"/>
      <w:outlineLvl w:val="3"/>
    </w:pPr>
    <w:rPr>
      <w:b/>
      <w:iCs/>
      <w:szCs w:val="24"/>
    </w:rPr>
  </w:style>
  <w:style w:type="paragraph" w:styleId="Heading5">
    <w:name w:val="heading 5"/>
    <w:basedOn w:val="Normal"/>
    <w:next w:val="Normal"/>
    <w:link w:val="Heading5Char"/>
    <w:uiPriority w:val="99"/>
    <w:qFormat/>
    <w:rsid w:val="005B6733"/>
    <w:pPr>
      <w:keepNext/>
      <w:ind w:firstLine="720"/>
      <w:outlineLvl w:val="4"/>
    </w:pPr>
    <w:rPr>
      <w:b/>
      <w:i/>
    </w:rPr>
  </w:style>
  <w:style w:type="paragraph" w:styleId="Heading6">
    <w:name w:val="heading 6"/>
    <w:basedOn w:val="Normal"/>
    <w:next w:val="Normal"/>
    <w:link w:val="Heading6Char"/>
    <w:uiPriority w:val="99"/>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5B673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5B67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733"/>
    <w:pPr>
      <w:ind w:left="720"/>
      <w:contextualSpacing/>
    </w:pPr>
  </w:style>
  <w:style w:type="character" w:styleId="CommentReference">
    <w:name w:val="annotation reference"/>
    <w:uiPriority w:val="99"/>
    <w:rsid w:val="005B6733"/>
    <w:rPr>
      <w:rFonts w:cs="Times New Roman"/>
      <w:sz w:val="16"/>
      <w:szCs w:val="16"/>
    </w:rPr>
  </w:style>
  <w:style w:type="paragraph" w:styleId="CommentText">
    <w:name w:val="annotation text"/>
    <w:basedOn w:val="Normal"/>
    <w:link w:val="CommentTextChar"/>
    <w:uiPriority w:val="99"/>
    <w:rsid w:val="005B6733"/>
    <w:rPr>
      <w:sz w:val="20"/>
    </w:rPr>
  </w:style>
  <w:style w:type="character" w:customStyle="1" w:styleId="CommentTextChar">
    <w:name w:val="Comment Text Char"/>
    <w:link w:val="CommentText"/>
    <w:uiPriority w:val="99"/>
    <w:rsid w:val="005B6733"/>
    <w:rPr>
      <w:rFonts w:eastAsia="Times New Roman"/>
    </w:rPr>
  </w:style>
  <w:style w:type="paragraph" w:styleId="CommentSubject">
    <w:name w:val="annotation subject"/>
    <w:basedOn w:val="CommentText"/>
    <w:next w:val="CommentText"/>
    <w:link w:val="CommentSubjectChar"/>
    <w:uiPriority w:val="99"/>
    <w:rsid w:val="005B6733"/>
    <w:rPr>
      <w:b/>
      <w:bCs/>
    </w:rPr>
  </w:style>
  <w:style w:type="character" w:customStyle="1" w:styleId="CommentSubjectChar">
    <w:name w:val="Comment Subject Char"/>
    <w:link w:val="CommentSubject"/>
    <w:uiPriority w:val="99"/>
    <w:rsid w:val="005B6733"/>
    <w:rPr>
      <w:rFonts w:eastAsia="Times New Roman"/>
      <w:b/>
      <w:bCs/>
    </w:rPr>
  </w:style>
  <w:style w:type="paragraph" w:styleId="BalloonText">
    <w:name w:val="Balloon Text"/>
    <w:basedOn w:val="Normal"/>
    <w:link w:val="BalloonTextChar"/>
    <w:uiPriority w:val="99"/>
    <w:semiHidden/>
    <w:rsid w:val="005B6733"/>
    <w:rPr>
      <w:rFonts w:ascii="Tahoma" w:hAnsi="Tahoma"/>
      <w:sz w:val="16"/>
      <w:szCs w:val="16"/>
    </w:rPr>
  </w:style>
  <w:style w:type="character" w:customStyle="1" w:styleId="BalloonTextChar">
    <w:name w:val="Balloon Text Char"/>
    <w:link w:val="BalloonText"/>
    <w:uiPriority w:val="99"/>
    <w:semiHidden/>
    <w:rsid w:val="005B6733"/>
    <w:rPr>
      <w:rFonts w:ascii="Tahoma" w:eastAsia="Times New Roman" w:hAnsi="Tahoma" w:cs="Tahoma"/>
      <w:sz w:val="16"/>
      <w:szCs w:val="16"/>
    </w:rPr>
  </w:style>
  <w:style w:type="character" w:customStyle="1" w:styleId="bodytextChar">
    <w:name w:val="body text Char"/>
    <w:link w:val="BodyText1"/>
    <w:rsid w:val="00A12A4D"/>
    <w:rPr>
      <w:rFonts w:eastAsia="Times New Roman"/>
      <w:sz w:val="24"/>
      <w:szCs w:val="24"/>
    </w:rPr>
  </w:style>
  <w:style w:type="paragraph" w:customStyle="1" w:styleId="BodyText1">
    <w:name w:val="Body Text1"/>
    <w:basedOn w:val="BodyText"/>
    <w:link w:val="bodytextChar"/>
    <w:rsid w:val="00A12A4D"/>
  </w:style>
  <w:style w:type="character" w:customStyle="1" w:styleId="Heading4Char">
    <w:name w:val="Heading 4 Char"/>
    <w:link w:val="Heading4"/>
    <w:uiPriority w:val="99"/>
    <w:rsid w:val="005B6733"/>
    <w:rPr>
      <w:rFonts w:eastAsia="Times New Roman"/>
      <w:b/>
      <w:iCs/>
      <w:sz w:val="24"/>
      <w:szCs w:val="24"/>
    </w:rPr>
  </w:style>
  <w:style w:type="paragraph" w:customStyle="1" w:styleId="bullets">
    <w:name w:val="bullets"/>
    <w:aliases w:val="bu"/>
    <w:basedOn w:val="Normal"/>
    <w:link w:val="bulletsChar"/>
    <w:rsid w:val="007B14A5"/>
    <w:pPr>
      <w:spacing w:after="120" w:line="240" w:lineRule="exact"/>
      <w:ind w:left="1080" w:hanging="360"/>
    </w:pPr>
    <w:rPr>
      <w:color w:val="000000"/>
      <w:szCs w:val="24"/>
    </w:rPr>
  </w:style>
  <w:style w:type="character" w:styleId="Hyperlink">
    <w:name w:val="Hyperlink"/>
    <w:uiPriority w:val="99"/>
    <w:rsid w:val="00E61446"/>
    <w:rPr>
      <w:rFonts w:cs="Times New Roman"/>
      <w:color w:val="0000FF"/>
      <w:u w:val="none"/>
    </w:rPr>
  </w:style>
  <w:style w:type="character" w:customStyle="1" w:styleId="apple-converted-space">
    <w:name w:val="apple-converted-space"/>
    <w:rsid w:val="00B6703F"/>
  </w:style>
  <w:style w:type="character" w:customStyle="1" w:styleId="Heading3Char">
    <w:name w:val="Heading 3 Char"/>
    <w:link w:val="Heading3"/>
    <w:uiPriority w:val="99"/>
    <w:rsid w:val="009561F9"/>
    <w:rPr>
      <w:rFonts w:eastAsia="Times New Roman"/>
      <w:b/>
      <w:sz w:val="24"/>
      <w:szCs w:val="24"/>
    </w:rPr>
  </w:style>
  <w:style w:type="paragraph" w:customStyle="1" w:styleId="exhibitsource">
    <w:name w:val="exhibit source"/>
    <w:basedOn w:val="Normal"/>
    <w:link w:val="exhibitsourceChar"/>
    <w:uiPriority w:val="99"/>
    <w:rsid w:val="005B6733"/>
    <w:pPr>
      <w:spacing w:after="120"/>
    </w:pPr>
    <w:rPr>
      <w:sz w:val="20"/>
      <w:szCs w:val="22"/>
    </w:rPr>
  </w:style>
  <w:style w:type="paragraph" w:styleId="ListNumber">
    <w:name w:val="List Number"/>
    <w:basedOn w:val="Normal"/>
    <w:rsid w:val="00B77E2F"/>
    <w:pPr>
      <w:numPr>
        <w:numId w:val="1"/>
      </w:numPr>
      <w:tabs>
        <w:tab w:val="clear" w:pos="360"/>
        <w:tab w:val="num" w:pos="1080"/>
      </w:tabs>
      <w:spacing w:after="120"/>
      <w:ind w:left="1080"/>
    </w:pPr>
    <w:rPr>
      <w:szCs w:val="24"/>
    </w:rPr>
  </w:style>
  <w:style w:type="paragraph" w:customStyle="1" w:styleId="FigureTitle">
    <w:name w:val="Figure Title"/>
    <w:basedOn w:val="Normal"/>
    <w:uiPriority w:val="99"/>
    <w:rsid w:val="005B6733"/>
    <w:pPr>
      <w:keepNext/>
      <w:keepLines/>
      <w:spacing w:before="240" w:after="240"/>
      <w:ind w:left="1260" w:hanging="1260"/>
    </w:pPr>
    <w:rPr>
      <w:b/>
    </w:rPr>
  </w:style>
  <w:style w:type="character" w:customStyle="1" w:styleId="Heading2Char">
    <w:name w:val="Heading 2 Char"/>
    <w:link w:val="Heading2"/>
    <w:uiPriority w:val="99"/>
    <w:rsid w:val="005B6733"/>
    <w:rPr>
      <w:rFonts w:eastAsia="Times New Roman"/>
      <w:b/>
      <w:sz w:val="28"/>
      <w:szCs w:val="28"/>
    </w:rPr>
  </w:style>
  <w:style w:type="paragraph" w:styleId="Header">
    <w:name w:val="header"/>
    <w:basedOn w:val="Normal"/>
    <w:link w:val="HeaderChar"/>
    <w:uiPriority w:val="99"/>
    <w:rsid w:val="005B6733"/>
    <w:pPr>
      <w:tabs>
        <w:tab w:val="center" w:pos="4320"/>
        <w:tab w:val="right" w:pos="8640"/>
      </w:tabs>
    </w:pPr>
  </w:style>
  <w:style w:type="character" w:customStyle="1" w:styleId="HeaderChar">
    <w:name w:val="Header Char"/>
    <w:link w:val="Header"/>
    <w:uiPriority w:val="99"/>
    <w:rsid w:val="005B6733"/>
    <w:rPr>
      <w:rFonts w:eastAsia="Times New Roman"/>
      <w:sz w:val="24"/>
    </w:rPr>
  </w:style>
  <w:style w:type="character" w:customStyle="1" w:styleId="NormalArialChar">
    <w:name w:val="Normal+Arial Char"/>
    <w:rsid w:val="00685688"/>
    <w:rPr>
      <w:rFonts w:ascii="Arial" w:hAnsi="Arial" w:cs="Arial"/>
      <w:sz w:val="22"/>
      <w:szCs w:val="22"/>
      <w:lang w:val="en-US" w:eastAsia="en-US" w:bidi="ar-SA"/>
    </w:rPr>
  </w:style>
  <w:style w:type="table" w:styleId="TableGrid">
    <w:name w:val="Table Grid"/>
    <w:basedOn w:val="TableNormal"/>
    <w:uiPriority w:val="99"/>
    <w:rsid w:val="005B6733"/>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041BA"/>
    <w:pPr>
      <w:snapToGrid w:val="0"/>
      <w:spacing w:line="480" w:lineRule="auto"/>
      <w:ind w:firstLine="720"/>
    </w:pPr>
    <w:rPr>
      <w:rFonts w:eastAsia="Calibri"/>
      <w:szCs w:val="24"/>
    </w:rPr>
  </w:style>
  <w:style w:type="character" w:customStyle="1" w:styleId="BodyTextIndentChar">
    <w:name w:val="Body Text Indent Char"/>
    <w:link w:val="BodyTextIndent"/>
    <w:uiPriority w:val="99"/>
    <w:semiHidden/>
    <w:rsid w:val="002041BA"/>
    <w:rPr>
      <w:sz w:val="24"/>
      <w:szCs w:val="24"/>
    </w:rPr>
  </w:style>
  <w:style w:type="paragraph" w:customStyle="1" w:styleId="bullets-blank">
    <w:name w:val="bullets-blank"/>
    <w:basedOn w:val="Bullet-numbered"/>
    <w:rsid w:val="009561F9"/>
    <w:pPr>
      <w:numPr>
        <w:numId w:val="0"/>
      </w:numPr>
      <w:ind w:left="1080" w:hanging="360"/>
    </w:pPr>
  </w:style>
  <w:style w:type="character" w:customStyle="1" w:styleId="bulletsChar">
    <w:name w:val="bullets Char"/>
    <w:aliases w:val="bu Char"/>
    <w:link w:val="bullets"/>
    <w:locked/>
    <w:rsid w:val="0027499D"/>
    <w:rPr>
      <w:rFonts w:eastAsia="Times New Roman"/>
      <w:color w:val="000000"/>
      <w:sz w:val="24"/>
      <w:szCs w:val="24"/>
    </w:rPr>
  </w:style>
  <w:style w:type="paragraph" w:customStyle="1" w:styleId="ExhibitTitle">
    <w:name w:val="Exhibit Title"/>
    <w:basedOn w:val="Normal"/>
    <w:link w:val="ExhibitTitleChar"/>
    <w:qFormat/>
    <w:rsid w:val="005B6733"/>
    <w:pPr>
      <w:keepNext/>
      <w:ind w:left="1080" w:hanging="1080"/>
    </w:pPr>
    <w:rPr>
      <w:b/>
      <w:iCs/>
      <w:szCs w:val="24"/>
    </w:rPr>
  </w:style>
  <w:style w:type="character" w:customStyle="1" w:styleId="ExhibitTitleChar">
    <w:name w:val="Exhibit Title Char"/>
    <w:link w:val="ExhibitTitle"/>
    <w:locked/>
    <w:rsid w:val="0027499D"/>
    <w:rPr>
      <w:rFonts w:eastAsia="Times New Roman"/>
      <w:b/>
      <w:iCs/>
      <w:sz w:val="24"/>
      <w:szCs w:val="24"/>
    </w:rPr>
  </w:style>
  <w:style w:type="paragraph" w:customStyle="1" w:styleId="bulletslast">
    <w:name w:val="bullets_last"/>
    <w:basedOn w:val="bullets"/>
    <w:qFormat/>
    <w:rsid w:val="0027499D"/>
    <w:pPr>
      <w:spacing w:after="80" w:line="240" w:lineRule="auto"/>
      <w:ind w:left="720"/>
    </w:pPr>
    <w:rPr>
      <w:color w:val="auto"/>
      <w:szCs w:val="22"/>
      <w:lang w:val="en-CA"/>
    </w:rPr>
  </w:style>
  <w:style w:type="paragraph" w:customStyle="1" w:styleId="exhibitsource2">
    <w:name w:val="exhibit source2"/>
    <w:basedOn w:val="Normal"/>
    <w:rsid w:val="0027499D"/>
    <w:pPr>
      <w:keepLines/>
      <w:spacing w:before="60" w:after="120"/>
      <w:ind w:left="187" w:hanging="187"/>
    </w:pPr>
    <w:rPr>
      <w:rFonts w:ascii="Arial" w:hAnsi="Arial"/>
      <w:sz w:val="18"/>
      <w:szCs w:val="18"/>
    </w:rPr>
  </w:style>
  <w:style w:type="paragraph" w:customStyle="1" w:styleId="figurewobox">
    <w:name w:val="figure w/o box"/>
    <w:basedOn w:val="Normal"/>
    <w:rsid w:val="0027499D"/>
    <w:pPr>
      <w:jc w:val="center"/>
    </w:pPr>
  </w:style>
  <w:style w:type="character" w:customStyle="1" w:styleId="Heading1Char">
    <w:name w:val="Heading 1 Char"/>
    <w:link w:val="Heading1"/>
    <w:uiPriority w:val="99"/>
    <w:rsid w:val="005B6733"/>
    <w:rPr>
      <w:rFonts w:eastAsia="Times New Roman"/>
      <w:b/>
      <w:caps/>
      <w:sz w:val="32"/>
      <w:szCs w:val="32"/>
    </w:rPr>
  </w:style>
  <w:style w:type="paragraph" w:styleId="FootnoteText">
    <w:name w:val="footnote text"/>
    <w:basedOn w:val="Normal"/>
    <w:link w:val="FootnoteTextChar"/>
    <w:uiPriority w:val="99"/>
    <w:rsid w:val="005B6733"/>
    <w:rPr>
      <w:sz w:val="20"/>
    </w:rPr>
  </w:style>
  <w:style w:type="character" w:customStyle="1" w:styleId="FootnoteTextChar">
    <w:name w:val="Footnote Text Char"/>
    <w:link w:val="FootnoteText"/>
    <w:uiPriority w:val="99"/>
    <w:rsid w:val="003E23CD"/>
    <w:rPr>
      <w:rFonts w:eastAsia="Times New Roman"/>
    </w:rPr>
  </w:style>
  <w:style w:type="character" w:styleId="FootnoteReference">
    <w:name w:val="footnote reference"/>
    <w:uiPriority w:val="99"/>
    <w:rsid w:val="003E23CD"/>
    <w:rPr>
      <w:rFonts w:ascii="Times New Roman" w:hAnsi="Times New Roman" w:cs="Times New Roman"/>
      <w:b w:val="0"/>
      <w:i w:val="0"/>
      <w:sz w:val="24"/>
      <w:vertAlign w:val="superscript"/>
    </w:rPr>
  </w:style>
  <w:style w:type="paragraph" w:customStyle="1" w:styleId="bullets-blank2">
    <w:name w:val="bullets-blank2"/>
    <w:basedOn w:val="bullets-blank"/>
    <w:qFormat/>
    <w:rsid w:val="009561F9"/>
    <w:pPr>
      <w:tabs>
        <w:tab w:val="clear" w:pos="1440"/>
        <w:tab w:val="left" w:pos="1800"/>
      </w:tabs>
      <w:ind w:left="1440"/>
    </w:pPr>
  </w:style>
  <w:style w:type="paragraph" w:styleId="BodyText">
    <w:name w:val="Body Text"/>
    <w:basedOn w:val="Normal"/>
    <w:link w:val="BodyTextChar0"/>
    <w:uiPriority w:val="99"/>
    <w:rsid w:val="003E23CD"/>
    <w:pPr>
      <w:spacing w:after="240" w:line="360" w:lineRule="auto"/>
      <w:ind w:left="720"/>
    </w:pPr>
    <w:rPr>
      <w:szCs w:val="24"/>
    </w:rPr>
  </w:style>
  <w:style w:type="character" w:customStyle="1" w:styleId="BodyTextChar0">
    <w:name w:val="Body Text Char"/>
    <w:link w:val="BodyText"/>
    <w:uiPriority w:val="99"/>
    <w:rsid w:val="003E23CD"/>
    <w:rPr>
      <w:rFonts w:eastAsia="Times New Roman"/>
      <w:sz w:val="24"/>
      <w:szCs w:val="24"/>
    </w:rPr>
  </w:style>
  <w:style w:type="paragraph" w:styleId="List">
    <w:name w:val="List"/>
    <w:basedOn w:val="Normal"/>
    <w:uiPriority w:val="99"/>
    <w:semiHidden/>
    <w:unhideWhenUsed/>
    <w:rsid w:val="00C51675"/>
    <w:pPr>
      <w:ind w:left="360" w:hanging="360"/>
      <w:contextualSpacing/>
    </w:pPr>
  </w:style>
  <w:style w:type="paragraph" w:styleId="Footer">
    <w:name w:val="footer"/>
    <w:basedOn w:val="Normal"/>
    <w:link w:val="FooterChar"/>
    <w:uiPriority w:val="99"/>
    <w:rsid w:val="005B6733"/>
    <w:pPr>
      <w:tabs>
        <w:tab w:val="center" w:pos="4320"/>
        <w:tab w:val="right" w:pos="8640"/>
      </w:tabs>
    </w:pPr>
  </w:style>
  <w:style w:type="character" w:customStyle="1" w:styleId="FooterChar">
    <w:name w:val="Footer Char"/>
    <w:link w:val="Footer"/>
    <w:uiPriority w:val="99"/>
    <w:rsid w:val="005B6733"/>
    <w:rPr>
      <w:rFonts w:eastAsia="Times New Roman"/>
      <w:sz w:val="24"/>
    </w:rPr>
  </w:style>
  <w:style w:type="character" w:customStyle="1" w:styleId="verityhit">
    <w:name w:val="verityhit"/>
    <w:basedOn w:val="DefaultParagraphFont"/>
    <w:rsid w:val="00A82104"/>
  </w:style>
  <w:style w:type="character" w:customStyle="1" w:styleId="Heading7Char">
    <w:name w:val="Heading 7 Char"/>
    <w:link w:val="Heading7"/>
    <w:uiPriority w:val="99"/>
    <w:rsid w:val="005B6733"/>
    <w:rPr>
      <w:rFonts w:eastAsia="Times New Roman"/>
      <w:b/>
      <w:sz w:val="24"/>
      <w:u w:val="single"/>
    </w:rPr>
  </w:style>
  <w:style w:type="character" w:customStyle="1" w:styleId="bodytextpsgChar">
    <w:name w:val="body text_psg Char"/>
    <w:link w:val="bodytextpsg"/>
    <w:locked/>
    <w:rsid w:val="00DB5B48"/>
    <w:rPr>
      <w:rFonts w:eastAsia="Times New Roman"/>
      <w:sz w:val="22"/>
      <w:szCs w:val="22"/>
      <w:lang w:val="es-DO"/>
    </w:rPr>
  </w:style>
  <w:style w:type="paragraph" w:customStyle="1" w:styleId="bodytextpsg">
    <w:name w:val="body text_psg"/>
    <w:basedOn w:val="Normal"/>
    <w:link w:val="bodytextpsgChar"/>
    <w:rsid w:val="00DB5B48"/>
    <w:pPr>
      <w:spacing w:after="240" w:line="320" w:lineRule="exact"/>
      <w:ind w:firstLine="720"/>
    </w:pPr>
    <w:rPr>
      <w:sz w:val="22"/>
      <w:szCs w:val="22"/>
      <w:lang w:val="es-DO"/>
    </w:rPr>
  </w:style>
  <w:style w:type="paragraph" w:styleId="PlainText">
    <w:name w:val="Plain Text"/>
    <w:basedOn w:val="Normal"/>
    <w:link w:val="PlainTextChar"/>
    <w:uiPriority w:val="99"/>
    <w:rsid w:val="005B6733"/>
    <w:rPr>
      <w:rFonts w:ascii="Courier New" w:hAnsi="Courier New"/>
      <w:sz w:val="20"/>
    </w:rPr>
  </w:style>
  <w:style w:type="character" w:customStyle="1" w:styleId="PlainTextChar">
    <w:name w:val="Plain Text Char"/>
    <w:link w:val="PlainText"/>
    <w:uiPriority w:val="99"/>
    <w:rsid w:val="005B6733"/>
    <w:rPr>
      <w:rFonts w:ascii="Courier New" w:eastAsia="Times New Roman" w:hAnsi="Courier New"/>
    </w:rPr>
  </w:style>
  <w:style w:type="paragraph" w:customStyle="1" w:styleId="biblio">
    <w:name w:val="biblio"/>
    <w:basedOn w:val="Normal"/>
    <w:link w:val="biblioChar"/>
    <w:rsid w:val="00DC19C5"/>
    <w:pPr>
      <w:numPr>
        <w:numId w:val="6"/>
      </w:numPr>
      <w:spacing w:after="240"/>
    </w:pPr>
    <w:rPr>
      <w:szCs w:val="24"/>
    </w:rPr>
  </w:style>
  <w:style w:type="character" w:customStyle="1" w:styleId="biblioChar">
    <w:name w:val="biblio Char"/>
    <w:link w:val="biblio"/>
    <w:locked/>
    <w:rsid w:val="00DC19C5"/>
    <w:rPr>
      <w:rFonts w:eastAsia="Times New Roman"/>
      <w:sz w:val="24"/>
      <w:szCs w:val="24"/>
    </w:rPr>
  </w:style>
  <w:style w:type="paragraph" w:customStyle="1" w:styleId="Bullet">
    <w:name w:val="Bullet"/>
    <w:basedOn w:val="Normal"/>
    <w:qFormat/>
    <w:rsid w:val="003E23CD"/>
    <w:pPr>
      <w:numPr>
        <w:numId w:val="3"/>
      </w:numPr>
      <w:tabs>
        <w:tab w:val="clear" w:pos="1440"/>
        <w:tab w:val="num" w:pos="1080"/>
      </w:tabs>
      <w:spacing w:after="240" w:line="360" w:lineRule="auto"/>
      <w:ind w:left="1080"/>
    </w:pPr>
    <w:rPr>
      <w:szCs w:val="24"/>
    </w:rPr>
  </w:style>
  <w:style w:type="paragraph" w:customStyle="1" w:styleId="Bullet-numbered">
    <w:name w:val="Bullet-numbered"/>
    <w:basedOn w:val="Normal"/>
    <w:qFormat/>
    <w:rsid w:val="00655767"/>
    <w:pPr>
      <w:numPr>
        <w:numId w:val="5"/>
      </w:numPr>
      <w:tabs>
        <w:tab w:val="left" w:pos="1440"/>
      </w:tabs>
      <w:ind w:left="1440"/>
    </w:pPr>
    <w:rPr>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5B6733"/>
    <w:pPr>
      <w:spacing w:before="80" w:after="80"/>
      <w:ind w:left="4320"/>
      <w:jc w:val="both"/>
    </w:pPr>
    <w:rPr>
      <w:rFonts w:ascii="Arial" w:hAnsi="Arial"/>
      <w:sz w:val="20"/>
      <w:szCs w:val="24"/>
    </w:rPr>
  </w:style>
  <w:style w:type="paragraph" w:customStyle="1" w:styleId="CoverText">
    <w:name w:val="Cover Text"/>
    <w:basedOn w:val="Normal"/>
    <w:qFormat/>
    <w:rsid w:val="005B6733"/>
  </w:style>
  <w:style w:type="paragraph" w:customStyle="1" w:styleId="CoverTitle">
    <w:name w:val="Cover Title"/>
    <w:basedOn w:val="Normal"/>
    <w:qFormat/>
    <w:rsid w:val="005B6733"/>
    <w:pPr>
      <w:tabs>
        <w:tab w:val="center" w:pos="4680"/>
      </w:tabs>
      <w:spacing w:line="276" w:lineRule="auto"/>
    </w:pPr>
    <w:rPr>
      <w:b/>
      <w:bCs/>
      <w:szCs w:val="24"/>
    </w:rPr>
  </w:style>
  <w:style w:type="paragraph" w:customStyle="1" w:styleId="Default">
    <w:name w:val="Default"/>
    <w:rsid w:val="005B6733"/>
    <w:pPr>
      <w:autoSpaceDE w:val="0"/>
      <w:autoSpaceDN w:val="0"/>
      <w:adjustRightInd w:val="0"/>
    </w:pPr>
    <w:rPr>
      <w:rFonts w:ascii="Arial" w:eastAsia="Times New Roman" w:hAnsi="Arial" w:cs="Arial"/>
      <w:color w:val="000000"/>
      <w:sz w:val="24"/>
      <w:szCs w:val="24"/>
    </w:rPr>
  </w:style>
  <w:style w:type="character" w:styleId="EndnoteReference">
    <w:name w:val="endnote reference"/>
    <w:uiPriority w:val="99"/>
    <w:semiHidden/>
    <w:rsid w:val="005B6733"/>
    <w:rPr>
      <w:rFonts w:cs="Times New Roman"/>
      <w:vertAlign w:val="superscript"/>
    </w:rPr>
  </w:style>
  <w:style w:type="paragraph" w:styleId="EndnoteText">
    <w:name w:val="endnote text"/>
    <w:basedOn w:val="Normal"/>
    <w:link w:val="EndnoteTextChar"/>
    <w:uiPriority w:val="99"/>
    <w:semiHidden/>
    <w:rsid w:val="005B6733"/>
    <w:rPr>
      <w:sz w:val="20"/>
    </w:rPr>
  </w:style>
  <w:style w:type="character" w:customStyle="1" w:styleId="EndnoteTextChar">
    <w:name w:val="Endnote Text Char"/>
    <w:link w:val="EndnoteText"/>
    <w:uiPriority w:val="99"/>
    <w:semiHidden/>
    <w:rsid w:val="005B6733"/>
    <w:rPr>
      <w:rFonts w:eastAsia="Times New Roman"/>
    </w:rPr>
  </w:style>
  <w:style w:type="character" w:customStyle="1" w:styleId="exhibitsourceChar">
    <w:name w:val="exhibit source Char"/>
    <w:link w:val="exhibitsource"/>
    <w:uiPriority w:val="99"/>
    <w:locked/>
    <w:rsid w:val="005B6733"/>
    <w:rPr>
      <w:rFonts w:eastAsia="Times New Roman"/>
      <w:szCs w:val="22"/>
    </w:rPr>
  </w:style>
  <w:style w:type="paragraph" w:customStyle="1" w:styleId="ExhibitTitleContinued">
    <w:name w:val="Exhibit Title Continued"/>
    <w:basedOn w:val="ExhibitTitle"/>
    <w:uiPriority w:val="99"/>
    <w:rsid w:val="006A5713"/>
  </w:style>
  <w:style w:type="paragraph" w:customStyle="1" w:styleId="FigureTitleContinued">
    <w:name w:val="Figure Title_Continued"/>
    <w:basedOn w:val="Normal"/>
    <w:uiPriority w:val="99"/>
    <w:rsid w:val="005B6733"/>
    <w:pPr>
      <w:pageBreakBefore/>
      <w:ind w:left="1166" w:hanging="1166"/>
    </w:pPr>
    <w:rPr>
      <w:b/>
      <w:szCs w:val="24"/>
    </w:rPr>
  </w:style>
  <w:style w:type="character" w:styleId="FollowedHyperlink">
    <w:name w:val="FollowedHyperlink"/>
    <w:uiPriority w:val="99"/>
    <w:rsid w:val="005B6733"/>
    <w:rPr>
      <w:rFonts w:cs="Times New Roman"/>
      <w:color w:val="800080"/>
      <w:u w:val="single"/>
    </w:rPr>
  </w:style>
  <w:style w:type="character" w:customStyle="1" w:styleId="footnotetex">
    <w:name w:val="footnote tex"/>
    <w:uiPriority w:val="99"/>
    <w:rsid w:val="005B6733"/>
  </w:style>
  <w:style w:type="character" w:customStyle="1" w:styleId="Heading5Char">
    <w:name w:val="Heading 5 Char"/>
    <w:link w:val="Heading5"/>
    <w:uiPriority w:val="99"/>
    <w:rsid w:val="005B6733"/>
    <w:rPr>
      <w:rFonts w:eastAsia="Times New Roman"/>
      <w:b/>
      <w:i/>
      <w:sz w:val="24"/>
    </w:rPr>
  </w:style>
  <w:style w:type="character" w:customStyle="1" w:styleId="Heading6Char">
    <w:name w:val="Heading 6 Char"/>
    <w:link w:val="Heading6"/>
    <w:uiPriority w:val="99"/>
    <w:rsid w:val="005B6733"/>
    <w:rPr>
      <w:rFonts w:eastAsia="Times New Roman"/>
      <w:b/>
      <w:i/>
      <w:sz w:val="24"/>
    </w:rPr>
  </w:style>
  <w:style w:type="character" w:customStyle="1" w:styleId="Heading8Char">
    <w:name w:val="Heading 8 Char"/>
    <w:link w:val="Heading8"/>
    <w:uiPriority w:val="99"/>
    <w:rsid w:val="005B6733"/>
    <w:rPr>
      <w:rFonts w:ascii="Arial" w:eastAsia="Times New Roman" w:hAnsi="Arial"/>
      <w:b/>
      <w:i/>
      <w:iCs/>
      <w:sz w:val="24"/>
    </w:rPr>
  </w:style>
  <w:style w:type="character" w:customStyle="1" w:styleId="Heading9Char">
    <w:name w:val="Heading 9 Char"/>
    <w:link w:val="Heading9"/>
    <w:uiPriority w:val="99"/>
    <w:rsid w:val="005B6733"/>
    <w:rPr>
      <w:rFonts w:ascii="Arial" w:eastAsia="Times New Roman" w:hAnsi="Arial"/>
      <w:b/>
    </w:rPr>
  </w:style>
  <w:style w:type="paragraph" w:styleId="Index1">
    <w:name w:val="index 1"/>
    <w:basedOn w:val="Normal"/>
    <w:next w:val="Normal"/>
    <w:autoRedefine/>
    <w:uiPriority w:val="99"/>
    <w:semiHidden/>
    <w:unhideWhenUsed/>
    <w:rsid w:val="005B6733"/>
    <w:pPr>
      <w:ind w:left="240" w:hanging="240"/>
    </w:pPr>
  </w:style>
  <w:style w:type="paragraph" w:customStyle="1" w:styleId="Level1">
    <w:name w:val="Level 1"/>
    <w:basedOn w:val="Normal"/>
    <w:uiPriority w:val="99"/>
    <w:rsid w:val="005B6733"/>
    <w:pPr>
      <w:ind w:left="1440" w:hanging="270"/>
    </w:pPr>
  </w:style>
  <w:style w:type="paragraph" w:customStyle="1" w:styleId="Level2">
    <w:name w:val="Level 2"/>
    <w:basedOn w:val="Normal"/>
    <w:uiPriority w:val="99"/>
    <w:rsid w:val="005B6733"/>
    <w:pPr>
      <w:numPr>
        <w:ilvl w:val="1"/>
        <w:numId w:val="4"/>
      </w:numPr>
      <w:outlineLvl w:val="1"/>
    </w:pPr>
  </w:style>
  <w:style w:type="paragraph" w:styleId="NoSpacing">
    <w:name w:val="No Spacing"/>
    <w:uiPriority w:val="99"/>
    <w:qFormat/>
    <w:rsid w:val="005B6733"/>
    <w:pPr>
      <w:jc w:val="center"/>
    </w:pPr>
    <w:rPr>
      <w:rFonts w:ascii="Calibri" w:eastAsia="Times New Roman" w:hAnsi="Calibri"/>
      <w:sz w:val="22"/>
      <w:szCs w:val="22"/>
    </w:rPr>
  </w:style>
  <w:style w:type="character" w:styleId="PageNumber">
    <w:name w:val="page number"/>
    <w:uiPriority w:val="99"/>
    <w:rsid w:val="005B6733"/>
    <w:rPr>
      <w:rFonts w:ascii="NewBskvll BT" w:hAnsi="NewBskvll BT" w:cs="Times New Roman"/>
      <w:sz w:val="24"/>
    </w:rPr>
  </w:style>
  <w:style w:type="character" w:styleId="Strong">
    <w:name w:val="Strong"/>
    <w:uiPriority w:val="99"/>
    <w:qFormat/>
    <w:rsid w:val="005B6733"/>
    <w:rPr>
      <w:rFonts w:cs="Times New Roman"/>
      <w:b/>
      <w:bCs/>
    </w:rPr>
  </w:style>
  <w:style w:type="paragraph" w:customStyle="1" w:styleId="TableHeaders">
    <w:name w:val="Table Headers"/>
    <w:basedOn w:val="Normal"/>
    <w:uiPriority w:val="99"/>
    <w:rsid w:val="005B6733"/>
    <w:pPr>
      <w:spacing w:before="40" w:after="40"/>
      <w:jc w:val="center"/>
    </w:pPr>
    <w:rPr>
      <w:b/>
      <w:bCs/>
      <w:sz w:val="22"/>
      <w:szCs w:val="22"/>
    </w:rPr>
  </w:style>
  <w:style w:type="paragraph" w:styleId="TableofFigures">
    <w:name w:val="table of figures"/>
    <w:basedOn w:val="Normal"/>
    <w:next w:val="Normal"/>
    <w:uiPriority w:val="99"/>
    <w:unhideWhenUsed/>
    <w:rsid w:val="005B6733"/>
    <w:pPr>
      <w:tabs>
        <w:tab w:val="left" w:pos="720"/>
        <w:tab w:val="right" w:leader="dot" w:pos="9360"/>
      </w:tabs>
      <w:ind w:left="720" w:right="720" w:hanging="720"/>
    </w:pPr>
    <w:rPr>
      <w:noProof/>
    </w:rPr>
  </w:style>
  <w:style w:type="paragraph" w:customStyle="1" w:styleId="TableText">
    <w:name w:val="Table Text"/>
    <w:basedOn w:val="Normal"/>
    <w:uiPriority w:val="99"/>
    <w:rsid w:val="005B6733"/>
    <w:pPr>
      <w:spacing w:before="40" w:after="40"/>
    </w:pPr>
    <w:rPr>
      <w:rFonts w:ascii="Arial" w:hAnsi="Arial"/>
      <w:sz w:val="18"/>
    </w:rPr>
  </w:style>
  <w:style w:type="paragraph" w:customStyle="1" w:styleId="TOC0">
    <w:name w:val="TOC 0"/>
    <w:basedOn w:val="Normal"/>
    <w:qFormat/>
    <w:rsid w:val="00C151A9"/>
    <w:pPr>
      <w:spacing w:after="240"/>
      <w:jc w:val="center"/>
    </w:pPr>
    <w:rPr>
      <w:b/>
      <w:bCs/>
      <w:caps/>
      <w:sz w:val="28"/>
    </w:rPr>
  </w:style>
  <w:style w:type="paragraph" w:styleId="TOC1">
    <w:name w:val="toc 1"/>
    <w:basedOn w:val="Normal"/>
    <w:next w:val="Normal"/>
    <w:autoRedefine/>
    <w:uiPriority w:val="39"/>
    <w:unhideWhenUsed/>
    <w:rsid w:val="005B6733"/>
    <w:pPr>
      <w:tabs>
        <w:tab w:val="left" w:pos="540"/>
        <w:tab w:val="right" w:leader="dot" w:pos="9360"/>
      </w:tabs>
      <w:ind w:left="540" w:right="720" w:hanging="540"/>
    </w:pPr>
    <w:rPr>
      <w:noProof/>
    </w:rPr>
  </w:style>
  <w:style w:type="paragraph" w:styleId="TOC2">
    <w:name w:val="toc 2"/>
    <w:basedOn w:val="Normal"/>
    <w:next w:val="Normal"/>
    <w:autoRedefine/>
    <w:uiPriority w:val="39"/>
    <w:rsid w:val="005B6733"/>
    <w:pPr>
      <w:tabs>
        <w:tab w:val="left" w:pos="1080"/>
        <w:tab w:val="right" w:leader="dot" w:pos="9360"/>
      </w:tabs>
      <w:autoSpaceDE w:val="0"/>
      <w:autoSpaceDN w:val="0"/>
      <w:adjustRightInd w:val="0"/>
      <w:ind w:left="1080" w:right="720" w:hanging="540"/>
    </w:pPr>
    <w:rPr>
      <w:rFonts w:eastAsia="MS Mincho" w:cs="Arial"/>
      <w:noProof/>
      <w:szCs w:val="22"/>
    </w:rPr>
  </w:style>
  <w:style w:type="paragraph" w:styleId="TOC3">
    <w:name w:val="toc 3"/>
    <w:basedOn w:val="Normal"/>
    <w:next w:val="Normal"/>
    <w:autoRedefine/>
    <w:uiPriority w:val="39"/>
    <w:rsid w:val="005B6733"/>
    <w:pPr>
      <w:tabs>
        <w:tab w:val="left" w:pos="1800"/>
        <w:tab w:val="right" w:leader="dot" w:pos="9360"/>
      </w:tabs>
      <w:autoSpaceDE w:val="0"/>
      <w:autoSpaceDN w:val="0"/>
      <w:adjustRightInd w:val="0"/>
      <w:ind w:left="1800" w:right="720" w:hanging="720"/>
    </w:pPr>
    <w:rPr>
      <w:noProof/>
      <w:szCs w:val="24"/>
    </w:rPr>
  </w:style>
  <w:style w:type="paragraph" w:customStyle="1" w:styleId="bullet-abc">
    <w:name w:val="bullet-abc"/>
    <w:basedOn w:val="Bullet-numbered"/>
    <w:qFormat/>
    <w:rsid w:val="00655767"/>
  </w:style>
  <w:style w:type="paragraph" w:styleId="Revision">
    <w:name w:val="Revision"/>
    <w:hidden/>
    <w:uiPriority w:val="99"/>
    <w:semiHidden/>
    <w:rsid w:val="00C52F1D"/>
    <w:rPr>
      <w:rFonts w:eastAsia="Times New Roman"/>
      <w:sz w:val="24"/>
    </w:rPr>
  </w:style>
  <w:style w:type="paragraph" w:customStyle="1" w:styleId="Tablebullet">
    <w:name w:val="Table bullet"/>
    <w:qFormat/>
    <w:rsid w:val="00425EA3"/>
    <w:pPr>
      <w:numPr>
        <w:numId w:val="2"/>
      </w:numPr>
    </w:pPr>
    <w:rPr>
      <w:rFonts w:eastAsia="Times New Roman"/>
      <w:sz w:val="24"/>
    </w:rPr>
  </w:style>
  <w:style w:type="paragraph" w:customStyle="1" w:styleId="Tablebullet2">
    <w:name w:val="Table bullet2"/>
    <w:basedOn w:val="Tablebullet"/>
    <w:qFormat/>
    <w:rsid w:val="002D52A1"/>
    <w:pPr>
      <w:numPr>
        <w:numId w:val="7"/>
      </w:numPr>
      <w:ind w:left="576" w:hanging="288"/>
    </w:pPr>
  </w:style>
  <w:style w:type="paragraph" w:styleId="NormalWeb">
    <w:name w:val="Normal (Web)"/>
    <w:basedOn w:val="Normal"/>
    <w:uiPriority w:val="99"/>
    <w:semiHidden/>
    <w:unhideWhenUsed/>
    <w:rsid w:val="009D5004"/>
    <w:pPr>
      <w:spacing w:before="100" w:beforeAutospacing="1" w:after="100" w:afterAutospacing="1"/>
    </w:pPr>
    <w:rPr>
      <w:szCs w:val="24"/>
    </w:rPr>
  </w:style>
  <w:style w:type="character" w:customStyle="1" w:styleId="Footer1">
    <w:name w:val="Footer1"/>
    <w:basedOn w:val="DefaultParagraphFont"/>
    <w:rsid w:val="00995BDE"/>
  </w:style>
  <w:style w:type="character" w:customStyle="1" w:styleId="skypepnhtextspan">
    <w:name w:val="skype_pnh_text_span"/>
    <w:rsid w:val="007F1708"/>
  </w:style>
  <w:style w:type="paragraph" w:styleId="TOC5">
    <w:name w:val="toc 5"/>
    <w:basedOn w:val="Normal"/>
    <w:next w:val="Normal"/>
    <w:autoRedefine/>
    <w:uiPriority w:val="39"/>
    <w:unhideWhenUsed/>
    <w:rsid w:val="00C151A9"/>
    <w:pPr>
      <w:tabs>
        <w:tab w:val="right" w:leader="dot" w:pos="9360"/>
      </w:tabs>
      <w:spacing w:after="100"/>
      <w:ind w:left="1267" w:right="720" w:hanging="1080"/>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D"/>
    <w:rPr>
      <w:rFonts w:eastAsia="Times New Roman"/>
      <w:sz w:val="24"/>
    </w:rPr>
  </w:style>
  <w:style w:type="paragraph" w:styleId="Heading1">
    <w:name w:val="heading 1"/>
    <w:basedOn w:val="Normal"/>
    <w:next w:val="Normal"/>
    <w:link w:val="Heading1Char"/>
    <w:uiPriority w:val="99"/>
    <w:qFormat/>
    <w:rsid w:val="005B6733"/>
    <w:pPr>
      <w:tabs>
        <w:tab w:val="left" w:pos="0"/>
      </w:tabs>
      <w:spacing w:after="240"/>
      <w:ind w:left="720" w:hanging="720"/>
      <w:jc w:val="center"/>
      <w:outlineLvl w:val="0"/>
    </w:pPr>
    <w:rPr>
      <w:b/>
      <w:caps/>
      <w:sz w:val="32"/>
      <w:szCs w:val="32"/>
    </w:rPr>
  </w:style>
  <w:style w:type="paragraph" w:styleId="Heading2">
    <w:name w:val="heading 2"/>
    <w:basedOn w:val="Normal"/>
    <w:next w:val="Normal"/>
    <w:link w:val="Heading2Char"/>
    <w:uiPriority w:val="99"/>
    <w:qFormat/>
    <w:rsid w:val="005B6733"/>
    <w:pPr>
      <w:keepNext/>
      <w:tabs>
        <w:tab w:val="left" w:pos="720"/>
      </w:tabs>
      <w:spacing w:after="240"/>
      <w:ind w:left="720" w:hanging="720"/>
      <w:outlineLvl w:val="1"/>
    </w:pPr>
    <w:rPr>
      <w:b/>
      <w:sz w:val="28"/>
      <w:szCs w:val="28"/>
    </w:rPr>
  </w:style>
  <w:style w:type="paragraph" w:styleId="Heading3">
    <w:name w:val="heading 3"/>
    <w:basedOn w:val="Heading2"/>
    <w:next w:val="Normal"/>
    <w:link w:val="Heading3Char"/>
    <w:uiPriority w:val="99"/>
    <w:qFormat/>
    <w:rsid w:val="009561F9"/>
    <w:pPr>
      <w:tabs>
        <w:tab w:val="clear" w:pos="720"/>
        <w:tab w:val="left" w:pos="900"/>
      </w:tabs>
      <w:spacing w:after="0"/>
      <w:ind w:left="907" w:hanging="907"/>
      <w:outlineLvl w:val="2"/>
    </w:pPr>
    <w:rPr>
      <w:sz w:val="24"/>
      <w:szCs w:val="24"/>
    </w:rPr>
  </w:style>
  <w:style w:type="paragraph" w:styleId="Heading4">
    <w:name w:val="heading 4"/>
    <w:basedOn w:val="Normal"/>
    <w:next w:val="Normal"/>
    <w:link w:val="Heading4Char"/>
    <w:uiPriority w:val="99"/>
    <w:qFormat/>
    <w:rsid w:val="005B6733"/>
    <w:pPr>
      <w:keepNext/>
      <w:spacing w:line="276" w:lineRule="auto"/>
      <w:outlineLvl w:val="3"/>
    </w:pPr>
    <w:rPr>
      <w:b/>
      <w:iCs/>
      <w:szCs w:val="24"/>
    </w:rPr>
  </w:style>
  <w:style w:type="paragraph" w:styleId="Heading5">
    <w:name w:val="heading 5"/>
    <w:basedOn w:val="Normal"/>
    <w:next w:val="Normal"/>
    <w:link w:val="Heading5Char"/>
    <w:uiPriority w:val="99"/>
    <w:qFormat/>
    <w:rsid w:val="005B6733"/>
    <w:pPr>
      <w:keepNext/>
      <w:ind w:firstLine="720"/>
      <w:outlineLvl w:val="4"/>
    </w:pPr>
    <w:rPr>
      <w:b/>
      <w:i/>
    </w:rPr>
  </w:style>
  <w:style w:type="paragraph" w:styleId="Heading6">
    <w:name w:val="heading 6"/>
    <w:basedOn w:val="Normal"/>
    <w:next w:val="Normal"/>
    <w:link w:val="Heading6Char"/>
    <w:uiPriority w:val="99"/>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5B673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5B67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733"/>
    <w:pPr>
      <w:ind w:left="720"/>
      <w:contextualSpacing/>
    </w:pPr>
  </w:style>
  <w:style w:type="character" w:styleId="CommentReference">
    <w:name w:val="annotation reference"/>
    <w:uiPriority w:val="99"/>
    <w:rsid w:val="005B6733"/>
    <w:rPr>
      <w:rFonts w:cs="Times New Roman"/>
      <w:sz w:val="16"/>
      <w:szCs w:val="16"/>
    </w:rPr>
  </w:style>
  <w:style w:type="paragraph" w:styleId="CommentText">
    <w:name w:val="annotation text"/>
    <w:basedOn w:val="Normal"/>
    <w:link w:val="CommentTextChar"/>
    <w:uiPriority w:val="99"/>
    <w:rsid w:val="005B6733"/>
    <w:rPr>
      <w:sz w:val="20"/>
    </w:rPr>
  </w:style>
  <w:style w:type="character" w:customStyle="1" w:styleId="CommentTextChar">
    <w:name w:val="Comment Text Char"/>
    <w:link w:val="CommentText"/>
    <w:uiPriority w:val="99"/>
    <w:rsid w:val="005B6733"/>
    <w:rPr>
      <w:rFonts w:eastAsia="Times New Roman"/>
    </w:rPr>
  </w:style>
  <w:style w:type="paragraph" w:styleId="CommentSubject">
    <w:name w:val="annotation subject"/>
    <w:basedOn w:val="CommentText"/>
    <w:next w:val="CommentText"/>
    <w:link w:val="CommentSubjectChar"/>
    <w:uiPriority w:val="99"/>
    <w:rsid w:val="005B6733"/>
    <w:rPr>
      <w:b/>
      <w:bCs/>
    </w:rPr>
  </w:style>
  <w:style w:type="character" w:customStyle="1" w:styleId="CommentSubjectChar">
    <w:name w:val="Comment Subject Char"/>
    <w:link w:val="CommentSubject"/>
    <w:uiPriority w:val="99"/>
    <w:rsid w:val="005B6733"/>
    <w:rPr>
      <w:rFonts w:eastAsia="Times New Roman"/>
      <w:b/>
      <w:bCs/>
    </w:rPr>
  </w:style>
  <w:style w:type="paragraph" w:styleId="BalloonText">
    <w:name w:val="Balloon Text"/>
    <w:basedOn w:val="Normal"/>
    <w:link w:val="BalloonTextChar"/>
    <w:uiPriority w:val="99"/>
    <w:semiHidden/>
    <w:rsid w:val="005B6733"/>
    <w:rPr>
      <w:rFonts w:ascii="Tahoma" w:hAnsi="Tahoma"/>
      <w:sz w:val="16"/>
      <w:szCs w:val="16"/>
    </w:rPr>
  </w:style>
  <w:style w:type="character" w:customStyle="1" w:styleId="BalloonTextChar">
    <w:name w:val="Balloon Text Char"/>
    <w:link w:val="BalloonText"/>
    <w:uiPriority w:val="99"/>
    <w:semiHidden/>
    <w:rsid w:val="005B6733"/>
    <w:rPr>
      <w:rFonts w:ascii="Tahoma" w:eastAsia="Times New Roman" w:hAnsi="Tahoma" w:cs="Tahoma"/>
      <w:sz w:val="16"/>
      <w:szCs w:val="16"/>
    </w:rPr>
  </w:style>
  <w:style w:type="character" w:customStyle="1" w:styleId="bodytextChar">
    <w:name w:val="body text Char"/>
    <w:link w:val="BodyText1"/>
    <w:rsid w:val="00A12A4D"/>
    <w:rPr>
      <w:rFonts w:eastAsia="Times New Roman"/>
      <w:sz w:val="24"/>
      <w:szCs w:val="24"/>
    </w:rPr>
  </w:style>
  <w:style w:type="paragraph" w:customStyle="1" w:styleId="BodyText1">
    <w:name w:val="Body Text1"/>
    <w:basedOn w:val="BodyText"/>
    <w:link w:val="bodytextChar"/>
    <w:rsid w:val="00A12A4D"/>
  </w:style>
  <w:style w:type="character" w:customStyle="1" w:styleId="Heading4Char">
    <w:name w:val="Heading 4 Char"/>
    <w:link w:val="Heading4"/>
    <w:uiPriority w:val="99"/>
    <w:rsid w:val="005B6733"/>
    <w:rPr>
      <w:rFonts w:eastAsia="Times New Roman"/>
      <w:b/>
      <w:iCs/>
      <w:sz w:val="24"/>
      <w:szCs w:val="24"/>
    </w:rPr>
  </w:style>
  <w:style w:type="paragraph" w:customStyle="1" w:styleId="bullets">
    <w:name w:val="bullets"/>
    <w:aliases w:val="bu"/>
    <w:basedOn w:val="Normal"/>
    <w:link w:val="bulletsChar"/>
    <w:rsid w:val="007B14A5"/>
    <w:pPr>
      <w:spacing w:after="120" w:line="240" w:lineRule="exact"/>
      <w:ind w:left="1080" w:hanging="360"/>
    </w:pPr>
    <w:rPr>
      <w:color w:val="000000"/>
      <w:szCs w:val="24"/>
    </w:rPr>
  </w:style>
  <w:style w:type="character" w:styleId="Hyperlink">
    <w:name w:val="Hyperlink"/>
    <w:uiPriority w:val="99"/>
    <w:rsid w:val="00E61446"/>
    <w:rPr>
      <w:rFonts w:cs="Times New Roman"/>
      <w:color w:val="0000FF"/>
      <w:u w:val="none"/>
    </w:rPr>
  </w:style>
  <w:style w:type="character" w:customStyle="1" w:styleId="apple-converted-space">
    <w:name w:val="apple-converted-space"/>
    <w:rsid w:val="00B6703F"/>
  </w:style>
  <w:style w:type="character" w:customStyle="1" w:styleId="Heading3Char">
    <w:name w:val="Heading 3 Char"/>
    <w:link w:val="Heading3"/>
    <w:uiPriority w:val="99"/>
    <w:rsid w:val="009561F9"/>
    <w:rPr>
      <w:rFonts w:eastAsia="Times New Roman"/>
      <w:b/>
      <w:sz w:val="24"/>
      <w:szCs w:val="24"/>
    </w:rPr>
  </w:style>
  <w:style w:type="paragraph" w:customStyle="1" w:styleId="exhibitsource">
    <w:name w:val="exhibit source"/>
    <w:basedOn w:val="Normal"/>
    <w:link w:val="exhibitsourceChar"/>
    <w:uiPriority w:val="99"/>
    <w:rsid w:val="005B6733"/>
    <w:pPr>
      <w:spacing w:after="120"/>
    </w:pPr>
    <w:rPr>
      <w:sz w:val="20"/>
      <w:szCs w:val="22"/>
    </w:rPr>
  </w:style>
  <w:style w:type="paragraph" w:styleId="ListNumber">
    <w:name w:val="List Number"/>
    <w:basedOn w:val="Normal"/>
    <w:rsid w:val="00B77E2F"/>
    <w:pPr>
      <w:numPr>
        <w:numId w:val="1"/>
      </w:numPr>
      <w:tabs>
        <w:tab w:val="clear" w:pos="360"/>
        <w:tab w:val="num" w:pos="1080"/>
      </w:tabs>
      <w:spacing w:after="120"/>
      <w:ind w:left="1080"/>
    </w:pPr>
    <w:rPr>
      <w:szCs w:val="24"/>
    </w:rPr>
  </w:style>
  <w:style w:type="paragraph" w:customStyle="1" w:styleId="FigureTitle">
    <w:name w:val="Figure Title"/>
    <w:basedOn w:val="Normal"/>
    <w:uiPriority w:val="99"/>
    <w:rsid w:val="005B6733"/>
    <w:pPr>
      <w:keepNext/>
      <w:keepLines/>
      <w:spacing w:before="240" w:after="240"/>
      <w:ind w:left="1260" w:hanging="1260"/>
    </w:pPr>
    <w:rPr>
      <w:b/>
    </w:rPr>
  </w:style>
  <w:style w:type="character" w:customStyle="1" w:styleId="Heading2Char">
    <w:name w:val="Heading 2 Char"/>
    <w:link w:val="Heading2"/>
    <w:uiPriority w:val="99"/>
    <w:rsid w:val="005B6733"/>
    <w:rPr>
      <w:rFonts w:eastAsia="Times New Roman"/>
      <w:b/>
      <w:sz w:val="28"/>
      <w:szCs w:val="28"/>
    </w:rPr>
  </w:style>
  <w:style w:type="paragraph" w:styleId="Header">
    <w:name w:val="header"/>
    <w:basedOn w:val="Normal"/>
    <w:link w:val="HeaderChar"/>
    <w:uiPriority w:val="99"/>
    <w:rsid w:val="005B6733"/>
    <w:pPr>
      <w:tabs>
        <w:tab w:val="center" w:pos="4320"/>
        <w:tab w:val="right" w:pos="8640"/>
      </w:tabs>
    </w:pPr>
  </w:style>
  <w:style w:type="character" w:customStyle="1" w:styleId="HeaderChar">
    <w:name w:val="Header Char"/>
    <w:link w:val="Header"/>
    <w:uiPriority w:val="99"/>
    <w:rsid w:val="005B6733"/>
    <w:rPr>
      <w:rFonts w:eastAsia="Times New Roman"/>
      <w:sz w:val="24"/>
    </w:rPr>
  </w:style>
  <w:style w:type="character" w:customStyle="1" w:styleId="NormalArialChar">
    <w:name w:val="Normal+Arial Char"/>
    <w:rsid w:val="00685688"/>
    <w:rPr>
      <w:rFonts w:ascii="Arial" w:hAnsi="Arial" w:cs="Arial"/>
      <w:sz w:val="22"/>
      <w:szCs w:val="22"/>
      <w:lang w:val="en-US" w:eastAsia="en-US" w:bidi="ar-SA"/>
    </w:rPr>
  </w:style>
  <w:style w:type="table" w:styleId="TableGrid">
    <w:name w:val="Table Grid"/>
    <w:basedOn w:val="TableNormal"/>
    <w:uiPriority w:val="99"/>
    <w:rsid w:val="005B6733"/>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041BA"/>
    <w:pPr>
      <w:snapToGrid w:val="0"/>
      <w:spacing w:line="480" w:lineRule="auto"/>
      <w:ind w:firstLine="720"/>
    </w:pPr>
    <w:rPr>
      <w:rFonts w:eastAsia="Calibri"/>
      <w:szCs w:val="24"/>
    </w:rPr>
  </w:style>
  <w:style w:type="character" w:customStyle="1" w:styleId="BodyTextIndentChar">
    <w:name w:val="Body Text Indent Char"/>
    <w:link w:val="BodyTextIndent"/>
    <w:uiPriority w:val="99"/>
    <w:semiHidden/>
    <w:rsid w:val="002041BA"/>
    <w:rPr>
      <w:sz w:val="24"/>
      <w:szCs w:val="24"/>
    </w:rPr>
  </w:style>
  <w:style w:type="paragraph" w:customStyle="1" w:styleId="bullets-blank">
    <w:name w:val="bullets-blank"/>
    <w:basedOn w:val="Bullet-numbered"/>
    <w:rsid w:val="009561F9"/>
    <w:pPr>
      <w:numPr>
        <w:numId w:val="0"/>
      </w:numPr>
      <w:ind w:left="1080" w:hanging="360"/>
    </w:pPr>
  </w:style>
  <w:style w:type="character" w:customStyle="1" w:styleId="bulletsChar">
    <w:name w:val="bullets Char"/>
    <w:aliases w:val="bu Char"/>
    <w:link w:val="bullets"/>
    <w:locked/>
    <w:rsid w:val="0027499D"/>
    <w:rPr>
      <w:rFonts w:eastAsia="Times New Roman"/>
      <w:color w:val="000000"/>
      <w:sz w:val="24"/>
      <w:szCs w:val="24"/>
    </w:rPr>
  </w:style>
  <w:style w:type="paragraph" w:customStyle="1" w:styleId="ExhibitTitle">
    <w:name w:val="Exhibit Title"/>
    <w:basedOn w:val="Normal"/>
    <w:link w:val="ExhibitTitleChar"/>
    <w:qFormat/>
    <w:rsid w:val="005B6733"/>
    <w:pPr>
      <w:keepNext/>
      <w:ind w:left="1080" w:hanging="1080"/>
    </w:pPr>
    <w:rPr>
      <w:b/>
      <w:iCs/>
      <w:szCs w:val="24"/>
    </w:rPr>
  </w:style>
  <w:style w:type="character" w:customStyle="1" w:styleId="ExhibitTitleChar">
    <w:name w:val="Exhibit Title Char"/>
    <w:link w:val="ExhibitTitle"/>
    <w:locked/>
    <w:rsid w:val="0027499D"/>
    <w:rPr>
      <w:rFonts w:eastAsia="Times New Roman"/>
      <w:b/>
      <w:iCs/>
      <w:sz w:val="24"/>
      <w:szCs w:val="24"/>
    </w:rPr>
  </w:style>
  <w:style w:type="paragraph" w:customStyle="1" w:styleId="bulletslast">
    <w:name w:val="bullets_last"/>
    <w:basedOn w:val="bullets"/>
    <w:qFormat/>
    <w:rsid w:val="0027499D"/>
    <w:pPr>
      <w:spacing w:after="80" w:line="240" w:lineRule="auto"/>
      <w:ind w:left="720"/>
    </w:pPr>
    <w:rPr>
      <w:color w:val="auto"/>
      <w:szCs w:val="22"/>
      <w:lang w:val="en-CA"/>
    </w:rPr>
  </w:style>
  <w:style w:type="paragraph" w:customStyle="1" w:styleId="exhibitsource2">
    <w:name w:val="exhibit source2"/>
    <w:basedOn w:val="Normal"/>
    <w:rsid w:val="0027499D"/>
    <w:pPr>
      <w:keepLines/>
      <w:spacing w:before="60" w:after="120"/>
      <w:ind w:left="187" w:hanging="187"/>
    </w:pPr>
    <w:rPr>
      <w:rFonts w:ascii="Arial" w:hAnsi="Arial"/>
      <w:sz w:val="18"/>
      <w:szCs w:val="18"/>
    </w:rPr>
  </w:style>
  <w:style w:type="paragraph" w:customStyle="1" w:styleId="figurewobox">
    <w:name w:val="figure w/o box"/>
    <w:basedOn w:val="Normal"/>
    <w:rsid w:val="0027499D"/>
    <w:pPr>
      <w:jc w:val="center"/>
    </w:pPr>
  </w:style>
  <w:style w:type="character" w:customStyle="1" w:styleId="Heading1Char">
    <w:name w:val="Heading 1 Char"/>
    <w:link w:val="Heading1"/>
    <w:uiPriority w:val="99"/>
    <w:rsid w:val="005B6733"/>
    <w:rPr>
      <w:rFonts w:eastAsia="Times New Roman"/>
      <w:b/>
      <w:caps/>
      <w:sz w:val="32"/>
      <w:szCs w:val="32"/>
    </w:rPr>
  </w:style>
  <w:style w:type="paragraph" w:styleId="FootnoteText">
    <w:name w:val="footnote text"/>
    <w:basedOn w:val="Normal"/>
    <w:link w:val="FootnoteTextChar"/>
    <w:uiPriority w:val="99"/>
    <w:rsid w:val="005B6733"/>
    <w:rPr>
      <w:sz w:val="20"/>
    </w:rPr>
  </w:style>
  <w:style w:type="character" w:customStyle="1" w:styleId="FootnoteTextChar">
    <w:name w:val="Footnote Text Char"/>
    <w:link w:val="FootnoteText"/>
    <w:uiPriority w:val="99"/>
    <w:rsid w:val="003E23CD"/>
    <w:rPr>
      <w:rFonts w:eastAsia="Times New Roman"/>
    </w:rPr>
  </w:style>
  <w:style w:type="character" w:styleId="FootnoteReference">
    <w:name w:val="footnote reference"/>
    <w:uiPriority w:val="99"/>
    <w:rsid w:val="003E23CD"/>
    <w:rPr>
      <w:rFonts w:ascii="Times New Roman" w:hAnsi="Times New Roman" w:cs="Times New Roman"/>
      <w:b w:val="0"/>
      <w:i w:val="0"/>
      <w:sz w:val="24"/>
      <w:vertAlign w:val="superscript"/>
    </w:rPr>
  </w:style>
  <w:style w:type="paragraph" w:customStyle="1" w:styleId="bullets-blank2">
    <w:name w:val="bullets-blank2"/>
    <w:basedOn w:val="bullets-blank"/>
    <w:qFormat/>
    <w:rsid w:val="009561F9"/>
    <w:pPr>
      <w:tabs>
        <w:tab w:val="clear" w:pos="1440"/>
        <w:tab w:val="left" w:pos="1800"/>
      </w:tabs>
      <w:ind w:left="1440"/>
    </w:pPr>
  </w:style>
  <w:style w:type="paragraph" w:styleId="BodyText">
    <w:name w:val="Body Text"/>
    <w:basedOn w:val="Normal"/>
    <w:link w:val="BodyTextChar0"/>
    <w:uiPriority w:val="99"/>
    <w:rsid w:val="003E23CD"/>
    <w:pPr>
      <w:spacing w:after="240" w:line="360" w:lineRule="auto"/>
      <w:ind w:left="720"/>
    </w:pPr>
    <w:rPr>
      <w:szCs w:val="24"/>
    </w:rPr>
  </w:style>
  <w:style w:type="character" w:customStyle="1" w:styleId="BodyTextChar0">
    <w:name w:val="Body Text Char"/>
    <w:link w:val="BodyText"/>
    <w:uiPriority w:val="99"/>
    <w:rsid w:val="003E23CD"/>
    <w:rPr>
      <w:rFonts w:eastAsia="Times New Roman"/>
      <w:sz w:val="24"/>
      <w:szCs w:val="24"/>
    </w:rPr>
  </w:style>
  <w:style w:type="paragraph" w:styleId="List">
    <w:name w:val="List"/>
    <w:basedOn w:val="Normal"/>
    <w:uiPriority w:val="99"/>
    <w:semiHidden/>
    <w:unhideWhenUsed/>
    <w:rsid w:val="00C51675"/>
    <w:pPr>
      <w:ind w:left="360" w:hanging="360"/>
      <w:contextualSpacing/>
    </w:pPr>
  </w:style>
  <w:style w:type="paragraph" w:styleId="Footer">
    <w:name w:val="footer"/>
    <w:basedOn w:val="Normal"/>
    <w:link w:val="FooterChar"/>
    <w:uiPriority w:val="99"/>
    <w:rsid w:val="005B6733"/>
    <w:pPr>
      <w:tabs>
        <w:tab w:val="center" w:pos="4320"/>
        <w:tab w:val="right" w:pos="8640"/>
      </w:tabs>
    </w:pPr>
  </w:style>
  <w:style w:type="character" w:customStyle="1" w:styleId="FooterChar">
    <w:name w:val="Footer Char"/>
    <w:link w:val="Footer"/>
    <w:uiPriority w:val="99"/>
    <w:rsid w:val="005B6733"/>
    <w:rPr>
      <w:rFonts w:eastAsia="Times New Roman"/>
      <w:sz w:val="24"/>
    </w:rPr>
  </w:style>
  <w:style w:type="character" w:customStyle="1" w:styleId="verityhit">
    <w:name w:val="verityhit"/>
    <w:basedOn w:val="DefaultParagraphFont"/>
    <w:rsid w:val="00A82104"/>
  </w:style>
  <w:style w:type="character" w:customStyle="1" w:styleId="Heading7Char">
    <w:name w:val="Heading 7 Char"/>
    <w:link w:val="Heading7"/>
    <w:uiPriority w:val="99"/>
    <w:rsid w:val="005B6733"/>
    <w:rPr>
      <w:rFonts w:eastAsia="Times New Roman"/>
      <w:b/>
      <w:sz w:val="24"/>
      <w:u w:val="single"/>
    </w:rPr>
  </w:style>
  <w:style w:type="character" w:customStyle="1" w:styleId="bodytextpsgChar">
    <w:name w:val="body text_psg Char"/>
    <w:link w:val="bodytextpsg"/>
    <w:locked/>
    <w:rsid w:val="00DB5B48"/>
    <w:rPr>
      <w:rFonts w:eastAsia="Times New Roman"/>
      <w:sz w:val="22"/>
      <w:szCs w:val="22"/>
      <w:lang w:val="es-DO"/>
    </w:rPr>
  </w:style>
  <w:style w:type="paragraph" w:customStyle="1" w:styleId="bodytextpsg">
    <w:name w:val="body text_psg"/>
    <w:basedOn w:val="Normal"/>
    <w:link w:val="bodytextpsgChar"/>
    <w:rsid w:val="00DB5B48"/>
    <w:pPr>
      <w:spacing w:after="240" w:line="320" w:lineRule="exact"/>
      <w:ind w:firstLine="720"/>
    </w:pPr>
    <w:rPr>
      <w:sz w:val="22"/>
      <w:szCs w:val="22"/>
      <w:lang w:val="es-DO"/>
    </w:rPr>
  </w:style>
  <w:style w:type="paragraph" w:styleId="PlainText">
    <w:name w:val="Plain Text"/>
    <w:basedOn w:val="Normal"/>
    <w:link w:val="PlainTextChar"/>
    <w:uiPriority w:val="99"/>
    <w:rsid w:val="005B6733"/>
    <w:rPr>
      <w:rFonts w:ascii="Courier New" w:hAnsi="Courier New"/>
      <w:sz w:val="20"/>
    </w:rPr>
  </w:style>
  <w:style w:type="character" w:customStyle="1" w:styleId="PlainTextChar">
    <w:name w:val="Plain Text Char"/>
    <w:link w:val="PlainText"/>
    <w:uiPriority w:val="99"/>
    <w:rsid w:val="005B6733"/>
    <w:rPr>
      <w:rFonts w:ascii="Courier New" w:eastAsia="Times New Roman" w:hAnsi="Courier New"/>
    </w:rPr>
  </w:style>
  <w:style w:type="paragraph" w:customStyle="1" w:styleId="biblio">
    <w:name w:val="biblio"/>
    <w:basedOn w:val="Normal"/>
    <w:link w:val="biblioChar"/>
    <w:rsid w:val="00DC19C5"/>
    <w:pPr>
      <w:numPr>
        <w:numId w:val="6"/>
      </w:numPr>
      <w:spacing w:after="240"/>
    </w:pPr>
    <w:rPr>
      <w:szCs w:val="24"/>
    </w:rPr>
  </w:style>
  <w:style w:type="character" w:customStyle="1" w:styleId="biblioChar">
    <w:name w:val="biblio Char"/>
    <w:link w:val="biblio"/>
    <w:locked/>
    <w:rsid w:val="00DC19C5"/>
    <w:rPr>
      <w:rFonts w:eastAsia="Times New Roman"/>
      <w:sz w:val="24"/>
      <w:szCs w:val="24"/>
    </w:rPr>
  </w:style>
  <w:style w:type="paragraph" w:customStyle="1" w:styleId="Bullet">
    <w:name w:val="Bullet"/>
    <w:basedOn w:val="Normal"/>
    <w:qFormat/>
    <w:rsid w:val="003E23CD"/>
    <w:pPr>
      <w:numPr>
        <w:numId w:val="3"/>
      </w:numPr>
      <w:tabs>
        <w:tab w:val="clear" w:pos="1440"/>
        <w:tab w:val="num" w:pos="1080"/>
      </w:tabs>
      <w:spacing w:after="240" w:line="360" w:lineRule="auto"/>
      <w:ind w:left="1080"/>
    </w:pPr>
    <w:rPr>
      <w:szCs w:val="24"/>
    </w:rPr>
  </w:style>
  <w:style w:type="paragraph" w:customStyle="1" w:styleId="Bullet-numbered">
    <w:name w:val="Bullet-numbered"/>
    <w:basedOn w:val="Normal"/>
    <w:qFormat/>
    <w:rsid w:val="00655767"/>
    <w:pPr>
      <w:numPr>
        <w:numId w:val="5"/>
      </w:numPr>
      <w:tabs>
        <w:tab w:val="left" w:pos="1440"/>
      </w:tabs>
      <w:ind w:left="1440"/>
    </w:pPr>
    <w:rPr>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5B6733"/>
    <w:pPr>
      <w:spacing w:before="80" w:after="80"/>
      <w:ind w:left="4320"/>
      <w:jc w:val="both"/>
    </w:pPr>
    <w:rPr>
      <w:rFonts w:ascii="Arial" w:hAnsi="Arial"/>
      <w:sz w:val="20"/>
      <w:szCs w:val="24"/>
    </w:rPr>
  </w:style>
  <w:style w:type="paragraph" w:customStyle="1" w:styleId="CoverText">
    <w:name w:val="Cover Text"/>
    <w:basedOn w:val="Normal"/>
    <w:qFormat/>
    <w:rsid w:val="005B6733"/>
  </w:style>
  <w:style w:type="paragraph" w:customStyle="1" w:styleId="CoverTitle">
    <w:name w:val="Cover Title"/>
    <w:basedOn w:val="Normal"/>
    <w:qFormat/>
    <w:rsid w:val="005B6733"/>
    <w:pPr>
      <w:tabs>
        <w:tab w:val="center" w:pos="4680"/>
      </w:tabs>
      <w:spacing w:line="276" w:lineRule="auto"/>
    </w:pPr>
    <w:rPr>
      <w:b/>
      <w:bCs/>
      <w:szCs w:val="24"/>
    </w:rPr>
  </w:style>
  <w:style w:type="paragraph" w:customStyle="1" w:styleId="Default">
    <w:name w:val="Default"/>
    <w:rsid w:val="005B6733"/>
    <w:pPr>
      <w:autoSpaceDE w:val="0"/>
      <w:autoSpaceDN w:val="0"/>
      <w:adjustRightInd w:val="0"/>
    </w:pPr>
    <w:rPr>
      <w:rFonts w:ascii="Arial" w:eastAsia="Times New Roman" w:hAnsi="Arial" w:cs="Arial"/>
      <w:color w:val="000000"/>
      <w:sz w:val="24"/>
      <w:szCs w:val="24"/>
    </w:rPr>
  </w:style>
  <w:style w:type="character" w:styleId="EndnoteReference">
    <w:name w:val="endnote reference"/>
    <w:uiPriority w:val="99"/>
    <w:semiHidden/>
    <w:rsid w:val="005B6733"/>
    <w:rPr>
      <w:rFonts w:cs="Times New Roman"/>
      <w:vertAlign w:val="superscript"/>
    </w:rPr>
  </w:style>
  <w:style w:type="paragraph" w:styleId="EndnoteText">
    <w:name w:val="endnote text"/>
    <w:basedOn w:val="Normal"/>
    <w:link w:val="EndnoteTextChar"/>
    <w:uiPriority w:val="99"/>
    <w:semiHidden/>
    <w:rsid w:val="005B6733"/>
    <w:rPr>
      <w:sz w:val="20"/>
    </w:rPr>
  </w:style>
  <w:style w:type="character" w:customStyle="1" w:styleId="EndnoteTextChar">
    <w:name w:val="Endnote Text Char"/>
    <w:link w:val="EndnoteText"/>
    <w:uiPriority w:val="99"/>
    <w:semiHidden/>
    <w:rsid w:val="005B6733"/>
    <w:rPr>
      <w:rFonts w:eastAsia="Times New Roman"/>
    </w:rPr>
  </w:style>
  <w:style w:type="character" w:customStyle="1" w:styleId="exhibitsourceChar">
    <w:name w:val="exhibit source Char"/>
    <w:link w:val="exhibitsource"/>
    <w:uiPriority w:val="99"/>
    <w:locked/>
    <w:rsid w:val="005B6733"/>
    <w:rPr>
      <w:rFonts w:eastAsia="Times New Roman"/>
      <w:szCs w:val="22"/>
    </w:rPr>
  </w:style>
  <w:style w:type="paragraph" w:customStyle="1" w:styleId="ExhibitTitleContinued">
    <w:name w:val="Exhibit Title Continued"/>
    <w:basedOn w:val="ExhibitTitle"/>
    <w:uiPriority w:val="99"/>
    <w:rsid w:val="006A5713"/>
  </w:style>
  <w:style w:type="paragraph" w:customStyle="1" w:styleId="FigureTitleContinued">
    <w:name w:val="Figure Title_Continued"/>
    <w:basedOn w:val="Normal"/>
    <w:uiPriority w:val="99"/>
    <w:rsid w:val="005B6733"/>
    <w:pPr>
      <w:pageBreakBefore/>
      <w:ind w:left="1166" w:hanging="1166"/>
    </w:pPr>
    <w:rPr>
      <w:b/>
      <w:szCs w:val="24"/>
    </w:rPr>
  </w:style>
  <w:style w:type="character" w:styleId="FollowedHyperlink">
    <w:name w:val="FollowedHyperlink"/>
    <w:uiPriority w:val="99"/>
    <w:rsid w:val="005B6733"/>
    <w:rPr>
      <w:rFonts w:cs="Times New Roman"/>
      <w:color w:val="800080"/>
      <w:u w:val="single"/>
    </w:rPr>
  </w:style>
  <w:style w:type="character" w:customStyle="1" w:styleId="footnotetex">
    <w:name w:val="footnote tex"/>
    <w:uiPriority w:val="99"/>
    <w:rsid w:val="005B6733"/>
  </w:style>
  <w:style w:type="character" w:customStyle="1" w:styleId="Heading5Char">
    <w:name w:val="Heading 5 Char"/>
    <w:link w:val="Heading5"/>
    <w:uiPriority w:val="99"/>
    <w:rsid w:val="005B6733"/>
    <w:rPr>
      <w:rFonts w:eastAsia="Times New Roman"/>
      <w:b/>
      <w:i/>
      <w:sz w:val="24"/>
    </w:rPr>
  </w:style>
  <w:style w:type="character" w:customStyle="1" w:styleId="Heading6Char">
    <w:name w:val="Heading 6 Char"/>
    <w:link w:val="Heading6"/>
    <w:uiPriority w:val="99"/>
    <w:rsid w:val="005B6733"/>
    <w:rPr>
      <w:rFonts w:eastAsia="Times New Roman"/>
      <w:b/>
      <w:i/>
      <w:sz w:val="24"/>
    </w:rPr>
  </w:style>
  <w:style w:type="character" w:customStyle="1" w:styleId="Heading8Char">
    <w:name w:val="Heading 8 Char"/>
    <w:link w:val="Heading8"/>
    <w:uiPriority w:val="99"/>
    <w:rsid w:val="005B6733"/>
    <w:rPr>
      <w:rFonts w:ascii="Arial" w:eastAsia="Times New Roman" w:hAnsi="Arial"/>
      <w:b/>
      <w:i/>
      <w:iCs/>
      <w:sz w:val="24"/>
    </w:rPr>
  </w:style>
  <w:style w:type="character" w:customStyle="1" w:styleId="Heading9Char">
    <w:name w:val="Heading 9 Char"/>
    <w:link w:val="Heading9"/>
    <w:uiPriority w:val="99"/>
    <w:rsid w:val="005B6733"/>
    <w:rPr>
      <w:rFonts w:ascii="Arial" w:eastAsia="Times New Roman" w:hAnsi="Arial"/>
      <w:b/>
    </w:rPr>
  </w:style>
  <w:style w:type="paragraph" w:styleId="Index1">
    <w:name w:val="index 1"/>
    <w:basedOn w:val="Normal"/>
    <w:next w:val="Normal"/>
    <w:autoRedefine/>
    <w:uiPriority w:val="99"/>
    <w:semiHidden/>
    <w:unhideWhenUsed/>
    <w:rsid w:val="005B6733"/>
    <w:pPr>
      <w:ind w:left="240" w:hanging="240"/>
    </w:pPr>
  </w:style>
  <w:style w:type="paragraph" w:customStyle="1" w:styleId="Level1">
    <w:name w:val="Level 1"/>
    <w:basedOn w:val="Normal"/>
    <w:uiPriority w:val="99"/>
    <w:rsid w:val="005B6733"/>
    <w:pPr>
      <w:ind w:left="1440" w:hanging="270"/>
    </w:pPr>
  </w:style>
  <w:style w:type="paragraph" w:customStyle="1" w:styleId="Level2">
    <w:name w:val="Level 2"/>
    <w:basedOn w:val="Normal"/>
    <w:uiPriority w:val="99"/>
    <w:rsid w:val="005B6733"/>
    <w:pPr>
      <w:numPr>
        <w:ilvl w:val="1"/>
        <w:numId w:val="4"/>
      </w:numPr>
      <w:outlineLvl w:val="1"/>
    </w:pPr>
  </w:style>
  <w:style w:type="paragraph" w:styleId="NoSpacing">
    <w:name w:val="No Spacing"/>
    <w:uiPriority w:val="99"/>
    <w:qFormat/>
    <w:rsid w:val="005B6733"/>
    <w:pPr>
      <w:jc w:val="center"/>
    </w:pPr>
    <w:rPr>
      <w:rFonts w:ascii="Calibri" w:eastAsia="Times New Roman" w:hAnsi="Calibri"/>
      <w:sz w:val="22"/>
      <w:szCs w:val="22"/>
    </w:rPr>
  </w:style>
  <w:style w:type="character" w:styleId="PageNumber">
    <w:name w:val="page number"/>
    <w:uiPriority w:val="99"/>
    <w:rsid w:val="005B6733"/>
    <w:rPr>
      <w:rFonts w:ascii="NewBskvll BT" w:hAnsi="NewBskvll BT" w:cs="Times New Roman"/>
      <w:sz w:val="24"/>
    </w:rPr>
  </w:style>
  <w:style w:type="character" w:styleId="Strong">
    <w:name w:val="Strong"/>
    <w:uiPriority w:val="99"/>
    <w:qFormat/>
    <w:rsid w:val="005B6733"/>
    <w:rPr>
      <w:rFonts w:cs="Times New Roman"/>
      <w:b/>
      <w:bCs/>
    </w:rPr>
  </w:style>
  <w:style w:type="paragraph" w:customStyle="1" w:styleId="TableHeaders">
    <w:name w:val="Table Headers"/>
    <w:basedOn w:val="Normal"/>
    <w:uiPriority w:val="99"/>
    <w:rsid w:val="005B6733"/>
    <w:pPr>
      <w:spacing w:before="40" w:after="40"/>
      <w:jc w:val="center"/>
    </w:pPr>
    <w:rPr>
      <w:b/>
      <w:bCs/>
      <w:sz w:val="22"/>
      <w:szCs w:val="22"/>
    </w:rPr>
  </w:style>
  <w:style w:type="paragraph" w:styleId="TableofFigures">
    <w:name w:val="table of figures"/>
    <w:basedOn w:val="Normal"/>
    <w:next w:val="Normal"/>
    <w:uiPriority w:val="99"/>
    <w:unhideWhenUsed/>
    <w:rsid w:val="005B6733"/>
    <w:pPr>
      <w:tabs>
        <w:tab w:val="left" w:pos="720"/>
        <w:tab w:val="right" w:leader="dot" w:pos="9360"/>
      </w:tabs>
      <w:ind w:left="720" w:right="720" w:hanging="720"/>
    </w:pPr>
    <w:rPr>
      <w:noProof/>
    </w:rPr>
  </w:style>
  <w:style w:type="paragraph" w:customStyle="1" w:styleId="TableText">
    <w:name w:val="Table Text"/>
    <w:basedOn w:val="Normal"/>
    <w:uiPriority w:val="99"/>
    <w:rsid w:val="005B6733"/>
    <w:pPr>
      <w:spacing w:before="40" w:after="40"/>
    </w:pPr>
    <w:rPr>
      <w:rFonts w:ascii="Arial" w:hAnsi="Arial"/>
      <w:sz w:val="18"/>
    </w:rPr>
  </w:style>
  <w:style w:type="paragraph" w:customStyle="1" w:styleId="TOC0">
    <w:name w:val="TOC 0"/>
    <w:basedOn w:val="Normal"/>
    <w:qFormat/>
    <w:rsid w:val="00C151A9"/>
    <w:pPr>
      <w:spacing w:after="240"/>
      <w:jc w:val="center"/>
    </w:pPr>
    <w:rPr>
      <w:b/>
      <w:bCs/>
      <w:caps/>
      <w:sz w:val="28"/>
    </w:rPr>
  </w:style>
  <w:style w:type="paragraph" w:styleId="TOC1">
    <w:name w:val="toc 1"/>
    <w:basedOn w:val="Normal"/>
    <w:next w:val="Normal"/>
    <w:autoRedefine/>
    <w:uiPriority w:val="39"/>
    <w:unhideWhenUsed/>
    <w:rsid w:val="005B6733"/>
    <w:pPr>
      <w:tabs>
        <w:tab w:val="left" w:pos="540"/>
        <w:tab w:val="right" w:leader="dot" w:pos="9360"/>
      </w:tabs>
      <w:ind w:left="540" w:right="720" w:hanging="540"/>
    </w:pPr>
    <w:rPr>
      <w:noProof/>
    </w:rPr>
  </w:style>
  <w:style w:type="paragraph" w:styleId="TOC2">
    <w:name w:val="toc 2"/>
    <w:basedOn w:val="Normal"/>
    <w:next w:val="Normal"/>
    <w:autoRedefine/>
    <w:uiPriority w:val="39"/>
    <w:rsid w:val="005B6733"/>
    <w:pPr>
      <w:tabs>
        <w:tab w:val="left" w:pos="1080"/>
        <w:tab w:val="right" w:leader="dot" w:pos="9360"/>
      </w:tabs>
      <w:autoSpaceDE w:val="0"/>
      <w:autoSpaceDN w:val="0"/>
      <w:adjustRightInd w:val="0"/>
      <w:ind w:left="1080" w:right="720" w:hanging="540"/>
    </w:pPr>
    <w:rPr>
      <w:rFonts w:eastAsia="MS Mincho" w:cs="Arial"/>
      <w:noProof/>
      <w:szCs w:val="22"/>
    </w:rPr>
  </w:style>
  <w:style w:type="paragraph" w:styleId="TOC3">
    <w:name w:val="toc 3"/>
    <w:basedOn w:val="Normal"/>
    <w:next w:val="Normal"/>
    <w:autoRedefine/>
    <w:uiPriority w:val="39"/>
    <w:rsid w:val="005B6733"/>
    <w:pPr>
      <w:tabs>
        <w:tab w:val="left" w:pos="1800"/>
        <w:tab w:val="right" w:leader="dot" w:pos="9360"/>
      </w:tabs>
      <w:autoSpaceDE w:val="0"/>
      <w:autoSpaceDN w:val="0"/>
      <w:adjustRightInd w:val="0"/>
      <w:ind w:left="1800" w:right="720" w:hanging="720"/>
    </w:pPr>
    <w:rPr>
      <w:noProof/>
      <w:szCs w:val="24"/>
    </w:rPr>
  </w:style>
  <w:style w:type="paragraph" w:customStyle="1" w:styleId="bullet-abc">
    <w:name w:val="bullet-abc"/>
    <w:basedOn w:val="Bullet-numbered"/>
    <w:qFormat/>
    <w:rsid w:val="00655767"/>
  </w:style>
  <w:style w:type="paragraph" w:styleId="Revision">
    <w:name w:val="Revision"/>
    <w:hidden/>
    <w:uiPriority w:val="99"/>
    <w:semiHidden/>
    <w:rsid w:val="00C52F1D"/>
    <w:rPr>
      <w:rFonts w:eastAsia="Times New Roman"/>
      <w:sz w:val="24"/>
    </w:rPr>
  </w:style>
  <w:style w:type="paragraph" w:customStyle="1" w:styleId="Tablebullet">
    <w:name w:val="Table bullet"/>
    <w:qFormat/>
    <w:rsid w:val="00425EA3"/>
    <w:pPr>
      <w:numPr>
        <w:numId w:val="2"/>
      </w:numPr>
    </w:pPr>
    <w:rPr>
      <w:rFonts w:eastAsia="Times New Roman"/>
      <w:sz w:val="24"/>
    </w:rPr>
  </w:style>
  <w:style w:type="paragraph" w:customStyle="1" w:styleId="Tablebullet2">
    <w:name w:val="Table bullet2"/>
    <w:basedOn w:val="Tablebullet"/>
    <w:qFormat/>
    <w:rsid w:val="002D52A1"/>
    <w:pPr>
      <w:numPr>
        <w:numId w:val="7"/>
      </w:numPr>
      <w:ind w:left="576" w:hanging="288"/>
    </w:pPr>
  </w:style>
  <w:style w:type="paragraph" w:styleId="NormalWeb">
    <w:name w:val="Normal (Web)"/>
    <w:basedOn w:val="Normal"/>
    <w:uiPriority w:val="99"/>
    <w:semiHidden/>
    <w:unhideWhenUsed/>
    <w:rsid w:val="009D5004"/>
    <w:pPr>
      <w:spacing w:before="100" w:beforeAutospacing="1" w:after="100" w:afterAutospacing="1"/>
    </w:pPr>
    <w:rPr>
      <w:szCs w:val="24"/>
    </w:rPr>
  </w:style>
  <w:style w:type="character" w:customStyle="1" w:styleId="Footer1">
    <w:name w:val="Footer1"/>
    <w:basedOn w:val="DefaultParagraphFont"/>
    <w:rsid w:val="00995BDE"/>
  </w:style>
  <w:style w:type="character" w:customStyle="1" w:styleId="skypepnhtextspan">
    <w:name w:val="skype_pnh_text_span"/>
    <w:rsid w:val="007F1708"/>
  </w:style>
  <w:style w:type="paragraph" w:styleId="TOC5">
    <w:name w:val="toc 5"/>
    <w:basedOn w:val="Normal"/>
    <w:next w:val="Normal"/>
    <w:autoRedefine/>
    <w:uiPriority w:val="39"/>
    <w:unhideWhenUsed/>
    <w:rsid w:val="00C151A9"/>
    <w:pPr>
      <w:tabs>
        <w:tab w:val="right" w:leader="dot" w:pos="9360"/>
      </w:tabs>
      <w:spacing w:after="100"/>
      <w:ind w:left="1267" w:right="720" w:hanging="108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0935">
      <w:bodyDiv w:val="1"/>
      <w:marLeft w:val="0"/>
      <w:marRight w:val="0"/>
      <w:marTop w:val="0"/>
      <w:marBottom w:val="0"/>
      <w:divBdr>
        <w:top w:val="none" w:sz="0" w:space="0" w:color="auto"/>
        <w:left w:val="none" w:sz="0" w:space="0" w:color="auto"/>
        <w:bottom w:val="none" w:sz="0" w:space="0" w:color="auto"/>
        <w:right w:val="none" w:sz="0" w:space="0" w:color="auto"/>
      </w:divBdr>
    </w:div>
    <w:div w:id="100498277">
      <w:bodyDiv w:val="1"/>
      <w:marLeft w:val="0"/>
      <w:marRight w:val="0"/>
      <w:marTop w:val="0"/>
      <w:marBottom w:val="0"/>
      <w:divBdr>
        <w:top w:val="none" w:sz="0" w:space="0" w:color="auto"/>
        <w:left w:val="none" w:sz="0" w:space="0" w:color="auto"/>
        <w:bottom w:val="none" w:sz="0" w:space="0" w:color="auto"/>
        <w:right w:val="none" w:sz="0" w:space="0" w:color="auto"/>
      </w:divBdr>
    </w:div>
    <w:div w:id="303315530">
      <w:bodyDiv w:val="1"/>
      <w:marLeft w:val="0"/>
      <w:marRight w:val="0"/>
      <w:marTop w:val="0"/>
      <w:marBottom w:val="0"/>
      <w:divBdr>
        <w:top w:val="none" w:sz="0" w:space="0" w:color="auto"/>
        <w:left w:val="none" w:sz="0" w:space="0" w:color="auto"/>
        <w:bottom w:val="none" w:sz="0" w:space="0" w:color="auto"/>
        <w:right w:val="none" w:sz="0" w:space="0" w:color="auto"/>
      </w:divBdr>
    </w:div>
    <w:div w:id="474378155">
      <w:bodyDiv w:val="1"/>
      <w:marLeft w:val="0"/>
      <w:marRight w:val="0"/>
      <w:marTop w:val="0"/>
      <w:marBottom w:val="0"/>
      <w:divBdr>
        <w:top w:val="none" w:sz="0" w:space="0" w:color="auto"/>
        <w:left w:val="none" w:sz="0" w:space="0" w:color="auto"/>
        <w:bottom w:val="none" w:sz="0" w:space="0" w:color="auto"/>
        <w:right w:val="none" w:sz="0" w:space="0" w:color="auto"/>
      </w:divBdr>
    </w:div>
    <w:div w:id="545484100">
      <w:bodyDiv w:val="1"/>
      <w:marLeft w:val="0"/>
      <w:marRight w:val="0"/>
      <w:marTop w:val="0"/>
      <w:marBottom w:val="0"/>
      <w:divBdr>
        <w:top w:val="none" w:sz="0" w:space="0" w:color="auto"/>
        <w:left w:val="none" w:sz="0" w:space="0" w:color="auto"/>
        <w:bottom w:val="none" w:sz="0" w:space="0" w:color="auto"/>
        <w:right w:val="none" w:sz="0" w:space="0" w:color="auto"/>
      </w:divBdr>
    </w:div>
    <w:div w:id="622149192">
      <w:bodyDiv w:val="1"/>
      <w:marLeft w:val="4"/>
      <w:marRight w:val="4"/>
      <w:marTop w:val="4"/>
      <w:marBottom w:val="4"/>
      <w:divBdr>
        <w:top w:val="none" w:sz="0" w:space="0" w:color="auto"/>
        <w:left w:val="none" w:sz="0" w:space="0" w:color="auto"/>
        <w:bottom w:val="none" w:sz="0" w:space="0" w:color="auto"/>
        <w:right w:val="none" w:sz="0" w:space="0" w:color="auto"/>
      </w:divBdr>
      <w:divsChild>
        <w:div w:id="66419965">
          <w:marLeft w:val="0"/>
          <w:marRight w:val="0"/>
          <w:marTop w:val="0"/>
          <w:marBottom w:val="0"/>
          <w:divBdr>
            <w:top w:val="none" w:sz="0" w:space="0" w:color="auto"/>
            <w:left w:val="none" w:sz="0" w:space="0" w:color="auto"/>
            <w:bottom w:val="none" w:sz="0" w:space="0" w:color="auto"/>
            <w:right w:val="none" w:sz="0" w:space="0" w:color="auto"/>
          </w:divBdr>
          <w:divsChild>
            <w:div w:id="1293050884">
              <w:marLeft w:val="0"/>
              <w:marRight w:val="0"/>
              <w:marTop w:val="0"/>
              <w:marBottom w:val="0"/>
              <w:divBdr>
                <w:top w:val="none" w:sz="0" w:space="0" w:color="auto"/>
                <w:left w:val="none" w:sz="0" w:space="0" w:color="auto"/>
                <w:bottom w:val="none" w:sz="0" w:space="0" w:color="auto"/>
                <w:right w:val="none" w:sz="0" w:space="0" w:color="auto"/>
              </w:divBdr>
              <w:divsChild>
                <w:div w:id="1081756069">
                  <w:marLeft w:val="0"/>
                  <w:marRight w:val="0"/>
                  <w:marTop w:val="0"/>
                  <w:marBottom w:val="180"/>
                  <w:divBdr>
                    <w:top w:val="none" w:sz="0" w:space="0" w:color="auto"/>
                    <w:left w:val="none" w:sz="0" w:space="0" w:color="auto"/>
                    <w:bottom w:val="none" w:sz="0" w:space="0" w:color="auto"/>
                    <w:right w:val="none" w:sz="0" w:space="0" w:color="auto"/>
                  </w:divBdr>
                  <w:divsChild>
                    <w:div w:id="810368753">
                      <w:marLeft w:val="0"/>
                      <w:marRight w:val="0"/>
                      <w:marTop w:val="0"/>
                      <w:marBottom w:val="0"/>
                      <w:divBdr>
                        <w:top w:val="none" w:sz="0" w:space="0" w:color="auto"/>
                        <w:left w:val="none" w:sz="0" w:space="0" w:color="auto"/>
                        <w:bottom w:val="none" w:sz="0" w:space="0" w:color="auto"/>
                        <w:right w:val="none" w:sz="0" w:space="0" w:color="auto"/>
                      </w:divBdr>
                      <w:divsChild>
                        <w:div w:id="2145268744">
                          <w:marLeft w:val="0"/>
                          <w:marRight w:val="0"/>
                          <w:marTop w:val="0"/>
                          <w:marBottom w:val="0"/>
                          <w:divBdr>
                            <w:top w:val="none" w:sz="0" w:space="0" w:color="auto"/>
                            <w:left w:val="none" w:sz="0" w:space="0" w:color="auto"/>
                            <w:bottom w:val="none" w:sz="0" w:space="0" w:color="auto"/>
                            <w:right w:val="none" w:sz="0" w:space="0" w:color="auto"/>
                          </w:divBdr>
                          <w:divsChild>
                            <w:div w:id="16730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7065">
      <w:bodyDiv w:val="1"/>
      <w:marLeft w:val="0"/>
      <w:marRight w:val="0"/>
      <w:marTop w:val="0"/>
      <w:marBottom w:val="0"/>
      <w:divBdr>
        <w:top w:val="none" w:sz="0" w:space="0" w:color="auto"/>
        <w:left w:val="none" w:sz="0" w:space="0" w:color="auto"/>
        <w:bottom w:val="none" w:sz="0" w:space="0" w:color="auto"/>
        <w:right w:val="none" w:sz="0" w:space="0" w:color="auto"/>
      </w:divBdr>
    </w:div>
    <w:div w:id="665132791">
      <w:bodyDiv w:val="1"/>
      <w:marLeft w:val="0"/>
      <w:marRight w:val="0"/>
      <w:marTop w:val="0"/>
      <w:marBottom w:val="0"/>
      <w:divBdr>
        <w:top w:val="none" w:sz="0" w:space="0" w:color="auto"/>
        <w:left w:val="none" w:sz="0" w:space="0" w:color="auto"/>
        <w:bottom w:val="none" w:sz="0" w:space="0" w:color="auto"/>
        <w:right w:val="none" w:sz="0" w:space="0" w:color="auto"/>
      </w:divBdr>
    </w:div>
    <w:div w:id="706611627">
      <w:bodyDiv w:val="1"/>
      <w:marLeft w:val="0"/>
      <w:marRight w:val="0"/>
      <w:marTop w:val="0"/>
      <w:marBottom w:val="0"/>
      <w:divBdr>
        <w:top w:val="none" w:sz="0" w:space="0" w:color="auto"/>
        <w:left w:val="none" w:sz="0" w:space="0" w:color="auto"/>
        <w:bottom w:val="none" w:sz="0" w:space="0" w:color="auto"/>
        <w:right w:val="none" w:sz="0" w:space="0" w:color="auto"/>
      </w:divBdr>
    </w:div>
    <w:div w:id="841968077">
      <w:bodyDiv w:val="1"/>
      <w:marLeft w:val="0"/>
      <w:marRight w:val="0"/>
      <w:marTop w:val="0"/>
      <w:marBottom w:val="0"/>
      <w:divBdr>
        <w:top w:val="none" w:sz="0" w:space="0" w:color="auto"/>
        <w:left w:val="none" w:sz="0" w:space="0" w:color="auto"/>
        <w:bottom w:val="none" w:sz="0" w:space="0" w:color="auto"/>
        <w:right w:val="none" w:sz="0" w:space="0" w:color="auto"/>
      </w:divBdr>
    </w:div>
    <w:div w:id="846403533">
      <w:bodyDiv w:val="1"/>
      <w:marLeft w:val="0"/>
      <w:marRight w:val="0"/>
      <w:marTop w:val="0"/>
      <w:marBottom w:val="0"/>
      <w:divBdr>
        <w:top w:val="none" w:sz="0" w:space="0" w:color="auto"/>
        <w:left w:val="none" w:sz="0" w:space="0" w:color="auto"/>
        <w:bottom w:val="none" w:sz="0" w:space="0" w:color="auto"/>
        <w:right w:val="none" w:sz="0" w:space="0" w:color="auto"/>
      </w:divBdr>
    </w:div>
    <w:div w:id="1236429130">
      <w:bodyDiv w:val="1"/>
      <w:marLeft w:val="0"/>
      <w:marRight w:val="0"/>
      <w:marTop w:val="0"/>
      <w:marBottom w:val="0"/>
      <w:divBdr>
        <w:top w:val="none" w:sz="0" w:space="0" w:color="auto"/>
        <w:left w:val="none" w:sz="0" w:space="0" w:color="auto"/>
        <w:bottom w:val="none" w:sz="0" w:space="0" w:color="auto"/>
        <w:right w:val="none" w:sz="0" w:space="0" w:color="auto"/>
      </w:divBdr>
      <w:divsChild>
        <w:div w:id="1921282468">
          <w:marLeft w:val="0"/>
          <w:marRight w:val="0"/>
          <w:marTop w:val="0"/>
          <w:marBottom w:val="0"/>
          <w:divBdr>
            <w:top w:val="none" w:sz="0" w:space="0" w:color="auto"/>
            <w:left w:val="none" w:sz="0" w:space="0" w:color="auto"/>
            <w:bottom w:val="none" w:sz="0" w:space="0" w:color="auto"/>
            <w:right w:val="none" w:sz="0" w:space="0" w:color="auto"/>
          </w:divBdr>
          <w:divsChild>
            <w:div w:id="1998341842">
              <w:marLeft w:val="0"/>
              <w:marRight w:val="0"/>
              <w:marTop w:val="0"/>
              <w:marBottom w:val="0"/>
              <w:divBdr>
                <w:top w:val="none" w:sz="0" w:space="0" w:color="auto"/>
                <w:left w:val="none" w:sz="0" w:space="0" w:color="auto"/>
                <w:bottom w:val="none" w:sz="0" w:space="0" w:color="auto"/>
                <w:right w:val="none" w:sz="0" w:space="0" w:color="auto"/>
              </w:divBdr>
              <w:divsChild>
                <w:div w:id="126439369">
                  <w:marLeft w:val="0"/>
                  <w:marRight w:val="0"/>
                  <w:marTop w:val="0"/>
                  <w:marBottom w:val="0"/>
                  <w:divBdr>
                    <w:top w:val="none" w:sz="0" w:space="0" w:color="auto"/>
                    <w:left w:val="none" w:sz="0" w:space="0" w:color="auto"/>
                    <w:bottom w:val="none" w:sz="0" w:space="0" w:color="auto"/>
                    <w:right w:val="none" w:sz="0" w:space="0" w:color="auto"/>
                  </w:divBdr>
                  <w:divsChild>
                    <w:div w:id="229925511">
                      <w:marLeft w:val="0"/>
                      <w:marRight w:val="0"/>
                      <w:marTop w:val="0"/>
                      <w:marBottom w:val="0"/>
                      <w:divBdr>
                        <w:top w:val="none" w:sz="0" w:space="0" w:color="auto"/>
                        <w:left w:val="none" w:sz="0" w:space="0" w:color="auto"/>
                        <w:bottom w:val="none" w:sz="0" w:space="0" w:color="auto"/>
                        <w:right w:val="none" w:sz="0" w:space="0" w:color="auto"/>
                      </w:divBdr>
                      <w:divsChild>
                        <w:div w:id="330642609">
                          <w:marLeft w:val="0"/>
                          <w:marRight w:val="0"/>
                          <w:marTop w:val="0"/>
                          <w:marBottom w:val="0"/>
                          <w:divBdr>
                            <w:top w:val="none" w:sz="0" w:space="0" w:color="auto"/>
                            <w:left w:val="none" w:sz="0" w:space="0" w:color="auto"/>
                            <w:bottom w:val="none" w:sz="0" w:space="0" w:color="auto"/>
                            <w:right w:val="none" w:sz="0" w:space="0" w:color="auto"/>
                          </w:divBdr>
                          <w:divsChild>
                            <w:div w:id="1680696040">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sChild>
                                    <w:div w:id="138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282255">
      <w:bodyDiv w:val="1"/>
      <w:marLeft w:val="0"/>
      <w:marRight w:val="0"/>
      <w:marTop w:val="0"/>
      <w:marBottom w:val="0"/>
      <w:divBdr>
        <w:top w:val="none" w:sz="0" w:space="0" w:color="auto"/>
        <w:left w:val="none" w:sz="0" w:space="0" w:color="auto"/>
        <w:bottom w:val="none" w:sz="0" w:space="0" w:color="auto"/>
        <w:right w:val="none" w:sz="0" w:space="0" w:color="auto"/>
      </w:divBdr>
    </w:div>
    <w:div w:id="1297024574">
      <w:bodyDiv w:val="1"/>
      <w:marLeft w:val="0"/>
      <w:marRight w:val="0"/>
      <w:marTop w:val="0"/>
      <w:marBottom w:val="0"/>
      <w:divBdr>
        <w:top w:val="none" w:sz="0" w:space="0" w:color="auto"/>
        <w:left w:val="none" w:sz="0" w:space="0" w:color="auto"/>
        <w:bottom w:val="none" w:sz="0" w:space="0" w:color="auto"/>
        <w:right w:val="none" w:sz="0" w:space="0" w:color="auto"/>
      </w:divBdr>
    </w:div>
    <w:div w:id="1340350827">
      <w:bodyDiv w:val="1"/>
      <w:marLeft w:val="0"/>
      <w:marRight w:val="0"/>
      <w:marTop w:val="0"/>
      <w:marBottom w:val="0"/>
      <w:divBdr>
        <w:top w:val="none" w:sz="0" w:space="0" w:color="auto"/>
        <w:left w:val="none" w:sz="0" w:space="0" w:color="auto"/>
        <w:bottom w:val="none" w:sz="0" w:space="0" w:color="auto"/>
        <w:right w:val="none" w:sz="0" w:space="0" w:color="auto"/>
      </w:divBdr>
    </w:div>
    <w:div w:id="1355886988">
      <w:bodyDiv w:val="1"/>
      <w:marLeft w:val="4"/>
      <w:marRight w:val="4"/>
      <w:marTop w:val="4"/>
      <w:marBottom w:val="4"/>
      <w:divBdr>
        <w:top w:val="none" w:sz="0" w:space="0" w:color="auto"/>
        <w:left w:val="none" w:sz="0" w:space="0" w:color="auto"/>
        <w:bottom w:val="none" w:sz="0" w:space="0" w:color="auto"/>
        <w:right w:val="none" w:sz="0" w:space="0" w:color="auto"/>
      </w:divBdr>
      <w:divsChild>
        <w:div w:id="1831750450">
          <w:marLeft w:val="0"/>
          <w:marRight w:val="0"/>
          <w:marTop w:val="0"/>
          <w:marBottom w:val="0"/>
          <w:divBdr>
            <w:top w:val="none" w:sz="0" w:space="0" w:color="auto"/>
            <w:left w:val="none" w:sz="0" w:space="0" w:color="auto"/>
            <w:bottom w:val="none" w:sz="0" w:space="0" w:color="auto"/>
            <w:right w:val="none" w:sz="0" w:space="0" w:color="auto"/>
          </w:divBdr>
          <w:divsChild>
            <w:div w:id="196310587">
              <w:marLeft w:val="0"/>
              <w:marRight w:val="0"/>
              <w:marTop w:val="0"/>
              <w:marBottom w:val="0"/>
              <w:divBdr>
                <w:top w:val="none" w:sz="0" w:space="0" w:color="auto"/>
                <w:left w:val="none" w:sz="0" w:space="0" w:color="auto"/>
                <w:bottom w:val="none" w:sz="0" w:space="0" w:color="auto"/>
                <w:right w:val="none" w:sz="0" w:space="0" w:color="auto"/>
              </w:divBdr>
              <w:divsChild>
                <w:div w:id="760490381">
                  <w:marLeft w:val="0"/>
                  <w:marRight w:val="0"/>
                  <w:marTop w:val="0"/>
                  <w:marBottom w:val="180"/>
                  <w:divBdr>
                    <w:top w:val="none" w:sz="0" w:space="0" w:color="auto"/>
                    <w:left w:val="none" w:sz="0" w:space="0" w:color="auto"/>
                    <w:bottom w:val="none" w:sz="0" w:space="0" w:color="auto"/>
                    <w:right w:val="none" w:sz="0" w:space="0" w:color="auto"/>
                  </w:divBdr>
                  <w:divsChild>
                    <w:div w:id="546912208">
                      <w:marLeft w:val="0"/>
                      <w:marRight w:val="0"/>
                      <w:marTop w:val="0"/>
                      <w:marBottom w:val="0"/>
                      <w:divBdr>
                        <w:top w:val="none" w:sz="0" w:space="0" w:color="auto"/>
                        <w:left w:val="none" w:sz="0" w:space="0" w:color="auto"/>
                        <w:bottom w:val="none" w:sz="0" w:space="0" w:color="auto"/>
                        <w:right w:val="none" w:sz="0" w:space="0" w:color="auto"/>
                      </w:divBdr>
                      <w:divsChild>
                        <w:div w:id="1048260619">
                          <w:marLeft w:val="0"/>
                          <w:marRight w:val="0"/>
                          <w:marTop w:val="0"/>
                          <w:marBottom w:val="0"/>
                          <w:divBdr>
                            <w:top w:val="none" w:sz="0" w:space="0" w:color="auto"/>
                            <w:left w:val="none" w:sz="0" w:space="0" w:color="auto"/>
                            <w:bottom w:val="none" w:sz="0" w:space="0" w:color="auto"/>
                            <w:right w:val="none" w:sz="0" w:space="0" w:color="auto"/>
                          </w:divBdr>
                          <w:divsChild>
                            <w:div w:id="17770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544252">
      <w:bodyDiv w:val="1"/>
      <w:marLeft w:val="0"/>
      <w:marRight w:val="0"/>
      <w:marTop w:val="0"/>
      <w:marBottom w:val="0"/>
      <w:divBdr>
        <w:top w:val="none" w:sz="0" w:space="0" w:color="auto"/>
        <w:left w:val="none" w:sz="0" w:space="0" w:color="auto"/>
        <w:bottom w:val="none" w:sz="0" w:space="0" w:color="auto"/>
        <w:right w:val="none" w:sz="0" w:space="0" w:color="auto"/>
      </w:divBdr>
    </w:div>
    <w:div w:id="1416628381">
      <w:bodyDiv w:val="1"/>
      <w:marLeft w:val="0"/>
      <w:marRight w:val="0"/>
      <w:marTop w:val="0"/>
      <w:marBottom w:val="0"/>
      <w:divBdr>
        <w:top w:val="none" w:sz="0" w:space="0" w:color="auto"/>
        <w:left w:val="none" w:sz="0" w:space="0" w:color="auto"/>
        <w:bottom w:val="none" w:sz="0" w:space="0" w:color="auto"/>
        <w:right w:val="none" w:sz="0" w:space="0" w:color="auto"/>
      </w:divBdr>
    </w:div>
    <w:div w:id="1503082175">
      <w:bodyDiv w:val="1"/>
      <w:marLeft w:val="0"/>
      <w:marRight w:val="0"/>
      <w:marTop w:val="0"/>
      <w:marBottom w:val="0"/>
      <w:divBdr>
        <w:top w:val="none" w:sz="0" w:space="0" w:color="auto"/>
        <w:left w:val="none" w:sz="0" w:space="0" w:color="auto"/>
        <w:bottom w:val="none" w:sz="0" w:space="0" w:color="auto"/>
        <w:right w:val="none" w:sz="0" w:space="0" w:color="auto"/>
      </w:divBdr>
      <w:divsChild>
        <w:div w:id="433325122">
          <w:marLeft w:val="0"/>
          <w:marRight w:val="0"/>
          <w:marTop w:val="0"/>
          <w:marBottom w:val="0"/>
          <w:divBdr>
            <w:top w:val="none" w:sz="0" w:space="0" w:color="auto"/>
            <w:left w:val="none" w:sz="0" w:space="0" w:color="auto"/>
            <w:bottom w:val="none" w:sz="0" w:space="0" w:color="auto"/>
            <w:right w:val="none" w:sz="0" w:space="0" w:color="auto"/>
          </w:divBdr>
          <w:divsChild>
            <w:div w:id="1888028056">
              <w:marLeft w:val="0"/>
              <w:marRight w:val="0"/>
              <w:marTop w:val="0"/>
              <w:marBottom w:val="0"/>
              <w:divBdr>
                <w:top w:val="none" w:sz="0" w:space="0" w:color="auto"/>
                <w:left w:val="none" w:sz="0" w:space="0" w:color="auto"/>
                <w:bottom w:val="none" w:sz="0" w:space="0" w:color="auto"/>
                <w:right w:val="none" w:sz="0" w:space="0" w:color="auto"/>
              </w:divBdr>
              <w:divsChild>
                <w:div w:id="1896811854">
                  <w:marLeft w:val="0"/>
                  <w:marRight w:val="0"/>
                  <w:marTop w:val="0"/>
                  <w:marBottom w:val="0"/>
                  <w:divBdr>
                    <w:top w:val="none" w:sz="0" w:space="0" w:color="auto"/>
                    <w:left w:val="none" w:sz="0" w:space="0" w:color="auto"/>
                    <w:bottom w:val="none" w:sz="0" w:space="0" w:color="auto"/>
                    <w:right w:val="none" w:sz="0" w:space="0" w:color="auto"/>
                  </w:divBdr>
                  <w:divsChild>
                    <w:div w:id="7753657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23828978">
      <w:bodyDiv w:val="1"/>
      <w:marLeft w:val="0"/>
      <w:marRight w:val="0"/>
      <w:marTop w:val="0"/>
      <w:marBottom w:val="0"/>
      <w:divBdr>
        <w:top w:val="none" w:sz="0" w:space="0" w:color="auto"/>
        <w:left w:val="none" w:sz="0" w:space="0" w:color="auto"/>
        <w:bottom w:val="none" w:sz="0" w:space="0" w:color="auto"/>
        <w:right w:val="none" w:sz="0" w:space="0" w:color="auto"/>
      </w:divBdr>
    </w:div>
    <w:div w:id="1989900788">
      <w:bodyDiv w:val="1"/>
      <w:marLeft w:val="0"/>
      <w:marRight w:val="0"/>
      <w:marTop w:val="0"/>
      <w:marBottom w:val="0"/>
      <w:divBdr>
        <w:top w:val="none" w:sz="0" w:space="0" w:color="auto"/>
        <w:left w:val="none" w:sz="0" w:space="0" w:color="auto"/>
        <w:bottom w:val="none" w:sz="0" w:space="0" w:color="auto"/>
        <w:right w:val="none" w:sz="0" w:space="0" w:color="auto"/>
      </w:divBdr>
      <w:divsChild>
        <w:div w:id="2116827720">
          <w:marLeft w:val="0"/>
          <w:marRight w:val="0"/>
          <w:marTop w:val="0"/>
          <w:marBottom w:val="0"/>
          <w:divBdr>
            <w:top w:val="none" w:sz="0" w:space="0" w:color="auto"/>
            <w:left w:val="none" w:sz="0" w:space="0" w:color="auto"/>
            <w:bottom w:val="none" w:sz="0" w:space="0" w:color="auto"/>
            <w:right w:val="none" w:sz="0" w:space="0" w:color="auto"/>
          </w:divBdr>
          <w:divsChild>
            <w:div w:id="1267349127">
              <w:marLeft w:val="0"/>
              <w:marRight w:val="0"/>
              <w:marTop w:val="300"/>
              <w:marBottom w:val="0"/>
              <w:divBdr>
                <w:top w:val="none" w:sz="0" w:space="0" w:color="auto"/>
                <w:left w:val="none" w:sz="0" w:space="0" w:color="auto"/>
                <w:bottom w:val="none" w:sz="0" w:space="0" w:color="auto"/>
                <w:right w:val="none" w:sz="0" w:space="0" w:color="auto"/>
              </w:divBdr>
              <w:divsChild>
                <w:div w:id="641272958">
                  <w:marLeft w:val="150"/>
                  <w:marRight w:val="150"/>
                  <w:marTop w:val="0"/>
                  <w:marBottom w:val="0"/>
                  <w:divBdr>
                    <w:top w:val="none" w:sz="0" w:space="0" w:color="auto"/>
                    <w:left w:val="none" w:sz="0" w:space="0" w:color="auto"/>
                    <w:bottom w:val="none" w:sz="0" w:space="0" w:color="auto"/>
                    <w:right w:val="none" w:sz="0" w:space="0" w:color="auto"/>
                  </w:divBdr>
                  <w:divsChild>
                    <w:div w:id="981152224">
                      <w:marLeft w:val="0"/>
                      <w:marRight w:val="0"/>
                      <w:marTop w:val="0"/>
                      <w:marBottom w:val="210"/>
                      <w:divBdr>
                        <w:top w:val="single" w:sz="6" w:space="0" w:color="E6E6E6"/>
                        <w:left w:val="single" w:sz="6" w:space="0" w:color="E6E6E6"/>
                        <w:bottom w:val="single" w:sz="6" w:space="0" w:color="E6E6E6"/>
                        <w:right w:val="single" w:sz="6" w:space="0" w:color="E6E6E6"/>
                      </w:divBdr>
                      <w:divsChild>
                        <w:div w:id="1234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558583">
      <w:bodyDiv w:val="1"/>
      <w:marLeft w:val="0"/>
      <w:marRight w:val="0"/>
      <w:marTop w:val="0"/>
      <w:marBottom w:val="0"/>
      <w:divBdr>
        <w:top w:val="none" w:sz="0" w:space="0" w:color="auto"/>
        <w:left w:val="none" w:sz="0" w:space="0" w:color="auto"/>
        <w:bottom w:val="none" w:sz="0" w:space="0" w:color="auto"/>
        <w:right w:val="none" w:sz="0" w:space="0" w:color="auto"/>
      </w:divBdr>
    </w:div>
    <w:div w:id="2108575576">
      <w:bodyDiv w:val="1"/>
      <w:marLeft w:val="0"/>
      <w:marRight w:val="0"/>
      <w:marTop w:val="0"/>
      <w:marBottom w:val="0"/>
      <w:divBdr>
        <w:top w:val="none" w:sz="0" w:space="0" w:color="auto"/>
        <w:left w:val="none" w:sz="0" w:space="0" w:color="auto"/>
        <w:bottom w:val="none" w:sz="0" w:space="0" w:color="auto"/>
        <w:right w:val="none" w:sz="0" w:space="0" w:color="auto"/>
      </w:divBdr>
    </w:div>
    <w:div w:id="213394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292F-F65C-4E55-9576-4BC1CD68C6D2}">
  <ds:schemaRefs>
    <ds:schemaRef ds:uri="http://schemas.openxmlformats.org/officeDocument/2006/bibliography"/>
  </ds:schemaRefs>
</ds:datastoreItem>
</file>

<file path=customXml/itemProps2.xml><?xml version="1.0" encoding="utf-8"?>
<ds:datastoreItem xmlns:ds="http://schemas.openxmlformats.org/officeDocument/2006/customXml" ds:itemID="{D118A35E-16FA-4EBD-B5B5-F87C762740A2}">
  <ds:schemaRefs>
    <ds:schemaRef ds:uri="http://schemas.openxmlformats.org/officeDocument/2006/bibliography"/>
  </ds:schemaRefs>
</ds:datastoreItem>
</file>

<file path=customXml/itemProps3.xml><?xml version="1.0" encoding="utf-8"?>
<ds:datastoreItem xmlns:ds="http://schemas.openxmlformats.org/officeDocument/2006/customXml" ds:itemID="{6130A877-7EBB-4AE7-98A6-7D2AD92A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14483</Words>
  <Characters>82554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96844</CharactersWithSpaces>
  <SharedDoc>false</SharedDoc>
  <HyperlinkBase/>
  <HLinks>
    <vt:vector size="258" baseType="variant">
      <vt:variant>
        <vt:i4>5373972</vt:i4>
      </vt:variant>
      <vt:variant>
        <vt:i4>213</vt:i4>
      </vt:variant>
      <vt:variant>
        <vt:i4>0</vt:i4>
      </vt:variant>
      <vt:variant>
        <vt:i4>5</vt:i4>
      </vt:variant>
      <vt:variant>
        <vt:lpwstr>http://www.bls.gov/cew/ew10table6.pdf</vt:lpwstr>
      </vt:variant>
      <vt:variant>
        <vt:lpwstr/>
      </vt:variant>
      <vt:variant>
        <vt:i4>1245240</vt:i4>
      </vt:variant>
      <vt:variant>
        <vt:i4>210</vt:i4>
      </vt:variant>
      <vt:variant>
        <vt:i4>0</vt:i4>
      </vt:variant>
      <vt:variant>
        <vt:i4>5</vt:i4>
      </vt:variant>
      <vt:variant>
        <vt:lpwstr>mailto:cschmitt@rti.org</vt:lpwstr>
      </vt:variant>
      <vt:variant>
        <vt:lpwstr/>
      </vt:variant>
      <vt:variant>
        <vt:i4>3801118</vt:i4>
      </vt:variant>
      <vt:variant>
        <vt:i4>207</vt:i4>
      </vt:variant>
      <vt:variant>
        <vt:i4>0</vt:i4>
      </vt:variant>
      <vt:variant>
        <vt:i4>5</vt:i4>
      </vt:variant>
      <vt:variant>
        <vt:lpwstr>mailto:jsallis@ucsd.edu</vt:lpwstr>
      </vt:variant>
      <vt:variant>
        <vt:lpwstr/>
      </vt:variant>
      <vt:variant>
        <vt:i4>7209027</vt:i4>
      </vt:variant>
      <vt:variant>
        <vt:i4>204</vt:i4>
      </vt:variant>
      <vt:variant>
        <vt:i4>0</vt:i4>
      </vt:variant>
      <vt:variant>
        <vt:i4>5</vt:i4>
      </vt:variant>
      <vt:variant>
        <vt:lpwstr>mailto:jnonnemaker@rti.org</vt:lpwstr>
      </vt:variant>
      <vt:variant>
        <vt:lpwstr/>
      </vt:variant>
      <vt:variant>
        <vt:i4>7864409</vt:i4>
      </vt:variant>
      <vt:variant>
        <vt:i4>201</vt:i4>
      </vt:variant>
      <vt:variant>
        <vt:i4>0</vt:i4>
      </vt:variant>
      <vt:variant>
        <vt:i4>5</vt:i4>
      </vt:variant>
      <vt:variant>
        <vt:lpwstr>mailto:lalytle@umn.edu</vt:lpwstr>
      </vt:variant>
      <vt:variant>
        <vt:lpwstr/>
      </vt:variant>
      <vt:variant>
        <vt:i4>7602251</vt:i4>
      </vt:variant>
      <vt:variant>
        <vt:i4>198</vt:i4>
      </vt:variant>
      <vt:variant>
        <vt:i4>0</vt:i4>
      </vt:variant>
      <vt:variant>
        <vt:i4>5</vt:i4>
      </vt:variant>
      <vt:variant>
        <vt:lpwstr>mailto:melewis@rti.org</vt:lpwstr>
      </vt:variant>
      <vt:variant>
        <vt:lpwstr/>
      </vt:variant>
      <vt:variant>
        <vt:i4>2949136</vt:i4>
      </vt:variant>
      <vt:variant>
        <vt:i4>195</vt:i4>
      </vt:variant>
      <vt:variant>
        <vt:i4>0</vt:i4>
      </vt:variant>
      <vt:variant>
        <vt:i4>5</vt:i4>
      </vt:variant>
      <vt:variant>
        <vt:lpwstr>mailto:clesesne@icfi.org</vt:lpwstr>
      </vt:variant>
      <vt:variant>
        <vt:lpwstr/>
      </vt:variant>
      <vt:variant>
        <vt:i4>5898273</vt:i4>
      </vt:variant>
      <vt:variant>
        <vt:i4>192</vt:i4>
      </vt:variant>
      <vt:variant>
        <vt:i4>0</vt:i4>
      </vt:variant>
      <vt:variant>
        <vt:i4>5</vt:i4>
      </vt:variant>
      <vt:variant>
        <vt:lpwstr>mailto:Andrew.Hyland@RoswellPark.org</vt:lpwstr>
      </vt:variant>
      <vt:variant>
        <vt:lpwstr/>
      </vt:variant>
      <vt:variant>
        <vt:i4>7667793</vt:i4>
      </vt:variant>
      <vt:variant>
        <vt:i4>189</vt:i4>
      </vt:variant>
      <vt:variant>
        <vt:i4>0</vt:i4>
      </vt:variant>
      <vt:variant>
        <vt:i4>5</vt:i4>
      </vt:variant>
      <vt:variant>
        <vt:lpwstr>mailto:hersey@rti.org</vt:lpwstr>
      </vt:variant>
      <vt:variant>
        <vt:lpwstr/>
      </vt:variant>
      <vt:variant>
        <vt:i4>2293855</vt:i4>
      </vt:variant>
      <vt:variant>
        <vt:i4>186</vt:i4>
      </vt:variant>
      <vt:variant>
        <vt:i4>0</vt:i4>
      </vt:variant>
      <vt:variant>
        <vt:i4>5</vt:i4>
      </vt:variant>
      <vt:variant>
        <vt:lpwstr>mailto:Charris5@icfi.org</vt:lpwstr>
      </vt:variant>
      <vt:variant>
        <vt:lpwstr/>
      </vt:variant>
      <vt:variant>
        <vt:i4>7995457</vt:i4>
      </vt:variant>
      <vt:variant>
        <vt:i4>183</vt:i4>
      </vt:variant>
      <vt:variant>
        <vt:i4>0</vt:i4>
      </vt:variant>
      <vt:variant>
        <vt:i4>5</vt:i4>
      </vt:variant>
      <vt:variant>
        <vt:lpwstr>mailto:mcf@rti.org</vt:lpwstr>
      </vt:variant>
      <vt:variant>
        <vt:lpwstr/>
      </vt:variant>
      <vt:variant>
        <vt:i4>8061001</vt:i4>
      </vt:variant>
      <vt:variant>
        <vt:i4>180</vt:i4>
      </vt:variant>
      <vt:variant>
        <vt:i4>0</vt:i4>
      </vt:variant>
      <vt:variant>
        <vt:i4>5</vt:i4>
      </vt:variant>
      <vt:variant>
        <vt:lpwstr>mailto:kcdavis@rti.org</vt:lpwstr>
      </vt:variant>
      <vt:variant>
        <vt:lpwstr/>
      </vt:variant>
      <vt:variant>
        <vt:i4>5963887</vt:i4>
      </vt:variant>
      <vt:variant>
        <vt:i4>177</vt:i4>
      </vt:variant>
      <vt:variant>
        <vt:i4>0</vt:i4>
      </vt:variant>
      <vt:variant>
        <vt:i4>5</vt:i4>
      </vt:variant>
      <vt:variant>
        <vt:lpwstr>mailto:mclementi@a10clinical.com</vt:lpwstr>
      </vt:variant>
      <vt:variant>
        <vt:lpwstr/>
      </vt:variant>
      <vt:variant>
        <vt:i4>6160482</vt:i4>
      </vt:variant>
      <vt:variant>
        <vt:i4>174</vt:i4>
      </vt:variant>
      <vt:variant>
        <vt:i4>0</vt:i4>
      </vt:variant>
      <vt:variant>
        <vt:i4>5</vt:i4>
      </vt:variant>
      <vt:variant>
        <vt:lpwstr>mailto:Matthew.zack@cdc.hhs.gov</vt:lpwstr>
      </vt:variant>
      <vt:variant>
        <vt:lpwstr/>
      </vt:variant>
      <vt:variant>
        <vt:i4>8323136</vt:i4>
      </vt:variant>
      <vt:variant>
        <vt:i4>171</vt:i4>
      </vt:variant>
      <vt:variant>
        <vt:i4>0</vt:i4>
      </vt:variant>
      <vt:variant>
        <vt:i4>5</vt:i4>
      </vt:variant>
      <vt:variant>
        <vt:lpwstr>mailto:rsoler@cdc.gov</vt:lpwstr>
      </vt:variant>
      <vt:variant>
        <vt:lpwstr/>
      </vt:variant>
      <vt:variant>
        <vt:i4>1114212</vt:i4>
      </vt:variant>
      <vt:variant>
        <vt:i4>168</vt:i4>
      </vt:variant>
      <vt:variant>
        <vt:i4>0</vt:i4>
      </vt:variant>
      <vt:variant>
        <vt:i4>5</vt:i4>
      </vt:variant>
      <vt:variant>
        <vt:lpwstr>mailto:yxo1@cdc.gov</vt:lpwstr>
      </vt:variant>
      <vt:variant>
        <vt:lpwstr/>
      </vt:variant>
      <vt:variant>
        <vt:i4>1114222</vt:i4>
      </vt:variant>
      <vt:variant>
        <vt:i4>165</vt:i4>
      </vt:variant>
      <vt:variant>
        <vt:i4>0</vt:i4>
      </vt:variant>
      <vt:variant>
        <vt:i4>5</vt:i4>
      </vt:variant>
      <vt:variant>
        <vt:lpwstr>mailto:bwt4@cdc.gov</vt:lpwstr>
      </vt:variant>
      <vt:variant>
        <vt:lpwstr/>
      </vt:variant>
      <vt:variant>
        <vt:i4>5243005</vt:i4>
      </vt:variant>
      <vt:variant>
        <vt:i4>162</vt:i4>
      </vt:variant>
      <vt:variant>
        <vt:i4>0</vt:i4>
      </vt:variant>
      <vt:variant>
        <vt:i4>5</vt:i4>
      </vt:variant>
      <vt:variant>
        <vt:lpwstr>mailto:louise.murphy@cdc.hhs.gov</vt:lpwstr>
      </vt:variant>
      <vt:variant>
        <vt:lpwstr/>
      </vt:variant>
      <vt:variant>
        <vt:i4>6357060</vt:i4>
      </vt:variant>
      <vt:variant>
        <vt:i4>159</vt:i4>
      </vt:variant>
      <vt:variant>
        <vt:i4>0</vt:i4>
      </vt:variant>
      <vt:variant>
        <vt:i4>5</vt:i4>
      </vt:variant>
      <vt:variant>
        <vt:lpwstr>mailto:fleetwood.loustalot@cdc.hhs.gov</vt:lpwstr>
      </vt:variant>
      <vt:variant>
        <vt:lpwstr/>
      </vt:variant>
      <vt:variant>
        <vt:i4>1179775</vt:i4>
      </vt:variant>
      <vt:variant>
        <vt:i4>156</vt:i4>
      </vt:variant>
      <vt:variant>
        <vt:i4>0</vt:i4>
      </vt:variant>
      <vt:variant>
        <vt:i4>5</vt:i4>
      </vt:variant>
      <vt:variant>
        <vt:lpwstr>mailto:Ycl1@cdc.gov</vt:lpwstr>
      </vt:variant>
      <vt:variant>
        <vt:lpwstr/>
      </vt:variant>
      <vt:variant>
        <vt:i4>7274571</vt:i4>
      </vt:variant>
      <vt:variant>
        <vt:i4>153</vt:i4>
      </vt:variant>
      <vt:variant>
        <vt:i4>0</vt:i4>
      </vt:variant>
      <vt:variant>
        <vt:i4>5</vt:i4>
      </vt:variant>
      <vt:variant>
        <vt:lpwstr>mailto:Rosemarie.kobau@cdc.hhs.gov</vt:lpwstr>
      </vt:variant>
      <vt:variant>
        <vt:lpwstr/>
      </vt:variant>
      <vt:variant>
        <vt:i4>3342340</vt:i4>
      </vt:variant>
      <vt:variant>
        <vt:i4>150</vt:i4>
      </vt:variant>
      <vt:variant>
        <vt:i4>0</vt:i4>
      </vt:variant>
      <vt:variant>
        <vt:i4>5</vt:i4>
      </vt:variant>
      <vt:variant>
        <vt:lpwstr>mailto:martha.engstrom@cdc.hhs.gov</vt:lpwstr>
      </vt:variant>
      <vt:variant>
        <vt:lpwstr/>
      </vt:variant>
      <vt:variant>
        <vt:i4>852016</vt:i4>
      </vt:variant>
      <vt:variant>
        <vt:i4>147</vt:i4>
      </vt:variant>
      <vt:variant>
        <vt:i4>0</vt:i4>
      </vt:variant>
      <vt:variant>
        <vt:i4>5</vt:i4>
      </vt:variant>
      <vt:variant>
        <vt:lpwstr>mailto:kday@cdc.gov</vt:lpwstr>
      </vt:variant>
      <vt:variant>
        <vt:lpwstr/>
      </vt:variant>
      <vt:variant>
        <vt:i4>5046395</vt:i4>
      </vt:variant>
      <vt:variant>
        <vt:i4>144</vt:i4>
      </vt:variant>
      <vt:variant>
        <vt:i4>0</vt:i4>
      </vt:variant>
      <vt:variant>
        <vt:i4>5</vt:i4>
      </vt:variant>
      <vt:variant>
        <vt:lpwstr>mailto:Seraphine.pittbarnes@cdc.hhs.gov</vt:lpwstr>
      </vt:variant>
      <vt:variant>
        <vt:lpwstr/>
      </vt:variant>
      <vt:variant>
        <vt:i4>1245247</vt:i4>
      </vt:variant>
      <vt:variant>
        <vt:i4>56</vt:i4>
      </vt:variant>
      <vt:variant>
        <vt:i4>0</vt:i4>
      </vt:variant>
      <vt:variant>
        <vt:i4>5</vt:i4>
      </vt:variant>
      <vt:variant>
        <vt:lpwstr/>
      </vt:variant>
      <vt:variant>
        <vt:lpwstr>_Toc319417466</vt:lpwstr>
      </vt:variant>
      <vt:variant>
        <vt:i4>1245247</vt:i4>
      </vt:variant>
      <vt:variant>
        <vt:i4>53</vt:i4>
      </vt:variant>
      <vt:variant>
        <vt:i4>0</vt:i4>
      </vt:variant>
      <vt:variant>
        <vt:i4>5</vt:i4>
      </vt:variant>
      <vt:variant>
        <vt:lpwstr/>
      </vt:variant>
      <vt:variant>
        <vt:lpwstr>_Toc319417465</vt:lpwstr>
      </vt:variant>
      <vt:variant>
        <vt:i4>1245247</vt:i4>
      </vt:variant>
      <vt:variant>
        <vt:i4>50</vt:i4>
      </vt:variant>
      <vt:variant>
        <vt:i4>0</vt:i4>
      </vt:variant>
      <vt:variant>
        <vt:i4>5</vt:i4>
      </vt:variant>
      <vt:variant>
        <vt:lpwstr/>
      </vt:variant>
      <vt:variant>
        <vt:lpwstr>_Toc319417464</vt:lpwstr>
      </vt:variant>
      <vt:variant>
        <vt:i4>1245247</vt:i4>
      </vt:variant>
      <vt:variant>
        <vt:i4>47</vt:i4>
      </vt:variant>
      <vt:variant>
        <vt:i4>0</vt:i4>
      </vt:variant>
      <vt:variant>
        <vt:i4>5</vt:i4>
      </vt:variant>
      <vt:variant>
        <vt:lpwstr/>
      </vt:variant>
      <vt:variant>
        <vt:lpwstr>_Toc319417463</vt:lpwstr>
      </vt:variant>
      <vt:variant>
        <vt:i4>1245247</vt:i4>
      </vt:variant>
      <vt:variant>
        <vt:i4>44</vt:i4>
      </vt:variant>
      <vt:variant>
        <vt:i4>0</vt:i4>
      </vt:variant>
      <vt:variant>
        <vt:i4>5</vt:i4>
      </vt:variant>
      <vt:variant>
        <vt:lpwstr/>
      </vt:variant>
      <vt:variant>
        <vt:lpwstr>_Toc319417462</vt:lpwstr>
      </vt:variant>
      <vt:variant>
        <vt:i4>1245247</vt:i4>
      </vt:variant>
      <vt:variant>
        <vt:i4>41</vt:i4>
      </vt:variant>
      <vt:variant>
        <vt:i4>0</vt:i4>
      </vt:variant>
      <vt:variant>
        <vt:i4>5</vt:i4>
      </vt:variant>
      <vt:variant>
        <vt:lpwstr/>
      </vt:variant>
      <vt:variant>
        <vt:lpwstr>_Toc319417461</vt:lpwstr>
      </vt:variant>
      <vt:variant>
        <vt:i4>1245247</vt:i4>
      </vt:variant>
      <vt:variant>
        <vt:i4>38</vt:i4>
      </vt:variant>
      <vt:variant>
        <vt:i4>0</vt:i4>
      </vt:variant>
      <vt:variant>
        <vt:i4>5</vt:i4>
      </vt:variant>
      <vt:variant>
        <vt:lpwstr/>
      </vt:variant>
      <vt:variant>
        <vt:lpwstr>_Toc319417460</vt:lpwstr>
      </vt:variant>
      <vt:variant>
        <vt:i4>1048639</vt:i4>
      </vt:variant>
      <vt:variant>
        <vt:i4>35</vt:i4>
      </vt:variant>
      <vt:variant>
        <vt:i4>0</vt:i4>
      </vt:variant>
      <vt:variant>
        <vt:i4>5</vt:i4>
      </vt:variant>
      <vt:variant>
        <vt:lpwstr/>
      </vt:variant>
      <vt:variant>
        <vt:lpwstr>_Toc319417459</vt:lpwstr>
      </vt:variant>
      <vt:variant>
        <vt:i4>1048639</vt:i4>
      </vt:variant>
      <vt:variant>
        <vt:i4>32</vt:i4>
      </vt:variant>
      <vt:variant>
        <vt:i4>0</vt:i4>
      </vt:variant>
      <vt:variant>
        <vt:i4>5</vt:i4>
      </vt:variant>
      <vt:variant>
        <vt:lpwstr/>
      </vt:variant>
      <vt:variant>
        <vt:lpwstr>_Toc319417458</vt:lpwstr>
      </vt:variant>
      <vt:variant>
        <vt:i4>1048639</vt:i4>
      </vt:variant>
      <vt:variant>
        <vt:i4>29</vt:i4>
      </vt:variant>
      <vt:variant>
        <vt:i4>0</vt:i4>
      </vt:variant>
      <vt:variant>
        <vt:i4>5</vt:i4>
      </vt:variant>
      <vt:variant>
        <vt:lpwstr/>
      </vt:variant>
      <vt:variant>
        <vt:lpwstr>_Toc319417457</vt:lpwstr>
      </vt:variant>
      <vt:variant>
        <vt:i4>1048639</vt:i4>
      </vt:variant>
      <vt:variant>
        <vt:i4>26</vt:i4>
      </vt:variant>
      <vt:variant>
        <vt:i4>0</vt:i4>
      </vt:variant>
      <vt:variant>
        <vt:i4>5</vt:i4>
      </vt:variant>
      <vt:variant>
        <vt:lpwstr/>
      </vt:variant>
      <vt:variant>
        <vt:lpwstr>_Toc319417456</vt:lpwstr>
      </vt:variant>
      <vt:variant>
        <vt:i4>1048639</vt:i4>
      </vt:variant>
      <vt:variant>
        <vt:i4>23</vt:i4>
      </vt:variant>
      <vt:variant>
        <vt:i4>0</vt:i4>
      </vt:variant>
      <vt:variant>
        <vt:i4>5</vt:i4>
      </vt:variant>
      <vt:variant>
        <vt:lpwstr/>
      </vt:variant>
      <vt:variant>
        <vt:lpwstr>_Toc319417455</vt:lpwstr>
      </vt:variant>
      <vt:variant>
        <vt:i4>1048639</vt:i4>
      </vt:variant>
      <vt:variant>
        <vt:i4>20</vt:i4>
      </vt:variant>
      <vt:variant>
        <vt:i4>0</vt:i4>
      </vt:variant>
      <vt:variant>
        <vt:i4>5</vt:i4>
      </vt:variant>
      <vt:variant>
        <vt:lpwstr/>
      </vt:variant>
      <vt:variant>
        <vt:lpwstr>_Toc319417454</vt:lpwstr>
      </vt:variant>
      <vt:variant>
        <vt:i4>1048639</vt:i4>
      </vt:variant>
      <vt:variant>
        <vt:i4>17</vt:i4>
      </vt:variant>
      <vt:variant>
        <vt:i4>0</vt:i4>
      </vt:variant>
      <vt:variant>
        <vt:i4>5</vt:i4>
      </vt:variant>
      <vt:variant>
        <vt:lpwstr/>
      </vt:variant>
      <vt:variant>
        <vt:lpwstr>_Toc319417453</vt:lpwstr>
      </vt:variant>
      <vt:variant>
        <vt:i4>1048639</vt:i4>
      </vt:variant>
      <vt:variant>
        <vt:i4>14</vt:i4>
      </vt:variant>
      <vt:variant>
        <vt:i4>0</vt:i4>
      </vt:variant>
      <vt:variant>
        <vt:i4>5</vt:i4>
      </vt:variant>
      <vt:variant>
        <vt:lpwstr/>
      </vt:variant>
      <vt:variant>
        <vt:lpwstr>_Toc319417452</vt:lpwstr>
      </vt:variant>
      <vt:variant>
        <vt:i4>1048639</vt:i4>
      </vt:variant>
      <vt:variant>
        <vt:i4>11</vt:i4>
      </vt:variant>
      <vt:variant>
        <vt:i4>0</vt:i4>
      </vt:variant>
      <vt:variant>
        <vt:i4>5</vt:i4>
      </vt:variant>
      <vt:variant>
        <vt:lpwstr/>
      </vt:variant>
      <vt:variant>
        <vt:lpwstr>_Toc319417451</vt:lpwstr>
      </vt:variant>
      <vt:variant>
        <vt:i4>1048639</vt:i4>
      </vt:variant>
      <vt:variant>
        <vt:i4>8</vt:i4>
      </vt:variant>
      <vt:variant>
        <vt:i4>0</vt:i4>
      </vt:variant>
      <vt:variant>
        <vt:i4>5</vt:i4>
      </vt:variant>
      <vt:variant>
        <vt:lpwstr/>
      </vt:variant>
      <vt:variant>
        <vt:lpwstr>_Toc319417450</vt:lpwstr>
      </vt:variant>
      <vt:variant>
        <vt:i4>1114175</vt:i4>
      </vt:variant>
      <vt:variant>
        <vt:i4>5</vt:i4>
      </vt:variant>
      <vt:variant>
        <vt:i4>0</vt:i4>
      </vt:variant>
      <vt:variant>
        <vt:i4>5</vt:i4>
      </vt:variant>
      <vt:variant>
        <vt:lpwstr/>
      </vt:variant>
      <vt:variant>
        <vt:lpwstr>_Toc319417449</vt:lpwstr>
      </vt:variant>
      <vt:variant>
        <vt:i4>1114175</vt:i4>
      </vt:variant>
      <vt:variant>
        <vt:i4>2</vt:i4>
      </vt:variant>
      <vt:variant>
        <vt:i4>0</vt:i4>
      </vt:variant>
      <vt:variant>
        <vt:i4>5</vt:i4>
      </vt:variant>
      <vt:variant>
        <vt:lpwstr/>
      </vt:variant>
      <vt:variant>
        <vt:lpwstr>_Toc319417448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Rogers</dc:creator>
  <cp:lastModifiedBy>CDC User</cp:lastModifiedBy>
  <cp:revision>5</cp:revision>
  <cp:lastPrinted>2013-02-28T13:28:00Z</cp:lastPrinted>
  <dcterms:created xsi:type="dcterms:W3CDTF">2013-07-11T17:20:00Z</dcterms:created>
  <dcterms:modified xsi:type="dcterms:W3CDTF">2013-08-06T14:08:00Z</dcterms:modified>
</cp:coreProperties>
</file>