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ED4E62" w:rsidRPr="00ED4E62" w:rsidRDefault="00ED4E62" w:rsidP="00ED4E62">
      <w:pPr>
        <w:tabs>
          <w:tab w:val="center" w:pos="4680"/>
        </w:tabs>
        <w:spacing w:before="120"/>
        <w:jc w:val="center"/>
        <w:rPr>
          <w:b/>
          <w:bCs/>
          <w:sz w:val="32"/>
          <w:szCs w:val="32"/>
        </w:rPr>
      </w:pPr>
      <w:r w:rsidRPr="00ED4E62">
        <w:rPr>
          <w:b/>
          <w:bCs/>
          <w:sz w:val="32"/>
          <w:szCs w:val="32"/>
        </w:rPr>
        <w:t xml:space="preserve">Supporting Statement for the </w:t>
      </w:r>
    </w:p>
    <w:p w:rsidR="00ED4E62" w:rsidRPr="00ED4E62" w:rsidRDefault="00ED4E62" w:rsidP="00ED4E62">
      <w:pPr>
        <w:tabs>
          <w:tab w:val="center" w:pos="4680"/>
        </w:tabs>
        <w:spacing w:before="120"/>
        <w:jc w:val="center"/>
        <w:rPr>
          <w:b/>
          <w:bCs/>
          <w:sz w:val="32"/>
          <w:szCs w:val="32"/>
        </w:rPr>
      </w:pPr>
      <w:r w:rsidRPr="00ED4E62">
        <w:rPr>
          <w:b/>
          <w:bCs/>
          <w:sz w:val="32"/>
          <w:szCs w:val="32"/>
        </w:rPr>
        <w:t>Rural Health Community-Based Grant Programs</w:t>
      </w:r>
    </w:p>
    <w:p w:rsidR="00ED4E62" w:rsidRPr="00ED4E62" w:rsidRDefault="00ED4E62" w:rsidP="00ED4E62">
      <w:pPr>
        <w:tabs>
          <w:tab w:val="center" w:pos="4680"/>
        </w:tabs>
        <w:spacing w:before="120"/>
        <w:jc w:val="center"/>
        <w:rPr>
          <w:b/>
          <w:bCs/>
          <w:sz w:val="32"/>
          <w:szCs w:val="32"/>
        </w:rPr>
      </w:pPr>
      <w:r w:rsidRPr="00ED4E62">
        <w:rPr>
          <w:b/>
          <w:bCs/>
          <w:sz w:val="32"/>
          <w:szCs w:val="32"/>
        </w:rPr>
        <w:t xml:space="preserve">Data Collection Tool </w:t>
      </w:r>
    </w:p>
    <w:p w:rsidR="00BA1A0C" w:rsidRDefault="00BA1A0C" w:rsidP="0068553F">
      <w:pPr>
        <w:tabs>
          <w:tab w:val="center" w:pos="4680"/>
        </w:tabs>
        <w:spacing w:before="120"/>
        <w:rPr>
          <w:b/>
          <w:bCs/>
          <w:sz w:val="32"/>
          <w:szCs w:val="32"/>
        </w:rPr>
      </w:pP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w:t>
      </w:r>
      <w:r w:rsidR="00ED4E62">
        <w:rPr>
          <w:b/>
          <w:bCs/>
          <w:sz w:val="32"/>
          <w:szCs w:val="32"/>
        </w:rPr>
        <w:t>0354</w:t>
      </w:r>
    </w:p>
    <w:p w:rsidR="009B3794" w:rsidRPr="00BA1A0C" w:rsidRDefault="009B3794" w:rsidP="0068553F">
      <w:pPr>
        <w:tabs>
          <w:tab w:val="center" w:pos="4680"/>
        </w:tabs>
        <w:spacing w:before="120"/>
        <w:rPr>
          <w:b/>
          <w:bCs/>
          <w:sz w:val="32"/>
          <w:szCs w:val="32"/>
        </w:rPr>
      </w:pPr>
    </w:p>
    <w:p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816578">
        <w:rPr>
          <w:b/>
          <w:sz w:val="24"/>
        </w:rPr>
        <w:t>None</w:t>
      </w:r>
    </w:p>
    <w:p w:rsidR="009B3794" w:rsidRDefault="009B3794" w:rsidP="00CA3DA6">
      <w:pPr>
        <w:spacing w:before="120"/>
        <w:rPr>
          <w:b/>
          <w:bCs/>
          <w:sz w:val="24"/>
        </w:rPr>
      </w:pPr>
      <w:r>
        <w:rPr>
          <w:b/>
          <w:bCs/>
          <w:sz w:val="24"/>
        </w:rPr>
        <w:t>A.</w:t>
      </w:r>
      <w:r>
        <w:rPr>
          <w:b/>
          <w:bCs/>
          <w:sz w:val="24"/>
        </w:rPr>
        <w:tab/>
        <w:t>Justification</w:t>
      </w:r>
    </w:p>
    <w:p w:rsidR="0049460A" w:rsidRPr="0049460A" w:rsidRDefault="0049460A" w:rsidP="0049460A">
      <w:pPr>
        <w:spacing w:before="240"/>
        <w:ind w:left="360"/>
        <w:rPr>
          <w:b/>
          <w:sz w:val="24"/>
          <w:u w:val="single"/>
        </w:rPr>
      </w:pPr>
      <w:r w:rsidRPr="0049460A">
        <w:rPr>
          <w:b/>
          <w:sz w:val="24"/>
        </w:rPr>
        <w:t>1.</w:t>
      </w:r>
      <w:r w:rsidRPr="0049460A">
        <w:rPr>
          <w:b/>
          <w:sz w:val="24"/>
        </w:rPr>
        <w:tab/>
      </w:r>
      <w:r w:rsidRPr="0049460A">
        <w:rPr>
          <w:b/>
          <w:sz w:val="24"/>
          <w:u w:val="single"/>
        </w:rPr>
        <w:t>Circumstances Making the Collection of Information Necessary</w:t>
      </w:r>
    </w:p>
    <w:p w:rsidR="0049460A" w:rsidRPr="0049460A" w:rsidRDefault="0049460A" w:rsidP="00816578">
      <w:pPr>
        <w:spacing w:before="240"/>
        <w:ind w:left="360"/>
        <w:rPr>
          <w:sz w:val="24"/>
        </w:rPr>
      </w:pPr>
      <w:r w:rsidRPr="0049460A">
        <w:rPr>
          <w:sz w:val="24"/>
        </w:rPr>
        <w:t xml:space="preserve">The Health Resources and Services Administration (HRSA)’s Office of Rural Health Policy (ORHP) is requesting OMB approval to collect information on grantee activities and performance measures electronically through the Performance Improvement and Measurement System (PIMS).  This activity will collect information for the Rural Health Information Technology Network Development Program (RHITND) to provide HRSA with information on grant activities funded under this program, as well as information to meet requirements under the Government Performance and Results Act of 1993 (GPRA).  </w:t>
      </w:r>
    </w:p>
    <w:p w:rsidR="0049460A" w:rsidRPr="0049460A" w:rsidRDefault="0049460A" w:rsidP="00816578">
      <w:pPr>
        <w:spacing w:before="240"/>
        <w:ind w:left="360"/>
        <w:rPr>
          <w:sz w:val="24"/>
        </w:rPr>
      </w:pPr>
      <w:proofErr w:type="gramStart"/>
      <w:r w:rsidRPr="0049460A">
        <w:rPr>
          <w:sz w:val="24"/>
        </w:rPr>
        <w:t>In its authorizing language (SEC. 711.</w:t>
      </w:r>
      <w:proofErr w:type="gramEnd"/>
      <w:r w:rsidRPr="0049460A">
        <w:rPr>
          <w:sz w:val="24"/>
        </w:rPr>
        <w:t xml:space="preserve"> [42 U.S.C. 912]), Congress charged ORHP with “administering grants, cooperative agreements, and contracts to provide technical assistance and other activities as necessary to support activities related to improving health care in rural areas”</w:t>
      </w:r>
      <w:r w:rsidR="007E3E9E">
        <w:rPr>
          <w:sz w:val="24"/>
        </w:rPr>
        <w:t>.</w:t>
      </w:r>
      <w:r w:rsidRPr="0049460A">
        <w:rPr>
          <w:sz w:val="24"/>
        </w:rPr>
        <w:t xml:space="preserve"> </w:t>
      </w:r>
      <w:r w:rsidR="007E3E9E">
        <w:rPr>
          <w:sz w:val="24"/>
        </w:rPr>
        <w:t xml:space="preserve"> </w:t>
      </w:r>
      <w:r w:rsidRPr="0049460A">
        <w:rPr>
          <w:sz w:val="24"/>
        </w:rPr>
        <w:t xml:space="preserve">ORHP’s mission is to sustain and improve access to quality health care services for rural communities. </w:t>
      </w:r>
    </w:p>
    <w:p w:rsidR="0049460A" w:rsidRPr="0068553F" w:rsidRDefault="0049460A" w:rsidP="0068553F">
      <w:pPr>
        <w:spacing w:before="240"/>
        <w:ind w:left="360"/>
        <w:rPr>
          <w:sz w:val="24"/>
        </w:rPr>
      </w:pPr>
      <w:r w:rsidRPr="0049460A">
        <w:rPr>
          <w:sz w:val="24"/>
        </w:rPr>
        <w:t xml:space="preserve">The RHITND Program is authorized under the Public Health Service Act, Section 330A(f) (42 U.S.C. 254c) as amended by Section 201, Public Law 107-251 of the Health Care Safety Net Amendments of 2002.  The intent of RHITND is to support the adoption and use of electronic health records (EHR) in coordination with the ongoing HHS activities related to the Health Information Technology for Economic and Clinical Health (HITECH) Act (Public Law 111-5).  This legislation provides </w:t>
      </w:r>
      <w:r w:rsidR="007E3E9E">
        <w:rPr>
          <w:sz w:val="24"/>
        </w:rPr>
        <w:t xml:space="preserve">the Department of </w:t>
      </w:r>
      <w:r w:rsidRPr="0049460A">
        <w:rPr>
          <w:sz w:val="24"/>
        </w:rPr>
        <w:t>Health and Human Services (HHS) with the authority to establish programs to improve health care quality, safety, and efficiency through the promotion of health information technology</w:t>
      </w:r>
      <w:r w:rsidR="00642F54">
        <w:rPr>
          <w:sz w:val="24"/>
        </w:rPr>
        <w:t xml:space="preserve"> (HIT)</w:t>
      </w:r>
      <w:r w:rsidRPr="0049460A">
        <w:rPr>
          <w:sz w:val="24"/>
        </w:rPr>
        <w:t xml:space="preserve">, including EHR. </w:t>
      </w:r>
    </w:p>
    <w:p w:rsidR="0049460A" w:rsidRPr="0049460A" w:rsidRDefault="0049460A" w:rsidP="00816578">
      <w:pPr>
        <w:spacing w:before="240"/>
        <w:ind w:left="360"/>
        <w:rPr>
          <w:sz w:val="24"/>
        </w:rPr>
      </w:pPr>
      <w:r w:rsidRPr="0049460A">
        <w:rPr>
          <w:sz w:val="24"/>
        </w:rPr>
        <w:t xml:space="preserve">HIT plays a significant role in the advancement of HHS’ priority policies to improve health care delivery. </w:t>
      </w:r>
      <w:r w:rsidR="009E279A">
        <w:rPr>
          <w:sz w:val="24"/>
        </w:rPr>
        <w:t xml:space="preserve"> </w:t>
      </w:r>
      <w:r w:rsidRPr="0049460A">
        <w:rPr>
          <w:sz w:val="24"/>
        </w:rPr>
        <w:t xml:space="preserve">Some of these priorities include: improving health care quality, safety, </w:t>
      </w:r>
      <w:r w:rsidR="00642F54">
        <w:rPr>
          <w:sz w:val="24"/>
        </w:rPr>
        <w:t xml:space="preserve">and </w:t>
      </w:r>
      <w:r w:rsidRPr="0049460A">
        <w:rPr>
          <w:sz w:val="24"/>
        </w:rPr>
        <w:t>efficiency</w:t>
      </w:r>
      <w:r w:rsidR="00642F54">
        <w:rPr>
          <w:sz w:val="24"/>
        </w:rPr>
        <w:t>;</w:t>
      </w:r>
      <w:r w:rsidRPr="0049460A">
        <w:rPr>
          <w:sz w:val="24"/>
        </w:rPr>
        <w:t xml:space="preserve"> reducing disparities</w:t>
      </w:r>
      <w:r w:rsidR="00642F54">
        <w:rPr>
          <w:sz w:val="24"/>
        </w:rPr>
        <w:t>;</w:t>
      </w:r>
      <w:r w:rsidRPr="0049460A">
        <w:rPr>
          <w:sz w:val="24"/>
        </w:rPr>
        <w:t xml:space="preserve"> engaging patients and families in managing their health</w:t>
      </w:r>
      <w:r w:rsidR="00642F54">
        <w:rPr>
          <w:sz w:val="24"/>
        </w:rPr>
        <w:t>;</w:t>
      </w:r>
      <w:r w:rsidRPr="0049460A">
        <w:rPr>
          <w:sz w:val="24"/>
        </w:rPr>
        <w:t xml:space="preserve"> enhancing care coordination</w:t>
      </w:r>
      <w:r w:rsidR="00642F54">
        <w:rPr>
          <w:sz w:val="24"/>
        </w:rPr>
        <w:t>;</w:t>
      </w:r>
      <w:r w:rsidRPr="0049460A">
        <w:rPr>
          <w:sz w:val="24"/>
        </w:rPr>
        <w:t xml:space="preserve"> improving population and public health</w:t>
      </w:r>
      <w:r w:rsidR="00642F54">
        <w:rPr>
          <w:sz w:val="24"/>
        </w:rPr>
        <w:t>;</w:t>
      </w:r>
      <w:r w:rsidRPr="0049460A">
        <w:rPr>
          <w:sz w:val="24"/>
        </w:rPr>
        <w:t xml:space="preserve"> and ensuring adequate </w:t>
      </w:r>
      <w:r w:rsidRPr="0049460A">
        <w:rPr>
          <w:sz w:val="24"/>
        </w:rPr>
        <w:lastRenderedPageBreak/>
        <w:t xml:space="preserve">privacy and security of health information. </w:t>
      </w:r>
      <w:r w:rsidR="009E279A">
        <w:rPr>
          <w:sz w:val="24"/>
        </w:rPr>
        <w:t xml:space="preserve"> </w:t>
      </w:r>
      <w:r w:rsidRPr="0049460A">
        <w:rPr>
          <w:sz w:val="24"/>
        </w:rPr>
        <w:t>The purpose of the program is to improve health care and support the adoption of HIT in rural America by providing targeted HIT support to rural health networks.</w:t>
      </w:r>
    </w:p>
    <w:p w:rsidR="0049460A" w:rsidRPr="0049460A" w:rsidRDefault="0049460A" w:rsidP="00816578">
      <w:pPr>
        <w:spacing w:before="240"/>
        <w:ind w:left="360"/>
        <w:rPr>
          <w:sz w:val="24"/>
        </w:rPr>
      </w:pPr>
      <w:r w:rsidRPr="0049460A">
        <w:rPr>
          <w:sz w:val="24"/>
        </w:rPr>
        <w:t>For this program, performance measures were drafted to provide data useful to the program and to enable HRSA to provide aggregate program data required by Congress under the Government Performance and Results Act (GPRA) of 1993 (Public Law 103-62).</w:t>
      </w:r>
      <w:r w:rsidR="00642F54">
        <w:rPr>
          <w:sz w:val="24"/>
        </w:rPr>
        <w:t xml:space="preserve"> </w:t>
      </w:r>
      <w:r w:rsidRPr="0049460A">
        <w:rPr>
          <w:sz w:val="24"/>
        </w:rPr>
        <w:t xml:space="preserve"> These measures cover the principal topic areas of interest to the Office of Rural Health Policy, including: (a) access to care; (b) the underinsured and uninsured; (c) workforce recruitment and retention; (d) sustainability; (e) health information technology; (f) network development; and (g) health related clinical measures.</w:t>
      </w:r>
      <w:r w:rsidR="00642F54">
        <w:rPr>
          <w:sz w:val="24"/>
        </w:rPr>
        <w:t xml:space="preserve"> </w:t>
      </w:r>
      <w:r w:rsidRPr="0049460A">
        <w:rPr>
          <w:sz w:val="24"/>
        </w:rPr>
        <w:t xml:space="preserve"> Several measures will be used for this program. </w:t>
      </w:r>
      <w:r w:rsidR="00642F54">
        <w:rPr>
          <w:sz w:val="24"/>
        </w:rPr>
        <w:t xml:space="preserve"> </w:t>
      </w:r>
      <w:r w:rsidRPr="0049460A">
        <w:rPr>
          <w:sz w:val="24"/>
        </w:rPr>
        <w:t>These measures will speak to the Office’s progress toward meeting the goals set.</w:t>
      </w:r>
    </w:p>
    <w:p w:rsidR="00816578" w:rsidRPr="0049460A" w:rsidRDefault="0049460A" w:rsidP="00816578">
      <w:pPr>
        <w:spacing w:before="240"/>
        <w:ind w:left="360"/>
        <w:rPr>
          <w:sz w:val="24"/>
        </w:rPr>
      </w:pPr>
      <w:r w:rsidRPr="0049460A">
        <w:rPr>
          <w:sz w:val="24"/>
        </w:rPr>
        <w:t xml:space="preserve">This request for approval is for information to be collected from the recipients of this grant program. </w:t>
      </w:r>
      <w:r w:rsidR="00642F54">
        <w:rPr>
          <w:sz w:val="24"/>
        </w:rPr>
        <w:t xml:space="preserve"> </w:t>
      </w:r>
      <w:r w:rsidRPr="0049460A">
        <w:rPr>
          <w:sz w:val="24"/>
        </w:rPr>
        <w:t>Grantees will provide information from their electronic records only on those activities for which their project received funds.</w:t>
      </w:r>
    </w:p>
    <w:p w:rsidR="00816578" w:rsidRDefault="00255959" w:rsidP="00816578">
      <w:pPr>
        <w:spacing w:before="240"/>
        <w:ind w:left="360"/>
        <w:rPr>
          <w:b/>
          <w:sz w:val="24"/>
          <w:u w:val="single"/>
        </w:rPr>
      </w:pPr>
      <w:r w:rsidRPr="00255959">
        <w:rPr>
          <w:b/>
          <w:sz w:val="24"/>
        </w:rPr>
        <w:t>2.</w:t>
      </w:r>
      <w:r>
        <w:rPr>
          <w:b/>
          <w:sz w:val="24"/>
          <w:u w:val="single"/>
        </w:rPr>
        <w:t xml:space="preserve"> </w:t>
      </w:r>
      <w:r w:rsidR="009B3794" w:rsidRPr="00255959">
        <w:rPr>
          <w:b/>
          <w:sz w:val="24"/>
          <w:u w:val="single"/>
        </w:rPr>
        <w:t>Purpose and Use of Information Collection</w:t>
      </w:r>
    </w:p>
    <w:p w:rsidR="00816578" w:rsidRDefault="00816578" w:rsidP="00816578">
      <w:pPr>
        <w:pStyle w:val="NoSpacing"/>
      </w:pPr>
    </w:p>
    <w:p w:rsidR="00904C43" w:rsidRPr="00904C43" w:rsidRDefault="00904C43" w:rsidP="00904C43">
      <w:pPr>
        <w:widowControl/>
        <w:suppressAutoHyphens/>
        <w:autoSpaceDE/>
        <w:autoSpaceDN/>
        <w:adjustRightInd/>
        <w:ind w:left="360"/>
        <w:rPr>
          <w:sz w:val="24"/>
          <w:lang w:eastAsia="ar-SA"/>
        </w:rPr>
      </w:pPr>
      <w:r w:rsidRPr="00904C43">
        <w:rPr>
          <w:sz w:val="24"/>
          <w:lang w:eastAsia="ar-SA"/>
        </w:rPr>
        <w:t>The measures presented in this document cover key topics of interest to HRSA’s ORHP and will provide quantitative information about the grant program performance.  The measures include: (a) the number of people served, (b) the demographics of patients served</w:t>
      </w:r>
      <w:r w:rsidR="00642F54">
        <w:rPr>
          <w:sz w:val="24"/>
          <w:lang w:eastAsia="ar-SA"/>
        </w:rPr>
        <w:t>,</w:t>
      </w:r>
      <w:r w:rsidRPr="00904C43">
        <w:rPr>
          <w:sz w:val="24"/>
          <w:lang w:eastAsia="ar-SA"/>
        </w:rPr>
        <w:t xml:space="preserve"> (c) the rural network characteristics (number and type of member organizations), (e) workforce and recruitment efforts (number and type of new staff hired and people trained), (f) sustainability efforts (project revenue, planning, and additional sources of funding), (g) types of health information technology implementation and expansion, and (h) number of members that have achieved HIT Meaningful Use Stage 1 criteria.  Grantees report on measures applicable to their awarded project; all measures will speak to the goals and objectives set forth in the HRSA and ORHP strategic plans.</w:t>
      </w:r>
    </w:p>
    <w:p w:rsidR="00904C43" w:rsidRPr="00904C43" w:rsidRDefault="00904C43" w:rsidP="00904C43">
      <w:pPr>
        <w:widowControl/>
        <w:tabs>
          <w:tab w:val="left" w:pos="3990"/>
        </w:tabs>
        <w:suppressAutoHyphens/>
        <w:autoSpaceDE/>
        <w:autoSpaceDN/>
        <w:adjustRightInd/>
        <w:rPr>
          <w:sz w:val="24"/>
          <w:lang w:eastAsia="ar-SA"/>
        </w:rPr>
      </w:pPr>
      <w:r w:rsidRPr="00904C43">
        <w:rPr>
          <w:sz w:val="24"/>
          <w:lang w:eastAsia="ar-SA"/>
        </w:rPr>
        <w:tab/>
      </w:r>
    </w:p>
    <w:p w:rsidR="00904C43" w:rsidRPr="00904C43" w:rsidRDefault="00904C43" w:rsidP="00904C43">
      <w:pPr>
        <w:widowControl/>
        <w:suppressAutoHyphens/>
        <w:autoSpaceDE/>
        <w:autoSpaceDN/>
        <w:adjustRightInd/>
        <w:ind w:left="360"/>
        <w:rPr>
          <w:sz w:val="24"/>
          <w:lang w:eastAsia="ar-SA"/>
        </w:rPr>
      </w:pPr>
      <w:r w:rsidRPr="00904C43">
        <w:rPr>
          <w:sz w:val="24"/>
          <w:lang w:eastAsia="ar-SA"/>
        </w:rPr>
        <w:t xml:space="preserve">The PIMS database will be capable of identifying and responding to the needs of the rural health community-based programs.  This activity will: </w:t>
      </w:r>
    </w:p>
    <w:p w:rsidR="00904C43" w:rsidRPr="00904C43" w:rsidRDefault="00904C43" w:rsidP="00904C43">
      <w:pPr>
        <w:widowControl/>
        <w:numPr>
          <w:ilvl w:val="0"/>
          <w:numId w:val="45"/>
        </w:numPr>
        <w:suppressAutoHyphens/>
        <w:autoSpaceDE/>
        <w:autoSpaceDN/>
        <w:adjustRightInd/>
        <w:rPr>
          <w:sz w:val="24"/>
          <w:lang w:eastAsia="ar-SA"/>
        </w:rPr>
      </w:pPr>
      <w:r w:rsidRPr="00904C43">
        <w:rPr>
          <w:sz w:val="24"/>
          <w:lang w:eastAsia="ar-SA"/>
        </w:rPr>
        <w:t>Provide standardized performance measure data sets for the RHITND grant program</w:t>
      </w:r>
    </w:p>
    <w:p w:rsidR="00904C43" w:rsidRPr="00904C43" w:rsidRDefault="00904C43" w:rsidP="00904C43">
      <w:pPr>
        <w:widowControl/>
        <w:numPr>
          <w:ilvl w:val="0"/>
          <w:numId w:val="45"/>
        </w:numPr>
        <w:suppressAutoHyphens/>
        <w:autoSpaceDE/>
        <w:autoSpaceDN/>
        <w:adjustRightInd/>
        <w:rPr>
          <w:sz w:val="24"/>
          <w:lang w:eastAsia="ar-SA"/>
        </w:rPr>
      </w:pPr>
      <w:r w:rsidRPr="00904C43">
        <w:rPr>
          <w:sz w:val="24"/>
          <w:lang w:eastAsia="ar-SA"/>
        </w:rPr>
        <w:t xml:space="preserve">Yield information on encounters and organizational characteristics for the RHITND  grant program </w:t>
      </w:r>
    </w:p>
    <w:p w:rsidR="00904C43" w:rsidRPr="00904C43" w:rsidRDefault="00904C43" w:rsidP="00904C43">
      <w:pPr>
        <w:widowControl/>
        <w:numPr>
          <w:ilvl w:val="0"/>
          <w:numId w:val="45"/>
        </w:numPr>
        <w:suppressAutoHyphens/>
        <w:autoSpaceDE/>
        <w:autoSpaceDN/>
        <w:adjustRightInd/>
        <w:rPr>
          <w:sz w:val="24"/>
          <w:lang w:eastAsia="ar-SA"/>
        </w:rPr>
      </w:pPr>
      <w:r w:rsidRPr="00904C43">
        <w:rPr>
          <w:sz w:val="24"/>
          <w:lang w:eastAsia="ar-SA"/>
        </w:rPr>
        <w:t>Facilitate the submission of data by the grantees and reports generated by ORHP, through use of standard formats, definitions, and electronic transmission</w:t>
      </w:r>
    </w:p>
    <w:p w:rsidR="00904C43" w:rsidRPr="00904C43" w:rsidRDefault="00904C43" w:rsidP="00904C43">
      <w:pPr>
        <w:widowControl/>
        <w:suppressAutoHyphens/>
        <w:autoSpaceDE/>
        <w:autoSpaceDN/>
        <w:adjustRightInd/>
        <w:rPr>
          <w:sz w:val="24"/>
          <w:lang w:eastAsia="ar-SA"/>
        </w:rPr>
      </w:pPr>
    </w:p>
    <w:p w:rsidR="00904C43" w:rsidRPr="00904C43" w:rsidRDefault="00904C43" w:rsidP="00904C43">
      <w:pPr>
        <w:widowControl/>
        <w:suppressAutoHyphens/>
        <w:autoSpaceDE/>
        <w:autoSpaceDN/>
        <w:adjustRightInd/>
        <w:ind w:left="360"/>
        <w:rPr>
          <w:sz w:val="24"/>
          <w:lang w:eastAsia="ar-SA"/>
        </w:rPr>
      </w:pPr>
      <w:r w:rsidRPr="00904C43">
        <w:rPr>
          <w:sz w:val="24"/>
          <w:lang w:eastAsia="ar-SA"/>
        </w:rPr>
        <w:t>The information will provide performance measures in a table format and will be completed by all ORHP grantees.  The standard report will provide data on program users, encounters and user demographic information.  In addition, the report will provide aggregated data by program and data across programs.</w:t>
      </w:r>
    </w:p>
    <w:p w:rsidR="00904C43" w:rsidRPr="00904C43" w:rsidRDefault="00904C43" w:rsidP="00904C43">
      <w:pPr>
        <w:widowControl/>
        <w:suppressAutoHyphens/>
        <w:autoSpaceDE/>
        <w:autoSpaceDN/>
        <w:adjustRightInd/>
        <w:ind w:left="360"/>
        <w:rPr>
          <w:sz w:val="24"/>
          <w:lang w:eastAsia="ar-SA"/>
        </w:rPr>
      </w:pPr>
    </w:p>
    <w:p w:rsidR="00255959" w:rsidRPr="00816578" w:rsidRDefault="00904C43" w:rsidP="00816578">
      <w:pPr>
        <w:widowControl/>
        <w:suppressAutoHyphens/>
        <w:autoSpaceDE/>
        <w:autoSpaceDN/>
        <w:adjustRightInd/>
        <w:ind w:left="360"/>
        <w:rPr>
          <w:b/>
          <w:sz w:val="24"/>
        </w:rPr>
      </w:pPr>
      <w:r w:rsidRPr="00904C43">
        <w:rPr>
          <w:b/>
          <w:sz w:val="24"/>
        </w:rPr>
        <w:lastRenderedPageBreak/>
        <w:t>Grantees will only provide information on the performance measures that are applicable to the activities funded through the grant program for which they are reporting.</w:t>
      </w:r>
    </w:p>
    <w:p w:rsidR="009B3794" w:rsidRDefault="00904C43" w:rsidP="00904C43">
      <w:pPr>
        <w:spacing w:before="240"/>
        <w:rPr>
          <w:sz w:val="24"/>
        </w:rPr>
      </w:pPr>
      <w:r w:rsidRPr="00904C43">
        <w:rPr>
          <w:b/>
          <w:sz w:val="24"/>
        </w:rPr>
        <w:t xml:space="preserve">3.   </w:t>
      </w:r>
      <w:r w:rsidR="009B3794">
        <w:rPr>
          <w:b/>
          <w:sz w:val="24"/>
          <w:u w:val="single"/>
        </w:rPr>
        <w:t>Use of Improved Information Technology and Burden Reduction</w:t>
      </w:r>
    </w:p>
    <w:p w:rsidR="00904C43" w:rsidRDefault="00904C43" w:rsidP="00904C43">
      <w:pPr>
        <w:widowControl/>
        <w:suppressAutoHyphens/>
        <w:autoSpaceDE/>
        <w:autoSpaceDN/>
        <w:adjustRightInd/>
        <w:ind w:left="360"/>
        <w:rPr>
          <w:sz w:val="24"/>
          <w:lang w:eastAsia="ar-SA"/>
        </w:rPr>
      </w:pPr>
    </w:p>
    <w:p w:rsidR="00904C43" w:rsidRPr="00816578" w:rsidRDefault="00904C43" w:rsidP="00816578">
      <w:pPr>
        <w:widowControl/>
        <w:suppressAutoHyphens/>
        <w:autoSpaceDE/>
        <w:autoSpaceDN/>
        <w:adjustRightInd/>
        <w:ind w:left="360"/>
        <w:rPr>
          <w:sz w:val="24"/>
          <w:lang w:eastAsia="ar-SA"/>
        </w:rPr>
      </w:pPr>
      <w:r w:rsidRPr="00904C43">
        <w:rPr>
          <w:sz w:val="24"/>
          <w:lang w:eastAsia="ar-SA"/>
        </w:rPr>
        <w:t xml:space="preserve">This activity is fully electronic.  Data will be collected through and maintained in a database in HRSA’s Electronic Handbook (EHB). </w:t>
      </w:r>
      <w:r w:rsidR="00642F54">
        <w:rPr>
          <w:sz w:val="24"/>
          <w:lang w:eastAsia="ar-SA"/>
        </w:rPr>
        <w:t xml:space="preserve"> </w:t>
      </w:r>
      <w:r w:rsidRPr="00904C43">
        <w:rPr>
          <w:sz w:val="24"/>
          <w:lang w:eastAsia="ar-SA"/>
        </w:rPr>
        <w:t>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w:t>
      </w:r>
      <w:r w:rsidR="00816578">
        <w:rPr>
          <w:sz w:val="24"/>
          <w:lang w:eastAsia="ar-SA"/>
        </w:rPr>
        <w:t>g data and analysis of the data.</w:t>
      </w:r>
    </w:p>
    <w:p w:rsidR="009B3794" w:rsidRDefault="00904C43" w:rsidP="00904C43">
      <w:pPr>
        <w:spacing w:before="240"/>
        <w:rPr>
          <w:b/>
          <w:sz w:val="24"/>
          <w:u w:val="single"/>
        </w:rPr>
      </w:pPr>
      <w:r>
        <w:rPr>
          <w:b/>
          <w:sz w:val="24"/>
        </w:rPr>
        <w:t xml:space="preserve">4.   </w:t>
      </w:r>
      <w:r w:rsidR="009B3794">
        <w:rPr>
          <w:b/>
          <w:sz w:val="24"/>
          <w:u w:val="single"/>
        </w:rPr>
        <w:t xml:space="preserve">Efforts </w:t>
      </w:r>
      <w:proofErr w:type="gramStart"/>
      <w:r w:rsidR="009B3794">
        <w:rPr>
          <w:b/>
          <w:sz w:val="24"/>
          <w:u w:val="single"/>
        </w:rPr>
        <w:t>to  Identify</w:t>
      </w:r>
      <w:proofErr w:type="gramEnd"/>
      <w:r w:rsidR="009B3794">
        <w:rPr>
          <w:b/>
          <w:sz w:val="24"/>
          <w:u w:val="single"/>
        </w:rPr>
        <w:t xml:space="preserve"> Duplication and Use of Similar Information</w:t>
      </w:r>
    </w:p>
    <w:p w:rsidR="00642BF4" w:rsidRDefault="00642BF4" w:rsidP="00B47B30">
      <w:pPr>
        <w:widowControl/>
        <w:suppressAutoHyphens/>
        <w:autoSpaceDE/>
        <w:autoSpaceDN/>
        <w:adjustRightInd/>
        <w:ind w:left="360"/>
        <w:rPr>
          <w:sz w:val="24"/>
          <w:lang w:eastAsia="ar-SA"/>
        </w:rPr>
      </w:pPr>
    </w:p>
    <w:p w:rsidR="00B47B30" w:rsidRPr="00B47B30" w:rsidRDefault="00B47B30" w:rsidP="00B47B30">
      <w:pPr>
        <w:widowControl/>
        <w:suppressAutoHyphens/>
        <w:autoSpaceDE/>
        <w:autoSpaceDN/>
        <w:adjustRightInd/>
        <w:ind w:left="360"/>
        <w:rPr>
          <w:sz w:val="24"/>
          <w:lang w:eastAsia="ar-SA"/>
        </w:rPr>
      </w:pPr>
      <w:r w:rsidRPr="00B47B30">
        <w:rPr>
          <w:sz w:val="24"/>
          <w:lang w:eastAsia="ar-SA"/>
        </w:rPr>
        <w:t xml:space="preserve">These data will be collected for the purposes of this program and are not available elsewhere. </w:t>
      </w:r>
    </w:p>
    <w:p w:rsidR="009B3794" w:rsidRDefault="00B47B30" w:rsidP="00B47B30">
      <w:pPr>
        <w:spacing w:before="240"/>
        <w:rPr>
          <w:b/>
          <w:sz w:val="24"/>
          <w:u w:val="single"/>
        </w:rPr>
      </w:pPr>
      <w:r w:rsidRPr="00B47B30">
        <w:rPr>
          <w:b/>
          <w:sz w:val="24"/>
        </w:rPr>
        <w:t>5</w:t>
      </w:r>
      <w:r>
        <w:rPr>
          <w:b/>
          <w:sz w:val="24"/>
        </w:rPr>
        <w:t>.</w:t>
      </w:r>
      <w:r w:rsidRPr="00B47B30">
        <w:rPr>
          <w:b/>
          <w:sz w:val="24"/>
        </w:rPr>
        <w:t xml:space="preserve">   </w:t>
      </w:r>
      <w:r w:rsidR="009B3794">
        <w:rPr>
          <w:b/>
          <w:sz w:val="24"/>
          <w:u w:val="single"/>
        </w:rPr>
        <w:t>Impact on Small Businesses or Other Small Entities</w:t>
      </w:r>
    </w:p>
    <w:p w:rsidR="00642BF4" w:rsidRDefault="00642BF4" w:rsidP="00B47B30">
      <w:pPr>
        <w:widowControl/>
        <w:suppressAutoHyphens/>
        <w:autoSpaceDE/>
        <w:autoSpaceDN/>
        <w:adjustRightInd/>
        <w:ind w:left="360"/>
        <w:rPr>
          <w:sz w:val="24"/>
          <w:lang w:eastAsia="ar-SA"/>
        </w:rPr>
      </w:pPr>
    </w:p>
    <w:p w:rsidR="00B47B30" w:rsidRPr="00816578" w:rsidRDefault="00B47B30" w:rsidP="00816578">
      <w:pPr>
        <w:widowControl/>
        <w:suppressAutoHyphens/>
        <w:autoSpaceDE/>
        <w:autoSpaceDN/>
        <w:adjustRightInd/>
        <w:ind w:left="360"/>
        <w:rPr>
          <w:sz w:val="24"/>
          <w:lang w:eastAsia="ar-SA"/>
        </w:rPr>
      </w:pPr>
      <w:r w:rsidRPr="00B47B30">
        <w:rPr>
          <w:sz w:val="24"/>
          <w:lang w:eastAsia="ar-SA"/>
        </w:rPr>
        <w:t xml:space="preserve">Every effort has been made to ensure the data requested are the minimum necessary to answer basic questions useful in determining whether grantee awarded goals and objectives are being met. </w:t>
      </w:r>
      <w:r w:rsidR="00642F54">
        <w:rPr>
          <w:sz w:val="24"/>
          <w:lang w:eastAsia="ar-SA"/>
        </w:rPr>
        <w:t xml:space="preserve"> </w:t>
      </w:r>
      <w:r w:rsidRPr="00B47B30">
        <w:rPr>
          <w:sz w:val="24"/>
          <w:lang w:eastAsia="ar-SA"/>
        </w:rPr>
        <w:t xml:space="preserve">Data requested are currently being collected by the projects or can be easily incorporated into normal project procedures. </w:t>
      </w:r>
      <w:r w:rsidR="00642F54">
        <w:rPr>
          <w:sz w:val="24"/>
          <w:lang w:eastAsia="ar-SA"/>
        </w:rPr>
        <w:t xml:space="preserve"> </w:t>
      </w:r>
      <w:r w:rsidRPr="00B47B30">
        <w:rPr>
          <w:sz w:val="24"/>
          <w:lang w:eastAsia="ar-SA"/>
        </w:rPr>
        <w:t>The data collection activities will not have a significant impact on small entities.</w:t>
      </w:r>
    </w:p>
    <w:p w:rsidR="009B3794" w:rsidRPr="00642BF4" w:rsidRDefault="009B3794" w:rsidP="00642BF4">
      <w:pPr>
        <w:numPr>
          <w:ilvl w:val="0"/>
          <w:numId w:val="46"/>
        </w:numPr>
        <w:spacing w:before="240"/>
        <w:rPr>
          <w:b/>
          <w:sz w:val="24"/>
        </w:rPr>
      </w:pPr>
      <w:r>
        <w:rPr>
          <w:b/>
          <w:sz w:val="24"/>
          <w:u w:val="single"/>
        </w:rPr>
        <w:t>Consequences of Collecting the Information Less Frequent</w:t>
      </w:r>
      <w:r w:rsidR="001325B2">
        <w:rPr>
          <w:b/>
          <w:sz w:val="24"/>
          <w:u w:val="single"/>
        </w:rPr>
        <w:t>ly</w:t>
      </w:r>
    </w:p>
    <w:p w:rsidR="00642BF4" w:rsidRDefault="00642BF4" w:rsidP="00642BF4">
      <w:pPr>
        <w:ind w:left="360"/>
      </w:pPr>
    </w:p>
    <w:p w:rsidR="00642BF4" w:rsidRPr="00A23414" w:rsidRDefault="00642BF4" w:rsidP="00642BF4">
      <w:pPr>
        <w:ind w:left="360"/>
        <w:rPr>
          <w:sz w:val="24"/>
        </w:rPr>
      </w:pPr>
      <w:r w:rsidRPr="00A23414">
        <w:rPr>
          <w:sz w:val="24"/>
        </w:rPr>
        <w:t xml:space="preserve">Data in response to these performance measures will be collected on an annual basis. </w:t>
      </w:r>
      <w:r w:rsidR="00642F54">
        <w:rPr>
          <w:sz w:val="24"/>
        </w:rPr>
        <w:t xml:space="preserve"> </w:t>
      </w:r>
      <w:r w:rsidRPr="00A23414">
        <w:rPr>
          <w:sz w:val="24"/>
        </w:rPr>
        <w:t xml:space="preserve">Grant dollars for these programs are awarded annually. </w:t>
      </w:r>
      <w:r w:rsidR="00642F54">
        <w:rPr>
          <w:sz w:val="24"/>
        </w:rPr>
        <w:t xml:space="preserve"> </w:t>
      </w:r>
      <w:r w:rsidRPr="00A23414">
        <w:rPr>
          <w:sz w:val="24"/>
        </w:rPr>
        <w:t>This information is needed by the program, ORHP and HRSA in order to measure effective use of grant dollars to report on progress toward strategic goals and objectives.  There are no legal obstacles to reduce the burden.</w:t>
      </w:r>
    </w:p>
    <w:p w:rsidR="00A23414" w:rsidRDefault="009B3794" w:rsidP="00816578">
      <w:pPr>
        <w:numPr>
          <w:ilvl w:val="0"/>
          <w:numId w:val="46"/>
        </w:numPr>
        <w:spacing w:before="240"/>
        <w:rPr>
          <w:b/>
          <w:sz w:val="24"/>
        </w:rPr>
      </w:pPr>
      <w:r>
        <w:rPr>
          <w:b/>
          <w:sz w:val="24"/>
          <w:u w:val="single"/>
        </w:rPr>
        <w:t>Special Circumstances Relating to the Guidelines of 5 CFR 1320.5</w:t>
      </w:r>
    </w:p>
    <w:p w:rsidR="00816578" w:rsidRPr="00816578" w:rsidRDefault="00816578" w:rsidP="00816578">
      <w:pPr>
        <w:pStyle w:val="NoSpacing"/>
      </w:pPr>
    </w:p>
    <w:p w:rsidR="00D90121" w:rsidRPr="00A23414" w:rsidRDefault="00D90121" w:rsidP="00D90121">
      <w:pPr>
        <w:ind w:left="360"/>
        <w:rPr>
          <w:sz w:val="24"/>
        </w:rPr>
      </w:pPr>
      <w:r w:rsidRPr="00A23414">
        <w:rPr>
          <w:sz w:val="24"/>
        </w:rPr>
        <w:t>This project is consistent with the guidelines in 5 CFR 1320.5(d</w:t>
      </w:r>
      <w:proofErr w:type="gramStart"/>
      <w:r w:rsidRPr="00A23414">
        <w:rPr>
          <w:sz w:val="24"/>
        </w:rPr>
        <w:t>)(</w:t>
      </w:r>
      <w:proofErr w:type="gramEnd"/>
      <w:r w:rsidRPr="00A23414">
        <w:rPr>
          <w:sz w:val="24"/>
        </w:rPr>
        <w:t>2).</w:t>
      </w:r>
    </w:p>
    <w:p w:rsidR="009B3794" w:rsidRDefault="009B3794" w:rsidP="00642BF4">
      <w:pPr>
        <w:numPr>
          <w:ilvl w:val="0"/>
          <w:numId w:val="46"/>
        </w:numPr>
        <w:spacing w:before="240"/>
        <w:rPr>
          <w:b/>
          <w:sz w:val="24"/>
        </w:rPr>
      </w:pPr>
      <w:r>
        <w:rPr>
          <w:b/>
          <w:iCs/>
          <w:sz w:val="24"/>
          <w:u w:val="single"/>
        </w:rPr>
        <w:t>Comments in Response to the Federal Register</w:t>
      </w:r>
      <w:r>
        <w:rPr>
          <w:b/>
          <w:sz w:val="24"/>
          <w:u w:val="single"/>
        </w:rPr>
        <w:t xml:space="preserve"> Notice/Outside Consultation</w:t>
      </w:r>
    </w:p>
    <w:p w:rsidR="009B3794" w:rsidRDefault="009B3794" w:rsidP="0000500C">
      <w:pPr>
        <w:spacing w:before="120"/>
        <w:ind w:left="360"/>
        <w:rPr>
          <w:sz w:val="24"/>
        </w:rPr>
      </w:pPr>
      <w:r w:rsidRPr="00313990">
        <w:rPr>
          <w:sz w:val="24"/>
        </w:rPr>
        <w:t xml:space="preserve">A 60-day Federal Register Notice was published in the </w:t>
      </w:r>
      <w:r w:rsidRPr="00313990">
        <w:rPr>
          <w:i/>
          <w:iCs/>
          <w:sz w:val="24"/>
        </w:rPr>
        <w:t xml:space="preserve">Federal Register </w:t>
      </w:r>
      <w:r w:rsidRPr="00313990">
        <w:rPr>
          <w:sz w:val="24"/>
        </w:rPr>
        <w:t xml:space="preserve">on </w:t>
      </w:r>
      <w:r w:rsidR="0000500C" w:rsidRPr="00313990">
        <w:rPr>
          <w:sz w:val="24"/>
        </w:rPr>
        <w:t>March 7, 2013</w:t>
      </w:r>
      <w:r w:rsidRPr="00313990">
        <w:rPr>
          <w:sz w:val="24"/>
        </w:rPr>
        <w:t xml:space="preserve">, vol. </w:t>
      </w:r>
      <w:r w:rsidR="0000500C" w:rsidRPr="00313990">
        <w:rPr>
          <w:sz w:val="24"/>
        </w:rPr>
        <w:t>78</w:t>
      </w:r>
      <w:r w:rsidRPr="00313990">
        <w:rPr>
          <w:sz w:val="24"/>
        </w:rPr>
        <w:t>, No.</w:t>
      </w:r>
      <w:r w:rsidR="00CE5AA9" w:rsidRPr="00313990">
        <w:rPr>
          <w:sz w:val="24"/>
        </w:rPr>
        <w:t xml:space="preserve"> </w:t>
      </w:r>
      <w:r w:rsidR="0000500C" w:rsidRPr="00313990">
        <w:rPr>
          <w:sz w:val="24"/>
        </w:rPr>
        <w:t>45</w:t>
      </w:r>
      <w:r w:rsidRPr="00313990">
        <w:rPr>
          <w:sz w:val="24"/>
        </w:rPr>
        <w:t xml:space="preserve">; pp. </w:t>
      </w:r>
      <w:r w:rsidR="0000500C" w:rsidRPr="00313990">
        <w:rPr>
          <w:sz w:val="24"/>
        </w:rPr>
        <w:t>14804</w:t>
      </w:r>
      <w:r w:rsidR="00816578">
        <w:rPr>
          <w:sz w:val="24"/>
        </w:rPr>
        <w:t xml:space="preserve">. </w:t>
      </w:r>
      <w:r w:rsidR="00642F54">
        <w:rPr>
          <w:sz w:val="24"/>
        </w:rPr>
        <w:t xml:space="preserve"> </w:t>
      </w:r>
      <w:r w:rsidR="00816578">
        <w:rPr>
          <w:sz w:val="24"/>
        </w:rPr>
        <w:t>There were</w:t>
      </w:r>
      <w:r w:rsidRPr="00313990">
        <w:rPr>
          <w:sz w:val="24"/>
        </w:rPr>
        <w:t xml:space="preserve"> no public comments.</w:t>
      </w:r>
    </w:p>
    <w:p w:rsidR="00D02E72" w:rsidRDefault="00D02E72" w:rsidP="00D02E72">
      <w:pPr>
        <w:widowControl/>
        <w:suppressAutoHyphens/>
        <w:autoSpaceDE/>
        <w:autoSpaceDN/>
        <w:adjustRightInd/>
        <w:ind w:left="360"/>
        <w:rPr>
          <w:sz w:val="24"/>
          <w:lang w:eastAsia="ar-SA"/>
        </w:rPr>
      </w:pPr>
    </w:p>
    <w:p w:rsidR="00D02E72" w:rsidRPr="00D02E72" w:rsidRDefault="00D02E72" w:rsidP="00D02E72">
      <w:pPr>
        <w:widowControl/>
        <w:suppressAutoHyphens/>
        <w:autoSpaceDE/>
        <w:autoSpaceDN/>
        <w:adjustRightInd/>
        <w:ind w:left="360"/>
        <w:rPr>
          <w:sz w:val="24"/>
          <w:lang w:eastAsia="ar-SA"/>
        </w:rPr>
      </w:pPr>
      <w:r w:rsidRPr="00D02E72">
        <w:rPr>
          <w:sz w:val="24"/>
          <w:lang w:eastAsia="ar-SA"/>
        </w:rPr>
        <w:lastRenderedPageBreak/>
        <w:t xml:space="preserve">In order to create a final set of performance measures that are useful for all program grantees, a large set of measures was vetted to nine or less participating grantee organizations in </w:t>
      </w:r>
      <w:r w:rsidR="008A187A" w:rsidRPr="00D02E72">
        <w:rPr>
          <w:sz w:val="24"/>
          <w:lang w:eastAsia="ar-SA"/>
        </w:rPr>
        <w:t>201</w:t>
      </w:r>
      <w:r w:rsidR="008A187A">
        <w:rPr>
          <w:sz w:val="24"/>
          <w:lang w:eastAsia="ar-SA"/>
        </w:rPr>
        <w:t>3</w:t>
      </w:r>
      <w:r w:rsidRPr="00D02E72">
        <w:rPr>
          <w:sz w:val="24"/>
          <w:lang w:eastAsia="ar-SA"/>
        </w:rPr>
        <w:t>. The following is a list of grantees that were consulted:</w:t>
      </w:r>
    </w:p>
    <w:p w:rsidR="00D02E72" w:rsidRPr="00D02E72" w:rsidRDefault="00D02E72" w:rsidP="00D02E72">
      <w:pPr>
        <w:widowControl/>
        <w:suppressAutoHyphens/>
        <w:autoSpaceDE/>
        <w:autoSpaceDN/>
        <w:adjustRightInd/>
        <w:ind w:left="360"/>
        <w:rPr>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608"/>
      </w:tblGrid>
      <w:tr w:rsidR="00D02E72" w:rsidRPr="00D02E72" w:rsidTr="00D206DB">
        <w:trPr>
          <w:trHeight w:val="332"/>
        </w:trPr>
        <w:tc>
          <w:tcPr>
            <w:tcW w:w="4968" w:type="dxa"/>
          </w:tcPr>
          <w:p w:rsidR="00D02E72" w:rsidRPr="00D02E72" w:rsidRDefault="00D02E72" w:rsidP="00D02E72">
            <w:pPr>
              <w:widowControl/>
              <w:suppressAutoHyphens/>
              <w:autoSpaceDE/>
              <w:autoSpaceDN/>
              <w:adjustRightInd/>
              <w:jc w:val="center"/>
              <w:rPr>
                <w:sz w:val="24"/>
                <w:lang w:eastAsia="ar-SA"/>
              </w:rPr>
            </w:pPr>
            <w:r w:rsidRPr="00D02E72">
              <w:rPr>
                <w:b/>
                <w:bCs/>
                <w:sz w:val="24"/>
                <w:lang w:eastAsia="ar-SA"/>
              </w:rPr>
              <w:t>Grantee Organization</w:t>
            </w:r>
          </w:p>
        </w:tc>
        <w:tc>
          <w:tcPr>
            <w:tcW w:w="4608" w:type="dxa"/>
          </w:tcPr>
          <w:p w:rsidR="00D02E72" w:rsidRPr="00D02E72" w:rsidRDefault="00D02E72" w:rsidP="00D02E72">
            <w:pPr>
              <w:widowControl/>
              <w:suppressAutoHyphens/>
              <w:autoSpaceDE/>
              <w:autoSpaceDN/>
              <w:adjustRightInd/>
              <w:jc w:val="center"/>
              <w:rPr>
                <w:sz w:val="24"/>
                <w:lang w:eastAsia="ar-SA"/>
              </w:rPr>
            </w:pPr>
            <w:r w:rsidRPr="00D02E72">
              <w:rPr>
                <w:b/>
                <w:bCs/>
                <w:sz w:val="24"/>
                <w:lang w:eastAsia="ar-SA"/>
              </w:rPr>
              <w:t>Grantee Name / Contact</w:t>
            </w:r>
          </w:p>
        </w:tc>
      </w:tr>
      <w:tr w:rsidR="00D02E72" w:rsidRPr="00D02E72" w:rsidTr="00D206DB">
        <w:tc>
          <w:tcPr>
            <w:tcW w:w="4968" w:type="dxa"/>
          </w:tcPr>
          <w:p w:rsidR="00D02E72" w:rsidRPr="00D02E72" w:rsidRDefault="00D02E72" w:rsidP="00D02E72">
            <w:pPr>
              <w:widowControl/>
              <w:suppressAutoHyphens/>
              <w:autoSpaceDE/>
              <w:autoSpaceDN/>
              <w:adjustRightInd/>
              <w:rPr>
                <w:bCs/>
                <w:sz w:val="24"/>
                <w:lang w:eastAsia="ar-SA"/>
              </w:rPr>
            </w:pPr>
            <w:r w:rsidRPr="00D02E72">
              <w:rPr>
                <w:bCs/>
                <w:sz w:val="24"/>
                <w:lang w:eastAsia="ar-SA"/>
              </w:rPr>
              <w:t>Alaska Native Tribal Health Consortium</w:t>
            </w:r>
          </w:p>
          <w:p w:rsidR="00D02E72" w:rsidRPr="00D02E72" w:rsidRDefault="00D02E72" w:rsidP="00D02E72">
            <w:pPr>
              <w:widowControl/>
              <w:suppressAutoHyphens/>
              <w:autoSpaceDE/>
              <w:autoSpaceDN/>
              <w:adjustRightInd/>
              <w:rPr>
                <w:b/>
                <w:bCs/>
                <w:sz w:val="24"/>
                <w:lang w:eastAsia="ar-SA"/>
              </w:rPr>
            </w:pPr>
            <w:r w:rsidRPr="00D02E72">
              <w:rPr>
                <w:bCs/>
                <w:sz w:val="24"/>
                <w:lang w:eastAsia="ar-SA"/>
              </w:rPr>
              <w:t>Alaska</w:t>
            </w:r>
          </w:p>
        </w:tc>
        <w:tc>
          <w:tcPr>
            <w:tcW w:w="4608" w:type="dxa"/>
          </w:tcPr>
          <w:p w:rsidR="00D02E72" w:rsidRPr="00D02E72" w:rsidRDefault="00D02E72" w:rsidP="00D02E72">
            <w:pPr>
              <w:widowControl/>
              <w:suppressAutoHyphens/>
              <w:autoSpaceDE/>
              <w:autoSpaceDN/>
              <w:adjustRightInd/>
              <w:rPr>
                <w:sz w:val="24"/>
                <w:lang w:eastAsia="ar-SA"/>
              </w:rPr>
            </w:pPr>
            <w:r w:rsidRPr="00D02E72">
              <w:rPr>
                <w:bCs/>
                <w:sz w:val="24"/>
                <w:lang w:eastAsia="ar-SA"/>
              </w:rPr>
              <w:t>Charmaine Ramos</w:t>
            </w:r>
            <w:r w:rsidRPr="00D02E72">
              <w:rPr>
                <w:sz w:val="24"/>
                <w:lang w:eastAsia="ar-SA"/>
              </w:rPr>
              <w:t xml:space="preserve"> </w:t>
            </w:r>
          </w:p>
          <w:p w:rsidR="00D02E72" w:rsidRPr="00D02E72" w:rsidRDefault="00D02E72" w:rsidP="00D02E72">
            <w:pPr>
              <w:widowControl/>
              <w:suppressAutoHyphens/>
              <w:autoSpaceDE/>
              <w:autoSpaceDN/>
              <w:adjustRightInd/>
              <w:rPr>
                <w:bCs/>
                <w:sz w:val="24"/>
                <w:lang w:eastAsia="ar-SA"/>
              </w:rPr>
            </w:pPr>
            <w:r w:rsidRPr="00D02E72">
              <w:rPr>
                <w:bCs/>
                <w:sz w:val="24"/>
                <w:lang w:eastAsia="ar-SA"/>
              </w:rPr>
              <w:t>Director of RASU RHIT Network</w:t>
            </w:r>
          </w:p>
          <w:p w:rsidR="00D02E72" w:rsidRPr="00D02E72" w:rsidRDefault="00D02E72" w:rsidP="00D02E72">
            <w:pPr>
              <w:widowControl/>
              <w:suppressAutoHyphens/>
              <w:autoSpaceDE/>
              <w:autoSpaceDN/>
              <w:adjustRightInd/>
              <w:rPr>
                <w:bCs/>
                <w:sz w:val="24"/>
                <w:lang w:eastAsia="ar-SA"/>
              </w:rPr>
            </w:pPr>
            <w:r w:rsidRPr="00D02E72">
              <w:rPr>
                <w:bCs/>
                <w:sz w:val="24"/>
                <w:lang w:eastAsia="ar-SA"/>
              </w:rPr>
              <w:t>Alaska</w:t>
            </w:r>
          </w:p>
          <w:p w:rsidR="00D02E72" w:rsidRPr="00D02E72" w:rsidRDefault="00D02E72" w:rsidP="00D02E72">
            <w:pPr>
              <w:widowControl/>
              <w:suppressAutoHyphens/>
              <w:autoSpaceDE/>
              <w:autoSpaceDN/>
              <w:adjustRightInd/>
              <w:rPr>
                <w:bCs/>
                <w:sz w:val="24"/>
                <w:lang w:eastAsia="ar-SA"/>
              </w:rPr>
            </w:pPr>
            <w:r w:rsidRPr="00D02E72">
              <w:rPr>
                <w:bCs/>
                <w:sz w:val="24"/>
                <w:lang w:eastAsia="ar-SA"/>
              </w:rPr>
              <w:t>907-729-2679</w:t>
            </w:r>
          </w:p>
          <w:p w:rsidR="00D02E72" w:rsidRPr="00D02E72" w:rsidRDefault="00D02E72" w:rsidP="00D02E72">
            <w:pPr>
              <w:widowControl/>
              <w:suppressAutoHyphens/>
              <w:autoSpaceDE/>
              <w:autoSpaceDN/>
              <w:adjustRightInd/>
              <w:rPr>
                <w:b/>
                <w:bCs/>
                <w:sz w:val="24"/>
                <w:lang w:eastAsia="ar-SA"/>
              </w:rPr>
            </w:pPr>
          </w:p>
        </w:tc>
      </w:tr>
      <w:tr w:rsidR="00D02E72" w:rsidRPr="00D02E72" w:rsidTr="00D206DB">
        <w:tc>
          <w:tcPr>
            <w:tcW w:w="4968" w:type="dxa"/>
          </w:tcPr>
          <w:p w:rsidR="00D02E72" w:rsidRPr="00D02E72" w:rsidRDefault="00D02E72" w:rsidP="00D02E72">
            <w:pPr>
              <w:widowControl/>
              <w:suppressAutoHyphens/>
              <w:autoSpaceDE/>
              <w:autoSpaceDN/>
              <w:adjustRightInd/>
              <w:rPr>
                <w:sz w:val="24"/>
                <w:lang w:eastAsia="ar-SA"/>
              </w:rPr>
            </w:pPr>
            <w:r w:rsidRPr="00D02E72">
              <w:rPr>
                <w:sz w:val="24"/>
                <w:lang w:eastAsia="ar-SA"/>
              </w:rPr>
              <w:t>Upper Midlands Rural Health Network</w:t>
            </w:r>
          </w:p>
          <w:p w:rsidR="00D02E72" w:rsidRPr="00D02E72" w:rsidRDefault="00D02E72" w:rsidP="00D02E72">
            <w:pPr>
              <w:widowControl/>
              <w:suppressAutoHyphens/>
              <w:autoSpaceDE/>
              <w:autoSpaceDN/>
              <w:adjustRightInd/>
              <w:rPr>
                <w:sz w:val="24"/>
                <w:lang w:eastAsia="ar-SA"/>
              </w:rPr>
            </w:pPr>
            <w:r w:rsidRPr="00D02E72">
              <w:rPr>
                <w:sz w:val="24"/>
                <w:lang w:eastAsia="ar-SA"/>
              </w:rPr>
              <w:t>South Carolina</w:t>
            </w:r>
          </w:p>
          <w:p w:rsidR="00D02E72" w:rsidRPr="00D02E72" w:rsidRDefault="00D02E72" w:rsidP="00D02E72">
            <w:pPr>
              <w:widowControl/>
              <w:suppressAutoHyphens/>
              <w:autoSpaceDE/>
              <w:autoSpaceDN/>
              <w:adjustRightInd/>
              <w:rPr>
                <w:sz w:val="24"/>
                <w:lang w:eastAsia="ar-SA"/>
              </w:rPr>
            </w:pPr>
          </w:p>
        </w:tc>
        <w:tc>
          <w:tcPr>
            <w:tcW w:w="4608" w:type="dxa"/>
          </w:tcPr>
          <w:p w:rsidR="00D02E72" w:rsidRPr="00D02E72" w:rsidRDefault="00D02E72" w:rsidP="00D02E72">
            <w:pPr>
              <w:widowControl/>
              <w:suppressAutoHyphens/>
              <w:autoSpaceDE/>
              <w:autoSpaceDN/>
              <w:adjustRightInd/>
              <w:ind w:left="-27"/>
              <w:rPr>
                <w:sz w:val="24"/>
                <w:lang w:eastAsia="ar-SA"/>
              </w:rPr>
            </w:pPr>
            <w:proofErr w:type="spellStart"/>
            <w:r w:rsidRPr="00D02E72">
              <w:rPr>
                <w:sz w:val="24"/>
                <w:lang w:eastAsia="ar-SA"/>
              </w:rPr>
              <w:t>Tambra</w:t>
            </w:r>
            <w:proofErr w:type="spellEnd"/>
            <w:r w:rsidRPr="00D02E72">
              <w:rPr>
                <w:sz w:val="24"/>
                <w:lang w:eastAsia="ar-SA"/>
              </w:rPr>
              <w:t xml:space="preserve"> Medley, Director</w:t>
            </w:r>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803-635-0217</w:t>
            </w:r>
          </w:p>
          <w:p w:rsidR="00D02E72" w:rsidRPr="00D02E72" w:rsidRDefault="00D02E72" w:rsidP="00D02E72">
            <w:pPr>
              <w:widowControl/>
              <w:suppressAutoHyphens/>
              <w:autoSpaceDE/>
              <w:autoSpaceDN/>
              <w:adjustRightInd/>
              <w:ind w:left="-27"/>
              <w:rPr>
                <w:sz w:val="24"/>
                <w:lang w:eastAsia="ar-SA"/>
              </w:rPr>
            </w:pPr>
          </w:p>
        </w:tc>
      </w:tr>
      <w:tr w:rsidR="00D02E72" w:rsidRPr="00D02E72" w:rsidTr="00D206DB">
        <w:tc>
          <w:tcPr>
            <w:tcW w:w="4968" w:type="dxa"/>
          </w:tcPr>
          <w:p w:rsidR="00D02E72" w:rsidRPr="00D02E72" w:rsidRDefault="00D02E72" w:rsidP="00D02E72">
            <w:pPr>
              <w:widowControl/>
              <w:suppressAutoHyphens/>
              <w:autoSpaceDE/>
              <w:autoSpaceDN/>
              <w:adjustRightInd/>
              <w:rPr>
                <w:sz w:val="24"/>
                <w:lang w:eastAsia="ar-SA"/>
              </w:rPr>
            </w:pPr>
            <w:r w:rsidRPr="00D02E72">
              <w:rPr>
                <w:sz w:val="24"/>
                <w:lang w:eastAsia="ar-SA"/>
              </w:rPr>
              <w:t xml:space="preserve">Greeley County Health Services - Western Kansas Frontier Information Network </w:t>
            </w:r>
          </w:p>
          <w:p w:rsidR="00D02E72" w:rsidRPr="00D02E72" w:rsidRDefault="00D02E72" w:rsidP="00D02E72">
            <w:pPr>
              <w:widowControl/>
              <w:suppressAutoHyphens/>
              <w:autoSpaceDE/>
              <w:autoSpaceDN/>
              <w:adjustRightInd/>
              <w:rPr>
                <w:sz w:val="24"/>
                <w:lang w:eastAsia="ar-SA"/>
              </w:rPr>
            </w:pPr>
            <w:r w:rsidRPr="00D02E72">
              <w:rPr>
                <w:sz w:val="24"/>
                <w:lang w:eastAsia="ar-SA"/>
              </w:rPr>
              <w:t>Kansas</w:t>
            </w:r>
          </w:p>
          <w:p w:rsidR="00D02E72" w:rsidRPr="00D02E72" w:rsidRDefault="00D02E72" w:rsidP="00D02E72">
            <w:pPr>
              <w:widowControl/>
              <w:suppressAutoHyphens/>
              <w:autoSpaceDE/>
              <w:autoSpaceDN/>
              <w:adjustRightInd/>
              <w:rPr>
                <w:sz w:val="24"/>
                <w:lang w:eastAsia="ar-SA"/>
              </w:rPr>
            </w:pPr>
          </w:p>
        </w:tc>
        <w:tc>
          <w:tcPr>
            <w:tcW w:w="4608" w:type="dxa"/>
          </w:tcPr>
          <w:p w:rsidR="00D02E72" w:rsidRPr="00D02E72" w:rsidRDefault="00D02E72" w:rsidP="00D02E72">
            <w:pPr>
              <w:widowControl/>
              <w:suppressAutoHyphens/>
              <w:autoSpaceDE/>
              <w:autoSpaceDN/>
              <w:adjustRightInd/>
              <w:ind w:left="-27"/>
              <w:rPr>
                <w:sz w:val="24"/>
                <w:lang w:eastAsia="ar-SA"/>
              </w:rPr>
            </w:pPr>
            <w:proofErr w:type="spellStart"/>
            <w:r w:rsidRPr="00D02E72">
              <w:rPr>
                <w:sz w:val="24"/>
                <w:lang w:eastAsia="ar-SA"/>
              </w:rPr>
              <w:t>Chrysanne</w:t>
            </w:r>
            <w:proofErr w:type="spellEnd"/>
            <w:r w:rsidRPr="00D02E72">
              <w:rPr>
                <w:sz w:val="24"/>
                <w:lang w:eastAsia="ar-SA"/>
              </w:rPr>
              <w:t xml:space="preserve"> </w:t>
            </w:r>
            <w:proofErr w:type="spellStart"/>
            <w:r w:rsidRPr="00D02E72">
              <w:rPr>
                <w:sz w:val="24"/>
                <w:lang w:eastAsia="ar-SA"/>
              </w:rPr>
              <w:t>Grund</w:t>
            </w:r>
            <w:proofErr w:type="spellEnd"/>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785-821-1104</w:t>
            </w:r>
          </w:p>
        </w:tc>
      </w:tr>
      <w:tr w:rsidR="00D02E72" w:rsidRPr="00D02E72" w:rsidTr="00D206DB">
        <w:tc>
          <w:tcPr>
            <w:tcW w:w="4968" w:type="dxa"/>
          </w:tcPr>
          <w:p w:rsidR="00D02E72" w:rsidRPr="00D02E72" w:rsidRDefault="00D02E72" w:rsidP="00D02E72">
            <w:pPr>
              <w:widowControl/>
              <w:suppressAutoHyphens/>
              <w:autoSpaceDE/>
              <w:autoSpaceDN/>
              <w:adjustRightInd/>
              <w:rPr>
                <w:sz w:val="24"/>
                <w:lang w:eastAsia="ar-SA"/>
              </w:rPr>
            </w:pPr>
            <w:r w:rsidRPr="00D02E72">
              <w:rPr>
                <w:sz w:val="24"/>
                <w:lang w:eastAsia="ar-SA"/>
              </w:rPr>
              <w:t xml:space="preserve">Project </w:t>
            </w:r>
            <w:proofErr w:type="spellStart"/>
            <w:r w:rsidRPr="00D02E72">
              <w:rPr>
                <w:sz w:val="24"/>
                <w:lang w:eastAsia="ar-SA"/>
              </w:rPr>
              <w:t>Infocare</w:t>
            </w:r>
            <w:proofErr w:type="spellEnd"/>
            <w:r w:rsidRPr="00D02E72">
              <w:rPr>
                <w:sz w:val="24"/>
                <w:lang w:eastAsia="ar-SA"/>
              </w:rPr>
              <w:t xml:space="preserve"> Network</w:t>
            </w:r>
          </w:p>
          <w:p w:rsidR="00D02E72" w:rsidRPr="00D02E72" w:rsidRDefault="00D02E72" w:rsidP="00D02E72">
            <w:pPr>
              <w:widowControl/>
              <w:suppressAutoHyphens/>
              <w:autoSpaceDE/>
              <w:autoSpaceDN/>
              <w:adjustRightInd/>
              <w:rPr>
                <w:sz w:val="24"/>
                <w:lang w:eastAsia="ar-SA"/>
              </w:rPr>
            </w:pPr>
            <w:r w:rsidRPr="00D02E72">
              <w:rPr>
                <w:sz w:val="24"/>
                <w:lang w:eastAsia="ar-SA"/>
              </w:rPr>
              <w:t>Missouri</w:t>
            </w:r>
            <w:r w:rsidRPr="00D02E72">
              <w:rPr>
                <w:sz w:val="24"/>
                <w:lang w:eastAsia="ar-SA"/>
              </w:rPr>
              <w:tab/>
            </w:r>
          </w:p>
        </w:tc>
        <w:tc>
          <w:tcPr>
            <w:tcW w:w="4608" w:type="dxa"/>
          </w:tcPr>
          <w:p w:rsidR="00D02E72" w:rsidRPr="00D02E72" w:rsidRDefault="00D02E72" w:rsidP="00D02E72">
            <w:pPr>
              <w:widowControl/>
              <w:suppressAutoHyphens/>
              <w:autoSpaceDE/>
              <w:autoSpaceDN/>
              <w:adjustRightInd/>
              <w:ind w:left="-27"/>
              <w:rPr>
                <w:sz w:val="24"/>
                <w:lang w:eastAsia="ar-SA"/>
              </w:rPr>
            </w:pPr>
            <w:r w:rsidRPr="00D02E72">
              <w:rPr>
                <w:sz w:val="24"/>
                <w:lang w:eastAsia="ar-SA"/>
              </w:rPr>
              <w:t xml:space="preserve">Karrie Ingram </w:t>
            </w:r>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Network Director</w:t>
            </w:r>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417-328-6251</w:t>
            </w:r>
          </w:p>
          <w:p w:rsidR="00D02E72" w:rsidRPr="00D02E72" w:rsidRDefault="00D02E72" w:rsidP="00D02E72">
            <w:pPr>
              <w:widowControl/>
              <w:suppressAutoHyphens/>
              <w:autoSpaceDE/>
              <w:autoSpaceDN/>
              <w:adjustRightInd/>
              <w:ind w:left="-27"/>
              <w:rPr>
                <w:sz w:val="24"/>
                <w:lang w:eastAsia="ar-SA"/>
              </w:rPr>
            </w:pPr>
          </w:p>
        </w:tc>
      </w:tr>
      <w:tr w:rsidR="00D02E72" w:rsidRPr="00D02E72" w:rsidTr="00D206DB">
        <w:tc>
          <w:tcPr>
            <w:tcW w:w="4968" w:type="dxa"/>
          </w:tcPr>
          <w:p w:rsidR="00D02E72" w:rsidRPr="00D02E72" w:rsidRDefault="00D02E72" w:rsidP="00D02E72">
            <w:pPr>
              <w:widowControl/>
              <w:suppressAutoHyphens/>
              <w:autoSpaceDE/>
              <w:autoSpaceDN/>
              <w:adjustRightInd/>
              <w:rPr>
                <w:sz w:val="24"/>
                <w:lang w:eastAsia="ar-SA"/>
              </w:rPr>
            </w:pPr>
            <w:r w:rsidRPr="00D02E72">
              <w:rPr>
                <w:sz w:val="24"/>
                <w:lang w:eastAsia="ar-SA"/>
              </w:rPr>
              <w:t>South Central South Dakota Access Network</w:t>
            </w:r>
          </w:p>
          <w:p w:rsidR="00D02E72" w:rsidRPr="00D02E72" w:rsidRDefault="00D02E72" w:rsidP="00D02E72">
            <w:pPr>
              <w:widowControl/>
              <w:suppressAutoHyphens/>
              <w:autoSpaceDE/>
              <w:autoSpaceDN/>
              <w:adjustRightInd/>
              <w:rPr>
                <w:sz w:val="24"/>
                <w:lang w:eastAsia="ar-SA"/>
              </w:rPr>
            </w:pPr>
            <w:r w:rsidRPr="00D02E72">
              <w:rPr>
                <w:sz w:val="24"/>
                <w:lang w:eastAsia="ar-SA"/>
              </w:rPr>
              <w:t xml:space="preserve">South Dakota </w:t>
            </w:r>
          </w:p>
          <w:p w:rsidR="00D02E72" w:rsidRPr="00D02E72" w:rsidRDefault="00D02E72" w:rsidP="00D02E72">
            <w:pPr>
              <w:widowControl/>
              <w:suppressAutoHyphens/>
              <w:autoSpaceDE/>
              <w:autoSpaceDN/>
              <w:adjustRightInd/>
              <w:rPr>
                <w:sz w:val="24"/>
                <w:lang w:eastAsia="ar-SA"/>
              </w:rPr>
            </w:pPr>
          </w:p>
        </w:tc>
        <w:tc>
          <w:tcPr>
            <w:tcW w:w="4608" w:type="dxa"/>
          </w:tcPr>
          <w:p w:rsidR="00D02E72" w:rsidRPr="00D02E72" w:rsidRDefault="00D02E72" w:rsidP="00D02E72">
            <w:pPr>
              <w:widowControl/>
              <w:suppressAutoHyphens/>
              <w:autoSpaceDE/>
              <w:autoSpaceDN/>
              <w:adjustRightInd/>
              <w:ind w:left="-27"/>
              <w:rPr>
                <w:sz w:val="24"/>
                <w:lang w:eastAsia="ar-SA"/>
              </w:rPr>
            </w:pPr>
            <w:r w:rsidRPr="00D02E72">
              <w:rPr>
                <w:sz w:val="24"/>
                <w:lang w:eastAsia="ar-SA"/>
              </w:rPr>
              <w:t xml:space="preserve">Amber </w:t>
            </w:r>
            <w:proofErr w:type="spellStart"/>
            <w:r w:rsidRPr="00D02E72">
              <w:rPr>
                <w:sz w:val="24"/>
                <w:lang w:eastAsia="ar-SA"/>
              </w:rPr>
              <w:t>Thede</w:t>
            </w:r>
            <w:proofErr w:type="spellEnd"/>
            <w:r w:rsidRPr="00D02E72">
              <w:rPr>
                <w:sz w:val="24"/>
                <w:lang w:eastAsia="ar-SA"/>
              </w:rPr>
              <w:t xml:space="preserve"> </w:t>
            </w:r>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Project Director</w:t>
            </w:r>
          </w:p>
          <w:p w:rsidR="00D02E72" w:rsidRPr="00D02E72" w:rsidRDefault="00D02E72" w:rsidP="00D02E72">
            <w:pPr>
              <w:widowControl/>
              <w:suppressAutoHyphens/>
              <w:autoSpaceDE/>
              <w:autoSpaceDN/>
              <w:adjustRightInd/>
              <w:ind w:left="-27"/>
              <w:rPr>
                <w:sz w:val="24"/>
                <w:lang w:eastAsia="ar-SA"/>
              </w:rPr>
            </w:pPr>
            <w:r w:rsidRPr="00D02E72">
              <w:rPr>
                <w:sz w:val="24"/>
                <w:lang w:eastAsia="ar-SA"/>
              </w:rPr>
              <w:t>605-842-7177</w:t>
            </w:r>
          </w:p>
          <w:p w:rsidR="00D02E72" w:rsidRPr="00D02E72" w:rsidRDefault="00D02E72" w:rsidP="00D02E72">
            <w:pPr>
              <w:widowControl/>
              <w:suppressAutoHyphens/>
              <w:autoSpaceDE/>
              <w:autoSpaceDN/>
              <w:adjustRightInd/>
              <w:ind w:left="-27"/>
              <w:rPr>
                <w:sz w:val="24"/>
                <w:lang w:eastAsia="ar-SA"/>
              </w:rPr>
            </w:pPr>
          </w:p>
        </w:tc>
      </w:tr>
    </w:tbl>
    <w:p w:rsidR="007B201B" w:rsidRPr="00313990" w:rsidRDefault="007B201B" w:rsidP="00816578">
      <w:pPr>
        <w:pStyle w:val="NoSpacing"/>
      </w:pPr>
    </w:p>
    <w:p w:rsidR="009B3794" w:rsidRPr="00C941D7" w:rsidRDefault="009B3794" w:rsidP="00642BF4">
      <w:pPr>
        <w:numPr>
          <w:ilvl w:val="0"/>
          <w:numId w:val="46"/>
        </w:numPr>
        <w:spacing w:before="240"/>
        <w:rPr>
          <w:b/>
          <w:sz w:val="24"/>
        </w:rPr>
      </w:pPr>
      <w:r>
        <w:rPr>
          <w:b/>
          <w:sz w:val="24"/>
          <w:u w:val="single"/>
        </w:rPr>
        <w:t>Explanation of any Payment/Gift to Respondents</w:t>
      </w:r>
    </w:p>
    <w:p w:rsidR="00C941D7" w:rsidRPr="00C941D7" w:rsidRDefault="00C941D7" w:rsidP="00C941D7">
      <w:pPr>
        <w:spacing w:before="240"/>
        <w:ind w:left="360"/>
        <w:rPr>
          <w:sz w:val="24"/>
        </w:rPr>
      </w:pPr>
      <w:r>
        <w:rPr>
          <w:sz w:val="24"/>
        </w:rPr>
        <w:t xml:space="preserve">Respondents will not receive payment or gifts and will not be </w:t>
      </w:r>
      <w:proofErr w:type="spellStart"/>
      <w:r>
        <w:rPr>
          <w:sz w:val="24"/>
        </w:rPr>
        <w:t>renumerated</w:t>
      </w:r>
      <w:proofErr w:type="spellEnd"/>
      <w:r>
        <w:rPr>
          <w:sz w:val="24"/>
        </w:rPr>
        <w:t>.</w:t>
      </w:r>
    </w:p>
    <w:p w:rsidR="009B3794" w:rsidRPr="00C941D7" w:rsidRDefault="009B3794" w:rsidP="00642BF4">
      <w:pPr>
        <w:numPr>
          <w:ilvl w:val="0"/>
          <w:numId w:val="46"/>
        </w:numPr>
        <w:spacing w:before="240"/>
        <w:rPr>
          <w:b/>
          <w:sz w:val="24"/>
        </w:rPr>
      </w:pPr>
      <w:r>
        <w:rPr>
          <w:b/>
          <w:sz w:val="24"/>
          <w:u w:val="single"/>
        </w:rPr>
        <w:t>Assurance of Confidentiality Provided to Respondents</w:t>
      </w:r>
    </w:p>
    <w:p w:rsidR="00C941D7" w:rsidRDefault="00C941D7" w:rsidP="00C941D7">
      <w:pPr>
        <w:ind w:left="360"/>
        <w:rPr>
          <w:sz w:val="24"/>
        </w:rPr>
      </w:pPr>
    </w:p>
    <w:p w:rsidR="00C941D7" w:rsidRPr="00C941D7" w:rsidRDefault="00C941D7" w:rsidP="00C941D7">
      <w:pPr>
        <w:ind w:left="360"/>
        <w:rPr>
          <w:sz w:val="24"/>
        </w:rPr>
      </w:pPr>
      <w:r w:rsidRPr="00C941D7">
        <w:rPr>
          <w:sz w:val="24"/>
        </w:rPr>
        <w:t xml:space="preserve">The data system does not involve the reporting of information about identifiable individuals; therefore, the Privacy Act is not applicable to this activity. </w:t>
      </w:r>
      <w:r w:rsidR="008A187A">
        <w:rPr>
          <w:sz w:val="24"/>
        </w:rPr>
        <w:t xml:space="preserve"> </w:t>
      </w:r>
      <w:r w:rsidRPr="00C941D7">
        <w:rPr>
          <w:sz w:val="24"/>
        </w:rPr>
        <w:t>The proposed performance measures will be used only in aggregate da</w:t>
      </w:r>
      <w:r w:rsidR="00816578">
        <w:rPr>
          <w:sz w:val="24"/>
        </w:rPr>
        <w:t>ta form for program activities.</w:t>
      </w:r>
    </w:p>
    <w:p w:rsidR="009B3794" w:rsidRPr="00471AA5" w:rsidRDefault="009B3794" w:rsidP="00642BF4">
      <w:pPr>
        <w:numPr>
          <w:ilvl w:val="0"/>
          <w:numId w:val="46"/>
        </w:numPr>
        <w:spacing w:before="240"/>
        <w:rPr>
          <w:b/>
          <w:sz w:val="24"/>
        </w:rPr>
      </w:pPr>
      <w:r>
        <w:rPr>
          <w:b/>
          <w:sz w:val="24"/>
          <w:u w:val="single"/>
        </w:rPr>
        <w:t>Justification for Sensitive Questions</w:t>
      </w:r>
    </w:p>
    <w:p w:rsidR="00471AA5" w:rsidRPr="00471AA5" w:rsidRDefault="00471AA5" w:rsidP="00471AA5">
      <w:pPr>
        <w:spacing w:before="240"/>
        <w:ind w:left="360"/>
        <w:rPr>
          <w:sz w:val="24"/>
        </w:rPr>
      </w:pPr>
      <w:r>
        <w:rPr>
          <w:sz w:val="24"/>
        </w:rPr>
        <w:t>There are no sensitive questions.</w:t>
      </w:r>
    </w:p>
    <w:p w:rsidR="009B3794" w:rsidRDefault="009B3794" w:rsidP="00642BF4">
      <w:pPr>
        <w:numPr>
          <w:ilvl w:val="0"/>
          <w:numId w:val="46"/>
        </w:numPr>
        <w:spacing w:before="240"/>
        <w:rPr>
          <w:sz w:val="24"/>
        </w:rPr>
      </w:pPr>
      <w:r>
        <w:rPr>
          <w:b/>
          <w:sz w:val="24"/>
          <w:u w:val="single"/>
        </w:rPr>
        <w:t xml:space="preserve">Estimates of Annualized Hour and Cost Burden  </w:t>
      </w:r>
    </w:p>
    <w:p w:rsidR="009B3794" w:rsidRDefault="009B3794" w:rsidP="00CA3DA6">
      <w:pPr>
        <w:widowControl/>
        <w:tabs>
          <w:tab w:val="num" w:pos="720"/>
        </w:tabs>
        <w:spacing w:before="120"/>
        <w:rPr>
          <w:b/>
          <w:sz w:val="24"/>
          <w:u w:val="single"/>
        </w:rPr>
      </w:pPr>
      <w:r>
        <w:rPr>
          <w:b/>
          <w:sz w:val="24"/>
        </w:rPr>
        <w:t>12A</w:t>
      </w:r>
      <w:r w:rsidR="009B6C2B">
        <w:rPr>
          <w:b/>
          <w:sz w:val="24"/>
        </w:rPr>
        <w:t xml:space="preserve">. </w:t>
      </w:r>
      <w:r w:rsidRPr="009B6C2B">
        <w:rPr>
          <w:b/>
          <w:sz w:val="24"/>
          <w:u w:val="single"/>
        </w:rPr>
        <w:t>Estimated Annualized Burden Hours</w:t>
      </w:r>
    </w:p>
    <w:p w:rsidR="009B6C2B" w:rsidRDefault="009B6C2B" w:rsidP="009B6C2B">
      <w:pPr>
        <w:pStyle w:val="NoSpacing"/>
      </w:pPr>
    </w:p>
    <w:tbl>
      <w:tblPr>
        <w:tblpPr w:leftFromText="180" w:rightFromText="180" w:vertAnchor="text" w:horzAnchor="margin"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1193"/>
        <w:gridCol w:w="1848"/>
        <w:gridCol w:w="1860"/>
        <w:gridCol w:w="1530"/>
        <w:gridCol w:w="1285"/>
      </w:tblGrid>
      <w:tr w:rsidR="00DF7BD9" w:rsidRPr="00015505" w:rsidTr="009B6C2B">
        <w:trPr>
          <w:trHeight w:val="2189"/>
        </w:trPr>
        <w:tc>
          <w:tcPr>
            <w:tcW w:w="971" w:type="pct"/>
          </w:tcPr>
          <w:p w:rsidR="00CA3DA6" w:rsidRPr="00015505" w:rsidRDefault="00CA3DA6" w:rsidP="00CA3DA6">
            <w:pPr>
              <w:widowControl/>
              <w:tabs>
                <w:tab w:val="num" w:pos="1080"/>
              </w:tabs>
              <w:spacing w:before="120"/>
              <w:rPr>
                <w:b/>
                <w:bCs/>
                <w:sz w:val="24"/>
              </w:rPr>
            </w:pPr>
            <w:r w:rsidRPr="00015505">
              <w:rPr>
                <w:b/>
                <w:bCs/>
                <w:sz w:val="24"/>
              </w:rPr>
              <w:lastRenderedPageBreak/>
              <w:t>Type of</w:t>
            </w:r>
          </w:p>
          <w:p w:rsidR="00CA3DA6" w:rsidRPr="00015505" w:rsidRDefault="00CA3DA6" w:rsidP="00CA3DA6">
            <w:pPr>
              <w:widowControl/>
              <w:tabs>
                <w:tab w:val="num" w:pos="1080"/>
              </w:tabs>
              <w:spacing w:before="120"/>
              <w:rPr>
                <w:b/>
                <w:bCs/>
                <w:sz w:val="24"/>
              </w:rPr>
            </w:pPr>
            <w:r w:rsidRPr="00015505">
              <w:rPr>
                <w:b/>
                <w:bCs/>
                <w:sz w:val="24"/>
              </w:rPr>
              <w:t>Respondent</w:t>
            </w:r>
          </w:p>
          <w:p w:rsidR="00CA3DA6" w:rsidRPr="00015505" w:rsidRDefault="00CA3DA6" w:rsidP="00CA3DA6">
            <w:pPr>
              <w:widowControl/>
              <w:tabs>
                <w:tab w:val="num" w:pos="1080"/>
              </w:tabs>
              <w:spacing w:before="120"/>
              <w:rPr>
                <w:b/>
                <w:bCs/>
                <w:sz w:val="24"/>
              </w:rPr>
            </w:pPr>
          </w:p>
        </w:tc>
        <w:tc>
          <w:tcPr>
            <w:tcW w:w="623" w:type="pct"/>
          </w:tcPr>
          <w:p w:rsidR="00CA3DA6" w:rsidRPr="00015505" w:rsidRDefault="00CA3DA6" w:rsidP="00CA3DA6">
            <w:pPr>
              <w:widowControl/>
              <w:tabs>
                <w:tab w:val="num" w:pos="1080"/>
              </w:tabs>
              <w:spacing w:before="120"/>
              <w:rPr>
                <w:b/>
                <w:bCs/>
                <w:sz w:val="24"/>
              </w:rPr>
            </w:pPr>
            <w:r w:rsidRPr="00015505">
              <w:rPr>
                <w:b/>
                <w:bCs/>
                <w:sz w:val="24"/>
              </w:rPr>
              <w:t>Form</w:t>
            </w:r>
          </w:p>
          <w:p w:rsidR="00CA3DA6" w:rsidRPr="00015505" w:rsidRDefault="00CA3DA6" w:rsidP="00CA3DA6">
            <w:pPr>
              <w:widowControl/>
              <w:tabs>
                <w:tab w:val="num" w:pos="1080"/>
              </w:tabs>
              <w:spacing w:before="120"/>
              <w:rPr>
                <w:b/>
                <w:bCs/>
                <w:sz w:val="24"/>
              </w:rPr>
            </w:pPr>
            <w:r w:rsidRPr="00015505">
              <w:rPr>
                <w:b/>
                <w:bCs/>
                <w:sz w:val="24"/>
              </w:rPr>
              <w:t>Name</w:t>
            </w:r>
          </w:p>
          <w:p w:rsidR="00CA3DA6" w:rsidRPr="00015505" w:rsidRDefault="00CA3DA6" w:rsidP="00CA3DA6">
            <w:pPr>
              <w:widowControl/>
              <w:tabs>
                <w:tab w:val="num" w:pos="1080"/>
              </w:tabs>
              <w:spacing w:before="120"/>
              <w:rPr>
                <w:b/>
                <w:bCs/>
                <w:sz w:val="24"/>
              </w:rPr>
            </w:pPr>
          </w:p>
        </w:tc>
        <w:tc>
          <w:tcPr>
            <w:tcW w:w="965" w:type="pct"/>
          </w:tcPr>
          <w:p w:rsidR="00CA3DA6" w:rsidRPr="00015505" w:rsidRDefault="00CA3DA6" w:rsidP="00CA3DA6">
            <w:pPr>
              <w:widowControl/>
              <w:tabs>
                <w:tab w:val="num" w:pos="1080"/>
              </w:tabs>
              <w:spacing w:before="120"/>
              <w:rPr>
                <w:b/>
                <w:bCs/>
                <w:sz w:val="24"/>
              </w:rPr>
            </w:pPr>
            <w:r w:rsidRPr="00015505">
              <w:rPr>
                <w:b/>
                <w:bCs/>
                <w:sz w:val="24"/>
              </w:rPr>
              <w:t>No. of</w:t>
            </w:r>
          </w:p>
          <w:p w:rsidR="00CA3DA6" w:rsidRPr="00015505" w:rsidRDefault="00CA3DA6" w:rsidP="00CA3DA6">
            <w:pPr>
              <w:widowControl/>
              <w:tabs>
                <w:tab w:val="num" w:pos="1080"/>
              </w:tabs>
              <w:spacing w:before="120"/>
              <w:rPr>
                <w:b/>
                <w:bCs/>
                <w:sz w:val="24"/>
              </w:rPr>
            </w:pPr>
            <w:r w:rsidRPr="00015505">
              <w:rPr>
                <w:b/>
                <w:bCs/>
                <w:sz w:val="24"/>
              </w:rPr>
              <w:t>Respondents</w:t>
            </w:r>
          </w:p>
        </w:tc>
        <w:tc>
          <w:tcPr>
            <w:tcW w:w="971" w:type="pct"/>
          </w:tcPr>
          <w:p w:rsidR="00CA3DA6" w:rsidRPr="00015505" w:rsidRDefault="00CA3DA6" w:rsidP="00CA3DA6">
            <w:pPr>
              <w:widowControl/>
              <w:tabs>
                <w:tab w:val="num" w:pos="1080"/>
              </w:tabs>
              <w:spacing w:before="120"/>
              <w:rPr>
                <w:b/>
                <w:bCs/>
                <w:sz w:val="24"/>
              </w:rPr>
            </w:pPr>
            <w:r w:rsidRPr="00015505">
              <w:rPr>
                <w:b/>
                <w:bCs/>
                <w:sz w:val="24"/>
              </w:rPr>
              <w:t>No.</w:t>
            </w:r>
          </w:p>
          <w:p w:rsidR="00CA3DA6" w:rsidRPr="00015505" w:rsidRDefault="00CA3DA6" w:rsidP="00CA3DA6">
            <w:pPr>
              <w:widowControl/>
              <w:tabs>
                <w:tab w:val="num" w:pos="1080"/>
              </w:tabs>
              <w:spacing w:before="120"/>
              <w:rPr>
                <w:b/>
                <w:bCs/>
                <w:sz w:val="24"/>
              </w:rPr>
            </w:pPr>
            <w:r w:rsidRPr="00015505">
              <w:rPr>
                <w:b/>
                <w:bCs/>
                <w:sz w:val="24"/>
              </w:rPr>
              <w:t>Responses</w:t>
            </w:r>
          </w:p>
          <w:p w:rsidR="00CA3DA6" w:rsidRPr="00015505" w:rsidRDefault="00CA3DA6" w:rsidP="00CA3DA6">
            <w:pPr>
              <w:widowControl/>
              <w:tabs>
                <w:tab w:val="num" w:pos="1080"/>
              </w:tabs>
              <w:spacing w:before="120"/>
              <w:rPr>
                <w:b/>
                <w:bCs/>
                <w:sz w:val="24"/>
              </w:rPr>
            </w:pPr>
            <w:r w:rsidRPr="00015505">
              <w:rPr>
                <w:b/>
                <w:bCs/>
                <w:sz w:val="24"/>
              </w:rPr>
              <w:t>per</w:t>
            </w:r>
          </w:p>
          <w:p w:rsidR="00CA3DA6" w:rsidRPr="00015505" w:rsidRDefault="00CA3DA6" w:rsidP="00CA3DA6">
            <w:pPr>
              <w:widowControl/>
              <w:tabs>
                <w:tab w:val="num" w:pos="1080"/>
              </w:tabs>
              <w:spacing w:before="120"/>
              <w:rPr>
                <w:b/>
                <w:bCs/>
                <w:sz w:val="24"/>
              </w:rPr>
            </w:pPr>
            <w:r w:rsidRPr="00015505">
              <w:rPr>
                <w:b/>
                <w:bCs/>
                <w:sz w:val="24"/>
              </w:rPr>
              <w:t>Respondent</w:t>
            </w:r>
          </w:p>
        </w:tc>
        <w:tc>
          <w:tcPr>
            <w:tcW w:w="799" w:type="pct"/>
          </w:tcPr>
          <w:p w:rsidR="00CA3DA6" w:rsidRPr="00015505" w:rsidRDefault="00CA3DA6" w:rsidP="00CA3DA6">
            <w:pPr>
              <w:widowControl/>
              <w:tabs>
                <w:tab w:val="num" w:pos="1080"/>
              </w:tabs>
              <w:spacing w:before="120"/>
              <w:rPr>
                <w:b/>
                <w:bCs/>
                <w:sz w:val="24"/>
              </w:rPr>
            </w:pPr>
            <w:r w:rsidRPr="00015505">
              <w:rPr>
                <w:b/>
                <w:bCs/>
                <w:sz w:val="24"/>
              </w:rPr>
              <w:t>Average</w:t>
            </w:r>
          </w:p>
          <w:p w:rsidR="00CA3DA6" w:rsidRPr="00015505" w:rsidRDefault="00CA3DA6" w:rsidP="00CA3DA6">
            <w:pPr>
              <w:widowControl/>
              <w:tabs>
                <w:tab w:val="num" w:pos="1080"/>
              </w:tabs>
              <w:spacing w:before="120"/>
              <w:rPr>
                <w:b/>
                <w:bCs/>
                <w:sz w:val="24"/>
              </w:rPr>
            </w:pPr>
            <w:r w:rsidRPr="00015505">
              <w:rPr>
                <w:b/>
                <w:bCs/>
                <w:sz w:val="24"/>
              </w:rPr>
              <w:t>Burden per</w:t>
            </w:r>
          </w:p>
          <w:p w:rsidR="00CA3DA6" w:rsidRPr="00015505" w:rsidRDefault="00CA3DA6" w:rsidP="00CA3DA6">
            <w:pPr>
              <w:widowControl/>
              <w:tabs>
                <w:tab w:val="num" w:pos="1080"/>
              </w:tabs>
              <w:spacing w:before="120"/>
              <w:rPr>
                <w:b/>
                <w:bCs/>
                <w:sz w:val="24"/>
              </w:rPr>
            </w:pPr>
            <w:r w:rsidRPr="00015505">
              <w:rPr>
                <w:b/>
                <w:bCs/>
                <w:sz w:val="24"/>
              </w:rPr>
              <w:t>Response</w:t>
            </w:r>
          </w:p>
          <w:p w:rsidR="00CA3DA6" w:rsidRPr="00015505" w:rsidRDefault="00CA3DA6" w:rsidP="00CA3DA6">
            <w:pPr>
              <w:widowControl/>
              <w:tabs>
                <w:tab w:val="num" w:pos="1080"/>
              </w:tabs>
              <w:spacing w:before="120"/>
              <w:rPr>
                <w:b/>
                <w:bCs/>
                <w:sz w:val="24"/>
              </w:rPr>
            </w:pPr>
            <w:r w:rsidRPr="00015505">
              <w:rPr>
                <w:b/>
                <w:bCs/>
                <w:sz w:val="24"/>
              </w:rPr>
              <w:t>(in hours)</w:t>
            </w:r>
          </w:p>
        </w:tc>
        <w:tc>
          <w:tcPr>
            <w:tcW w:w="672" w:type="pct"/>
          </w:tcPr>
          <w:p w:rsidR="00CA3DA6" w:rsidRPr="00015505" w:rsidRDefault="00CA3DA6" w:rsidP="00CA3DA6">
            <w:pPr>
              <w:widowControl/>
              <w:tabs>
                <w:tab w:val="num" w:pos="1080"/>
              </w:tabs>
              <w:spacing w:before="120"/>
              <w:rPr>
                <w:b/>
                <w:bCs/>
                <w:sz w:val="24"/>
              </w:rPr>
            </w:pPr>
            <w:r w:rsidRPr="00015505">
              <w:rPr>
                <w:b/>
                <w:bCs/>
                <w:sz w:val="24"/>
              </w:rPr>
              <w:t>Total Burden Hours</w:t>
            </w:r>
          </w:p>
        </w:tc>
      </w:tr>
      <w:tr w:rsidR="00DF7BD9" w:rsidRPr="00015505" w:rsidTr="009B6C2B">
        <w:trPr>
          <w:trHeight w:val="679"/>
        </w:trPr>
        <w:tc>
          <w:tcPr>
            <w:tcW w:w="971" w:type="pct"/>
          </w:tcPr>
          <w:p w:rsidR="00CA3DA6" w:rsidRPr="00015505" w:rsidRDefault="00DF7BD9" w:rsidP="00CA3DA6">
            <w:pPr>
              <w:widowControl/>
              <w:tabs>
                <w:tab w:val="num" w:pos="1080"/>
              </w:tabs>
              <w:spacing w:before="120"/>
              <w:rPr>
                <w:b/>
                <w:bCs/>
                <w:sz w:val="24"/>
              </w:rPr>
            </w:pPr>
            <w:r>
              <w:rPr>
                <w:b/>
                <w:bCs/>
                <w:sz w:val="24"/>
              </w:rPr>
              <w:t>Rural Health Information Technology Network Development (RHITND) grantees (i.e. project d</w:t>
            </w:r>
            <w:r w:rsidR="00194306">
              <w:rPr>
                <w:b/>
                <w:bCs/>
                <w:sz w:val="24"/>
              </w:rPr>
              <w:t>irectors</w:t>
            </w:r>
            <w:r>
              <w:rPr>
                <w:b/>
                <w:bCs/>
                <w:sz w:val="24"/>
              </w:rPr>
              <w:t>, health practitioners, technical workers etc.)</w:t>
            </w:r>
          </w:p>
        </w:tc>
        <w:tc>
          <w:tcPr>
            <w:tcW w:w="623" w:type="pct"/>
          </w:tcPr>
          <w:p w:rsidR="00CA3DA6" w:rsidRPr="00015505" w:rsidRDefault="00816578" w:rsidP="00CA3DA6">
            <w:pPr>
              <w:widowControl/>
              <w:tabs>
                <w:tab w:val="num" w:pos="1080"/>
              </w:tabs>
              <w:spacing w:before="120"/>
              <w:rPr>
                <w:b/>
                <w:bCs/>
                <w:sz w:val="24"/>
              </w:rPr>
            </w:pPr>
            <w:r>
              <w:rPr>
                <w:sz w:val="24"/>
              </w:rPr>
              <w:t>PIMS</w:t>
            </w:r>
          </w:p>
        </w:tc>
        <w:tc>
          <w:tcPr>
            <w:tcW w:w="965" w:type="pct"/>
          </w:tcPr>
          <w:p w:rsidR="00CA3DA6" w:rsidRPr="00015505" w:rsidRDefault="00194306" w:rsidP="00CA3DA6">
            <w:pPr>
              <w:widowControl/>
              <w:tabs>
                <w:tab w:val="num" w:pos="1080"/>
              </w:tabs>
              <w:spacing w:before="120"/>
              <w:rPr>
                <w:b/>
                <w:bCs/>
                <w:sz w:val="24"/>
              </w:rPr>
            </w:pPr>
            <w:r>
              <w:rPr>
                <w:sz w:val="24"/>
              </w:rPr>
              <w:t>41</w:t>
            </w:r>
            <w:r w:rsidR="00CA3DA6" w:rsidRPr="00015505">
              <w:rPr>
                <w:sz w:val="24"/>
              </w:rPr>
              <w:t xml:space="preserve">  </w:t>
            </w:r>
          </w:p>
        </w:tc>
        <w:tc>
          <w:tcPr>
            <w:tcW w:w="971" w:type="pct"/>
          </w:tcPr>
          <w:p w:rsidR="00CA3DA6" w:rsidRPr="00015505" w:rsidRDefault="00194306" w:rsidP="00CA3DA6">
            <w:pPr>
              <w:widowControl/>
              <w:tabs>
                <w:tab w:val="num" w:pos="1080"/>
              </w:tabs>
              <w:spacing w:before="120"/>
              <w:rPr>
                <w:b/>
                <w:bCs/>
                <w:sz w:val="24"/>
              </w:rPr>
            </w:pPr>
            <w:r>
              <w:rPr>
                <w:sz w:val="24"/>
              </w:rPr>
              <w:t>1</w:t>
            </w:r>
          </w:p>
        </w:tc>
        <w:tc>
          <w:tcPr>
            <w:tcW w:w="799" w:type="pct"/>
          </w:tcPr>
          <w:p w:rsidR="00CA3DA6" w:rsidRPr="00015505" w:rsidRDefault="00194306" w:rsidP="00C91FCB">
            <w:pPr>
              <w:widowControl/>
              <w:tabs>
                <w:tab w:val="num" w:pos="1080"/>
              </w:tabs>
              <w:spacing w:before="120"/>
              <w:rPr>
                <w:b/>
                <w:bCs/>
                <w:sz w:val="24"/>
              </w:rPr>
            </w:pPr>
            <w:r>
              <w:rPr>
                <w:sz w:val="24"/>
              </w:rPr>
              <w:t>5.</w:t>
            </w:r>
            <w:r w:rsidR="00C91FCB">
              <w:rPr>
                <w:sz w:val="24"/>
              </w:rPr>
              <w:t>6</w:t>
            </w:r>
            <w:bookmarkStart w:id="0" w:name="_GoBack"/>
            <w:bookmarkEnd w:id="0"/>
            <w:r>
              <w:rPr>
                <w:sz w:val="24"/>
              </w:rPr>
              <w:t>8</w:t>
            </w:r>
          </w:p>
        </w:tc>
        <w:tc>
          <w:tcPr>
            <w:tcW w:w="672" w:type="pct"/>
          </w:tcPr>
          <w:p w:rsidR="00CA3DA6" w:rsidRPr="00015505" w:rsidRDefault="00194306" w:rsidP="00CA3DA6">
            <w:pPr>
              <w:widowControl/>
              <w:tabs>
                <w:tab w:val="num" w:pos="1080"/>
              </w:tabs>
              <w:spacing w:before="120"/>
              <w:rPr>
                <w:b/>
                <w:bCs/>
                <w:sz w:val="24"/>
              </w:rPr>
            </w:pPr>
            <w:r>
              <w:rPr>
                <w:sz w:val="24"/>
              </w:rPr>
              <w:t>23</w:t>
            </w:r>
            <w:r w:rsidR="002D0B60">
              <w:rPr>
                <w:sz w:val="24"/>
              </w:rPr>
              <w:t>2.88</w:t>
            </w:r>
          </w:p>
        </w:tc>
      </w:tr>
      <w:tr w:rsidR="00DF7BD9" w:rsidRPr="00015505" w:rsidTr="009B6C2B">
        <w:trPr>
          <w:trHeight w:val="800"/>
        </w:trPr>
        <w:tc>
          <w:tcPr>
            <w:tcW w:w="971" w:type="pct"/>
          </w:tcPr>
          <w:p w:rsidR="00194306" w:rsidRPr="00015505" w:rsidRDefault="00194306" w:rsidP="00CA3DA6">
            <w:pPr>
              <w:widowControl/>
              <w:tabs>
                <w:tab w:val="num" w:pos="1080"/>
              </w:tabs>
              <w:spacing w:before="120"/>
              <w:rPr>
                <w:b/>
                <w:bCs/>
                <w:sz w:val="24"/>
              </w:rPr>
            </w:pPr>
            <w:r w:rsidRPr="00015505">
              <w:rPr>
                <w:b/>
                <w:bCs/>
                <w:sz w:val="24"/>
              </w:rPr>
              <w:t>Total</w:t>
            </w:r>
          </w:p>
        </w:tc>
        <w:tc>
          <w:tcPr>
            <w:tcW w:w="623" w:type="pct"/>
          </w:tcPr>
          <w:p w:rsidR="00194306" w:rsidRPr="00015505" w:rsidRDefault="00194306" w:rsidP="00CA3DA6">
            <w:pPr>
              <w:widowControl/>
              <w:tabs>
                <w:tab w:val="num" w:pos="1080"/>
              </w:tabs>
              <w:spacing w:before="120"/>
              <w:rPr>
                <w:b/>
                <w:bCs/>
                <w:sz w:val="24"/>
              </w:rPr>
            </w:pPr>
          </w:p>
        </w:tc>
        <w:tc>
          <w:tcPr>
            <w:tcW w:w="965" w:type="pct"/>
          </w:tcPr>
          <w:p w:rsidR="00194306" w:rsidRPr="00015505" w:rsidRDefault="00194306" w:rsidP="00CA3DA6">
            <w:pPr>
              <w:widowControl/>
              <w:tabs>
                <w:tab w:val="num" w:pos="1080"/>
              </w:tabs>
              <w:spacing w:before="120"/>
              <w:rPr>
                <w:b/>
                <w:bCs/>
                <w:sz w:val="24"/>
              </w:rPr>
            </w:pPr>
          </w:p>
        </w:tc>
        <w:tc>
          <w:tcPr>
            <w:tcW w:w="971" w:type="pct"/>
          </w:tcPr>
          <w:p w:rsidR="00194306" w:rsidRPr="00015505" w:rsidRDefault="00194306" w:rsidP="00CA3DA6">
            <w:pPr>
              <w:widowControl/>
              <w:tabs>
                <w:tab w:val="num" w:pos="1080"/>
              </w:tabs>
              <w:spacing w:before="120"/>
              <w:rPr>
                <w:b/>
                <w:bCs/>
                <w:sz w:val="24"/>
              </w:rPr>
            </w:pPr>
          </w:p>
        </w:tc>
        <w:tc>
          <w:tcPr>
            <w:tcW w:w="799" w:type="pct"/>
          </w:tcPr>
          <w:p w:rsidR="00194306" w:rsidRPr="00015505" w:rsidRDefault="00194306" w:rsidP="00CA3DA6">
            <w:pPr>
              <w:widowControl/>
              <w:tabs>
                <w:tab w:val="num" w:pos="1080"/>
              </w:tabs>
              <w:spacing w:before="120"/>
              <w:rPr>
                <w:b/>
                <w:bCs/>
                <w:sz w:val="24"/>
              </w:rPr>
            </w:pPr>
          </w:p>
        </w:tc>
        <w:tc>
          <w:tcPr>
            <w:tcW w:w="672" w:type="pct"/>
          </w:tcPr>
          <w:p w:rsidR="00194306" w:rsidRPr="00015505" w:rsidRDefault="00194306" w:rsidP="00CA3DA6">
            <w:pPr>
              <w:widowControl/>
              <w:tabs>
                <w:tab w:val="num" w:pos="1080"/>
              </w:tabs>
              <w:spacing w:before="120"/>
              <w:rPr>
                <w:sz w:val="24"/>
              </w:rPr>
            </w:pPr>
            <w:r>
              <w:rPr>
                <w:b/>
                <w:bCs/>
                <w:sz w:val="24"/>
              </w:rPr>
              <w:t>23</w:t>
            </w:r>
            <w:r w:rsidR="002D0B60">
              <w:rPr>
                <w:b/>
                <w:bCs/>
                <w:sz w:val="24"/>
              </w:rPr>
              <w:t>2.88</w:t>
            </w:r>
          </w:p>
          <w:p w:rsidR="00194306" w:rsidRPr="00015505" w:rsidRDefault="00194306" w:rsidP="00CA3DA6">
            <w:pPr>
              <w:widowControl/>
              <w:tabs>
                <w:tab w:val="num" w:pos="1080"/>
              </w:tabs>
              <w:spacing w:before="120"/>
              <w:rPr>
                <w:b/>
                <w:bCs/>
                <w:sz w:val="24"/>
              </w:rPr>
            </w:pPr>
          </w:p>
        </w:tc>
      </w:tr>
    </w:tbl>
    <w:p w:rsidR="00D92E1D" w:rsidRDefault="00D92E1D" w:rsidP="009B6C2B">
      <w:pPr>
        <w:pStyle w:val="NoSpacing"/>
      </w:pPr>
    </w:p>
    <w:p w:rsidR="00194306" w:rsidRPr="00194306" w:rsidRDefault="00194306" w:rsidP="00194306">
      <w:pPr>
        <w:widowControl/>
        <w:suppressAutoHyphens/>
        <w:autoSpaceDE/>
        <w:autoSpaceDN/>
        <w:adjustRightInd/>
        <w:ind w:left="360"/>
        <w:rPr>
          <w:sz w:val="24"/>
          <w:lang w:eastAsia="ar-SA"/>
        </w:rPr>
      </w:pPr>
      <w:r w:rsidRPr="00194306">
        <w:rPr>
          <w:sz w:val="24"/>
          <w:lang w:eastAsia="ar-SA"/>
        </w:rPr>
        <w:t xml:space="preserve">These estimates were determined by consultations with </w:t>
      </w:r>
      <w:r w:rsidR="00816578">
        <w:rPr>
          <w:sz w:val="24"/>
          <w:lang w:eastAsia="ar-SA"/>
        </w:rPr>
        <w:t>five (5)</w:t>
      </w:r>
      <w:r w:rsidRPr="00194306">
        <w:rPr>
          <w:sz w:val="24"/>
          <w:lang w:eastAsia="ar-SA"/>
        </w:rPr>
        <w:t xml:space="preserve"> current grantees from the program. </w:t>
      </w:r>
      <w:r w:rsidR="008A187A">
        <w:rPr>
          <w:sz w:val="24"/>
          <w:lang w:eastAsia="ar-SA"/>
        </w:rPr>
        <w:t xml:space="preserve"> </w:t>
      </w:r>
      <w:r w:rsidRPr="00194306">
        <w:rPr>
          <w:sz w:val="24"/>
          <w:lang w:eastAsia="ar-SA"/>
        </w:rPr>
        <w:t xml:space="preserve">These grantees were sent a draft of the questions that pertain to their program.  They were asked to estimate 1) how much time it would take and 2) how much it would cost to report program activities. </w:t>
      </w:r>
    </w:p>
    <w:p w:rsidR="00194306" w:rsidRPr="00194306" w:rsidRDefault="00194306" w:rsidP="00194306">
      <w:pPr>
        <w:widowControl/>
        <w:suppressAutoHyphens/>
        <w:autoSpaceDE/>
        <w:autoSpaceDN/>
        <w:adjustRightInd/>
        <w:rPr>
          <w:sz w:val="24"/>
          <w:lang w:eastAsia="ar-SA"/>
        </w:rPr>
      </w:pPr>
    </w:p>
    <w:p w:rsidR="0024177E" w:rsidRDefault="00194306" w:rsidP="009B6C2B">
      <w:pPr>
        <w:widowControl/>
        <w:suppressAutoHyphens/>
        <w:autoSpaceDE/>
        <w:autoSpaceDN/>
        <w:adjustRightInd/>
        <w:ind w:left="360"/>
        <w:rPr>
          <w:sz w:val="24"/>
          <w:lang w:eastAsia="ar-SA"/>
        </w:rPr>
      </w:pPr>
      <w:r w:rsidRPr="00194306">
        <w:rPr>
          <w:sz w:val="24"/>
          <w:lang w:eastAsia="ar-SA"/>
        </w:rPr>
        <w:t xml:space="preserve">It should also be noted that the burden is expected to vary across the grantees. </w:t>
      </w:r>
      <w:r w:rsidR="008A187A">
        <w:rPr>
          <w:sz w:val="24"/>
          <w:lang w:eastAsia="ar-SA"/>
        </w:rPr>
        <w:t xml:space="preserve"> </w:t>
      </w:r>
      <w:r w:rsidRPr="00194306">
        <w:rPr>
          <w:sz w:val="24"/>
          <w:lang w:eastAsia="ar-SA"/>
        </w:rPr>
        <w:t xml:space="preserve">This variation is tied primarily to the type of program activities specific to the grantee’s project and current data collection system. </w:t>
      </w:r>
    </w:p>
    <w:p w:rsidR="009B6C2B" w:rsidRPr="009B6C2B" w:rsidRDefault="009B6C2B" w:rsidP="009B6C2B">
      <w:pPr>
        <w:widowControl/>
        <w:suppressAutoHyphens/>
        <w:autoSpaceDE/>
        <w:autoSpaceDN/>
        <w:adjustRightInd/>
        <w:ind w:left="360"/>
        <w:rPr>
          <w:sz w:val="24"/>
          <w:lang w:eastAsia="ar-SA"/>
        </w:rPr>
      </w:pPr>
    </w:p>
    <w:p w:rsidR="009B3794" w:rsidRDefault="009B6C2B" w:rsidP="00CA3DA6">
      <w:pPr>
        <w:widowControl/>
        <w:spacing w:before="120"/>
        <w:ind w:left="270"/>
        <w:rPr>
          <w:b/>
          <w:sz w:val="24"/>
        </w:rPr>
      </w:pPr>
      <w:r>
        <w:rPr>
          <w:b/>
          <w:sz w:val="24"/>
        </w:rPr>
        <w:t xml:space="preserve">12B. </w:t>
      </w:r>
      <w:r w:rsidR="009B3794" w:rsidRPr="009B6C2B">
        <w:rPr>
          <w:b/>
          <w:sz w:val="24"/>
          <w:u w:val="single"/>
        </w:rPr>
        <w:t>Estimated Annualized Burden Costs</w:t>
      </w:r>
    </w:p>
    <w:p w:rsidR="00A23414" w:rsidRDefault="00A23414" w:rsidP="009B6C2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135"/>
        <w:gridCol w:w="2294"/>
        <w:gridCol w:w="2850"/>
      </w:tblGrid>
      <w:tr w:rsidR="009B3794" w:rsidRPr="00015505" w:rsidTr="009B6C2B">
        <w:tc>
          <w:tcPr>
            <w:tcW w:w="1199" w:type="pct"/>
          </w:tcPr>
          <w:p w:rsidR="009B3794" w:rsidRPr="00015505" w:rsidRDefault="009B3794" w:rsidP="009B6C2B">
            <w:pPr>
              <w:widowControl/>
              <w:spacing w:before="120"/>
              <w:rPr>
                <w:b/>
                <w:bCs/>
                <w:sz w:val="24"/>
              </w:rPr>
            </w:pPr>
            <w:r w:rsidRPr="00015505">
              <w:rPr>
                <w:b/>
                <w:bCs/>
                <w:sz w:val="24"/>
              </w:rPr>
              <w:t>Type of</w:t>
            </w:r>
          </w:p>
          <w:p w:rsidR="009B3794" w:rsidRPr="00015505" w:rsidRDefault="009B3794" w:rsidP="009B6C2B">
            <w:pPr>
              <w:widowControl/>
              <w:spacing w:before="120"/>
              <w:rPr>
                <w:sz w:val="24"/>
              </w:rPr>
            </w:pPr>
            <w:r w:rsidRPr="00015505">
              <w:rPr>
                <w:b/>
                <w:bCs/>
                <w:sz w:val="24"/>
              </w:rPr>
              <w:t>Respondent</w:t>
            </w:r>
          </w:p>
          <w:p w:rsidR="009B3794" w:rsidRPr="00015505" w:rsidRDefault="009B3794" w:rsidP="009B6C2B">
            <w:pPr>
              <w:widowControl/>
              <w:spacing w:before="120"/>
              <w:rPr>
                <w:b/>
                <w:bCs/>
                <w:sz w:val="24"/>
              </w:rPr>
            </w:pPr>
          </w:p>
        </w:tc>
        <w:tc>
          <w:tcPr>
            <w:tcW w:w="1115" w:type="pct"/>
          </w:tcPr>
          <w:p w:rsidR="009B3794" w:rsidRPr="00015505" w:rsidRDefault="009B3794" w:rsidP="009B6C2B">
            <w:pPr>
              <w:widowControl/>
              <w:spacing w:before="120"/>
              <w:rPr>
                <w:b/>
                <w:bCs/>
                <w:sz w:val="24"/>
              </w:rPr>
            </w:pPr>
            <w:r w:rsidRPr="00015505">
              <w:rPr>
                <w:b/>
                <w:bCs/>
                <w:sz w:val="24"/>
              </w:rPr>
              <w:t>Total Burden</w:t>
            </w:r>
          </w:p>
          <w:p w:rsidR="009B3794" w:rsidRPr="00015505" w:rsidRDefault="009B3794" w:rsidP="009B6C2B">
            <w:pPr>
              <w:widowControl/>
              <w:spacing w:before="120"/>
              <w:rPr>
                <w:sz w:val="24"/>
              </w:rPr>
            </w:pPr>
            <w:r w:rsidRPr="00015505">
              <w:rPr>
                <w:b/>
                <w:bCs/>
                <w:sz w:val="24"/>
              </w:rPr>
              <w:t>Hours</w:t>
            </w:r>
          </w:p>
          <w:p w:rsidR="009B3794" w:rsidRPr="00015505" w:rsidRDefault="009B3794" w:rsidP="009B6C2B">
            <w:pPr>
              <w:widowControl/>
              <w:spacing w:before="120"/>
              <w:rPr>
                <w:b/>
                <w:bCs/>
                <w:sz w:val="24"/>
              </w:rPr>
            </w:pPr>
          </w:p>
        </w:tc>
        <w:tc>
          <w:tcPr>
            <w:tcW w:w="1198" w:type="pct"/>
          </w:tcPr>
          <w:p w:rsidR="009B3794" w:rsidRPr="00015505" w:rsidRDefault="009B3794" w:rsidP="009B6C2B">
            <w:pPr>
              <w:widowControl/>
              <w:spacing w:before="120"/>
              <w:rPr>
                <w:b/>
                <w:bCs/>
                <w:sz w:val="24"/>
              </w:rPr>
            </w:pPr>
            <w:r w:rsidRPr="00015505">
              <w:rPr>
                <w:b/>
                <w:bCs/>
                <w:sz w:val="24"/>
              </w:rPr>
              <w:t>Hourly</w:t>
            </w:r>
          </w:p>
          <w:p w:rsidR="009B3794" w:rsidRPr="00015505" w:rsidRDefault="009B3794" w:rsidP="009B6C2B">
            <w:pPr>
              <w:widowControl/>
              <w:spacing w:before="120"/>
              <w:rPr>
                <w:sz w:val="24"/>
              </w:rPr>
            </w:pPr>
            <w:r w:rsidRPr="00015505">
              <w:rPr>
                <w:b/>
                <w:bCs/>
                <w:sz w:val="24"/>
              </w:rPr>
              <w:t>Wage Rate</w:t>
            </w:r>
          </w:p>
          <w:p w:rsidR="009B3794" w:rsidRPr="00015505" w:rsidRDefault="009B3794" w:rsidP="009B6C2B">
            <w:pPr>
              <w:widowControl/>
              <w:spacing w:before="120"/>
              <w:rPr>
                <w:b/>
                <w:bCs/>
                <w:sz w:val="24"/>
              </w:rPr>
            </w:pPr>
          </w:p>
        </w:tc>
        <w:tc>
          <w:tcPr>
            <w:tcW w:w="1489" w:type="pct"/>
          </w:tcPr>
          <w:p w:rsidR="009B3794" w:rsidRPr="00015505" w:rsidRDefault="009B3794" w:rsidP="009B6C2B">
            <w:pPr>
              <w:widowControl/>
              <w:spacing w:before="120"/>
              <w:rPr>
                <w:sz w:val="24"/>
              </w:rPr>
            </w:pPr>
            <w:r w:rsidRPr="00015505">
              <w:rPr>
                <w:b/>
                <w:bCs/>
                <w:sz w:val="24"/>
              </w:rPr>
              <w:t>Total Respondent Costs</w:t>
            </w:r>
          </w:p>
          <w:p w:rsidR="009B3794" w:rsidRPr="00015505" w:rsidRDefault="009B3794" w:rsidP="009B6C2B">
            <w:pPr>
              <w:widowControl/>
              <w:spacing w:before="120"/>
              <w:rPr>
                <w:b/>
                <w:bCs/>
                <w:sz w:val="24"/>
              </w:rPr>
            </w:pPr>
          </w:p>
        </w:tc>
      </w:tr>
      <w:tr w:rsidR="009B3794" w:rsidRPr="00015505" w:rsidTr="009B6C2B">
        <w:tc>
          <w:tcPr>
            <w:tcW w:w="1199" w:type="pct"/>
          </w:tcPr>
          <w:p w:rsidR="009B3794" w:rsidRPr="00DF7BD9" w:rsidRDefault="00DF7BD9" w:rsidP="009B6C2B">
            <w:pPr>
              <w:spacing w:before="120"/>
              <w:rPr>
                <w:sz w:val="24"/>
              </w:rPr>
            </w:pPr>
            <w:r w:rsidRPr="00DF7BD9">
              <w:rPr>
                <w:bCs/>
                <w:sz w:val="24"/>
              </w:rPr>
              <w:t xml:space="preserve">Rural Health Information Technology Network </w:t>
            </w:r>
            <w:r w:rsidRPr="00DF7BD9">
              <w:rPr>
                <w:bCs/>
                <w:sz w:val="24"/>
              </w:rPr>
              <w:lastRenderedPageBreak/>
              <w:t>Development (RHITND) grantees (i.e. project directors, health practitioners, technical workers etc.)</w:t>
            </w:r>
          </w:p>
        </w:tc>
        <w:tc>
          <w:tcPr>
            <w:tcW w:w="1115" w:type="pct"/>
          </w:tcPr>
          <w:p w:rsidR="009B3794" w:rsidRPr="00015505" w:rsidRDefault="00CE010A" w:rsidP="009B6C2B">
            <w:pPr>
              <w:spacing w:before="120"/>
              <w:rPr>
                <w:sz w:val="24"/>
              </w:rPr>
            </w:pPr>
            <w:r>
              <w:rPr>
                <w:sz w:val="24"/>
              </w:rPr>
              <w:lastRenderedPageBreak/>
              <w:t>5.58</w:t>
            </w:r>
          </w:p>
        </w:tc>
        <w:tc>
          <w:tcPr>
            <w:tcW w:w="1198" w:type="pct"/>
          </w:tcPr>
          <w:p w:rsidR="009B3794" w:rsidRPr="00015505" w:rsidRDefault="00EC3DB1" w:rsidP="009B6C2B">
            <w:pPr>
              <w:spacing w:before="120"/>
              <w:rPr>
                <w:sz w:val="24"/>
              </w:rPr>
            </w:pPr>
            <w:r>
              <w:rPr>
                <w:sz w:val="24"/>
              </w:rPr>
              <w:t>$25.78</w:t>
            </w:r>
          </w:p>
        </w:tc>
        <w:tc>
          <w:tcPr>
            <w:tcW w:w="1489" w:type="pct"/>
          </w:tcPr>
          <w:p w:rsidR="009B3794" w:rsidRPr="00015505" w:rsidRDefault="00EC3DB1" w:rsidP="009B6C2B">
            <w:pPr>
              <w:spacing w:before="120"/>
              <w:rPr>
                <w:sz w:val="24"/>
              </w:rPr>
            </w:pPr>
            <w:r>
              <w:rPr>
                <w:sz w:val="24"/>
              </w:rPr>
              <w:t>$143.85</w:t>
            </w:r>
          </w:p>
        </w:tc>
      </w:tr>
      <w:tr w:rsidR="009B3794" w:rsidRPr="00015505" w:rsidTr="009B6C2B">
        <w:trPr>
          <w:trHeight w:val="440"/>
        </w:trPr>
        <w:tc>
          <w:tcPr>
            <w:tcW w:w="1199" w:type="pct"/>
          </w:tcPr>
          <w:p w:rsidR="009B3794" w:rsidRPr="00015505" w:rsidRDefault="009B3794" w:rsidP="009B6C2B">
            <w:pPr>
              <w:widowControl/>
              <w:spacing w:before="120"/>
              <w:rPr>
                <w:sz w:val="24"/>
              </w:rPr>
            </w:pPr>
            <w:r w:rsidRPr="00015505">
              <w:rPr>
                <w:sz w:val="24"/>
              </w:rPr>
              <w:lastRenderedPageBreak/>
              <w:t>Total</w:t>
            </w:r>
          </w:p>
        </w:tc>
        <w:tc>
          <w:tcPr>
            <w:tcW w:w="1115" w:type="pct"/>
          </w:tcPr>
          <w:p w:rsidR="009B3794" w:rsidRPr="00015505" w:rsidRDefault="009B3794" w:rsidP="009B6C2B">
            <w:pPr>
              <w:widowControl/>
              <w:spacing w:before="120"/>
              <w:rPr>
                <w:sz w:val="24"/>
              </w:rPr>
            </w:pPr>
          </w:p>
        </w:tc>
        <w:tc>
          <w:tcPr>
            <w:tcW w:w="1198" w:type="pct"/>
          </w:tcPr>
          <w:p w:rsidR="009B3794" w:rsidRPr="00015505" w:rsidRDefault="009B3794" w:rsidP="009B6C2B">
            <w:pPr>
              <w:widowControl/>
              <w:spacing w:before="120"/>
              <w:rPr>
                <w:sz w:val="24"/>
              </w:rPr>
            </w:pPr>
          </w:p>
        </w:tc>
        <w:tc>
          <w:tcPr>
            <w:tcW w:w="1489" w:type="pct"/>
          </w:tcPr>
          <w:p w:rsidR="009B3794" w:rsidRPr="00015505" w:rsidRDefault="009B3794" w:rsidP="009B6C2B">
            <w:pPr>
              <w:widowControl/>
              <w:spacing w:before="120"/>
              <w:rPr>
                <w:sz w:val="24"/>
              </w:rPr>
            </w:pPr>
            <w:r w:rsidRPr="00015505">
              <w:rPr>
                <w:sz w:val="24"/>
              </w:rPr>
              <w:t>$</w:t>
            </w:r>
            <w:r w:rsidR="00EC3DB1">
              <w:rPr>
                <w:sz w:val="24"/>
              </w:rPr>
              <w:t>143</w:t>
            </w:r>
            <w:r w:rsidRPr="00015505">
              <w:rPr>
                <w:sz w:val="24"/>
              </w:rPr>
              <w:t>.</w:t>
            </w:r>
            <w:r w:rsidR="00EC3DB1">
              <w:rPr>
                <w:sz w:val="24"/>
              </w:rPr>
              <w:t>85</w:t>
            </w:r>
          </w:p>
        </w:tc>
      </w:tr>
    </w:tbl>
    <w:p w:rsidR="009B3794" w:rsidRPr="0024177E" w:rsidRDefault="009B3794" w:rsidP="00642BF4">
      <w:pPr>
        <w:numPr>
          <w:ilvl w:val="0"/>
          <w:numId w:val="46"/>
        </w:numPr>
        <w:spacing w:before="240"/>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rsidR="0024177E" w:rsidRPr="0024177E" w:rsidRDefault="0024177E" w:rsidP="0024177E">
      <w:pPr>
        <w:spacing w:before="240"/>
        <w:ind w:left="360"/>
        <w:rPr>
          <w:sz w:val="24"/>
        </w:rPr>
      </w:pPr>
      <w:r>
        <w:rPr>
          <w:sz w:val="24"/>
        </w:rPr>
        <w:t>There is no capital or start-up cost component for this collection.</w:t>
      </w:r>
    </w:p>
    <w:p w:rsidR="009B3794" w:rsidRPr="0024177E" w:rsidRDefault="009B3794" w:rsidP="00642BF4">
      <w:pPr>
        <w:numPr>
          <w:ilvl w:val="0"/>
          <w:numId w:val="46"/>
        </w:numPr>
        <w:spacing w:before="240"/>
        <w:rPr>
          <w:b/>
          <w:sz w:val="24"/>
        </w:rPr>
      </w:pPr>
      <w:r>
        <w:rPr>
          <w:b/>
          <w:sz w:val="24"/>
          <w:u w:val="single"/>
        </w:rPr>
        <w:t>Annualized Cost to Federal Government</w:t>
      </w:r>
    </w:p>
    <w:p w:rsidR="0024177E" w:rsidRPr="0024177E" w:rsidRDefault="0024177E" w:rsidP="0024177E">
      <w:pPr>
        <w:spacing w:before="240"/>
        <w:ind w:left="360"/>
        <w:rPr>
          <w:sz w:val="24"/>
        </w:rPr>
      </w:pPr>
      <w:r>
        <w:rPr>
          <w:sz w:val="24"/>
        </w:rPr>
        <w:t>Annual data collection for this program is expected to be carried out at a cost to the Federal Government of $33,000.</w:t>
      </w:r>
      <w:r w:rsidR="008A187A">
        <w:rPr>
          <w:sz w:val="24"/>
        </w:rPr>
        <w:t xml:space="preserve"> </w:t>
      </w:r>
      <w:r>
        <w:rPr>
          <w:sz w:val="24"/>
        </w:rPr>
        <w:t xml:space="preserve"> Staff at ORHP monitor the contracts and provide guidance to grantee project staff at a cost of $3,071.52 per year (72 hours per year at $42.66 per hour at a GS-13 salary level). </w:t>
      </w:r>
      <w:r w:rsidR="008A187A">
        <w:rPr>
          <w:sz w:val="24"/>
        </w:rPr>
        <w:t xml:space="preserve"> </w:t>
      </w:r>
      <w:r>
        <w:rPr>
          <w:sz w:val="24"/>
        </w:rPr>
        <w:t>The total annualized cost to the</w:t>
      </w:r>
      <w:r w:rsidR="00663A0F">
        <w:rPr>
          <w:sz w:val="24"/>
        </w:rPr>
        <w:t xml:space="preserve"> government for this project is </w:t>
      </w:r>
      <w:r>
        <w:rPr>
          <w:sz w:val="24"/>
        </w:rPr>
        <w:t>$36,071.52.</w:t>
      </w:r>
    </w:p>
    <w:p w:rsidR="009B3794" w:rsidRPr="00663A0F" w:rsidRDefault="009B3794" w:rsidP="00642BF4">
      <w:pPr>
        <w:numPr>
          <w:ilvl w:val="0"/>
          <w:numId w:val="46"/>
        </w:numPr>
        <w:spacing w:before="240"/>
        <w:rPr>
          <w:b/>
          <w:sz w:val="24"/>
        </w:rPr>
      </w:pPr>
      <w:r>
        <w:rPr>
          <w:b/>
          <w:sz w:val="24"/>
          <w:u w:val="single"/>
        </w:rPr>
        <w:t>Explanation for Program Changes or Adjustments</w:t>
      </w:r>
    </w:p>
    <w:p w:rsidR="00663A0F" w:rsidRPr="00663A0F" w:rsidRDefault="00C05A80" w:rsidP="00C05A80">
      <w:pPr>
        <w:spacing w:before="240"/>
        <w:ind w:left="360"/>
        <w:rPr>
          <w:sz w:val="24"/>
        </w:rPr>
      </w:pPr>
      <w:r w:rsidRPr="0049460A">
        <w:rPr>
          <w:sz w:val="24"/>
        </w:rPr>
        <w:t xml:space="preserve">The purpose of </w:t>
      </w:r>
      <w:r>
        <w:rPr>
          <w:sz w:val="24"/>
        </w:rPr>
        <w:t>the R</w:t>
      </w:r>
      <w:r w:rsidR="00635500">
        <w:rPr>
          <w:sz w:val="24"/>
        </w:rPr>
        <w:t>ural Health Information Technology Network Development (R</w:t>
      </w:r>
      <w:r>
        <w:rPr>
          <w:sz w:val="24"/>
        </w:rPr>
        <w:t>HITND</w:t>
      </w:r>
      <w:r w:rsidR="00635500">
        <w:rPr>
          <w:sz w:val="24"/>
        </w:rPr>
        <w:t>)</w:t>
      </w:r>
      <w:r>
        <w:rPr>
          <w:sz w:val="24"/>
        </w:rPr>
        <w:t xml:space="preserve"> program</w:t>
      </w:r>
      <w:r w:rsidRPr="0049460A">
        <w:rPr>
          <w:sz w:val="24"/>
        </w:rPr>
        <w:t xml:space="preserve"> is to improve health care and support the adoption of HIT in rural America by providing targeted HIT support to rural health networks.</w:t>
      </w:r>
      <w:r>
        <w:rPr>
          <w:sz w:val="24"/>
        </w:rPr>
        <w:t xml:space="preserve"> Through this program, adoption of Meaningful Use standards will be assessed. Since t</w:t>
      </w:r>
      <w:r w:rsidR="00BE2868">
        <w:rPr>
          <w:sz w:val="24"/>
        </w:rPr>
        <w:t xml:space="preserve">here were changes in </w:t>
      </w:r>
      <w:r w:rsidR="00DE5345">
        <w:rPr>
          <w:sz w:val="24"/>
        </w:rPr>
        <w:t xml:space="preserve">HIT </w:t>
      </w:r>
      <w:r w:rsidR="00BE2868">
        <w:rPr>
          <w:sz w:val="24"/>
        </w:rPr>
        <w:t>Meaningful Use</w:t>
      </w:r>
      <w:r w:rsidR="00DE5345">
        <w:rPr>
          <w:sz w:val="24"/>
        </w:rPr>
        <w:t xml:space="preserve"> criteria</w:t>
      </w:r>
      <w:r w:rsidR="00BE2868">
        <w:rPr>
          <w:sz w:val="24"/>
        </w:rPr>
        <w:t xml:space="preserve">, </w:t>
      </w:r>
      <w:r>
        <w:rPr>
          <w:sz w:val="24"/>
        </w:rPr>
        <w:t>additional questions were added</w:t>
      </w:r>
      <w:r w:rsidR="00635500">
        <w:rPr>
          <w:sz w:val="24"/>
        </w:rPr>
        <w:t xml:space="preserve"> on this form </w:t>
      </w:r>
      <w:r w:rsidR="00BE2868">
        <w:rPr>
          <w:sz w:val="24"/>
        </w:rPr>
        <w:t>to reflect those</w:t>
      </w:r>
      <w:r w:rsidR="00635500">
        <w:rPr>
          <w:sz w:val="24"/>
        </w:rPr>
        <w:t xml:space="preserve"> changes which </w:t>
      </w:r>
      <w:r>
        <w:rPr>
          <w:sz w:val="24"/>
        </w:rPr>
        <w:t xml:space="preserve">increased the burden hours by 78 hours.  </w:t>
      </w:r>
      <w:r w:rsidR="00BE2868">
        <w:rPr>
          <w:sz w:val="24"/>
        </w:rPr>
        <w:t>However, there are no changes to the RHITND Program.</w:t>
      </w:r>
    </w:p>
    <w:p w:rsidR="009B3794" w:rsidRPr="00663A0F" w:rsidRDefault="009B3794" w:rsidP="00642BF4">
      <w:pPr>
        <w:numPr>
          <w:ilvl w:val="0"/>
          <w:numId w:val="46"/>
        </w:numPr>
        <w:spacing w:before="24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rsidR="00A23414" w:rsidRDefault="00A23414" w:rsidP="00663A0F">
      <w:pPr>
        <w:ind w:left="360"/>
        <w:rPr>
          <w:sz w:val="24"/>
        </w:rPr>
      </w:pPr>
    </w:p>
    <w:p w:rsidR="00A23414" w:rsidRPr="00663A0F" w:rsidRDefault="00663A0F" w:rsidP="0068553F">
      <w:pPr>
        <w:ind w:left="360"/>
        <w:rPr>
          <w:sz w:val="24"/>
        </w:rPr>
      </w:pPr>
      <w:r w:rsidRPr="00663A0F">
        <w:rPr>
          <w:sz w:val="24"/>
        </w:rPr>
        <w:t xml:space="preserve">There are no plans to publish the data.  This information will be collected to comply with GPRA and PART requirements.  The data may be used on an aggregate program level to document the impact and success of program.  This information might be used in the ORHP Annual Report produced internally for the agency.  The ORHP Annual Report is produced in February, reporting the prior fiscal year’s activities.  </w:t>
      </w:r>
    </w:p>
    <w:p w:rsidR="00A23414" w:rsidRPr="0068553F" w:rsidRDefault="009B3794" w:rsidP="0068553F">
      <w:pPr>
        <w:numPr>
          <w:ilvl w:val="0"/>
          <w:numId w:val="46"/>
        </w:numPr>
        <w:spacing w:before="240"/>
        <w:rPr>
          <w:b/>
          <w:sz w:val="24"/>
        </w:rPr>
      </w:pPr>
      <w:r>
        <w:rPr>
          <w:b/>
          <w:sz w:val="24"/>
          <w:u w:val="single"/>
        </w:rPr>
        <w:t>Reason(s) Display of OMB Expiration Date is Inappropriate</w:t>
      </w:r>
    </w:p>
    <w:p w:rsidR="009B3794" w:rsidRDefault="00663A0F" w:rsidP="00CA3DA6">
      <w:pPr>
        <w:pStyle w:val="BodyTextIndent"/>
        <w:spacing w:before="120"/>
        <w:ind w:left="360"/>
        <w:rPr>
          <w:rFonts w:ascii="Times New Roman" w:hAnsi="Times New Roman"/>
        </w:rPr>
      </w:pPr>
      <w:r>
        <w:rPr>
          <w:rFonts w:ascii="Times New Roman" w:hAnsi="Times New Roman"/>
        </w:rPr>
        <w:t>The expiration date will be displayed</w:t>
      </w:r>
      <w:r w:rsidR="009B3794">
        <w:rPr>
          <w:rFonts w:ascii="Times New Roman" w:hAnsi="Times New Roman"/>
        </w:rPr>
        <w:t xml:space="preserve">.  </w:t>
      </w:r>
    </w:p>
    <w:p w:rsidR="009B3794" w:rsidRPr="00663A0F" w:rsidRDefault="009B3794" w:rsidP="00642BF4">
      <w:pPr>
        <w:numPr>
          <w:ilvl w:val="0"/>
          <w:numId w:val="46"/>
        </w:numPr>
        <w:spacing w:before="240"/>
        <w:rPr>
          <w:b/>
          <w:sz w:val="24"/>
        </w:rPr>
      </w:pPr>
      <w:r>
        <w:rPr>
          <w:b/>
          <w:sz w:val="24"/>
          <w:u w:val="single"/>
        </w:rPr>
        <w:t>Exceptions to Certification for Paperwork Reduction Act Submissions</w:t>
      </w:r>
    </w:p>
    <w:p w:rsidR="00663A0F" w:rsidRPr="00663A0F" w:rsidRDefault="00D5006D" w:rsidP="00D5006D">
      <w:pPr>
        <w:spacing w:before="240"/>
        <w:ind w:left="360"/>
        <w:rPr>
          <w:sz w:val="24"/>
        </w:rPr>
      </w:pPr>
      <w:r>
        <w:rPr>
          <w:sz w:val="24"/>
        </w:rPr>
        <w:t>T</w:t>
      </w:r>
      <w:r w:rsidR="00663A0F">
        <w:rPr>
          <w:sz w:val="24"/>
        </w:rPr>
        <w:t>here are no exceptions to the certification.</w:t>
      </w:r>
    </w:p>
    <w:sectPr w:rsidR="00663A0F" w:rsidRPr="00663A0F"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5C" w:rsidRDefault="0054735C">
      <w:r>
        <w:separator/>
      </w:r>
    </w:p>
  </w:endnote>
  <w:endnote w:type="continuationSeparator" w:id="0">
    <w:p w:rsidR="0054735C" w:rsidRDefault="0054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1D" w:rsidRDefault="00D92E1D">
    <w:pPr>
      <w:spacing w:line="240" w:lineRule="exact"/>
    </w:pPr>
  </w:p>
  <w:p w:rsidR="00D92E1D" w:rsidRDefault="00D92E1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91FCB">
      <w:rPr>
        <w:noProof/>
        <w:sz w:val="24"/>
      </w:rPr>
      <w:t>6</w:t>
    </w:r>
    <w:r>
      <w:rPr>
        <w:sz w:val="24"/>
      </w:rPr>
      <w:fldChar w:fldCharType="end"/>
    </w:r>
  </w:p>
  <w:p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5C" w:rsidRDefault="0054735C">
      <w:r>
        <w:separator/>
      </w:r>
    </w:p>
  </w:footnote>
  <w:footnote w:type="continuationSeparator" w:id="0">
    <w:p w:rsidR="0054735C" w:rsidRDefault="00547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cs="Times New Roman"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5">
    <w:nsid w:val="2B7570F2"/>
    <w:multiLevelType w:val="multilevel"/>
    <w:tmpl w:val="78A00D7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C53072FE"/>
    <w:lvl w:ilvl="0" w:tplc="0409000F">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2B6469"/>
    <w:multiLevelType w:val="hybridMultilevel"/>
    <w:tmpl w:val="7C7E52AE"/>
    <w:lvl w:ilvl="0" w:tplc="39EA2D0C">
      <w:start w:val="6"/>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rPr>
        <w:rFonts w:cs="Times New Roman"/>
      </w:rPr>
    </w:lvl>
    <w:lvl w:ilvl="1">
      <w:start w:val="1"/>
      <w:numFmt w:val="lowerLetter"/>
      <w:lvlText w:val="%2."/>
      <w:lvlJc w:val="left"/>
      <w:pPr>
        <w:tabs>
          <w:tab w:val="num" w:pos="2880"/>
        </w:tabs>
        <w:ind w:left="2880" w:hanging="360"/>
      </w:pPr>
      <w:rPr>
        <w:rFonts w:cs="Times New Roman"/>
      </w:rPr>
    </w:lvl>
    <w:lvl w:ilvl="2">
      <w:start w:val="1"/>
      <w:numFmt w:val="lowerRoman"/>
      <w:lvlText w:val="%3."/>
      <w:lvlJc w:val="right"/>
      <w:pPr>
        <w:tabs>
          <w:tab w:val="num" w:pos="3600"/>
        </w:tabs>
        <w:ind w:left="3600" w:hanging="180"/>
      </w:pPr>
      <w:rPr>
        <w:rFonts w:cs="Times New Roman"/>
      </w:rPr>
    </w:lvl>
    <w:lvl w:ilvl="3">
      <w:start w:val="1"/>
      <w:numFmt w:val="decimal"/>
      <w:lvlText w:val="%4."/>
      <w:lvlJc w:val="left"/>
      <w:pPr>
        <w:tabs>
          <w:tab w:val="num" w:pos="4320"/>
        </w:tabs>
        <w:ind w:left="4320" w:hanging="360"/>
      </w:pPr>
      <w:rPr>
        <w:rFonts w:cs="Times New Roman"/>
      </w:rPr>
    </w:lvl>
    <w:lvl w:ilvl="4">
      <w:start w:val="1"/>
      <w:numFmt w:val="lowerLetter"/>
      <w:lvlText w:val="%5."/>
      <w:lvlJc w:val="left"/>
      <w:pPr>
        <w:tabs>
          <w:tab w:val="num" w:pos="5040"/>
        </w:tabs>
        <w:ind w:left="5040" w:hanging="360"/>
      </w:pPr>
      <w:rPr>
        <w:rFonts w:cs="Times New Roman"/>
      </w:rPr>
    </w:lvl>
    <w:lvl w:ilvl="5">
      <w:start w:val="1"/>
      <w:numFmt w:val="lowerRoman"/>
      <w:lvlText w:val="%6."/>
      <w:lvlJc w:val="right"/>
      <w:pPr>
        <w:tabs>
          <w:tab w:val="num" w:pos="5760"/>
        </w:tabs>
        <w:ind w:left="5760" w:hanging="180"/>
      </w:pPr>
      <w:rPr>
        <w:rFonts w:cs="Times New Roman"/>
      </w:rPr>
    </w:lvl>
    <w:lvl w:ilvl="6">
      <w:start w:val="1"/>
      <w:numFmt w:val="decimal"/>
      <w:lvlText w:val="%7."/>
      <w:lvlJc w:val="left"/>
      <w:pPr>
        <w:tabs>
          <w:tab w:val="num" w:pos="6480"/>
        </w:tabs>
        <w:ind w:left="6480" w:hanging="360"/>
      </w:pPr>
      <w:rPr>
        <w:rFonts w:cs="Times New Roman"/>
      </w:rPr>
    </w:lvl>
    <w:lvl w:ilvl="7">
      <w:start w:val="1"/>
      <w:numFmt w:val="lowerLetter"/>
      <w:lvlText w:val="%8."/>
      <w:lvlJc w:val="left"/>
      <w:pPr>
        <w:tabs>
          <w:tab w:val="num" w:pos="7200"/>
        </w:tabs>
        <w:ind w:left="7200" w:hanging="360"/>
      </w:pPr>
      <w:rPr>
        <w:rFonts w:cs="Times New Roman"/>
      </w:rPr>
    </w:lvl>
    <w:lvl w:ilvl="8">
      <w:start w:val="1"/>
      <w:numFmt w:val="lowerRoman"/>
      <w:lvlText w:val="%9."/>
      <w:lvlJc w:val="right"/>
      <w:pPr>
        <w:tabs>
          <w:tab w:val="num" w:pos="7920"/>
        </w:tabs>
        <w:ind w:left="7920" w:hanging="180"/>
      </w:pPr>
      <w:rPr>
        <w:rFonts w:cs="Times New Roman"/>
      </w:r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2B56DA"/>
    <w:multiLevelType w:val="hybridMultilevel"/>
    <w:tmpl w:val="880463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836233"/>
    <w:multiLevelType w:val="multilevel"/>
    <w:tmpl w:val="168C582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cs="Times New Roman"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5"/>
  </w:num>
  <w:num w:numId="2">
    <w:abstractNumId w:val="22"/>
  </w:num>
  <w:num w:numId="3">
    <w:abstractNumId w:val="15"/>
  </w:num>
  <w:num w:numId="4">
    <w:abstractNumId w:val="41"/>
  </w:num>
  <w:num w:numId="5">
    <w:abstractNumId w:val="44"/>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39"/>
  </w:num>
  <w:num w:numId="23">
    <w:abstractNumId w:val="31"/>
  </w:num>
  <w:num w:numId="24">
    <w:abstractNumId w:val="32"/>
  </w:num>
  <w:num w:numId="25">
    <w:abstractNumId w:val="43"/>
  </w:num>
  <w:num w:numId="26">
    <w:abstractNumId w:val="38"/>
  </w:num>
  <w:num w:numId="27">
    <w:abstractNumId w:val="3"/>
  </w:num>
  <w:num w:numId="28">
    <w:abstractNumId w:val="17"/>
  </w:num>
  <w:num w:numId="29">
    <w:abstractNumId w:val="42"/>
  </w:num>
  <w:num w:numId="30">
    <w:abstractNumId w:val="37"/>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4"/>
  </w:num>
  <w:num w:numId="43">
    <w:abstractNumId w:val="5"/>
  </w:num>
  <w:num w:numId="44">
    <w:abstractNumId w:val="40"/>
  </w:num>
  <w:num w:numId="45">
    <w:abstractNumId w:val="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500C"/>
    <w:rsid w:val="00015505"/>
    <w:rsid w:val="001325B2"/>
    <w:rsid w:val="00194306"/>
    <w:rsid w:val="001D4856"/>
    <w:rsid w:val="001E16F7"/>
    <w:rsid w:val="002118B4"/>
    <w:rsid w:val="0024177E"/>
    <w:rsid w:val="00255959"/>
    <w:rsid w:val="002640E7"/>
    <w:rsid w:val="002D0B60"/>
    <w:rsid w:val="00313990"/>
    <w:rsid w:val="00322313"/>
    <w:rsid w:val="00391E16"/>
    <w:rsid w:val="003D23B1"/>
    <w:rsid w:val="00471AA5"/>
    <w:rsid w:val="00472847"/>
    <w:rsid w:val="00473FDE"/>
    <w:rsid w:val="004746CA"/>
    <w:rsid w:val="00490720"/>
    <w:rsid w:val="0049460A"/>
    <w:rsid w:val="004E687D"/>
    <w:rsid w:val="00503BAB"/>
    <w:rsid w:val="0054735C"/>
    <w:rsid w:val="00550980"/>
    <w:rsid w:val="005A094E"/>
    <w:rsid w:val="005D0E8F"/>
    <w:rsid w:val="005E1765"/>
    <w:rsid w:val="0060077B"/>
    <w:rsid w:val="00624019"/>
    <w:rsid w:val="00624BD6"/>
    <w:rsid w:val="00635500"/>
    <w:rsid w:val="00642BF4"/>
    <w:rsid w:val="00642F54"/>
    <w:rsid w:val="00663A0F"/>
    <w:rsid w:val="00680D76"/>
    <w:rsid w:val="0068553F"/>
    <w:rsid w:val="006F1704"/>
    <w:rsid w:val="00725162"/>
    <w:rsid w:val="0079626D"/>
    <w:rsid w:val="007B201B"/>
    <w:rsid w:val="007E3E9E"/>
    <w:rsid w:val="007F047A"/>
    <w:rsid w:val="00816578"/>
    <w:rsid w:val="008A187A"/>
    <w:rsid w:val="008C52F3"/>
    <w:rsid w:val="008D2D67"/>
    <w:rsid w:val="00904C43"/>
    <w:rsid w:val="009B3794"/>
    <w:rsid w:val="009B6C2B"/>
    <w:rsid w:val="009B7E4D"/>
    <w:rsid w:val="009E279A"/>
    <w:rsid w:val="00A025BC"/>
    <w:rsid w:val="00A23414"/>
    <w:rsid w:val="00A42D8F"/>
    <w:rsid w:val="00A7112E"/>
    <w:rsid w:val="00A761BF"/>
    <w:rsid w:val="00A92CAB"/>
    <w:rsid w:val="00AE53D6"/>
    <w:rsid w:val="00AE7154"/>
    <w:rsid w:val="00B47B30"/>
    <w:rsid w:val="00B655C6"/>
    <w:rsid w:val="00BA1A0C"/>
    <w:rsid w:val="00BE2868"/>
    <w:rsid w:val="00BF0248"/>
    <w:rsid w:val="00C05A80"/>
    <w:rsid w:val="00C74B86"/>
    <w:rsid w:val="00C81E7C"/>
    <w:rsid w:val="00C91FCB"/>
    <w:rsid w:val="00C941D7"/>
    <w:rsid w:val="00CA3DA6"/>
    <w:rsid w:val="00CD36E7"/>
    <w:rsid w:val="00CE010A"/>
    <w:rsid w:val="00CE5AA9"/>
    <w:rsid w:val="00D02E72"/>
    <w:rsid w:val="00D1495F"/>
    <w:rsid w:val="00D206DB"/>
    <w:rsid w:val="00D46313"/>
    <w:rsid w:val="00D5006D"/>
    <w:rsid w:val="00D74B86"/>
    <w:rsid w:val="00D90121"/>
    <w:rsid w:val="00D92E1D"/>
    <w:rsid w:val="00DE3A45"/>
    <w:rsid w:val="00DE5345"/>
    <w:rsid w:val="00DF7BD9"/>
    <w:rsid w:val="00E203FA"/>
    <w:rsid w:val="00E34A1F"/>
    <w:rsid w:val="00E962DB"/>
    <w:rsid w:val="00EC3DB1"/>
    <w:rsid w:val="00ED18EA"/>
    <w:rsid w:val="00ED4E62"/>
    <w:rsid w:val="00EE529C"/>
    <w:rsid w:val="00F32FE4"/>
    <w:rsid w:val="00F4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link w:val="Heading1Char"/>
    <w:uiPriority w:val="9"/>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1D4856"/>
  </w:style>
  <w:style w:type="paragraph" w:styleId="BodyTextIndent">
    <w:name w:val="Body Text Indent"/>
    <w:basedOn w:val="Normal"/>
    <w:link w:val="BodyTextIndentChar"/>
    <w:uiPriority w:val="99"/>
    <w:rsid w:val="001D4856"/>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rPr>
      <w:szCs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92CA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rFonts w:cs="Times New Roman"/>
      <w:color w:val="0000FF"/>
      <w:u w:val="single"/>
    </w:rPr>
  </w:style>
  <w:style w:type="character" w:styleId="FollowedHyperlink">
    <w:name w:val="FollowedHyperlink"/>
    <w:basedOn w:val="DefaultParagraphFont"/>
    <w:uiPriority w:val="99"/>
    <w:rsid w:val="00550980"/>
    <w:rPr>
      <w:rFonts w:cs="Times New Roman"/>
      <w:color w:val="800080" w:themeColor="followedHyperlink"/>
      <w:u w:val="single"/>
    </w:rPr>
  </w:style>
  <w:style w:type="paragraph" w:styleId="NoSpacing">
    <w:name w:val="No Spacing"/>
    <w:uiPriority w:val="1"/>
    <w:qFormat/>
    <w:rsid w:val="00816578"/>
    <w:pPr>
      <w:widowControl w:val="0"/>
      <w:autoSpaceDE w:val="0"/>
      <w:autoSpaceDN w:val="0"/>
      <w:adjustRightInd w:val="0"/>
    </w:pPr>
    <w:rPr>
      <w:szCs w:val="24"/>
    </w:rPr>
  </w:style>
  <w:style w:type="character" w:styleId="CommentReference">
    <w:name w:val="annotation reference"/>
    <w:basedOn w:val="DefaultParagraphFont"/>
    <w:uiPriority w:val="99"/>
    <w:rsid w:val="00642F54"/>
    <w:rPr>
      <w:rFonts w:cs="Times New Roman"/>
      <w:sz w:val="16"/>
      <w:szCs w:val="16"/>
    </w:rPr>
  </w:style>
  <w:style w:type="paragraph" w:styleId="CommentText">
    <w:name w:val="annotation text"/>
    <w:basedOn w:val="Normal"/>
    <w:link w:val="CommentTextChar"/>
    <w:uiPriority w:val="99"/>
    <w:rsid w:val="00642F54"/>
    <w:rPr>
      <w:szCs w:val="20"/>
    </w:rPr>
  </w:style>
  <w:style w:type="character" w:customStyle="1" w:styleId="CommentTextChar">
    <w:name w:val="Comment Text Char"/>
    <w:basedOn w:val="DefaultParagraphFont"/>
    <w:link w:val="CommentText"/>
    <w:uiPriority w:val="99"/>
    <w:locked/>
    <w:rsid w:val="00642F54"/>
    <w:rPr>
      <w:rFonts w:cs="Times New Roman"/>
    </w:rPr>
  </w:style>
  <w:style w:type="paragraph" w:styleId="CommentSubject">
    <w:name w:val="annotation subject"/>
    <w:basedOn w:val="CommentText"/>
    <w:next w:val="CommentText"/>
    <w:link w:val="CommentSubjectChar"/>
    <w:uiPriority w:val="99"/>
    <w:rsid w:val="00642F54"/>
    <w:rPr>
      <w:b/>
      <w:bCs/>
    </w:rPr>
  </w:style>
  <w:style w:type="character" w:customStyle="1" w:styleId="CommentSubjectChar">
    <w:name w:val="Comment Subject Char"/>
    <w:basedOn w:val="CommentTextChar"/>
    <w:link w:val="CommentSubject"/>
    <w:uiPriority w:val="99"/>
    <w:locked/>
    <w:rsid w:val="00642F54"/>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link w:val="Heading1Char"/>
    <w:uiPriority w:val="9"/>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1D4856"/>
  </w:style>
  <w:style w:type="paragraph" w:styleId="BodyTextIndent">
    <w:name w:val="Body Text Indent"/>
    <w:basedOn w:val="Normal"/>
    <w:link w:val="BodyTextIndentChar"/>
    <w:uiPriority w:val="99"/>
    <w:rsid w:val="001D4856"/>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rPr>
      <w:szCs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92CA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rFonts w:cs="Times New Roman"/>
      <w:color w:val="0000FF"/>
      <w:u w:val="single"/>
    </w:rPr>
  </w:style>
  <w:style w:type="character" w:styleId="FollowedHyperlink">
    <w:name w:val="FollowedHyperlink"/>
    <w:basedOn w:val="DefaultParagraphFont"/>
    <w:uiPriority w:val="99"/>
    <w:rsid w:val="00550980"/>
    <w:rPr>
      <w:rFonts w:cs="Times New Roman"/>
      <w:color w:val="800080" w:themeColor="followedHyperlink"/>
      <w:u w:val="single"/>
    </w:rPr>
  </w:style>
  <w:style w:type="paragraph" w:styleId="NoSpacing">
    <w:name w:val="No Spacing"/>
    <w:uiPriority w:val="1"/>
    <w:qFormat/>
    <w:rsid w:val="00816578"/>
    <w:pPr>
      <w:widowControl w:val="0"/>
      <w:autoSpaceDE w:val="0"/>
      <w:autoSpaceDN w:val="0"/>
      <w:adjustRightInd w:val="0"/>
    </w:pPr>
    <w:rPr>
      <w:szCs w:val="24"/>
    </w:rPr>
  </w:style>
  <w:style w:type="character" w:styleId="CommentReference">
    <w:name w:val="annotation reference"/>
    <w:basedOn w:val="DefaultParagraphFont"/>
    <w:uiPriority w:val="99"/>
    <w:rsid w:val="00642F54"/>
    <w:rPr>
      <w:rFonts w:cs="Times New Roman"/>
      <w:sz w:val="16"/>
      <w:szCs w:val="16"/>
    </w:rPr>
  </w:style>
  <w:style w:type="paragraph" w:styleId="CommentText">
    <w:name w:val="annotation text"/>
    <w:basedOn w:val="Normal"/>
    <w:link w:val="CommentTextChar"/>
    <w:uiPriority w:val="99"/>
    <w:rsid w:val="00642F54"/>
    <w:rPr>
      <w:szCs w:val="20"/>
    </w:rPr>
  </w:style>
  <w:style w:type="character" w:customStyle="1" w:styleId="CommentTextChar">
    <w:name w:val="Comment Text Char"/>
    <w:basedOn w:val="DefaultParagraphFont"/>
    <w:link w:val="CommentText"/>
    <w:uiPriority w:val="99"/>
    <w:locked/>
    <w:rsid w:val="00642F54"/>
    <w:rPr>
      <w:rFonts w:cs="Times New Roman"/>
    </w:rPr>
  </w:style>
  <w:style w:type="paragraph" w:styleId="CommentSubject">
    <w:name w:val="annotation subject"/>
    <w:basedOn w:val="CommentText"/>
    <w:next w:val="CommentText"/>
    <w:link w:val="CommentSubjectChar"/>
    <w:uiPriority w:val="99"/>
    <w:rsid w:val="00642F54"/>
    <w:rPr>
      <w:b/>
      <w:bCs/>
    </w:rPr>
  </w:style>
  <w:style w:type="character" w:customStyle="1" w:styleId="CommentSubjectChar">
    <w:name w:val="Comment Subject Char"/>
    <w:basedOn w:val="CommentTextChar"/>
    <w:link w:val="CommentSubject"/>
    <w:uiPriority w:val="99"/>
    <w:locked/>
    <w:rsid w:val="00642F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165F56FFA0A74C8E08626B7CCC693B" ma:contentTypeVersion="0" ma:contentTypeDescription="Create a new document." ma:contentTypeScope="" ma:versionID="b64bf2c0efe12903a83f8f9a0b66cd65">
  <xsd:schema xmlns:xsd="http://www.w3.org/2001/XMLSchema" xmlns:xs="http://www.w3.org/2001/XMLSchema" xmlns:p="http://schemas.microsoft.com/office/2006/metadata/properties" xmlns:ns2="053a5afd-1424-405b-82d9-63deec7446f8" targetNamespace="http://schemas.microsoft.com/office/2006/metadata/properties" ma:root="true" ma:fieldsID="1b3cf52e81418d929208751e4b328b4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053a5afd-1424-405b-82d9-63deec7446f8"/>
  </documentManagement>
</p:properties>
</file>

<file path=customXml/itemProps1.xml><?xml version="1.0" encoding="utf-8"?>
<ds:datastoreItem xmlns:ds="http://schemas.openxmlformats.org/officeDocument/2006/customXml" ds:itemID="{F72493C8-0690-4D19-B91A-2EB6D7F76349}">
  <ds:schemaRefs>
    <ds:schemaRef ds:uri="http://schemas.microsoft.com/sharepoint/v3/contenttype/forms"/>
  </ds:schemaRefs>
</ds:datastoreItem>
</file>

<file path=customXml/itemProps2.xml><?xml version="1.0" encoding="utf-8"?>
<ds:datastoreItem xmlns:ds="http://schemas.openxmlformats.org/officeDocument/2006/customXml" ds:itemID="{5F0F97B5-CDD4-441E-8E14-55A643C00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F7D48-81AE-4348-BFD8-A0611F940A02}">
  <ds:schemaRefs>
    <ds:schemaRef ds:uri="http://schemas.microsoft.com/sharepoint/events"/>
  </ds:schemaRefs>
</ds:datastoreItem>
</file>

<file path=customXml/itemProps4.xml><?xml version="1.0" encoding="utf-8"?>
<ds:datastoreItem xmlns:ds="http://schemas.openxmlformats.org/officeDocument/2006/customXml" ds:itemID="{41DE5B41-66D6-4721-8EE7-C8F571A61A63}">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1797</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3</cp:revision>
  <cp:lastPrinted>2013-04-25T13:27:00Z</cp:lastPrinted>
  <dcterms:created xsi:type="dcterms:W3CDTF">2013-05-09T16:36:00Z</dcterms:created>
  <dcterms:modified xsi:type="dcterms:W3CDTF">2013-05-28T15:37:00Z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0x010100D0165F56FFA0A74C8E08626B7CCC693B</vt:lpwstr>
  </property>
  <property fmtid="{D5CDD505-2E9C-101B-9397-08002B2CF9AE}" pid="3" name="_dlc_DocIdItemGuid">
    <vt:lpwstr>1a7a4005-6165-4011-9969-de7d9032f9f5</vt:lpwstr>
  </property>
</Properties>
</file>